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7F0DF" w14:textId="59BD82F8" w:rsidR="009C3506" w:rsidRPr="001D14A6" w:rsidRDefault="009C3506" w:rsidP="008E18D5">
      <w:pPr>
        <w:widowControl w:val="0"/>
        <w:autoSpaceDE w:val="0"/>
        <w:autoSpaceDN w:val="0"/>
        <w:adjustRightInd w:val="0"/>
        <w:spacing w:after="240" w:line="276" w:lineRule="auto"/>
        <w:rPr>
          <w:rFonts w:cs="Times"/>
          <w:b/>
          <w:color w:val="000000"/>
          <w:sz w:val="22"/>
          <w:szCs w:val="22"/>
        </w:rPr>
      </w:pPr>
      <w:r w:rsidRPr="001D14A6">
        <w:rPr>
          <w:rFonts w:cs="Times"/>
          <w:b/>
          <w:color w:val="000000"/>
          <w:sz w:val="22"/>
          <w:szCs w:val="22"/>
        </w:rPr>
        <w:t>The National Green Tribunal, Ind</w:t>
      </w:r>
      <w:r w:rsidR="00420ABB" w:rsidRPr="001D14A6">
        <w:rPr>
          <w:rFonts w:cs="Times"/>
          <w:b/>
          <w:color w:val="000000"/>
          <w:sz w:val="22"/>
          <w:szCs w:val="22"/>
        </w:rPr>
        <w:t>ia:  Decision- Making,</w:t>
      </w:r>
      <w:r w:rsidRPr="001D14A6">
        <w:rPr>
          <w:rFonts w:cs="Times"/>
          <w:b/>
          <w:color w:val="000000"/>
          <w:sz w:val="22"/>
          <w:szCs w:val="22"/>
        </w:rPr>
        <w:t xml:space="preserve"> Scientific Expertise and Uncertainty</w:t>
      </w:r>
      <w:r w:rsidR="007947CF" w:rsidRPr="001D14A6">
        <w:rPr>
          <w:rFonts w:cs="Times"/>
          <w:b/>
          <w:color w:val="000000"/>
          <w:sz w:val="22"/>
          <w:szCs w:val="22"/>
        </w:rPr>
        <w:t>*</w:t>
      </w:r>
    </w:p>
    <w:p w14:paraId="14F64CC6" w14:textId="05E95D70" w:rsidR="007F50B9" w:rsidRPr="001D14A6" w:rsidRDefault="009C3506" w:rsidP="008E18D5">
      <w:pPr>
        <w:widowControl w:val="0"/>
        <w:autoSpaceDE w:val="0"/>
        <w:autoSpaceDN w:val="0"/>
        <w:adjustRightInd w:val="0"/>
        <w:spacing w:after="240" w:line="276" w:lineRule="auto"/>
        <w:rPr>
          <w:rFonts w:cs="Times"/>
          <w:b/>
          <w:color w:val="000000"/>
          <w:sz w:val="22"/>
          <w:szCs w:val="22"/>
        </w:rPr>
      </w:pPr>
      <w:r w:rsidRPr="001D14A6">
        <w:rPr>
          <w:rFonts w:cs="Times"/>
          <w:b/>
          <w:color w:val="000000"/>
          <w:sz w:val="22"/>
          <w:szCs w:val="22"/>
        </w:rPr>
        <w:t>Introduction</w:t>
      </w:r>
    </w:p>
    <w:p w14:paraId="58405BC3" w14:textId="3177FE50" w:rsidR="00C247DA" w:rsidRPr="001D14A6" w:rsidRDefault="00420ABB" w:rsidP="008E18D5">
      <w:pPr>
        <w:widowControl w:val="0"/>
        <w:autoSpaceDE w:val="0"/>
        <w:autoSpaceDN w:val="0"/>
        <w:adjustRightInd w:val="0"/>
        <w:spacing w:after="240" w:line="276" w:lineRule="auto"/>
        <w:rPr>
          <w:rFonts w:cs="Times"/>
          <w:color w:val="000000"/>
          <w:sz w:val="22"/>
          <w:szCs w:val="22"/>
        </w:rPr>
      </w:pPr>
      <w:r w:rsidRPr="001D14A6">
        <w:rPr>
          <w:rFonts w:cs="Times"/>
          <w:color w:val="000000"/>
          <w:sz w:val="22"/>
          <w:szCs w:val="22"/>
        </w:rPr>
        <w:t>This</w:t>
      </w:r>
      <w:r w:rsidR="0072044C" w:rsidRPr="001D14A6">
        <w:rPr>
          <w:rFonts w:cs="Times"/>
          <w:color w:val="000000"/>
          <w:sz w:val="22"/>
          <w:szCs w:val="22"/>
        </w:rPr>
        <w:t xml:space="preserve"> </w:t>
      </w:r>
      <w:r w:rsidR="001D14A6" w:rsidRPr="001D14A6">
        <w:rPr>
          <w:rFonts w:cs="Times"/>
          <w:color w:val="000000"/>
          <w:sz w:val="22"/>
          <w:szCs w:val="22"/>
        </w:rPr>
        <w:t>paper</w:t>
      </w:r>
      <w:r w:rsidR="00C247DA" w:rsidRPr="001D14A6">
        <w:rPr>
          <w:rFonts w:cs="Times"/>
          <w:color w:val="000000"/>
          <w:sz w:val="22"/>
          <w:szCs w:val="22"/>
        </w:rPr>
        <w:t xml:space="preserve"> trace</w:t>
      </w:r>
      <w:r w:rsidR="00C44758" w:rsidRPr="001D14A6">
        <w:rPr>
          <w:rFonts w:cs="Times"/>
          <w:color w:val="000000"/>
          <w:sz w:val="22"/>
          <w:szCs w:val="22"/>
        </w:rPr>
        <w:t>s and evaluates how</w:t>
      </w:r>
      <w:r w:rsidR="006B6AE9" w:rsidRPr="001D14A6">
        <w:rPr>
          <w:rFonts w:cs="Times"/>
          <w:color w:val="000000"/>
          <w:sz w:val="22"/>
          <w:szCs w:val="22"/>
        </w:rPr>
        <w:t xml:space="preserve">, </w:t>
      </w:r>
      <w:r w:rsidR="00C247DA" w:rsidRPr="001D14A6">
        <w:rPr>
          <w:rFonts w:cs="Times"/>
          <w:color w:val="000000"/>
          <w:sz w:val="22"/>
          <w:szCs w:val="22"/>
        </w:rPr>
        <w:t>by an Act of the Indian Parliament</w:t>
      </w:r>
      <w:r w:rsidR="006B6AE9" w:rsidRPr="001D14A6">
        <w:rPr>
          <w:rFonts w:cs="Times"/>
          <w:color w:val="000000"/>
          <w:sz w:val="22"/>
          <w:szCs w:val="22"/>
        </w:rPr>
        <w:t>,</w:t>
      </w:r>
      <w:r w:rsidR="00C247DA" w:rsidRPr="001D14A6">
        <w:rPr>
          <w:rFonts w:cs="Times"/>
          <w:color w:val="000000"/>
          <w:sz w:val="22"/>
          <w:szCs w:val="22"/>
        </w:rPr>
        <w:t xml:space="preserve"> a symbiotic relationship has been created between legal and scientific experts operating as joint decision-makers and adjudicators of environmental conflicts within the context of the National Green Tribunal (NGT) India. The robust application of environmental principles, particularly a ‘strong precautionary principle’, has promoted a response that tackles serious threats to human health or </w:t>
      </w:r>
      <w:r w:rsidR="007761EB" w:rsidRPr="001D14A6">
        <w:rPr>
          <w:rFonts w:cs="Times"/>
          <w:color w:val="000000"/>
          <w:sz w:val="22"/>
          <w:szCs w:val="22"/>
        </w:rPr>
        <w:t xml:space="preserve">to </w:t>
      </w:r>
      <w:r w:rsidR="00C247DA" w:rsidRPr="001D14A6">
        <w:rPr>
          <w:rFonts w:cs="Times"/>
          <w:color w:val="000000"/>
          <w:sz w:val="22"/>
          <w:szCs w:val="22"/>
        </w:rPr>
        <w:t xml:space="preserve">the environment. </w:t>
      </w:r>
      <w:r w:rsidR="00C247DA" w:rsidRPr="001D14A6">
        <w:rPr>
          <w:rFonts w:cs="Arial"/>
          <w:color w:val="000000"/>
          <w:sz w:val="22"/>
          <w:szCs w:val="22"/>
        </w:rPr>
        <w:t>The</w:t>
      </w:r>
      <w:r w:rsidR="007761EB" w:rsidRPr="001D14A6">
        <w:rPr>
          <w:rFonts w:cs="Arial"/>
          <w:color w:val="000000"/>
          <w:sz w:val="22"/>
          <w:szCs w:val="22"/>
        </w:rPr>
        <w:t xml:space="preserve"> NGT</w:t>
      </w:r>
      <w:r w:rsidR="00C247DA" w:rsidRPr="001D14A6">
        <w:rPr>
          <w:rFonts w:cs="Arial"/>
          <w:color w:val="000000"/>
          <w:sz w:val="22"/>
          <w:szCs w:val="22"/>
        </w:rPr>
        <w:t xml:space="preserve"> decisions, through expansive rationale and innovative judgments, extend beyond the</w:t>
      </w:r>
      <w:r w:rsidR="00B4049A" w:rsidRPr="001D14A6">
        <w:rPr>
          <w:rFonts w:cs="Arial"/>
          <w:color w:val="000000"/>
          <w:sz w:val="22"/>
          <w:szCs w:val="22"/>
        </w:rPr>
        <w:t xml:space="preserve"> 'courtroom</w:t>
      </w:r>
      <w:r w:rsidR="00F00AFA" w:rsidRPr="001D14A6">
        <w:rPr>
          <w:rFonts w:cs="Arial"/>
          <w:color w:val="000000"/>
          <w:sz w:val="22"/>
          <w:szCs w:val="22"/>
        </w:rPr>
        <w:t xml:space="preserve"> door' thereby resulting in</w:t>
      </w:r>
      <w:r w:rsidR="00C247DA" w:rsidRPr="001D14A6">
        <w:rPr>
          <w:rFonts w:cs="Arial"/>
          <w:color w:val="000000"/>
          <w:sz w:val="22"/>
          <w:szCs w:val="22"/>
        </w:rPr>
        <w:t xml:space="preserve"> external </w:t>
      </w:r>
      <w:r w:rsidR="00B4049A" w:rsidRPr="001D14A6">
        <w:rPr>
          <w:rFonts w:cs="Arial"/>
          <w:color w:val="000000"/>
          <w:sz w:val="22"/>
          <w:szCs w:val="22"/>
        </w:rPr>
        <w:t>social and economic consequences.</w:t>
      </w:r>
    </w:p>
    <w:p w14:paraId="68CB763B" w14:textId="77777777" w:rsidR="00882BF8" w:rsidRPr="001D14A6" w:rsidRDefault="00FF023E" w:rsidP="008E18D5">
      <w:pPr>
        <w:widowControl w:val="0"/>
        <w:autoSpaceDE w:val="0"/>
        <w:autoSpaceDN w:val="0"/>
        <w:adjustRightInd w:val="0"/>
        <w:spacing w:after="240" w:line="276" w:lineRule="auto"/>
        <w:rPr>
          <w:rFonts w:cs="Times"/>
          <w:color w:val="000000"/>
          <w:sz w:val="22"/>
          <w:szCs w:val="22"/>
        </w:rPr>
      </w:pPr>
      <w:r w:rsidRPr="001D14A6">
        <w:rPr>
          <w:rFonts w:cs="Times"/>
          <w:color w:val="000000"/>
          <w:sz w:val="22"/>
          <w:szCs w:val="22"/>
        </w:rPr>
        <w:t xml:space="preserve">The involvement of experts and expert knowledge in policy </w:t>
      </w:r>
      <w:r w:rsidR="00D73277" w:rsidRPr="001D14A6">
        <w:rPr>
          <w:rFonts w:cs="Times"/>
          <w:color w:val="000000"/>
          <w:sz w:val="22"/>
          <w:szCs w:val="22"/>
        </w:rPr>
        <w:t>and dec</w:t>
      </w:r>
      <w:r w:rsidR="00313456" w:rsidRPr="001D14A6">
        <w:rPr>
          <w:rFonts w:cs="Times"/>
          <w:color w:val="000000"/>
          <w:sz w:val="22"/>
          <w:szCs w:val="22"/>
        </w:rPr>
        <w:t>ision-making commands a</w:t>
      </w:r>
      <w:r w:rsidRPr="001D14A6">
        <w:rPr>
          <w:rFonts w:cs="Times"/>
          <w:color w:val="000000"/>
          <w:sz w:val="22"/>
          <w:szCs w:val="22"/>
        </w:rPr>
        <w:t xml:space="preserve"> place in academic discourse.</w:t>
      </w:r>
      <w:r w:rsidR="00202428" w:rsidRPr="001D14A6">
        <w:rPr>
          <w:rStyle w:val="FootnoteReference"/>
          <w:rFonts w:cs="Times"/>
          <w:color w:val="000000"/>
          <w:sz w:val="22"/>
          <w:szCs w:val="22"/>
        </w:rPr>
        <w:footnoteReference w:id="1"/>
      </w:r>
      <w:r w:rsidRPr="001D14A6">
        <w:rPr>
          <w:rFonts w:cs="Times"/>
          <w:color w:val="000000"/>
          <w:sz w:val="22"/>
          <w:szCs w:val="22"/>
        </w:rPr>
        <w:t xml:space="preserve"> The importance of experts is recognised because</w:t>
      </w:r>
      <w:r w:rsidR="00882BF8" w:rsidRPr="001D14A6">
        <w:rPr>
          <w:rFonts w:cs="Times"/>
          <w:color w:val="000000"/>
          <w:sz w:val="22"/>
          <w:szCs w:val="22"/>
        </w:rPr>
        <w:t>,</w:t>
      </w:r>
    </w:p>
    <w:p w14:paraId="1FC077D0" w14:textId="08193658" w:rsidR="00882BF8" w:rsidRPr="001D14A6" w:rsidRDefault="00882BF8" w:rsidP="001D14A6">
      <w:pPr>
        <w:widowControl w:val="0"/>
        <w:autoSpaceDE w:val="0"/>
        <w:autoSpaceDN w:val="0"/>
        <w:adjustRightInd w:val="0"/>
        <w:spacing w:after="240" w:line="276" w:lineRule="auto"/>
        <w:ind w:left="720"/>
        <w:rPr>
          <w:rFonts w:cs="Times"/>
          <w:color w:val="000000"/>
          <w:sz w:val="22"/>
          <w:szCs w:val="22"/>
        </w:rPr>
      </w:pPr>
      <w:r w:rsidRPr="001D14A6">
        <w:rPr>
          <w:rFonts w:cs="Times"/>
          <w:color w:val="000000"/>
          <w:sz w:val="22"/>
          <w:szCs w:val="22"/>
        </w:rPr>
        <w:t>[e]</w:t>
      </w:r>
      <w:r w:rsidR="00FF023E" w:rsidRPr="001D14A6">
        <w:rPr>
          <w:rFonts w:cs="Times"/>
          <w:color w:val="000000"/>
          <w:sz w:val="22"/>
          <w:szCs w:val="22"/>
        </w:rPr>
        <w:t>xperts de</w:t>
      </w:r>
      <w:r w:rsidR="0042187F" w:rsidRPr="001D14A6">
        <w:rPr>
          <w:rFonts w:cs="Times"/>
          <w:color w:val="000000"/>
          <w:sz w:val="22"/>
          <w:szCs w:val="22"/>
        </w:rPr>
        <w:t>fi</w:t>
      </w:r>
      <w:r w:rsidR="00FF023E" w:rsidRPr="001D14A6">
        <w:rPr>
          <w:rFonts w:cs="Times"/>
          <w:color w:val="000000"/>
          <w:sz w:val="22"/>
          <w:szCs w:val="22"/>
        </w:rPr>
        <w:t xml:space="preserve">ne the regime of truth; they tell us what the world looks like, identify and quantify relevant variables, provide statistical measurements and risk analyses, and solve the equations that indicate the path towards increasing the aggregate level of well-being . . . </w:t>
      </w:r>
      <w:r w:rsidRPr="001D14A6">
        <w:rPr>
          <w:rFonts w:cs="Times"/>
          <w:color w:val="000000"/>
          <w:sz w:val="22"/>
          <w:szCs w:val="22"/>
        </w:rPr>
        <w:t>[e</w:t>
      </w:r>
      <w:r w:rsidR="00FF023E" w:rsidRPr="001D14A6">
        <w:rPr>
          <w:rFonts w:cs="Times"/>
          <w:color w:val="000000"/>
          <w:sz w:val="22"/>
          <w:szCs w:val="22"/>
        </w:rPr>
        <w:t>xperts</w:t>
      </w:r>
      <w:r w:rsidRPr="001D14A6">
        <w:rPr>
          <w:rFonts w:cs="Times"/>
          <w:color w:val="000000"/>
          <w:sz w:val="22"/>
          <w:szCs w:val="22"/>
        </w:rPr>
        <w:t>]</w:t>
      </w:r>
      <w:r w:rsidR="00FF023E" w:rsidRPr="001D14A6">
        <w:rPr>
          <w:rFonts w:cs="Times"/>
          <w:color w:val="000000"/>
          <w:sz w:val="22"/>
          <w:szCs w:val="22"/>
        </w:rPr>
        <w:t xml:space="preserve"> define the system</w:t>
      </w:r>
      <w:r w:rsidRPr="001D14A6">
        <w:rPr>
          <w:rFonts w:cs="Times"/>
          <w:color w:val="000000"/>
          <w:sz w:val="22"/>
          <w:szCs w:val="22"/>
        </w:rPr>
        <w:t>’</w:t>
      </w:r>
      <w:r w:rsidR="00FF023E" w:rsidRPr="001D14A6">
        <w:rPr>
          <w:rFonts w:cs="Times"/>
          <w:color w:val="000000"/>
          <w:sz w:val="22"/>
          <w:szCs w:val="22"/>
        </w:rPr>
        <w:t>.</w:t>
      </w:r>
      <w:r w:rsidR="005074AD" w:rsidRPr="001D14A6">
        <w:rPr>
          <w:rStyle w:val="FootnoteReference"/>
          <w:rFonts w:cs="Times"/>
          <w:color w:val="000000"/>
          <w:sz w:val="22"/>
          <w:szCs w:val="22"/>
        </w:rPr>
        <w:footnoteReference w:id="2"/>
      </w:r>
      <w:r w:rsidR="00796F05" w:rsidRPr="001D14A6">
        <w:rPr>
          <w:rFonts w:cs="Times"/>
          <w:color w:val="000000"/>
          <w:sz w:val="22"/>
          <w:szCs w:val="22"/>
        </w:rPr>
        <w:t xml:space="preserve"> </w:t>
      </w:r>
    </w:p>
    <w:p w14:paraId="138A5D58" w14:textId="5FCF3AB3" w:rsidR="00414943" w:rsidRPr="001D14A6" w:rsidRDefault="00AB24B5" w:rsidP="00882BF8">
      <w:pPr>
        <w:widowControl w:val="0"/>
        <w:autoSpaceDE w:val="0"/>
        <w:autoSpaceDN w:val="0"/>
        <w:adjustRightInd w:val="0"/>
        <w:spacing w:after="240" w:line="276" w:lineRule="auto"/>
        <w:rPr>
          <w:rFonts w:cs="Times"/>
          <w:color w:val="000000"/>
          <w:sz w:val="22"/>
          <w:szCs w:val="22"/>
        </w:rPr>
      </w:pPr>
      <w:r w:rsidRPr="001D14A6">
        <w:rPr>
          <w:rFonts w:cs="Times"/>
          <w:color w:val="000000"/>
          <w:sz w:val="22"/>
          <w:szCs w:val="22"/>
        </w:rPr>
        <w:t xml:space="preserve">Consequently, scientific expertise may provide appropriate solutions to technical or complicated environmental problems. </w:t>
      </w:r>
      <w:r w:rsidR="00845C78" w:rsidRPr="001D14A6">
        <w:rPr>
          <w:rFonts w:cs="Times"/>
          <w:color w:val="000000"/>
          <w:sz w:val="22"/>
          <w:szCs w:val="22"/>
        </w:rPr>
        <w:t>Nevertheless, the relationship between science and politics is problematic and subject to wide-spread debate</w:t>
      </w:r>
      <w:r w:rsidR="009C6543" w:rsidRPr="001D14A6">
        <w:rPr>
          <w:rFonts w:cs="Times"/>
          <w:color w:val="000000"/>
          <w:sz w:val="22"/>
          <w:szCs w:val="22"/>
        </w:rPr>
        <w:t>.</w:t>
      </w:r>
      <w:r w:rsidR="005074AD" w:rsidRPr="001D14A6">
        <w:rPr>
          <w:rStyle w:val="FootnoteReference"/>
          <w:rFonts w:cs="Times"/>
          <w:color w:val="000000"/>
          <w:sz w:val="22"/>
          <w:szCs w:val="22"/>
        </w:rPr>
        <w:footnoteReference w:id="3"/>
      </w:r>
      <w:r w:rsidR="009C6543" w:rsidRPr="001D14A6">
        <w:rPr>
          <w:rFonts w:cs="Times"/>
          <w:color w:val="000000"/>
          <w:sz w:val="22"/>
          <w:szCs w:val="22"/>
        </w:rPr>
        <w:t xml:space="preserve"> </w:t>
      </w:r>
      <w:r w:rsidR="00494A3E" w:rsidRPr="001D14A6">
        <w:rPr>
          <w:rFonts w:cs="Times"/>
          <w:color w:val="000000"/>
          <w:sz w:val="22"/>
          <w:szCs w:val="22"/>
        </w:rPr>
        <w:t xml:space="preserve">This paper does not address the challenging issues within the sociology </w:t>
      </w:r>
      <w:r w:rsidR="00494A3E" w:rsidRPr="001D14A6">
        <w:rPr>
          <w:rFonts w:cs="Times"/>
          <w:color w:val="000000"/>
          <w:sz w:val="22"/>
          <w:szCs w:val="22"/>
        </w:rPr>
        <w:lastRenderedPageBreak/>
        <w:t xml:space="preserve">of knowledge that include the multiple roles of </w:t>
      </w:r>
      <w:r w:rsidR="007761EB" w:rsidRPr="001D14A6">
        <w:rPr>
          <w:rFonts w:cs="Times"/>
          <w:color w:val="000000"/>
          <w:sz w:val="22"/>
          <w:szCs w:val="22"/>
        </w:rPr>
        <w:t>the expert</w:t>
      </w:r>
      <w:r w:rsidR="00494A3E" w:rsidRPr="001D14A6">
        <w:rPr>
          <w:rFonts w:cs="Times"/>
          <w:color w:val="000000"/>
          <w:sz w:val="22"/>
          <w:szCs w:val="22"/>
        </w:rPr>
        <w:t xml:space="preserve"> vis-à-vis policy creation and its promotion</w:t>
      </w:r>
      <w:r w:rsidR="00882BF8" w:rsidRPr="001D14A6">
        <w:rPr>
          <w:rFonts w:cs="Times"/>
          <w:color w:val="000000"/>
          <w:sz w:val="22"/>
          <w:szCs w:val="22"/>
        </w:rPr>
        <w:t>;</w:t>
      </w:r>
      <w:r w:rsidR="00494A3E" w:rsidRPr="001D14A6">
        <w:rPr>
          <w:rFonts w:cs="Times"/>
          <w:color w:val="000000"/>
          <w:sz w:val="22"/>
          <w:szCs w:val="22"/>
        </w:rPr>
        <w:t xml:space="preserve"> </w:t>
      </w:r>
      <w:r w:rsidR="00882BF8" w:rsidRPr="001D14A6">
        <w:rPr>
          <w:rFonts w:cs="Times"/>
          <w:color w:val="000000"/>
          <w:sz w:val="22"/>
          <w:szCs w:val="22"/>
        </w:rPr>
        <w:t>t</w:t>
      </w:r>
      <w:r w:rsidR="00494A3E" w:rsidRPr="001D14A6">
        <w:rPr>
          <w:rFonts w:cs="Times"/>
          <w:color w:val="000000"/>
          <w:sz w:val="22"/>
          <w:szCs w:val="22"/>
        </w:rPr>
        <w:t>he relationship of science and policy has generated a body of lively and disparate opinion and literatu</w:t>
      </w:r>
      <w:r w:rsidR="00F87059" w:rsidRPr="001D14A6">
        <w:rPr>
          <w:rFonts w:cs="Times"/>
          <w:color w:val="000000"/>
          <w:sz w:val="22"/>
          <w:szCs w:val="22"/>
        </w:rPr>
        <w:t>re</w:t>
      </w:r>
      <w:r w:rsidR="00414943" w:rsidRPr="001D14A6">
        <w:rPr>
          <w:rFonts w:cs="Times"/>
          <w:color w:val="000000"/>
          <w:sz w:val="22"/>
          <w:szCs w:val="22"/>
        </w:rPr>
        <w:t xml:space="preserve"> </w:t>
      </w:r>
      <w:r w:rsidR="00F87059" w:rsidRPr="001D14A6">
        <w:rPr>
          <w:rFonts w:cs="Times"/>
          <w:color w:val="000000"/>
          <w:sz w:val="22"/>
          <w:szCs w:val="22"/>
        </w:rPr>
        <w:t>t</w:t>
      </w:r>
      <w:r w:rsidR="00170D22" w:rsidRPr="001D14A6">
        <w:rPr>
          <w:rFonts w:cs="Times"/>
          <w:color w:val="000000"/>
          <w:sz w:val="22"/>
          <w:szCs w:val="22"/>
        </w:rPr>
        <w:t xml:space="preserve">hat is </w:t>
      </w:r>
      <w:r w:rsidR="00414943" w:rsidRPr="001D14A6">
        <w:rPr>
          <w:rFonts w:cs="Times"/>
          <w:color w:val="000000"/>
          <w:sz w:val="22"/>
          <w:szCs w:val="22"/>
        </w:rPr>
        <w:t>beyond the scope of this paper</w:t>
      </w:r>
      <w:r w:rsidR="00494A3E" w:rsidRPr="001D14A6">
        <w:rPr>
          <w:rFonts w:cs="Times"/>
          <w:color w:val="000000"/>
          <w:sz w:val="22"/>
          <w:szCs w:val="22"/>
        </w:rPr>
        <w:t xml:space="preserve">. Nor </w:t>
      </w:r>
      <w:r w:rsidR="007761EB" w:rsidRPr="001D14A6">
        <w:rPr>
          <w:rFonts w:cs="Times"/>
          <w:color w:val="000000"/>
          <w:sz w:val="22"/>
          <w:szCs w:val="22"/>
        </w:rPr>
        <w:t>does the</w:t>
      </w:r>
      <w:r w:rsidR="00414943" w:rsidRPr="001D14A6">
        <w:rPr>
          <w:rFonts w:cs="Times"/>
          <w:color w:val="000000"/>
          <w:sz w:val="22"/>
          <w:szCs w:val="22"/>
        </w:rPr>
        <w:t xml:space="preserve"> paper</w:t>
      </w:r>
      <w:r w:rsidR="00494A3E" w:rsidRPr="001D14A6">
        <w:rPr>
          <w:rFonts w:cs="Times"/>
          <w:color w:val="000000"/>
          <w:sz w:val="22"/>
          <w:szCs w:val="22"/>
        </w:rPr>
        <w:t xml:space="preserve"> consider the relationship or functionality of expert witnesses introduced to the courtroom to promote the cases of litigants. </w:t>
      </w:r>
      <w:r w:rsidR="00414943" w:rsidRPr="001D14A6">
        <w:rPr>
          <w:rFonts w:cs="Times"/>
          <w:color w:val="000000"/>
          <w:sz w:val="22"/>
          <w:szCs w:val="22"/>
        </w:rPr>
        <w:t xml:space="preserve">The author accepts that there may be several, alternative or competing scientifically-based solutions to a problem, rather than a solitary solution: ‘the solution’. These </w:t>
      </w:r>
      <w:r w:rsidR="00882BF8" w:rsidRPr="001D14A6">
        <w:rPr>
          <w:rFonts w:cs="Times"/>
          <w:color w:val="000000"/>
          <w:sz w:val="22"/>
          <w:szCs w:val="22"/>
        </w:rPr>
        <w:t xml:space="preserve">solutions </w:t>
      </w:r>
      <w:r w:rsidR="00414943" w:rsidRPr="001D14A6">
        <w:rPr>
          <w:rFonts w:cs="Times"/>
          <w:color w:val="000000"/>
          <w:sz w:val="22"/>
          <w:szCs w:val="22"/>
        </w:rPr>
        <w:t>may</w:t>
      </w:r>
      <w:r w:rsidR="00414943" w:rsidRPr="001D14A6">
        <w:rPr>
          <w:rFonts w:cs="Times"/>
          <w:color w:val="3B3B3B"/>
          <w:sz w:val="22"/>
          <w:szCs w:val="22"/>
        </w:rPr>
        <w:t xml:space="preserve"> </w:t>
      </w:r>
      <w:r w:rsidR="00414943" w:rsidRPr="001D14A6">
        <w:rPr>
          <w:rFonts w:cs="Times"/>
          <w:color w:val="000000"/>
          <w:sz w:val="22"/>
          <w:szCs w:val="22"/>
        </w:rPr>
        <w:t xml:space="preserve">be advanced to the court by retained expert witnesses or scientifically-based evidence may be generated within the court by ‘in-house’ scientific experts. </w:t>
      </w:r>
      <w:r w:rsidR="001D14A6" w:rsidRPr="001D14A6">
        <w:rPr>
          <w:sz w:val="22"/>
          <w:szCs w:val="22"/>
        </w:rPr>
        <w:t>This paper considers the NGT’s efforts to reach decisions by centralising scientific experts, as full court members, within the decision-making process thereby promoting a collective, symbiotic, inter-disciplinary bench that seeks to harmonise legal norms with scientific knowledge</w:t>
      </w:r>
    </w:p>
    <w:p w14:paraId="432C328D" w14:textId="06BF4D22" w:rsidR="006D33D9" w:rsidRPr="001D14A6" w:rsidRDefault="004B663F" w:rsidP="008E18D5">
      <w:pPr>
        <w:widowControl w:val="0"/>
        <w:autoSpaceDE w:val="0"/>
        <w:autoSpaceDN w:val="0"/>
        <w:adjustRightInd w:val="0"/>
        <w:spacing w:after="240" w:line="276" w:lineRule="auto"/>
        <w:rPr>
          <w:rFonts w:cs="Times"/>
          <w:b/>
          <w:color w:val="000000"/>
          <w:sz w:val="22"/>
          <w:szCs w:val="22"/>
        </w:rPr>
      </w:pPr>
      <w:r w:rsidRPr="001D14A6">
        <w:rPr>
          <w:rFonts w:cs="Times"/>
          <w:color w:val="000000"/>
          <w:sz w:val="22"/>
          <w:szCs w:val="22"/>
        </w:rPr>
        <w:t xml:space="preserve"> </w:t>
      </w:r>
      <w:r w:rsidR="006D33D9" w:rsidRPr="001D14A6">
        <w:rPr>
          <w:rFonts w:cs="Times"/>
          <w:b/>
          <w:color w:val="000000"/>
          <w:sz w:val="22"/>
          <w:szCs w:val="22"/>
        </w:rPr>
        <w:t>The National Green Tribunal: jurisdiction and powers</w:t>
      </w:r>
    </w:p>
    <w:p w14:paraId="29182EB0" w14:textId="35F57A72" w:rsidR="00235750" w:rsidRPr="001D14A6" w:rsidRDefault="003A0B21" w:rsidP="008E18D5">
      <w:pPr>
        <w:widowControl w:val="0"/>
        <w:autoSpaceDE w:val="0"/>
        <w:autoSpaceDN w:val="0"/>
        <w:adjustRightInd w:val="0"/>
        <w:spacing w:after="240" w:line="276" w:lineRule="auto"/>
        <w:rPr>
          <w:rFonts w:cs="Times"/>
          <w:color w:val="000000"/>
          <w:sz w:val="22"/>
          <w:szCs w:val="22"/>
        </w:rPr>
      </w:pPr>
      <w:r w:rsidRPr="001D14A6">
        <w:rPr>
          <w:rFonts w:cs="Times"/>
          <w:color w:val="000000"/>
          <w:sz w:val="22"/>
          <w:szCs w:val="22"/>
        </w:rPr>
        <w:t xml:space="preserve">The </w:t>
      </w:r>
      <w:r w:rsidRPr="001D14A6">
        <w:rPr>
          <w:rFonts w:cs="Times"/>
          <w:bCs/>
          <w:color w:val="000000"/>
          <w:sz w:val="22"/>
          <w:szCs w:val="22"/>
        </w:rPr>
        <w:t>NGT</w:t>
      </w:r>
      <w:r w:rsidR="001F1927" w:rsidRPr="001D14A6">
        <w:rPr>
          <w:rFonts w:cs="Times"/>
          <w:bCs/>
          <w:color w:val="000000"/>
          <w:sz w:val="22"/>
          <w:szCs w:val="22"/>
        </w:rPr>
        <w:t xml:space="preserve"> India</w:t>
      </w:r>
      <w:r w:rsidRPr="001D14A6">
        <w:rPr>
          <w:rFonts w:cs="Times"/>
          <w:bCs/>
          <w:color w:val="000000"/>
          <w:sz w:val="22"/>
          <w:szCs w:val="22"/>
        </w:rPr>
        <w:t xml:space="preserve"> </w:t>
      </w:r>
      <w:r w:rsidRPr="001D14A6">
        <w:rPr>
          <w:rFonts w:cs="Times"/>
          <w:color w:val="000000"/>
          <w:sz w:val="22"/>
          <w:szCs w:val="22"/>
        </w:rPr>
        <w:t>is a creation of a statute; its jurisdiction, powers an</w:t>
      </w:r>
      <w:r w:rsidR="001B123A" w:rsidRPr="001D14A6">
        <w:rPr>
          <w:rFonts w:cs="Times"/>
          <w:color w:val="000000"/>
          <w:sz w:val="22"/>
          <w:szCs w:val="22"/>
        </w:rPr>
        <w:t xml:space="preserve">d procedures are construed </w:t>
      </w:r>
      <w:r w:rsidR="00D90F76" w:rsidRPr="001D14A6">
        <w:rPr>
          <w:rFonts w:cs="Times"/>
          <w:color w:val="000000"/>
          <w:sz w:val="22"/>
          <w:szCs w:val="22"/>
        </w:rPr>
        <w:t xml:space="preserve">and applied </w:t>
      </w:r>
      <w:r w:rsidR="00165A5B" w:rsidRPr="001D14A6">
        <w:rPr>
          <w:rFonts w:cs="Times"/>
          <w:color w:val="000000"/>
          <w:sz w:val="22"/>
          <w:szCs w:val="22"/>
        </w:rPr>
        <w:t>according</w:t>
      </w:r>
      <w:r w:rsidRPr="001D14A6">
        <w:rPr>
          <w:rFonts w:cs="Times"/>
          <w:color w:val="000000"/>
          <w:sz w:val="22"/>
          <w:szCs w:val="22"/>
        </w:rPr>
        <w:t xml:space="preserve"> t</w:t>
      </w:r>
      <w:r w:rsidR="00D90F76" w:rsidRPr="001D14A6">
        <w:rPr>
          <w:rFonts w:cs="Times"/>
          <w:color w:val="000000"/>
          <w:sz w:val="22"/>
          <w:szCs w:val="22"/>
        </w:rPr>
        <w:t xml:space="preserve">o the language of the </w:t>
      </w:r>
      <w:r w:rsidRPr="001D14A6">
        <w:rPr>
          <w:rFonts w:cs="Times"/>
          <w:bCs/>
          <w:color w:val="000000"/>
          <w:sz w:val="22"/>
          <w:szCs w:val="22"/>
        </w:rPr>
        <w:t>N</w:t>
      </w:r>
      <w:r w:rsidR="003E2B20" w:rsidRPr="001D14A6">
        <w:rPr>
          <w:rFonts w:cs="Times"/>
          <w:bCs/>
          <w:color w:val="000000"/>
          <w:sz w:val="22"/>
          <w:szCs w:val="22"/>
        </w:rPr>
        <w:t xml:space="preserve">ational </w:t>
      </w:r>
      <w:r w:rsidRPr="001D14A6">
        <w:rPr>
          <w:rFonts w:cs="Times"/>
          <w:bCs/>
          <w:color w:val="000000"/>
          <w:sz w:val="22"/>
          <w:szCs w:val="22"/>
        </w:rPr>
        <w:t>G</w:t>
      </w:r>
      <w:r w:rsidR="003E2B20" w:rsidRPr="001D14A6">
        <w:rPr>
          <w:rFonts w:cs="Times"/>
          <w:bCs/>
          <w:color w:val="000000"/>
          <w:sz w:val="22"/>
          <w:szCs w:val="22"/>
        </w:rPr>
        <w:t xml:space="preserve">reen </w:t>
      </w:r>
      <w:r w:rsidRPr="001D14A6">
        <w:rPr>
          <w:rFonts w:cs="Times"/>
          <w:bCs/>
          <w:color w:val="000000"/>
          <w:sz w:val="22"/>
          <w:szCs w:val="22"/>
        </w:rPr>
        <w:t>T</w:t>
      </w:r>
      <w:r w:rsidR="003E2B20" w:rsidRPr="001D14A6">
        <w:rPr>
          <w:rFonts w:cs="Times"/>
          <w:bCs/>
          <w:color w:val="000000"/>
          <w:sz w:val="22"/>
          <w:szCs w:val="22"/>
        </w:rPr>
        <w:t>ribunal</w:t>
      </w:r>
      <w:r w:rsidRPr="001D14A6">
        <w:rPr>
          <w:rFonts w:cs="Times"/>
          <w:bCs/>
          <w:color w:val="000000"/>
          <w:sz w:val="22"/>
          <w:szCs w:val="22"/>
        </w:rPr>
        <w:t xml:space="preserve"> </w:t>
      </w:r>
      <w:r w:rsidR="002916B6" w:rsidRPr="001D14A6">
        <w:rPr>
          <w:rFonts w:cs="Times"/>
          <w:color w:val="000000"/>
          <w:sz w:val="22"/>
          <w:szCs w:val="22"/>
        </w:rPr>
        <w:t>Act 2010</w:t>
      </w:r>
      <w:r w:rsidR="007D7972" w:rsidRPr="001D14A6">
        <w:rPr>
          <w:rFonts w:cs="Times"/>
          <w:color w:val="000000"/>
          <w:sz w:val="22"/>
          <w:szCs w:val="22"/>
        </w:rPr>
        <w:t xml:space="preserve"> (NGT Act)</w:t>
      </w:r>
      <w:r w:rsidRPr="001D14A6">
        <w:rPr>
          <w:rFonts w:cs="Times"/>
          <w:color w:val="000000"/>
          <w:sz w:val="22"/>
          <w:szCs w:val="22"/>
        </w:rPr>
        <w:t xml:space="preserve">. The </w:t>
      </w:r>
      <w:r w:rsidRPr="001D14A6">
        <w:rPr>
          <w:rFonts w:cs="Times"/>
          <w:bCs/>
          <w:color w:val="000000"/>
          <w:sz w:val="22"/>
          <w:szCs w:val="22"/>
        </w:rPr>
        <w:t xml:space="preserve">NGT </w:t>
      </w:r>
      <w:r w:rsidRPr="001D14A6">
        <w:rPr>
          <w:rFonts w:cs="Times"/>
          <w:color w:val="000000"/>
          <w:sz w:val="22"/>
          <w:szCs w:val="22"/>
        </w:rPr>
        <w:t xml:space="preserve">is empowered to decide cases relating to environmental protection and the conservation of forests and other natural resources (including the enforcement of any legal right relating to the environment) and to give relief and compensation for damages to persons and property. </w:t>
      </w:r>
      <w:r w:rsidR="004A51A0" w:rsidRPr="001D14A6">
        <w:rPr>
          <w:rFonts w:cs="Times"/>
          <w:color w:val="000000"/>
          <w:sz w:val="22"/>
          <w:szCs w:val="22"/>
        </w:rPr>
        <w:t xml:space="preserve">The </w:t>
      </w:r>
      <w:r w:rsidR="004A51A0" w:rsidRPr="001D14A6">
        <w:rPr>
          <w:rFonts w:cs="Times"/>
          <w:bCs/>
          <w:color w:val="000000"/>
          <w:sz w:val="22"/>
          <w:szCs w:val="22"/>
        </w:rPr>
        <w:t xml:space="preserve">NGT </w:t>
      </w:r>
      <w:r w:rsidR="004A51A0" w:rsidRPr="001D14A6">
        <w:rPr>
          <w:rFonts w:cs="Times"/>
          <w:color w:val="000000"/>
          <w:sz w:val="22"/>
          <w:szCs w:val="22"/>
        </w:rPr>
        <w:t xml:space="preserve">has wide </w:t>
      </w:r>
      <w:r w:rsidR="008453CF" w:rsidRPr="001D14A6">
        <w:rPr>
          <w:rFonts w:cs="Times"/>
          <w:color w:val="000000"/>
          <w:sz w:val="22"/>
          <w:szCs w:val="22"/>
        </w:rPr>
        <w:t xml:space="preserve">original, appellate and special </w:t>
      </w:r>
      <w:r w:rsidR="004A51A0" w:rsidRPr="001D14A6">
        <w:rPr>
          <w:rFonts w:cs="Times"/>
          <w:color w:val="000000"/>
          <w:sz w:val="22"/>
          <w:szCs w:val="22"/>
        </w:rPr>
        <w:t>jurisdiction in relation to environmental matters.</w:t>
      </w:r>
      <w:r w:rsidR="006335F1" w:rsidRPr="001D14A6">
        <w:rPr>
          <w:rFonts w:cs="Times"/>
          <w:color w:val="000000"/>
          <w:sz w:val="22"/>
          <w:szCs w:val="22"/>
        </w:rPr>
        <w:t xml:space="preserve"> </w:t>
      </w:r>
      <w:r w:rsidR="005074AD" w:rsidRPr="001D14A6">
        <w:rPr>
          <w:rFonts w:cs="Times"/>
          <w:color w:val="000000"/>
          <w:sz w:val="22"/>
          <w:szCs w:val="22"/>
        </w:rPr>
        <w:t>The original jurisdiction</w:t>
      </w:r>
      <w:r w:rsidR="001C5B37" w:rsidRPr="001D14A6">
        <w:rPr>
          <w:rStyle w:val="FootnoteReference"/>
          <w:rFonts w:cs="Times"/>
          <w:color w:val="000000"/>
          <w:sz w:val="22"/>
          <w:szCs w:val="22"/>
        </w:rPr>
        <w:footnoteReference w:id="4"/>
      </w:r>
      <w:r w:rsidR="005074AD" w:rsidRPr="001D14A6">
        <w:rPr>
          <w:rFonts w:cs="Times"/>
          <w:color w:val="000000"/>
          <w:sz w:val="22"/>
          <w:szCs w:val="22"/>
        </w:rPr>
        <w:t xml:space="preserve"> is exercised in civil cases</w:t>
      </w:r>
      <w:r w:rsidR="005074AD" w:rsidRPr="001D14A6">
        <w:rPr>
          <w:rFonts w:cs="Times"/>
          <w:color w:val="000000"/>
          <w:position w:val="10"/>
          <w:sz w:val="22"/>
          <w:szCs w:val="22"/>
        </w:rPr>
        <w:t xml:space="preserve"> </w:t>
      </w:r>
      <w:r w:rsidR="005074AD" w:rsidRPr="001D14A6">
        <w:rPr>
          <w:rFonts w:cs="Times"/>
          <w:color w:val="000000"/>
          <w:sz w:val="22"/>
          <w:szCs w:val="22"/>
        </w:rPr>
        <w:t xml:space="preserve">in relation to a </w:t>
      </w:r>
      <w:r w:rsidR="00235750" w:rsidRPr="001D14A6">
        <w:rPr>
          <w:rFonts w:cs="Times"/>
          <w:color w:val="000000"/>
          <w:sz w:val="22"/>
          <w:szCs w:val="22"/>
        </w:rPr>
        <w:t>substantial question</w:t>
      </w:r>
      <w:r w:rsidR="007D1592" w:rsidRPr="001D14A6">
        <w:rPr>
          <w:rFonts w:cs="Times"/>
          <w:color w:val="000000"/>
          <w:sz w:val="22"/>
          <w:szCs w:val="22"/>
        </w:rPr>
        <w:t xml:space="preserve"> </w:t>
      </w:r>
      <w:r w:rsidR="007D7972" w:rsidRPr="001D14A6">
        <w:rPr>
          <w:rFonts w:cs="Times"/>
          <w:color w:val="000000"/>
          <w:sz w:val="22"/>
          <w:szCs w:val="22"/>
        </w:rPr>
        <w:t>relating to the environment</w:t>
      </w:r>
      <w:r w:rsidR="007D7972" w:rsidRPr="001D14A6">
        <w:rPr>
          <w:rStyle w:val="FootnoteReference"/>
          <w:rFonts w:cs="Times"/>
          <w:color w:val="000000"/>
          <w:sz w:val="22"/>
          <w:szCs w:val="22"/>
        </w:rPr>
        <w:t xml:space="preserve"> </w:t>
      </w:r>
      <w:r w:rsidR="00C6384E" w:rsidRPr="001D14A6">
        <w:rPr>
          <w:rStyle w:val="FootnoteReference"/>
          <w:rFonts w:cs="Times"/>
          <w:color w:val="000000"/>
          <w:sz w:val="22"/>
          <w:szCs w:val="22"/>
        </w:rPr>
        <w:footnoteReference w:id="5"/>
      </w:r>
      <w:r w:rsidR="00235750" w:rsidRPr="001D14A6">
        <w:rPr>
          <w:rFonts w:cs="Times"/>
          <w:color w:val="000000"/>
          <w:sz w:val="22"/>
          <w:szCs w:val="22"/>
        </w:rPr>
        <w:t>.</w:t>
      </w:r>
      <w:r w:rsidR="00005D26" w:rsidRPr="001D14A6">
        <w:rPr>
          <w:rFonts w:cs="Times"/>
          <w:color w:val="000000"/>
          <w:sz w:val="22"/>
          <w:szCs w:val="22"/>
        </w:rPr>
        <w:t xml:space="preserve"> </w:t>
      </w:r>
      <w:r w:rsidR="00235750" w:rsidRPr="001D14A6">
        <w:rPr>
          <w:rFonts w:cs="Times"/>
          <w:color w:val="000000"/>
          <w:sz w:val="22"/>
          <w:szCs w:val="22"/>
        </w:rPr>
        <w:t>This includes the enforcement of any legal right relating to the environment and such questions that arise out of the implementation of the enactments specified in Schedule I to the Act.</w:t>
      </w:r>
      <w:r w:rsidR="00C6384E" w:rsidRPr="001D14A6">
        <w:rPr>
          <w:rStyle w:val="FootnoteReference"/>
          <w:rFonts w:cs="Times"/>
          <w:color w:val="000000"/>
          <w:sz w:val="22"/>
          <w:szCs w:val="22"/>
        </w:rPr>
        <w:footnoteReference w:id="6"/>
      </w:r>
      <w:r w:rsidR="00235750" w:rsidRPr="001D14A6">
        <w:rPr>
          <w:rFonts w:cs="Times"/>
          <w:color w:val="000000"/>
          <w:sz w:val="22"/>
          <w:szCs w:val="22"/>
        </w:rPr>
        <w:t xml:space="preserve"> The subject matter of an original application should therefore be a civil case and relate to a substantial question concerning the environment. The appellate jurisdiction is controlled under section 16 of the NGT Act. The Tribunal is the appellate authority competent to decide questions of law and fact against orders and decisions passed by authorities under the enactments specified in Schedule I.</w:t>
      </w:r>
      <w:r w:rsidR="00235750" w:rsidRPr="001D14A6">
        <w:rPr>
          <w:rFonts w:cs="Times"/>
          <w:color w:val="000000"/>
          <w:position w:val="10"/>
          <w:sz w:val="22"/>
          <w:szCs w:val="22"/>
        </w:rPr>
        <w:t xml:space="preserve"> </w:t>
      </w:r>
      <w:r w:rsidR="00235750" w:rsidRPr="001D14A6">
        <w:rPr>
          <w:rFonts w:cs="Times"/>
          <w:color w:val="000000"/>
          <w:sz w:val="22"/>
          <w:szCs w:val="22"/>
        </w:rPr>
        <w:t xml:space="preserve">The power is of a wide and overriding nature and may be exercised </w:t>
      </w:r>
      <w:r w:rsidR="00235750" w:rsidRPr="001D14A6">
        <w:rPr>
          <w:rFonts w:cs="Times"/>
          <w:i/>
          <w:color w:val="000000"/>
          <w:sz w:val="22"/>
          <w:szCs w:val="22"/>
        </w:rPr>
        <w:t>ex debito justitiae</w:t>
      </w:r>
      <w:r w:rsidR="00235750" w:rsidRPr="001D14A6">
        <w:rPr>
          <w:rFonts w:cs="Times"/>
          <w:color w:val="000000"/>
          <w:sz w:val="22"/>
          <w:szCs w:val="22"/>
        </w:rPr>
        <w:t xml:space="preserve"> (that is, in the interests of justice).</w:t>
      </w:r>
      <w:r w:rsidR="00F13597" w:rsidRPr="001D14A6">
        <w:rPr>
          <w:rStyle w:val="FootnoteReference"/>
          <w:rFonts w:cs="Times"/>
          <w:color w:val="000000"/>
          <w:sz w:val="22"/>
          <w:szCs w:val="22"/>
        </w:rPr>
        <w:t xml:space="preserve"> </w:t>
      </w:r>
      <w:r w:rsidR="00F13597" w:rsidRPr="001D14A6">
        <w:rPr>
          <w:rFonts w:cs="Times"/>
          <w:color w:val="000000"/>
          <w:sz w:val="22"/>
          <w:szCs w:val="22"/>
        </w:rPr>
        <w:t xml:space="preserve"> </w:t>
      </w:r>
      <w:r w:rsidR="00235750" w:rsidRPr="001D14A6">
        <w:rPr>
          <w:rFonts w:cs="Times"/>
          <w:color w:val="000000"/>
          <w:sz w:val="22"/>
          <w:szCs w:val="22"/>
        </w:rPr>
        <w:t>An aggrieved person has the right to approach the Tribunal under its original or appellate jurisdiction, and it is important to note that the ‘aggrieved person’ in environmental matters has been given a liberal and flexible interpretation.</w:t>
      </w:r>
      <w:r w:rsidR="00235750" w:rsidRPr="001D14A6">
        <w:rPr>
          <w:rFonts w:cs="Times"/>
          <w:color w:val="000000"/>
          <w:position w:val="10"/>
          <w:sz w:val="22"/>
          <w:szCs w:val="22"/>
        </w:rPr>
        <w:t xml:space="preserve"> </w:t>
      </w:r>
      <w:r w:rsidR="00235750" w:rsidRPr="001D14A6">
        <w:rPr>
          <w:rFonts w:cs="Times"/>
          <w:color w:val="000000"/>
          <w:sz w:val="22"/>
          <w:szCs w:val="22"/>
        </w:rPr>
        <w:t xml:space="preserve">In environmental matters, the damage is not necessarily confined to the local area as the effects of environmental degradation might have far-reaching consequences going beyond the immediate locality. Therefore, an aggrieved person need not be a resident of the local area: any person – whether a resident of that </w:t>
      </w:r>
      <w:r w:rsidR="00F3303E" w:rsidRPr="001D14A6">
        <w:rPr>
          <w:rFonts w:cs="Times"/>
          <w:color w:val="000000"/>
          <w:sz w:val="22"/>
          <w:szCs w:val="22"/>
        </w:rPr>
        <w:t>area</w:t>
      </w:r>
      <w:r w:rsidR="00235750" w:rsidRPr="001D14A6">
        <w:rPr>
          <w:rFonts w:cs="Times"/>
          <w:color w:val="000000"/>
          <w:sz w:val="22"/>
          <w:szCs w:val="22"/>
        </w:rPr>
        <w:t xml:space="preserve"> or not and whether personally, directly or otherwise aggrieved – may approach the </w:t>
      </w:r>
      <w:r w:rsidR="00235750" w:rsidRPr="001D14A6">
        <w:rPr>
          <w:rFonts w:cs="Times"/>
          <w:color w:val="000000"/>
          <w:sz w:val="22"/>
          <w:szCs w:val="22"/>
        </w:rPr>
        <w:lastRenderedPageBreak/>
        <w:t xml:space="preserve">Tribunal. </w:t>
      </w:r>
      <w:r w:rsidR="00F13597" w:rsidRPr="001D14A6">
        <w:rPr>
          <w:rStyle w:val="FootnoteReference"/>
          <w:rFonts w:cs="Times"/>
          <w:color w:val="000000"/>
          <w:sz w:val="22"/>
          <w:szCs w:val="22"/>
        </w:rPr>
        <w:footnoteReference w:id="7"/>
      </w:r>
      <w:r w:rsidR="00F351B8" w:rsidRPr="001D14A6">
        <w:rPr>
          <w:rFonts w:cs="Times"/>
          <w:color w:val="000000"/>
          <w:sz w:val="22"/>
          <w:szCs w:val="22"/>
        </w:rPr>
        <w:t xml:space="preserve"> </w:t>
      </w:r>
      <w:r w:rsidR="00235750" w:rsidRPr="001D14A6">
        <w:rPr>
          <w:rFonts w:cs="Times"/>
          <w:color w:val="000000"/>
          <w:sz w:val="22"/>
          <w:szCs w:val="22"/>
        </w:rPr>
        <w:t>Section 15 of the NGT Ac</w:t>
      </w:r>
      <w:r w:rsidR="006D33D9" w:rsidRPr="001D14A6">
        <w:rPr>
          <w:rFonts w:cs="Times"/>
          <w:color w:val="000000"/>
          <w:sz w:val="22"/>
          <w:szCs w:val="22"/>
        </w:rPr>
        <w:t>t</w:t>
      </w:r>
      <w:r w:rsidR="00235750" w:rsidRPr="001D14A6">
        <w:rPr>
          <w:rFonts w:cs="Times"/>
          <w:color w:val="000000"/>
          <w:sz w:val="22"/>
          <w:szCs w:val="22"/>
        </w:rPr>
        <w:t xml:space="preserve"> provides the Tribunal with special jurisdiction to order relief and compensation to victims of pollution and other environmental damage arising under the enactments specified in Schedule I, for restitution of damaged property and for restitution of the environment in such areas as the Tribunal may think fit. Thus, the dimensions and areas in which the NGT may</w:t>
      </w:r>
      <w:r w:rsidR="006071C9" w:rsidRPr="001D14A6">
        <w:rPr>
          <w:rFonts w:cs="Times"/>
          <w:color w:val="000000"/>
          <w:sz w:val="22"/>
          <w:szCs w:val="22"/>
        </w:rPr>
        <w:t xml:space="preserve"> exercise jurisdiction are broadly based.</w:t>
      </w:r>
      <w:r w:rsidR="00235750" w:rsidRPr="001D14A6">
        <w:rPr>
          <w:rFonts w:cs="Times"/>
          <w:color w:val="000000"/>
          <w:sz w:val="22"/>
          <w:szCs w:val="22"/>
        </w:rPr>
        <w:t xml:space="preserve"> </w:t>
      </w:r>
    </w:p>
    <w:p w14:paraId="443249C7" w14:textId="7C1254A1" w:rsidR="007F50B9" w:rsidRPr="001D14A6" w:rsidRDefault="009C3506" w:rsidP="008E18D5">
      <w:pPr>
        <w:widowControl w:val="0"/>
        <w:autoSpaceDE w:val="0"/>
        <w:autoSpaceDN w:val="0"/>
        <w:adjustRightInd w:val="0"/>
        <w:spacing w:after="240" w:line="276" w:lineRule="auto"/>
        <w:rPr>
          <w:rFonts w:cs="Times"/>
          <w:b/>
          <w:color w:val="000000"/>
          <w:sz w:val="22"/>
          <w:szCs w:val="22"/>
        </w:rPr>
      </w:pPr>
      <w:r w:rsidRPr="001D14A6">
        <w:rPr>
          <w:rFonts w:cs="Times"/>
          <w:b/>
          <w:color w:val="000000"/>
          <w:sz w:val="22"/>
          <w:szCs w:val="22"/>
        </w:rPr>
        <w:t>The National Green Tribunal and Scientific Expertise</w:t>
      </w:r>
    </w:p>
    <w:p w14:paraId="4BD0BDA8" w14:textId="7AE56BA7" w:rsidR="00FC2002" w:rsidRPr="001D14A6" w:rsidRDefault="00FC2002" w:rsidP="008E18D5">
      <w:pPr>
        <w:widowControl w:val="0"/>
        <w:autoSpaceDE w:val="0"/>
        <w:autoSpaceDN w:val="0"/>
        <w:adjustRightInd w:val="0"/>
        <w:spacing w:after="240" w:line="276" w:lineRule="auto"/>
        <w:rPr>
          <w:rFonts w:cs="Times"/>
          <w:i/>
          <w:color w:val="000000"/>
          <w:sz w:val="22"/>
          <w:szCs w:val="22"/>
        </w:rPr>
      </w:pPr>
      <w:r w:rsidRPr="001D14A6">
        <w:rPr>
          <w:rFonts w:cs="Times"/>
          <w:i/>
          <w:color w:val="000000"/>
          <w:sz w:val="22"/>
          <w:szCs w:val="22"/>
        </w:rPr>
        <w:t>Epistemic community</w:t>
      </w:r>
    </w:p>
    <w:p w14:paraId="0DE56779" w14:textId="152F3CD6" w:rsidR="001D11F8" w:rsidRPr="001D14A6" w:rsidRDefault="008326DE" w:rsidP="008E18D5">
      <w:pPr>
        <w:widowControl w:val="0"/>
        <w:autoSpaceDE w:val="0"/>
        <w:autoSpaceDN w:val="0"/>
        <w:adjustRightInd w:val="0"/>
        <w:spacing w:after="240" w:line="276" w:lineRule="auto"/>
        <w:rPr>
          <w:rFonts w:cs="Times"/>
          <w:color w:val="000000"/>
          <w:sz w:val="22"/>
          <w:szCs w:val="22"/>
        </w:rPr>
      </w:pPr>
      <w:r w:rsidRPr="001D14A6">
        <w:rPr>
          <w:rFonts w:cs="Times"/>
          <w:color w:val="000000"/>
          <w:sz w:val="22"/>
          <w:szCs w:val="22"/>
        </w:rPr>
        <w:t xml:space="preserve">A </w:t>
      </w:r>
      <w:r w:rsidR="00C521DA" w:rsidRPr="001D14A6">
        <w:rPr>
          <w:rFonts w:cs="Times"/>
          <w:color w:val="000000"/>
          <w:sz w:val="22"/>
          <w:szCs w:val="22"/>
        </w:rPr>
        <w:t xml:space="preserve">unique feature of the </w:t>
      </w:r>
      <w:r w:rsidR="00C521DA" w:rsidRPr="001D14A6">
        <w:rPr>
          <w:rFonts w:cs="Times"/>
          <w:bCs/>
          <w:color w:val="000000"/>
          <w:sz w:val="22"/>
          <w:szCs w:val="22"/>
        </w:rPr>
        <w:t xml:space="preserve">NGT's </w:t>
      </w:r>
      <w:r w:rsidR="00C521DA" w:rsidRPr="001D14A6">
        <w:rPr>
          <w:rFonts w:cs="Times"/>
          <w:color w:val="000000"/>
          <w:sz w:val="22"/>
          <w:szCs w:val="22"/>
        </w:rPr>
        <w:t>adjudicative process involves judges working alongside scientific experts with environmental knowledge as joint decision-makers of equal standing.</w:t>
      </w:r>
      <w:r w:rsidR="00C521DA" w:rsidRPr="001D14A6">
        <w:rPr>
          <w:rFonts w:cs="Times"/>
          <w:color w:val="000000"/>
          <w:position w:val="10"/>
          <w:sz w:val="22"/>
          <w:szCs w:val="22"/>
        </w:rPr>
        <w:t xml:space="preserve"> </w:t>
      </w:r>
      <w:r w:rsidR="00C521DA" w:rsidRPr="001D14A6">
        <w:rPr>
          <w:rFonts w:cs="Times"/>
          <w:color w:val="000000"/>
          <w:sz w:val="22"/>
          <w:szCs w:val="22"/>
        </w:rPr>
        <w:t>The benefit of this multi-faceted, multi-skilled body produces a coherent and effective institutional mechanism to apply complex laws and principles in a unif</w:t>
      </w:r>
      <w:r w:rsidR="007761EB" w:rsidRPr="001D14A6">
        <w:rPr>
          <w:rFonts w:cs="Times"/>
          <w:color w:val="000000"/>
          <w:sz w:val="22"/>
          <w:szCs w:val="22"/>
        </w:rPr>
        <w:t>orm and consistent manner while</w:t>
      </w:r>
      <w:r w:rsidR="00C521DA" w:rsidRPr="001D14A6">
        <w:rPr>
          <w:rFonts w:cs="Times"/>
          <w:color w:val="000000"/>
          <w:sz w:val="22"/>
          <w:szCs w:val="22"/>
        </w:rPr>
        <w:t xml:space="preserve"> simultaneously reshaping the approach to solve the environmental problem at its source rather than being limited to pre-determined remedies.</w:t>
      </w:r>
      <w:r w:rsidR="00741EC8" w:rsidRPr="001D14A6">
        <w:rPr>
          <w:rStyle w:val="FootnoteReference"/>
          <w:rFonts w:cs="Times"/>
          <w:color w:val="000000"/>
          <w:sz w:val="22"/>
          <w:szCs w:val="22"/>
        </w:rPr>
        <w:footnoteReference w:id="8"/>
      </w:r>
      <w:r w:rsidR="00C521DA" w:rsidRPr="001D14A6">
        <w:rPr>
          <w:rFonts w:cs="Times"/>
          <w:color w:val="000000"/>
          <w:sz w:val="22"/>
          <w:szCs w:val="22"/>
        </w:rPr>
        <w:t xml:space="preserve"> The combination of legal, scientific and technical expertise has a dynamic impact on the content and development of environmental policies and law. </w:t>
      </w:r>
    </w:p>
    <w:p w14:paraId="41F39081" w14:textId="086EB7C7" w:rsidR="00FF023E" w:rsidRPr="001D14A6" w:rsidRDefault="00FF023E" w:rsidP="008E18D5">
      <w:pPr>
        <w:widowControl w:val="0"/>
        <w:autoSpaceDE w:val="0"/>
        <w:autoSpaceDN w:val="0"/>
        <w:adjustRightInd w:val="0"/>
        <w:spacing w:after="240" w:line="276" w:lineRule="auto"/>
        <w:rPr>
          <w:rFonts w:cs="Times"/>
          <w:color w:val="000000"/>
          <w:sz w:val="22"/>
          <w:szCs w:val="22"/>
        </w:rPr>
      </w:pPr>
      <w:r w:rsidRPr="001D14A6">
        <w:rPr>
          <w:rFonts w:cs="Times"/>
          <w:color w:val="000000"/>
          <w:sz w:val="22"/>
          <w:szCs w:val="22"/>
        </w:rPr>
        <w:t>Experts are</w:t>
      </w:r>
      <w:r w:rsidR="00EA5FFE" w:rsidRPr="001D14A6">
        <w:rPr>
          <w:rFonts w:cs="Times"/>
          <w:color w:val="000000"/>
          <w:sz w:val="22"/>
          <w:szCs w:val="22"/>
        </w:rPr>
        <w:t xml:space="preserve"> </w:t>
      </w:r>
      <w:r w:rsidRPr="001D14A6">
        <w:rPr>
          <w:rFonts w:cs="Times"/>
          <w:color w:val="000000"/>
          <w:sz w:val="22"/>
          <w:szCs w:val="22"/>
        </w:rPr>
        <w:t xml:space="preserve">‘central’, not ‘marginal’, to the NGT’s normative structure. For the current purpose, the terms ‘expert’ and ‘expertise’ do not include judicial members, but refer to </w:t>
      </w:r>
      <w:r w:rsidR="00FB511F" w:rsidRPr="001D14A6">
        <w:rPr>
          <w:rFonts w:cs="Times"/>
          <w:color w:val="000000"/>
          <w:sz w:val="22"/>
          <w:szCs w:val="22"/>
        </w:rPr>
        <w:t xml:space="preserve">the </w:t>
      </w:r>
      <w:r w:rsidRPr="001D14A6">
        <w:rPr>
          <w:rFonts w:cs="Times"/>
          <w:color w:val="000000"/>
          <w:sz w:val="22"/>
          <w:szCs w:val="22"/>
        </w:rPr>
        <w:t>technical members</w:t>
      </w:r>
      <w:r w:rsidR="00EA5FFE" w:rsidRPr="001D14A6">
        <w:rPr>
          <w:rFonts w:cs="Times"/>
          <w:color w:val="000000"/>
          <w:sz w:val="22"/>
          <w:szCs w:val="22"/>
        </w:rPr>
        <w:t xml:space="preserve"> exercising specialised scientifi</w:t>
      </w:r>
      <w:r w:rsidRPr="001D14A6">
        <w:rPr>
          <w:rFonts w:cs="Times"/>
          <w:color w:val="000000"/>
          <w:sz w:val="22"/>
          <w:szCs w:val="22"/>
        </w:rPr>
        <w:t>c knowledge, including environmental sciences, environmental studies, environmental engineering, technology, ecology, forestry, plant sciences, soil sciences, zoology and related</w:t>
      </w:r>
      <w:r w:rsidR="00EA5FFE" w:rsidRPr="001D14A6">
        <w:rPr>
          <w:rFonts w:cs="Times"/>
          <w:color w:val="000000"/>
          <w:sz w:val="22"/>
          <w:szCs w:val="22"/>
        </w:rPr>
        <w:t xml:space="preserve"> </w:t>
      </w:r>
      <w:r w:rsidRPr="001D14A6">
        <w:rPr>
          <w:rFonts w:cs="Times"/>
          <w:color w:val="000000"/>
          <w:sz w:val="22"/>
          <w:szCs w:val="22"/>
        </w:rPr>
        <w:t xml:space="preserve">categories. Experienced scientists, practising ecologists and natural resource </w:t>
      </w:r>
      <w:r w:rsidR="00D3064F" w:rsidRPr="001D14A6">
        <w:rPr>
          <w:rFonts w:cs="Times"/>
          <w:color w:val="000000"/>
          <w:sz w:val="22"/>
          <w:szCs w:val="22"/>
        </w:rPr>
        <w:t>managers are considered experts.</w:t>
      </w:r>
      <w:r w:rsidR="00D3064F" w:rsidRPr="001D14A6">
        <w:rPr>
          <w:rStyle w:val="FootnoteReference"/>
          <w:rFonts w:cs="Times"/>
          <w:color w:val="000000"/>
          <w:sz w:val="22"/>
          <w:szCs w:val="22"/>
        </w:rPr>
        <w:footnoteReference w:id="9"/>
      </w:r>
      <w:r w:rsidR="00D3064F" w:rsidRPr="001D14A6">
        <w:rPr>
          <w:rFonts w:cs="Times"/>
          <w:color w:val="000000"/>
          <w:sz w:val="22"/>
          <w:szCs w:val="22"/>
        </w:rPr>
        <w:t xml:space="preserve"> </w:t>
      </w:r>
      <w:r w:rsidRPr="001D14A6">
        <w:rPr>
          <w:rFonts w:cs="Times"/>
          <w:color w:val="000000"/>
          <w:sz w:val="22"/>
          <w:szCs w:val="22"/>
        </w:rPr>
        <w:t>Thus, scientific expertise and its input into decision-making are vital to the character, decisions and</w:t>
      </w:r>
      <w:r w:rsidRPr="001D14A6">
        <w:rPr>
          <w:rFonts w:cs="Times"/>
          <w:color w:val="3B3B3B"/>
          <w:sz w:val="22"/>
          <w:szCs w:val="22"/>
        </w:rPr>
        <w:t xml:space="preserve"> </w:t>
      </w:r>
      <w:r w:rsidRPr="001D14A6">
        <w:rPr>
          <w:rFonts w:cs="Times"/>
          <w:color w:val="000000"/>
          <w:sz w:val="22"/>
          <w:szCs w:val="22"/>
        </w:rPr>
        <w:t>working practices of the NGT.</w:t>
      </w:r>
      <w:r w:rsidRPr="001D14A6">
        <w:rPr>
          <w:rFonts w:eastAsia="MS Mincho" w:cs="MS Mincho"/>
          <w:color w:val="000000"/>
          <w:sz w:val="22"/>
          <w:szCs w:val="22"/>
        </w:rPr>
        <w:t> </w:t>
      </w:r>
    </w:p>
    <w:p w14:paraId="0314CD8A" w14:textId="3C74E837" w:rsidR="00162C82" w:rsidRPr="001D14A6" w:rsidRDefault="003112AB" w:rsidP="008E18D5">
      <w:pPr>
        <w:widowControl w:val="0"/>
        <w:autoSpaceDE w:val="0"/>
        <w:autoSpaceDN w:val="0"/>
        <w:adjustRightInd w:val="0"/>
        <w:spacing w:after="240" w:line="276" w:lineRule="auto"/>
        <w:rPr>
          <w:rFonts w:cs="Times"/>
          <w:color w:val="000000"/>
          <w:sz w:val="22"/>
          <w:szCs w:val="22"/>
        </w:rPr>
      </w:pPr>
      <w:r w:rsidRPr="001D14A6">
        <w:rPr>
          <w:rFonts w:cs="Times"/>
          <w:color w:val="000000"/>
          <w:sz w:val="22"/>
          <w:szCs w:val="22"/>
        </w:rPr>
        <w:t xml:space="preserve">A scientific consensus that applies regulations and promotes scientific input focusing upon environmental sustainability and human welfare creates the ‘epistemic community’. The ‘community’ </w:t>
      </w:r>
      <w:r w:rsidR="00665F97" w:rsidRPr="001D14A6">
        <w:rPr>
          <w:rFonts w:cs="Times"/>
          <w:color w:val="000000"/>
          <w:sz w:val="22"/>
          <w:szCs w:val="22"/>
        </w:rPr>
        <w:t>is comprised of neutral scientifi</w:t>
      </w:r>
      <w:r w:rsidRPr="001D14A6">
        <w:rPr>
          <w:rFonts w:cs="Times"/>
          <w:color w:val="000000"/>
          <w:sz w:val="22"/>
          <w:szCs w:val="22"/>
        </w:rPr>
        <w:t xml:space="preserve">c experts as active contributors within a decision-making legal forum: the NGT. </w:t>
      </w:r>
      <w:r w:rsidR="00665F97" w:rsidRPr="001D14A6">
        <w:rPr>
          <w:rFonts w:cs="Times"/>
          <w:color w:val="000000"/>
          <w:sz w:val="22"/>
          <w:szCs w:val="22"/>
        </w:rPr>
        <w:t>The engagement of the NGT’s scientific experts in the decision-making process is akin to Peter Haas</w:t>
      </w:r>
      <w:r w:rsidR="00C62017" w:rsidRPr="001D14A6">
        <w:rPr>
          <w:rStyle w:val="FootnoteReference"/>
          <w:rFonts w:cs="Times"/>
          <w:color w:val="000000"/>
          <w:sz w:val="22"/>
          <w:szCs w:val="22"/>
        </w:rPr>
        <w:footnoteReference w:id="10"/>
      </w:r>
      <w:r w:rsidR="00665F97" w:rsidRPr="001D14A6">
        <w:rPr>
          <w:rFonts w:cs="Times"/>
          <w:color w:val="000000"/>
          <w:sz w:val="22"/>
          <w:szCs w:val="22"/>
        </w:rPr>
        <w:t xml:space="preserve"> theoretical concept of ‘epistemic communities’ operating within an environmental regime. </w:t>
      </w:r>
      <w:r w:rsidR="00162C82" w:rsidRPr="001D14A6">
        <w:rPr>
          <w:rFonts w:cs="Times"/>
          <w:color w:val="000000"/>
          <w:sz w:val="22"/>
          <w:szCs w:val="22"/>
        </w:rPr>
        <w:t xml:space="preserve">Peter </w:t>
      </w:r>
      <w:r w:rsidR="00162C82" w:rsidRPr="001D14A6">
        <w:rPr>
          <w:rFonts w:cs="Times"/>
          <w:color w:val="000000"/>
          <w:sz w:val="22"/>
          <w:szCs w:val="22"/>
        </w:rPr>
        <w:lastRenderedPageBreak/>
        <w:t xml:space="preserve">Haas describes distinctive features of ‘epistemic communities’ as: </w:t>
      </w:r>
    </w:p>
    <w:p w14:paraId="1D49EDD1" w14:textId="25673784" w:rsidR="00162C82" w:rsidRPr="001D14A6" w:rsidRDefault="00451AC8" w:rsidP="001D14A6">
      <w:pPr>
        <w:widowControl w:val="0"/>
        <w:autoSpaceDE w:val="0"/>
        <w:autoSpaceDN w:val="0"/>
        <w:adjustRightInd w:val="0"/>
        <w:spacing w:after="240" w:line="276" w:lineRule="auto"/>
        <w:ind w:left="720"/>
        <w:rPr>
          <w:rFonts w:cs="Times"/>
          <w:color w:val="000000"/>
          <w:sz w:val="22"/>
          <w:szCs w:val="22"/>
        </w:rPr>
      </w:pPr>
      <w:r w:rsidRPr="001D14A6">
        <w:rPr>
          <w:rFonts w:cs="Times"/>
          <w:color w:val="000000"/>
          <w:sz w:val="22"/>
          <w:szCs w:val="22"/>
        </w:rPr>
        <w:t>[n]</w:t>
      </w:r>
      <w:r w:rsidR="00162C82" w:rsidRPr="001D14A6">
        <w:rPr>
          <w:rFonts w:cs="Times"/>
          <w:color w:val="000000"/>
          <w:sz w:val="22"/>
          <w:szCs w:val="22"/>
        </w:rPr>
        <w:t>etworks . . . often transnational – of knowledge-based experts with an</w:t>
      </w:r>
      <w:r w:rsidR="00162C82" w:rsidRPr="001D14A6">
        <w:rPr>
          <w:rFonts w:cs="Times"/>
          <w:color w:val="3B3B3B"/>
          <w:sz w:val="22"/>
          <w:szCs w:val="22"/>
        </w:rPr>
        <w:t xml:space="preserve"> </w:t>
      </w:r>
      <w:r w:rsidR="00162C82" w:rsidRPr="001D14A6">
        <w:rPr>
          <w:rFonts w:cs="Times"/>
          <w:color w:val="000000"/>
          <w:sz w:val="22"/>
          <w:szCs w:val="22"/>
        </w:rPr>
        <w:t>authoritative claim to policy relevant knowledge within their domain of expertise. Their members share knowledge about the causation of . . . phenomena ... and a common set of normative belie</w:t>
      </w:r>
      <w:r w:rsidR="00974FBF" w:rsidRPr="001D14A6">
        <w:rPr>
          <w:rFonts w:cs="Times"/>
          <w:color w:val="000000"/>
          <w:sz w:val="22"/>
          <w:szCs w:val="22"/>
        </w:rPr>
        <w:t>fs about what actions will benefit</w:t>
      </w:r>
      <w:r w:rsidR="00162C82" w:rsidRPr="001D14A6">
        <w:rPr>
          <w:rFonts w:cs="Times"/>
          <w:color w:val="000000"/>
          <w:sz w:val="22"/>
          <w:szCs w:val="22"/>
        </w:rPr>
        <w:t xml:space="preserve"> human welfare in such a domain. Members are experts with professional training who enjoy social authority based on their repu</w:t>
      </w:r>
      <w:r w:rsidR="00F47FF3" w:rsidRPr="001D14A6">
        <w:rPr>
          <w:rFonts w:cs="Times"/>
          <w:color w:val="000000"/>
          <w:sz w:val="22"/>
          <w:szCs w:val="22"/>
        </w:rPr>
        <w:t>tation for impartial expertise.</w:t>
      </w:r>
      <w:r w:rsidR="00F47FF3" w:rsidRPr="001D14A6">
        <w:rPr>
          <w:rStyle w:val="FootnoteReference"/>
          <w:rFonts w:cs="Times"/>
          <w:color w:val="000000"/>
          <w:sz w:val="22"/>
          <w:szCs w:val="22"/>
        </w:rPr>
        <w:footnoteReference w:id="11"/>
      </w:r>
    </w:p>
    <w:p w14:paraId="2046FA20" w14:textId="691F2057" w:rsidR="00590FF0" w:rsidRPr="001D14A6" w:rsidRDefault="003112AB" w:rsidP="008E18D5">
      <w:pPr>
        <w:widowControl w:val="0"/>
        <w:autoSpaceDE w:val="0"/>
        <w:autoSpaceDN w:val="0"/>
        <w:adjustRightInd w:val="0"/>
        <w:spacing w:after="240" w:line="276" w:lineRule="auto"/>
        <w:rPr>
          <w:rFonts w:cs="Times"/>
          <w:color w:val="000000"/>
          <w:sz w:val="22"/>
          <w:szCs w:val="22"/>
        </w:rPr>
      </w:pPr>
      <w:r w:rsidRPr="001D14A6">
        <w:rPr>
          <w:rFonts w:cs="Times"/>
          <w:color w:val="000000"/>
          <w:sz w:val="22"/>
          <w:szCs w:val="22"/>
        </w:rPr>
        <w:t>The ‘epistemic qualities’ of</w:t>
      </w:r>
      <w:r w:rsidR="00665F97" w:rsidRPr="001D14A6">
        <w:rPr>
          <w:rFonts w:cs="Times"/>
          <w:color w:val="000000"/>
          <w:sz w:val="22"/>
          <w:szCs w:val="22"/>
        </w:rPr>
        <w:t xml:space="preserve"> the </w:t>
      </w:r>
      <w:r w:rsidR="00451AC8" w:rsidRPr="001D14A6">
        <w:rPr>
          <w:rFonts w:cs="Times"/>
          <w:color w:val="000000"/>
          <w:sz w:val="22"/>
          <w:szCs w:val="22"/>
        </w:rPr>
        <w:t xml:space="preserve">NGT </w:t>
      </w:r>
      <w:r w:rsidR="00665F97" w:rsidRPr="001D14A6">
        <w:rPr>
          <w:rFonts w:cs="Times"/>
          <w:color w:val="000000"/>
          <w:sz w:val="22"/>
          <w:szCs w:val="22"/>
        </w:rPr>
        <w:t>experts</w:t>
      </w:r>
      <w:r w:rsidR="00451AC8" w:rsidRPr="001D14A6">
        <w:rPr>
          <w:rFonts w:cs="Times"/>
          <w:color w:val="000000"/>
          <w:sz w:val="22"/>
          <w:szCs w:val="22"/>
        </w:rPr>
        <w:t>,</w:t>
      </w:r>
      <w:r w:rsidR="00665F97" w:rsidRPr="001D14A6">
        <w:rPr>
          <w:rFonts w:cs="Times"/>
          <w:color w:val="000000"/>
          <w:sz w:val="22"/>
          <w:szCs w:val="22"/>
        </w:rPr>
        <w:t xml:space="preserve"> as competent indi</w:t>
      </w:r>
      <w:r w:rsidRPr="001D14A6">
        <w:rPr>
          <w:rFonts w:cs="Times"/>
          <w:color w:val="000000"/>
          <w:sz w:val="22"/>
          <w:szCs w:val="22"/>
        </w:rPr>
        <w:t>viduals recognised as national and international experts in different environmental areas</w:t>
      </w:r>
      <w:r w:rsidR="00451AC8" w:rsidRPr="001D14A6">
        <w:rPr>
          <w:rFonts w:cs="Times"/>
          <w:color w:val="000000"/>
          <w:sz w:val="22"/>
          <w:szCs w:val="22"/>
        </w:rPr>
        <w:t>,</w:t>
      </w:r>
      <w:r w:rsidRPr="001D14A6">
        <w:rPr>
          <w:rFonts w:cs="Times"/>
          <w:color w:val="000000"/>
          <w:sz w:val="22"/>
          <w:szCs w:val="22"/>
        </w:rPr>
        <w:t xml:space="preserve"> promotes independence from any party line, organisational bias or corporate association. The NGT benches</w:t>
      </w:r>
      <w:r w:rsidR="00665F97" w:rsidRPr="001D14A6">
        <w:rPr>
          <w:rFonts w:cs="Times"/>
          <w:color w:val="000000"/>
          <w:sz w:val="22"/>
          <w:szCs w:val="22"/>
        </w:rPr>
        <w:t xml:space="preserve"> include scientists with exper</w:t>
      </w:r>
      <w:r w:rsidRPr="001D14A6">
        <w:rPr>
          <w:rFonts w:cs="Times"/>
          <w:color w:val="000000"/>
          <w:sz w:val="22"/>
          <w:szCs w:val="22"/>
        </w:rPr>
        <w:t xml:space="preserve">tise in environmental sciences, environmental </w:t>
      </w:r>
      <w:r w:rsidR="00665F97" w:rsidRPr="001D14A6">
        <w:rPr>
          <w:rFonts w:cs="Times"/>
          <w:color w:val="000000"/>
          <w:sz w:val="22"/>
          <w:szCs w:val="22"/>
        </w:rPr>
        <w:t>engineering, environmental gov</w:t>
      </w:r>
      <w:r w:rsidRPr="001D14A6">
        <w:rPr>
          <w:rFonts w:cs="Times"/>
          <w:color w:val="000000"/>
          <w:sz w:val="22"/>
          <w:szCs w:val="22"/>
        </w:rPr>
        <w:t>ernance, environmental safeguards, industrial and urban environmental management, urban environmental pollution, environmental law and policy, and forestry. The status of NGT experts as ‘nation</w:t>
      </w:r>
      <w:r w:rsidR="00665F97" w:rsidRPr="001D14A6">
        <w:rPr>
          <w:rFonts w:cs="Times"/>
          <w:color w:val="000000"/>
          <w:sz w:val="22"/>
          <w:szCs w:val="22"/>
        </w:rPr>
        <w:t>ally and internationally recog</w:t>
      </w:r>
      <w:r w:rsidRPr="001D14A6">
        <w:rPr>
          <w:rFonts w:cs="Times"/>
          <w:color w:val="000000"/>
          <w:sz w:val="22"/>
          <w:szCs w:val="22"/>
        </w:rPr>
        <w:t>nised specialists’ can be judged by external indicators, including previous appointments to high-level committees, representing India in environmental issues, drafting and negotiating multilateral environmental agreements, peer-reviewed publications and recognition through professional awards</w:t>
      </w:r>
      <w:r w:rsidR="00590FF0" w:rsidRPr="001D14A6">
        <w:rPr>
          <w:rFonts w:cs="Times"/>
          <w:color w:val="000000"/>
          <w:sz w:val="22"/>
          <w:szCs w:val="22"/>
        </w:rPr>
        <w:t>.</w:t>
      </w:r>
      <w:r w:rsidR="009E10F5" w:rsidRPr="001D14A6">
        <w:rPr>
          <w:rStyle w:val="FootnoteReference"/>
          <w:rFonts w:cs="Times"/>
          <w:color w:val="000000"/>
          <w:sz w:val="22"/>
          <w:szCs w:val="22"/>
        </w:rPr>
        <w:footnoteReference w:id="12"/>
      </w:r>
      <w:r w:rsidR="00590FF0" w:rsidRPr="001D14A6">
        <w:rPr>
          <w:rFonts w:cs="Times"/>
          <w:color w:val="000000"/>
          <w:sz w:val="22"/>
          <w:szCs w:val="22"/>
        </w:rPr>
        <w:t xml:space="preserve"> </w:t>
      </w:r>
      <w:r w:rsidR="00451AC8" w:rsidRPr="001D14A6">
        <w:rPr>
          <w:rFonts w:cs="Times"/>
          <w:color w:val="000000"/>
          <w:sz w:val="22"/>
          <w:szCs w:val="22"/>
        </w:rPr>
        <w:t>The NGT constitutes an interdisciplinary decision-making body with the e</w:t>
      </w:r>
      <w:r w:rsidR="00590FF0" w:rsidRPr="001D14A6">
        <w:rPr>
          <w:rFonts w:cs="Times"/>
          <w:color w:val="000000"/>
          <w:sz w:val="22"/>
          <w:szCs w:val="22"/>
        </w:rPr>
        <w:t>xpert members</w:t>
      </w:r>
      <w:r w:rsidR="00451AC8" w:rsidRPr="001D14A6">
        <w:rPr>
          <w:rFonts w:cs="Times"/>
          <w:color w:val="000000"/>
          <w:sz w:val="22"/>
          <w:szCs w:val="22"/>
        </w:rPr>
        <w:t xml:space="preserve"> </w:t>
      </w:r>
      <w:r w:rsidR="00590FF0" w:rsidRPr="001D14A6">
        <w:rPr>
          <w:rFonts w:cs="Times"/>
          <w:color w:val="000000"/>
          <w:sz w:val="22"/>
          <w:szCs w:val="22"/>
        </w:rPr>
        <w:t>working alongside legally qualified judges</w:t>
      </w:r>
      <w:r w:rsidR="00451AC8" w:rsidRPr="001D14A6">
        <w:rPr>
          <w:rFonts w:cs="Times"/>
          <w:color w:val="000000"/>
          <w:sz w:val="22"/>
          <w:szCs w:val="22"/>
        </w:rPr>
        <w:t>.</w:t>
      </w:r>
      <w:r w:rsidR="00590FF0" w:rsidRPr="001D14A6">
        <w:rPr>
          <w:rFonts w:cs="Times"/>
          <w:color w:val="000000"/>
          <w:sz w:val="22"/>
          <w:szCs w:val="22"/>
        </w:rPr>
        <w:t xml:space="preserve"> </w:t>
      </w:r>
    </w:p>
    <w:p w14:paraId="4E5FCD98" w14:textId="78692277" w:rsidR="00FC2002" w:rsidRPr="001D14A6" w:rsidRDefault="00FC2002" w:rsidP="008E18D5">
      <w:pPr>
        <w:widowControl w:val="0"/>
        <w:autoSpaceDE w:val="0"/>
        <w:autoSpaceDN w:val="0"/>
        <w:adjustRightInd w:val="0"/>
        <w:spacing w:after="240" w:line="276" w:lineRule="auto"/>
        <w:rPr>
          <w:rFonts w:cs="Times"/>
          <w:i/>
          <w:color w:val="000000"/>
          <w:sz w:val="22"/>
          <w:szCs w:val="22"/>
        </w:rPr>
      </w:pPr>
      <w:r w:rsidRPr="001D14A6">
        <w:rPr>
          <w:rFonts w:cs="Times"/>
          <w:i/>
          <w:color w:val="000000"/>
          <w:sz w:val="22"/>
          <w:szCs w:val="22"/>
        </w:rPr>
        <w:t>Use of Scientific Expertise</w:t>
      </w:r>
    </w:p>
    <w:p w14:paraId="3CE2A0D1" w14:textId="3415C6BC" w:rsidR="00745186" w:rsidRPr="001D14A6" w:rsidRDefault="00E3677D" w:rsidP="008E18D5">
      <w:pPr>
        <w:widowControl w:val="0"/>
        <w:autoSpaceDE w:val="0"/>
        <w:autoSpaceDN w:val="0"/>
        <w:adjustRightInd w:val="0"/>
        <w:spacing w:after="240" w:line="276" w:lineRule="auto"/>
        <w:rPr>
          <w:rFonts w:cs="Times"/>
          <w:color w:val="000000"/>
          <w:sz w:val="22"/>
          <w:szCs w:val="22"/>
        </w:rPr>
      </w:pPr>
      <w:r w:rsidRPr="001D14A6">
        <w:rPr>
          <w:rFonts w:cs="Times"/>
          <w:color w:val="000000"/>
          <w:sz w:val="22"/>
          <w:szCs w:val="22"/>
        </w:rPr>
        <w:t xml:space="preserve">The NGT experts apply </w:t>
      </w:r>
      <w:r w:rsidR="00C92ED6" w:rsidRPr="001D14A6">
        <w:rPr>
          <w:rFonts w:cs="Times"/>
          <w:color w:val="000000"/>
          <w:sz w:val="22"/>
          <w:szCs w:val="22"/>
        </w:rPr>
        <w:t>a scientific problem-solving approach to th</w:t>
      </w:r>
      <w:r w:rsidRPr="001D14A6">
        <w:rPr>
          <w:rFonts w:cs="Times"/>
          <w:color w:val="000000"/>
          <w:sz w:val="22"/>
          <w:szCs w:val="22"/>
        </w:rPr>
        <w:t xml:space="preserve">e decision-making process that </w:t>
      </w:r>
      <w:r w:rsidR="00C92ED6" w:rsidRPr="001D14A6">
        <w:rPr>
          <w:rFonts w:cs="Times"/>
          <w:color w:val="000000"/>
          <w:sz w:val="22"/>
          <w:szCs w:val="22"/>
        </w:rPr>
        <w:t>subsequently filters through to improve environmental management.</w:t>
      </w:r>
      <w:r w:rsidR="003079D3" w:rsidRPr="001D14A6">
        <w:rPr>
          <w:rStyle w:val="FootnoteReference"/>
          <w:rFonts w:cs="Times"/>
          <w:color w:val="000000"/>
          <w:sz w:val="22"/>
          <w:szCs w:val="22"/>
        </w:rPr>
        <w:footnoteReference w:id="13"/>
      </w:r>
      <w:r w:rsidR="00C92ED6" w:rsidRPr="001D14A6">
        <w:rPr>
          <w:rFonts w:cs="Times"/>
          <w:color w:val="000000"/>
          <w:sz w:val="22"/>
          <w:szCs w:val="22"/>
        </w:rPr>
        <w:t xml:space="preserve"> </w:t>
      </w:r>
      <w:r w:rsidR="003A022F" w:rsidRPr="001D14A6">
        <w:rPr>
          <w:rFonts w:cs="Times"/>
          <w:color w:val="000000"/>
          <w:sz w:val="22"/>
          <w:szCs w:val="22"/>
        </w:rPr>
        <w:t>The us</w:t>
      </w:r>
      <w:r w:rsidR="00451AC8" w:rsidRPr="001D14A6">
        <w:rPr>
          <w:rFonts w:cs="Times"/>
          <w:color w:val="000000"/>
          <w:sz w:val="22"/>
          <w:szCs w:val="22"/>
        </w:rPr>
        <w:t>e</w:t>
      </w:r>
      <w:r w:rsidR="003A022F" w:rsidRPr="001D14A6">
        <w:rPr>
          <w:rFonts w:cs="Times"/>
          <w:color w:val="000000"/>
          <w:sz w:val="22"/>
          <w:szCs w:val="22"/>
        </w:rPr>
        <w:t xml:space="preserve"> of scientific expertise manifests in three ways-</w:t>
      </w:r>
    </w:p>
    <w:p w14:paraId="2E4BF434" w14:textId="4275F496" w:rsidR="002A325F" w:rsidRPr="001D14A6" w:rsidRDefault="00745186" w:rsidP="008E18D5">
      <w:pPr>
        <w:widowControl w:val="0"/>
        <w:autoSpaceDE w:val="0"/>
        <w:autoSpaceDN w:val="0"/>
        <w:adjustRightInd w:val="0"/>
        <w:spacing w:after="240" w:line="276" w:lineRule="auto"/>
        <w:rPr>
          <w:rFonts w:cs="Times"/>
          <w:color w:val="000000"/>
          <w:sz w:val="22"/>
          <w:szCs w:val="22"/>
        </w:rPr>
      </w:pPr>
      <w:r w:rsidRPr="001D14A6">
        <w:rPr>
          <w:rFonts w:cs="Times"/>
          <w:i/>
          <w:color w:val="000000"/>
          <w:sz w:val="22"/>
          <w:szCs w:val="22"/>
          <w:u w:val="single"/>
        </w:rPr>
        <w:t xml:space="preserve">Compliance </w:t>
      </w:r>
      <w:r w:rsidR="001B776B" w:rsidRPr="001D14A6">
        <w:rPr>
          <w:rFonts w:cs="Times"/>
          <w:i/>
          <w:color w:val="000000"/>
          <w:sz w:val="22"/>
          <w:szCs w:val="22"/>
          <w:u w:val="single"/>
        </w:rPr>
        <w:t xml:space="preserve">assessment </w:t>
      </w:r>
      <w:r w:rsidR="00386656" w:rsidRPr="001D14A6">
        <w:rPr>
          <w:rFonts w:cs="Times"/>
          <w:i/>
          <w:color w:val="000000"/>
          <w:sz w:val="22"/>
          <w:szCs w:val="22"/>
          <w:u w:val="single"/>
        </w:rPr>
        <w:t>within</w:t>
      </w:r>
      <w:r w:rsidR="006A2C82" w:rsidRPr="001D14A6">
        <w:rPr>
          <w:rFonts w:cs="Times"/>
          <w:i/>
          <w:color w:val="000000"/>
          <w:sz w:val="22"/>
          <w:szCs w:val="22"/>
          <w:u w:val="single"/>
        </w:rPr>
        <w:t xml:space="preserve"> statutory environmental parameters</w:t>
      </w:r>
      <w:r w:rsidR="006A2C82" w:rsidRPr="001D14A6">
        <w:rPr>
          <w:rFonts w:cs="Times"/>
          <w:i/>
          <w:color w:val="000000"/>
          <w:sz w:val="22"/>
          <w:szCs w:val="22"/>
        </w:rPr>
        <w:t>:</w:t>
      </w:r>
      <w:r w:rsidR="00B34400" w:rsidRPr="001D14A6">
        <w:rPr>
          <w:rFonts w:cs="Times"/>
          <w:color w:val="000000"/>
          <w:sz w:val="22"/>
          <w:szCs w:val="22"/>
        </w:rPr>
        <w:t xml:space="preserve"> this includes cases </w:t>
      </w:r>
      <w:r w:rsidR="00C035F7" w:rsidRPr="001D14A6">
        <w:rPr>
          <w:rFonts w:cs="Times"/>
          <w:color w:val="000000"/>
          <w:sz w:val="22"/>
          <w:szCs w:val="22"/>
        </w:rPr>
        <w:t xml:space="preserve">where procedural technicalities have been </w:t>
      </w:r>
      <w:r w:rsidR="00386656" w:rsidRPr="001D14A6">
        <w:rPr>
          <w:rFonts w:cs="Times"/>
          <w:color w:val="000000"/>
          <w:sz w:val="22"/>
          <w:szCs w:val="22"/>
        </w:rPr>
        <w:t>ignored, short-circuited or mis-</w:t>
      </w:r>
      <w:r w:rsidR="00C035F7" w:rsidRPr="001D14A6">
        <w:rPr>
          <w:rFonts w:cs="Times"/>
          <w:color w:val="000000"/>
          <w:sz w:val="22"/>
          <w:szCs w:val="22"/>
        </w:rPr>
        <w:t>stated</w:t>
      </w:r>
      <w:r w:rsidR="00386656" w:rsidRPr="001D14A6">
        <w:rPr>
          <w:rFonts w:cs="Times"/>
          <w:color w:val="000000"/>
          <w:sz w:val="22"/>
          <w:szCs w:val="22"/>
        </w:rPr>
        <w:t xml:space="preserve"> </w:t>
      </w:r>
      <w:r w:rsidR="00C035F7" w:rsidRPr="001D14A6">
        <w:rPr>
          <w:rFonts w:cs="Times"/>
          <w:color w:val="000000"/>
          <w:sz w:val="22"/>
          <w:szCs w:val="22"/>
        </w:rPr>
        <w:t>to circumvent the law for</w:t>
      </w:r>
      <w:r w:rsidR="00C46346" w:rsidRPr="001D14A6">
        <w:rPr>
          <w:rFonts w:cs="Times"/>
          <w:color w:val="000000"/>
          <w:sz w:val="22"/>
          <w:szCs w:val="22"/>
        </w:rPr>
        <w:t xml:space="preserve"> </w:t>
      </w:r>
      <w:r w:rsidR="0022262E" w:rsidRPr="001D14A6">
        <w:rPr>
          <w:rFonts w:cs="Times"/>
          <w:color w:val="000000"/>
          <w:sz w:val="22"/>
          <w:szCs w:val="22"/>
        </w:rPr>
        <w:t>extra-legal economic benefit</w:t>
      </w:r>
      <w:r w:rsidR="00C035F7" w:rsidRPr="001D14A6">
        <w:rPr>
          <w:rFonts w:cs="Times"/>
          <w:color w:val="000000"/>
          <w:sz w:val="22"/>
          <w:szCs w:val="22"/>
        </w:rPr>
        <w:t xml:space="preserve">. </w:t>
      </w:r>
      <w:r w:rsidR="005B2C78" w:rsidRPr="001D14A6">
        <w:rPr>
          <w:rFonts w:cs="Times"/>
          <w:color w:val="000000"/>
          <w:sz w:val="22"/>
          <w:szCs w:val="22"/>
        </w:rPr>
        <w:t>The NGT scientific experts play a crucial role in the application of cumulative environmental impact assessments (CEIAs) to strike the balance between</w:t>
      </w:r>
      <w:r w:rsidR="005B2C78" w:rsidRPr="001D14A6">
        <w:rPr>
          <w:rFonts w:cs="Times"/>
          <w:color w:val="3B3B3B"/>
          <w:sz w:val="22"/>
          <w:szCs w:val="22"/>
        </w:rPr>
        <w:t xml:space="preserve"> </w:t>
      </w:r>
      <w:r w:rsidR="005B2C78" w:rsidRPr="001D14A6">
        <w:rPr>
          <w:rFonts w:cs="Times"/>
          <w:color w:val="000000"/>
          <w:sz w:val="22"/>
          <w:szCs w:val="22"/>
        </w:rPr>
        <w:t>developmental interest and environmental protection. The ability to incorporate cumulative effects analysis into the development of alternatives for an EIA can minimise negative cumulative effects, promote</w:t>
      </w:r>
      <w:r w:rsidR="00527458" w:rsidRPr="001D14A6">
        <w:rPr>
          <w:rFonts w:cs="Times"/>
          <w:color w:val="000000"/>
          <w:sz w:val="22"/>
          <w:szCs w:val="22"/>
        </w:rPr>
        <w:t xml:space="preserve"> </w:t>
      </w:r>
      <w:r w:rsidR="005B2C78" w:rsidRPr="001D14A6">
        <w:rPr>
          <w:rFonts w:cs="Times"/>
          <w:color w:val="000000"/>
          <w:sz w:val="22"/>
          <w:szCs w:val="22"/>
        </w:rPr>
        <w:t>resource sustainability</w:t>
      </w:r>
      <w:r w:rsidR="005B2C78" w:rsidRPr="001D14A6">
        <w:rPr>
          <w:rFonts w:cs="Times"/>
          <w:color w:val="3B3B3B"/>
          <w:sz w:val="22"/>
          <w:szCs w:val="22"/>
        </w:rPr>
        <w:t xml:space="preserve"> </w:t>
      </w:r>
      <w:r w:rsidR="005B2C78" w:rsidRPr="001D14A6">
        <w:rPr>
          <w:rFonts w:cs="Times"/>
          <w:color w:val="000000"/>
          <w:sz w:val="22"/>
          <w:szCs w:val="22"/>
        </w:rPr>
        <w:t xml:space="preserve">and make room for future development. </w:t>
      </w:r>
      <w:r w:rsidR="00FF7A8E" w:rsidRPr="001D14A6">
        <w:rPr>
          <w:rFonts w:cs="Times"/>
          <w:color w:val="000000"/>
          <w:sz w:val="22"/>
          <w:szCs w:val="22"/>
        </w:rPr>
        <w:t>In India, there have been serious failu</w:t>
      </w:r>
      <w:r w:rsidR="00F1553C" w:rsidRPr="001D14A6">
        <w:rPr>
          <w:rFonts w:cs="Times"/>
          <w:color w:val="000000"/>
          <w:sz w:val="22"/>
          <w:szCs w:val="22"/>
        </w:rPr>
        <w:t>res regarding CEIA studies</w:t>
      </w:r>
      <w:r w:rsidR="00FF7A8E" w:rsidRPr="001D14A6">
        <w:rPr>
          <w:rFonts w:cs="Times"/>
          <w:color w:val="000000"/>
          <w:sz w:val="22"/>
          <w:szCs w:val="22"/>
        </w:rPr>
        <w:t xml:space="preserve"> rendering th</w:t>
      </w:r>
      <w:r w:rsidR="00386656" w:rsidRPr="001D14A6">
        <w:rPr>
          <w:rFonts w:cs="Times"/>
          <w:color w:val="000000"/>
          <w:sz w:val="22"/>
          <w:szCs w:val="22"/>
        </w:rPr>
        <w:t>is crucial process meaningless. This resulted</w:t>
      </w:r>
      <w:r w:rsidR="00FF7A8E" w:rsidRPr="001D14A6">
        <w:rPr>
          <w:rFonts w:cs="Times"/>
          <w:color w:val="000000"/>
          <w:sz w:val="22"/>
          <w:szCs w:val="22"/>
        </w:rPr>
        <w:t xml:space="preserve"> in the violation of </w:t>
      </w:r>
      <w:r w:rsidR="00386656" w:rsidRPr="001D14A6">
        <w:rPr>
          <w:rFonts w:cs="Times"/>
          <w:color w:val="000000"/>
          <w:sz w:val="22"/>
          <w:szCs w:val="22"/>
        </w:rPr>
        <w:t xml:space="preserve">the </w:t>
      </w:r>
      <w:r w:rsidR="00FF7A8E" w:rsidRPr="001D14A6">
        <w:rPr>
          <w:rFonts w:cs="Times"/>
          <w:color w:val="000000"/>
          <w:sz w:val="22"/>
          <w:szCs w:val="22"/>
        </w:rPr>
        <w:t>September 2006 EIA Notification, wherein Form 1</w:t>
      </w:r>
      <w:r w:rsidR="0038078D" w:rsidRPr="001D14A6">
        <w:rPr>
          <w:rFonts w:cs="Times"/>
          <w:color w:val="000000"/>
          <w:sz w:val="22"/>
          <w:szCs w:val="22"/>
        </w:rPr>
        <w:t xml:space="preserve"> </w:t>
      </w:r>
      <w:r w:rsidR="00FF7A8E" w:rsidRPr="001D14A6">
        <w:rPr>
          <w:rFonts w:cs="Times"/>
          <w:color w:val="000000"/>
          <w:sz w:val="22"/>
          <w:szCs w:val="22"/>
        </w:rPr>
        <w:t>section asks for a CEIA.</w:t>
      </w:r>
      <w:r w:rsidR="00FF7A8E" w:rsidRPr="001D14A6">
        <w:rPr>
          <w:rFonts w:cs="Times"/>
          <w:color w:val="000000"/>
          <w:position w:val="10"/>
          <w:sz w:val="22"/>
          <w:szCs w:val="22"/>
        </w:rPr>
        <w:t xml:space="preserve"> </w:t>
      </w:r>
      <w:r w:rsidR="00FF7A8E" w:rsidRPr="001D14A6">
        <w:rPr>
          <w:rFonts w:cs="Times"/>
          <w:color w:val="000000"/>
          <w:sz w:val="22"/>
          <w:szCs w:val="22"/>
        </w:rPr>
        <w:t>On occasions, the Min</w:t>
      </w:r>
      <w:r w:rsidR="00612EFE" w:rsidRPr="001D14A6">
        <w:rPr>
          <w:rFonts w:cs="Times"/>
          <w:color w:val="000000"/>
          <w:sz w:val="22"/>
          <w:szCs w:val="22"/>
        </w:rPr>
        <w:t>i</w:t>
      </w:r>
      <w:r w:rsidR="0038078D" w:rsidRPr="001D14A6">
        <w:rPr>
          <w:rFonts w:cs="Times"/>
          <w:color w:val="000000"/>
          <w:sz w:val="22"/>
          <w:szCs w:val="22"/>
        </w:rPr>
        <w:t xml:space="preserve">stry of Environment and </w:t>
      </w:r>
      <w:r w:rsidR="00FF7A8E" w:rsidRPr="001D14A6">
        <w:rPr>
          <w:rFonts w:cs="Times"/>
          <w:color w:val="000000"/>
          <w:sz w:val="22"/>
          <w:szCs w:val="22"/>
        </w:rPr>
        <w:t>F</w:t>
      </w:r>
      <w:r w:rsidR="0038078D" w:rsidRPr="001D14A6">
        <w:rPr>
          <w:rFonts w:cs="Times"/>
          <w:color w:val="000000"/>
          <w:sz w:val="22"/>
          <w:szCs w:val="22"/>
        </w:rPr>
        <w:t xml:space="preserve">orests (MoEF) </w:t>
      </w:r>
      <w:r w:rsidR="00FF7A8E" w:rsidRPr="001D14A6">
        <w:rPr>
          <w:rFonts w:cs="Times"/>
          <w:color w:val="000000"/>
          <w:sz w:val="22"/>
          <w:szCs w:val="22"/>
        </w:rPr>
        <w:t>E</w:t>
      </w:r>
      <w:r w:rsidR="00612EFE" w:rsidRPr="001D14A6">
        <w:rPr>
          <w:rFonts w:cs="Times"/>
          <w:color w:val="000000"/>
          <w:sz w:val="22"/>
          <w:szCs w:val="22"/>
        </w:rPr>
        <w:t xml:space="preserve">nvironmental </w:t>
      </w:r>
      <w:r w:rsidR="00FF7A8E" w:rsidRPr="001D14A6">
        <w:rPr>
          <w:rFonts w:cs="Times"/>
          <w:color w:val="000000"/>
          <w:sz w:val="22"/>
          <w:szCs w:val="22"/>
        </w:rPr>
        <w:t>A</w:t>
      </w:r>
      <w:r w:rsidR="00612EFE" w:rsidRPr="001D14A6">
        <w:rPr>
          <w:rFonts w:cs="Times"/>
          <w:color w:val="000000"/>
          <w:sz w:val="22"/>
          <w:szCs w:val="22"/>
        </w:rPr>
        <w:t xml:space="preserve">ppraisal </w:t>
      </w:r>
      <w:r w:rsidR="00FF7A8E" w:rsidRPr="001D14A6">
        <w:rPr>
          <w:rFonts w:cs="Times"/>
          <w:color w:val="000000"/>
          <w:sz w:val="22"/>
          <w:szCs w:val="22"/>
        </w:rPr>
        <w:t>C</w:t>
      </w:r>
      <w:r w:rsidR="00612EFE" w:rsidRPr="001D14A6">
        <w:rPr>
          <w:rFonts w:cs="Times"/>
          <w:color w:val="000000"/>
          <w:sz w:val="22"/>
          <w:szCs w:val="22"/>
        </w:rPr>
        <w:t>ommittee</w:t>
      </w:r>
      <w:r w:rsidR="00FF7A8E" w:rsidRPr="001D14A6">
        <w:rPr>
          <w:rFonts w:cs="Times"/>
          <w:color w:val="000000"/>
          <w:sz w:val="22"/>
          <w:szCs w:val="22"/>
        </w:rPr>
        <w:t xml:space="preserve"> has taken a ‘casual approach’ and </w:t>
      </w:r>
      <w:r w:rsidR="00FF7A8E" w:rsidRPr="001D14A6">
        <w:rPr>
          <w:rFonts w:cs="Times"/>
          <w:color w:val="000000"/>
          <w:sz w:val="22"/>
          <w:szCs w:val="22"/>
        </w:rPr>
        <w:lastRenderedPageBreak/>
        <w:t>granted EC for projects without performing due diligence.</w:t>
      </w:r>
      <w:r w:rsidR="00A95B6D" w:rsidRPr="001D14A6">
        <w:rPr>
          <w:rStyle w:val="FootnoteReference"/>
          <w:rFonts w:cs="Times"/>
          <w:color w:val="000000"/>
          <w:sz w:val="22"/>
          <w:szCs w:val="22"/>
        </w:rPr>
        <w:footnoteReference w:id="14"/>
      </w:r>
      <w:r w:rsidR="00FF7A8E" w:rsidRPr="001D14A6">
        <w:rPr>
          <w:rFonts w:eastAsia="MS Mincho" w:cs="MS Mincho"/>
          <w:color w:val="000000"/>
          <w:sz w:val="22"/>
          <w:szCs w:val="22"/>
        </w:rPr>
        <w:t> </w:t>
      </w:r>
      <w:r w:rsidR="00683B88" w:rsidRPr="001D14A6">
        <w:rPr>
          <w:rFonts w:cs="Times"/>
          <w:color w:val="000000"/>
          <w:sz w:val="22"/>
          <w:szCs w:val="22"/>
        </w:rPr>
        <w:t xml:space="preserve">For example, </w:t>
      </w:r>
      <w:r w:rsidR="004A381E" w:rsidRPr="001D14A6">
        <w:rPr>
          <w:rFonts w:cs="Times"/>
          <w:color w:val="000000"/>
          <w:sz w:val="22"/>
          <w:szCs w:val="22"/>
        </w:rPr>
        <w:t>i</w:t>
      </w:r>
      <w:r w:rsidR="006D7168" w:rsidRPr="001D14A6">
        <w:rPr>
          <w:rFonts w:cs="Times"/>
          <w:color w:val="000000"/>
          <w:sz w:val="22"/>
          <w:szCs w:val="22"/>
        </w:rPr>
        <w:t xml:space="preserve">n </w:t>
      </w:r>
      <w:r w:rsidR="006D7168" w:rsidRPr="001D14A6">
        <w:rPr>
          <w:rFonts w:cs="Times"/>
          <w:i/>
          <w:iCs/>
          <w:color w:val="000000"/>
          <w:sz w:val="22"/>
          <w:szCs w:val="22"/>
        </w:rPr>
        <w:t>Prafulla Samantray v Union of India</w:t>
      </w:r>
      <w:r w:rsidR="007E0377" w:rsidRPr="001D14A6">
        <w:rPr>
          <w:rStyle w:val="FootnoteReference"/>
          <w:rFonts w:cs="Times"/>
          <w:i/>
          <w:iCs/>
          <w:color w:val="000000"/>
          <w:sz w:val="22"/>
          <w:szCs w:val="22"/>
        </w:rPr>
        <w:footnoteReference w:id="15"/>
      </w:r>
      <w:r w:rsidR="006D7168" w:rsidRPr="001D14A6">
        <w:rPr>
          <w:rFonts w:cs="Times"/>
          <w:i/>
          <w:iCs/>
          <w:color w:val="000000"/>
          <w:sz w:val="22"/>
          <w:szCs w:val="22"/>
        </w:rPr>
        <w:t xml:space="preserve"> </w:t>
      </w:r>
      <w:r w:rsidR="006D7168" w:rsidRPr="001D14A6">
        <w:rPr>
          <w:rFonts w:cs="Times"/>
          <w:color w:val="000000"/>
          <w:sz w:val="22"/>
          <w:szCs w:val="22"/>
        </w:rPr>
        <w:t xml:space="preserve">(the POSCO case) </w:t>
      </w:r>
      <w:r w:rsidR="00BB4BDA" w:rsidRPr="001D14A6">
        <w:rPr>
          <w:rFonts w:cs="Times"/>
          <w:color w:val="000000"/>
          <w:sz w:val="22"/>
          <w:szCs w:val="22"/>
        </w:rPr>
        <w:t>the issue before the NGT was opposition to the proposed POSCO project, involving the construction of an integrated</w:t>
      </w:r>
      <w:r w:rsidR="00E45B22" w:rsidRPr="001D14A6">
        <w:rPr>
          <w:rFonts w:cs="Times"/>
          <w:color w:val="000000"/>
          <w:sz w:val="22"/>
          <w:szCs w:val="22"/>
        </w:rPr>
        <w:t xml:space="preserve"> steel plant with a service sea</w:t>
      </w:r>
      <w:r w:rsidR="00BB4BDA" w:rsidRPr="001D14A6">
        <w:rPr>
          <w:rFonts w:cs="Times"/>
          <w:color w:val="000000"/>
          <w:sz w:val="22"/>
          <w:szCs w:val="22"/>
        </w:rPr>
        <w:t>port at Paradip in the Jagatsinhpur district of the state of Orissa. The government of Orissa agreed to facilitate the project and assist the POSCO multinational steel company, based in South Korea, to obtain a no objection certifi</w:t>
      </w:r>
      <w:r w:rsidR="00DA007F" w:rsidRPr="001D14A6">
        <w:rPr>
          <w:rFonts w:cs="Times"/>
          <w:color w:val="000000"/>
          <w:sz w:val="22"/>
          <w:szCs w:val="22"/>
        </w:rPr>
        <w:t>cate and environmental clearance</w:t>
      </w:r>
      <w:r w:rsidR="00BB4BDA" w:rsidRPr="001D14A6">
        <w:rPr>
          <w:rFonts w:cs="Times"/>
          <w:color w:val="000000"/>
          <w:sz w:val="22"/>
          <w:szCs w:val="22"/>
        </w:rPr>
        <w:t xml:space="preserve"> in the minimum time. The POSCO port was to be located at the mouth of an estuary, one of the most dynamic and fragile coastal ecosystems</w:t>
      </w:r>
      <w:r w:rsidR="004A381E" w:rsidRPr="001D14A6">
        <w:rPr>
          <w:rFonts w:cs="Times"/>
          <w:color w:val="000000"/>
          <w:sz w:val="22"/>
          <w:szCs w:val="22"/>
        </w:rPr>
        <w:t xml:space="preserve"> in the State</w:t>
      </w:r>
      <w:r w:rsidR="00BB4BDA" w:rsidRPr="001D14A6">
        <w:rPr>
          <w:rFonts w:cs="Times"/>
          <w:color w:val="000000"/>
          <w:sz w:val="22"/>
          <w:szCs w:val="22"/>
        </w:rPr>
        <w:t xml:space="preserve">. </w:t>
      </w:r>
      <w:r w:rsidR="00A97476" w:rsidRPr="001D14A6">
        <w:rPr>
          <w:rFonts w:cs="Times"/>
          <w:color w:val="000000"/>
          <w:sz w:val="22"/>
          <w:szCs w:val="22"/>
        </w:rPr>
        <w:t>The construction of the pro</w:t>
      </w:r>
      <w:r w:rsidR="00BB4BDA" w:rsidRPr="001D14A6">
        <w:rPr>
          <w:rFonts w:cs="Times"/>
          <w:color w:val="000000"/>
          <w:sz w:val="22"/>
          <w:szCs w:val="22"/>
        </w:rPr>
        <w:t xml:space="preserve">posed plant and port threatened the area’s unique biodiversity and anticipated </w:t>
      </w:r>
      <w:r w:rsidR="004A381E" w:rsidRPr="001D14A6">
        <w:rPr>
          <w:rFonts w:cs="Times"/>
          <w:color w:val="000000"/>
          <w:sz w:val="22"/>
          <w:szCs w:val="22"/>
        </w:rPr>
        <w:t xml:space="preserve">the </w:t>
      </w:r>
      <w:r w:rsidR="00BB4BDA" w:rsidRPr="001D14A6">
        <w:rPr>
          <w:rFonts w:cs="Times"/>
          <w:color w:val="000000"/>
          <w:sz w:val="22"/>
          <w:szCs w:val="22"/>
        </w:rPr>
        <w:t xml:space="preserve">dislocation and displacement of the long-standing forest-dwelling communities. </w:t>
      </w:r>
      <w:r w:rsidR="002A325F" w:rsidRPr="001D14A6">
        <w:rPr>
          <w:rFonts w:cs="Times"/>
          <w:color w:val="000000"/>
          <w:sz w:val="22"/>
          <w:szCs w:val="22"/>
        </w:rPr>
        <w:t>The NGT allowed the matter</w:t>
      </w:r>
      <w:r w:rsidR="00386656" w:rsidRPr="001D14A6">
        <w:rPr>
          <w:rFonts w:cs="Times"/>
          <w:color w:val="000000"/>
          <w:sz w:val="22"/>
          <w:szCs w:val="22"/>
        </w:rPr>
        <w:t xml:space="preserve"> in favour of the petitioners</w:t>
      </w:r>
      <w:r w:rsidR="002A325F" w:rsidRPr="001D14A6">
        <w:rPr>
          <w:rFonts w:cs="Times"/>
          <w:color w:val="000000"/>
          <w:sz w:val="22"/>
          <w:szCs w:val="22"/>
        </w:rPr>
        <w:t xml:space="preserve"> and observed: </w:t>
      </w:r>
    </w:p>
    <w:p w14:paraId="0038008A" w14:textId="4B785494" w:rsidR="002A325F" w:rsidRPr="001D14A6" w:rsidRDefault="00386656" w:rsidP="001D14A6">
      <w:pPr>
        <w:widowControl w:val="0"/>
        <w:autoSpaceDE w:val="0"/>
        <w:autoSpaceDN w:val="0"/>
        <w:adjustRightInd w:val="0"/>
        <w:spacing w:after="240" w:line="276" w:lineRule="auto"/>
        <w:ind w:left="720"/>
        <w:rPr>
          <w:rFonts w:cs="Times"/>
          <w:color w:val="000000"/>
          <w:sz w:val="22"/>
          <w:szCs w:val="22"/>
        </w:rPr>
      </w:pPr>
      <w:r w:rsidRPr="001D14A6">
        <w:rPr>
          <w:rFonts w:cs="Times"/>
          <w:color w:val="000000"/>
          <w:sz w:val="22"/>
          <w:szCs w:val="22"/>
        </w:rPr>
        <w:t>W</w:t>
      </w:r>
      <w:r w:rsidR="002A325F" w:rsidRPr="001D14A6">
        <w:rPr>
          <w:rFonts w:cs="Times"/>
          <w:color w:val="000000"/>
          <w:sz w:val="22"/>
          <w:szCs w:val="22"/>
        </w:rPr>
        <w:t>e have kept in mind the need for industrial development, employment opportunities created by such projects that involve huge foreign investment, that any development should be</w:t>
      </w:r>
      <w:r w:rsidR="002A325F" w:rsidRPr="001D14A6">
        <w:rPr>
          <w:rFonts w:cs="Times"/>
          <w:color w:val="3B3B3B"/>
          <w:sz w:val="22"/>
          <w:szCs w:val="22"/>
        </w:rPr>
        <w:t xml:space="preserve"> </w:t>
      </w:r>
      <w:r w:rsidR="002A325F" w:rsidRPr="001D14A6">
        <w:rPr>
          <w:rFonts w:cs="Times"/>
          <w:color w:val="000000"/>
          <w:sz w:val="22"/>
          <w:szCs w:val="22"/>
        </w:rPr>
        <w:t>within the parameters of environmental and ecological concerns and satisfying the principles of sustainable development and precautio</w:t>
      </w:r>
      <w:r w:rsidR="00B2412F" w:rsidRPr="001D14A6">
        <w:rPr>
          <w:rFonts w:cs="Times"/>
          <w:color w:val="000000"/>
          <w:sz w:val="22"/>
          <w:szCs w:val="22"/>
        </w:rPr>
        <w:t xml:space="preserve">nary measures. An examination </w:t>
      </w:r>
      <w:r w:rsidR="002A325F" w:rsidRPr="001D14A6">
        <w:rPr>
          <w:rFonts w:cs="Times"/>
          <w:color w:val="000000"/>
          <w:sz w:val="22"/>
          <w:szCs w:val="22"/>
        </w:rPr>
        <w:t>of the entire scheme revealed that a project of this magnitude particularly in partnership with a foreign country has been dealt with casually, without there being any comprehensive scientific data regarding the possible environmental impacts. No meticulous scient</w:t>
      </w:r>
      <w:r w:rsidR="00B2412F" w:rsidRPr="001D14A6">
        <w:rPr>
          <w:rFonts w:cs="Times"/>
          <w:color w:val="000000"/>
          <w:sz w:val="22"/>
          <w:szCs w:val="22"/>
        </w:rPr>
        <w:t xml:space="preserve">ific study was made on </w:t>
      </w:r>
      <w:r w:rsidR="002A325F" w:rsidRPr="001D14A6">
        <w:rPr>
          <w:rFonts w:cs="Times"/>
          <w:color w:val="000000"/>
          <w:sz w:val="22"/>
          <w:szCs w:val="22"/>
        </w:rPr>
        <w:t xml:space="preserve">every aspect of the matter leaving lingering and threatening environmental and ecological doubts unanswered. </w:t>
      </w:r>
      <w:r w:rsidR="00CF20B9" w:rsidRPr="001D14A6">
        <w:rPr>
          <w:rStyle w:val="FootnoteReference"/>
          <w:rFonts w:cs="Times"/>
          <w:color w:val="000000"/>
          <w:sz w:val="22"/>
          <w:szCs w:val="22"/>
        </w:rPr>
        <w:footnoteReference w:id="16"/>
      </w:r>
      <w:r w:rsidR="002A325F" w:rsidRPr="001D14A6">
        <w:rPr>
          <w:rFonts w:cs="Times"/>
          <w:color w:val="000000"/>
          <w:sz w:val="22"/>
          <w:szCs w:val="22"/>
        </w:rPr>
        <w:t xml:space="preserve"> </w:t>
      </w:r>
    </w:p>
    <w:p w14:paraId="23573DBF" w14:textId="4234F39C" w:rsidR="0038078D" w:rsidRPr="001D14A6" w:rsidRDefault="0038078D" w:rsidP="008E18D5">
      <w:pPr>
        <w:widowControl w:val="0"/>
        <w:autoSpaceDE w:val="0"/>
        <w:autoSpaceDN w:val="0"/>
        <w:adjustRightInd w:val="0"/>
        <w:spacing w:after="240" w:line="276" w:lineRule="auto"/>
        <w:rPr>
          <w:rFonts w:cs="Times"/>
          <w:color w:val="000000"/>
          <w:sz w:val="22"/>
          <w:szCs w:val="22"/>
        </w:rPr>
      </w:pPr>
      <w:r w:rsidRPr="001D14A6">
        <w:rPr>
          <w:rFonts w:cs="Times"/>
          <w:color w:val="000000"/>
          <w:sz w:val="22"/>
          <w:szCs w:val="22"/>
        </w:rPr>
        <w:t xml:space="preserve">Accordingly, the NGT suspended the approval granted to POSCO and directed the MoEF to conduct a fresh review. Factors </w:t>
      </w:r>
      <w:r w:rsidR="00286F21" w:rsidRPr="001D14A6">
        <w:rPr>
          <w:rFonts w:cs="Times"/>
          <w:color w:val="000000"/>
          <w:sz w:val="22"/>
          <w:szCs w:val="22"/>
        </w:rPr>
        <w:t xml:space="preserve">were to </w:t>
      </w:r>
      <w:r w:rsidRPr="001D14A6">
        <w:rPr>
          <w:rFonts w:cs="Times"/>
          <w:color w:val="000000"/>
          <w:sz w:val="22"/>
          <w:szCs w:val="22"/>
        </w:rPr>
        <w:t>include the siting of the</w:t>
      </w:r>
      <w:r w:rsidR="00C8403A" w:rsidRPr="001D14A6">
        <w:rPr>
          <w:rFonts w:cs="Times"/>
          <w:color w:val="000000"/>
          <w:sz w:val="22"/>
          <w:szCs w:val="22"/>
        </w:rPr>
        <w:t xml:space="preserve"> </w:t>
      </w:r>
      <w:r w:rsidRPr="001D14A6">
        <w:rPr>
          <w:rFonts w:cs="Times"/>
          <w:color w:val="000000"/>
          <w:sz w:val="22"/>
          <w:szCs w:val="22"/>
        </w:rPr>
        <w:t xml:space="preserve">project, present pollution levels, impact </w:t>
      </w:r>
      <w:r w:rsidR="00C8403A" w:rsidRPr="001D14A6">
        <w:rPr>
          <w:rFonts w:cs="Times"/>
          <w:color w:val="000000"/>
          <w:sz w:val="22"/>
          <w:szCs w:val="22"/>
        </w:rPr>
        <w:t>on surrounding wetlands and man</w:t>
      </w:r>
      <w:r w:rsidRPr="001D14A6">
        <w:rPr>
          <w:rFonts w:cs="Times"/>
          <w:color w:val="000000"/>
          <w:sz w:val="22"/>
          <w:szCs w:val="22"/>
        </w:rPr>
        <w:t>groves and their biodiversity, risk assessment with respect to the proposed port project, impact of source of water requirements under competing scenarios, and</w:t>
      </w:r>
      <w:r w:rsidRPr="001D14A6">
        <w:rPr>
          <w:rFonts w:cs="Times"/>
          <w:color w:val="3B3B3B"/>
          <w:sz w:val="22"/>
          <w:szCs w:val="22"/>
        </w:rPr>
        <w:t xml:space="preserve"> </w:t>
      </w:r>
      <w:r w:rsidR="00C8403A" w:rsidRPr="001D14A6">
        <w:rPr>
          <w:rFonts w:cs="Times"/>
          <w:color w:val="000000"/>
          <w:sz w:val="22"/>
          <w:szCs w:val="22"/>
        </w:rPr>
        <w:t>evaluation of the zero-</w:t>
      </w:r>
      <w:r w:rsidRPr="001D14A6">
        <w:rPr>
          <w:rFonts w:cs="Times"/>
          <w:color w:val="000000"/>
          <w:sz w:val="22"/>
          <w:szCs w:val="22"/>
        </w:rPr>
        <w:t>discharge proposal. The Tribunal required a comprehensive and integrated EIA based on at least one full year of baseline data, especially considering the magnitude of the project and its likely impact on various environmental attributes in the ecologically sensitive area. The initial clearance was set aside as ‘arbitrary and illegal’ an</w:t>
      </w:r>
      <w:r w:rsidR="00EA6B57" w:rsidRPr="001D14A6">
        <w:rPr>
          <w:rFonts w:cs="Times"/>
          <w:color w:val="000000"/>
          <w:sz w:val="22"/>
          <w:szCs w:val="22"/>
        </w:rPr>
        <w:t>d ‘vitiated in the eyes of law’.</w:t>
      </w:r>
      <w:r w:rsidR="00EA6B57" w:rsidRPr="001D14A6">
        <w:rPr>
          <w:rStyle w:val="FootnoteReference"/>
          <w:rFonts w:cs="Times"/>
          <w:color w:val="000000"/>
          <w:sz w:val="22"/>
          <w:szCs w:val="22"/>
        </w:rPr>
        <w:footnoteReference w:id="17"/>
      </w:r>
      <w:r w:rsidRPr="001D14A6">
        <w:rPr>
          <w:rFonts w:cs="Times"/>
          <w:color w:val="000000"/>
          <w:sz w:val="22"/>
          <w:szCs w:val="22"/>
        </w:rPr>
        <w:t xml:space="preserve"> </w:t>
      </w:r>
    </w:p>
    <w:p w14:paraId="26B405A1" w14:textId="24499A3B" w:rsidR="00F976FA" w:rsidRPr="001D14A6" w:rsidRDefault="006A2C82" w:rsidP="008E18D5">
      <w:pPr>
        <w:widowControl w:val="0"/>
        <w:autoSpaceDE w:val="0"/>
        <w:autoSpaceDN w:val="0"/>
        <w:adjustRightInd w:val="0"/>
        <w:spacing w:after="240" w:line="276" w:lineRule="auto"/>
        <w:rPr>
          <w:rFonts w:cs="Times"/>
          <w:color w:val="000000"/>
          <w:sz w:val="22"/>
          <w:szCs w:val="22"/>
        </w:rPr>
      </w:pPr>
      <w:r w:rsidRPr="001D14A6">
        <w:rPr>
          <w:rFonts w:cs="Times"/>
          <w:i/>
          <w:color w:val="000000"/>
          <w:sz w:val="22"/>
          <w:szCs w:val="22"/>
          <w:u w:val="single"/>
        </w:rPr>
        <w:t>Policy creation</w:t>
      </w:r>
      <w:r w:rsidRPr="001D14A6">
        <w:rPr>
          <w:rFonts w:cs="Times"/>
          <w:color w:val="000000"/>
          <w:sz w:val="22"/>
          <w:szCs w:val="22"/>
          <w:u w:val="single"/>
        </w:rPr>
        <w:t>:</w:t>
      </w:r>
      <w:r w:rsidR="00B34400" w:rsidRPr="001D14A6">
        <w:rPr>
          <w:rFonts w:cs="Times"/>
          <w:color w:val="000000"/>
          <w:sz w:val="22"/>
          <w:szCs w:val="22"/>
        </w:rPr>
        <w:t xml:space="preserve"> </w:t>
      </w:r>
      <w:r w:rsidR="001F4A04" w:rsidRPr="001D14A6">
        <w:rPr>
          <w:rFonts w:cs="Times"/>
          <w:color w:val="000000"/>
          <w:sz w:val="22"/>
          <w:szCs w:val="22"/>
        </w:rPr>
        <w:t>t</w:t>
      </w:r>
      <w:r w:rsidR="00C92ED6" w:rsidRPr="001D14A6">
        <w:rPr>
          <w:rFonts w:cs="Times"/>
          <w:color w:val="000000"/>
          <w:sz w:val="22"/>
          <w:szCs w:val="22"/>
        </w:rPr>
        <w:t>his innovative</w:t>
      </w:r>
      <w:r w:rsidR="0048706A" w:rsidRPr="001D14A6">
        <w:rPr>
          <w:rFonts w:cs="Times"/>
          <w:color w:val="000000"/>
          <w:sz w:val="22"/>
          <w:szCs w:val="22"/>
        </w:rPr>
        <w:t xml:space="preserve"> NGT</w:t>
      </w:r>
      <w:r w:rsidR="00C92ED6" w:rsidRPr="001D14A6">
        <w:rPr>
          <w:rFonts w:cs="Times"/>
          <w:color w:val="000000"/>
          <w:sz w:val="22"/>
          <w:szCs w:val="22"/>
        </w:rPr>
        <w:t xml:space="preserve"> development moves traditional, single issue, legal dispute ‘adjudication’ between disputing parties beyond the</w:t>
      </w:r>
      <w:r w:rsidR="00C92ED6" w:rsidRPr="001D14A6">
        <w:rPr>
          <w:rFonts w:cs="Times"/>
          <w:color w:val="3B3B3B"/>
          <w:sz w:val="22"/>
          <w:szCs w:val="22"/>
        </w:rPr>
        <w:t xml:space="preserve"> </w:t>
      </w:r>
      <w:r w:rsidR="00C92ED6" w:rsidRPr="001D14A6">
        <w:rPr>
          <w:rFonts w:cs="Times"/>
          <w:color w:val="000000"/>
          <w:sz w:val="22"/>
          <w:szCs w:val="22"/>
        </w:rPr>
        <w:t>‘courtroom door’ in its implicit and sometimes explicit creation of scientifically justified policy that seeks to ensure minimal damage to the environment and</w:t>
      </w:r>
      <w:r w:rsidR="00C92ED6" w:rsidRPr="001D14A6">
        <w:rPr>
          <w:rFonts w:cs="Times"/>
          <w:color w:val="3B3B3B"/>
          <w:sz w:val="22"/>
          <w:szCs w:val="22"/>
        </w:rPr>
        <w:t xml:space="preserve"> </w:t>
      </w:r>
      <w:r w:rsidR="00C92ED6" w:rsidRPr="001D14A6">
        <w:rPr>
          <w:rFonts w:cs="Times"/>
          <w:color w:val="000000"/>
          <w:sz w:val="22"/>
          <w:szCs w:val="22"/>
        </w:rPr>
        <w:t xml:space="preserve">protect society’s wider interests. </w:t>
      </w:r>
      <w:r w:rsidR="00FD5C59" w:rsidRPr="001D14A6">
        <w:rPr>
          <w:rFonts w:cs="Times"/>
          <w:color w:val="000000"/>
          <w:sz w:val="22"/>
          <w:szCs w:val="22"/>
        </w:rPr>
        <w:t xml:space="preserve">The scientific experts </w:t>
      </w:r>
      <w:r w:rsidR="001D14A6" w:rsidRPr="001D14A6">
        <w:rPr>
          <w:sz w:val="22"/>
          <w:szCs w:val="22"/>
        </w:rPr>
        <w:t xml:space="preserve">apply constructive interpretation </w:t>
      </w:r>
      <w:r w:rsidR="00FD5C59" w:rsidRPr="001D14A6">
        <w:rPr>
          <w:rFonts w:cs="Times"/>
          <w:color w:val="000000"/>
          <w:sz w:val="22"/>
          <w:szCs w:val="22"/>
        </w:rPr>
        <w:t xml:space="preserve">to expand the scope of rules and regulations if the activity is injurious to public health and environment. Such an interpretation serves the public interest in contrast to the private or individual interest. </w:t>
      </w:r>
      <w:r w:rsidR="005958A2" w:rsidRPr="001D14A6">
        <w:rPr>
          <w:rFonts w:cs="Times"/>
          <w:color w:val="000000"/>
          <w:sz w:val="22"/>
          <w:szCs w:val="22"/>
        </w:rPr>
        <w:t xml:space="preserve">For example, in </w:t>
      </w:r>
      <w:r w:rsidR="003B180B" w:rsidRPr="001D14A6">
        <w:rPr>
          <w:rFonts w:cs="Times"/>
          <w:i/>
          <w:color w:val="000000"/>
          <w:sz w:val="22"/>
          <w:szCs w:val="22"/>
        </w:rPr>
        <w:lastRenderedPageBreak/>
        <w:t>Asim Sarode v. Maharashtra Pollution Control Board</w:t>
      </w:r>
      <w:r w:rsidR="003E2F8D" w:rsidRPr="001D14A6">
        <w:rPr>
          <w:rFonts w:cs="Times"/>
          <w:color w:val="000000"/>
          <w:sz w:val="22"/>
          <w:szCs w:val="22"/>
        </w:rPr>
        <w:t xml:space="preserve"> </w:t>
      </w:r>
      <w:r w:rsidR="00C85F7C" w:rsidRPr="001D14A6">
        <w:rPr>
          <w:rStyle w:val="FootnoteReference"/>
          <w:rFonts w:cs="Times"/>
          <w:color w:val="000000"/>
          <w:sz w:val="22"/>
          <w:szCs w:val="22"/>
        </w:rPr>
        <w:footnoteReference w:id="18"/>
      </w:r>
      <w:r w:rsidR="0020241E" w:rsidRPr="001D14A6">
        <w:rPr>
          <w:rFonts w:cs="Times"/>
          <w:color w:val="000000"/>
          <w:sz w:val="22"/>
          <w:szCs w:val="22"/>
        </w:rPr>
        <w:t xml:space="preserve"> </w:t>
      </w:r>
      <w:r w:rsidR="0048706A" w:rsidRPr="001D14A6">
        <w:rPr>
          <w:rFonts w:cs="Times"/>
          <w:color w:val="000000"/>
          <w:sz w:val="22"/>
          <w:szCs w:val="22"/>
        </w:rPr>
        <w:t xml:space="preserve"> the NGT </w:t>
      </w:r>
      <w:r w:rsidR="003E2F8D" w:rsidRPr="001D14A6">
        <w:rPr>
          <w:rFonts w:cs="Times"/>
          <w:color w:val="000000"/>
          <w:sz w:val="22"/>
          <w:szCs w:val="22"/>
        </w:rPr>
        <w:t>identified the absen</w:t>
      </w:r>
      <w:r w:rsidR="00386656" w:rsidRPr="001D14A6">
        <w:rPr>
          <w:rFonts w:cs="Times"/>
          <w:color w:val="000000"/>
          <w:sz w:val="22"/>
          <w:szCs w:val="22"/>
        </w:rPr>
        <w:t>ce of notified standards for</w:t>
      </w:r>
      <w:r w:rsidR="00293A6B" w:rsidRPr="001D14A6">
        <w:rPr>
          <w:rFonts w:cs="Times"/>
          <w:color w:val="000000"/>
          <w:sz w:val="22"/>
          <w:szCs w:val="22"/>
        </w:rPr>
        <w:t xml:space="preserve"> used tyre disposal</w:t>
      </w:r>
      <w:r w:rsidR="00676219" w:rsidRPr="001D14A6">
        <w:rPr>
          <w:rFonts w:cs="Times"/>
          <w:color w:val="000000"/>
          <w:sz w:val="22"/>
          <w:szCs w:val="22"/>
        </w:rPr>
        <w:t xml:space="preserve">. </w:t>
      </w:r>
      <w:r w:rsidR="00386656" w:rsidRPr="001D14A6">
        <w:rPr>
          <w:rFonts w:cs="Bookman Old Style"/>
          <w:color w:val="000000"/>
          <w:sz w:val="22"/>
          <w:szCs w:val="22"/>
        </w:rPr>
        <w:t>O</w:t>
      </w:r>
      <w:r w:rsidR="00281A76" w:rsidRPr="001D14A6">
        <w:rPr>
          <w:rFonts w:cs="Bookman Old Style"/>
          <w:color w:val="000000"/>
          <w:sz w:val="22"/>
          <w:szCs w:val="22"/>
        </w:rPr>
        <w:t>pen tyre burning is</w:t>
      </w:r>
      <w:r w:rsidR="00593AE7" w:rsidRPr="001D14A6">
        <w:rPr>
          <w:rFonts w:cs="Bookman Old Style"/>
          <w:color w:val="000000"/>
          <w:sz w:val="22"/>
          <w:szCs w:val="22"/>
        </w:rPr>
        <w:t xml:space="preserve"> toxic and mutagenic</w:t>
      </w:r>
      <w:r w:rsidR="00B67B20" w:rsidRPr="001D14A6">
        <w:rPr>
          <w:rFonts w:cs="Bookman Old Style"/>
          <w:color w:val="000000"/>
          <w:sz w:val="22"/>
          <w:szCs w:val="22"/>
        </w:rPr>
        <w:t xml:space="preserve"> and</w:t>
      </w:r>
      <w:r w:rsidR="00593AE7" w:rsidRPr="001D14A6">
        <w:rPr>
          <w:rFonts w:cs="Bookman Old Style"/>
          <w:color w:val="000000"/>
          <w:sz w:val="22"/>
          <w:szCs w:val="22"/>
        </w:rPr>
        <w:t xml:space="preserve"> emissions include</w:t>
      </w:r>
      <w:r w:rsidR="00593AE7" w:rsidRPr="001D14A6">
        <w:rPr>
          <w:rFonts w:cs="Times"/>
          <w:color w:val="000000"/>
          <w:sz w:val="22"/>
          <w:szCs w:val="22"/>
        </w:rPr>
        <w:t xml:space="preserve"> </w:t>
      </w:r>
      <w:r w:rsidR="00593AE7" w:rsidRPr="001D14A6">
        <w:rPr>
          <w:rFonts w:cs="Bookman Old Style"/>
          <w:color w:val="000000"/>
          <w:sz w:val="22"/>
          <w:szCs w:val="22"/>
        </w:rPr>
        <w:t xml:space="preserve">pollutants such as particulates, carbon monoxide, sulphur oxides, oxides of nitrogen and volatile organic compounds. Depending on the length and degree of exposure, the adverse health impacts include irritation of the skin, eyes, and mucous membranes, respiratory effects, central nervous system depression, and cancer. </w:t>
      </w:r>
      <w:r w:rsidR="00B67B20" w:rsidRPr="001D14A6">
        <w:rPr>
          <w:rFonts w:cs="Bookman Old Style"/>
          <w:color w:val="000000"/>
          <w:sz w:val="22"/>
          <w:szCs w:val="22"/>
        </w:rPr>
        <w:t>Stock-p</w:t>
      </w:r>
      <w:r w:rsidR="00593AE7" w:rsidRPr="001D14A6">
        <w:rPr>
          <w:rFonts w:cs="Bookman Old Style"/>
          <w:color w:val="000000"/>
          <w:sz w:val="22"/>
          <w:szCs w:val="22"/>
        </w:rPr>
        <w:t>iled used tyres can also be a health hazard as they become breeding gr</w:t>
      </w:r>
      <w:r w:rsidR="00722B49" w:rsidRPr="001D14A6">
        <w:rPr>
          <w:rFonts w:cs="Bookman Old Style"/>
          <w:color w:val="000000"/>
          <w:sz w:val="22"/>
          <w:szCs w:val="22"/>
        </w:rPr>
        <w:t>ounds for diseases</w:t>
      </w:r>
      <w:r w:rsidR="00593AE7" w:rsidRPr="001D14A6">
        <w:rPr>
          <w:rFonts w:cs="Bookman Old Style"/>
          <w:color w:val="000000"/>
          <w:sz w:val="22"/>
          <w:szCs w:val="22"/>
        </w:rPr>
        <w:t xml:space="preserve"> and can even catch fire.  </w:t>
      </w:r>
      <w:r w:rsidR="00676219" w:rsidRPr="001D14A6">
        <w:rPr>
          <w:rFonts w:cs="Bookman Old Style"/>
          <w:color w:val="000000"/>
          <w:sz w:val="22"/>
          <w:szCs w:val="22"/>
        </w:rPr>
        <w:t>Accordingly, the NGT dire</w:t>
      </w:r>
      <w:r w:rsidR="000B1A93" w:rsidRPr="001D14A6">
        <w:rPr>
          <w:rFonts w:cs="Bookman Old Style"/>
          <w:color w:val="000000"/>
          <w:sz w:val="22"/>
          <w:szCs w:val="22"/>
        </w:rPr>
        <w:t xml:space="preserve">cted the regulatory agencies to </w:t>
      </w:r>
      <w:r w:rsidR="00B67B20" w:rsidRPr="001D14A6">
        <w:rPr>
          <w:rFonts w:cs="Times"/>
          <w:color w:val="000000"/>
          <w:sz w:val="22"/>
          <w:szCs w:val="22"/>
        </w:rPr>
        <w:t xml:space="preserve">urgently </w:t>
      </w:r>
      <w:r w:rsidR="003E2F8D" w:rsidRPr="001D14A6">
        <w:rPr>
          <w:rFonts w:cs="Times"/>
          <w:color w:val="000000"/>
          <w:sz w:val="22"/>
          <w:szCs w:val="22"/>
        </w:rPr>
        <w:t xml:space="preserve">develop </w:t>
      </w:r>
      <w:r w:rsidR="000B1A93" w:rsidRPr="001D14A6">
        <w:rPr>
          <w:rFonts w:cs="Times"/>
          <w:color w:val="000000"/>
          <w:sz w:val="22"/>
          <w:szCs w:val="22"/>
        </w:rPr>
        <w:t xml:space="preserve">regulations </w:t>
      </w:r>
      <w:r w:rsidR="003E2F8D" w:rsidRPr="001D14A6">
        <w:rPr>
          <w:rFonts w:cs="Times"/>
          <w:color w:val="000000"/>
          <w:sz w:val="22"/>
          <w:szCs w:val="22"/>
        </w:rPr>
        <w:t>deal</w:t>
      </w:r>
      <w:r w:rsidR="000B1A93" w:rsidRPr="001D14A6">
        <w:rPr>
          <w:rFonts w:cs="Times"/>
          <w:color w:val="000000"/>
          <w:sz w:val="22"/>
          <w:szCs w:val="22"/>
        </w:rPr>
        <w:t>ing</w:t>
      </w:r>
      <w:r w:rsidR="003E2F8D" w:rsidRPr="001D14A6">
        <w:rPr>
          <w:rFonts w:cs="Times"/>
          <w:color w:val="000000"/>
          <w:sz w:val="22"/>
          <w:szCs w:val="22"/>
        </w:rPr>
        <w:t xml:space="preserve"> systematically with the issue</w:t>
      </w:r>
      <w:r w:rsidR="003B180B" w:rsidRPr="001D14A6">
        <w:rPr>
          <w:rFonts w:cs="Times"/>
          <w:color w:val="000000"/>
          <w:sz w:val="22"/>
          <w:szCs w:val="22"/>
        </w:rPr>
        <w:t xml:space="preserve"> based on the ‘life cycle approach’, considering the pollution potential, data on tyre generation, technology options, techno-economic viability and the social implications </w:t>
      </w:r>
      <w:r w:rsidR="003E2F8D" w:rsidRPr="001D14A6">
        <w:rPr>
          <w:rFonts w:cs="Times"/>
          <w:color w:val="000000"/>
          <w:sz w:val="22"/>
          <w:szCs w:val="22"/>
        </w:rPr>
        <w:t>based on</w:t>
      </w:r>
      <w:r w:rsidR="003B180B" w:rsidRPr="001D14A6">
        <w:rPr>
          <w:rFonts w:cs="Times"/>
          <w:color w:val="000000"/>
          <w:sz w:val="22"/>
          <w:szCs w:val="22"/>
        </w:rPr>
        <w:t xml:space="preserve"> the principles of sustainable development </w:t>
      </w:r>
      <w:r w:rsidR="00293A6B" w:rsidRPr="001D14A6">
        <w:rPr>
          <w:rFonts w:cs="Times"/>
          <w:color w:val="000000"/>
          <w:sz w:val="22"/>
          <w:szCs w:val="22"/>
        </w:rPr>
        <w:t>and th</w:t>
      </w:r>
      <w:r w:rsidR="003E2F8D" w:rsidRPr="001D14A6">
        <w:rPr>
          <w:rFonts w:cs="Times"/>
          <w:color w:val="000000"/>
          <w:sz w:val="22"/>
          <w:szCs w:val="22"/>
        </w:rPr>
        <w:t>e precautionary principle</w:t>
      </w:r>
      <w:r w:rsidR="00617A8C" w:rsidRPr="001D14A6">
        <w:rPr>
          <w:rFonts w:cs="Times"/>
          <w:color w:val="000000"/>
          <w:sz w:val="22"/>
          <w:szCs w:val="22"/>
        </w:rPr>
        <w:t>.</w:t>
      </w:r>
      <w:r w:rsidR="00656BFF" w:rsidRPr="001D14A6">
        <w:rPr>
          <w:rFonts w:cs="Times"/>
          <w:color w:val="000000"/>
          <w:sz w:val="22"/>
          <w:szCs w:val="22"/>
        </w:rPr>
        <w:t xml:space="preserve"> </w:t>
      </w:r>
    </w:p>
    <w:p w14:paraId="2DDBB020" w14:textId="7ABDBC3A" w:rsidR="00123E8F" w:rsidRPr="001D14A6" w:rsidRDefault="00F976FA" w:rsidP="008E18D5">
      <w:pPr>
        <w:widowControl w:val="0"/>
        <w:autoSpaceDE w:val="0"/>
        <w:autoSpaceDN w:val="0"/>
        <w:adjustRightInd w:val="0"/>
        <w:spacing w:after="240" w:line="276" w:lineRule="auto"/>
        <w:rPr>
          <w:rFonts w:cs="Times"/>
          <w:color w:val="000000"/>
          <w:sz w:val="22"/>
          <w:szCs w:val="22"/>
        </w:rPr>
      </w:pPr>
      <w:r w:rsidRPr="001D14A6">
        <w:rPr>
          <w:rFonts w:cs="Times"/>
          <w:color w:val="000000"/>
          <w:sz w:val="22"/>
          <w:szCs w:val="22"/>
        </w:rPr>
        <w:t>Again, i</w:t>
      </w:r>
      <w:r w:rsidR="003448B8" w:rsidRPr="001D14A6">
        <w:rPr>
          <w:rFonts w:cs="Times"/>
          <w:color w:val="000000"/>
          <w:sz w:val="22"/>
          <w:szCs w:val="22"/>
        </w:rPr>
        <w:t xml:space="preserve">n </w:t>
      </w:r>
      <w:r w:rsidR="007D1475" w:rsidRPr="001D14A6">
        <w:rPr>
          <w:rFonts w:cs="Times"/>
          <w:i/>
          <w:color w:val="000000"/>
          <w:sz w:val="22"/>
          <w:szCs w:val="22"/>
        </w:rPr>
        <w:t>Haat Supreme Wastech Limited v State of Haryana</w:t>
      </w:r>
      <w:r w:rsidR="00C85F7C" w:rsidRPr="001D14A6">
        <w:rPr>
          <w:rStyle w:val="FootnoteReference"/>
          <w:rFonts w:cs="Times"/>
          <w:i/>
          <w:color w:val="000000"/>
          <w:sz w:val="22"/>
          <w:szCs w:val="22"/>
        </w:rPr>
        <w:footnoteReference w:id="19"/>
      </w:r>
      <w:r w:rsidR="007D1475" w:rsidRPr="001D14A6">
        <w:rPr>
          <w:rFonts w:cs="Times"/>
          <w:color w:val="000000"/>
          <w:sz w:val="22"/>
          <w:szCs w:val="22"/>
        </w:rPr>
        <w:t xml:space="preserve"> the NGT expanded the scope of rules relating to bio-medical waste treatment plants. The Bio-Medical Waste (Management and Handling) Rules 1998 are silent about whether the establishment and operation of a treatment plant requires environmental clearance. Bio-medical waste by its very nature is hazardous</w:t>
      </w:r>
      <w:r w:rsidR="00B67B20" w:rsidRPr="001D14A6">
        <w:rPr>
          <w:rFonts w:cs="Times"/>
          <w:color w:val="000000"/>
          <w:sz w:val="22"/>
          <w:szCs w:val="22"/>
        </w:rPr>
        <w:t>.</w:t>
      </w:r>
      <w:r w:rsidR="007D1475" w:rsidRPr="001D14A6">
        <w:rPr>
          <w:rFonts w:cs="Times"/>
          <w:color w:val="000000"/>
          <w:sz w:val="22"/>
          <w:szCs w:val="22"/>
        </w:rPr>
        <w:t xml:space="preserve"> A medical waste incinerator may release into the air a wide variety of pollutants including dioxins, furans, metals</w:t>
      </w:r>
      <w:r w:rsidR="00B67B20" w:rsidRPr="001D14A6">
        <w:rPr>
          <w:rFonts w:cs="Times"/>
          <w:color w:val="000000"/>
          <w:sz w:val="22"/>
          <w:szCs w:val="22"/>
        </w:rPr>
        <w:t xml:space="preserve"> (including</w:t>
      </w:r>
      <w:r w:rsidR="00155214" w:rsidRPr="001D14A6">
        <w:rPr>
          <w:rFonts w:cs="Times"/>
          <w:color w:val="000000"/>
          <w:sz w:val="22"/>
          <w:szCs w:val="22"/>
        </w:rPr>
        <w:t xml:space="preserve"> lead, mercury, cadmium</w:t>
      </w:r>
      <w:r w:rsidR="00B67B20" w:rsidRPr="001D14A6">
        <w:rPr>
          <w:rFonts w:cs="Times"/>
          <w:color w:val="000000"/>
          <w:sz w:val="22"/>
          <w:szCs w:val="22"/>
        </w:rPr>
        <w:t>)</w:t>
      </w:r>
      <w:r w:rsidR="00155214" w:rsidRPr="001D14A6">
        <w:rPr>
          <w:rFonts w:cs="Times"/>
          <w:color w:val="000000"/>
          <w:sz w:val="22"/>
          <w:szCs w:val="22"/>
        </w:rPr>
        <w:t xml:space="preserve">, </w:t>
      </w:r>
      <w:r w:rsidR="007D1475" w:rsidRPr="001D14A6">
        <w:rPr>
          <w:rFonts w:cs="Times"/>
          <w:color w:val="000000"/>
          <w:sz w:val="22"/>
          <w:szCs w:val="22"/>
        </w:rPr>
        <w:t xml:space="preserve">particulate matter, acid gases, etc. These have serious adverse consequences for safety, public health and the environment. </w:t>
      </w:r>
      <w:r w:rsidR="00DC1612" w:rsidRPr="001D14A6">
        <w:rPr>
          <w:rFonts w:cs="Times"/>
          <w:color w:val="000000"/>
          <w:sz w:val="22"/>
          <w:szCs w:val="22"/>
        </w:rPr>
        <w:t xml:space="preserve">The </w:t>
      </w:r>
      <w:r w:rsidR="00B67B20" w:rsidRPr="001D14A6">
        <w:rPr>
          <w:rFonts w:cs="Times"/>
          <w:color w:val="000000"/>
          <w:sz w:val="22"/>
          <w:szCs w:val="22"/>
        </w:rPr>
        <w:t>T</w:t>
      </w:r>
      <w:r w:rsidR="00DC1612" w:rsidRPr="001D14A6">
        <w:rPr>
          <w:rFonts w:cs="Times"/>
          <w:color w:val="000000"/>
          <w:sz w:val="22"/>
          <w:szCs w:val="22"/>
        </w:rPr>
        <w:t>ribunal</w:t>
      </w:r>
      <w:r w:rsidR="007D1475" w:rsidRPr="001D14A6">
        <w:rPr>
          <w:rFonts w:cs="Times"/>
          <w:color w:val="000000"/>
          <w:sz w:val="22"/>
          <w:szCs w:val="22"/>
        </w:rPr>
        <w:t xml:space="preserve"> directed that it is mandatory to obtain environmental clearance for the t</w:t>
      </w:r>
      <w:r w:rsidR="005720AF" w:rsidRPr="001D14A6">
        <w:rPr>
          <w:rFonts w:cs="Times"/>
          <w:color w:val="000000"/>
          <w:sz w:val="22"/>
          <w:szCs w:val="22"/>
        </w:rPr>
        <w:t>reatment plants</w:t>
      </w:r>
      <w:r w:rsidR="00AE7D02" w:rsidRPr="001D14A6">
        <w:rPr>
          <w:rFonts w:cs="Times"/>
          <w:color w:val="000000"/>
          <w:sz w:val="22"/>
          <w:szCs w:val="22"/>
        </w:rPr>
        <w:t>. This requirement</w:t>
      </w:r>
      <w:r w:rsidR="00B67B20" w:rsidRPr="001D14A6">
        <w:rPr>
          <w:rFonts w:cs="Times"/>
          <w:color w:val="000000"/>
          <w:sz w:val="22"/>
          <w:szCs w:val="22"/>
        </w:rPr>
        <w:t>,</w:t>
      </w:r>
      <w:r w:rsidR="00AE7D02" w:rsidRPr="001D14A6">
        <w:rPr>
          <w:rFonts w:cs="Times"/>
          <w:color w:val="000000"/>
          <w:sz w:val="22"/>
          <w:szCs w:val="22"/>
        </w:rPr>
        <w:t xml:space="preserve"> when properly carried out</w:t>
      </w:r>
      <w:r w:rsidR="00B67B20" w:rsidRPr="001D14A6">
        <w:rPr>
          <w:rFonts w:cs="Times"/>
          <w:color w:val="000000"/>
          <w:sz w:val="22"/>
          <w:szCs w:val="22"/>
        </w:rPr>
        <w:t>,</w:t>
      </w:r>
      <w:r w:rsidR="00AE7D02" w:rsidRPr="001D14A6">
        <w:rPr>
          <w:rFonts w:cs="Times"/>
          <w:color w:val="000000"/>
          <w:sz w:val="22"/>
          <w:szCs w:val="22"/>
        </w:rPr>
        <w:t xml:space="preserve"> would help to ensure</w:t>
      </w:r>
      <w:r w:rsidR="007D1475" w:rsidRPr="001D14A6">
        <w:rPr>
          <w:rFonts w:cs="Times"/>
          <w:color w:val="000000"/>
          <w:sz w:val="22"/>
          <w:szCs w:val="22"/>
        </w:rPr>
        <w:t xml:space="preserve"> an appropriate analysis of the suitability of the location and its</w:t>
      </w:r>
      <w:r w:rsidR="007D1475" w:rsidRPr="001D14A6">
        <w:rPr>
          <w:rFonts w:cs="Times"/>
          <w:color w:val="3B3B3B"/>
          <w:sz w:val="22"/>
          <w:szCs w:val="22"/>
        </w:rPr>
        <w:t xml:space="preserve"> </w:t>
      </w:r>
      <w:r w:rsidR="007D1475" w:rsidRPr="001D14A6">
        <w:rPr>
          <w:rFonts w:cs="Times"/>
          <w:color w:val="000000"/>
          <w:sz w:val="22"/>
          <w:szCs w:val="22"/>
        </w:rPr>
        <w:t>surroundings</w:t>
      </w:r>
      <w:r w:rsidR="00B67B20" w:rsidRPr="001D14A6">
        <w:rPr>
          <w:rFonts w:cs="Times"/>
          <w:color w:val="000000"/>
          <w:sz w:val="22"/>
          <w:szCs w:val="22"/>
        </w:rPr>
        <w:t>,</w:t>
      </w:r>
      <w:r w:rsidR="007D1475" w:rsidRPr="001D14A6">
        <w:rPr>
          <w:rFonts w:cs="Times"/>
          <w:color w:val="000000"/>
          <w:sz w:val="22"/>
          <w:szCs w:val="22"/>
        </w:rPr>
        <w:t xml:space="preserve"> </w:t>
      </w:r>
      <w:r w:rsidR="00B67B20" w:rsidRPr="001D14A6">
        <w:rPr>
          <w:rFonts w:cs="Times"/>
          <w:color w:val="000000"/>
          <w:sz w:val="22"/>
          <w:szCs w:val="22"/>
        </w:rPr>
        <w:t xml:space="preserve">the impact on public health, </w:t>
      </w:r>
      <w:r w:rsidR="007D1475" w:rsidRPr="001D14A6">
        <w:rPr>
          <w:rFonts w:cs="Times"/>
          <w:color w:val="000000"/>
          <w:sz w:val="22"/>
          <w:szCs w:val="22"/>
        </w:rPr>
        <w:t>and a more stringent observation of parameters and standards by</w:t>
      </w:r>
      <w:r w:rsidR="007D1475" w:rsidRPr="001D14A6">
        <w:rPr>
          <w:rFonts w:cs="Times"/>
          <w:color w:val="3B3B3B"/>
          <w:sz w:val="22"/>
          <w:szCs w:val="22"/>
        </w:rPr>
        <w:t xml:space="preserve"> </w:t>
      </w:r>
      <w:r w:rsidR="007D1475" w:rsidRPr="001D14A6">
        <w:rPr>
          <w:rFonts w:cs="Times"/>
          <w:color w:val="000000"/>
          <w:sz w:val="22"/>
          <w:szCs w:val="22"/>
        </w:rPr>
        <w:t>the project proponent</w:t>
      </w:r>
      <w:r w:rsidR="00B67B20" w:rsidRPr="001D14A6">
        <w:rPr>
          <w:rFonts w:cs="Times"/>
          <w:color w:val="000000"/>
          <w:sz w:val="22"/>
          <w:szCs w:val="22"/>
        </w:rPr>
        <w:t>.</w:t>
      </w:r>
      <w:r w:rsidR="007D1475" w:rsidRPr="001D14A6">
        <w:rPr>
          <w:rFonts w:cs="Times"/>
          <w:color w:val="000000"/>
          <w:sz w:val="22"/>
          <w:szCs w:val="22"/>
        </w:rPr>
        <w:t xml:space="preserve"> </w:t>
      </w:r>
    </w:p>
    <w:p w14:paraId="5AFF0324" w14:textId="40E3B083" w:rsidR="0023391C" w:rsidRPr="001D14A6" w:rsidRDefault="00B34400" w:rsidP="008E18D5">
      <w:pPr>
        <w:widowControl w:val="0"/>
        <w:autoSpaceDE w:val="0"/>
        <w:autoSpaceDN w:val="0"/>
        <w:adjustRightInd w:val="0"/>
        <w:spacing w:after="240" w:line="276" w:lineRule="auto"/>
        <w:rPr>
          <w:rFonts w:cs="Times"/>
          <w:color w:val="000000"/>
          <w:sz w:val="22"/>
          <w:szCs w:val="22"/>
        </w:rPr>
      </w:pPr>
      <w:r w:rsidRPr="001D14A6">
        <w:rPr>
          <w:rFonts w:cs="Times"/>
          <w:i/>
          <w:color w:val="000000"/>
          <w:sz w:val="22"/>
          <w:szCs w:val="22"/>
          <w:u w:val="single"/>
        </w:rPr>
        <w:t xml:space="preserve">Evolving </w:t>
      </w:r>
      <w:r w:rsidR="00D17794" w:rsidRPr="001D14A6">
        <w:rPr>
          <w:rFonts w:cs="Times"/>
          <w:i/>
          <w:color w:val="000000"/>
          <w:sz w:val="22"/>
          <w:szCs w:val="22"/>
          <w:u w:val="single"/>
        </w:rPr>
        <w:t>challenges</w:t>
      </w:r>
      <w:r w:rsidR="00D17794" w:rsidRPr="001D14A6">
        <w:rPr>
          <w:rFonts w:cs="Times"/>
          <w:color w:val="000000"/>
          <w:sz w:val="22"/>
          <w:szCs w:val="22"/>
        </w:rPr>
        <w:t xml:space="preserve">: </w:t>
      </w:r>
      <w:r w:rsidR="00553482" w:rsidRPr="001D14A6">
        <w:rPr>
          <w:rFonts w:cs="Times"/>
          <w:color w:val="000000"/>
          <w:sz w:val="22"/>
          <w:szCs w:val="22"/>
        </w:rPr>
        <w:t xml:space="preserve"> </w:t>
      </w:r>
      <w:r w:rsidR="00553482" w:rsidRPr="001D14A6">
        <w:rPr>
          <w:rFonts w:eastAsia="Times New Roman" w:cs="Times New Roman"/>
          <w:sz w:val="22"/>
          <w:szCs w:val="22"/>
          <w:lang w:eastAsia="en-GB"/>
        </w:rPr>
        <w:t xml:space="preserve">India's response to the </w:t>
      </w:r>
      <w:r w:rsidR="00553482" w:rsidRPr="001D14A6">
        <w:rPr>
          <w:rFonts w:cs="Times"/>
          <w:color w:val="000000"/>
          <w:sz w:val="22"/>
          <w:szCs w:val="22"/>
        </w:rPr>
        <w:t xml:space="preserve">cross-sectoral </w:t>
      </w:r>
      <w:r w:rsidR="005E61FD" w:rsidRPr="001D14A6">
        <w:rPr>
          <w:rFonts w:cs="Times"/>
          <w:color w:val="000000"/>
          <w:sz w:val="22"/>
          <w:szCs w:val="22"/>
        </w:rPr>
        <w:t>nature of</w:t>
      </w:r>
      <w:r w:rsidR="00553482" w:rsidRPr="001D14A6">
        <w:rPr>
          <w:rFonts w:cs="Times"/>
          <w:color w:val="000000"/>
          <w:sz w:val="22"/>
          <w:szCs w:val="22"/>
        </w:rPr>
        <w:t xml:space="preserve"> complex</w:t>
      </w:r>
      <w:r w:rsidR="00553482" w:rsidRPr="001D14A6">
        <w:rPr>
          <w:rFonts w:eastAsia="Times New Roman" w:cs="Times New Roman"/>
          <w:sz w:val="22"/>
          <w:szCs w:val="22"/>
          <w:lang w:eastAsia="en-GB"/>
        </w:rPr>
        <w:t xml:space="preserve"> en</w:t>
      </w:r>
      <w:r w:rsidR="00312226" w:rsidRPr="001D14A6">
        <w:rPr>
          <w:rFonts w:eastAsia="Times New Roman" w:cs="Times New Roman"/>
          <w:sz w:val="22"/>
          <w:szCs w:val="22"/>
          <w:lang w:eastAsia="en-GB"/>
        </w:rPr>
        <w:t xml:space="preserve">vironment issues, </w:t>
      </w:r>
      <w:r w:rsidR="00260D8B" w:rsidRPr="001D14A6">
        <w:rPr>
          <w:rFonts w:eastAsia="Times New Roman" w:cs="Times New Roman"/>
          <w:sz w:val="22"/>
          <w:szCs w:val="22"/>
          <w:lang w:eastAsia="en-GB"/>
        </w:rPr>
        <w:t>incorporating</w:t>
      </w:r>
      <w:r w:rsidR="00553482" w:rsidRPr="001D14A6">
        <w:rPr>
          <w:rFonts w:eastAsia="Times New Roman" w:cs="Times New Roman"/>
          <w:sz w:val="22"/>
          <w:szCs w:val="22"/>
          <w:lang w:eastAsia="en-GB"/>
        </w:rPr>
        <w:t xml:space="preserve"> economic develo</w:t>
      </w:r>
      <w:r w:rsidR="00BF0DC9" w:rsidRPr="001D14A6">
        <w:rPr>
          <w:rFonts w:eastAsia="Times New Roman" w:cs="Times New Roman"/>
          <w:sz w:val="22"/>
          <w:szCs w:val="22"/>
          <w:lang w:eastAsia="en-GB"/>
        </w:rPr>
        <w:t>pment policies</w:t>
      </w:r>
      <w:r w:rsidR="00260D8B" w:rsidRPr="001D14A6">
        <w:rPr>
          <w:rFonts w:eastAsia="Times New Roman" w:cs="Times New Roman"/>
          <w:sz w:val="22"/>
          <w:szCs w:val="22"/>
          <w:lang w:eastAsia="en-GB"/>
        </w:rPr>
        <w:t>,</w:t>
      </w:r>
      <w:r w:rsidR="00BF0DC9" w:rsidRPr="001D14A6">
        <w:rPr>
          <w:rFonts w:eastAsia="Times New Roman" w:cs="Times New Roman"/>
          <w:sz w:val="22"/>
          <w:szCs w:val="22"/>
          <w:lang w:eastAsia="en-GB"/>
        </w:rPr>
        <w:t xml:space="preserve"> is</w:t>
      </w:r>
      <w:r w:rsidR="00553482" w:rsidRPr="001D14A6">
        <w:rPr>
          <w:rFonts w:eastAsia="Times New Roman" w:cs="Times New Roman"/>
          <w:sz w:val="22"/>
          <w:szCs w:val="22"/>
          <w:lang w:eastAsia="en-GB"/>
        </w:rPr>
        <w:t xml:space="preserve"> an on</w:t>
      </w:r>
      <w:r w:rsidR="00260D8B" w:rsidRPr="001D14A6">
        <w:rPr>
          <w:rFonts w:eastAsia="Times New Roman" w:cs="Times New Roman"/>
          <w:sz w:val="22"/>
          <w:szCs w:val="22"/>
          <w:lang w:eastAsia="en-GB"/>
        </w:rPr>
        <w:t>-</w:t>
      </w:r>
      <w:r w:rsidR="00553482" w:rsidRPr="001D14A6">
        <w:rPr>
          <w:rFonts w:eastAsia="Times New Roman" w:cs="Times New Roman"/>
          <w:sz w:val="22"/>
          <w:szCs w:val="22"/>
          <w:lang w:eastAsia="en-GB"/>
        </w:rPr>
        <w:t xml:space="preserve">going challenge. </w:t>
      </w:r>
      <w:r w:rsidR="00360F27" w:rsidRPr="001D14A6">
        <w:rPr>
          <w:rFonts w:eastAsia="Times New Roman" w:cs="Times New Roman"/>
          <w:color w:val="333333"/>
          <w:sz w:val="22"/>
          <w:szCs w:val="22"/>
          <w:shd w:val="clear" w:color="auto" w:fill="FFFFFF"/>
          <w:lang w:eastAsia="en-GB"/>
        </w:rPr>
        <w:t>Unsustainable use of natural resources not only undermines the resilience of ecosystems, it also has both direct and indirect implications for health and living standards.</w:t>
      </w:r>
      <w:r w:rsidR="008757BA" w:rsidRPr="001D14A6">
        <w:rPr>
          <w:rFonts w:eastAsia="Times New Roman" w:cs="Times New Roman"/>
          <w:color w:val="333333"/>
          <w:sz w:val="22"/>
          <w:szCs w:val="22"/>
          <w:shd w:val="clear" w:color="auto" w:fill="FFFFFF"/>
          <w:lang w:eastAsia="en-GB"/>
        </w:rPr>
        <w:t xml:space="preserve"> </w:t>
      </w:r>
      <w:r w:rsidR="00260D8B" w:rsidRPr="001D14A6">
        <w:rPr>
          <w:rFonts w:cs="Times"/>
          <w:color w:val="000000"/>
          <w:sz w:val="22"/>
          <w:szCs w:val="22"/>
        </w:rPr>
        <w:t>P</w:t>
      </w:r>
      <w:r w:rsidR="008366CA" w:rsidRPr="001D14A6">
        <w:rPr>
          <w:rFonts w:cs="Times"/>
          <w:color w:val="000000"/>
          <w:sz w:val="22"/>
          <w:szCs w:val="22"/>
        </w:rPr>
        <w:t>re-planning</w:t>
      </w:r>
      <w:r w:rsidR="00663EED" w:rsidRPr="001D14A6">
        <w:rPr>
          <w:rFonts w:cs="Times"/>
          <w:color w:val="000000"/>
          <w:sz w:val="22"/>
          <w:szCs w:val="22"/>
        </w:rPr>
        <w:t xml:space="preserve"> for</w:t>
      </w:r>
      <w:r w:rsidR="005C0B81" w:rsidRPr="001D14A6">
        <w:rPr>
          <w:rFonts w:cs="Times"/>
          <w:color w:val="000000"/>
          <w:sz w:val="22"/>
          <w:szCs w:val="22"/>
        </w:rPr>
        <w:t xml:space="preserve"> environmental issues </w:t>
      </w:r>
      <w:r w:rsidR="00003BD1" w:rsidRPr="001D14A6">
        <w:rPr>
          <w:rFonts w:cs="Times"/>
          <w:color w:val="000000"/>
          <w:sz w:val="22"/>
          <w:szCs w:val="22"/>
        </w:rPr>
        <w:t xml:space="preserve">through policy interventions and financial commitments </w:t>
      </w:r>
      <w:r w:rsidR="005C0B81" w:rsidRPr="001D14A6">
        <w:rPr>
          <w:rFonts w:cs="Times"/>
          <w:color w:val="000000"/>
          <w:sz w:val="22"/>
          <w:szCs w:val="22"/>
        </w:rPr>
        <w:t>at the project-planning stage of development proje</w:t>
      </w:r>
      <w:r w:rsidR="005A2DE8" w:rsidRPr="001D14A6">
        <w:rPr>
          <w:rFonts w:cs="Times"/>
          <w:color w:val="000000"/>
          <w:sz w:val="22"/>
          <w:szCs w:val="22"/>
        </w:rPr>
        <w:t>cts is</w:t>
      </w:r>
      <w:r w:rsidR="002332EF" w:rsidRPr="001D14A6">
        <w:rPr>
          <w:rFonts w:cs="Times"/>
          <w:color w:val="000000"/>
          <w:sz w:val="22"/>
          <w:szCs w:val="22"/>
        </w:rPr>
        <w:t xml:space="preserve"> an important</w:t>
      </w:r>
      <w:r w:rsidR="005A2DE8" w:rsidRPr="001D14A6">
        <w:rPr>
          <w:rFonts w:cs="Times"/>
          <w:color w:val="000000"/>
          <w:sz w:val="22"/>
          <w:szCs w:val="22"/>
        </w:rPr>
        <w:t xml:space="preserve"> way to minimise</w:t>
      </w:r>
      <w:r w:rsidR="005C0B81" w:rsidRPr="001D14A6">
        <w:rPr>
          <w:rFonts w:cs="Times"/>
          <w:color w:val="000000"/>
          <w:sz w:val="22"/>
          <w:szCs w:val="22"/>
        </w:rPr>
        <w:t xml:space="preserve"> adverse environmental impacts</w:t>
      </w:r>
      <w:r w:rsidR="005A2DE8" w:rsidRPr="001D14A6">
        <w:rPr>
          <w:rFonts w:cs="Times"/>
          <w:color w:val="000000"/>
          <w:sz w:val="22"/>
          <w:szCs w:val="22"/>
        </w:rPr>
        <w:t>.</w:t>
      </w:r>
      <w:r w:rsidR="005C0B81" w:rsidRPr="001D14A6">
        <w:rPr>
          <w:rFonts w:cs="Times"/>
          <w:color w:val="000000"/>
          <w:sz w:val="22"/>
          <w:szCs w:val="22"/>
        </w:rPr>
        <w:t xml:space="preserve"> </w:t>
      </w:r>
      <w:r w:rsidR="007A188D" w:rsidRPr="001D14A6">
        <w:rPr>
          <w:rFonts w:cs="Times"/>
          <w:color w:val="000000"/>
          <w:sz w:val="22"/>
          <w:szCs w:val="22"/>
        </w:rPr>
        <w:t xml:space="preserve">In </w:t>
      </w:r>
      <w:r w:rsidR="00895766" w:rsidRPr="001D14A6">
        <w:rPr>
          <w:rFonts w:cs="Times"/>
          <w:i/>
          <w:iCs/>
          <w:color w:val="000000"/>
          <w:sz w:val="22"/>
          <w:szCs w:val="22"/>
        </w:rPr>
        <w:t>Narmada Khand Swabhiman Sewa v Madhya Pradesh</w:t>
      </w:r>
      <w:r w:rsidR="00895766" w:rsidRPr="001D14A6">
        <w:rPr>
          <w:rStyle w:val="FootnoteReference"/>
          <w:rFonts w:cs="Times"/>
          <w:i/>
          <w:iCs/>
          <w:color w:val="000000"/>
          <w:sz w:val="22"/>
          <w:szCs w:val="22"/>
        </w:rPr>
        <w:footnoteReference w:id="20"/>
      </w:r>
      <w:r w:rsidR="00895766" w:rsidRPr="001D14A6">
        <w:rPr>
          <w:rFonts w:cs="Times"/>
          <w:iCs/>
          <w:color w:val="000000"/>
          <w:sz w:val="22"/>
          <w:szCs w:val="22"/>
        </w:rPr>
        <w:t xml:space="preserve"> the experts </w:t>
      </w:r>
      <w:r w:rsidR="00094613" w:rsidRPr="001D14A6">
        <w:rPr>
          <w:rFonts w:cs="Times"/>
          <w:color w:val="000000"/>
          <w:sz w:val="22"/>
          <w:szCs w:val="22"/>
        </w:rPr>
        <w:t xml:space="preserve">suggested the introduction of policy change to integrate aspects of biodiversity protection and commercial activities in the Bio-sphere Reserves (BRs), critically assessing sustainability, accompanied by a set of related quantitative, qualitative or descriptive attributes by preparing a landscape plan </w:t>
      </w:r>
      <w:r w:rsidR="002332EF" w:rsidRPr="001D14A6">
        <w:rPr>
          <w:rFonts w:cs="Times"/>
          <w:color w:val="000000"/>
          <w:sz w:val="22"/>
          <w:szCs w:val="22"/>
        </w:rPr>
        <w:t xml:space="preserve">based </w:t>
      </w:r>
      <w:r w:rsidR="00094613" w:rsidRPr="001D14A6">
        <w:rPr>
          <w:rFonts w:cs="Times"/>
          <w:color w:val="000000"/>
          <w:sz w:val="22"/>
          <w:szCs w:val="22"/>
        </w:rPr>
        <w:t>on the principle of precaution and sustainable development.  B</w:t>
      </w:r>
      <w:r w:rsidR="001D14A6" w:rsidRPr="001D14A6">
        <w:rPr>
          <w:rFonts w:cs="Times"/>
          <w:color w:val="000000"/>
          <w:sz w:val="22"/>
          <w:szCs w:val="22"/>
        </w:rPr>
        <w:t>io-sphere reserve</w:t>
      </w:r>
      <w:r w:rsidR="00094613" w:rsidRPr="001D14A6">
        <w:rPr>
          <w:rFonts w:cs="Times"/>
          <w:color w:val="000000"/>
          <w:sz w:val="22"/>
          <w:szCs w:val="22"/>
        </w:rPr>
        <w:t xml:space="preserve"> is a UNESCO international designation for representative parts of natural and cultural landscapes extending over large areas of terrestrial or coastal/marine ecosystems or a combination thereof. </w:t>
      </w:r>
      <w:r w:rsidR="00DF1565" w:rsidRPr="001D14A6">
        <w:rPr>
          <w:rFonts w:cs="Times"/>
          <w:color w:val="000000"/>
          <w:sz w:val="22"/>
          <w:szCs w:val="22"/>
        </w:rPr>
        <w:t>BRs are not declared or notified under any M</w:t>
      </w:r>
      <w:r w:rsidR="001D14A6" w:rsidRPr="001D14A6">
        <w:rPr>
          <w:rFonts w:cs="Times"/>
          <w:color w:val="000000"/>
          <w:sz w:val="22"/>
          <w:szCs w:val="22"/>
        </w:rPr>
        <w:t>inistry of Environment and Forest</w:t>
      </w:r>
      <w:r w:rsidR="00DF1565" w:rsidRPr="001D14A6">
        <w:rPr>
          <w:rFonts w:cs="Times"/>
          <w:color w:val="000000"/>
          <w:sz w:val="22"/>
          <w:szCs w:val="22"/>
        </w:rPr>
        <w:t xml:space="preserve"> law and thus no legal issues are involved.</w:t>
      </w:r>
      <w:r w:rsidR="0023391C" w:rsidRPr="001D14A6">
        <w:rPr>
          <w:rFonts w:cs="Times"/>
          <w:color w:val="000000"/>
          <w:sz w:val="22"/>
          <w:szCs w:val="22"/>
        </w:rPr>
        <w:t xml:space="preserve"> In this case</w:t>
      </w:r>
      <w:r w:rsidR="00DA31F7" w:rsidRPr="001D14A6">
        <w:rPr>
          <w:rFonts w:cs="Times"/>
          <w:color w:val="000000"/>
          <w:sz w:val="22"/>
          <w:szCs w:val="22"/>
        </w:rPr>
        <w:t xml:space="preserve">, an application was led by a social-activist organisation against mining activities in the sensitive Achanakmar-Amarkantak BR. </w:t>
      </w:r>
      <w:r w:rsidR="00792368" w:rsidRPr="001D14A6">
        <w:rPr>
          <w:rFonts w:cs="Times"/>
          <w:color w:val="000000"/>
          <w:sz w:val="22"/>
          <w:szCs w:val="22"/>
        </w:rPr>
        <w:t>The organisation</w:t>
      </w:r>
      <w:r w:rsidR="00DA31F7" w:rsidRPr="001D14A6">
        <w:rPr>
          <w:rFonts w:cs="Times"/>
          <w:color w:val="000000"/>
          <w:sz w:val="22"/>
          <w:szCs w:val="22"/>
        </w:rPr>
        <w:t xml:space="preserve"> contended that mining </w:t>
      </w:r>
      <w:r w:rsidR="00DA31F7" w:rsidRPr="001D14A6">
        <w:rPr>
          <w:rFonts w:cs="Times"/>
          <w:color w:val="000000"/>
          <w:sz w:val="22"/>
          <w:szCs w:val="22"/>
        </w:rPr>
        <w:lastRenderedPageBreak/>
        <w:t>would cause irreparable damage to the ecology, flora and fauna, besides p</w:t>
      </w:r>
      <w:r w:rsidR="005A2DE8" w:rsidRPr="001D14A6">
        <w:rPr>
          <w:rFonts w:cs="Times"/>
          <w:color w:val="000000"/>
          <w:sz w:val="22"/>
          <w:szCs w:val="22"/>
        </w:rPr>
        <w:t>olluting the river Narmada that</w:t>
      </w:r>
      <w:r w:rsidR="00DA31F7" w:rsidRPr="001D14A6">
        <w:rPr>
          <w:rFonts w:cs="Times"/>
          <w:color w:val="000000"/>
          <w:sz w:val="22"/>
          <w:szCs w:val="22"/>
        </w:rPr>
        <w:t xml:space="preserve"> originates there. The NGT observed that </w:t>
      </w:r>
      <w:r w:rsidR="0023391C" w:rsidRPr="001D14A6">
        <w:rPr>
          <w:rFonts w:cs="Times"/>
          <w:color w:val="000000"/>
          <w:sz w:val="22"/>
          <w:szCs w:val="22"/>
        </w:rPr>
        <w:t>mining and other related industries negatively impact, directly and indirectly, on biodiversity and com</w:t>
      </w:r>
      <w:r w:rsidR="00DA31F7" w:rsidRPr="001D14A6">
        <w:rPr>
          <w:rFonts w:cs="Times"/>
          <w:color w:val="000000"/>
          <w:sz w:val="22"/>
          <w:szCs w:val="22"/>
        </w:rPr>
        <w:t>munities, though they can make a significant contri</w:t>
      </w:r>
      <w:r w:rsidR="0023391C" w:rsidRPr="001D14A6">
        <w:rPr>
          <w:rFonts w:cs="Times"/>
          <w:color w:val="000000"/>
          <w:sz w:val="22"/>
          <w:szCs w:val="22"/>
        </w:rPr>
        <w:t>bution to sustainable development when environmental, social and corporate governance issues are effectively managed. Preparation of a detailed landscape plan was required, followed by a detailed EIA s</w:t>
      </w:r>
      <w:r w:rsidR="00DA31F7" w:rsidRPr="001D14A6">
        <w:rPr>
          <w:rFonts w:cs="Times"/>
          <w:color w:val="000000"/>
          <w:sz w:val="22"/>
          <w:szCs w:val="22"/>
        </w:rPr>
        <w:t>tudy to ensure ecological integ</w:t>
      </w:r>
      <w:r w:rsidR="00F30A1D" w:rsidRPr="001D14A6">
        <w:rPr>
          <w:rFonts w:cs="Times"/>
          <w:color w:val="000000"/>
          <w:sz w:val="22"/>
          <w:szCs w:val="22"/>
        </w:rPr>
        <w:t>rity is maintained.</w:t>
      </w:r>
    </w:p>
    <w:p w14:paraId="09A3E450" w14:textId="750E38BE" w:rsidR="008F1358" w:rsidRPr="001D14A6" w:rsidRDefault="008F1358" w:rsidP="008E18D5">
      <w:pPr>
        <w:widowControl w:val="0"/>
        <w:autoSpaceDE w:val="0"/>
        <w:autoSpaceDN w:val="0"/>
        <w:adjustRightInd w:val="0"/>
        <w:spacing w:after="240" w:line="276" w:lineRule="auto"/>
        <w:rPr>
          <w:rFonts w:cs="Times"/>
          <w:color w:val="000000"/>
          <w:sz w:val="22"/>
          <w:szCs w:val="22"/>
        </w:rPr>
      </w:pPr>
      <w:r w:rsidRPr="001D14A6">
        <w:rPr>
          <w:rFonts w:cs="Times"/>
          <w:color w:val="000000"/>
          <w:sz w:val="22"/>
          <w:szCs w:val="22"/>
        </w:rPr>
        <w:t>The NGT’s scientific experts and the use of their knowledge within a judicially controlled forum offers an internalised, accountability-focused approach whereby a diverse set of actors, such as governmental and local authorities, companies and multinational corporations, are restrained from compromising human welfare and the ecology.</w:t>
      </w:r>
    </w:p>
    <w:p w14:paraId="66D7FE0C" w14:textId="7324A822" w:rsidR="007C5B15" w:rsidRPr="001D14A6" w:rsidRDefault="007C5B15" w:rsidP="008E18D5">
      <w:pPr>
        <w:widowControl w:val="0"/>
        <w:autoSpaceDE w:val="0"/>
        <w:autoSpaceDN w:val="0"/>
        <w:adjustRightInd w:val="0"/>
        <w:spacing w:after="240" w:line="276" w:lineRule="auto"/>
        <w:rPr>
          <w:rFonts w:cs="Times"/>
          <w:i/>
          <w:color w:val="000000"/>
          <w:sz w:val="22"/>
          <w:szCs w:val="22"/>
        </w:rPr>
      </w:pPr>
      <w:r w:rsidRPr="001D14A6">
        <w:rPr>
          <w:rFonts w:cs="Times"/>
          <w:i/>
          <w:color w:val="000000"/>
          <w:sz w:val="22"/>
          <w:szCs w:val="22"/>
        </w:rPr>
        <w:t>Scientific Expertise and Uncertainty</w:t>
      </w:r>
    </w:p>
    <w:p w14:paraId="68E4DA16" w14:textId="7339689E" w:rsidR="00CD1F12" w:rsidRPr="001D14A6" w:rsidRDefault="00F41E46" w:rsidP="008E18D5">
      <w:pPr>
        <w:widowControl w:val="0"/>
        <w:autoSpaceDE w:val="0"/>
        <w:autoSpaceDN w:val="0"/>
        <w:adjustRightInd w:val="0"/>
        <w:spacing w:after="240" w:line="276" w:lineRule="auto"/>
        <w:rPr>
          <w:rFonts w:cs="Times"/>
          <w:color w:val="000000"/>
          <w:sz w:val="22"/>
          <w:szCs w:val="22"/>
        </w:rPr>
      </w:pPr>
      <w:r w:rsidRPr="001D14A6">
        <w:rPr>
          <w:rFonts w:cs="Times"/>
          <w:color w:val="000000"/>
          <w:sz w:val="22"/>
          <w:szCs w:val="22"/>
        </w:rPr>
        <w:t>The NGT experts are</w:t>
      </w:r>
      <w:r w:rsidR="004C0387" w:rsidRPr="001D14A6">
        <w:rPr>
          <w:rFonts w:cs="Times"/>
          <w:color w:val="000000"/>
          <w:sz w:val="22"/>
          <w:szCs w:val="22"/>
        </w:rPr>
        <w:t xml:space="preserve"> mandated to</w:t>
      </w:r>
      <w:r w:rsidR="005A2DE8" w:rsidRPr="001D14A6">
        <w:rPr>
          <w:rFonts w:cs="Times"/>
          <w:color w:val="000000"/>
          <w:sz w:val="22"/>
          <w:szCs w:val="22"/>
        </w:rPr>
        <w:t xml:space="preserve"> participate in the</w:t>
      </w:r>
      <w:r w:rsidR="004C0387" w:rsidRPr="001D14A6">
        <w:rPr>
          <w:rFonts w:cs="Times"/>
          <w:color w:val="000000"/>
          <w:sz w:val="22"/>
          <w:szCs w:val="22"/>
        </w:rPr>
        <w:t xml:space="preserve"> pass</w:t>
      </w:r>
      <w:r w:rsidR="005A2DE8" w:rsidRPr="001D14A6">
        <w:rPr>
          <w:rFonts w:cs="Times"/>
          <w:color w:val="000000"/>
          <w:sz w:val="22"/>
          <w:szCs w:val="22"/>
        </w:rPr>
        <w:t>ing of</w:t>
      </w:r>
      <w:r w:rsidR="004C0387" w:rsidRPr="001D14A6">
        <w:rPr>
          <w:rFonts w:cs="Times"/>
          <w:color w:val="000000"/>
          <w:sz w:val="22"/>
          <w:szCs w:val="22"/>
        </w:rPr>
        <w:t xml:space="preserve"> orders, decisions and awards in conformity with sustainable development, and the precautionary and polluter pays principles.</w:t>
      </w:r>
      <w:r w:rsidR="004748AB" w:rsidRPr="001D14A6">
        <w:rPr>
          <w:rStyle w:val="FootnoteReference"/>
          <w:rFonts w:cs="Times"/>
          <w:color w:val="000000"/>
          <w:sz w:val="22"/>
          <w:szCs w:val="22"/>
        </w:rPr>
        <w:footnoteReference w:id="21"/>
      </w:r>
      <w:r w:rsidR="00E119D3" w:rsidRPr="001D14A6">
        <w:rPr>
          <w:rFonts w:cs="Times"/>
          <w:color w:val="000000"/>
          <w:sz w:val="22"/>
          <w:szCs w:val="22"/>
        </w:rPr>
        <w:t xml:space="preserve"> </w:t>
      </w:r>
      <w:r w:rsidR="00752B9B" w:rsidRPr="001D14A6">
        <w:rPr>
          <w:rFonts w:cs="Times"/>
          <w:color w:val="000000"/>
          <w:sz w:val="22"/>
          <w:szCs w:val="22"/>
        </w:rPr>
        <w:t xml:space="preserve">The three principles underpin India’s environmental jurisprudence, yet each recognised principle carries with it the possibility of challenges and </w:t>
      </w:r>
      <w:r w:rsidR="00D333D7" w:rsidRPr="001D14A6">
        <w:rPr>
          <w:rFonts w:cs="Times"/>
          <w:color w:val="000000"/>
          <w:sz w:val="22"/>
          <w:szCs w:val="22"/>
        </w:rPr>
        <w:t xml:space="preserve">differing </w:t>
      </w:r>
      <w:r w:rsidR="00752B9B" w:rsidRPr="001D14A6">
        <w:rPr>
          <w:rFonts w:cs="Times"/>
          <w:color w:val="000000"/>
          <w:sz w:val="22"/>
          <w:szCs w:val="22"/>
        </w:rPr>
        <w:t xml:space="preserve">interpretation. </w:t>
      </w:r>
      <w:r w:rsidR="00990C80" w:rsidRPr="001D14A6">
        <w:rPr>
          <w:rFonts w:cs="Times"/>
          <w:color w:val="000000"/>
          <w:sz w:val="22"/>
          <w:szCs w:val="22"/>
        </w:rPr>
        <w:t xml:space="preserve">In terms of implementation, </w:t>
      </w:r>
      <w:r w:rsidR="00E163A3" w:rsidRPr="001D14A6">
        <w:rPr>
          <w:rFonts w:cs="Times"/>
          <w:color w:val="000000"/>
          <w:sz w:val="22"/>
          <w:szCs w:val="22"/>
        </w:rPr>
        <w:t xml:space="preserve">the </w:t>
      </w:r>
      <w:r w:rsidR="00990C80" w:rsidRPr="001D14A6">
        <w:rPr>
          <w:rFonts w:cs="Times"/>
          <w:color w:val="000000"/>
          <w:sz w:val="22"/>
          <w:szCs w:val="22"/>
        </w:rPr>
        <w:t>prec</w:t>
      </w:r>
      <w:r w:rsidR="00E728D6" w:rsidRPr="001D14A6">
        <w:rPr>
          <w:rFonts w:cs="Times"/>
          <w:color w:val="000000"/>
          <w:sz w:val="22"/>
          <w:szCs w:val="22"/>
        </w:rPr>
        <w:t>autionary principle is preferred</w:t>
      </w:r>
      <w:r w:rsidR="00990C80" w:rsidRPr="001D14A6">
        <w:rPr>
          <w:rFonts w:cs="Times"/>
          <w:color w:val="000000"/>
          <w:sz w:val="22"/>
          <w:szCs w:val="22"/>
        </w:rPr>
        <w:t xml:space="preserve"> over the polluter pays principle. The polluter pays </w:t>
      </w:r>
      <w:r w:rsidR="005A2DE8" w:rsidRPr="001D14A6">
        <w:rPr>
          <w:rFonts w:cs="Times"/>
          <w:color w:val="000000"/>
          <w:sz w:val="22"/>
          <w:szCs w:val="22"/>
        </w:rPr>
        <w:t>principle is</w:t>
      </w:r>
      <w:r w:rsidR="00E163A3" w:rsidRPr="001D14A6">
        <w:rPr>
          <w:rFonts w:cs="Times"/>
          <w:color w:val="000000"/>
          <w:sz w:val="22"/>
          <w:szCs w:val="22"/>
        </w:rPr>
        <w:t xml:space="preserve"> diffi</w:t>
      </w:r>
      <w:r w:rsidR="00AE4385" w:rsidRPr="001D14A6">
        <w:rPr>
          <w:rFonts w:cs="Times"/>
          <w:color w:val="000000"/>
          <w:sz w:val="22"/>
          <w:szCs w:val="22"/>
        </w:rPr>
        <w:t>cult an</w:t>
      </w:r>
      <w:r w:rsidR="00E163A3" w:rsidRPr="001D14A6">
        <w:rPr>
          <w:rFonts w:cs="Times"/>
          <w:color w:val="000000"/>
          <w:sz w:val="22"/>
          <w:szCs w:val="22"/>
        </w:rPr>
        <w:t xml:space="preserve">d complex mainly due </w:t>
      </w:r>
      <w:r w:rsidR="005A2DE8" w:rsidRPr="001D14A6">
        <w:rPr>
          <w:rFonts w:cs="Times"/>
          <w:color w:val="000000"/>
          <w:sz w:val="22"/>
          <w:szCs w:val="22"/>
        </w:rPr>
        <w:t>to the problem of</w:t>
      </w:r>
      <w:r w:rsidR="00E163A3" w:rsidRPr="001D14A6">
        <w:rPr>
          <w:rFonts w:cs="Times"/>
          <w:color w:val="000000"/>
          <w:sz w:val="22"/>
          <w:szCs w:val="22"/>
        </w:rPr>
        <w:t xml:space="preserve"> identifi</w:t>
      </w:r>
      <w:r w:rsidR="00AE4385" w:rsidRPr="001D14A6">
        <w:rPr>
          <w:rFonts w:cs="Times"/>
          <w:color w:val="000000"/>
          <w:sz w:val="22"/>
          <w:szCs w:val="22"/>
        </w:rPr>
        <w:t>cation of the polluters and apportioning their responsibilities</w:t>
      </w:r>
      <w:r w:rsidR="00E163A3" w:rsidRPr="001D14A6">
        <w:rPr>
          <w:rFonts w:cs="Times"/>
          <w:color w:val="000000"/>
          <w:sz w:val="22"/>
          <w:szCs w:val="22"/>
        </w:rPr>
        <w:t>.</w:t>
      </w:r>
      <w:r w:rsidR="00CD1F12" w:rsidRPr="001D14A6">
        <w:rPr>
          <w:rFonts w:cs="Times"/>
          <w:color w:val="000000"/>
          <w:sz w:val="22"/>
          <w:szCs w:val="22"/>
        </w:rPr>
        <w:t xml:space="preserve"> Further</w:t>
      </w:r>
      <w:r w:rsidR="00401D6A" w:rsidRPr="001D14A6">
        <w:rPr>
          <w:rFonts w:cs="Times"/>
          <w:color w:val="000000"/>
          <w:sz w:val="22"/>
          <w:szCs w:val="22"/>
        </w:rPr>
        <w:t>, the monetary compensation may not</w:t>
      </w:r>
      <w:r w:rsidR="00CD1F12" w:rsidRPr="001D14A6">
        <w:rPr>
          <w:rFonts w:cs="Times"/>
          <w:color w:val="000000"/>
          <w:sz w:val="22"/>
          <w:szCs w:val="22"/>
        </w:rPr>
        <w:t xml:space="preserve"> fully make up for ecological loss or loss of resource</w:t>
      </w:r>
      <w:r w:rsidR="00D333D7" w:rsidRPr="001D14A6">
        <w:rPr>
          <w:rFonts w:cs="Times"/>
          <w:color w:val="000000"/>
          <w:sz w:val="22"/>
          <w:szCs w:val="22"/>
        </w:rPr>
        <w:t>s</w:t>
      </w:r>
      <w:r w:rsidR="00CD1F12" w:rsidRPr="001D14A6">
        <w:rPr>
          <w:rFonts w:cs="Times"/>
          <w:color w:val="000000"/>
          <w:sz w:val="22"/>
          <w:szCs w:val="22"/>
        </w:rPr>
        <w:t xml:space="preserve"> such as ground water, top soil, biodiversity and therefore, in r</w:t>
      </w:r>
      <w:r w:rsidR="00E03249" w:rsidRPr="001D14A6">
        <w:rPr>
          <w:rFonts w:cs="Times"/>
          <w:color w:val="000000"/>
          <w:sz w:val="22"/>
          <w:szCs w:val="22"/>
        </w:rPr>
        <w:t>eality to some degree</w:t>
      </w:r>
      <w:r w:rsidR="00CD1F12" w:rsidRPr="001D14A6">
        <w:rPr>
          <w:rFonts w:cs="Times"/>
          <w:color w:val="000000"/>
          <w:sz w:val="22"/>
          <w:szCs w:val="22"/>
        </w:rPr>
        <w:t xml:space="preserve"> the polluter never pays the real </w:t>
      </w:r>
      <w:r w:rsidR="00AB0108" w:rsidRPr="001D14A6">
        <w:rPr>
          <w:rFonts w:cs="Times"/>
          <w:color w:val="000000"/>
          <w:sz w:val="22"/>
          <w:szCs w:val="22"/>
        </w:rPr>
        <w:t xml:space="preserve">cost of the pollution, even if </w:t>
      </w:r>
      <w:r w:rsidR="00CD1F12" w:rsidRPr="001D14A6">
        <w:rPr>
          <w:rFonts w:cs="Times"/>
          <w:color w:val="000000"/>
          <w:sz w:val="22"/>
          <w:szCs w:val="22"/>
        </w:rPr>
        <w:t>some restitution or compensation is possible.</w:t>
      </w:r>
      <w:r w:rsidR="00CD1F12" w:rsidRPr="001D14A6">
        <w:rPr>
          <w:rStyle w:val="FootnoteReference"/>
          <w:rFonts w:cs="Times"/>
          <w:color w:val="000000"/>
          <w:sz w:val="22"/>
          <w:szCs w:val="22"/>
        </w:rPr>
        <w:footnoteReference w:id="22"/>
      </w:r>
      <w:r w:rsidR="00CD1F12" w:rsidRPr="001D14A6">
        <w:rPr>
          <w:rFonts w:cs="Times"/>
          <w:color w:val="000000"/>
          <w:sz w:val="22"/>
          <w:szCs w:val="22"/>
        </w:rPr>
        <w:t xml:space="preserve"> </w:t>
      </w:r>
    </w:p>
    <w:p w14:paraId="6BEF24BC" w14:textId="33FD2931" w:rsidR="006B50BE" w:rsidRPr="001D14A6" w:rsidRDefault="00221B81" w:rsidP="008E18D5">
      <w:pPr>
        <w:widowControl w:val="0"/>
        <w:autoSpaceDE w:val="0"/>
        <w:autoSpaceDN w:val="0"/>
        <w:adjustRightInd w:val="0"/>
        <w:spacing w:after="240" w:line="276" w:lineRule="auto"/>
        <w:rPr>
          <w:rFonts w:cs="Times"/>
          <w:color w:val="000000"/>
          <w:sz w:val="22"/>
          <w:szCs w:val="22"/>
        </w:rPr>
      </w:pPr>
      <w:r w:rsidRPr="001D14A6">
        <w:rPr>
          <w:rFonts w:cs="Times"/>
          <w:color w:val="000000"/>
          <w:sz w:val="22"/>
          <w:szCs w:val="22"/>
        </w:rPr>
        <w:t xml:space="preserve">Since its initial formulation, </w:t>
      </w:r>
      <w:r w:rsidR="009D2597" w:rsidRPr="001D14A6">
        <w:rPr>
          <w:rFonts w:cs="Times"/>
          <w:color w:val="000000"/>
          <w:sz w:val="22"/>
          <w:szCs w:val="22"/>
        </w:rPr>
        <w:t xml:space="preserve">the concept of precaution </w:t>
      </w:r>
      <w:r w:rsidR="00D333D7" w:rsidRPr="001D14A6">
        <w:rPr>
          <w:rFonts w:cs="Times"/>
          <w:color w:val="000000"/>
          <w:sz w:val="22"/>
          <w:szCs w:val="22"/>
        </w:rPr>
        <w:t xml:space="preserve">has </w:t>
      </w:r>
      <w:r w:rsidR="009D2597" w:rsidRPr="001D14A6">
        <w:rPr>
          <w:rFonts w:cs="Times"/>
          <w:color w:val="000000"/>
          <w:sz w:val="22"/>
          <w:szCs w:val="22"/>
        </w:rPr>
        <w:t>face</w:t>
      </w:r>
      <w:r w:rsidR="00D333D7" w:rsidRPr="001D14A6">
        <w:rPr>
          <w:rFonts w:cs="Times"/>
          <w:color w:val="000000"/>
          <w:sz w:val="22"/>
          <w:szCs w:val="22"/>
        </w:rPr>
        <w:t>d</w:t>
      </w:r>
      <w:r w:rsidR="009D2597" w:rsidRPr="001D14A6">
        <w:rPr>
          <w:rFonts w:cs="Times"/>
          <w:color w:val="000000"/>
          <w:sz w:val="22"/>
          <w:szCs w:val="22"/>
        </w:rPr>
        <w:t xml:space="preserve"> the challenge of establishing a consensual interpretation of core meaning and the means for predictable and effective implementation</w:t>
      </w:r>
      <w:r w:rsidR="00F05A7F" w:rsidRPr="001D14A6">
        <w:rPr>
          <w:rFonts w:cs="Times"/>
          <w:color w:val="000000"/>
          <w:sz w:val="22"/>
          <w:szCs w:val="22"/>
        </w:rPr>
        <w:t>.</w:t>
      </w:r>
      <w:r w:rsidR="009B0637" w:rsidRPr="001D14A6">
        <w:rPr>
          <w:rStyle w:val="FootnoteReference"/>
          <w:rFonts w:cs="Times"/>
          <w:color w:val="000000"/>
          <w:sz w:val="22"/>
          <w:szCs w:val="22"/>
        </w:rPr>
        <w:footnoteReference w:id="23"/>
      </w:r>
      <w:r w:rsidR="00F05A7F" w:rsidRPr="001D14A6">
        <w:rPr>
          <w:rFonts w:cs="Times"/>
          <w:color w:val="000000"/>
          <w:sz w:val="22"/>
          <w:szCs w:val="22"/>
        </w:rPr>
        <w:t xml:space="preserve"> </w:t>
      </w:r>
      <w:r w:rsidR="00221DD9" w:rsidRPr="001D14A6">
        <w:rPr>
          <w:rFonts w:cs="Times"/>
          <w:color w:val="000000"/>
          <w:sz w:val="22"/>
          <w:szCs w:val="22"/>
        </w:rPr>
        <w:t xml:space="preserve">Principle 15 of the Rio Declaration and the Wingspread Statement </w:t>
      </w:r>
      <w:r w:rsidR="00195B93" w:rsidRPr="001D14A6">
        <w:rPr>
          <w:rStyle w:val="FootnoteReference"/>
          <w:rFonts w:cs="Times"/>
          <w:color w:val="000000"/>
          <w:sz w:val="22"/>
          <w:szCs w:val="22"/>
        </w:rPr>
        <w:footnoteReference w:id="24"/>
      </w:r>
      <w:r w:rsidR="00221DD9" w:rsidRPr="001D14A6">
        <w:rPr>
          <w:rFonts w:cs="Times"/>
          <w:color w:val="000000"/>
          <w:sz w:val="22"/>
          <w:szCs w:val="22"/>
        </w:rPr>
        <w:t xml:space="preserve">are usually considered </w:t>
      </w:r>
      <w:r w:rsidR="00F05A7F" w:rsidRPr="001D14A6">
        <w:rPr>
          <w:rFonts w:cs="Times"/>
          <w:color w:val="000000"/>
          <w:sz w:val="22"/>
          <w:szCs w:val="22"/>
        </w:rPr>
        <w:t xml:space="preserve">as standard examples of the principle but with </w:t>
      </w:r>
      <w:r w:rsidR="00967709" w:rsidRPr="001D14A6">
        <w:rPr>
          <w:rFonts w:cs="Times"/>
          <w:color w:val="000000"/>
          <w:sz w:val="22"/>
          <w:szCs w:val="22"/>
        </w:rPr>
        <w:t xml:space="preserve">some differences. </w:t>
      </w:r>
      <w:r w:rsidR="00806F53" w:rsidRPr="001D14A6">
        <w:rPr>
          <w:rFonts w:cs="Times"/>
          <w:color w:val="000000"/>
          <w:sz w:val="22"/>
          <w:szCs w:val="22"/>
        </w:rPr>
        <w:t xml:space="preserve">For instance, </w:t>
      </w:r>
      <w:r w:rsidR="00967709" w:rsidRPr="001D14A6">
        <w:rPr>
          <w:rFonts w:cs="Times"/>
          <w:color w:val="000000"/>
          <w:sz w:val="22"/>
          <w:szCs w:val="22"/>
        </w:rPr>
        <w:t xml:space="preserve">Principle 15 </w:t>
      </w:r>
      <w:r w:rsidR="00FB0A27" w:rsidRPr="001D14A6">
        <w:rPr>
          <w:rFonts w:cs="Times"/>
          <w:color w:val="000000"/>
          <w:sz w:val="22"/>
          <w:szCs w:val="22"/>
        </w:rPr>
        <w:t>provides for action to regulate risks</w:t>
      </w:r>
      <w:r w:rsidR="00A27CE0" w:rsidRPr="001D14A6">
        <w:rPr>
          <w:rFonts w:cs="Times"/>
          <w:color w:val="000000"/>
          <w:sz w:val="22"/>
          <w:szCs w:val="22"/>
        </w:rPr>
        <w:t xml:space="preserve"> of serious and irreversible damage</w:t>
      </w:r>
      <w:r w:rsidR="00FB0A27" w:rsidRPr="001D14A6">
        <w:rPr>
          <w:rFonts w:cs="Times"/>
          <w:color w:val="000000"/>
          <w:sz w:val="22"/>
          <w:szCs w:val="22"/>
        </w:rPr>
        <w:t xml:space="preserve"> under conditions of scientific uncertainty</w:t>
      </w:r>
      <w:r w:rsidR="00C05C38" w:rsidRPr="001D14A6">
        <w:rPr>
          <w:rFonts w:cs="Times"/>
          <w:color w:val="000000"/>
          <w:sz w:val="22"/>
          <w:szCs w:val="22"/>
        </w:rPr>
        <w:t xml:space="preserve"> (weak version characterised by high epistemic threshold</w:t>
      </w:r>
      <w:r w:rsidR="00C645D8" w:rsidRPr="001D14A6">
        <w:rPr>
          <w:rFonts w:cs="Times"/>
          <w:color w:val="000000"/>
          <w:sz w:val="22"/>
          <w:szCs w:val="22"/>
        </w:rPr>
        <w:t xml:space="preserve"> of evidence</w:t>
      </w:r>
      <w:r w:rsidR="00806F53" w:rsidRPr="001D14A6">
        <w:rPr>
          <w:rFonts w:cs="Times"/>
          <w:color w:val="000000"/>
          <w:sz w:val="22"/>
          <w:szCs w:val="22"/>
        </w:rPr>
        <w:t xml:space="preserve"> and preference to risk management</w:t>
      </w:r>
      <w:r w:rsidR="00C645D8" w:rsidRPr="001D14A6">
        <w:rPr>
          <w:rFonts w:cs="Times"/>
          <w:color w:val="000000"/>
          <w:sz w:val="22"/>
          <w:szCs w:val="22"/>
        </w:rPr>
        <w:t xml:space="preserve">) whereas the Wingspread Statement </w:t>
      </w:r>
      <w:r w:rsidR="00806F53" w:rsidRPr="001D14A6">
        <w:rPr>
          <w:rFonts w:cs="Times"/>
          <w:color w:val="000000"/>
          <w:sz w:val="22"/>
          <w:szCs w:val="22"/>
        </w:rPr>
        <w:t xml:space="preserve">extends the scope of the principle to threats of harm to human health or the environment, and removes the qualifier of severity of harm being considered (strong version with low epistemic threshold of evidence and </w:t>
      </w:r>
      <w:r w:rsidR="005F51F4" w:rsidRPr="001D14A6">
        <w:rPr>
          <w:rFonts w:cs="Times"/>
          <w:color w:val="000000"/>
          <w:sz w:val="22"/>
          <w:szCs w:val="22"/>
        </w:rPr>
        <w:t>tend towards risk prevention).</w:t>
      </w:r>
      <w:r w:rsidR="007E14A4" w:rsidRPr="001D14A6">
        <w:rPr>
          <w:rStyle w:val="FootnoteReference"/>
          <w:rFonts w:cs="Times"/>
          <w:color w:val="000000"/>
          <w:sz w:val="22"/>
          <w:szCs w:val="22"/>
        </w:rPr>
        <w:footnoteReference w:id="25"/>
      </w:r>
      <w:r w:rsidR="00CE2517" w:rsidRPr="001D14A6">
        <w:rPr>
          <w:rFonts w:cs="Times"/>
          <w:color w:val="000000"/>
          <w:sz w:val="22"/>
          <w:szCs w:val="22"/>
        </w:rPr>
        <w:t xml:space="preserve"> Another </w:t>
      </w:r>
      <w:r w:rsidR="00CE2517" w:rsidRPr="001D14A6">
        <w:rPr>
          <w:rFonts w:cs="Times"/>
          <w:color w:val="000000"/>
          <w:sz w:val="22"/>
          <w:szCs w:val="22"/>
        </w:rPr>
        <w:lastRenderedPageBreak/>
        <w:t xml:space="preserve">difference is about the legal status of the principle- Rio Declaration employs ‘precautionary approach’ whereas </w:t>
      </w:r>
      <w:r w:rsidR="009E1A49" w:rsidRPr="001D14A6">
        <w:rPr>
          <w:rFonts w:cs="Times"/>
          <w:color w:val="000000"/>
          <w:sz w:val="22"/>
          <w:szCs w:val="22"/>
        </w:rPr>
        <w:t xml:space="preserve">the </w:t>
      </w:r>
      <w:r w:rsidR="00CE2517" w:rsidRPr="001D14A6">
        <w:rPr>
          <w:rFonts w:cs="Times"/>
          <w:color w:val="000000"/>
          <w:sz w:val="22"/>
          <w:szCs w:val="22"/>
        </w:rPr>
        <w:t>Wingspread statement mentions ‘precautionary principle.’</w:t>
      </w:r>
      <w:r w:rsidR="007E14A4" w:rsidRPr="001D14A6">
        <w:rPr>
          <w:rStyle w:val="FootnoteReference"/>
          <w:rFonts w:cs="Times"/>
          <w:color w:val="000000"/>
          <w:sz w:val="22"/>
          <w:szCs w:val="22"/>
        </w:rPr>
        <w:footnoteReference w:id="26"/>
      </w:r>
      <w:r w:rsidR="002D7863" w:rsidRPr="001D14A6">
        <w:rPr>
          <w:rFonts w:cs="Times"/>
          <w:color w:val="000000"/>
          <w:sz w:val="22"/>
          <w:szCs w:val="22"/>
        </w:rPr>
        <w:t xml:space="preserve"> </w:t>
      </w:r>
      <w:r w:rsidR="009B0637" w:rsidRPr="001D14A6">
        <w:rPr>
          <w:rFonts w:cs="Times"/>
          <w:color w:val="000000"/>
          <w:sz w:val="22"/>
          <w:szCs w:val="22"/>
        </w:rPr>
        <w:t xml:space="preserve">Though the precautionary principle’s international legal status is an open question, at </w:t>
      </w:r>
      <w:r w:rsidR="00AC5BD7" w:rsidRPr="001D14A6">
        <w:rPr>
          <w:rFonts w:cs="Times"/>
          <w:color w:val="000000"/>
          <w:sz w:val="22"/>
          <w:szCs w:val="22"/>
        </w:rPr>
        <w:t xml:space="preserve">the </w:t>
      </w:r>
      <w:r w:rsidR="009B0637" w:rsidRPr="001D14A6">
        <w:rPr>
          <w:rFonts w:cs="Times"/>
          <w:color w:val="000000"/>
          <w:sz w:val="22"/>
          <w:szCs w:val="22"/>
        </w:rPr>
        <w:t>domestic level</w:t>
      </w:r>
      <w:r w:rsidR="00173F52" w:rsidRPr="001D14A6">
        <w:rPr>
          <w:rFonts w:cs="Times"/>
          <w:color w:val="000000"/>
          <w:sz w:val="22"/>
          <w:szCs w:val="22"/>
        </w:rPr>
        <w:t xml:space="preserve"> national and cultural differences influence its </w:t>
      </w:r>
      <w:r w:rsidR="00D333D7" w:rsidRPr="001D14A6">
        <w:rPr>
          <w:rFonts w:cs="Times"/>
          <w:color w:val="000000"/>
          <w:sz w:val="22"/>
          <w:szCs w:val="22"/>
        </w:rPr>
        <w:t>meaning</w:t>
      </w:r>
      <w:r w:rsidR="005A2DE8" w:rsidRPr="001D14A6">
        <w:rPr>
          <w:rFonts w:cs="Times"/>
          <w:color w:val="000000"/>
          <w:sz w:val="22"/>
          <w:szCs w:val="22"/>
        </w:rPr>
        <w:t>, interpretation</w:t>
      </w:r>
      <w:r w:rsidR="00173F52" w:rsidRPr="001D14A6">
        <w:rPr>
          <w:rFonts w:cs="Times"/>
          <w:color w:val="000000"/>
          <w:sz w:val="22"/>
          <w:szCs w:val="22"/>
        </w:rPr>
        <w:t xml:space="preserve"> and usage.</w:t>
      </w:r>
      <w:r w:rsidR="006B50BE" w:rsidRPr="001D14A6">
        <w:rPr>
          <w:rFonts w:cs="Times"/>
          <w:color w:val="000000"/>
          <w:sz w:val="22"/>
          <w:szCs w:val="22"/>
        </w:rPr>
        <w:t xml:space="preserve"> Factors like ‘attitudes to risk management, the role of science and scientists in decision-making processes, openness of decision-making processes, nation’s </w:t>
      </w:r>
      <w:r w:rsidR="006B50BE" w:rsidRPr="001D14A6">
        <w:rPr>
          <w:rFonts w:cs="Times"/>
          <w:color w:val="3B3B3B"/>
          <w:position w:val="-3"/>
          <w:sz w:val="22"/>
          <w:szCs w:val="22"/>
        </w:rPr>
        <w:t xml:space="preserve"> </w:t>
      </w:r>
      <w:r w:rsidR="006B50BE" w:rsidRPr="001D14A6">
        <w:rPr>
          <w:rFonts w:cs="Times"/>
          <w:color w:val="000000"/>
          <w:sz w:val="22"/>
          <w:szCs w:val="22"/>
        </w:rPr>
        <w:t>economy including level of “development” and nature of “natural environment’’</w:t>
      </w:r>
      <w:r w:rsidR="006B50BE" w:rsidRPr="001D14A6">
        <w:rPr>
          <w:rFonts w:cs="Times"/>
          <w:color w:val="3B3B3B"/>
          <w:position w:val="-3"/>
          <w:sz w:val="22"/>
          <w:szCs w:val="22"/>
        </w:rPr>
        <w:t xml:space="preserve"> </w:t>
      </w:r>
      <w:r w:rsidR="006B50BE" w:rsidRPr="001D14A6">
        <w:rPr>
          <w:rFonts w:cs="Times"/>
          <w:color w:val="000000"/>
          <w:sz w:val="22"/>
          <w:szCs w:val="22"/>
        </w:rPr>
        <w:t>affect the application of the precautionary principle</w:t>
      </w:r>
      <w:r w:rsidR="007E14A4" w:rsidRPr="001D14A6">
        <w:rPr>
          <w:rFonts w:cs="Times"/>
          <w:color w:val="000000"/>
          <w:sz w:val="22"/>
          <w:szCs w:val="22"/>
        </w:rPr>
        <w:t>.</w:t>
      </w:r>
      <w:r w:rsidR="00863855" w:rsidRPr="001D14A6">
        <w:rPr>
          <w:rFonts w:cs="Times"/>
          <w:color w:val="000000"/>
          <w:sz w:val="22"/>
          <w:szCs w:val="22"/>
        </w:rPr>
        <w:t>’</w:t>
      </w:r>
      <w:r w:rsidR="007E14A4" w:rsidRPr="001D14A6">
        <w:rPr>
          <w:rStyle w:val="FootnoteReference"/>
          <w:rFonts w:cs="Times"/>
          <w:color w:val="000000"/>
          <w:sz w:val="22"/>
          <w:szCs w:val="22"/>
        </w:rPr>
        <w:footnoteReference w:id="27"/>
      </w:r>
      <w:r w:rsidR="006B50BE" w:rsidRPr="001D14A6">
        <w:rPr>
          <w:rFonts w:cs="Times"/>
          <w:color w:val="000000"/>
          <w:sz w:val="22"/>
          <w:szCs w:val="22"/>
        </w:rPr>
        <w:t xml:space="preserve"> </w:t>
      </w:r>
    </w:p>
    <w:p w14:paraId="385FEDF1" w14:textId="67A5D14D" w:rsidR="000A1BFE" w:rsidRPr="001D14A6" w:rsidRDefault="000A1BFE" w:rsidP="008E18D5">
      <w:pPr>
        <w:widowControl w:val="0"/>
        <w:autoSpaceDE w:val="0"/>
        <w:autoSpaceDN w:val="0"/>
        <w:adjustRightInd w:val="0"/>
        <w:spacing w:after="240" w:line="276" w:lineRule="auto"/>
        <w:rPr>
          <w:rFonts w:cs="Times"/>
          <w:color w:val="000000"/>
          <w:sz w:val="22"/>
          <w:szCs w:val="22"/>
        </w:rPr>
      </w:pPr>
      <w:r w:rsidRPr="001D14A6">
        <w:rPr>
          <w:rFonts w:cs="Times"/>
          <w:color w:val="000000"/>
          <w:sz w:val="22"/>
          <w:szCs w:val="22"/>
        </w:rPr>
        <w:t xml:space="preserve">In the Indian </w:t>
      </w:r>
      <w:r w:rsidR="005A2DE8" w:rsidRPr="001D14A6">
        <w:rPr>
          <w:rFonts w:cs="Times"/>
          <w:color w:val="000000"/>
          <w:sz w:val="22"/>
          <w:szCs w:val="22"/>
        </w:rPr>
        <w:t xml:space="preserve">context, the principle involves </w:t>
      </w:r>
      <w:r w:rsidRPr="001D14A6">
        <w:rPr>
          <w:rFonts w:cs="Times"/>
          <w:color w:val="000000"/>
          <w:sz w:val="22"/>
          <w:szCs w:val="22"/>
        </w:rPr>
        <w:t>three conditions</w:t>
      </w:r>
      <w:r w:rsidR="00AB2210" w:rsidRPr="001D14A6">
        <w:rPr>
          <w:rStyle w:val="FootnoteReference"/>
          <w:rFonts w:cs="Times"/>
          <w:color w:val="000000"/>
          <w:sz w:val="22"/>
          <w:szCs w:val="22"/>
        </w:rPr>
        <w:footnoteReference w:id="28"/>
      </w:r>
      <w:r w:rsidRPr="001D14A6">
        <w:rPr>
          <w:rFonts w:cs="Times"/>
          <w:color w:val="000000"/>
          <w:sz w:val="22"/>
          <w:szCs w:val="22"/>
        </w:rPr>
        <w:t>:</w:t>
      </w:r>
      <w:r w:rsidRPr="001D14A6">
        <w:rPr>
          <w:rFonts w:eastAsia="MS Mincho" w:cs="MS Mincho"/>
          <w:color w:val="000000"/>
          <w:sz w:val="22"/>
          <w:szCs w:val="22"/>
        </w:rPr>
        <w:t> </w:t>
      </w:r>
      <w:r w:rsidRPr="001D14A6">
        <w:rPr>
          <w:rFonts w:cs="Times"/>
          <w:color w:val="3B3B3B"/>
          <w:sz w:val="22"/>
          <w:szCs w:val="22"/>
        </w:rPr>
        <w:t xml:space="preserve"> </w:t>
      </w:r>
    </w:p>
    <w:p w14:paraId="28F1C142" w14:textId="713473FD" w:rsidR="000A1BFE" w:rsidRPr="001D14A6" w:rsidRDefault="000A1BFE" w:rsidP="008E18D5">
      <w:pPr>
        <w:pStyle w:val="ListParagraph"/>
        <w:widowControl w:val="0"/>
        <w:numPr>
          <w:ilvl w:val="0"/>
          <w:numId w:val="3"/>
        </w:numPr>
        <w:autoSpaceDE w:val="0"/>
        <w:autoSpaceDN w:val="0"/>
        <w:adjustRightInd w:val="0"/>
        <w:spacing w:after="240" w:line="276" w:lineRule="auto"/>
        <w:rPr>
          <w:rFonts w:cs="Times"/>
          <w:color w:val="000000"/>
          <w:sz w:val="22"/>
          <w:szCs w:val="22"/>
        </w:rPr>
      </w:pPr>
      <w:r w:rsidRPr="001D14A6">
        <w:rPr>
          <w:rFonts w:cs="Times"/>
          <w:color w:val="000000"/>
          <w:sz w:val="22"/>
          <w:szCs w:val="22"/>
        </w:rPr>
        <w:t xml:space="preserve">state government and statutory authorities must anticipate, prevent and attack the causes of environmental degradation; </w:t>
      </w:r>
    </w:p>
    <w:p w14:paraId="4E78D29C" w14:textId="6D226412" w:rsidR="000A1BFE" w:rsidRPr="001D14A6" w:rsidRDefault="000A1BFE" w:rsidP="008E18D5">
      <w:pPr>
        <w:pStyle w:val="ListParagraph"/>
        <w:widowControl w:val="0"/>
        <w:numPr>
          <w:ilvl w:val="0"/>
          <w:numId w:val="3"/>
        </w:numPr>
        <w:autoSpaceDE w:val="0"/>
        <w:autoSpaceDN w:val="0"/>
        <w:adjustRightInd w:val="0"/>
        <w:spacing w:after="240" w:line="276" w:lineRule="auto"/>
        <w:rPr>
          <w:rFonts w:cs="Times"/>
          <w:color w:val="000000"/>
          <w:sz w:val="22"/>
          <w:szCs w:val="22"/>
        </w:rPr>
      </w:pPr>
      <w:r w:rsidRPr="001D14A6">
        <w:rPr>
          <w:rFonts w:cs="Times"/>
          <w:color w:val="000000"/>
          <w:sz w:val="22"/>
          <w:szCs w:val="22"/>
        </w:rPr>
        <w:t>where there are threats of serious and irreversible damage, lack of scientific certainty should not be used as a reason for postponing measures to preven</w:t>
      </w:r>
      <w:r w:rsidR="005A2DE8" w:rsidRPr="001D14A6">
        <w:rPr>
          <w:rFonts w:cs="Times"/>
          <w:color w:val="000000"/>
          <w:sz w:val="22"/>
          <w:szCs w:val="22"/>
        </w:rPr>
        <w:t>t environmental degradation;</w:t>
      </w:r>
      <w:r w:rsidRPr="001D14A6">
        <w:rPr>
          <w:rFonts w:eastAsia="MS Mincho" w:cs="MS Mincho"/>
          <w:color w:val="000000"/>
          <w:sz w:val="22"/>
          <w:szCs w:val="22"/>
        </w:rPr>
        <w:t> </w:t>
      </w:r>
    </w:p>
    <w:p w14:paraId="4F08D27A" w14:textId="24417B9A" w:rsidR="000A1BFE" w:rsidRPr="001D14A6" w:rsidRDefault="000A1BFE" w:rsidP="008E18D5">
      <w:pPr>
        <w:pStyle w:val="ListParagraph"/>
        <w:widowControl w:val="0"/>
        <w:numPr>
          <w:ilvl w:val="0"/>
          <w:numId w:val="3"/>
        </w:numPr>
        <w:autoSpaceDE w:val="0"/>
        <w:autoSpaceDN w:val="0"/>
        <w:adjustRightInd w:val="0"/>
        <w:spacing w:after="240" w:line="276" w:lineRule="auto"/>
        <w:rPr>
          <w:rFonts w:cs="Times"/>
          <w:color w:val="000000"/>
          <w:sz w:val="22"/>
          <w:szCs w:val="22"/>
        </w:rPr>
      </w:pPr>
      <w:r w:rsidRPr="001D14A6">
        <w:rPr>
          <w:rFonts w:cs="Times"/>
          <w:color w:val="000000"/>
          <w:sz w:val="22"/>
          <w:szCs w:val="22"/>
        </w:rPr>
        <w:t>the ‘onus of proof’ is on the actor or devel</w:t>
      </w:r>
      <w:r w:rsidR="005A2DE8" w:rsidRPr="001D14A6">
        <w:rPr>
          <w:rFonts w:cs="Times"/>
          <w:color w:val="000000"/>
          <w:sz w:val="22"/>
          <w:szCs w:val="22"/>
        </w:rPr>
        <w:t>oper/industrialist to show the</w:t>
      </w:r>
      <w:r w:rsidRPr="001D14A6">
        <w:rPr>
          <w:rFonts w:cs="Times"/>
          <w:color w:val="000000"/>
          <w:sz w:val="22"/>
          <w:szCs w:val="22"/>
        </w:rPr>
        <w:t xml:space="preserve"> actions are environmentally benign. </w:t>
      </w:r>
    </w:p>
    <w:p w14:paraId="13B588A6" w14:textId="2049F822" w:rsidR="00CA1EAE" w:rsidRPr="001D14A6" w:rsidRDefault="004A2F3C" w:rsidP="008E18D5">
      <w:pPr>
        <w:widowControl w:val="0"/>
        <w:autoSpaceDE w:val="0"/>
        <w:autoSpaceDN w:val="0"/>
        <w:adjustRightInd w:val="0"/>
        <w:spacing w:after="240" w:line="276" w:lineRule="auto"/>
        <w:rPr>
          <w:rFonts w:cs="Times"/>
          <w:color w:val="000000"/>
          <w:sz w:val="22"/>
          <w:szCs w:val="22"/>
        </w:rPr>
      </w:pPr>
      <w:r w:rsidRPr="001D14A6">
        <w:rPr>
          <w:rFonts w:cs="Times"/>
          <w:color w:val="000000"/>
          <w:sz w:val="22"/>
          <w:szCs w:val="22"/>
        </w:rPr>
        <w:t xml:space="preserve">The precautionary principle acts as an environmental safeguard to achieve sustainable development. </w:t>
      </w:r>
      <w:r w:rsidR="00B77D39" w:rsidRPr="001D14A6">
        <w:rPr>
          <w:rFonts w:cs="Times"/>
          <w:color w:val="000000"/>
          <w:sz w:val="22"/>
          <w:szCs w:val="22"/>
        </w:rPr>
        <w:t>T</w:t>
      </w:r>
      <w:r w:rsidR="00E021B4" w:rsidRPr="001D14A6">
        <w:rPr>
          <w:rFonts w:cs="Times"/>
          <w:color w:val="000000"/>
          <w:sz w:val="22"/>
          <w:szCs w:val="22"/>
        </w:rPr>
        <w:t>he NGT</w:t>
      </w:r>
      <w:r w:rsidR="005A2DE8" w:rsidRPr="001D14A6">
        <w:rPr>
          <w:rFonts w:cs="Times"/>
          <w:color w:val="000000"/>
          <w:sz w:val="22"/>
          <w:szCs w:val="22"/>
        </w:rPr>
        <w:t xml:space="preserve"> </w:t>
      </w:r>
      <w:r w:rsidR="00CA1EAE" w:rsidRPr="001D14A6">
        <w:rPr>
          <w:rFonts w:cs="Times"/>
          <w:color w:val="000000"/>
          <w:sz w:val="22"/>
          <w:szCs w:val="22"/>
        </w:rPr>
        <w:t xml:space="preserve">declared the precautionary principle an integral part of national environmental law: </w:t>
      </w:r>
    </w:p>
    <w:p w14:paraId="13B6128C" w14:textId="0F762955" w:rsidR="00CA1EAE" w:rsidRPr="001D14A6" w:rsidRDefault="00CA1EAE" w:rsidP="001D14A6">
      <w:pPr>
        <w:widowControl w:val="0"/>
        <w:autoSpaceDE w:val="0"/>
        <w:autoSpaceDN w:val="0"/>
        <w:adjustRightInd w:val="0"/>
        <w:spacing w:after="240" w:line="276" w:lineRule="auto"/>
        <w:ind w:left="720"/>
        <w:rPr>
          <w:rFonts w:cs="Times"/>
          <w:color w:val="000000"/>
          <w:sz w:val="22"/>
          <w:szCs w:val="22"/>
        </w:rPr>
      </w:pPr>
      <w:r w:rsidRPr="001D14A6">
        <w:rPr>
          <w:rFonts w:cs="Times"/>
          <w:color w:val="000000"/>
          <w:sz w:val="22"/>
          <w:szCs w:val="22"/>
        </w:rPr>
        <w:t>The applicability of [the] precautionary principle is a statutory command to the Tribunal while deciding or settling disputes arising out of the substantial questions relating to environment. Thus, any violation or even an apprehended violation of this principle would be actionable by any person before the Tribunal. Inaction in the facts and circumstances of a given case could itself be a violation of the precautionary principle, and therefore bring it within the ambit of juri</w:t>
      </w:r>
      <w:r w:rsidR="008924E5" w:rsidRPr="001D14A6">
        <w:rPr>
          <w:rFonts w:cs="Times"/>
          <w:color w:val="000000"/>
          <w:sz w:val="22"/>
          <w:szCs w:val="22"/>
        </w:rPr>
        <w:t>sdiction of the Tribunal, as defi</w:t>
      </w:r>
      <w:r w:rsidRPr="001D14A6">
        <w:rPr>
          <w:rFonts w:cs="Times"/>
          <w:color w:val="000000"/>
          <w:sz w:val="22"/>
          <w:szCs w:val="22"/>
        </w:rPr>
        <w:t>ned under the NGT Act.</w:t>
      </w:r>
      <w:r w:rsidRPr="001D14A6">
        <w:rPr>
          <w:rStyle w:val="FootnoteReference"/>
          <w:rFonts w:cs="Times"/>
          <w:color w:val="000000"/>
          <w:sz w:val="22"/>
          <w:szCs w:val="22"/>
        </w:rPr>
        <w:footnoteReference w:id="29"/>
      </w:r>
      <w:r w:rsidRPr="001D14A6">
        <w:rPr>
          <w:rFonts w:cs="Times"/>
          <w:color w:val="000000"/>
          <w:sz w:val="22"/>
          <w:szCs w:val="22"/>
        </w:rPr>
        <w:t xml:space="preserve"> </w:t>
      </w:r>
    </w:p>
    <w:p w14:paraId="7350F6BE" w14:textId="02685421" w:rsidR="001C5CA5" w:rsidRPr="001D14A6" w:rsidRDefault="006A524E" w:rsidP="008E18D5">
      <w:pPr>
        <w:widowControl w:val="0"/>
        <w:autoSpaceDE w:val="0"/>
        <w:autoSpaceDN w:val="0"/>
        <w:adjustRightInd w:val="0"/>
        <w:spacing w:after="240" w:line="276" w:lineRule="auto"/>
        <w:rPr>
          <w:rFonts w:cs="Times"/>
          <w:color w:val="000000"/>
          <w:sz w:val="22"/>
          <w:szCs w:val="22"/>
        </w:rPr>
      </w:pPr>
      <w:r w:rsidRPr="001D14A6">
        <w:rPr>
          <w:rFonts w:cs="Times"/>
          <w:color w:val="000000"/>
          <w:sz w:val="22"/>
          <w:szCs w:val="22"/>
        </w:rPr>
        <w:lastRenderedPageBreak/>
        <w:t>Within the NGT, th</w:t>
      </w:r>
      <w:r w:rsidR="00CA1EAE" w:rsidRPr="001D14A6">
        <w:rPr>
          <w:rFonts w:cs="Times"/>
          <w:color w:val="000000"/>
          <w:sz w:val="22"/>
          <w:szCs w:val="22"/>
        </w:rPr>
        <w:t xml:space="preserve">e precautionary principle is </w:t>
      </w:r>
      <w:r w:rsidRPr="001D14A6">
        <w:rPr>
          <w:rFonts w:cs="Times"/>
          <w:color w:val="000000"/>
          <w:sz w:val="22"/>
          <w:szCs w:val="22"/>
        </w:rPr>
        <w:t xml:space="preserve">regarded as </w:t>
      </w:r>
      <w:r w:rsidR="00CA1EAE" w:rsidRPr="001D14A6">
        <w:rPr>
          <w:rFonts w:cs="Times"/>
          <w:color w:val="000000"/>
          <w:sz w:val="22"/>
          <w:szCs w:val="22"/>
        </w:rPr>
        <w:t xml:space="preserve">a determinative </w:t>
      </w:r>
      <w:r w:rsidR="008E43E4" w:rsidRPr="001D14A6">
        <w:rPr>
          <w:rFonts w:cs="Times"/>
          <w:color w:val="000000"/>
          <w:sz w:val="22"/>
          <w:szCs w:val="22"/>
        </w:rPr>
        <w:t xml:space="preserve">norm </w:t>
      </w:r>
      <w:r w:rsidRPr="001D14A6">
        <w:rPr>
          <w:rFonts w:cs="Times"/>
          <w:color w:val="000000"/>
          <w:sz w:val="22"/>
          <w:szCs w:val="22"/>
        </w:rPr>
        <w:t xml:space="preserve">that allows </w:t>
      </w:r>
      <w:r w:rsidR="008E43E4" w:rsidRPr="001D14A6">
        <w:rPr>
          <w:rFonts w:cs="Times"/>
          <w:color w:val="000000"/>
          <w:sz w:val="22"/>
          <w:szCs w:val="22"/>
        </w:rPr>
        <w:t>the expert</w:t>
      </w:r>
      <w:r w:rsidRPr="001D14A6">
        <w:rPr>
          <w:rFonts w:cs="Times"/>
          <w:color w:val="000000"/>
          <w:sz w:val="22"/>
          <w:szCs w:val="22"/>
        </w:rPr>
        <w:t>s and</w:t>
      </w:r>
      <w:r w:rsidR="008E43E4" w:rsidRPr="001D14A6">
        <w:rPr>
          <w:rFonts w:cs="Times"/>
          <w:color w:val="000000"/>
          <w:sz w:val="22"/>
          <w:szCs w:val="22"/>
        </w:rPr>
        <w:t xml:space="preserve"> judges </w:t>
      </w:r>
      <w:r w:rsidR="004A2F3C" w:rsidRPr="001D14A6">
        <w:rPr>
          <w:rFonts w:cs="Times"/>
          <w:color w:val="000000"/>
          <w:sz w:val="22"/>
          <w:szCs w:val="22"/>
        </w:rPr>
        <w:t xml:space="preserve">to examine the probability of environmental degradation </w:t>
      </w:r>
      <w:r w:rsidR="00CB3845" w:rsidRPr="001D14A6">
        <w:rPr>
          <w:rFonts w:cs="Times"/>
          <w:color w:val="000000"/>
          <w:sz w:val="22"/>
          <w:szCs w:val="22"/>
        </w:rPr>
        <w:t>and result</w:t>
      </w:r>
      <w:r w:rsidR="00740F2F" w:rsidRPr="001D14A6">
        <w:rPr>
          <w:rFonts w:cs="Times"/>
          <w:color w:val="000000"/>
          <w:sz w:val="22"/>
          <w:szCs w:val="22"/>
        </w:rPr>
        <w:t>ing</w:t>
      </w:r>
      <w:r w:rsidR="00CB3845" w:rsidRPr="001D14A6">
        <w:rPr>
          <w:rFonts w:cs="Times"/>
          <w:color w:val="000000"/>
          <w:sz w:val="22"/>
          <w:szCs w:val="22"/>
        </w:rPr>
        <w:t xml:space="preserve"> harm</w:t>
      </w:r>
      <w:r w:rsidRPr="001D14A6">
        <w:rPr>
          <w:rFonts w:cs="Times"/>
          <w:color w:val="000000"/>
          <w:sz w:val="22"/>
          <w:szCs w:val="22"/>
        </w:rPr>
        <w:t xml:space="preserve"> that may occur from a proposal</w:t>
      </w:r>
      <w:r w:rsidR="004A2F3C" w:rsidRPr="001D14A6">
        <w:rPr>
          <w:rFonts w:cs="Times"/>
          <w:color w:val="000000"/>
          <w:sz w:val="22"/>
          <w:szCs w:val="22"/>
        </w:rPr>
        <w:t xml:space="preserve">. </w:t>
      </w:r>
      <w:r w:rsidR="00AA74FD" w:rsidRPr="001D14A6">
        <w:rPr>
          <w:rFonts w:cs="Times"/>
          <w:color w:val="000000"/>
          <w:sz w:val="22"/>
          <w:szCs w:val="22"/>
        </w:rPr>
        <w:t xml:space="preserve">The </w:t>
      </w:r>
      <w:r w:rsidR="00A80F3E" w:rsidRPr="001D14A6">
        <w:rPr>
          <w:rFonts w:cs="Times"/>
          <w:color w:val="000000"/>
          <w:sz w:val="22"/>
          <w:szCs w:val="22"/>
        </w:rPr>
        <w:t>application of the precaution</w:t>
      </w:r>
      <w:r w:rsidR="00CB3845" w:rsidRPr="001D14A6">
        <w:rPr>
          <w:rFonts w:cs="Times"/>
          <w:color w:val="000000"/>
          <w:sz w:val="22"/>
          <w:szCs w:val="22"/>
        </w:rPr>
        <w:t>ary principle</w:t>
      </w:r>
      <w:r w:rsidR="00A80F3E" w:rsidRPr="001D14A6">
        <w:rPr>
          <w:rFonts w:cs="Times"/>
          <w:color w:val="000000"/>
          <w:sz w:val="22"/>
          <w:szCs w:val="22"/>
        </w:rPr>
        <w:t xml:space="preserve"> </w:t>
      </w:r>
      <w:r w:rsidR="00057654" w:rsidRPr="001D14A6">
        <w:rPr>
          <w:rFonts w:cs="Times"/>
          <w:color w:val="000000"/>
          <w:sz w:val="22"/>
          <w:szCs w:val="22"/>
        </w:rPr>
        <w:t xml:space="preserve">in the NGT </w:t>
      </w:r>
      <w:r w:rsidR="00A77D2E" w:rsidRPr="001D14A6">
        <w:rPr>
          <w:rFonts w:cs="Times"/>
          <w:color w:val="000000"/>
          <w:sz w:val="22"/>
          <w:szCs w:val="22"/>
        </w:rPr>
        <w:t>involves well-cr</w:t>
      </w:r>
      <w:r w:rsidR="00CD4CAD" w:rsidRPr="001D14A6">
        <w:rPr>
          <w:rFonts w:cs="Times"/>
          <w:color w:val="000000"/>
          <w:sz w:val="22"/>
          <w:szCs w:val="22"/>
        </w:rPr>
        <w:t xml:space="preserve">afted scientific knowledge supporting </w:t>
      </w:r>
      <w:r w:rsidR="00A77D2E" w:rsidRPr="001D14A6">
        <w:rPr>
          <w:rFonts w:cs="Times"/>
          <w:color w:val="000000"/>
          <w:sz w:val="22"/>
          <w:szCs w:val="22"/>
        </w:rPr>
        <w:t>preventi</w:t>
      </w:r>
      <w:r w:rsidR="00CD4CAD" w:rsidRPr="001D14A6">
        <w:rPr>
          <w:rFonts w:cs="Times"/>
          <w:color w:val="000000"/>
          <w:sz w:val="22"/>
          <w:szCs w:val="22"/>
        </w:rPr>
        <w:t>on and prohibition of harm</w:t>
      </w:r>
      <w:r w:rsidR="00057654" w:rsidRPr="001D14A6">
        <w:rPr>
          <w:rFonts w:cs="Times"/>
          <w:color w:val="000000"/>
          <w:sz w:val="22"/>
          <w:szCs w:val="22"/>
        </w:rPr>
        <w:t>,</w:t>
      </w:r>
      <w:r w:rsidR="00CD4CAD" w:rsidRPr="001D14A6">
        <w:rPr>
          <w:rFonts w:cs="Times"/>
          <w:color w:val="000000"/>
          <w:sz w:val="22"/>
          <w:szCs w:val="22"/>
        </w:rPr>
        <w:t xml:space="preserve"> and </w:t>
      </w:r>
      <w:r w:rsidR="00057654" w:rsidRPr="001D14A6">
        <w:rPr>
          <w:rFonts w:cs="Times"/>
          <w:color w:val="000000"/>
          <w:sz w:val="22"/>
          <w:szCs w:val="22"/>
        </w:rPr>
        <w:t>a</w:t>
      </w:r>
      <w:r w:rsidR="00CD4CAD" w:rsidRPr="001D14A6">
        <w:rPr>
          <w:rFonts w:cs="Times"/>
          <w:color w:val="000000"/>
          <w:sz w:val="22"/>
          <w:szCs w:val="22"/>
        </w:rPr>
        <w:t xml:space="preserve"> commitment to dealing with risks. </w:t>
      </w:r>
      <w:r w:rsidR="001165AA" w:rsidRPr="001D14A6">
        <w:rPr>
          <w:rFonts w:cs="Times"/>
          <w:color w:val="000000"/>
          <w:sz w:val="22"/>
          <w:szCs w:val="22"/>
        </w:rPr>
        <w:t>For the expert members</w:t>
      </w:r>
      <w:r w:rsidR="00B0399D" w:rsidRPr="001D14A6">
        <w:rPr>
          <w:rFonts w:cs="Times"/>
          <w:color w:val="000000"/>
          <w:sz w:val="22"/>
          <w:szCs w:val="22"/>
        </w:rPr>
        <w:t>,</w:t>
      </w:r>
      <w:r w:rsidR="001C5CA5" w:rsidRPr="001D14A6">
        <w:rPr>
          <w:rFonts w:cs="Times"/>
          <w:color w:val="000000"/>
          <w:sz w:val="22"/>
          <w:szCs w:val="22"/>
        </w:rPr>
        <w:t xml:space="preserve"> the </w:t>
      </w:r>
      <w:r w:rsidR="001165AA" w:rsidRPr="001D14A6">
        <w:rPr>
          <w:rFonts w:cs="Times"/>
          <w:color w:val="000000"/>
          <w:sz w:val="22"/>
          <w:szCs w:val="22"/>
        </w:rPr>
        <w:t xml:space="preserve">application of the </w:t>
      </w:r>
      <w:r w:rsidR="00FE05CB" w:rsidRPr="001D14A6">
        <w:rPr>
          <w:rFonts w:cs="Times"/>
          <w:color w:val="000000"/>
          <w:sz w:val="22"/>
          <w:szCs w:val="22"/>
        </w:rPr>
        <w:t xml:space="preserve">precautionary </w:t>
      </w:r>
      <w:r w:rsidR="001165AA" w:rsidRPr="001D14A6">
        <w:rPr>
          <w:rFonts w:cs="Times"/>
          <w:color w:val="000000"/>
          <w:sz w:val="22"/>
          <w:szCs w:val="22"/>
        </w:rPr>
        <w:t>principle in decision-makin</w:t>
      </w:r>
      <w:r w:rsidR="00FE05CB" w:rsidRPr="001D14A6">
        <w:rPr>
          <w:rFonts w:cs="Times"/>
          <w:color w:val="000000"/>
          <w:sz w:val="22"/>
          <w:szCs w:val="22"/>
        </w:rPr>
        <w:t>g</w:t>
      </w:r>
      <w:r w:rsidR="001C5CA5" w:rsidRPr="001D14A6">
        <w:rPr>
          <w:rFonts w:cs="Times"/>
          <w:color w:val="000000"/>
          <w:sz w:val="22"/>
          <w:szCs w:val="22"/>
        </w:rPr>
        <w:t xml:space="preserve"> </w:t>
      </w:r>
      <w:r w:rsidR="00CD4CCA" w:rsidRPr="001D14A6">
        <w:rPr>
          <w:rFonts w:cs="Times"/>
          <w:color w:val="000000"/>
          <w:sz w:val="22"/>
          <w:szCs w:val="22"/>
        </w:rPr>
        <w:t>is based upon the</w:t>
      </w:r>
      <w:r w:rsidR="00B0399D" w:rsidRPr="001D14A6">
        <w:rPr>
          <w:rFonts w:cs="Times"/>
          <w:color w:val="000000"/>
          <w:sz w:val="22"/>
          <w:szCs w:val="22"/>
        </w:rPr>
        <w:t xml:space="preserve"> following</w:t>
      </w:r>
      <w:r w:rsidR="000B0992" w:rsidRPr="001D14A6">
        <w:rPr>
          <w:rFonts w:cs="Times"/>
          <w:color w:val="000000"/>
          <w:sz w:val="22"/>
          <w:szCs w:val="22"/>
        </w:rPr>
        <w:t xml:space="preserve"> processes and principles</w:t>
      </w:r>
      <w:r w:rsidR="001D14A6" w:rsidRPr="001D14A6">
        <w:rPr>
          <w:rFonts w:cs="Times"/>
          <w:color w:val="000000"/>
          <w:sz w:val="22"/>
          <w:szCs w:val="22"/>
        </w:rPr>
        <w:t>:</w:t>
      </w:r>
      <w:r w:rsidR="00915D7C" w:rsidRPr="001D14A6">
        <w:rPr>
          <w:rStyle w:val="FootnoteReference"/>
          <w:rFonts w:cs="Times"/>
          <w:color w:val="000000"/>
          <w:sz w:val="22"/>
          <w:szCs w:val="22"/>
        </w:rPr>
        <w:footnoteReference w:id="30"/>
      </w:r>
    </w:p>
    <w:p w14:paraId="543C4E37" w14:textId="3E965E4E" w:rsidR="007E5EDB" w:rsidRPr="001D14A6" w:rsidRDefault="009157DB" w:rsidP="008E18D5">
      <w:pPr>
        <w:pStyle w:val="ListParagraph"/>
        <w:widowControl w:val="0"/>
        <w:numPr>
          <w:ilvl w:val="0"/>
          <w:numId w:val="7"/>
        </w:numPr>
        <w:autoSpaceDE w:val="0"/>
        <w:autoSpaceDN w:val="0"/>
        <w:adjustRightInd w:val="0"/>
        <w:spacing w:after="240" w:line="276" w:lineRule="auto"/>
        <w:rPr>
          <w:rFonts w:cs="Times"/>
          <w:color w:val="000000"/>
          <w:sz w:val="22"/>
          <w:szCs w:val="22"/>
        </w:rPr>
      </w:pPr>
      <w:r w:rsidRPr="001D14A6">
        <w:rPr>
          <w:rFonts w:cs="Times"/>
          <w:color w:val="000000"/>
          <w:sz w:val="22"/>
          <w:szCs w:val="22"/>
        </w:rPr>
        <w:t xml:space="preserve">Precautionary measures should not be based on </w:t>
      </w:r>
      <w:r w:rsidR="00B25E9F" w:rsidRPr="001D14A6">
        <w:rPr>
          <w:rFonts w:cs="Times"/>
          <w:color w:val="000000"/>
          <w:sz w:val="22"/>
          <w:szCs w:val="22"/>
        </w:rPr>
        <w:t xml:space="preserve">speculative, </w:t>
      </w:r>
      <w:r w:rsidRPr="001D14A6">
        <w:rPr>
          <w:rFonts w:cs="Times"/>
          <w:color w:val="000000"/>
          <w:sz w:val="22"/>
          <w:szCs w:val="22"/>
        </w:rPr>
        <w:t>hypothetical or educated guesses or academic considerations;</w:t>
      </w:r>
    </w:p>
    <w:p w14:paraId="4D2BE8D3" w14:textId="49E4B1FB" w:rsidR="00AB6057" w:rsidRPr="001D14A6" w:rsidRDefault="00AB6057" w:rsidP="008E18D5">
      <w:pPr>
        <w:pStyle w:val="ListParagraph"/>
        <w:widowControl w:val="0"/>
        <w:numPr>
          <w:ilvl w:val="0"/>
          <w:numId w:val="7"/>
        </w:numPr>
        <w:autoSpaceDE w:val="0"/>
        <w:autoSpaceDN w:val="0"/>
        <w:adjustRightInd w:val="0"/>
        <w:spacing w:after="240" w:line="276" w:lineRule="auto"/>
        <w:rPr>
          <w:rFonts w:cs="Times"/>
          <w:color w:val="000000"/>
          <w:sz w:val="22"/>
          <w:szCs w:val="22"/>
        </w:rPr>
      </w:pPr>
      <w:r w:rsidRPr="001D14A6">
        <w:rPr>
          <w:rFonts w:cs="Times"/>
          <w:color w:val="000000"/>
          <w:sz w:val="22"/>
          <w:szCs w:val="22"/>
        </w:rPr>
        <w:t xml:space="preserve">A </w:t>
      </w:r>
      <w:r w:rsidR="005A2DE8" w:rsidRPr="001D14A6">
        <w:rPr>
          <w:rFonts w:cs="Times"/>
          <w:color w:val="000000"/>
          <w:sz w:val="22"/>
          <w:szCs w:val="22"/>
        </w:rPr>
        <w:t>‘</w:t>
      </w:r>
      <w:r w:rsidRPr="001D14A6">
        <w:rPr>
          <w:rFonts w:cs="Times"/>
          <w:color w:val="000000"/>
          <w:sz w:val="22"/>
          <w:szCs w:val="22"/>
        </w:rPr>
        <w:t>strong</w:t>
      </w:r>
      <w:r w:rsidR="005A2DE8" w:rsidRPr="001D14A6">
        <w:rPr>
          <w:rFonts w:cs="Times"/>
          <w:color w:val="000000"/>
          <w:sz w:val="22"/>
          <w:szCs w:val="22"/>
        </w:rPr>
        <w:t>’</w:t>
      </w:r>
      <w:r w:rsidRPr="001D14A6">
        <w:rPr>
          <w:rFonts w:cs="Times"/>
          <w:color w:val="000000"/>
          <w:sz w:val="22"/>
          <w:szCs w:val="22"/>
        </w:rPr>
        <w:t xml:space="preserve"> version of the principle is evident in the NGT decisions. </w:t>
      </w:r>
      <w:r w:rsidR="00BC6DF7" w:rsidRPr="001D14A6">
        <w:rPr>
          <w:rFonts w:cs="Times"/>
          <w:color w:val="000000"/>
          <w:sz w:val="22"/>
          <w:szCs w:val="22"/>
        </w:rPr>
        <w:t xml:space="preserve">To activate precautions, </w:t>
      </w:r>
      <w:r w:rsidR="00A269CB" w:rsidRPr="001D14A6">
        <w:rPr>
          <w:rFonts w:cs="Times"/>
          <w:color w:val="000000"/>
          <w:sz w:val="22"/>
          <w:szCs w:val="22"/>
        </w:rPr>
        <w:t>actions are b</w:t>
      </w:r>
      <w:r w:rsidR="00266A49" w:rsidRPr="001D14A6">
        <w:rPr>
          <w:rFonts w:cs="Times"/>
          <w:color w:val="000000"/>
          <w:sz w:val="22"/>
          <w:szCs w:val="22"/>
        </w:rPr>
        <w:t>ased on scientific information and analysis of possible risks to human health and environment, albeit tentative, inconclusive or in dispute;</w:t>
      </w:r>
    </w:p>
    <w:p w14:paraId="2A804EBD" w14:textId="29351823" w:rsidR="00BB1022" w:rsidRPr="001D14A6" w:rsidRDefault="00266A49" w:rsidP="008E18D5">
      <w:pPr>
        <w:pStyle w:val="ListParagraph"/>
        <w:widowControl w:val="0"/>
        <w:numPr>
          <w:ilvl w:val="0"/>
          <w:numId w:val="7"/>
        </w:numPr>
        <w:autoSpaceDE w:val="0"/>
        <w:autoSpaceDN w:val="0"/>
        <w:adjustRightInd w:val="0"/>
        <w:spacing w:after="240" w:line="276" w:lineRule="auto"/>
        <w:rPr>
          <w:rFonts w:cs="Times"/>
          <w:color w:val="000000"/>
          <w:sz w:val="22"/>
          <w:szCs w:val="22"/>
        </w:rPr>
      </w:pPr>
      <w:r w:rsidRPr="001D14A6">
        <w:rPr>
          <w:rFonts w:cs="Times"/>
          <w:color w:val="000000"/>
          <w:sz w:val="22"/>
          <w:szCs w:val="22"/>
        </w:rPr>
        <w:t xml:space="preserve">The tentative, inconclusive or </w:t>
      </w:r>
      <w:r w:rsidR="006A524E" w:rsidRPr="001D14A6">
        <w:rPr>
          <w:rFonts w:cs="Times"/>
          <w:color w:val="000000"/>
          <w:sz w:val="22"/>
          <w:szCs w:val="22"/>
        </w:rPr>
        <w:t xml:space="preserve">disputed </w:t>
      </w:r>
      <w:r w:rsidRPr="001D14A6">
        <w:rPr>
          <w:rFonts w:cs="Times"/>
          <w:color w:val="000000"/>
          <w:sz w:val="22"/>
          <w:szCs w:val="22"/>
        </w:rPr>
        <w:t xml:space="preserve">scientific information creates uncertainty in relation to gaps </w:t>
      </w:r>
      <w:r w:rsidR="006A524E" w:rsidRPr="001D14A6">
        <w:rPr>
          <w:rFonts w:cs="Times"/>
          <w:color w:val="000000"/>
          <w:sz w:val="22"/>
          <w:szCs w:val="22"/>
        </w:rPr>
        <w:t>in</w:t>
      </w:r>
      <w:r w:rsidR="00726722" w:rsidRPr="001D14A6">
        <w:rPr>
          <w:rFonts w:cs="Times"/>
          <w:color w:val="000000"/>
          <w:sz w:val="22"/>
          <w:szCs w:val="22"/>
        </w:rPr>
        <w:t xml:space="preserve"> data and/</w:t>
      </w:r>
      <w:r w:rsidRPr="001D14A6">
        <w:rPr>
          <w:rFonts w:cs="Times"/>
          <w:color w:val="000000"/>
          <w:sz w:val="22"/>
          <w:szCs w:val="22"/>
        </w:rPr>
        <w:t xml:space="preserve">or poor data, ignorance, </w:t>
      </w:r>
      <w:r w:rsidR="00976C60" w:rsidRPr="001D14A6">
        <w:rPr>
          <w:rFonts w:cs="Times"/>
          <w:color w:val="000000"/>
          <w:sz w:val="22"/>
          <w:szCs w:val="22"/>
        </w:rPr>
        <w:t xml:space="preserve">faulty models, scientific </w:t>
      </w:r>
      <w:r w:rsidR="006B59F8" w:rsidRPr="001D14A6">
        <w:rPr>
          <w:rFonts w:cs="Times"/>
          <w:color w:val="000000"/>
          <w:sz w:val="22"/>
          <w:szCs w:val="22"/>
        </w:rPr>
        <w:t>inconsi</w:t>
      </w:r>
      <w:r w:rsidR="007D3EB6" w:rsidRPr="001D14A6">
        <w:rPr>
          <w:rFonts w:cs="Times"/>
          <w:color w:val="000000"/>
          <w:sz w:val="22"/>
          <w:szCs w:val="22"/>
        </w:rPr>
        <w:t>stency and dis</w:t>
      </w:r>
      <w:r w:rsidR="00C101D9" w:rsidRPr="001D14A6">
        <w:rPr>
          <w:rFonts w:cs="Times"/>
          <w:color w:val="000000"/>
          <w:sz w:val="22"/>
          <w:szCs w:val="22"/>
        </w:rPr>
        <w:t>agreement on the nature of risk;</w:t>
      </w:r>
    </w:p>
    <w:p w14:paraId="116B69C1" w14:textId="41E57E87" w:rsidR="00266A49" w:rsidRPr="001D14A6" w:rsidRDefault="002E6D2C" w:rsidP="008E18D5">
      <w:pPr>
        <w:pStyle w:val="ListParagraph"/>
        <w:widowControl w:val="0"/>
        <w:numPr>
          <w:ilvl w:val="0"/>
          <w:numId w:val="7"/>
        </w:numPr>
        <w:autoSpaceDE w:val="0"/>
        <w:autoSpaceDN w:val="0"/>
        <w:adjustRightInd w:val="0"/>
        <w:spacing w:after="240" w:line="276" w:lineRule="auto"/>
        <w:rPr>
          <w:rFonts w:cs="Times"/>
          <w:color w:val="000000"/>
          <w:sz w:val="22"/>
          <w:szCs w:val="22"/>
        </w:rPr>
      </w:pPr>
      <w:r w:rsidRPr="001D14A6">
        <w:rPr>
          <w:rFonts w:cs="Times"/>
          <w:color w:val="000000"/>
          <w:sz w:val="22"/>
          <w:szCs w:val="22"/>
        </w:rPr>
        <w:t xml:space="preserve">Lower epistemic threshold of evidence is required </w:t>
      </w:r>
      <w:r w:rsidR="005671F6" w:rsidRPr="001D14A6">
        <w:rPr>
          <w:rFonts w:cs="Times"/>
          <w:color w:val="000000"/>
          <w:sz w:val="22"/>
          <w:szCs w:val="22"/>
        </w:rPr>
        <w:t xml:space="preserve">for the application of the principle, though one finds different standards </w:t>
      </w:r>
      <w:r w:rsidR="00B546AB" w:rsidRPr="001D14A6">
        <w:rPr>
          <w:rFonts w:cs="Times"/>
          <w:color w:val="000000"/>
          <w:sz w:val="22"/>
          <w:szCs w:val="22"/>
        </w:rPr>
        <w:t>of proof and informal scientific levels of certainty;</w:t>
      </w:r>
    </w:p>
    <w:p w14:paraId="252213EF" w14:textId="6059423B" w:rsidR="001C5CA5" w:rsidRPr="001D14A6" w:rsidRDefault="001C5CA5" w:rsidP="008E18D5">
      <w:pPr>
        <w:pStyle w:val="ListParagraph"/>
        <w:widowControl w:val="0"/>
        <w:numPr>
          <w:ilvl w:val="0"/>
          <w:numId w:val="7"/>
        </w:numPr>
        <w:autoSpaceDE w:val="0"/>
        <w:autoSpaceDN w:val="0"/>
        <w:adjustRightInd w:val="0"/>
        <w:spacing w:after="240" w:line="276" w:lineRule="auto"/>
        <w:rPr>
          <w:rFonts w:cs="Times"/>
          <w:color w:val="000000"/>
          <w:sz w:val="22"/>
          <w:szCs w:val="22"/>
        </w:rPr>
      </w:pPr>
      <w:r w:rsidRPr="001D14A6">
        <w:rPr>
          <w:rFonts w:cs="Times"/>
          <w:color w:val="000000"/>
          <w:sz w:val="22"/>
          <w:szCs w:val="22"/>
        </w:rPr>
        <w:t>The av</w:t>
      </w:r>
      <w:r w:rsidR="0053130B" w:rsidRPr="001D14A6">
        <w:rPr>
          <w:rFonts w:cs="Times"/>
          <w:color w:val="000000"/>
          <w:sz w:val="22"/>
          <w:szCs w:val="22"/>
        </w:rPr>
        <w:t>ailability of merit</w:t>
      </w:r>
      <w:r w:rsidR="006A524E" w:rsidRPr="001D14A6">
        <w:rPr>
          <w:rFonts w:cs="Times"/>
          <w:color w:val="000000"/>
          <w:sz w:val="22"/>
          <w:szCs w:val="22"/>
        </w:rPr>
        <w:t>s</w:t>
      </w:r>
      <w:r w:rsidRPr="001D14A6">
        <w:rPr>
          <w:rFonts w:cs="Times"/>
          <w:color w:val="000000"/>
          <w:sz w:val="22"/>
          <w:szCs w:val="22"/>
        </w:rPr>
        <w:t xml:space="preserve"> review to the NGT</w:t>
      </w:r>
      <w:r w:rsidR="006958E2" w:rsidRPr="001D14A6">
        <w:rPr>
          <w:rFonts w:cs="Times"/>
          <w:color w:val="000000"/>
          <w:sz w:val="22"/>
          <w:szCs w:val="22"/>
        </w:rPr>
        <w:t xml:space="preserve"> promotes judicial application of the principle</w:t>
      </w:r>
      <w:r w:rsidRPr="001D14A6">
        <w:rPr>
          <w:rFonts w:cs="Times"/>
          <w:color w:val="000000"/>
          <w:sz w:val="22"/>
          <w:szCs w:val="22"/>
        </w:rPr>
        <w:t>. As a merit</w:t>
      </w:r>
      <w:r w:rsidR="006A524E" w:rsidRPr="001D14A6">
        <w:rPr>
          <w:rFonts w:cs="Times"/>
          <w:color w:val="000000"/>
          <w:sz w:val="22"/>
          <w:szCs w:val="22"/>
        </w:rPr>
        <w:t>s</w:t>
      </w:r>
      <w:r w:rsidRPr="001D14A6">
        <w:rPr>
          <w:rFonts w:cs="Times"/>
          <w:color w:val="000000"/>
          <w:sz w:val="22"/>
          <w:szCs w:val="22"/>
        </w:rPr>
        <w:t xml:space="preserve"> court, the NGT becomes the primary decision-maker and can undertake in-depth scrutiny which involves not only law, but also the technical evaluation underpinning a decision;</w:t>
      </w:r>
    </w:p>
    <w:p w14:paraId="35951605" w14:textId="137DF42B" w:rsidR="002F1375" w:rsidRPr="001D14A6" w:rsidRDefault="001A7FE8" w:rsidP="008E18D5">
      <w:pPr>
        <w:pStyle w:val="ListParagraph"/>
        <w:widowControl w:val="0"/>
        <w:numPr>
          <w:ilvl w:val="0"/>
          <w:numId w:val="7"/>
        </w:numPr>
        <w:autoSpaceDE w:val="0"/>
        <w:autoSpaceDN w:val="0"/>
        <w:adjustRightInd w:val="0"/>
        <w:spacing w:after="240" w:line="276" w:lineRule="auto"/>
        <w:rPr>
          <w:rFonts w:cs="Times"/>
          <w:color w:val="000000"/>
          <w:sz w:val="22"/>
          <w:szCs w:val="22"/>
        </w:rPr>
      </w:pPr>
      <w:r w:rsidRPr="001D14A6">
        <w:rPr>
          <w:rFonts w:cs="Times"/>
          <w:color w:val="000000"/>
          <w:sz w:val="22"/>
          <w:szCs w:val="22"/>
        </w:rPr>
        <w:t xml:space="preserve"> Adoption of a variety of procedures, including investigative and stakeholder consultation processes helps in the application of the principle. The on-spot site inspection by the expert members helps to compare and contrast contradictory claims, positions and reports filed by the parties.</w:t>
      </w:r>
      <w:r w:rsidR="000B01B3" w:rsidRPr="001D14A6">
        <w:rPr>
          <w:rStyle w:val="FootnoteReference"/>
          <w:rFonts w:cs="Times"/>
          <w:color w:val="000000"/>
          <w:sz w:val="22"/>
          <w:szCs w:val="22"/>
        </w:rPr>
        <w:t xml:space="preserve"> </w:t>
      </w:r>
      <w:r w:rsidRPr="001D14A6">
        <w:rPr>
          <w:rFonts w:cs="Times"/>
          <w:color w:val="000000"/>
          <w:sz w:val="22"/>
          <w:szCs w:val="22"/>
        </w:rPr>
        <w:t xml:space="preserve">The stakeholder consultative process is applicable to cases of wider ramification involving major issues like </w:t>
      </w:r>
      <w:r w:rsidR="00E949B0" w:rsidRPr="001D14A6">
        <w:rPr>
          <w:rFonts w:cs="Times"/>
          <w:color w:val="000000"/>
          <w:sz w:val="22"/>
          <w:szCs w:val="22"/>
        </w:rPr>
        <w:t>river cleaning or air pollution;</w:t>
      </w:r>
    </w:p>
    <w:p w14:paraId="317BE928" w14:textId="620CD11D" w:rsidR="001A7FE8" w:rsidRPr="001D14A6" w:rsidRDefault="004B7D14" w:rsidP="008E18D5">
      <w:pPr>
        <w:pStyle w:val="ListParagraph"/>
        <w:widowControl w:val="0"/>
        <w:numPr>
          <w:ilvl w:val="0"/>
          <w:numId w:val="7"/>
        </w:numPr>
        <w:autoSpaceDE w:val="0"/>
        <w:autoSpaceDN w:val="0"/>
        <w:adjustRightInd w:val="0"/>
        <w:spacing w:after="240" w:line="276" w:lineRule="auto"/>
        <w:rPr>
          <w:rFonts w:cs="Times"/>
          <w:color w:val="000000"/>
          <w:sz w:val="22"/>
          <w:szCs w:val="22"/>
        </w:rPr>
      </w:pPr>
      <w:r w:rsidRPr="001D14A6">
        <w:rPr>
          <w:rFonts w:cs="Times"/>
          <w:color w:val="000000"/>
          <w:sz w:val="22"/>
          <w:szCs w:val="22"/>
        </w:rPr>
        <w:t xml:space="preserve">The </w:t>
      </w:r>
      <w:r w:rsidR="00D363E3" w:rsidRPr="001D14A6">
        <w:rPr>
          <w:rFonts w:cs="Times"/>
          <w:color w:val="000000"/>
          <w:sz w:val="22"/>
          <w:szCs w:val="22"/>
        </w:rPr>
        <w:t xml:space="preserve">strong application of the principle </w:t>
      </w:r>
      <w:r w:rsidR="000B01B3" w:rsidRPr="001D14A6">
        <w:rPr>
          <w:rFonts w:cs="Times"/>
          <w:color w:val="000000"/>
          <w:sz w:val="22"/>
          <w:szCs w:val="22"/>
        </w:rPr>
        <w:t xml:space="preserve">leads to different directions/regulatory </w:t>
      </w:r>
      <w:r w:rsidR="004135B1" w:rsidRPr="001D14A6">
        <w:rPr>
          <w:rFonts w:cs="Times"/>
          <w:color w:val="000000"/>
          <w:sz w:val="22"/>
          <w:szCs w:val="22"/>
        </w:rPr>
        <w:t>actions incl</w:t>
      </w:r>
      <w:r w:rsidR="008014D1" w:rsidRPr="001D14A6">
        <w:rPr>
          <w:rFonts w:cs="Times"/>
          <w:color w:val="000000"/>
          <w:sz w:val="22"/>
          <w:szCs w:val="22"/>
        </w:rPr>
        <w:t>ud</w:t>
      </w:r>
      <w:r w:rsidR="000B01B3" w:rsidRPr="001D14A6">
        <w:rPr>
          <w:rFonts w:cs="Times"/>
          <w:color w:val="000000"/>
          <w:sz w:val="22"/>
          <w:szCs w:val="22"/>
        </w:rPr>
        <w:t xml:space="preserve">ing prohibition, restriction, </w:t>
      </w:r>
      <w:r w:rsidR="008014D1" w:rsidRPr="001D14A6">
        <w:rPr>
          <w:rFonts w:cs="Times"/>
          <w:color w:val="000000"/>
          <w:sz w:val="22"/>
          <w:szCs w:val="22"/>
        </w:rPr>
        <w:t>warning requirements</w:t>
      </w:r>
      <w:r w:rsidR="006F2577" w:rsidRPr="001D14A6">
        <w:rPr>
          <w:rFonts w:cs="Times"/>
          <w:color w:val="000000"/>
          <w:sz w:val="22"/>
          <w:szCs w:val="22"/>
        </w:rPr>
        <w:t>, phase out or extra scientific information</w:t>
      </w:r>
      <w:r w:rsidR="007953EF" w:rsidRPr="001D14A6">
        <w:rPr>
          <w:rFonts w:cs="Times"/>
          <w:color w:val="000000"/>
          <w:sz w:val="22"/>
          <w:szCs w:val="22"/>
        </w:rPr>
        <w:t>;</w:t>
      </w:r>
      <w:r w:rsidR="00E949B0" w:rsidRPr="001D14A6">
        <w:rPr>
          <w:rFonts w:cs="Times"/>
          <w:color w:val="000000"/>
          <w:sz w:val="22"/>
          <w:szCs w:val="22"/>
        </w:rPr>
        <w:t xml:space="preserve"> and</w:t>
      </w:r>
    </w:p>
    <w:p w14:paraId="29B9C36E" w14:textId="5CD4CEBA" w:rsidR="007953EF" w:rsidRPr="001D14A6" w:rsidRDefault="000B1DBD" w:rsidP="008E18D5">
      <w:pPr>
        <w:pStyle w:val="ListParagraph"/>
        <w:widowControl w:val="0"/>
        <w:numPr>
          <w:ilvl w:val="0"/>
          <w:numId w:val="7"/>
        </w:numPr>
        <w:autoSpaceDE w:val="0"/>
        <w:autoSpaceDN w:val="0"/>
        <w:adjustRightInd w:val="0"/>
        <w:spacing w:after="240" w:line="276" w:lineRule="auto"/>
        <w:rPr>
          <w:rFonts w:cs="Times"/>
          <w:color w:val="000000"/>
          <w:sz w:val="22"/>
          <w:szCs w:val="22"/>
        </w:rPr>
      </w:pPr>
      <w:r w:rsidRPr="001D14A6">
        <w:rPr>
          <w:rFonts w:cs="Times"/>
          <w:color w:val="000000"/>
          <w:sz w:val="22"/>
          <w:szCs w:val="22"/>
        </w:rPr>
        <w:t xml:space="preserve">More importantly, </w:t>
      </w:r>
      <w:r w:rsidR="0009784B" w:rsidRPr="001D14A6">
        <w:rPr>
          <w:rFonts w:cs="Times"/>
          <w:color w:val="000000"/>
          <w:sz w:val="22"/>
          <w:szCs w:val="22"/>
        </w:rPr>
        <w:t>d</w:t>
      </w:r>
      <w:r w:rsidR="00D74EF0" w:rsidRPr="001D14A6">
        <w:rPr>
          <w:rFonts w:cs="Times"/>
          <w:color w:val="000000"/>
          <w:sz w:val="22"/>
          <w:szCs w:val="22"/>
        </w:rPr>
        <w:t xml:space="preserve">epending on experts’ epistemic qualities and </w:t>
      </w:r>
      <w:r w:rsidR="00A34167" w:rsidRPr="001D14A6">
        <w:rPr>
          <w:rFonts w:cs="Times"/>
          <w:color w:val="000000"/>
          <w:sz w:val="22"/>
          <w:szCs w:val="22"/>
        </w:rPr>
        <w:t xml:space="preserve">input, the degree of precaution </w:t>
      </w:r>
      <w:r w:rsidR="00D53568" w:rsidRPr="001D14A6">
        <w:rPr>
          <w:rFonts w:cs="Times"/>
          <w:color w:val="000000"/>
          <w:sz w:val="22"/>
          <w:szCs w:val="22"/>
        </w:rPr>
        <w:t>reflects a proactive approach</w:t>
      </w:r>
      <w:r w:rsidR="00E0528B" w:rsidRPr="001D14A6">
        <w:rPr>
          <w:rFonts w:cs="Times"/>
          <w:color w:val="000000"/>
          <w:sz w:val="22"/>
          <w:szCs w:val="22"/>
        </w:rPr>
        <w:t xml:space="preserve"> to improve environmental management through policy prescription and creation</w:t>
      </w:r>
      <w:r w:rsidR="00D53568" w:rsidRPr="001D14A6">
        <w:rPr>
          <w:rFonts w:cs="Times"/>
          <w:color w:val="000000"/>
          <w:sz w:val="22"/>
          <w:szCs w:val="22"/>
        </w:rPr>
        <w:t>.</w:t>
      </w:r>
    </w:p>
    <w:p w14:paraId="2EEE13EC" w14:textId="74EBD14D" w:rsidR="00B91339" w:rsidRPr="001D14A6" w:rsidRDefault="00497F37" w:rsidP="008E18D5">
      <w:pPr>
        <w:widowControl w:val="0"/>
        <w:autoSpaceDE w:val="0"/>
        <w:autoSpaceDN w:val="0"/>
        <w:adjustRightInd w:val="0"/>
        <w:spacing w:after="240" w:line="276" w:lineRule="auto"/>
        <w:rPr>
          <w:rFonts w:cs="Bookman Old Style"/>
          <w:color w:val="000000"/>
          <w:sz w:val="22"/>
          <w:szCs w:val="22"/>
        </w:rPr>
      </w:pPr>
      <w:r w:rsidRPr="001D14A6">
        <w:rPr>
          <w:rFonts w:cs="Times"/>
          <w:color w:val="000000"/>
          <w:sz w:val="22"/>
          <w:szCs w:val="22"/>
        </w:rPr>
        <w:t>T</w:t>
      </w:r>
      <w:r w:rsidR="000534DE" w:rsidRPr="001D14A6">
        <w:rPr>
          <w:rFonts w:cs="Times"/>
          <w:color w:val="000000"/>
          <w:sz w:val="22"/>
          <w:szCs w:val="22"/>
        </w:rPr>
        <w:t>he</w:t>
      </w:r>
      <w:r w:rsidR="00226D4F" w:rsidRPr="001D14A6">
        <w:rPr>
          <w:rFonts w:cs="Times"/>
          <w:color w:val="000000"/>
          <w:sz w:val="22"/>
          <w:szCs w:val="22"/>
        </w:rPr>
        <w:t xml:space="preserve"> principle in India mandates well-judged usage in favour of observing, preventing</w:t>
      </w:r>
      <w:r w:rsidR="00E37CE2" w:rsidRPr="001D14A6">
        <w:rPr>
          <w:rFonts w:cs="Times"/>
          <w:color w:val="000000"/>
          <w:sz w:val="22"/>
          <w:szCs w:val="22"/>
        </w:rPr>
        <w:t xml:space="preserve"> and mitigating potential</w:t>
      </w:r>
      <w:r w:rsidR="00226D4F" w:rsidRPr="001D14A6">
        <w:rPr>
          <w:rFonts w:cs="Times"/>
          <w:color w:val="000000"/>
          <w:sz w:val="22"/>
          <w:szCs w:val="22"/>
        </w:rPr>
        <w:t xml:space="preserve"> threat</w:t>
      </w:r>
      <w:r w:rsidR="00E37CE2" w:rsidRPr="001D14A6">
        <w:rPr>
          <w:rFonts w:cs="Times"/>
          <w:color w:val="000000"/>
          <w:sz w:val="22"/>
          <w:szCs w:val="22"/>
        </w:rPr>
        <w:t>s</w:t>
      </w:r>
      <w:r w:rsidR="00955B00" w:rsidRPr="001D14A6">
        <w:rPr>
          <w:rFonts w:cs="Times"/>
          <w:color w:val="000000"/>
          <w:sz w:val="22"/>
          <w:szCs w:val="22"/>
        </w:rPr>
        <w:t>. Indeed,</w:t>
      </w:r>
      <w:r w:rsidR="00226D4F" w:rsidRPr="001D14A6">
        <w:rPr>
          <w:rFonts w:cs="Times"/>
          <w:color w:val="000000"/>
          <w:sz w:val="22"/>
          <w:szCs w:val="22"/>
        </w:rPr>
        <w:t xml:space="preserve"> modern risk factors become mor</w:t>
      </w:r>
      <w:r w:rsidR="00E37CE2" w:rsidRPr="001D14A6">
        <w:rPr>
          <w:rFonts w:cs="Times"/>
          <w:color w:val="000000"/>
          <w:sz w:val="22"/>
          <w:szCs w:val="22"/>
        </w:rPr>
        <w:t xml:space="preserve">e complex, far-reaching and </w:t>
      </w:r>
      <w:r w:rsidR="00816C20" w:rsidRPr="001D14A6">
        <w:rPr>
          <w:rFonts w:cs="Times"/>
          <w:color w:val="000000"/>
          <w:sz w:val="22"/>
          <w:szCs w:val="22"/>
        </w:rPr>
        <w:t xml:space="preserve">adversely </w:t>
      </w:r>
      <w:r w:rsidR="002F21BA" w:rsidRPr="001D14A6">
        <w:rPr>
          <w:rFonts w:cs="Times"/>
          <w:color w:val="000000"/>
          <w:sz w:val="22"/>
          <w:szCs w:val="22"/>
        </w:rPr>
        <w:t>affect</w:t>
      </w:r>
      <w:r w:rsidR="005D1CDA" w:rsidRPr="001D14A6">
        <w:rPr>
          <w:rFonts w:cs="Times"/>
          <w:color w:val="000000"/>
          <w:sz w:val="22"/>
          <w:szCs w:val="22"/>
        </w:rPr>
        <w:t xml:space="preserve"> public health and environment.</w:t>
      </w:r>
      <w:r w:rsidR="000534DE" w:rsidRPr="001D14A6">
        <w:rPr>
          <w:rFonts w:cs="Times"/>
          <w:color w:val="000000"/>
          <w:sz w:val="22"/>
          <w:szCs w:val="22"/>
        </w:rPr>
        <w:t xml:space="preserve"> </w:t>
      </w:r>
      <w:r w:rsidR="00C13ED3" w:rsidRPr="001D14A6">
        <w:rPr>
          <w:rFonts w:cs="Times"/>
          <w:color w:val="000000"/>
          <w:sz w:val="22"/>
          <w:szCs w:val="22"/>
        </w:rPr>
        <w:t>It</w:t>
      </w:r>
      <w:r w:rsidR="00643E2B" w:rsidRPr="001D14A6">
        <w:rPr>
          <w:rFonts w:cs="Bookman Old Style"/>
          <w:color w:val="000000"/>
          <w:sz w:val="22"/>
          <w:szCs w:val="22"/>
        </w:rPr>
        <w:t xml:space="preserve"> </w:t>
      </w:r>
      <w:r w:rsidR="00CD7F1F" w:rsidRPr="001D14A6">
        <w:rPr>
          <w:rFonts w:cs="Bookman Old Style"/>
          <w:color w:val="000000"/>
          <w:sz w:val="22"/>
          <w:szCs w:val="22"/>
        </w:rPr>
        <w:t xml:space="preserve">is employed as </w:t>
      </w:r>
      <w:r w:rsidR="00643E2B" w:rsidRPr="001D14A6">
        <w:rPr>
          <w:rFonts w:cs="Bookman Old Style"/>
          <w:color w:val="000000"/>
          <w:sz w:val="22"/>
          <w:szCs w:val="22"/>
        </w:rPr>
        <w:t xml:space="preserve">a tool </w:t>
      </w:r>
      <w:r w:rsidR="00CD7F1F" w:rsidRPr="001D14A6">
        <w:rPr>
          <w:rFonts w:cs="Bookman Old Style"/>
          <w:color w:val="000000"/>
          <w:sz w:val="22"/>
          <w:szCs w:val="22"/>
        </w:rPr>
        <w:t xml:space="preserve">within Indian environmental jurisprudence </w:t>
      </w:r>
      <w:r w:rsidR="00643E2B" w:rsidRPr="001D14A6">
        <w:rPr>
          <w:rFonts w:cs="Bookman Old Style"/>
          <w:color w:val="000000"/>
          <w:sz w:val="22"/>
          <w:szCs w:val="22"/>
        </w:rPr>
        <w:t xml:space="preserve">for making better health and </w:t>
      </w:r>
      <w:r w:rsidR="00D30340" w:rsidRPr="001D14A6">
        <w:rPr>
          <w:rFonts w:cs="Bookman Old Style"/>
          <w:color w:val="000000"/>
          <w:sz w:val="22"/>
          <w:szCs w:val="22"/>
        </w:rPr>
        <w:t>environmental decisions</w:t>
      </w:r>
      <w:r w:rsidR="004A3B70" w:rsidRPr="001D14A6">
        <w:rPr>
          <w:rFonts w:cs="Bookman Old Style"/>
          <w:color w:val="000000"/>
          <w:sz w:val="22"/>
          <w:szCs w:val="22"/>
        </w:rPr>
        <w:t>.</w:t>
      </w:r>
      <w:r w:rsidR="00465861" w:rsidRPr="001D14A6">
        <w:rPr>
          <w:rFonts w:cs="Bookman Old Style"/>
          <w:color w:val="000000"/>
          <w:sz w:val="22"/>
          <w:szCs w:val="22"/>
        </w:rPr>
        <w:t xml:space="preserve"> </w:t>
      </w:r>
    </w:p>
    <w:p w14:paraId="7FEEA7D1" w14:textId="3CBAB884" w:rsidR="00EC35E3" w:rsidRPr="001D14A6" w:rsidRDefault="00465861" w:rsidP="008E18D5">
      <w:pPr>
        <w:widowControl w:val="0"/>
        <w:autoSpaceDE w:val="0"/>
        <w:autoSpaceDN w:val="0"/>
        <w:adjustRightInd w:val="0"/>
        <w:spacing w:after="240" w:line="276" w:lineRule="auto"/>
        <w:rPr>
          <w:rFonts w:cs="Times"/>
          <w:color w:val="000000"/>
          <w:sz w:val="22"/>
          <w:szCs w:val="22"/>
        </w:rPr>
      </w:pPr>
      <w:r w:rsidRPr="001D14A6">
        <w:rPr>
          <w:rFonts w:cs="Bookman Old Style"/>
          <w:color w:val="000000"/>
          <w:sz w:val="22"/>
          <w:szCs w:val="22"/>
        </w:rPr>
        <w:t xml:space="preserve">The influential role of the </w:t>
      </w:r>
      <w:r w:rsidR="00D9417A" w:rsidRPr="001D14A6">
        <w:rPr>
          <w:rFonts w:cs="Bookman Old Style"/>
          <w:color w:val="000000"/>
          <w:sz w:val="22"/>
          <w:szCs w:val="22"/>
        </w:rPr>
        <w:t xml:space="preserve">precautionary </w:t>
      </w:r>
      <w:r w:rsidRPr="001D14A6">
        <w:rPr>
          <w:rFonts w:cs="Bookman Old Style"/>
          <w:color w:val="000000"/>
          <w:sz w:val="22"/>
          <w:szCs w:val="22"/>
        </w:rPr>
        <w:t>princi</w:t>
      </w:r>
      <w:r w:rsidR="002F21BA" w:rsidRPr="001D14A6">
        <w:rPr>
          <w:rFonts w:cs="Bookman Old Style"/>
          <w:color w:val="000000"/>
          <w:sz w:val="22"/>
          <w:szCs w:val="22"/>
        </w:rPr>
        <w:t>ple is based upon the crucial</w:t>
      </w:r>
      <w:r w:rsidRPr="001D14A6">
        <w:rPr>
          <w:rFonts w:cs="Bookman Old Style"/>
          <w:color w:val="000000"/>
          <w:sz w:val="22"/>
          <w:szCs w:val="22"/>
        </w:rPr>
        <w:t xml:space="preserve"> </w:t>
      </w:r>
      <w:r w:rsidR="00043C31" w:rsidRPr="001D14A6">
        <w:rPr>
          <w:rFonts w:cs="Bookman Old Style"/>
          <w:color w:val="000000"/>
          <w:sz w:val="22"/>
          <w:szCs w:val="22"/>
        </w:rPr>
        <w:t>link between life and</w:t>
      </w:r>
      <w:r w:rsidR="002F21BA" w:rsidRPr="001D14A6">
        <w:rPr>
          <w:rFonts w:cs="Bookman Old Style"/>
          <w:color w:val="000000"/>
          <w:sz w:val="22"/>
          <w:szCs w:val="22"/>
        </w:rPr>
        <w:t xml:space="preserve"> a</w:t>
      </w:r>
      <w:r w:rsidR="00043C31" w:rsidRPr="001D14A6">
        <w:rPr>
          <w:rFonts w:cs="Bookman Old Style"/>
          <w:color w:val="000000"/>
          <w:sz w:val="22"/>
          <w:szCs w:val="22"/>
        </w:rPr>
        <w:t xml:space="preserve"> health</w:t>
      </w:r>
      <w:r w:rsidR="002F21BA" w:rsidRPr="001D14A6">
        <w:rPr>
          <w:rFonts w:cs="Bookman Old Style"/>
          <w:color w:val="000000"/>
          <w:sz w:val="22"/>
          <w:szCs w:val="22"/>
        </w:rPr>
        <w:t>y environment as enshrined in</w:t>
      </w:r>
      <w:r w:rsidR="00043C31" w:rsidRPr="001D14A6">
        <w:rPr>
          <w:rFonts w:cs="Bookman Old Style"/>
          <w:color w:val="000000"/>
          <w:sz w:val="22"/>
          <w:szCs w:val="22"/>
        </w:rPr>
        <w:t xml:space="preserve"> Article 21 of the Constitution </w:t>
      </w:r>
      <w:r w:rsidR="00573BDA" w:rsidRPr="001D14A6">
        <w:rPr>
          <w:rFonts w:cs="Bookman Old Style"/>
          <w:color w:val="000000"/>
          <w:sz w:val="22"/>
          <w:szCs w:val="22"/>
        </w:rPr>
        <w:t>of India</w:t>
      </w:r>
      <w:r w:rsidR="00561098" w:rsidRPr="001D14A6">
        <w:rPr>
          <w:rStyle w:val="FootnoteReference"/>
          <w:rFonts w:cs="Bookman Old Style"/>
          <w:color w:val="000000"/>
          <w:sz w:val="22"/>
          <w:szCs w:val="22"/>
        </w:rPr>
        <w:footnoteReference w:id="31"/>
      </w:r>
      <w:r w:rsidR="00573BDA" w:rsidRPr="001D14A6">
        <w:rPr>
          <w:rFonts w:cs="Bookman Old Style"/>
          <w:color w:val="000000"/>
          <w:sz w:val="22"/>
          <w:szCs w:val="22"/>
        </w:rPr>
        <w:t xml:space="preserve"> </w:t>
      </w:r>
      <w:r w:rsidR="00043C31" w:rsidRPr="001D14A6">
        <w:rPr>
          <w:rFonts w:cs="Bookman Old Style"/>
          <w:color w:val="000000"/>
          <w:sz w:val="22"/>
          <w:szCs w:val="22"/>
        </w:rPr>
        <w:t>and its</w:t>
      </w:r>
      <w:r w:rsidR="002F21BA" w:rsidRPr="001D14A6">
        <w:rPr>
          <w:rFonts w:cs="Bookman Old Style"/>
          <w:color w:val="000000"/>
          <w:sz w:val="22"/>
          <w:szCs w:val="22"/>
        </w:rPr>
        <w:t xml:space="preserve"> subsequent </w:t>
      </w:r>
      <w:r w:rsidR="002F21BA" w:rsidRPr="001D14A6">
        <w:rPr>
          <w:rFonts w:cs="Bookman Old Style"/>
          <w:color w:val="000000"/>
          <w:sz w:val="22"/>
          <w:szCs w:val="22"/>
        </w:rPr>
        <w:lastRenderedPageBreak/>
        <w:t>r</w:t>
      </w:r>
      <w:r w:rsidR="00B32696" w:rsidRPr="001D14A6">
        <w:rPr>
          <w:rFonts w:cs="Bookman Old Style"/>
          <w:color w:val="000000"/>
          <w:sz w:val="22"/>
          <w:szCs w:val="22"/>
        </w:rPr>
        <w:t>ecognition in the preamble</w:t>
      </w:r>
      <w:r w:rsidR="006A524E" w:rsidRPr="001D14A6">
        <w:rPr>
          <w:rFonts w:cs="Bookman Old Style"/>
          <w:color w:val="000000"/>
          <w:sz w:val="22"/>
          <w:szCs w:val="22"/>
        </w:rPr>
        <w:t xml:space="preserve"> of the </w:t>
      </w:r>
      <w:r w:rsidR="00B32696" w:rsidRPr="001D14A6">
        <w:rPr>
          <w:rFonts w:cs="Bookman Old Style"/>
          <w:color w:val="000000"/>
          <w:sz w:val="22"/>
          <w:szCs w:val="22"/>
        </w:rPr>
        <w:t>NGT Act.</w:t>
      </w:r>
      <w:r w:rsidR="008E70A7" w:rsidRPr="001D14A6">
        <w:rPr>
          <w:rFonts w:cs="Bookman Old Style"/>
          <w:color w:val="000000"/>
          <w:sz w:val="22"/>
          <w:szCs w:val="22"/>
        </w:rPr>
        <w:t xml:space="preserve"> </w:t>
      </w:r>
      <w:r w:rsidR="002F21BA" w:rsidRPr="001D14A6">
        <w:rPr>
          <w:rFonts w:cs="Times"/>
          <w:color w:val="000000"/>
          <w:sz w:val="22"/>
          <w:szCs w:val="22"/>
        </w:rPr>
        <w:t>A p</w:t>
      </w:r>
      <w:r w:rsidR="00573BDA" w:rsidRPr="001D14A6">
        <w:rPr>
          <w:rFonts w:cs="Times"/>
          <w:color w:val="000000"/>
          <w:sz w:val="22"/>
          <w:szCs w:val="22"/>
        </w:rPr>
        <w:t xml:space="preserve">roper and healthy environment enables people to enjoy a quality life </w:t>
      </w:r>
      <w:r w:rsidR="006A524E" w:rsidRPr="001D14A6">
        <w:rPr>
          <w:rFonts w:cs="Times"/>
          <w:color w:val="000000"/>
          <w:sz w:val="22"/>
          <w:szCs w:val="22"/>
        </w:rPr>
        <w:t>that</w:t>
      </w:r>
      <w:r w:rsidR="00573BDA" w:rsidRPr="001D14A6">
        <w:rPr>
          <w:rFonts w:cs="Times"/>
          <w:color w:val="000000"/>
          <w:sz w:val="22"/>
          <w:szCs w:val="22"/>
        </w:rPr>
        <w:t xml:space="preserve"> </w:t>
      </w:r>
      <w:r w:rsidR="002F21BA" w:rsidRPr="001D14A6">
        <w:rPr>
          <w:rFonts w:cs="Times"/>
          <w:color w:val="000000"/>
          <w:sz w:val="22"/>
          <w:szCs w:val="22"/>
        </w:rPr>
        <w:t xml:space="preserve">is a consequence </w:t>
      </w:r>
      <w:r w:rsidR="00573BDA" w:rsidRPr="001D14A6">
        <w:rPr>
          <w:rFonts w:cs="Times"/>
          <w:color w:val="000000"/>
          <w:sz w:val="22"/>
          <w:szCs w:val="22"/>
        </w:rPr>
        <w:t>of the right guaranteed under Article 21.</w:t>
      </w:r>
      <w:r w:rsidR="007E14A4" w:rsidRPr="001D14A6">
        <w:rPr>
          <w:rStyle w:val="FootnoteReference"/>
          <w:rFonts w:cs="Times"/>
          <w:color w:val="000000"/>
          <w:sz w:val="22"/>
          <w:szCs w:val="22"/>
        </w:rPr>
        <w:footnoteReference w:id="32"/>
      </w:r>
      <w:r w:rsidR="00573BDA" w:rsidRPr="001D14A6">
        <w:rPr>
          <w:rFonts w:cs="Times"/>
          <w:color w:val="000000"/>
          <w:sz w:val="22"/>
          <w:szCs w:val="22"/>
        </w:rPr>
        <w:t xml:space="preserve"> </w:t>
      </w:r>
      <w:r w:rsidR="00057654" w:rsidRPr="001D14A6">
        <w:rPr>
          <w:rFonts w:cs="Times"/>
          <w:color w:val="000000"/>
          <w:sz w:val="22"/>
          <w:szCs w:val="22"/>
        </w:rPr>
        <w:t>Having regard to the right to life under Article 21, t</w:t>
      </w:r>
      <w:r w:rsidR="00573BDA" w:rsidRPr="001D14A6">
        <w:rPr>
          <w:rFonts w:cs="Times"/>
          <w:color w:val="000000"/>
          <w:sz w:val="22"/>
          <w:szCs w:val="22"/>
        </w:rPr>
        <w:t>he most vital necessities, namely air, water and soil</w:t>
      </w:r>
      <w:r w:rsidR="00057654" w:rsidRPr="001D14A6">
        <w:rPr>
          <w:rFonts w:cs="Times"/>
          <w:color w:val="000000"/>
          <w:sz w:val="22"/>
          <w:szCs w:val="22"/>
        </w:rPr>
        <w:t>,</w:t>
      </w:r>
      <w:r w:rsidR="00573BDA" w:rsidRPr="001D14A6">
        <w:rPr>
          <w:rFonts w:cs="Times"/>
          <w:color w:val="000000"/>
          <w:sz w:val="22"/>
          <w:szCs w:val="22"/>
        </w:rPr>
        <w:t xml:space="preserve"> </w:t>
      </w:r>
      <w:r w:rsidR="00441F30" w:rsidRPr="001D14A6">
        <w:rPr>
          <w:rFonts w:cs="Times"/>
          <w:color w:val="000000"/>
          <w:sz w:val="22"/>
          <w:szCs w:val="22"/>
        </w:rPr>
        <w:t xml:space="preserve">cannot be </w:t>
      </w:r>
      <w:r w:rsidR="00573BDA" w:rsidRPr="001D14A6">
        <w:rPr>
          <w:rFonts w:cs="Times"/>
          <w:color w:val="000000"/>
          <w:sz w:val="22"/>
          <w:szCs w:val="22"/>
        </w:rPr>
        <w:t xml:space="preserve">misused or polluted to reduce the quality of life of others. Risk of harm to the environment </w:t>
      </w:r>
      <w:r w:rsidR="002F21BA" w:rsidRPr="001D14A6">
        <w:rPr>
          <w:rFonts w:cs="Times"/>
          <w:color w:val="000000"/>
          <w:sz w:val="22"/>
          <w:szCs w:val="22"/>
        </w:rPr>
        <w:t xml:space="preserve">or to human health is </w:t>
      </w:r>
      <w:r w:rsidR="00573BDA" w:rsidRPr="001D14A6">
        <w:rPr>
          <w:rFonts w:cs="Times"/>
          <w:color w:val="000000"/>
          <w:sz w:val="22"/>
          <w:szCs w:val="22"/>
        </w:rPr>
        <w:t xml:space="preserve">decided in </w:t>
      </w:r>
      <w:r w:rsidR="002F21BA" w:rsidRPr="001D14A6">
        <w:rPr>
          <w:rFonts w:cs="Times"/>
          <w:color w:val="000000"/>
          <w:sz w:val="22"/>
          <w:szCs w:val="22"/>
        </w:rPr>
        <w:t xml:space="preserve">the </w:t>
      </w:r>
      <w:r w:rsidR="00573BDA" w:rsidRPr="001D14A6">
        <w:rPr>
          <w:rFonts w:cs="Times"/>
          <w:color w:val="000000"/>
          <w:sz w:val="22"/>
          <w:szCs w:val="22"/>
        </w:rPr>
        <w:t xml:space="preserve">public interest. </w:t>
      </w:r>
      <w:r w:rsidR="002F21BA" w:rsidRPr="001D14A6">
        <w:rPr>
          <w:rFonts w:cs="Times"/>
          <w:color w:val="000000"/>
          <w:sz w:val="22"/>
          <w:szCs w:val="22"/>
        </w:rPr>
        <w:t>This</w:t>
      </w:r>
      <w:r w:rsidR="00E24CEE" w:rsidRPr="001D14A6">
        <w:rPr>
          <w:rFonts w:cs="Times"/>
          <w:color w:val="000000"/>
          <w:sz w:val="22"/>
          <w:szCs w:val="22"/>
        </w:rPr>
        <w:t xml:space="preserve"> principle is thus invoked</w:t>
      </w:r>
      <w:r w:rsidR="002F21BA" w:rsidRPr="001D14A6">
        <w:rPr>
          <w:rFonts w:cs="Times"/>
          <w:color w:val="000000"/>
          <w:sz w:val="22"/>
          <w:szCs w:val="22"/>
        </w:rPr>
        <w:t xml:space="preserve"> and followed</w:t>
      </w:r>
      <w:r w:rsidR="00E24CEE" w:rsidRPr="001D14A6">
        <w:rPr>
          <w:rFonts w:cs="Times"/>
          <w:color w:val="000000"/>
          <w:sz w:val="22"/>
          <w:szCs w:val="22"/>
        </w:rPr>
        <w:t xml:space="preserve"> by expert</w:t>
      </w:r>
      <w:r w:rsidR="002F21BA" w:rsidRPr="001D14A6">
        <w:rPr>
          <w:rFonts w:cs="Times"/>
          <w:color w:val="000000"/>
          <w:sz w:val="22"/>
          <w:szCs w:val="22"/>
        </w:rPr>
        <w:t xml:space="preserve"> and judicial</w:t>
      </w:r>
      <w:r w:rsidR="00E24CEE" w:rsidRPr="001D14A6">
        <w:rPr>
          <w:rFonts w:cs="Times"/>
          <w:color w:val="000000"/>
          <w:sz w:val="22"/>
          <w:szCs w:val="22"/>
        </w:rPr>
        <w:t xml:space="preserve"> members</w:t>
      </w:r>
      <w:r w:rsidR="00497F37" w:rsidRPr="001D14A6">
        <w:rPr>
          <w:rFonts w:cs="Times"/>
          <w:color w:val="000000"/>
          <w:sz w:val="22"/>
          <w:szCs w:val="22"/>
        </w:rPr>
        <w:t xml:space="preserve"> </w:t>
      </w:r>
      <w:r w:rsidR="00887C1E" w:rsidRPr="001D14A6">
        <w:rPr>
          <w:rFonts w:cs="Times"/>
          <w:color w:val="000000"/>
          <w:sz w:val="22"/>
          <w:szCs w:val="22"/>
        </w:rPr>
        <w:t>as a</w:t>
      </w:r>
      <w:r w:rsidR="002F21BA" w:rsidRPr="001D14A6">
        <w:rPr>
          <w:rFonts w:cs="Times"/>
          <w:color w:val="000000"/>
          <w:sz w:val="22"/>
          <w:szCs w:val="22"/>
        </w:rPr>
        <w:t xml:space="preserve"> normative commitment</w:t>
      </w:r>
      <w:r w:rsidR="001D14A6">
        <w:rPr>
          <w:rFonts w:cs="Times"/>
          <w:color w:val="000000"/>
          <w:sz w:val="22"/>
          <w:szCs w:val="22"/>
        </w:rPr>
        <w:t>.</w:t>
      </w:r>
      <w:r w:rsidR="002F21BA" w:rsidRPr="001D14A6">
        <w:rPr>
          <w:rFonts w:cs="Times"/>
          <w:color w:val="000000"/>
          <w:sz w:val="22"/>
          <w:szCs w:val="22"/>
        </w:rPr>
        <w:t xml:space="preserve"> It </w:t>
      </w:r>
      <w:r w:rsidR="00E24CEE" w:rsidRPr="001D14A6">
        <w:rPr>
          <w:rFonts w:cs="Times"/>
          <w:color w:val="000000"/>
          <w:sz w:val="22"/>
          <w:szCs w:val="22"/>
        </w:rPr>
        <w:t xml:space="preserve">thereby </w:t>
      </w:r>
      <w:r w:rsidR="002F21BA" w:rsidRPr="001D14A6">
        <w:rPr>
          <w:rFonts w:cs="Times"/>
          <w:color w:val="000000"/>
          <w:sz w:val="22"/>
          <w:szCs w:val="22"/>
        </w:rPr>
        <w:t xml:space="preserve">directs them </w:t>
      </w:r>
      <w:r w:rsidR="00E24CEE" w:rsidRPr="001D14A6">
        <w:rPr>
          <w:rFonts w:cs="Times"/>
          <w:color w:val="000000"/>
          <w:sz w:val="22"/>
          <w:szCs w:val="22"/>
        </w:rPr>
        <w:t>to offer scientifically based structur</w:t>
      </w:r>
      <w:r w:rsidR="002F21BA" w:rsidRPr="001D14A6">
        <w:rPr>
          <w:rFonts w:cs="Times"/>
          <w:color w:val="000000"/>
          <w:sz w:val="22"/>
          <w:szCs w:val="22"/>
        </w:rPr>
        <w:t>al solutions and policies that r</w:t>
      </w:r>
      <w:r w:rsidR="00E24CEE" w:rsidRPr="001D14A6">
        <w:rPr>
          <w:rFonts w:cs="Times"/>
          <w:color w:val="000000"/>
          <w:sz w:val="22"/>
          <w:szCs w:val="22"/>
        </w:rPr>
        <w:t xml:space="preserve">espond creatively to </w:t>
      </w:r>
      <w:r w:rsidR="00E96C68" w:rsidRPr="001D14A6">
        <w:rPr>
          <w:rFonts w:cs="Times"/>
          <w:color w:val="000000"/>
          <w:sz w:val="22"/>
          <w:szCs w:val="22"/>
        </w:rPr>
        <w:t xml:space="preserve">weak, ineffective regulation and </w:t>
      </w:r>
      <w:r w:rsidR="00E24CEE" w:rsidRPr="001D14A6">
        <w:rPr>
          <w:rFonts w:cs="Times"/>
          <w:color w:val="000000"/>
          <w:sz w:val="22"/>
          <w:szCs w:val="22"/>
        </w:rPr>
        <w:t>even</w:t>
      </w:r>
      <w:r w:rsidR="00E96C68" w:rsidRPr="001D14A6">
        <w:rPr>
          <w:rFonts w:cs="Times"/>
          <w:color w:val="000000"/>
          <w:sz w:val="22"/>
          <w:szCs w:val="22"/>
        </w:rPr>
        <w:t xml:space="preserve"> in</w:t>
      </w:r>
      <w:r w:rsidR="002F21BA" w:rsidRPr="001D14A6">
        <w:rPr>
          <w:rFonts w:cs="Times"/>
          <w:color w:val="000000"/>
          <w:sz w:val="22"/>
          <w:szCs w:val="22"/>
        </w:rPr>
        <w:t xml:space="preserve"> the</w:t>
      </w:r>
      <w:r w:rsidR="00E24CEE" w:rsidRPr="001D14A6">
        <w:rPr>
          <w:rFonts w:cs="Times"/>
          <w:color w:val="000000"/>
          <w:sz w:val="22"/>
          <w:szCs w:val="22"/>
        </w:rPr>
        <w:t xml:space="preserve"> absence of regulation.</w:t>
      </w:r>
    </w:p>
    <w:p w14:paraId="280E4A7A" w14:textId="4E1E552E" w:rsidR="001B1B0B" w:rsidRPr="001D14A6" w:rsidRDefault="001B1B0B" w:rsidP="008E18D5">
      <w:pPr>
        <w:widowControl w:val="0"/>
        <w:autoSpaceDE w:val="0"/>
        <w:autoSpaceDN w:val="0"/>
        <w:adjustRightInd w:val="0"/>
        <w:spacing w:after="240" w:line="276" w:lineRule="auto"/>
        <w:rPr>
          <w:rFonts w:cs="Times"/>
          <w:b/>
          <w:color w:val="000000"/>
          <w:sz w:val="22"/>
          <w:szCs w:val="22"/>
        </w:rPr>
      </w:pPr>
      <w:r w:rsidRPr="001D14A6">
        <w:rPr>
          <w:rFonts w:cs="Times"/>
          <w:b/>
          <w:color w:val="000000"/>
          <w:sz w:val="22"/>
          <w:szCs w:val="22"/>
        </w:rPr>
        <w:t>Conclusion</w:t>
      </w:r>
    </w:p>
    <w:p w14:paraId="7A389F20" w14:textId="0A165111" w:rsidR="001D14A6" w:rsidRPr="001D14A6" w:rsidRDefault="00DF210D" w:rsidP="001D14A6">
      <w:pPr>
        <w:pStyle w:val="CommentText"/>
        <w:spacing w:line="276" w:lineRule="auto"/>
        <w:rPr>
          <w:sz w:val="22"/>
          <w:szCs w:val="22"/>
        </w:rPr>
      </w:pPr>
      <w:r w:rsidRPr="001D14A6">
        <w:rPr>
          <w:rFonts w:cs="Times"/>
          <w:color w:val="000000"/>
          <w:sz w:val="22"/>
          <w:szCs w:val="22"/>
        </w:rPr>
        <w:t>The engagement of the NGT’s scientific experts in the decision-making process as ‘constructive science scholars’ has contributed to the development of environmental jurisprudence</w:t>
      </w:r>
      <w:r w:rsidR="00057654" w:rsidRPr="001D14A6">
        <w:rPr>
          <w:rFonts w:cs="Times"/>
          <w:color w:val="000000"/>
          <w:sz w:val="22"/>
          <w:szCs w:val="22"/>
        </w:rPr>
        <w:t xml:space="preserve">.  That environmental jurisprudence </w:t>
      </w:r>
      <w:r w:rsidRPr="001D14A6">
        <w:rPr>
          <w:rFonts w:cs="Times"/>
          <w:color w:val="000000"/>
          <w:sz w:val="22"/>
          <w:szCs w:val="22"/>
        </w:rPr>
        <w:t>not only encompasses legal doctrines but also science-based knowledge</w:t>
      </w:r>
      <w:r w:rsidR="00057654" w:rsidRPr="001D14A6">
        <w:rPr>
          <w:rFonts w:cs="Times"/>
          <w:color w:val="000000"/>
          <w:sz w:val="22"/>
          <w:szCs w:val="22"/>
        </w:rPr>
        <w:t xml:space="preserve">, </w:t>
      </w:r>
      <w:r w:rsidRPr="001D14A6">
        <w:rPr>
          <w:rFonts w:cs="Times"/>
          <w:color w:val="000000"/>
          <w:sz w:val="22"/>
          <w:szCs w:val="22"/>
        </w:rPr>
        <w:t>re</w:t>
      </w:r>
      <w:r w:rsidR="00950D8A" w:rsidRPr="001D14A6">
        <w:rPr>
          <w:rFonts w:cs="Times"/>
          <w:color w:val="000000"/>
          <w:sz w:val="22"/>
          <w:szCs w:val="22"/>
        </w:rPr>
        <w:t>sult</w:t>
      </w:r>
      <w:r w:rsidR="00057654" w:rsidRPr="001D14A6">
        <w:rPr>
          <w:rFonts w:cs="Times"/>
          <w:color w:val="000000"/>
          <w:sz w:val="22"/>
          <w:szCs w:val="22"/>
        </w:rPr>
        <w:t>ing</w:t>
      </w:r>
      <w:r w:rsidRPr="001D14A6">
        <w:rPr>
          <w:rFonts w:cs="Times"/>
          <w:color w:val="000000"/>
          <w:sz w:val="22"/>
          <w:szCs w:val="22"/>
        </w:rPr>
        <w:t xml:space="preserve"> in the solution of domain-specific problems. </w:t>
      </w:r>
      <w:r w:rsidR="00531200" w:rsidRPr="001D14A6">
        <w:rPr>
          <w:rFonts w:cs="Times"/>
          <w:color w:val="000000"/>
          <w:sz w:val="22"/>
          <w:szCs w:val="22"/>
        </w:rPr>
        <w:t>The experts</w:t>
      </w:r>
      <w:r w:rsidR="00C003F0" w:rsidRPr="001D14A6">
        <w:rPr>
          <w:rFonts w:cs="Times"/>
          <w:color w:val="000000"/>
          <w:sz w:val="22"/>
          <w:szCs w:val="22"/>
        </w:rPr>
        <w:t xml:space="preserve"> form</w:t>
      </w:r>
      <w:r w:rsidR="00531200" w:rsidRPr="001D14A6">
        <w:rPr>
          <w:rFonts w:cs="Times"/>
          <w:color w:val="000000"/>
          <w:sz w:val="22"/>
          <w:szCs w:val="22"/>
        </w:rPr>
        <w:t xml:space="preserve">ulate policies </w:t>
      </w:r>
      <w:r w:rsidR="00950D8A" w:rsidRPr="001D14A6">
        <w:rPr>
          <w:rFonts w:cs="Times"/>
          <w:color w:val="000000"/>
          <w:sz w:val="22"/>
          <w:szCs w:val="22"/>
        </w:rPr>
        <w:t xml:space="preserve">and may </w:t>
      </w:r>
      <w:r w:rsidR="00AF6EE9" w:rsidRPr="001D14A6">
        <w:rPr>
          <w:rFonts w:cs="Times"/>
          <w:color w:val="000000"/>
          <w:sz w:val="22"/>
          <w:szCs w:val="22"/>
        </w:rPr>
        <w:t>assist regulatory agencies to implement</w:t>
      </w:r>
      <w:r w:rsidR="00C003F0" w:rsidRPr="001D14A6">
        <w:rPr>
          <w:rFonts w:cs="Times"/>
          <w:color w:val="000000"/>
          <w:sz w:val="22"/>
          <w:szCs w:val="22"/>
        </w:rPr>
        <w:t xml:space="preserve"> t</w:t>
      </w:r>
      <w:r w:rsidR="00B22812" w:rsidRPr="001D14A6">
        <w:rPr>
          <w:rFonts w:cs="Times"/>
          <w:color w:val="000000"/>
          <w:sz w:val="22"/>
          <w:szCs w:val="22"/>
        </w:rPr>
        <w:t xml:space="preserve">hese policies, thereby exercising </w:t>
      </w:r>
      <w:r w:rsidR="00C003F0" w:rsidRPr="001D14A6">
        <w:rPr>
          <w:rFonts w:cs="Times"/>
          <w:color w:val="000000"/>
          <w:sz w:val="22"/>
          <w:szCs w:val="22"/>
        </w:rPr>
        <w:t>both a problem-solving and</w:t>
      </w:r>
      <w:r w:rsidR="00C52941" w:rsidRPr="001D14A6">
        <w:rPr>
          <w:rFonts w:cs="Times"/>
          <w:color w:val="000000"/>
          <w:sz w:val="22"/>
          <w:szCs w:val="22"/>
        </w:rPr>
        <w:t xml:space="preserve"> a</w:t>
      </w:r>
      <w:r w:rsidR="00C003F0" w:rsidRPr="001D14A6">
        <w:rPr>
          <w:rFonts w:cs="Times"/>
          <w:color w:val="000000"/>
          <w:sz w:val="22"/>
          <w:szCs w:val="22"/>
        </w:rPr>
        <w:t xml:space="preserve"> policy-creatio</w:t>
      </w:r>
      <w:r w:rsidR="00950D8A" w:rsidRPr="001D14A6">
        <w:rPr>
          <w:rFonts w:cs="Times"/>
          <w:color w:val="000000"/>
          <w:sz w:val="22"/>
          <w:szCs w:val="22"/>
        </w:rPr>
        <w:t>n function</w:t>
      </w:r>
      <w:r w:rsidR="00B6617D" w:rsidRPr="001D14A6">
        <w:rPr>
          <w:rFonts w:cs="Times"/>
          <w:color w:val="000000"/>
          <w:sz w:val="22"/>
          <w:szCs w:val="22"/>
        </w:rPr>
        <w:t>. Thus, the jurisdiction and activities of the NGT</w:t>
      </w:r>
      <w:r w:rsidR="00544C67" w:rsidRPr="001D14A6">
        <w:rPr>
          <w:rFonts w:cs="Times"/>
          <w:color w:val="000000"/>
          <w:sz w:val="22"/>
          <w:szCs w:val="22"/>
        </w:rPr>
        <w:t xml:space="preserve"> through the </w:t>
      </w:r>
      <w:r w:rsidR="00505867" w:rsidRPr="001D14A6">
        <w:rPr>
          <w:rFonts w:cs="Times"/>
          <w:color w:val="000000"/>
          <w:sz w:val="22"/>
          <w:szCs w:val="22"/>
        </w:rPr>
        <w:t>exercise of a ‘strong’ precautionary principle</w:t>
      </w:r>
      <w:r w:rsidR="00057654" w:rsidRPr="001D14A6">
        <w:rPr>
          <w:rFonts w:cs="Times"/>
          <w:color w:val="000000"/>
          <w:sz w:val="22"/>
          <w:szCs w:val="22"/>
        </w:rPr>
        <w:t>,</w:t>
      </w:r>
      <w:r w:rsidR="00613A9C" w:rsidRPr="001D14A6">
        <w:rPr>
          <w:rFonts w:cs="Times"/>
          <w:color w:val="000000"/>
          <w:sz w:val="22"/>
          <w:szCs w:val="22"/>
        </w:rPr>
        <w:t xml:space="preserve"> supported by the extens</w:t>
      </w:r>
      <w:r w:rsidR="00C6663A" w:rsidRPr="001D14A6">
        <w:rPr>
          <w:rFonts w:cs="Times"/>
          <w:color w:val="000000"/>
          <w:sz w:val="22"/>
          <w:szCs w:val="22"/>
        </w:rPr>
        <w:t>ive reach of Article 21 of the C</w:t>
      </w:r>
      <w:r w:rsidR="00613A9C" w:rsidRPr="001D14A6">
        <w:rPr>
          <w:rFonts w:cs="Times"/>
          <w:color w:val="000000"/>
          <w:sz w:val="22"/>
          <w:szCs w:val="22"/>
        </w:rPr>
        <w:t xml:space="preserve">onstitution </w:t>
      </w:r>
      <w:r w:rsidR="00C6663A" w:rsidRPr="001D14A6">
        <w:rPr>
          <w:rFonts w:cs="Times"/>
          <w:color w:val="000000"/>
          <w:sz w:val="22"/>
          <w:szCs w:val="22"/>
        </w:rPr>
        <w:t>of India</w:t>
      </w:r>
      <w:r w:rsidR="00057654" w:rsidRPr="001D14A6">
        <w:rPr>
          <w:rFonts w:cs="Times"/>
          <w:color w:val="000000"/>
          <w:sz w:val="22"/>
          <w:szCs w:val="22"/>
        </w:rPr>
        <w:t>,</w:t>
      </w:r>
      <w:r w:rsidR="00C6663A" w:rsidRPr="001D14A6">
        <w:rPr>
          <w:rFonts w:cs="Times"/>
          <w:color w:val="000000"/>
          <w:sz w:val="22"/>
          <w:szCs w:val="22"/>
        </w:rPr>
        <w:t xml:space="preserve"> </w:t>
      </w:r>
      <w:r w:rsidR="00613A9C" w:rsidRPr="001D14A6">
        <w:rPr>
          <w:rFonts w:cs="Times"/>
          <w:color w:val="000000"/>
          <w:sz w:val="22"/>
          <w:szCs w:val="22"/>
        </w:rPr>
        <w:t>result in a dynamic</w:t>
      </w:r>
      <w:r w:rsidR="00C003F0" w:rsidRPr="001D14A6">
        <w:rPr>
          <w:rFonts w:cs="Times"/>
          <w:color w:val="000000"/>
          <w:sz w:val="22"/>
          <w:szCs w:val="22"/>
        </w:rPr>
        <w:t xml:space="preserve"> </w:t>
      </w:r>
      <w:r w:rsidR="00B6617D" w:rsidRPr="001D14A6">
        <w:rPr>
          <w:rFonts w:cs="Times"/>
          <w:color w:val="000000"/>
          <w:sz w:val="22"/>
          <w:szCs w:val="22"/>
        </w:rPr>
        <w:t>decision- making process</w:t>
      </w:r>
      <w:r w:rsidR="00EE69A7" w:rsidRPr="001D14A6">
        <w:rPr>
          <w:rFonts w:cs="Times"/>
          <w:color w:val="000000"/>
          <w:sz w:val="22"/>
          <w:szCs w:val="22"/>
        </w:rPr>
        <w:t xml:space="preserve"> wherein </w:t>
      </w:r>
      <w:r w:rsidR="00DB39F2" w:rsidRPr="001D14A6">
        <w:rPr>
          <w:rFonts w:cs="Times"/>
          <w:color w:val="000000"/>
          <w:sz w:val="22"/>
          <w:szCs w:val="22"/>
        </w:rPr>
        <w:t xml:space="preserve">environment, health and </w:t>
      </w:r>
      <w:r w:rsidR="00A01EB5" w:rsidRPr="001D14A6">
        <w:rPr>
          <w:rFonts w:cs="Times"/>
          <w:color w:val="000000"/>
          <w:sz w:val="22"/>
          <w:szCs w:val="22"/>
        </w:rPr>
        <w:t>public interest</w:t>
      </w:r>
      <w:r w:rsidR="00D11D73" w:rsidRPr="001D14A6">
        <w:rPr>
          <w:rFonts w:cs="Times"/>
          <w:color w:val="000000"/>
          <w:sz w:val="22"/>
          <w:szCs w:val="22"/>
        </w:rPr>
        <w:t xml:space="preserve"> </w:t>
      </w:r>
      <w:r w:rsidR="001D14A6" w:rsidRPr="001D14A6">
        <w:rPr>
          <w:sz w:val="22"/>
          <w:szCs w:val="22"/>
        </w:rPr>
        <w:t>are given due consideration.</w:t>
      </w:r>
    </w:p>
    <w:p w14:paraId="2F55A5AC" w14:textId="044E58EC" w:rsidR="00DF210D" w:rsidRPr="001D14A6" w:rsidRDefault="00DF210D" w:rsidP="001D14A6">
      <w:pPr>
        <w:widowControl w:val="0"/>
        <w:autoSpaceDE w:val="0"/>
        <w:autoSpaceDN w:val="0"/>
        <w:adjustRightInd w:val="0"/>
        <w:spacing w:after="240" w:line="276" w:lineRule="auto"/>
        <w:rPr>
          <w:rFonts w:ascii="Cambria" w:hAnsi="Cambria" w:cs="Times"/>
          <w:color w:val="000000"/>
          <w:sz w:val="22"/>
          <w:szCs w:val="22"/>
        </w:rPr>
      </w:pPr>
    </w:p>
    <w:p w14:paraId="21517C68" w14:textId="77777777" w:rsidR="001B1B0B" w:rsidRPr="001D14A6" w:rsidRDefault="001B1B0B" w:rsidP="008E18D5">
      <w:pPr>
        <w:widowControl w:val="0"/>
        <w:autoSpaceDE w:val="0"/>
        <w:autoSpaceDN w:val="0"/>
        <w:adjustRightInd w:val="0"/>
        <w:spacing w:after="240" w:line="276" w:lineRule="auto"/>
        <w:rPr>
          <w:rFonts w:ascii="Cambria" w:hAnsi="Cambria" w:cs="Times"/>
          <w:color w:val="000000"/>
          <w:sz w:val="22"/>
          <w:szCs w:val="22"/>
        </w:rPr>
      </w:pPr>
    </w:p>
    <w:p w14:paraId="413F0F70" w14:textId="77777777" w:rsidR="00F42CEA" w:rsidRPr="001D14A6" w:rsidRDefault="00F42CEA" w:rsidP="00AA7C1C">
      <w:pPr>
        <w:widowControl w:val="0"/>
        <w:autoSpaceDE w:val="0"/>
        <w:autoSpaceDN w:val="0"/>
        <w:adjustRightInd w:val="0"/>
        <w:spacing w:after="240" w:line="276" w:lineRule="auto"/>
        <w:rPr>
          <w:rFonts w:ascii="Cambria" w:hAnsi="Cambria" w:cs="Times"/>
          <w:color w:val="000000"/>
          <w:sz w:val="22"/>
          <w:szCs w:val="22"/>
        </w:rPr>
      </w:pPr>
    </w:p>
    <w:p w14:paraId="2B400A70" w14:textId="77777777" w:rsidR="00F42CEA" w:rsidRPr="001D14A6" w:rsidRDefault="00F42CEA" w:rsidP="00AA7C1C">
      <w:pPr>
        <w:widowControl w:val="0"/>
        <w:autoSpaceDE w:val="0"/>
        <w:autoSpaceDN w:val="0"/>
        <w:adjustRightInd w:val="0"/>
        <w:spacing w:after="240" w:line="276" w:lineRule="auto"/>
        <w:rPr>
          <w:rFonts w:ascii="Cambria" w:hAnsi="Cambria" w:cs="Times"/>
          <w:color w:val="000000"/>
          <w:sz w:val="22"/>
          <w:szCs w:val="22"/>
        </w:rPr>
      </w:pPr>
    </w:p>
    <w:p w14:paraId="52DD40DB" w14:textId="77777777" w:rsidR="00F42CEA" w:rsidRPr="001D14A6" w:rsidRDefault="00F42CEA" w:rsidP="00AA7C1C">
      <w:pPr>
        <w:widowControl w:val="0"/>
        <w:autoSpaceDE w:val="0"/>
        <w:autoSpaceDN w:val="0"/>
        <w:adjustRightInd w:val="0"/>
        <w:spacing w:after="240" w:line="276" w:lineRule="auto"/>
        <w:rPr>
          <w:rFonts w:ascii="Cambria" w:hAnsi="Cambria" w:cs="Times"/>
          <w:color w:val="000000"/>
          <w:sz w:val="22"/>
          <w:szCs w:val="22"/>
        </w:rPr>
      </w:pPr>
    </w:p>
    <w:p w14:paraId="55C4B85E" w14:textId="6F10FB32" w:rsidR="00201DC5" w:rsidRPr="001D14A6" w:rsidRDefault="00201DC5" w:rsidP="00AA7C1C">
      <w:pPr>
        <w:widowControl w:val="0"/>
        <w:autoSpaceDE w:val="0"/>
        <w:autoSpaceDN w:val="0"/>
        <w:adjustRightInd w:val="0"/>
        <w:spacing w:after="240" w:line="276" w:lineRule="auto"/>
        <w:rPr>
          <w:rFonts w:ascii="Cambria" w:hAnsi="Cambria" w:cs="Times"/>
          <w:color w:val="000000"/>
          <w:sz w:val="22"/>
          <w:szCs w:val="22"/>
        </w:rPr>
      </w:pPr>
    </w:p>
    <w:p w14:paraId="01DC5FD3" w14:textId="54D67CF6" w:rsidR="00573BDA" w:rsidRPr="001D14A6" w:rsidRDefault="00573BDA" w:rsidP="00AA7C1C">
      <w:pPr>
        <w:widowControl w:val="0"/>
        <w:autoSpaceDE w:val="0"/>
        <w:autoSpaceDN w:val="0"/>
        <w:adjustRightInd w:val="0"/>
        <w:spacing w:after="240" w:line="276" w:lineRule="auto"/>
        <w:rPr>
          <w:rFonts w:ascii="Cambria" w:hAnsi="Cambria" w:cs="Times"/>
          <w:color w:val="000000"/>
          <w:sz w:val="22"/>
          <w:szCs w:val="22"/>
        </w:rPr>
      </w:pPr>
    </w:p>
    <w:p w14:paraId="5221C025" w14:textId="13E25D32" w:rsidR="00573BDA" w:rsidRPr="001D14A6" w:rsidRDefault="00573BDA" w:rsidP="00AA7C1C">
      <w:pPr>
        <w:widowControl w:val="0"/>
        <w:autoSpaceDE w:val="0"/>
        <w:autoSpaceDN w:val="0"/>
        <w:adjustRightInd w:val="0"/>
        <w:spacing w:after="240" w:line="276" w:lineRule="auto"/>
        <w:rPr>
          <w:rFonts w:ascii="Cambria" w:hAnsi="Cambria" w:cs="Times"/>
          <w:color w:val="000000"/>
          <w:sz w:val="22"/>
          <w:szCs w:val="22"/>
        </w:rPr>
      </w:pPr>
      <w:r w:rsidRPr="001D14A6">
        <w:rPr>
          <w:rFonts w:ascii="Cambria" w:hAnsi="Cambria" w:cs="Times"/>
          <w:color w:val="000000"/>
          <w:sz w:val="22"/>
          <w:szCs w:val="22"/>
        </w:rPr>
        <w:t xml:space="preserve"> </w:t>
      </w:r>
    </w:p>
    <w:p w14:paraId="2955EBBB" w14:textId="66D34598" w:rsidR="00643E2B" w:rsidRPr="001D14A6" w:rsidRDefault="00643E2B" w:rsidP="00AA7C1C">
      <w:pPr>
        <w:widowControl w:val="0"/>
        <w:autoSpaceDE w:val="0"/>
        <w:autoSpaceDN w:val="0"/>
        <w:adjustRightInd w:val="0"/>
        <w:spacing w:after="240" w:line="276" w:lineRule="auto"/>
        <w:rPr>
          <w:rFonts w:ascii="Cambria" w:hAnsi="Cambria" w:cs="Times"/>
          <w:color w:val="000000"/>
          <w:sz w:val="22"/>
          <w:szCs w:val="22"/>
        </w:rPr>
      </w:pPr>
    </w:p>
    <w:p w14:paraId="7C5E37DE" w14:textId="77777777" w:rsidR="000A1BFE" w:rsidRPr="001D14A6" w:rsidRDefault="000A1BFE" w:rsidP="00AA7C1C">
      <w:pPr>
        <w:widowControl w:val="0"/>
        <w:autoSpaceDE w:val="0"/>
        <w:autoSpaceDN w:val="0"/>
        <w:adjustRightInd w:val="0"/>
        <w:spacing w:after="240" w:line="276" w:lineRule="auto"/>
        <w:rPr>
          <w:rFonts w:ascii="Cambria" w:hAnsi="Cambria" w:cs="Times"/>
          <w:color w:val="000000"/>
          <w:sz w:val="22"/>
          <w:szCs w:val="22"/>
        </w:rPr>
      </w:pPr>
    </w:p>
    <w:p w14:paraId="6C4AD0BC" w14:textId="6FFD446A" w:rsidR="004A2F3C" w:rsidRPr="001D14A6" w:rsidRDefault="004A2F3C" w:rsidP="00AA7C1C">
      <w:pPr>
        <w:widowControl w:val="0"/>
        <w:autoSpaceDE w:val="0"/>
        <w:autoSpaceDN w:val="0"/>
        <w:adjustRightInd w:val="0"/>
        <w:spacing w:after="240" w:line="276" w:lineRule="auto"/>
        <w:rPr>
          <w:rFonts w:ascii="Cambria" w:hAnsi="Cambria" w:cs="Times"/>
          <w:color w:val="000000"/>
          <w:sz w:val="22"/>
          <w:szCs w:val="22"/>
        </w:rPr>
      </w:pPr>
    </w:p>
    <w:p w14:paraId="696BB4BD" w14:textId="7328EA81" w:rsidR="000F1C1E" w:rsidRPr="001D14A6" w:rsidRDefault="000F1C1E" w:rsidP="00A66A40">
      <w:pPr>
        <w:widowControl w:val="0"/>
        <w:autoSpaceDE w:val="0"/>
        <w:autoSpaceDN w:val="0"/>
        <w:adjustRightInd w:val="0"/>
        <w:spacing w:after="240" w:line="276" w:lineRule="auto"/>
        <w:rPr>
          <w:rFonts w:ascii="Cambria" w:hAnsi="Cambria" w:cs="Times"/>
          <w:color w:val="000000"/>
          <w:sz w:val="22"/>
          <w:szCs w:val="22"/>
        </w:rPr>
      </w:pPr>
    </w:p>
    <w:sectPr w:rsidR="000F1C1E" w:rsidRPr="001D14A6" w:rsidSect="004E2879">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97193" w14:textId="77777777" w:rsidR="008E5CE5" w:rsidRDefault="008E5CE5" w:rsidP="005074AD">
      <w:r>
        <w:separator/>
      </w:r>
    </w:p>
  </w:endnote>
  <w:endnote w:type="continuationSeparator" w:id="0">
    <w:p w14:paraId="17FDB025" w14:textId="77777777" w:rsidR="008E5CE5" w:rsidRDefault="008E5CE5" w:rsidP="0050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Bookman Old Style">
    <w:panose1 w:val="02050604050505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9219" w14:textId="77777777" w:rsidR="006A524E" w:rsidRDefault="006A524E" w:rsidP="004E287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803E1" w14:textId="77777777" w:rsidR="006A524E" w:rsidRDefault="006A52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29A9" w14:textId="77777777" w:rsidR="006A524E" w:rsidRDefault="006A524E" w:rsidP="004E287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402B">
      <w:rPr>
        <w:rStyle w:val="PageNumber"/>
        <w:noProof/>
      </w:rPr>
      <w:t>5</w:t>
    </w:r>
    <w:r>
      <w:rPr>
        <w:rStyle w:val="PageNumber"/>
      </w:rPr>
      <w:fldChar w:fldCharType="end"/>
    </w:r>
  </w:p>
  <w:p w14:paraId="0E4715E2" w14:textId="77777777" w:rsidR="006A524E" w:rsidRDefault="006A52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5B451" w14:textId="77777777" w:rsidR="008E5CE5" w:rsidRDefault="008E5CE5" w:rsidP="005074AD">
      <w:r>
        <w:separator/>
      </w:r>
    </w:p>
  </w:footnote>
  <w:footnote w:type="continuationSeparator" w:id="0">
    <w:p w14:paraId="336412F6" w14:textId="77777777" w:rsidR="008E5CE5" w:rsidRDefault="008E5CE5" w:rsidP="005074AD">
      <w:r>
        <w:continuationSeparator/>
      </w:r>
    </w:p>
  </w:footnote>
  <w:footnote w:id="1">
    <w:p w14:paraId="5BE1E9E4" w14:textId="2B695F96" w:rsidR="006A524E" w:rsidRPr="001D14A6" w:rsidRDefault="006A524E" w:rsidP="00857737">
      <w:pPr>
        <w:widowControl w:val="0"/>
        <w:autoSpaceDE w:val="0"/>
        <w:autoSpaceDN w:val="0"/>
        <w:adjustRightInd w:val="0"/>
        <w:spacing w:after="240" w:line="280" w:lineRule="atLeast"/>
        <w:rPr>
          <w:sz w:val="20"/>
          <w:szCs w:val="20"/>
        </w:rPr>
      </w:pPr>
      <w:r w:rsidRPr="001D14A6">
        <w:rPr>
          <w:sz w:val="20"/>
          <w:szCs w:val="20"/>
        </w:rPr>
        <w:t>*Dr Gitanjali Nain Gill, Reader in Law, Northumbria Law School, Northumbria University, UK. March 2017</w:t>
      </w:r>
    </w:p>
    <w:p w14:paraId="40F1FEEC" w14:textId="2565B3C4" w:rsidR="006A524E" w:rsidRPr="001D14A6" w:rsidRDefault="006A524E" w:rsidP="00796F05">
      <w:pPr>
        <w:widowControl w:val="0"/>
        <w:autoSpaceDE w:val="0"/>
        <w:autoSpaceDN w:val="0"/>
        <w:adjustRightInd w:val="0"/>
        <w:spacing w:after="240" w:line="280" w:lineRule="atLeast"/>
        <w:rPr>
          <w:rFonts w:cs="Times"/>
          <w:color w:val="000000"/>
          <w:sz w:val="20"/>
          <w:szCs w:val="20"/>
        </w:rPr>
      </w:pPr>
      <w:r w:rsidRPr="001D14A6">
        <w:rPr>
          <w:rStyle w:val="FootnoteReference"/>
          <w:sz w:val="20"/>
          <w:szCs w:val="20"/>
        </w:rPr>
        <w:footnoteRef/>
      </w:r>
      <w:r w:rsidRPr="001D14A6">
        <w:rPr>
          <w:sz w:val="20"/>
          <w:szCs w:val="20"/>
        </w:rPr>
        <w:t xml:space="preserve"> </w:t>
      </w:r>
      <w:r w:rsidRPr="001D14A6">
        <w:rPr>
          <w:rFonts w:cs="Times"/>
          <w:color w:val="000000"/>
          <w:sz w:val="20"/>
          <w:szCs w:val="20"/>
        </w:rPr>
        <w:t xml:space="preserve">Buchanan, A and Keohane, R O (2003) ‘The legitimacy of global governance institutions’ 20(4) </w:t>
      </w:r>
      <w:r w:rsidRPr="001D14A6">
        <w:rPr>
          <w:rFonts w:cs="Times"/>
          <w:i/>
          <w:iCs/>
          <w:color w:val="000000"/>
          <w:sz w:val="20"/>
          <w:szCs w:val="20"/>
        </w:rPr>
        <w:t xml:space="preserve">Ethics and International Affairs </w:t>
      </w:r>
      <w:r w:rsidRPr="001D14A6">
        <w:rPr>
          <w:rFonts w:cs="Times"/>
          <w:color w:val="000000"/>
          <w:sz w:val="20"/>
          <w:szCs w:val="20"/>
        </w:rPr>
        <w:t xml:space="preserve">405–438; Steffek, J (2003) ‘The legitimation of international environmental governance’ 9(2) </w:t>
      </w:r>
      <w:r w:rsidRPr="001D14A6">
        <w:rPr>
          <w:rFonts w:cs="Times"/>
          <w:i/>
          <w:iCs/>
          <w:color w:val="000000"/>
          <w:sz w:val="20"/>
          <w:szCs w:val="20"/>
        </w:rPr>
        <w:t xml:space="preserve">European Journal of International Relations </w:t>
      </w:r>
      <w:r w:rsidRPr="001D14A6">
        <w:rPr>
          <w:rFonts w:cs="Times"/>
          <w:color w:val="000000"/>
          <w:sz w:val="20"/>
          <w:szCs w:val="20"/>
        </w:rPr>
        <w:t xml:space="preserve">249–276; Kronsell, A and Backstrand, K (2010) ‘Rationalities and forms of governance: a frame-work for analysing the legitimacy of new modes of governance’ in K Backstrand, J Khan, A Kronsell and E Lovbrand (eds), </w:t>
      </w:r>
      <w:r w:rsidRPr="001D14A6">
        <w:rPr>
          <w:rFonts w:cs="Times"/>
          <w:i/>
          <w:iCs/>
          <w:color w:val="000000"/>
          <w:sz w:val="20"/>
          <w:szCs w:val="20"/>
        </w:rPr>
        <w:t xml:space="preserve">Environmental Politics and Deliberative Democracy </w:t>
      </w:r>
      <w:r w:rsidRPr="001D14A6">
        <w:rPr>
          <w:rFonts w:cs="Times"/>
          <w:color w:val="000000"/>
          <w:sz w:val="20"/>
          <w:szCs w:val="20"/>
        </w:rPr>
        <w:t xml:space="preserve">(Edward Elgar) 28–43; Jasanoff, S (2011) ‘Quality control and peer review in advisory science’ in J Lentsch and P Weingart (eds), </w:t>
      </w:r>
      <w:r w:rsidRPr="001D14A6">
        <w:rPr>
          <w:rFonts w:cs="Times"/>
          <w:i/>
          <w:iCs/>
          <w:color w:val="000000"/>
          <w:sz w:val="20"/>
          <w:szCs w:val="20"/>
        </w:rPr>
        <w:t xml:space="preserve">The Politics of Scientific Advice </w:t>
      </w:r>
      <w:r w:rsidRPr="001D14A6">
        <w:rPr>
          <w:rFonts w:cs="Times"/>
          <w:color w:val="000000"/>
          <w:sz w:val="20"/>
          <w:szCs w:val="20"/>
        </w:rPr>
        <w:t>(CUP) 19–35</w:t>
      </w:r>
      <w:r w:rsidRPr="001D14A6">
        <w:rPr>
          <w:rFonts w:eastAsia="MS Mincho" w:cs="MS Mincho"/>
          <w:color w:val="000000"/>
          <w:sz w:val="20"/>
          <w:szCs w:val="20"/>
        </w:rPr>
        <w:t> </w:t>
      </w:r>
    </w:p>
  </w:footnote>
  <w:footnote w:id="2">
    <w:p w14:paraId="43E9F1DD" w14:textId="18E9719E" w:rsidR="006A524E" w:rsidRPr="001D14A6" w:rsidRDefault="006A524E" w:rsidP="00796F05">
      <w:pPr>
        <w:widowControl w:val="0"/>
        <w:autoSpaceDE w:val="0"/>
        <w:autoSpaceDN w:val="0"/>
        <w:adjustRightInd w:val="0"/>
        <w:spacing w:after="240" w:line="280" w:lineRule="atLeast"/>
        <w:rPr>
          <w:rFonts w:cs="Times"/>
          <w:color w:val="000000"/>
          <w:sz w:val="20"/>
          <w:szCs w:val="20"/>
        </w:rPr>
      </w:pPr>
      <w:r w:rsidRPr="001D14A6">
        <w:rPr>
          <w:rStyle w:val="FootnoteReference"/>
          <w:sz w:val="20"/>
          <w:szCs w:val="20"/>
        </w:rPr>
        <w:footnoteRef/>
      </w:r>
      <w:r w:rsidRPr="001D14A6">
        <w:rPr>
          <w:rFonts w:cs="Times"/>
          <w:color w:val="000000"/>
          <w:sz w:val="20"/>
          <w:szCs w:val="20"/>
        </w:rPr>
        <w:t xml:space="preserve">Lawrence, J (2014) ‘The structural logic of expert participation in WTO decision-making processes’ in M Ambrus, K Arts, E Hey and H Raulus (eds), </w:t>
      </w:r>
      <w:r w:rsidRPr="001D14A6">
        <w:rPr>
          <w:rFonts w:cs="Times"/>
          <w:i/>
          <w:iCs/>
          <w:color w:val="000000"/>
          <w:sz w:val="20"/>
          <w:szCs w:val="20"/>
        </w:rPr>
        <w:t xml:space="preserve">The Role of ‘Experts’ in International and European Decision-Making Processes </w:t>
      </w:r>
      <w:r w:rsidRPr="001D14A6">
        <w:rPr>
          <w:rFonts w:cs="Times"/>
          <w:color w:val="000000"/>
          <w:sz w:val="20"/>
          <w:szCs w:val="20"/>
        </w:rPr>
        <w:t>(CUP) 173–193, 186</w:t>
      </w:r>
      <w:r w:rsidRPr="001D14A6">
        <w:rPr>
          <w:rFonts w:eastAsia="MS Mincho" w:cs="MS Mincho"/>
          <w:color w:val="000000"/>
          <w:sz w:val="20"/>
          <w:szCs w:val="20"/>
        </w:rPr>
        <w:t> </w:t>
      </w:r>
    </w:p>
    <w:p w14:paraId="1F01BD81" w14:textId="40BD1873" w:rsidR="006A524E" w:rsidRPr="001D14A6" w:rsidRDefault="006A524E">
      <w:pPr>
        <w:pStyle w:val="FootnoteText"/>
        <w:rPr>
          <w:sz w:val="20"/>
          <w:szCs w:val="20"/>
        </w:rPr>
      </w:pPr>
    </w:p>
  </w:footnote>
  <w:footnote w:id="3">
    <w:p w14:paraId="3481F329" w14:textId="77F2780C" w:rsidR="006A524E" w:rsidRPr="001D14A6" w:rsidRDefault="006A524E" w:rsidP="00FA240F">
      <w:pPr>
        <w:widowControl w:val="0"/>
        <w:autoSpaceDE w:val="0"/>
        <w:autoSpaceDN w:val="0"/>
        <w:adjustRightInd w:val="0"/>
        <w:spacing w:after="240" w:line="280" w:lineRule="atLeast"/>
        <w:rPr>
          <w:rFonts w:cs="Times"/>
          <w:color w:val="000000"/>
          <w:sz w:val="20"/>
          <w:szCs w:val="20"/>
        </w:rPr>
      </w:pPr>
      <w:r w:rsidRPr="001D14A6">
        <w:rPr>
          <w:rStyle w:val="FootnoteReference"/>
          <w:sz w:val="20"/>
          <w:szCs w:val="20"/>
        </w:rPr>
        <w:footnoteRef/>
      </w:r>
      <w:r w:rsidRPr="001D14A6">
        <w:rPr>
          <w:sz w:val="20"/>
          <w:szCs w:val="20"/>
        </w:rPr>
        <w:t xml:space="preserve"> </w:t>
      </w:r>
      <w:r w:rsidRPr="001D14A6">
        <w:rPr>
          <w:rFonts w:cs="Times"/>
          <w:color w:val="000000"/>
          <w:sz w:val="20"/>
          <w:szCs w:val="20"/>
        </w:rPr>
        <w:t xml:space="preserve">Limoges, C (1993) ‘Expert knowledge and decision-making in controversy contexts’ 2(4) </w:t>
      </w:r>
      <w:r w:rsidRPr="001D14A6">
        <w:rPr>
          <w:rFonts w:cs="Times"/>
          <w:i/>
          <w:iCs/>
          <w:color w:val="000000"/>
          <w:sz w:val="20"/>
          <w:szCs w:val="20"/>
        </w:rPr>
        <w:t xml:space="preserve">Public Understanding in Science </w:t>
      </w:r>
      <w:r w:rsidRPr="001D14A6">
        <w:rPr>
          <w:rFonts w:cs="Times"/>
          <w:color w:val="000000"/>
          <w:sz w:val="20"/>
          <w:szCs w:val="20"/>
        </w:rPr>
        <w:t xml:space="preserve">417–426; Oreskes, N and Conway, E (2010) </w:t>
      </w:r>
      <w:r w:rsidRPr="001D14A6">
        <w:rPr>
          <w:rFonts w:cs="Times"/>
          <w:i/>
          <w:iCs/>
          <w:color w:val="000000"/>
          <w:sz w:val="20"/>
          <w:szCs w:val="20"/>
        </w:rPr>
        <w:t xml:space="preserve">Merchants of Doubt: How a Handful of Scientists Obscured the Truth on Issues from Tobacco Smoke to Global Warming </w:t>
      </w:r>
      <w:r w:rsidRPr="001D14A6">
        <w:rPr>
          <w:rFonts w:cs="Times"/>
          <w:color w:val="000000"/>
          <w:sz w:val="20"/>
          <w:szCs w:val="20"/>
        </w:rPr>
        <w:t xml:space="preserve">(Bloomsbury); Sprujit, P, Knol, A B, Vasileiadou, E, Devilee, J, Lebret, E and Petersen, A C (2014) ‘Roles of scientists as policy advisers on complex issues: a literature review’ 40 </w:t>
      </w:r>
      <w:r w:rsidRPr="001D14A6">
        <w:rPr>
          <w:rFonts w:cs="Times"/>
          <w:i/>
          <w:iCs/>
          <w:color w:val="000000"/>
          <w:sz w:val="20"/>
          <w:szCs w:val="20"/>
        </w:rPr>
        <w:t xml:space="preserve">Environmental Science and Policy </w:t>
      </w:r>
      <w:r w:rsidRPr="001D14A6">
        <w:rPr>
          <w:rFonts w:cs="Times"/>
          <w:color w:val="000000"/>
          <w:sz w:val="20"/>
          <w:szCs w:val="20"/>
        </w:rPr>
        <w:t>16–25</w:t>
      </w:r>
    </w:p>
  </w:footnote>
  <w:footnote w:id="4">
    <w:p w14:paraId="1DEFFEE3" w14:textId="063EA4A3" w:rsidR="006A524E" w:rsidRPr="001D14A6" w:rsidRDefault="006A524E">
      <w:pPr>
        <w:pStyle w:val="FootnoteText"/>
        <w:rPr>
          <w:sz w:val="20"/>
          <w:szCs w:val="20"/>
        </w:rPr>
      </w:pPr>
      <w:r w:rsidRPr="001D14A6">
        <w:rPr>
          <w:rStyle w:val="FootnoteReference"/>
          <w:sz w:val="20"/>
          <w:szCs w:val="20"/>
        </w:rPr>
        <w:footnoteRef/>
      </w:r>
      <w:r w:rsidRPr="001D14A6">
        <w:rPr>
          <w:sz w:val="20"/>
          <w:szCs w:val="20"/>
        </w:rPr>
        <w:t xml:space="preserve"> National Green Tribunal Act 2010 (India) (‘NGT Act’) s 14 </w:t>
      </w:r>
    </w:p>
  </w:footnote>
  <w:footnote w:id="5">
    <w:p w14:paraId="2C209BC8" w14:textId="7C51EFC9" w:rsidR="006A524E" w:rsidRPr="001D14A6" w:rsidRDefault="006A524E">
      <w:pPr>
        <w:pStyle w:val="FootnoteText"/>
        <w:rPr>
          <w:sz w:val="20"/>
          <w:szCs w:val="20"/>
        </w:rPr>
      </w:pPr>
      <w:r w:rsidRPr="001D14A6">
        <w:rPr>
          <w:rStyle w:val="FootnoteReference"/>
          <w:sz w:val="20"/>
          <w:szCs w:val="20"/>
        </w:rPr>
        <w:footnoteRef/>
      </w:r>
      <w:r w:rsidRPr="001D14A6">
        <w:rPr>
          <w:sz w:val="20"/>
          <w:szCs w:val="20"/>
        </w:rPr>
        <w:t xml:space="preserve"> </w:t>
      </w:r>
      <w:r w:rsidRPr="001D14A6">
        <w:rPr>
          <w:rFonts w:cs="Times"/>
          <w:color w:val="000000"/>
          <w:sz w:val="20"/>
          <w:szCs w:val="20"/>
        </w:rPr>
        <w:t>NGT Act s 2(m) classifies ‘substantial question relating to environment’ under two heads: first, where there is a direct violation of a statutory duty or environmental obligation which is likely to affect the community; and, second, where the environmental consequences relate to a specific activity or a point of source</w:t>
      </w:r>
    </w:p>
  </w:footnote>
  <w:footnote w:id="6">
    <w:p w14:paraId="156AEDFA" w14:textId="6E68E512" w:rsidR="006A524E" w:rsidRPr="001D14A6" w:rsidRDefault="006A524E" w:rsidP="00A04415">
      <w:pPr>
        <w:widowControl w:val="0"/>
        <w:autoSpaceDE w:val="0"/>
        <w:autoSpaceDN w:val="0"/>
        <w:adjustRightInd w:val="0"/>
        <w:spacing w:after="240" w:line="260" w:lineRule="atLeast"/>
        <w:rPr>
          <w:rFonts w:cs="Times"/>
          <w:color w:val="000000"/>
          <w:sz w:val="20"/>
          <w:szCs w:val="20"/>
        </w:rPr>
      </w:pPr>
      <w:r w:rsidRPr="001D14A6">
        <w:rPr>
          <w:rStyle w:val="FootnoteReference"/>
          <w:sz w:val="20"/>
          <w:szCs w:val="20"/>
        </w:rPr>
        <w:footnoteRef/>
      </w:r>
      <w:r w:rsidRPr="001D14A6">
        <w:rPr>
          <w:sz w:val="20"/>
          <w:szCs w:val="20"/>
        </w:rPr>
        <w:t xml:space="preserve"> </w:t>
      </w:r>
      <w:r w:rsidRPr="001D14A6">
        <w:rPr>
          <w:rFonts w:cs="Times"/>
          <w:color w:val="000000"/>
          <w:sz w:val="20"/>
          <w:szCs w:val="20"/>
        </w:rPr>
        <w:t xml:space="preserve">The enactments in NGT Act sch 1 include the Water (Prevention and Control of Pollution) Act 1974; the Water (Prevention and Control of Pollution) Cess Act </w:t>
      </w:r>
      <w:r w:rsidRPr="001D14A6">
        <w:rPr>
          <w:rFonts w:cs="Times"/>
          <w:bCs/>
          <w:color w:val="000000"/>
          <w:sz w:val="20"/>
          <w:szCs w:val="20"/>
        </w:rPr>
        <w:t xml:space="preserve">1977; </w:t>
      </w:r>
      <w:r w:rsidRPr="001D14A6">
        <w:rPr>
          <w:rFonts w:cs="Times"/>
          <w:color w:val="000000"/>
          <w:sz w:val="20"/>
          <w:szCs w:val="20"/>
        </w:rPr>
        <w:t xml:space="preserve">the Forests (Conservation) Act </w:t>
      </w:r>
      <w:r w:rsidRPr="001D14A6">
        <w:rPr>
          <w:rFonts w:cs="Times"/>
          <w:bCs/>
          <w:color w:val="000000"/>
          <w:sz w:val="20"/>
          <w:szCs w:val="20"/>
        </w:rPr>
        <w:t xml:space="preserve">1980; </w:t>
      </w:r>
      <w:r w:rsidRPr="001D14A6">
        <w:rPr>
          <w:rFonts w:cs="Times"/>
          <w:color w:val="000000"/>
          <w:sz w:val="20"/>
          <w:szCs w:val="20"/>
        </w:rPr>
        <w:t xml:space="preserve">the Air (Prevention and Control of Pollution) Act </w:t>
      </w:r>
      <w:r w:rsidRPr="001D14A6">
        <w:rPr>
          <w:rFonts w:cs="Times"/>
          <w:bCs/>
          <w:color w:val="000000"/>
          <w:sz w:val="20"/>
          <w:szCs w:val="20"/>
        </w:rPr>
        <w:t xml:space="preserve">1981; </w:t>
      </w:r>
      <w:r w:rsidRPr="001D14A6">
        <w:rPr>
          <w:rFonts w:cs="Times"/>
          <w:color w:val="000000"/>
          <w:sz w:val="20"/>
          <w:szCs w:val="20"/>
        </w:rPr>
        <w:t xml:space="preserve">the Environment (Protection) Act </w:t>
      </w:r>
      <w:r w:rsidRPr="001D14A6">
        <w:rPr>
          <w:rFonts w:cs="Times"/>
          <w:bCs/>
          <w:color w:val="000000"/>
          <w:sz w:val="20"/>
          <w:szCs w:val="20"/>
        </w:rPr>
        <w:t xml:space="preserve">1986; </w:t>
      </w:r>
      <w:r w:rsidRPr="001D14A6">
        <w:rPr>
          <w:rFonts w:cs="Times"/>
          <w:color w:val="000000"/>
          <w:sz w:val="20"/>
          <w:szCs w:val="20"/>
        </w:rPr>
        <w:t xml:space="preserve">the Public Liability Insurance Act </w:t>
      </w:r>
      <w:r w:rsidRPr="001D14A6">
        <w:rPr>
          <w:rFonts w:cs="Times"/>
          <w:bCs/>
          <w:color w:val="000000"/>
          <w:sz w:val="20"/>
          <w:szCs w:val="20"/>
        </w:rPr>
        <w:t xml:space="preserve">1981; </w:t>
      </w:r>
      <w:r w:rsidRPr="001D14A6">
        <w:rPr>
          <w:rFonts w:cs="Times"/>
          <w:color w:val="000000"/>
          <w:sz w:val="20"/>
          <w:szCs w:val="20"/>
        </w:rPr>
        <w:t>and the Biological Diversity Act 2002</w:t>
      </w:r>
      <w:r w:rsidRPr="001D14A6">
        <w:rPr>
          <w:rFonts w:eastAsia="MS Mincho" w:cs="MS Mincho"/>
          <w:color w:val="000000"/>
          <w:sz w:val="20"/>
          <w:szCs w:val="20"/>
        </w:rPr>
        <w:t> </w:t>
      </w:r>
    </w:p>
    <w:p w14:paraId="2CD3C165" w14:textId="1E5177AC" w:rsidR="006A524E" w:rsidRPr="001D14A6" w:rsidRDefault="006A524E">
      <w:pPr>
        <w:pStyle w:val="FootnoteText"/>
        <w:rPr>
          <w:sz w:val="20"/>
          <w:szCs w:val="20"/>
        </w:rPr>
      </w:pPr>
    </w:p>
  </w:footnote>
  <w:footnote w:id="7">
    <w:p w14:paraId="663E7C6A" w14:textId="7956D108" w:rsidR="006A524E" w:rsidRPr="001D14A6" w:rsidRDefault="006A524E" w:rsidP="001D14A6">
      <w:pPr>
        <w:widowControl w:val="0"/>
        <w:autoSpaceDE w:val="0"/>
        <w:autoSpaceDN w:val="0"/>
        <w:adjustRightInd w:val="0"/>
        <w:spacing w:after="240" w:line="300" w:lineRule="atLeast"/>
        <w:rPr>
          <w:sz w:val="20"/>
          <w:szCs w:val="20"/>
        </w:rPr>
      </w:pPr>
      <w:r w:rsidRPr="001D14A6">
        <w:rPr>
          <w:rStyle w:val="FootnoteReference"/>
          <w:sz w:val="20"/>
          <w:szCs w:val="20"/>
        </w:rPr>
        <w:footnoteRef/>
      </w:r>
      <w:r w:rsidRPr="001D14A6">
        <w:rPr>
          <w:sz w:val="20"/>
          <w:szCs w:val="20"/>
        </w:rPr>
        <w:t xml:space="preserve"> </w:t>
      </w:r>
      <w:r w:rsidRPr="001D14A6">
        <w:rPr>
          <w:rFonts w:cs="Times"/>
          <w:i/>
          <w:iCs/>
          <w:color w:val="000000"/>
          <w:sz w:val="20"/>
          <w:szCs w:val="20"/>
        </w:rPr>
        <w:t xml:space="preserve">Amit Maru v MoEF </w:t>
      </w:r>
      <w:r w:rsidRPr="001D14A6">
        <w:rPr>
          <w:rFonts w:cs="Times"/>
          <w:color w:val="000000"/>
          <w:sz w:val="20"/>
          <w:szCs w:val="20"/>
        </w:rPr>
        <w:t xml:space="preserve">Judgment 1 October 2014, </w:t>
      </w:r>
      <w:r w:rsidRPr="001D14A6">
        <w:rPr>
          <w:rFonts w:cs="Times"/>
          <w:i/>
          <w:iCs/>
          <w:color w:val="000000"/>
          <w:sz w:val="20"/>
          <w:szCs w:val="20"/>
        </w:rPr>
        <w:t xml:space="preserve">Goa Foundation v Union of India </w:t>
      </w:r>
      <w:r w:rsidRPr="001D14A6">
        <w:rPr>
          <w:rFonts w:cs="Times"/>
          <w:color w:val="000000"/>
          <w:sz w:val="20"/>
          <w:szCs w:val="20"/>
        </w:rPr>
        <w:t xml:space="preserve">Judgment 18 July 2013, </w:t>
      </w:r>
      <w:r w:rsidRPr="001D14A6">
        <w:rPr>
          <w:rFonts w:cs="Times"/>
          <w:i/>
          <w:iCs/>
          <w:color w:val="000000"/>
          <w:sz w:val="20"/>
          <w:szCs w:val="20"/>
        </w:rPr>
        <w:t xml:space="preserve">Vimal Bhai v Ministry of Environment and Forests </w:t>
      </w:r>
      <w:r w:rsidRPr="001D14A6">
        <w:rPr>
          <w:rFonts w:cs="Times"/>
          <w:color w:val="000000"/>
          <w:sz w:val="20"/>
          <w:szCs w:val="20"/>
        </w:rPr>
        <w:t xml:space="preserve">Judgment 14 December 2011 and </w:t>
      </w:r>
      <w:r w:rsidRPr="001D14A6">
        <w:rPr>
          <w:rFonts w:cs="Times"/>
          <w:i/>
          <w:iCs/>
          <w:color w:val="000000"/>
          <w:sz w:val="20"/>
          <w:szCs w:val="20"/>
        </w:rPr>
        <w:t xml:space="preserve">Betty C Alvares v State of Goa </w:t>
      </w:r>
      <w:r w:rsidRPr="001D14A6">
        <w:rPr>
          <w:rFonts w:cs="Times"/>
          <w:color w:val="000000"/>
          <w:sz w:val="20"/>
          <w:szCs w:val="20"/>
        </w:rPr>
        <w:t>Judgment 14 February 2014</w:t>
      </w:r>
    </w:p>
  </w:footnote>
  <w:footnote w:id="8">
    <w:p w14:paraId="503D8D3F" w14:textId="2BF45BDF" w:rsidR="006A524E" w:rsidRPr="001D14A6" w:rsidRDefault="006A524E" w:rsidP="00343109">
      <w:pPr>
        <w:widowControl w:val="0"/>
        <w:autoSpaceDE w:val="0"/>
        <w:autoSpaceDN w:val="0"/>
        <w:adjustRightInd w:val="0"/>
        <w:spacing w:after="240" w:line="280" w:lineRule="atLeast"/>
        <w:rPr>
          <w:rFonts w:cs="Times"/>
          <w:color w:val="000000"/>
          <w:sz w:val="20"/>
          <w:szCs w:val="20"/>
        </w:rPr>
      </w:pPr>
      <w:r w:rsidRPr="001D14A6">
        <w:rPr>
          <w:rStyle w:val="FootnoteReference"/>
          <w:sz w:val="20"/>
          <w:szCs w:val="20"/>
        </w:rPr>
        <w:footnoteRef/>
      </w:r>
      <w:r w:rsidRPr="001D14A6">
        <w:rPr>
          <w:sz w:val="20"/>
          <w:szCs w:val="20"/>
        </w:rPr>
        <w:t xml:space="preserve"> </w:t>
      </w:r>
      <w:r w:rsidRPr="001D14A6">
        <w:rPr>
          <w:rFonts w:cs="Times"/>
          <w:color w:val="000000"/>
          <w:sz w:val="20"/>
          <w:szCs w:val="20"/>
        </w:rPr>
        <w:t xml:space="preserve">Gill, G N (2016) ‘Environmental justice in India: The National Green Tribunal and expert members’ 5(1) </w:t>
      </w:r>
      <w:r w:rsidRPr="001D14A6">
        <w:rPr>
          <w:rFonts w:cs="Times"/>
          <w:i/>
          <w:iCs/>
          <w:color w:val="000000"/>
          <w:sz w:val="20"/>
          <w:szCs w:val="20"/>
        </w:rPr>
        <w:t xml:space="preserve">Transnational Environmental Law </w:t>
      </w:r>
      <w:r w:rsidRPr="001D14A6">
        <w:rPr>
          <w:rFonts w:cs="Times"/>
          <w:color w:val="000000"/>
          <w:sz w:val="20"/>
          <w:szCs w:val="20"/>
        </w:rPr>
        <w:t>175–205</w:t>
      </w:r>
      <w:r w:rsidRPr="001D14A6">
        <w:rPr>
          <w:rFonts w:eastAsia="MS Mincho" w:cs="MS Mincho"/>
          <w:color w:val="000000"/>
          <w:sz w:val="20"/>
          <w:szCs w:val="20"/>
        </w:rPr>
        <w:t> </w:t>
      </w:r>
    </w:p>
  </w:footnote>
  <w:footnote w:id="9">
    <w:p w14:paraId="781DEB20" w14:textId="2680B67E" w:rsidR="006A524E" w:rsidRPr="001D14A6" w:rsidRDefault="006A524E" w:rsidP="00974FBF">
      <w:pPr>
        <w:widowControl w:val="0"/>
        <w:autoSpaceDE w:val="0"/>
        <w:autoSpaceDN w:val="0"/>
        <w:adjustRightInd w:val="0"/>
        <w:spacing w:after="240" w:line="280" w:lineRule="atLeast"/>
        <w:rPr>
          <w:rFonts w:cs="Times"/>
          <w:color w:val="000000"/>
          <w:sz w:val="20"/>
          <w:szCs w:val="20"/>
        </w:rPr>
      </w:pPr>
      <w:r w:rsidRPr="001D14A6">
        <w:rPr>
          <w:rStyle w:val="FootnoteReference"/>
          <w:sz w:val="20"/>
          <w:szCs w:val="20"/>
        </w:rPr>
        <w:footnoteRef/>
      </w:r>
      <w:r w:rsidRPr="001D14A6">
        <w:rPr>
          <w:sz w:val="20"/>
          <w:szCs w:val="20"/>
        </w:rPr>
        <w:t xml:space="preserve"> </w:t>
      </w:r>
      <w:r w:rsidRPr="001D14A6">
        <w:rPr>
          <w:rFonts w:cs="Times"/>
          <w:color w:val="000000"/>
          <w:sz w:val="20"/>
          <w:szCs w:val="20"/>
        </w:rPr>
        <w:t xml:space="preserve">Drescher, M, Perera, A H, Johnson, C J, Buse, L J, Drew, C A and Burgman, M A (2013) ‘Towards rigorous use of expert knowledge in ecological research’ 4(7) </w:t>
      </w:r>
      <w:r w:rsidRPr="001D14A6">
        <w:rPr>
          <w:rFonts w:cs="Times"/>
          <w:i/>
          <w:iCs/>
          <w:color w:val="000000"/>
          <w:sz w:val="20"/>
          <w:szCs w:val="20"/>
        </w:rPr>
        <w:t xml:space="preserve">ECOSPHERE </w:t>
      </w:r>
      <w:r w:rsidRPr="001D14A6">
        <w:rPr>
          <w:rFonts w:cs="Times"/>
          <w:color w:val="000000"/>
          <w:sz w:val="20"/>
          <w:szCs w:val="20"/>
        </w:rPr>
        <w:t xml:space="preserve">1–26 </w:t>
      </w:r>
    </w:p>
  </w:footnote>
  <w:footnote w:id="10">
    <w:p w14:paraId="6BFD636A" w14:textId="3D51A8D4" w:rsidR="006A524E" w:rsidRPr="001D14A6" w:rsidRDefault="006A524E">
      <w:pPr>
        <w:pStyle w:val="FootnoteText"/>
        <w:rPr>
          <w:sz w:val="20"/>
          <w:szCs w:val="20"/>
        </w:rPr>
      </w:pPr>
      <w:r w:rsidRPr="001D14A6">
        <w:rPr>
          <w:rStyle w:val="FootnoteReference"/>
          <w:sz w:val="20"/>
          <w:szCs w:val="20"/>
        </w:rPr>
        <w:footnoteRef/>
      </w:r>
      <w:r w:rsidRPr="001D14A6">
        <w:rPr>
          <w:sz w:val="20"/>
          <w:szCs w:val="20"/>
        </w:rPr>
        <w:t xml:space="preserve"> </w:t>
      </w:r>
      <w:r w:rsidRPr="001D14A6">
        <w:rPr>
          <w:rFonts w:cs="Times"/>
          <w:color w:val="000000"/>
          <w:sz w:val="20"/>
          <w:szCs w:val="20"/>
        </w:rPr>
        <w:t xml:space="preserve">Haas, P M (2014) ‘Ideas, experts and governance’ in M Ambrus, K Arts, E Hey and H Raulus (eds), </w:t>
      </w:r>
      <w:r w:rsidRPr="001D14A6">
        <w:rPr>
          <w:rFonts w:cs="Times"/>
          <w:i/>
          <w:iCs/>
          <w:color w:val="000000"/>
          <w:sz w:val="20"/>
          <w:szCs w:val="20"/>
        </w:rPr>
        <w:t xml:space="preserve">The Role of ‘Experts’ in International and European Decision-Making Pro- cesses </w:t>
      </w:r>
      <w:r w:rsidRPr="001D14A6">
        <w:rPr>
          <w:rFonts w:cs="Times"/>
          <w:color w:val="000000"/>
          <w:sz w:val="20"/>
          <w:szCs w:val="20"/>
        </w:rPr>
        <w:t xml:space="preserve">(CUP) 19–43; Haas, P M (2007) ‘Epistemic communities’ in D Bodansky, J Brunee and E Hey (eds), </w:t>
      </w:r>
      <w:r w:rsidRPr="001D14A6">
        <w:rPr>
          <w:rFonts w:cs="Times"/>
          <w:i/>
          <w:iCs/>
          <w:color w:val="000000"/>
          <w:sz w:val="20"/>
          <w:szCs w:val="20"/>
        </w:rPr>
        <w:t xml:space="preserve">Oxford Handbook of International Environmental Law </w:t>
      </w:r>
      <w:r w:rsidRPr="001D14A6">
        <w:rPr>
          <w:rFonts w:cs="Times"/>
          <w:color w:val="000000"/>
          <w:sz w:val="20"/>
          <w:szCs w:val="20"/>
        </w:rPr>
        <w:t>(OUP) 791–806</w:t>
      </w:r>
    </w:p>
  </w:footnote>
  <w:footnote w:id="11">
    <w:p w14:paraId="540E6C36" w14:textId="26A5ED96" w:rsidR="006A524E" w:rsidRPr="001D14A6" w:rsidRDefault="006A524E">
      <w:pPr>
        <w:pStyle w:val="FootnoteText"/>
        <w:rPr>
          <w:sz w:val="20"/>
          <w:szCs w:val="20"/>
        </w:rPr>
      </w:pPr>
      <w:r w:rsidRPr="001D14A6">
        <w:rPr>
          <w:rStyle w:val="FootnoteReference"/>
          <w:sz w:val="20"/>
          <w:szCs w:val="20"/>
        </w:rPr>
        <w:footnoteRef/>
      </w:r>
      <w:r w:rsidRPr="001D14A6">
        <w:rPr>
          <w:sz w:val="20"/>
          <w:szCs w:val="20"/>
        </w:rPr>
        <w:t xml:space="preserve"> Haas, P M (2016) </w:t>
      </w:r>
      <w:r w:rsidRPr="001D14A6">
        <w:rPr>
          <w:i/>
          <w:sz w:val="20"/>
          <w:szCs w:val="20"/>
        </w:rPr>
        <w:t>Epistemic Communities, Constructivism, and International Environmental Policy</w:t>
      </w:r>
      <w:r w:rsidRPr="001D14A6">
        <w:rPr>
          <w:sz w:val="20"/>
          <w:szCs w:val="20"/>
        </w:rPr>
        <w:t xml:space="preserve"> (Routledge) para 2.1</w:t>
      </w:r>
    </w:p>
  </w:footnote>
  <w:footnote w:id="12">
    <w:p w14:paraId="7067E283" w14:textId="2E467095" w:rsidR="006A524E" w:rsidRPr="001D14A6" w:rsidRDefault="006A524E">
      <w:pPr>
        <w:pStyle w:val="FootnoteText"/>
        <w:rPr>
          <w:sz w:val="20"/>
          <w:szCs w:val="20"/>
        </w:rPr>
      </w:pPr>
      <w:r w:rsidRPr="001D14A6">
        <w:rPr>
          <w:rStyle w:val="FootnoteReference"/>
          <w:sz w:val="20"/>
          <w:szCs w:val="20"/>
        </w:rPr>
        <w:footnoteRef/>
      </w:r>
      <w:r w:rsidRPr="001D14A6">
        <w:rPr>
          <w:sz w:val="20"/>
          <w:szCs w:val="20"/>
        </w:rPr>
        <w:t xml:space="preserve"> www. greentribunal.gov.in</w:t>
      </w:r>
    </w:p>
  </w:footnote>
  <w:footnote w:id="13">
    <w:p w14:paraId="547205DC" w14:textId="7A5D678A" w:rsidR="006A524E" w:rsidRPr="001D14A6" w:rsidRDefault="006A524E">
      <w:pPr>
        <w:pStyle w:val="FootnoteText"/>
        <w:rPr>
          <w:sz w:val="20"/>
          <w:szCs w:val="20"/>
        </w:rPr>
      </w:pPr>
      <w:r w:rsidRPr="001D14A6">
        <w:rPr>
          <w:rStyle w:val="FootnoteReference"/>
          <w:sz w:val="20"/>
          <w:szCs w:val="20"/>
        </w:rPr>
        <w:footnoteRef/>
      </w:r>
      <w:r w:rsidRPr="001D14A6">
        <w:rPr>
          <w:sz w:val="20"/>
          <w:szCs w:val="20"/>
        </w:rPr>
        <w:t xml:space="preserve"> Gill, G N (2017), </w:t>
      </w:r>
      <w:r w:rsidRPr="001D14A6">
        <w:rPr>
          <w:i/>
          <w:sz w:val="20"/>
          <w:szCs w:val="20"/>
        </w:rPr>
        <w:t>Environmental Justice in India: The National Green Tribunal</w:t>
      </w:r>
      <w:r w:rsidRPr="001D14A6">
        <w:rPr>
          <w:sz w:val="20"/>
          <w:szCs w:val="20"/>
        </w:rPr>
        <w:t xml:space="preserve"> (Routledge, UK)</w:t>
      </w:r>
    </w:p>
  </w:footnote>
  <w:footnote w:id="14">
    <w:p w14:paraId="7DCFC7DC" w14:textId="2FFF424B" w:rsidR="006A524E" w:rsidRPr="001D14A6" w:rsidRDefault="006A524E">
      <w:pPr>
        <w:pStyle w:val="FootnoteText"/>
        <w:rPr>
          <w:sz w:val="20"/>
          <w:szCs w:val="20"/>
        </w:rPr>
      </w:pPr>
      <w:r w:rsidRPr="001D14A6">
        <w:rPr>
          <w:rStyle w:val="FootnoteReference"/>
          <w:sz w:val="20"/>
          <w:szCs w:val="20"/>
        </w:rPr>
        <w:footnoteRef/>
      </w:r>
      <w:r w:rsidRPr="001D14A6">
        <w:rPr>
          <w:sz w:val="20"/>
          <w:szCs w:val="20"/>
        </w:rPr>
        <w:t xml:space="preserve"> </w:t>
      </w:r>
      <w:r w:rsidRPr="001D14A6">
        <w:rPr>
          <w:i/>
          <w:sz w:val="20"/>
          <w:szCs w:val="20"/>
        </w:rPr>
        <w:t>T Muruganandan v MoEF</w:t>
      </w:r>
      <w:r w:rsidRPr="001D14A6">
        <w:rPr>
          <w:sz w:val="20"/>
          <w:szCs w:val="20"/>
        </w:rPr>
        <w:t xml:space="preserve"> (Judgment 11 November 2014); </w:t>
      </w:r>
      <w:r w:rsidRPr="001D14A6">
        <w:rPr>
          <w:i/>
          <w:sz w:val="20"/>
          <w:szCs w:val="20"/>
        </w:rPr>
        <w:t>Samata v Union of India</w:t>
      </w:r>
      <w:r w:rsidRPr="001D14A6">
        <w:rPr>
          <w:sz w:val="20"/>
          <w:szCs w:val="20"/>
        </w:rPr>
        <w:t xml:space="preserve"> (Judgment 13 December 2013)</w:t>
      </w:r>
    </w:p>
  </w:footnote>
  <w:footnote w:id="15">
    <w:p w14:paraId="631B2769" w14:textId="1A159CD0" w:rsidR="006A524E" w:rsidRPr="001D14A6" w:rsidRDefault="006A524E">
      <w:pPr>
        <w:pStyle w:val="FootnoteText"/>
        <w:rPr>
          <w:sz w:val="20"/>
          <w:szCs w:val="20"/>
        </w:rPr>
      </w:pPr>
      <w:r w:rsidRPr="001D14A6">
        <w:rPr>
          <w:rStyle w:val="FootnoteReference"/>
          <w:sz w:val="20"/>
          <w:szCs w:val="20"/>
        </w:rPr>
        <w:footnoteRef/>
      </w:r>
      <w:r w:rsidRPr="001D14A6">
        <w:rPr>
          <w:sz w:val="20"/>
          <w:szCs w:val="20"/>
        </w:rPr>
        <w:t xml:space="preserve"> </w:t>
      </w:r>
      <w:r w:rsidRPr="001D14A6">
        <w:rPr>
          <w:rFonts w:cs="Times"/>
          <w:color w:val="000000"/>
          <w:sz w:val="20"/>
          <w:szCs w:val="20"/>
        </w:rPr>
        <w:t>Judgment 30 March 2012</w:t>
      </w:r>
    </w:p>
  </w:footnote>
  <w:footnote w:id="16">
    <w:p w14:paraId="34E28B1F" w14:textId="469848FE" w:rsidR="006A524E" w:rsidRPr="001D14A6" w:rsidRDefault="006A524E">
      <w:pPr>
        <w:pStyle w:val="FootnoteText"/>
        <w:rPr>
          <w:sz w:val="20"/>
          <w:szCs w:val="20"/>
        </w:rPr>
      </w:pPr>
      <w:r w:rsidRPr="001D14A6">
        <w:rPr>
          <w:rStyle w:val="FootnoteReference"/>
          <w:sz w:val="20"/>
          <w:szCs w:val="20"/>
        </w:rPr>
        <w:footnoteRef/>
      </w:r>
      <w:r w:rsidRPr="001D14A6">
        <w:rPr>
          <w:sz w:val="20"/>
          <w:szCs w:val="20"/>
        </w:rPr>
        <w:t xml:space="preserve"> </w:t>
      </w:r>
      <w:r w:rsidRPr="001D14A6">
        <w:rPr>
          <w:rFonts w:cs="Times"/>
          <w:i/>
          <w:iCs/>
          <w:color w:val="000000"/>
          <w:sz w:val="20"/>
          <w:szCs w:val="20"/>
        </w:rPr>
        <w:t>Prafulla Samantray v Union of India</w:t>
      </w:r>
      <w:r w:rsidRPr="001D14A6">
        <w:rPr>
          <w:rFonts w:cs="Times"/>
          <w:color w:val="000000"/>
          <w:sz w:val="20"/>
          <w:szCs w:val="20"/>
        </w:rPr>
        <w:t>, ibid, para 7</w:t>
      </w:r>
    </w:p>
  </w:footnote>
  <w:footnote w:id="17">
    <w:p w14:paraId="55F7D526" w14:textId="6A1AE7F4" w:rsidR="006A524E" w:rsidRPr="001D14A6" w:rsidRDefault="006A524E" w:rsidP="0020241E">
      <w:pPr>
        <w:widowControl w:val="0"/>
        <w:autoSpaceDE w:val="0"/>
        <w:autoSpaceDN w:val="0"/>
        <w:adjustRightInd w:val="0"/>
        <w:spacing w:after="240" w:line="276" w:lineRule="auto"/>
        <w:rPr>
          <w:rFonts w:cs="Times"/>
          <w:color w:val="000000"/>
          <w:sz w:val="20"/>
          <w:szCs w:val="20"/>
        </w:rPr>
      </w:pPr>
      <w:r w:rsidRPr="001D14A6">
        <w:rPr>
          <w:rStyle w:val="FootnoteReference"/>
          <w:sz w:val="20"/>
          <w:szCs w:val="20"/>
        </w:rPr>
        <w:footnoteRef/>
      </w:r>
      <w:r w:rsidRPr="001D14A6">
        <w:rPr>
          <w:sz w:val="20"/>
          <w:szCs w:val="20"/>
        </w:rPr>
        <w:t xml:space="preserve"> </w:t>
      </w:r>
      <w:r w:rsidRPr="001D14A6">
        <w:rPr>
          <w:rFonts w:cs="Times"/>
          <w:i/>
          <w:iCs/>
          <w:color w:val="000000"/>
          <w:sz w:val="20"/>
          <w:szCs w:val="20"/>
        </w:rPr>
        <w:t>Prafulla Samantray v Union of India</w:t>
      </w:r>
      <w:r w:rsidRPr="001D14A6">
        <w:rPr>
          <w:rFonts w:cs="Times"/>
          <w:color w:val="000000"/>
          <w:sz w:val="20"/>
          <w:szCs w:val="20"/>
        </w:rPr>
        <w:t>, ibid, para</w:t>
      </w:r>
      <w:r w:rsidR="00546AE2" w:rsidRPr="001D14A6">
        <w:rPr>
          <w:rFonts w:cs="Times"/>
          <w:color w:val="000000"/>
          <w:sz w:val="20"/>
          <w:szCs w:val="20"/>
        </w:rPr>
        <w:t xml:space="preserve"> 6.9</w:t>
      </w:r>
      <w:bookmarkStart w:id="0" w:name="_GoBack"/>
      <w:bookmarkEnd w:id="0"/>
      <w:r w:rsidRPr="001D14A6">
        <w:rPr>
          <w:rFonts w:cs="Times"/>
          <w:color w:val="000000"/>
          <w:sz w:val="20"/>
          <w:szCs w:val="20"/>
        </w:rPr>
        <w:t xml:space="preserve">; also see </w:t>
      </w:r>
      <w:r w:rsidRPr="001D14A6">
        <w:rPr>
          <w:rFonts w:cs="Times"/>
          <w:i/>
          <w:iCs/>
          <w:color w:val="000000"/>
          <w:sz w:val="20"/>
          <w:szCs w:val="20"/>
        </w:rPr>
        <w:t>Krishi Vigyan Arogya Sanstha v MoEF (</w:t>
      </w:r>
      <w:r w:rsidRPr="001D14A6">
        <w:rPr>
          <w:rFonts w:cs="Times"/>
          <w:color w:val="000000"/>
          <w:sz w:val="20"/>
          <w:szCs w:val="20"/>
        </w:rPr>
        <w:t>Judgment 20 September 2011)</w:t>
      </w:r>
    </w:p>
  </w:footnote>
  <w:footnote w:id="18">
    <w:p w14:paraId="0976996D" w14:textId="23B1BFF5" w:rsidR="006A524E" w:rsidRPr="001D14A6" w:rsidRDefault="006A524E">
      <w:pPr>
        <w:pStyle w:val="FootnoteText"/>
        <w:rPr>
          <w:sz w:val="20"/>
          <w:szCs w:val="20"/>
        </w:rPr>
      </w:pPr>
      <w:r w:rsidRPr="001D14A6">
        <w:rPr>
          <w:rStyle w:val="FootnoteReference"/>
          <w:sz w:val="20"/>
          <w:szCs w:val="20"/>
        </w:rPr>
        <w:footnoteRef/>
      </w:r>
      <w:r w:rsidRPr="001D14A6">
        <w:rPr>
          <w:sz w:val="20"/>
          <w:szCs w:val="20"/>
        </w:rPr>
        <w:t xml:space="preserve"> Judgment 6 September 2014</w:t>
      </w:r>
    </w:p>
  </w:footnote>
  <w:footnote w:id="19">
    <w:p w14:paraId="536BBFD0" w14:textId="0F1B97BD" w:rsidR="006A524E" w:rsidRPr="001D14A6" w:rsidRDefault="006A524E">
      <w:pPr>
        <w:pStyle w:val="FootnoteText"/>
        <w:rPr>
          <w:sz w:val="20"/>
          <w:szCs w:val="20"/>
        </w:rPr>
      </w:pPr>
      <w:r w:rsidRPr="001D14A6">
        <w:rPr>
          <w:rStyle w:val="FootnoteReference"/>
          <w:sz w:val="20"/>
          <w:szCs w:val="20"/>
        </w:rPr>
        <w:footnoteRef/>
      </w:r>
      <w:r w:rsidRPr="001D14A6">
        <w:rPr>
          <w:sz w:val="20"/>
          <w:szCs w:val="20"/>
        </w:rPr>
        <w:t xml:space="preserve"> Judgment 28 November 2013</w:t>
      </w:r>
    </w:p>
  </w:footnote>
  <w:footnote w:id="20">
    <w:p w14:paraId="0804E004" w14:textId="3098EDF3" w:rsidR="006A524E" w:rsidRPr="001D14A6" w:rsidRDefault="006A524E">
      <w:pPr>
        <w:pStyle w:val="FootnoteText"/>
        <w:rPr>
          <w:sz w:val="20"/>
          <w:szCs w:val="20"/>
        </w:rPr>
      </w:pPr>
      <w:r w:rsidRPr="001D14A6">
        <w:rPr>
          <w:rStyle w:val="FootnoteReference"/>
          <w:sz w:val="20"/>
          <w:szCs w:val="20"/>
        </w:rPr>
        <w:footnoteRef/>
      </w:r>
      <w:r w:rsidRPr="001D14A6">
        <w:rPr>
          <w:sz w:val="20"/>
          <w:szCs w:val="20"/>
        </w:rPr>
        <w:t xml:space="preserve"> Judgment 1 October 2014</w:t>
      </w:r>
    </w:p>
  </w:footnote>
  <w:footnote w:id="21">
    <w:p w14:paraId="1112F286" w14:textId="5FA5F11B" w:rsidR="006A524E" w:rsidRPr="001D14A6" w:rsidRDefault="006A524E">
      <w:pPr>
        <w:pStyle w:val="FootnoteText"/>
        <w:rPr>
          <w:sz w:val="20"/>
          <w:szCs w:val="20"/>
        </w:rPr>
      </w:pPr>
      <w:r w:rsidRPr="001D14A6">
        <w:rPr>
          <w:rStyle w:val="FootnoteReference"/>
          <w:sz w:val="20"/>
          <w:szCs w:val="20"/>
        </w:rPr>
        <w:footnoteRef/>
      </w:r>
      <w:r w:rsidRPr="001D14A6">
        <w:rPr>
          <w:sz w:val="20"/>
          <w:szCs w:val="20"/>
        </w:rPr>
        <w:t xml:space="preserve"> NGT Act, s 20; </w:t>
      </w:r>
      <w:r w:rsidRPr="001D14A6">
        <w:rPr>
          <w:rFonts w:cs="Times"/>
          <w:i/>
          <w:color w:val="000000"/>
          <w:sz w:val="20"/>
          <w:szCs w:val="20"/>
        </w:rPr>
        <w:t>M.P. Patil v. Union of India</w:t>
      </w:r>
      <w:r w:rsidRPr="001D14A6">
        <w:rPr>
          <w:rFonts w:cs="Times"/>
          <w:color w:val="000000"/>
          <w:sz w:val="20"/>
          <w:szCs w:val="20"/>
        </w:rPr>
        <w:t xml:space="preserve"> Judgment 13 March 2014</w:t>
      </w:r>
    </w:p>
  </w:footnote>
  <w:footnote w:id="22">
    <w:p w14:paraId="25997663" w14:textId="4EEC6345" w:rsidR="006A524E" w:rsidRPr="001D14A6" w:rsidRDefault="006A524E">
      <w:pPr>
        <w:pStyle w:val="FootnoteText"/>
        <w:rPr>
          <w:sz w:val="20"/>
          <w:szCs w:val="20"/>
        </w:rPr>
      </w:pPr>
      <w:r w:rsidRPr="001D14A6">
        <w:rPr>
          <w:rStyle w:val="FootnoteReference"/>
          <w:sz w:val="20"/>
          <w:szCs w:val="20"/>
        </w:rPr>
        <w:footnoteRef/>
      </w:r>
      <w:r w:rsidRPr="001D14A6">
        <w:rPr>
          <w:sz w:val="20"/>
          <w:szCs w:val="20"/>
        </w:rPr>
        <w:t xml:space="preserve"> See above Gill n. 13</w:t>
      </w:r>
    </w:p>
  </w:footnote>
  <w:footnote w:id="23">
    <w:p w14:paraId="20DFEC66" w14:textId="0989EED5" w:rsidR="006A524E" w:rsidRPr="001D14A6" w:rsidRDefault="006A524E" w:rsidP="00F26D5F">
      <w:pPr>
        <w:widowControl w:val="0"/>
        <w:autoSpaceDE w:val="0"/>
        <w:autoSpaceDN w:val="0"/>
        <w:adjustRightInd w:val="0"/>
        <w:spacing w:after="240" w:line="280" w:lineRule="atLeast"/>
        <w:rPr>
          <w:rFonts w:cs="Times"/>
          <w:color w:val="000000"/>
          <w:sz w:val="20"/>
          <w:szCs w:val="20"/>
        </w:rPr>
      </w:pPr>
      <w:r w:rsidRPr="001D14A6">
        <w:rPr>
          <w:rStyle w:val="FootnoteReference"/>
          <w:sz w:val="20"/>
          <w:szCs w:val="20"/>
        </w:rPr>
        <w:footnoteRef/>
      </w:r>
      <w:r w:rsidRPr="001D14A6">
        <w:rPr>
          <w:sz w:val="20"/>
          <w:szCs w:val="20"/>
        </w:rPr>
        <w:t xml:space="preserve"> </w:t>
      </w:r>
      <w:r w:rsidRPr="001D14A6">
        <w:rPr>
          <w:rFonts w:cs="Times"/>
          <w:color w:val="000000"/>
          <w:sz w:val="20"/>
          <w:szCs w:val="20"/>
        </w:rPr>
        <w:t xml:space="preserve">Bodansky, D ‘Scientific uncertainty and the precautionary principle’ 33(7) </w:t>
      </w:r>
      <w:r w:rsidRPr="001D14A6">
        <w:rPr>
          <w:rFonts w:cs="Times"/>
          <w:i/>
          <w:iCs/>
          <w:color w:val="000000"/>
          <w:sz w:val="20"/>
          <w:szCs w:val="20"/>
        </w:rPr>
        <w:t xml:space="preserve">Environment </w:t>
      </w:r>
      <w:r w:rsidRPr="001D14A6">
        <w:rPr>
          <w:rFonts w:cs="Times"/>
          <w:color w:val="000000"/>
          <w:sz w:val="20"/>
          <w:szCs w:val="20"/>
        </w:rPr>
        <w:t xml:space="preserve">4–44; Dovers, Stephen R and Handmer, John W (1999) ‘Ignorance, sustainability, and the precautionary principle: towards an analytical framework’ in R Harding and E Fisher (eds), </w:t>
      </w:r>
      <w:r w:rsidRPr="001D14A6">
        <w:rPr>
          <w:rFonts w:cs="Times"/>
          <w:i/>
          <w:iCs/>
          <w:color w:val="000000"/>
          <w:sz w:val="20"/>
          <w:szCs w:val="20"/>
        </w:rPr>
        <w:t xml:space="preserve">Perspectives on the Precautionary Principle </w:t>
      </w:r>
      <w:r w:rsidRPr="001D14A6">
        <w:rPr>
          <w:rFonts w:cs="Times"/>
          <w:color w:val="000000"/>
          <w:sz w:val="20"/>
          <w:szCs w:val="20"/>
        </w:rPr>
        <w:t xml:space="preserve">(Federation Press); Fisher, E (2002) ‘Precaution, precaution everywhere: developing a “common understanding” of the precautionary principle in the European Community’ 9(1) </w:t>
      </w:r>
      <w:r w:rsidRPr="001D14A6">
        <w:rPr>
          <w:rFonts w:cs="Times"/>
          <w:i/>
          <w:iCs/>
          <w:color w:val="000000"/>
          <w:sz w:val="20"/>
          <w:szCs w:val="20"/>
        </w:rPr>
        <w:t xml:space="preserve">Maastricht Journal of European and Comparative Law </w:t>
      </w:r>
      <w:r w:rsidRPr="001D14A6">
        <w:rPr>
          <w:rFonts w:cs="Times"/>
          <w:color w:val="000000"/>
          <w:sz w:val="20"/>
          <w:szCs w:val="20"/>
        </w:rPr>
        <w:t>7</w:t>
      </w:r>
    </w:p>
  </w:footnote>
  <w:footnote w:id="24">
    <w:p w14:paraId="5E9181A4" w14:textId="3359CAF7" w:rsidR="00195B93" w:rsidRPr="001D14A6" w:rsidRDefault="00195B93">
      <w:pPr>
        <w:pStyle w:val="FootnoteText"/>
        <w:rPr>
          <w:sz w:val="20"/>
          <w:szCs w:val="20"/>
        </w:rPr>
      </w:pPr>
      <w:r w:rsidRPr="001D14A6">
        <w:rPr>
          <w:rStyle w:val="FootnoteReference"/>
          <w:sz w:val="20"/>
          <w:szCs w:val="20"/>
        </w:rPr>
        <w:footnoteRef/>
      </w:r>
      <w:r w:rsidRPr="001D14A6">
        <w:rPr>
          <w:sz w:val="20"/>
          <w:szCs w:val="20"/>
        </w:rPr>
        <w:t xml:space="preserve"> </w:t>
      </w:r>
      <w:r w:rsidR="00E01D52" w:rsidRPr="001D14A6">
        <w:rPr>
          <w:sz w:val="20"/>
          <w:szCs w:val="20"/>
        </w:rPr>
        <w:t>http://sehn.org/wingspread-conference-on-the-precautionary-principle/</w:t>
      </w:r>
    </w:p>
  </w:footnote>
  <w:footnote w:id="25">
    <w:p w14:paraId="6B359534" w14:textId="63CCD712" w:rsidR="006A524E" w:rsidRPr="001D14A6" w:rsidRDefault="006A524E" w:rsidP="00970BA3">
      <w:pPr>
        <w:widowControl w:val="0"/>
        <w:autoSpaceDE w:val="0"/>
        <w:autoSpaceDN w:val="0"/>
        <w:adjustRightInd w:val="0"/>
        <w:spacing w:after="240" w:line="260" w:lineRule="atLeast"/>
        <w:rPr>
          <w:rFonts w:cs="Times"/>
          <w:color w:val="000000"/>
          <w:sz w:val="20"/>
          <w:szCs w:val="20"/>
        </w:rPr>
      </w:pPr>
      <w:r w:rsidRPr="001D14A6">
        <w:rPr>
          <w:rStyle w:val="FootnoteReference"/>
          <w:sz w:val="20"/>
          <w:szCs w:val="20"/>
        </w:rPr>
        <w:footnoteRef/>
      </w:r>
      <w:r w:rsidRPr="001D14A6">
        <w:rPr>
          <w:sz w:val="20"/>
          <w:szCs w:val="20"/>
        </w:rPr>
        <w:t xml:space="preserve"> Garnett, K and Parsons, D J (2016), ‘Multi-case review of the application of precautionary principle in European Union law and case law’ </w:t>
      </w:r>
      <w:r w:rsidRPr="001D14A6">
        <w:rPr>
          <w:i/>
          <w:sz w:val="20"/>
          <w:szCs w:val="20"/>
        </w:rPr>
        <w:t>Risk Analysis</w:t>
      </w:r>
      <w:r w:rsidRPr="001D14A6">
        <w:rPr>
          <w:sz w:val="20"/>
          <w:szCs w:val="20"/>
        </w:rPr>
        <w:t xml:space="preserve"> 1-15; </w:t>
      </w:r>
      <w:r w:rsidRPr="001D14A6">
        <w:rPr>
          <w:rFonts w:cs="Times"/>
          <w:color w:val="000000"/>
          <w:sz w:val="20"/>
          <w:szCs w:val="20"/>
        </w:rPr>
        <w:t xml:space="preserve">Sandin P. (1999), ‘Dimensions of the precautionary principle’ </w:t>
      </w:r>
      <w:r w:rsidRPr="001D14A6">
        <w:rPr>
          <w:rFonts w:cs="Times"/>
          <w:i/>
          <w:color w:val="000000"/>
          <w:sz w:val="20"/>
          <w:szCs w:val="20"/>
        </w:rPr>
        <w:t xml:space="preserve">Human and Ecological Risk Assessment; An International Journal </w:t>
      </w:r>
      <w:r w:rsidRPr="001D14A6">
        <w:rPr>
          <w:rFonts w:cs="Times"/>
          <w:color w:val="000000"/>
          <w:sz w:val="20"/>
          <w:szCs w:val="20"/>
        </w:rPr>
        <w:t>5(5) 889–907; EC. Communication from the Commission on the Precautionary Principle (2000) Brussels: Commission of the European Communities; SEHN (1998), Wingspread Consensus Statement on the Precautionary Principle; Sachs, N (2011), ‘Rescuing the strong precautionary principle from its critics’ University of Illinois Law Review 1285-1338</w:t>
      </w:r>
    </w:p>
  </w:footnote>
  <w:footnote w:id="26">
    <w:p w14:paraId="43EF4111" w14:textId="33FDCB02" w:rsidR="006A524E" w:rsidRPr="001D14A6" w:rsidRDefault="006A524E" w:rsidP="007943B9">
      <w:pPr>
        <w:rPr>
          <w:rFonts w:eastAsia="Times New Roman" w:cs="Times New Roman"/>
          <w:sz w:val="20"/>
          <w:szCs w:val="20"/>
          <w:lang w:eastAsia="en-GB"/>
        </w:rPr>
      </w:pPr>
      <w:r w:rsidRPr="001D14A6">
        <w:rPr>
          <w:rStyle w:val="FootnoteReference"/>
          <w:sz w:val="20"/>
          <w:szCs w:val="20"/>
        </w:rPr>
        <w:footnoteRef/>
      </w:r>
      <w:r w:rsidRPr="001D14A6">
        <w:rPr>
          <w:sz w:val="20"/>
          <w:szCs w:val="20"/>
        </w:rPr>
        <w:t xml:space="preserve"> </w:t>
      </w:r>
      <w:r w:rsidRPr="001D14A6">
        <w:rPr>
          <w:rFonts w:eastAsia="Times New Roman" w:cs="Times New Roman"/>
          <w:sz w:val="20"/>
          <w:szCs w:val="20"/>
          <w:lang w:eastAsia="en-GB"/>
        </w:rPr>
        <w:t>Ahteensuu, M. (2007) “Rationale for taking precautions: normative choices and commitments in the implementation of the precautionary principle”. Risk &amp; Rationalities (Conference Proceedings), Queens’ College, Cambridge, UK</w:t>
      </w:r>
    </w:p>
  </w:footnote>
  <w:footnote w:id="27">
    <w:p w14:paraId="5914580B" w14:textId="1330FF73" w:rsidR="006A524E" w:rsidRPr="001D14A6" w:rsidRDefault="006A524E" w:rsidP="00F26D5F">
      <w:pPr>
        <w:widowControl w:val="0"/>
        <w:autoSpaceDE w:val="0"/>
        <w:autoSpaceDN w:val="0"/>
        <w:adjustRightInd w:val="0"/>
        <w:spacing w:after="240" w:line="280" w:lineRule="atLeast"/>
        <w:rPr>
          <w:rFonts w:cs="Times"/>
          <w:color w:val="000000"/>
          <w:sz w:val="20"/>
          <w:szCs w:val="20"/>
        </w:rPr>
      </w:pPr>
      <w:r w:rsidRPr="001D14A6">
        <w:rPr>
          <w:rStyle w:val="FootnoteReference"/>
          <w:sz w:val="20"/>
          <w:szCs w:val="20"/>
        </w:rPr>
        <w:footnoteRef/>
      </w:r>
      <w:r w:rsidRPr="001D14A6">
        <w:rPr>
          <w:sz w:val="20"/>
          <w:szCs w:val="20"/>
        </w:rPr>
        <w:t xml:space="preserve"> </w:t>
      </w:r>
      <w:r w:rsidRPr="001D14A6">
        <w:rPr>
          <w:rFonts w:cs="Times"/>
          <w:color w:val="000000"/>
          <w:sz w:val="20"/>
          <w:szCs w:val="20"/>
        </w:rPr>
        <w:t xml:space="preserve">Harding, R and Fisher, E (eds) (1999) </w:t>
      </w:r>
      <w:r w:rsidRPr="001D14A6">
        <w:rPr>
          <w:rFonts w:cs="Times"/>
          <w:i/>
          <w:iCs/>
          <w:color w:val="000000"/>
          <w:sz w:val="20"/>
          <w:szCs w:val="20"/>
        </w:rPr>
        <w:t xml:space="preserve">Perspectives on the Precautionary Principle </w:t>
      </w:r>
      <w:r w:rsidRPr="001D14A6">
        <w:rPr>
          <w:rFonts w:cs="Times"/>
          <w:color w:val="000000"/>
          <w:sz w:val="20"/>
          <w:szCs w:val="20"/>
        </w:rPr>
        <w:t>(Federation Press)</w:t>
      </w:r>
      <w:r w:rsidR="00F83C4A" w:rsidRPr="001D14A6">
        <w:rPr>
          <w:rFonts w:cs="Times"/>
          <w:color w:val="000000"/>
          <w:sz w:val="20"/>
          <w:szCs w:val="20"/>
        </w:rPr>
        <w:t xml:space="preserve"> page 14</w:t>
      </w:r>
    </w:p>
  </w:footnote>
  <w:footnote w:id="28">
    <w:p w14:paraId="5F5B75C0" w14:textId="72A877E0" w:rsidR="00AB2210" w:rsidRPr="001D14A6" w:rsidRDefault="00AB2210">
      <w:pPr>
        <w:pStyle w:val="FootnoteText"/>
        <w:rPr>
          <w:sz w:val="20"/>
          <w:szCs w:val="20"/>
        </w:rPr>
      </w:pPr>
      <w:r w:rsidRPr="001D14A6">
        <w:rPr>
          <w:rStyle w:val="FootnoteReference"/>
          <w:sz w:val="20"/>
          <w:szCs w:val="20"/>
        </w:rPr>
        <w:footnoteRef/>
      </w:r>
      <w:r w:rsidRPr="001D14A6">
        <w:rPr>
          <w:sz w:val="20"/>
          <w:szCs w:val="20"/>
        </w:rPr>
        <w:t xml:space="preserve"> </w:t>
      </w:r>
      <w:r w:rsidR="00D72645" w:rsidRPr="001D14A6">
        <w:rPr>
          <w:rFonts w:cs="Times"/>
          <w:i/>
          <w:iCs/>
          <w:color w:val="000000"/>
          <w:sz w:val="20"/>
          <w:szCs w:val="20"/>
        </w:rPr>
        <w:t xml:space="preserve">M C Mehta v Union of India </w:t>
      </w:r>
      <w:r w:rsidR="00D72645" w:rsidRPr="001D14A6">
        <w:rPr>
          <w:rFonts w:cs="Times"/>
          <w:color w:val="000000"/>
          <w:sz w:val="20"/>
          <w:szCs w:val="20"/>
        </w:rPr>
        <w:t xml:space="preserve">(2004) 12 SCC 118; </w:t>
      </w:r>
      <w:r w:rsidR="00D72645" w:rsidRPr="001D14A6">
        <w:rPr>
          <w:rFonts w:cs="Times"/>
          <w:i/>
          <w:iCs/>
          <w:color w:val="000000"/>
          <w:sz w:val="20"/>
          <w:szCs w:val="20"/>
        </w:rPr>
        <w:t xml:space="preserve">Research Foundation for Science v Union of India </w:t>
      </w:r>
      <w:r w:rsidR="00D72645" w:rsidRPr="001D14A6">
        <w:rPr>
          <w:rFonts w:cs="Times"/>
          <w:color w:val="000000"/>
          <w:sz w:val="20"/>
          <w:szCs w:val="20"/>
        </w:rPr>
        <w:t xml:space="preserve">(2005) 13 SCC 186; </w:t>
      </w:r>
      <w:r w:rsidR="00D72645" w:rsidRPr="001D14A6">
        <w:rPr>
          <w:rFonts w:cs="Times"/>
          <w:i/>
          <w:iCs/>
          <w:color w:val="000000"/>
          <w:sz w:val="20"/>
          <w:szCs w:val="20"/>
        </w:rPr>
        <w:t xml:space="preserve">Karnataka Industrial Area Development Board v C Kenchappa </w:t>
      </w:r>
      <w:r w:rsidR="00D72645" w:rsidRPr="001D14A6">
        <w:rPr>
          <w:rFonts w:cs="Times"/>
          <w:color w:val="000000"/>
          <w:sz w:val="20"/>
          <w:szCs w:val="20"/>
        </w:rPr>
        <w:t xml:space="preserve">(2006) 6 SCC 371; </w:t>
      </w:r>
      <w:r w:rsidR="00D72645" w:rsidRPr="001D14A6">
        <w:rPr>
          <w:rFonts w:cs="Times"/>
          <w:i/>
          <w:iCs/>
          <w:color w:val="000000"/>
          <w:sz w:val="20"/>
          <w:szCs w:val="20"/>
        </w:rPr>
        <w:t xml:space="preserve">AP Pollution Control Board I v Professor M V Nayadu </w:t>
      </w:r>
      <w:r w:rsidR="00D72645" w:rsidRPr="001D14A6">
        <w:rPr>
          <w:rFonts w:cs="Times"/>
          <w:color w:val="000000"/>
          <w:sz w:val="20"/>
          <w:szCs w:val="20"/>
        </w:rPr>
        <w:t xml:space="preserve">(1999) 2 SCC 718; </w:t>
      </w:r>
      <w:r w:rsidR="00D72645" w:rsidRPr="001D14A6">
        <w:rPr>
          <w:rFonts w:cs="Times"/>
          <w:i/>
          <w:iCs/>
          <w:color w:val="000000"/>
          <w:sz w:val="20"/>
          <w:szCs w:val="20"/>
        </w:rPr>
        <w:t xml:space="preserve">AP Pollution Control Board II v Prof M V Nayadu </w:t>
      </w:r>
      <w:r w:rsidR="00D72645" w:rsidRPr="001D14A6">
        <w:rPr>
          <w:rFonts w:cs="Times"/>
          <w:color w:val="000000"/>
          <w:sz w:val="20"/>
          <w:szCs w:val="20"/>
        </w:rPr>
        <w:t xml:space="preserve">(2001) 2 SCC 62; </w:t>
      </w:r>
      <w:r w:rsidR="00D72645" w:rsidRPr="001D14A6">
        <w:rPr>
          <w:rFonts w:cs="Times"/>
          <w:i/>
          <w:iCs/>
          <w:color w:val="000000"/>
          <w:sz w:val="20"/>
          <w:szCs w:val="20"/>
        </w:rPr>
        <w:t xml:space="preserve">T N Godavarman Thirumalpad v Union of India </w:t>
      </w:r>
      <w:r w:rsidR="00D72645" w:rsidRPr="001D14A6">
        <w:rPr>
          <w:rFonts w:cs="Times"/>
          <w:color w:val="000000"/>
          <w:sz w:val="20"/>
          <w:szCs w:val="20"/>
        </w:rPr>
        <w:t xml:space="preserve">(2002) 10 SCC 606; </w:t>
      </w:r>
      <w:r w:rsidR="00D72645" w:rsidRPr="001D14A6">
        <w:rPr>
          <w:rFonts w:cs="Times"/>
          <w:i/>
          <w:iCs/>
          <w:color w:val="000000"/>
          <w:sz w:val="20"/>
          <w:szCs w:val="20"/>
        </w:rPr>
        <w:t xml:space="preserve">Tirupur Dyeing Factory Association v Noyal River Ayacutdars Protection </w:t>
      </w:r>
      <w:r w:rsidR="00D72645" w:rsidRPr="001D14A6">
        <w:rPr>
          <w:rFonts w:cs="Times"/>
          <w:color w:val="000000"/>
          <w:sz w:val="20"/>
          <w:szCs w:val="20"/>
        </w:rPr>
        <w:t xml:space="preserve">(2009) 9 SCC 737; </w:t>
      </w:r>
      <w:r w:rsidR="00D72645" w:rsidRPr="001D14A6">
        <w:rPr>
          <w:rFonts w:cs="Times"/>
          <w:i/>
          <w:iCs/>
          <w:color w:val="000000"/>
          <w:sz w:val="20"/>
          <w:szCs w:val="20"/>
        </w:rPr>
        <w:t xml:space="preserve">M C Mehta v Union of India </w:t>
      </w:r>
      <w:r w:rsidR="00D72645" w:rsidRPr="001D14A6">
        <w:rPr>
          <w:rFonts w:cs="Times"/>
          <w:color w:val="000000"/>
          <w:sz w:val="20"/>
          <w:szCs w:val="20"/>
        </w:rPr>
        <w:t xml:space="preserve">(2009) 6 SCC 142; </w:t>
      </w:r>
      <w:r w:rsidR="00D72645" w:rsidRPr="001D14A6">
        <w:rPr>
          <w:rFonts w:cs="Times"/>
          <w:i/>
          <w:iCs/>
          <w:color w:val="000000"/>
          <w:sz w:val="20"/>
          <w:szCs w:val="20"/>
        </w:rPr>
        <w:t xml:space="preserve">In re Delhi Transport Department </w:t>
      </w:r>
      <w:r w:rsidR="00D72645" w:rsidRPr="001D14A6">
        <w:rPr>
          <w:rFonts w:cs="Times"/>
          <w:color w:val="000000"/>
          <w:sz w:val="20"/>
          <w:szCs w:val="20"/>
        </w:rPr>
        <w:t>(1998) 9 SCC 250</w:t>
      </w:r>
    </w:p>
  </w:footnote>
  <w:footnote w:id="29">
    <w:p w14:paraId="11374F52" w14:textId="2CD8DEE3" w:rsidR="006A524E" w:rsidRPr="001D14A6" w:rsidRDefault="006A524E">
      <w:pPr>
        <w:pStyle w:val="FootnoteText"/>
        <w:rPr>
          <w:sz w:val="20"/>
          <w:szCs w:val="20"/>
        </w:rPr>
      </w:pPr>
      <w:r w:rsidRPr="001D14A6">
        <w:rPr>
          <w:rStyle w:val="FootnoteReference"/>
          <w:sz w:val="20"/>
          <w:szCs w:val="20"/>
        </w:rPr>
        <w:footnoteRef/>
      </w:r>
      <w:r w:rsidRPr="001D14A6">
        <w:rPr>
          <w:sz w:val="20"/>
          <w:szCs w:val="20"/>
        </w:rPr>
        <w:t xml:space="preserve"> </w:t>
      </w:r>
      <w:r w:rsidRPr="001D14A6">
        <w:rPr>
          <w:rFonts w:cs="Times"/>
          <w:i/>
          <w:iCs/>
          <w:color w:val="000000"/>
          <w:sz w:val="20"/>
          <w:szCs w:val="20"/>
        </w:rPr>
        <w:t xml:space="preserve">Goa Foundation v Union of India </w:t>
      </w:r>
      <w:r w:rsidRPr="001D14A6">
        <w:rPr>
          <w:rFonts w:cs="Times"/>
          <w:color w:val="000000"/>
          <w:sz w:val="20"/>
          <w:szCs w:val="20"/>
        </w:rPr>
        <w:t>Judgment dated 18 July 2013 at para 42</w:t>
      </w:r>
    </w:p>
  </w:footnote>
  <w:footnote w:id="30">
    <w:p w14:paraId="79459BF1" w14:textId="08309632" w:rsidR="00915D7C" w:rsidRPr="001D14A6" w:rsidRDefault="00915D7C">
      <w:pPr>
        <w:pStyle w:val="FootnoteText"/>
        <w:rPr>
          <w:sz w:val="20"/>
          <w:szCs w:val="20"/>
        </w:rPr>
      </w:pPr>
      <w:r w:rsidRPr="001D14A6">
        <w:rPr>
          <w:rStyle w:val="FootnoteReference"/>
          <w:sz w:val="20"/>
          <w:szCs w:val="20"/>
        </w:rPr>
        <w:footnoteRef/>
      </w:r>
      <w:r w:rsidRPr="001D14A6">
        <w:rPr>
          <w:sz w:val="20"/>
          <w:szCs w:val="20"/>
        </w:rPr>
        <w:t xml:space="preserve"> See above Gill n 13 at 122-127</w:t>
      </w:r>
    </w:p>
  </w:footnote>
  <w:footnote w:id="31">
    <w:p w14:paraId="444FA326" w14:textId="698DE095" w:rsidR="006A524E" w:rsidRPr="001D14A6" w:rsidRDefault="006A524E" w:rsidP="005046CA">
      <w:pPr>
        <w:widowControl w:val="0"/>
        <w:autoSpaceDE w:val="0"/>
        <w:autoSpaceDN w:val="0"/>
        <w:adjustRightInd w:val="0"/>
        <w:spacing w:after="240" w:line="300" w:lineRule="atLeast"/>
        <w:rPr>
          <w:rFonts w:cs="Times"/>
          <w:color w:val="000000"/>
          <w:sz w:val="20"/>
          <w:szCs w:val="20"/>
        </w:rPr>
      </w:pPr>
      <w:r w:rsidRPr="001D14A6">
        <w:rPr>
          <w:rStyle w:val="FootnoteReference"/>
          <w:sz w:val="20"/>
          <w:szCs w:val="20"/>
        </w:rPr>
        <w:footnoteRef/>
      </w:r>
      <w:r w:rsidRPr="001D14A6">
        <w:rPr>
          <w:sz w:val="20"/>
          <w:szCs w:val="20"/>
        </w:rPr>
        <w:t xml:space="preserve"> </w:t>
      </w:r>
      <w:r w:rsidRPr="001D14A6">
        <w:rPr>
          <w:rFonts w:eastAsia="Times New Roman" w:cs="Arial"/>
          <w:bCs/>
          <w:color w:val="222222"/>
          <w:sz w:val="20"/>
          <w:szCs w:val="20"/>
          <w:shd w:val="clear" w:color="auto" w:fill="FFFFFF"/>
          <w:lang w:eastAsia="en-GB"/>
        </w:rPr>
        <w:t>Article 21</w:t>
      </w:r>
      <w:r w:rsidRPr="001D14A6">
        <w:rPr>
          <w:rFonts w:eastAsia="Times New Roman" w:cs="Arial"/>
          <w:color w:val="222222"/>
          <w:sz w:val="20"/>
          <w:szCs w:val="20"/>
          <w:shd w:val="clear" w:color="auto" w:fill="FFFFFF"/>
          <w:lang w:eastAsia="en-GB"/>
        </w:rPr>
        <w:t> of the </w:t>
      </w:r>
      <w:r w:rsidRPr="001D14A6">
        <w:rPr>
          <w:rFonts w:eastAsia="Times New Roman" w:cs="Arial"/>
          <w:bCs/>
          <w:color w:val="222222"/>
          <w:sz w:val="20"/>
          <w:szCs w:val="20"/>
          <w:shd w:val="clear" w:color="auto" w:fill="FFFFFF"/>
          <w:lang w:eastAsia="en-GB"/>
        </w:rPr>
        <w:t>Constitution</w:t>
      </w:r>
      <w:r w:rsidRPr="001D14A6">
        <w:rPr>
          <w:rFonts w:eastAsia="Times New Roman" w:cs="Arial"/>
          <w:color w:val="222222"/>
          <w:sz w:val="20"/>
          <w:szCs w:val="20"/>
          <w:shd w:val="clear" w:color="auto" w:fill="FFFFFF"/>
          <w:lang w:eastAsia="en-GB"/>
        </w:rPr>
        <w:t> of </w:t>
      </w:r>
      <w:r w:rsidRPr="001D14A6">
        <w:rPr>
          <w:rFonts w:eastAsia="Times New Roman" w:cs="Arial"/>
          <w:bCs/>
          <w:color w:val="222222"/>
          <w:sz w:val="20"/>
          <w:szCs w:val="20"/>
          <w:shd w:val="clear" w:color="auto" w:fill="FFFFFF"/>
          <w:lang w:eastAsia="en-GB"/>
        </w:rPr>
        <w:t>India</w:t>
      </w:r>
      <w:r w:rsidRPr="001D14A6">
        <w:rPr>
          <w:rFonts w:eastAsia="Times New Roman" w:cs="Arial"/>
          <w:color w:val="222222"/>
          <w:sz w:val="20"/>
          <w:szCs w:val="20"/>
          <w:shd w:val="clear" w:color="auto" w:fill="FFFFFF"/>
          <w:lang w:eastAsia="en-GB"/>
        </w:rPr>
        <w:t xml:space="preserve"> states: ‘no person shall be deprived of his life or personal liberty except according to procedure established by law.’ See Articles 48 A and 51A (g) Constitution of India; </w:t>
      </w:r>
      <w:r w:rsidRPr="001D14A6">
        <w:rPr>
          <w:rFonts w:cs="Times"/>
          <w:i/>
          <w:iCs/>
          <w:color w:val="000000"/>
          <w:sz w:val="20"/>
          <w:szCs w:val="20"/>
        </w:rPr>
        <w:t xml:space="preserve">Virender Gaur v State of Haryana </w:t>
      </w:r>
      <w:r w:rsidRPr="001D14A6">
        <w:rPr>
          <w:rFonts w:cs="Times"/>
          <w:color w:val="000000"/>
          <w:sz w:val="20"/>
          <w:szCs w:val="20"/>
        </w:rPr>
        <w:t xml:space="preserve">(1995) 2 SCC 577; </w:t>
      </w:r>
      <w:r w:rsidRPr="001D14A6">
        <w:rPr>
          <w:rFonts w:cs="Times"/>
          <w:i/>
          <w:iCs/>
          <w:color w:val="000000"/>
          <w:sz w:val="20"/>
          <w:szCs w:val="20"/>
        </w:rPr>
        <w:t xml:space="preserve">Municipal Corporation of Greater Mumbai v Kohinoor </w:t>
      </w:r>
      <w:r w:rsidRPr="001D14A6">
        <w:rPr>
          <w:rFonts w:cs="Times"/>
          <w:color w:val="3B3B3B"/>
          <w:sz w:val="20"/>
          <w:szCs w:val="20"/>
        </w:rPr>
        <w:t xml:space="preserve">34 </w:t>
      </w:r>
      <w:r w:rsidRPr="001D14A6">
        <w:rPr>
          <w:rFonts w:cs="Times"/>
          <w:i/>
          <w:iCs/>
          <w:color w:val="000000"/>
          <w:sz w:val="20"/>
          <w:szCs w:val="20"/>
        </w:rPr>
        <w:t xml:space="preserve">CTNL Infrastructure </w:t>
      </w:r>
      <w:r w:rsidRPr="001D14A6">
        <w:rPr>
          <w:rFonts w:cs="Times"/>
          <w:color w:val="000000"/>
          <w:sz w:val="20"/>
          <w:szCs w:val="20"/>
        </w:rPr>
        <w:t>(2014) 4 SCC 538</w:t>
      </w:r>
      <w:r w:rsidRPr="001D14A6">
        <w:rPr>
          <w:rFonts w:eastAsia="MS Mincho" w:cs="MS Mincho"/>
          <w:color w:val="000000"/>
          <w:sz w:val="20"/>
          <w:szCs w:val="20"/>
        </w:rPr>
        <w:t xml:space="preserve">; </w:t>
      </w:r>
      <w:r w:rsidRPr="001D14A6">
        <w:rPr>
          <w:rFonts w:cs="Times"/>
          <w:i/>
          <w:iCs/>
          <w:color w:val="000000"/>
          <w:sz w:val="20"/>
          <w:szCs w:val="20"/>
        </w:rPr>
        <w:t xml:space="preserve">In re Noise Pollution </w:t>
      </w:r>
      <w:r w:rsidRPr="001D14A6">
        <w:rPr>
          <w:rFonts w:cs="Times"/>
          <w:color w:val="000000"/>
          <w:sz w:val="20"/>
          <w:szCs w:val="20"/>
        </w:rPr>
        <w:t>AIR 2005 SC 3136; I</w:t>
      </w:r>
      <w:r w:rsidRPr="001D14A6">
        <w:rPr>
          <w:rFonts w:cs="Times"/>
          <w:i/>
          <w:iCs/>
          <w:color w:val="000000"/>
          <w:sz w:val="20"/>
          <w:szCs w:val="20"/>
        </w:rPr>
        <w:t xml:space="preserve">ntellectual Forum, Tirupathi </w:t>
      </w:r>
      <w:r w:rsidRPr="001D14A6">
        <w:rPr>
          <w:rFonts w:cs="Times"/>
          <w:color w:val="000000"/>
          <w:sz w:val="20"/>
          <w:szCs w:val="20"/>
        </w:rPr>
        <w:t xml:space="preserve">v </w:t>
      </w:r>
      <w:r w:rsidRPr="001D14A6">
        <w:rPr>
          <w:rFonts w:cs="Times"/>
          <w:i/>
          <w:iCs/>
          <w:color w:val="000000"/>
          <w:sz w:val="20"/>
          <w:szCs w:val="20"/>
        </w:rPr>
        <w:t xml:space="preserve">State of AP </w:t>
      </w:r>
      <w:r w:rsidRPr="001D14A6">
        <w:rPr>
          <w:rFonts w:cs="Times"/>
          <w:color w:val="000000"/>
          <w:sz w:val="20"/>
          <w:szCs w:val="20"/>
        </w:rPr>
        <w:t xml:space="preserve">(2006) 3 SCC 549.  </w:t>
      </w:r>
    </w:p>
  </w:footnote>
  <w:footnote w:id="32">
    <w:p w14:paraId="7BF3D02F" w14:textId="6C9FBE2E" w:rsidR="006A524E" w:rsidRPr="001D14A6" w:rsidRDefault="006A524E" w:rsidP="00646FD2">
      <w:pPr>
        <w:widowControl w:val="0"/>
        <w:autoSpaceDE w:val="0"/>
        <w:autoSpaceDN w:val="0"/>
        <w:adjustRightInd w:val="0"/>
        <w:spacing w:after="240" w:line="280" w:lineRule="atLeast"/>
        <w:rPr>
          <w:rFonts w:cs="Times"/>
          <w:color w:val="000000"/>
          <w:sz w:val="20"/>
          <w:szCs w:val="20"/>
        </w:rPr>
      </w:pPr>
      <w:r w:rsidRPr="001D14A6">
        <w:rPr>
          <w:rStyle w:val="FootnoteReference"/>
          <w:sz w:val="20"/>
          <w:szCs w:val="20"/>
        </w:rPr>
        <w:footnoteRef/>
      </w:r>
      <w:r w:rsidRPr="001D14A6">
        <w:rPr>
          <w:sz w:val="20"/>
          <w:szCs w:val="20"/>
        </w:rPr>
        <w:t xml:space="preserve"> </w:t>
      </w:r>
      <w:r w:rsidRPr="001D14A6">
        <w:rPr>
          <w:i/>
          <w:sz w:val="20"/>
          <w:szCs w:val="20"/>
        </w:rPr>
        <w:t>Vardhman Kaushik v Union of India</w:t>
      </w:r>
      <w:r w:rsidRPr="001D14A6">
        <w:rPr>
          <w:sz w:val="20"/>
          <w:szCs w:val="20"/>
        </w:rPr>
        <w:t xml:space="preserve"> (Judgment 10 November 2016); </w:t>
      </w:r>
      <w:r w:rsidRPr="001D14A6">
        <w:rPr>
          <w:rFonts w:cs="Times"/>
          <w:i/>
          <w:iCs/>
          <w:color w:val="000000"/>
          <w:sz w:val="20"/>
          <w:szCs w:val="20"/>
        </w:rPr>
        <w:t xml:space="preserve">Court on its Own Motion v State of Himachal Pradesh </w:t>
      </w:r>
      <w:r w:rsidRPr="001D14A6">
        <w:rPr>
          <w:rFonts w:cs="Times"/>
          <w:color w:val="000000"/>
          <w:sz w:val="20"/>
          <w:szCs w:val="20"/>
        </w:rPr>
        <w:t>Judgment 4 February 2014;</w:t>
      </w:r>
      <w:r w:rsidRPr="001D14A6">
        <w:rPr>
          <w:sz w:val="20"/>
          <w:szCs w:val="20"/>
        </w:rPr>
        <w:t xml:space="preserve"> </w:t>
      </w:r>
      <w:r w:rsidRPr="001D14A6">
        <w:rPr>
          <w:rFonts w:cs="Times"/>
          <w:i/>
          <w:iCs/>
          <w:color w:val="000000"/>
          <w:sz w:val="20"/>
          <w:szCs w:val="20"/>
        </w:rPr>
        <w:t xml:space="preserve">M/S Sterlite Industries Ltd v Tamil Nadu Pollution Control Board </w:t>
      </w:r>
      <w:r w:rsidRPr="001D14A6">
        <w:rPr>
          <w:rFonts w:cs="Times"/>
          <w:color w:val="000000"/>
          <w:sz w:val="20"/>
          <w:szCs w:val="20"/>
        </w:rPr>
        <w:t xml:space="preserve">(Judgment 8 August 2013) </w:t>
      </w:r>
    </w:p>
    <w:p w14:paraId="5A35C09A" w14:textId="13591BA8" w:rsidR="006A524E" w:rsidRPr="001D14A6" w:rsidRDefault="006A524E">
      <w:pPr>
        <w:pStyle w:val="FootnoteText"/>
        <w:rPr>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6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33A2E"/>
    <w:multiLevelType w:val="hybridMultilevel"/>
    <w:tmpl w:val="CA70D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8533E9"/>
    <w:multiLevelType w:val="hybridMultilevel"/>
    <w:tmpl w:val="267AA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9E378E"/>
    <w:multiLevelType w:val="hybridMultilevel"/>
    <w:tmpl w:val="F508F7E4"/>
    <w:lvl w:ilvl="0" w:tplc="CA0843B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D31521"/>
    <w:multiLevelType w:val="hybridMultilevel"/>
    <w:tmpl w:val="61124BB6"/>
    <w:lvl w:ilvl="0" w:tplc="35B0EC56">
      <w:start w:val="1"/>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5B12A2"/>
    <w:multiLevelType w:val="hybridMultilevel"/>
    <w:tmpl w:val="03D2E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9D76CB"/>
    <w:multiLevelType w:val="hybridMultilevel"/>
    <w:tmpl w:val="AB5A4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B9600A"/>
    <w:multiLevelType w:val="hybridMultilevel"/>
    <w:tmpl w:val="15E8A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B5"/>
    <w:rsid w:val="00003274"/>
    <w:rsid w:val="00003BD1"/>
    <w:rsid w:val="00005D26"/>
    <w:rsid w:val="0001317E"/>
    <w:rsid w:val="000227E0"/>
    <w:rsid w:val="00043C31"/>
    <w:rsid w:val="00050356"/>
    <w:rsid w:val="000534DE"/>
    <w:rsid w:val="00057654"/>
    <w:rsid w:val="00067FB7"/>
    <w:rsid w:val="00074F90"/>
    <w:rsid w:val="00076965"/>
    <w:rsid w:val="0008674C"/>
    <w:rsid w:val="00094613"/>
    <w:rsid w:val="0009784B"/>
    <w:rsid w:val="000A1BFE"/>
    <w:rsid w:val="000A3BAE"/>
    <w:rsid w:val="000B01B3"/>
    <w:rsid w:val="000B0992"/>
    <w:rsid w:val="000B1A93"/>
    <w:rsid w:val="000B1DBD"/>
    <w:rsid w:val="000B2D66"/>
    <w:rsid w:val="000C323F"/>
    <w:rsid w:val="000F1C1E"/>
    <w:rsid w:val="00107028"/>
    <w:rsid w:val="001165AA"/>
    <w:rsid w:val="00123E8F"/>
    <w:rsid w:val="00124C25"/>
    <w:rsid w:val="00127D5F"/>
    <w:rsid w:val="00145C6E"/>
    <w:rsid w:val="00155214"/>
    <w:rsid w:val="00162C82"/>
    <w:rsid w:val="00165A5B"/>
    <w:rsid w:val="00165F93"/>
    <w:rsid w:val="00170D22"/>
    <w:rsid w:val="001714DD"/>
    <w:rsid w:val="00173F52"/>
    <w:rsid w:val="0017692D"/>
    <w:rsid w:val="00195B93"/>
    <w:rsid w:val="001A1E19"/>
    <w:rsid w:val="001A3D51"/>
    <w:rsid w:val="001A4922"/>
    <w:rsid w:val="001A7FE8"/>
    <w:rsid w:val="001B123A"/>
    <w:rsid w:val="001B1B0B"/>
    <w:rsid w:val="001B776B"/>
    <w:rsid w:val="001C1FFD"/>
    <w:rsid w:val="001C3E02"/>
    <w:rsid w:val="001C57EE"/>
    <w:rsid w:val="001C58DD"/>
    <w:rsid w:val="001C5B37"/>
    <w:rsid w:val="001C5CA5"/>
    <w:rsid w:val="001D11F8"/>
    <w:rsid w:val="001D14A6"/>
    <w:rsid w:val="001F1927"/>
    <w:rsid w:val="001F4A04"/>
    <w:rsid w:val="00201DC5"/>
    <w:rsid w:val="0020241E"/>
    <w:rsid w:val="00202428"/>
    <w:rsid w:val="002161EA"/>
    <w:rsid w:val="00221B81"/>
    <w:rsid w:val="00221DD9"/>
    <w:rsid w:val="0022262E"/>
    <w:rsid w:val="00226D4F"/>
    <w:rsid w:val="002332EF"/>
    <w:rsid w:val="0023391C"/>
    <w:rsid w:val="002352FC"/>
    <w:rsid w:val="00235750"/>
    <w:rsid w:val="00241884"/>
    <w:rsid w:val="002608A8"/>
    <w:rsid w:val="00260BF8"/>
    <w:rsid w:val="00260D8B"/>
    <w:rsid w:val="00266A49"/>
    <w:rsid w:val="00277ECF"/>
    <w:rsid w:val="00281A76"/>
    <w:rsid w:val="0028223E"/>
    <w:rsid w:val="00286F21"/>
    <w:rsid w:val="00290813"/>
    <w:rsid w:val="002916B6"/>
    <w:rsid w:val="00293A6B"/>
    <w:rsid w:val="002A01C9"/>
    <w:rsid w:val="002A325F"/>
    <w:rsid w:val="002A438E"/>
    <w:rsid w:val="002A646D"/>
    <w:rsid w:val="002C766A"/>
    <w:rsid w:val="002D7863"/>
    <w:rsid w:val="002E6D2C"/>
    <w:rsid w:val="002F1375"/>
    <w:rsid w:val="002F21BA"/>
    <w:rsid w:val="002F2F68"/>
    <w:rsid w:val="003079D3"/>
    <w:rsid w:val="003112AB"/>
    <w:rsid w:val="00312226"/>
    <w:rsid w:val="00313456"/>
    <w:rsid w:val="003149DF"/>
    <w:rsid w:val="0032687A"/>
    <w:rsid w:val="003272FE"/>
    <w:rsid w:val="00330810"/>
    <w:rsid w:val="00332EC6"/>
    <w:rsid w:val="00340382"/>
    <w:rsid w:val="00342E92"/>
    <w:rsid w:val="00343109"/>
    <w:rsid w:val="003448B8"/>
    <w:rsid w:val="00351C0F"/>
    <w:rsid w:val="00355E3D"/>
    <w:rsid w:val="00360F27"/>
    <w:rsid w:val="00371E7F"/>
    <w:rsid w:val="00371F05"/>
    <w:rsid w:val="0038078D"/>
    <w:rsid w:val="00382CFD"/>
    <w:rsid w:val="00386656"/>
    <w:rsid w:val="003A022F"/>
    <w:rsid w:val="003A0677"/>
    <w:rsid w:val="003A0B21"/>
    <w:rsid w:val="003A1DBA"/>
    <w:rsid w:val="003A6B09"/>
    <w:rsid w:val="003B180B"/>
    <w:rsid w:val="003C2DEA"/>
    <w:rsid w:val="003D45A2"/>
    <w:rsid w:val="003E2B20"/>
    <w:rsid w:val="003E2F8D"/>
    <w:rsid w:val="003E6FA7"/>
    <w:rsid w:val="00401D6A"/>
    <w:rsid w:val="004135B1"/>
    <w:rsid w:val="00414943"/>
    <w:rsid w:val="004169A3"/>
    <w:rsid w:val="00420ABB"/>
    <w:rsid w:val="0042187F"/>
    <w:rsid w:val="00421AA4"/>
    <w:rsid w:val="00426B5E"/>
    <w:rsid w:val="00441F30"/>
    <w:rsid w:val="00451AC8"/>
    <w:rsid w:val="00454587"/>
    <w:rsid w:val="00465861"/>
    <w:rsid w:val="004677CE"/>
    <w:rsid w:val="004748AB"/>
    <w:rsid w:val="004773F0"/>
    <w:rsid w:val="0048650B"/>
    <w:rsid w:val="0048706A"/>
    <w:rsid w:val="00493034"/>
    <w:rsid w:val="00494A3E"/>
    <w:rsid w:val="00497F37"/>
    <w:rsid w:val="004A2F3C"/>
    <w:rsid w:val="004A381E"/>
    <w:rsid w:val="004A3B70"/>
    <w:rsid w:val="004A51A0"/>
    <w:rsid w:val="004B663F"/>
    <w:rsid w:val="004B7D14"/>
    <w:rsid w:val="004C0387"/>
    <w:rsid w:val="004D6DC6"/>
    <w:rsid w:val="004E2879"/>
    <w:rsid w:val="004E7AA6"/>
    <w:rsid w:val="004F0B9F"/>
    <w:rsid w:val="005046CA"/>
    <w:rsid w:val="00505867"/>
    <w:rsid w:val="005074AD"/>
    <w:rsid w:val="00511F64"/>
    <w:rsid w:val="00516194"/>
    <w:rsid w:val="00520750"/>
    <w:rsid w:val="00527458"/>
    <w:rsid w:val="00531200"/>
    <w:rsid w:val="0053130B"/>
    <w:rsid w:val="00544C67"/>
    <w:rsid w:val="00546AE2"/>
    <w:rsid w:val="00550A2E"/>
    <w:rsid w:val="00553482"/>
    <w:rsid w:val="00561098"/>
    <w:rsid w:val="005671F6"/>
    <w:rsid w:val="005679CD"/>
    <w:rsid w:val="005720AF"/>
    <w:rsid w:val="00573BDA"/>
    <w:rsid w:val="00590FF0"/>
    <w:rsid w:val="00593AE7"/>
    <w:rsid w:val="005958A2"/>
    <w:rsid w:val="005A2DE8"/>
    <w:rsid w:val="005A5286"/>
    <w:rsid w:val="005B2C78"/>
    <w:rsid w:val="005B7D1A"/>
    <w:rsid w:val="005C0B81"/>
    <w:rsid w:val="005C4854"/>
    <w:rsid w:val="005D1CDA"/>
    <w:rsid w:val="005E0BFC"/>
    <w:rsid w:val="005E61FD"/>
    <w:rsid w:val="005F51F4"/>
    <w:rsid w:val="005F55F6"/>
    <w:rsid w:val="006000C0"/>
    <w:rsid w:val="0060672E"/>
    <w:rsid w:val="006071C9"/>
    <w:rsid w:val="00612EFE"/>
    <w:rsid w:val="00613A9C"/>
    <w:rsid w:val="00614379"/>
    <w:rsid w:val="00615205"/>
    <w:rsid w:val="00617A8C"/>
    <w:rsid w:val="00630886"/>
    <w:rsid w:val="006335F1"/>
    <w:rsid w:val="00637001"/>
    <w:rsid w:val="006425E0"/>
    <w:rsid w:val="00643E2B"/>
    <w:rsid w:val="00646FD2"/>
    <w:rsid w:val="00655177"/>
    <w:rsid w:val="00656BFF"/>
    <w:rsid w:val="00663EED"/>
    <w:rsid w:val="00665F97"/>
    <w:rsid w:val="006678BD"/>
    <w:rsid w:val="00667B11"/>
    <w:rsid w:val="00676219"/>
    <w:rsid w:val="0067664E"/>
    <w:rsid w:val="00683B88"/>
    <w:rsid w:val="006859FA"/>
    <w:rsid w:val="006958E2"/>
    <w:rsid w:val="006A2C82"/>
    <w:rsid w:val="006A524E"/>
    <w:rsid w:val="006B50BE"/>
    <w:rsid w:val="006B59F8"/>
    <w:rsid w:val="006B6AE9"/>
    <w:rsid w:val="006C4AC7"/>
    <w:rsid w:val="006C6CA5"/>
    <w:rsid w:val="006D33D9"/>
    <w:rsid w:val="006D7168"/>
    <w:rsid w:val="006F2577"/>
    <w:rsid w:val="0072044C"/>
    <w:rsid w:val="00722B49"/>
    <w:rsid w:val="00723BF3"/>
    <w:rsid w:val="00726722"/>
    <w:rsid w:val="00740F2F"/>
    <w:rsid w:val="00741EC8"/>
    <w:rsid w:val="007450C5"/>
    <w:rsid w:val="00745186"/>
    <w:rsid w:val="00752B9B"/>
    <w:rsid w:val="007558D9"/>
    <w:rsid w:val="0076302E"/>
    <w:rsid w:val="00764D35"/>
    <w:rsid w:val="00765CDB"/>
    <w:rsid w:val="007761EB"/>
    <w:rsid w:val="00792368"/>
    <w:rsid w:val="007943B9"/>
    <w:rsid w:val="007947CF"/>
    <w:rsid w:val="007953EF"/>
    <w:rsid w:val="00796F05"/>
    <w:rsid w:val="007A188D"/>
    <w:rsid w:val="007A278B"/>
    <w:rsid w:val="007C5B15"/>
    <w:rsid w:val="007D1475"/>
    <w:rsid w:val="007D1592"/>
    <w:rsid w:val="007D2B40"/>
    <w:rsid w:val="007D3EB6"/>
    <w:rsid w:val="007D7972"/>
    <w:rsid w:val="007E0377"/>
    <w:rsid w:val="007E14A4"/>
    <w:rsid w:val="007E5EDB"/>
    <w:rsid w:val="007F2E77"/>
    <w:rsid w:val="007F50B9"/>
    <w:rsid w:val="008014D1"/>
    <w:rsid w:val="00806F53"/>
    <w:rsid w:val="00807FA6"/>
    <w:rsid w:val="00816C20"/>
    <w:rsid w:val="00827880"/>
    <w:rsid w:val="008326DE"/>
    <w:rsid w:val="00835C4D"/>
    <w:rsid w:val="008366CA"/>
    <w:rsid w:val="00840532"/>
    <w:rsid w:val="00842921"/>
    <w:rsid w:val="008429B9"/>
    <w:rsid w:val="008453CF"/>
    <w:rsid w:val="00845C78"/>
    <w:rsid w:val="00857737"/>
    <w:rsid w:val="00863855"/>
    <w:rsid w:val="008757BA"/>
    <w:rsid w:val="0088034A"/>
    <w:rsid w:val="00880B9D"/>
    <w:rsid w:val="00882BF8"/>
    <w:rsid w:val="00887C1E"/>
    <w:rsid w:val="008924E5"/>
    <w:rsid w:val="00895766"/>
    <w:rsid w:val="008A4903"/>
    <w:rsid w:val="008B3DE3"/>
    <w:rsid w:val="008D67BE"/>
    <w:rsid w:val="008D76F3"/>
    <w:rsid w:val="008E0292"/>
    <w:rsid w:val="008E18D5"/>
    <w:rsid w:val="008E43E4"/>
    <w:rsid w:val="008E5CE5"/>
    <w:rsid w:val="008E70A7"/>
    <w:rsid w:val="008F1358"/>
    <w:rsid w:val="00902C70"/>
    <w:rsid w:val="00905471"/>
    <w:rsid w:val="009157DB"/>
    <w:rsid w:val="00915D7C"/>
    <w:rsid w:val="00917A3F"/>
    <w:rsid w:val="00950D8A"/>
    <w:rsid w:val="00951071"/>
    <w:rsid w:val="00955B00"/>
    <w:rsid w:val="00960818"/>
    <w:rsid w:val="0096289A"/>
    <w:rsid w:val="0096672D"/>
    <w:rsid w:val="00967709"/>
    <w:rsid w:val="00967E2D"/>
    <w:rsid w:val="00970BA3"/>
    <w:rsid w:val="00974FBF"/>
    <w:rsid w:val="00975919"/>
    <w:rsid w:val="00975A1C"/>
    <w:rsid w:val="00976C60"/>
    <w:rsid w:val="009775B7"/>
    <w:rsid w:val="00983782"/>
    <w:rsid w:val="00986F1D"/>
    <w:rsid w:val="00990C80"/>
    <w:rsid w:val="009B0637"/>
    <w:rsid w:val="009B2B88"/>
    <w:rsid w:val="009C3506"/>
    <w:rsid w:val="009C6543"/>
    <w:rsid w:val="009D2597"/>
    <w:rsid w:val="009D3C5F"/>
    <w:rsid w:val="009E10F5"/>
    <w:rsid w:val="009E1A49"/>
    <w:rsid w:val="009E4953"/>
    <w:rsid w:val="00A01EB5"/>
    <w:rsid w:val="00A04415"/>
    <w:rsid w:val="00A10CF5"/>
    <w:rsid w:val="00A11202"/>
    <w:rsid w:val="00A269CB"/>
    <w:rsid w:val="00A27CE0"/>
    <w:rsid w:val="00A34167"/>
    <w:rsid w:val="00A410CF"/>
    <w:rsid w:val="00A60461"/>
    <w:rsid w:val="00A66A40"/>
    <w:rsid w:val="00A73D9E"/>
    <w:rsid w:val="00A77D2E"/>
    <w:rsid w:val="00A80F3E"/>
    <w:rsid w:val="00A84535"/>
    <w:rsid w:val="00A86544"/>
    <w:rsid w:val="00A86D2D"/>
    <w:rsid w:val="00A91F41"/>
    <w:rsid w:val="00A95B6D"/>
    <w:rsid w:val="00A97476"/>
    <w:rsid w:val="00AA56CF"/>
    <w:rsid w:val="00AA74FD"/>
    <w:rsid w:val="00AA7C1C"/>
    <w:rsid w:val="00AB0108"/>
    <w:rsid w:val="00AB2210"/>
    <w:rsid w:val="00AB24B5"/>
    <w:rsid w:val="00AB421A"/>
    <w:rsid w:val="00AB445C"/>
    <w:rsid w:val="00AB5D0F"/>
    <w:rsid w:val="00AB6057"/>
    <w:rsid w:val="00AC5BD7"/>
    <w:rsid w:val="00AD6C54"/>
    <w:rsid w:val="00AD7F8B"/>
    <w:rsid w:val="00AE271A"/>
    <w:rsid w:val="00AE4385"/>
    <w:rsid w:val="00AE7D02"/>
    <w:rsid w:val="00AF6B5A"/>
    <w:rsid w:val="00AF6EE9"/>
    <w:rsid w:val="00B0399D"/>
    <w:rsid w:val="00B22812"/>
    <w:rsid w:val="00B2412F"/>
    <w:rsid w:val="00B24ECD"/>
    <w:rsid w:val="00B25E9F"/>
    <w:rsid w:val="00B32696"/>
    <w:rsid w:val="00B341CB"/>
    <w:rsid w:val="00B34400"/>
    <w:rsid w:val="00B4049A"/>
    <w:rsid w:val="00B546AB"/>
    <w:rsid w:val="00B54967"/>
    <w:rsid w:val="00B56414"/>
    <w:rsid w:val="00B62ED4"/>
    <w:rsid w:val="00B6617D"/>
    <w:rsid w:val="00B67B20"/>
    <w:rsid w:val="00B72020"/>
    <w:rsid w:val="00B77D39"/>
    <w:rsid w:val="00B91339"/>
    <w:rsid w:val="00BA754D"/>
    <w:rsid w:val="00BB1022"/>
    <w:rsid w:val="00BB4BDA"/>
    <w:rsid w:val="00BC6DF7"/>
    <w:rsid w:val="00BF0DC9"/>
    <w:rsid w:val="00C003F0"/>
    <w:rsid w:val="00C035F7"/>
    <w:rsid w:val="00C05C38"/>
    <w:rsid w:val="00C101D9"/>
    <w:rsid w:val="00C13ED3"/>
    <w:rsid w:val="00C247DA"/>
    <w:rsid w:val="00C32318"/>
    <w:rsid w:val="00C40175"/>
    <w:rsid w:val="00C44758"/>
    <w:rsid w:val="00C44893"/>
    <w:rsid w:val="00C460CA"/>
    <w:rsid w:val="00C46346"/>
    <w:rsid w:val="00C521DA"/>
    <w:rsid w:val="00C52941"/>
    <w:rsid w:val="00C61381"/>
    <w:rsid w:val="00C62017"/>
    <w:rsid w:val="00C6384E"/>
    <w:rsid w:val="00C645D8"/>
    <w:rsid w:val="00C6663A"/>
    <w:rsid w:val="00C75D9E"/>
    <w:rsid w:val="00C771A2"/>
    <w:rsid w:val="00C83DF4"/>
    <w:rsid w:val="00C8403A"/>
    <w:rsid w:val="00C85F7C"/>
    <w:rsid w:val="00C919A1"/>
    <w:rsid w:val="00C92ED6"/>
    <w:rsid w:val="00C967E9"/>
    <w:rsid w:val="00C970D4"/>
    <w:rsid w:val="00C9750F"/>
    <w:rsid w:val="00C978D0"/>
    <w:rsid w:val="00CA1EAE"/>
    <w:rsid w:val="00CA55AA"/>
    <w:rsid w:val="00CB06CF"/>
    <w:rsid w:val="00CB3845"/>
    <w:rsid w:val="00CC402B"/>
    <w:rsid w:val="00CD1F12"/>
    <w:rsid w:val="00CD248C"/>
    <w:rsid w:val="00CD4CAD"/>
    <w:rsid w:val="00CD4CCA"/>
    <w:rsid w:val="00CD7F1F"/>
    <w:rsid w:val="00CE2517"/>
    <w:rsid w:val="00CE2698"/>
    <w:rsid w:val="00CE3960"/>
    <w:rsid w:val="00CF0EC7"/>
    <w:rsid w:val="00CF20B9"/>
    <w:rsid w:val="00CF60DC"/>
    <w:rsid w:val="00D11D73"/>
    <w:rsid w:val="00D13FD2"/>
    <w:rsid w:val="00D15CE7"/>
    <w:rsid w:val="00D17794"/>
    <w:rsid w:val="00D2580D"/>
    <w:rsid w:val="00D30340"/>
    <w:rsid w:val="00D3064F"/>
    <w:rsid w:val="00D333D7"/>
    <w:rsid w:val="00D35783"/>
    <w:rsid w:val="00D363E3"/>
    <w:rsid w:val="00D36B4E"/>
    <w:rsid w:val="00D53568"/>
    <w:rsid w:val="00D72645"/>
    <w:rsid w:val="00D73277"/>
    <w:rsid w:val="00D74EF0"/>
    <w:rsid w:val="00D774C1"/>
    <w:rsid w:val="00D90F76"/>
    <w:rsid w:val="00D9417A"/>
    <w:rsid w:val="00DA007F"/>
    <w:rsid w:val="00DA0BBE"/>
    <w:rsid w:val="00DA31F7"/>
    <w:rsid w:val="00DA6C5C"/>
    <w:rsid w:val="00DB39F2"/>
    <w:rsid w:val="00DB5131"/>
    <w:rsid w:val="00DB52C3"/>
    <w:rsid w:val="00DC1612"/>
    <w:rsid w:val="00DD5B34"/>
    <w:rsid w:val="00DE07DE"/>
    <w:rsid w:val="00DF1565"/>
    <w:rsid w:val="00DF210D"/>
    <w:rsid w:val="00E01D52"/>
    <w:rsid w:val="00E021B4"/>
    <w:rsid w:val="00E026EA"/>
    <w:rsid w:val="00E03249"/>
    <w:rsid w:val="00E0528B"/>
    <w:rsid w:val="00E1124A"/>
    <w:rsid w:val="00E119D3"/>
    <w:rsid w:val="00E163A3"/>
    <w:rsid w:val="00E17B22"/>
    <w:rsid w:val="00E24CEE"/>
    <w:rsid w:val="00E271C6"/>
    <w:rsid w:val="00E3677D"/>
    <w:rsid w:val="00E37CE2"/>
    <w:rsid w:val="00E414E6"/>
    <w:rsid w:val="00E45B22"/>
    <w:rsid w:val="00E566AD"/>
    <w:rsid w:val="00E602DE"/>
    <w:rsid w:val="00E728D6"/>
    <w:rsid w:val="00E73B13"/>
    <w:rsid w:val="00E9006E"/>
    <w:rsid w:val="00E949B0"/>
    <w:rsid w:val="00E96C68"/>
    <w:rsid w:val="00EA5FFE"/>
    <w:rsid w:val="00EA6B57"/>
    <w:rsid w:val="00EB408D"/>
    <w:rsid w:val="00EC35E3"/>
    <w:rsid w:val="00EC634A"/>
    <w:rsid w:val="00EC7603"/>
    <w:rsid w:val="00ED127F"/>
    <w:rsid w:val="00ED1C9E"/>
    <w:rsid w:val="00EE3864"/>
    <w:rsid w:val="00EE69A7"/>
    <w:rsid w:val="00EF247E"/>
    <w:rsid w:val="00EF407F"/>
    <w:rsid w:val="00EF5AEF"/>
    <w:rsid w:val="00F00AFA"/>
    <w:rsid w:val="00F01A36"/>
    <w:rsid w:val="00F05A7F"/>
    <w:rsid w:val="00F13597"/>
    <w:rsid w:val="00F1553C"/>
    <w:rsid w:val="00F26D5F"/>
    <w:rsid w:val="00F30A1D"/>
    <w:rsid w:val="00F3303E"/>
    <w:rsid w:val="00F351B8"/>
    <w:rsid w:val="00F41E46"/>
    <w:rsid w:val="00F42CEA"/>
    <w:rsid w:val="00F47FF3"/>
    <w:rsid w:val="00F5053E"/>
    <w:rsid w:val="00F567C9"/>
    <w:rsid w:val="00F574E5"/>
    <w:rsid w:val="00F81DE1"/>
    <w:rsid w:val="00F83C4A"/>
    <w:rsid w:val="00F87059"/>
    <w:rsid w:val="00F937DC"/>
    <w:rsid w:val="00F976FA"/>
    <w:rsid w:val="00F97C15"/>
    <w:rsid w:val="00FA240F"/>
    <w:rsid w:val="00FA4AD8"/>
    <w:rsid w:val="00FB0A27"/>
    <w:rsid w:val="00FB511F"/>
    <w:rsid w:val="00FC2002"/>
    <w:rsid w:val="00FC384E"/>
    <w:rsid w:val="00FC43B6"/>
    <w:rsid w:val="00FD59C5"/>
    <w:rsid w:val="00FD5C59"/>
    <w:rsid w:val="00FE05CB"/>
    <w:rsid w:val="00FE3925"/>
    <w:rsid w:val="00FE4A92"/>
    <w:rsid w:val="00FF023E"/>
    <w:rsid w:val="00FF5534"/>
    <w:rsid w:val="00FF5541"/>
    <w:rsid w:val="00FF7A8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AC57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186"/>
    <w:pPr>
      <w:ind w:left="720"/>
      <w:contextualSpacing/>
    </w:pPr>
  </w:style>
  <w:style w:type="paragraph" w:styleId="FootnoteText">
    <w:name w:val="footnote text"/>
    <w:basedOn w:val="Normal"/>
    <w:link w:val="FootnoteTextChar"/>
    <w:uiPriority w:val="99"/>
    <w:unhideWhenUsed/>
    <w:rsid w:val="005074AD"/>
  </w:style>
  <w:style w:type="character" w:customStyle="1" w:styleId="FootnoteTextChar">
    <w:name w:val="Footnote Text Char"/>
    <w:basedOn w:val="DefaultParagraphFont"/>
    <w:link w:val="FootnoteText"/>
    <w:uiPriority w:val="99"/>
    <w:rsid w:val="005074AD"/>
  </w:style>
  <w:style w:type="character" w:styleId="FootnoteReference">
    <w:name w:val="footnote reference"/>
    <w:basedOn w:val="DefaultParagraphFont"/>
    <w:uiPriority w:val="99"/>
    <w:unhideWhenUsed/>
    <w:rsid w:val="005074AD"/>
    <w:rPr>
      <w:vertAlign w:val="superscript"/>
    </w:rPr>
  </w:style>
  <w:style w:type="paragraph" w:styleId="Footer">
    <w:name w:val="footer"/>
    <w:basedOn w:val="Normal"/>
    <w:link w:val="FooterChar"/>
    <w:uiPriority w:val="99"/>
    <w:unhideWhenUsed/>
    <w:rsid w:val="00A91F41"/>
    <w:pPr>
      <w:tabs>
        <w:tab w:val="center" w:pos="4513"/>
        <w:tab w:val="right" w:pos="9026"/>
      </w:tabs>
    </w:pPr>
  </w:style>
  <w:style w:type="character" w:customStyle="1" w:styleId="FooterChar">
    <w:name w:val="Footer Char"/>
    <w:basedOn w:val="DefaultParagraphFont"/>
    <w:link w:val="Footer"/>
    <w:uiPriority w:val="99"/>
    <w:rsid w:val="00A91F41"/>
  </w:style>
  <w:style w:type="character" w:styleId="PageNumber">
    <w:name w:val="page number"/>
    <w:basedOn w:val="DefaultParagraphFont"/>
    <w:uiPriority w:val="99"/>
    <w:semiHidden/>
    <w:unhideWhenUsed/>
    <w:rsid w:val="00A91F41"/>
  </w:style>
  <w:style w:type="character" w:customStyle="1" w:styleId="apple-converted-space">
    <w:name w:val="apple-converted-space"/>
    <w:basedOn w:val="DefaultParagraphFont"/>
    <w:rsid w:val="004677CE"/>
  </w:style>
  <w:style w:type="paragraph" w:styleId="BalloonText">
    <w:name w:val="Balloon Text"/>
    <w:basedOn w:val="Normal"/>
    <w:link w:val="BalloonTextChar"/>
    <w:uiPriority w:val="99"/>
    <w:semiHidden/>
    <w:unhideWhenUsed/>
    <w:rsid w:val="00882B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B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882BF8"/>
    <w:rPr>
      <w:sz w:val="18"/>
      <w:szCs w:val="18"/>
    </w:rPr>
  </w:style>
  <w:style w:type="paragraph" w:styleId="CommentText">
    <w:name w:val="annotation text"/>
    <w:basedOn w:val="Normal"/>
    <w:link w:val="CommentTextChar"/>
    <w:uiPriority w:val="99"/>
    <w:semiHidden/>
    <w:unhideWhenUsed/>
    <w:rsid w:val="00882BF8"/>
  </w:style>
  <w:style w:type="character" w:customStyle="1" w:styleId="CommentTextChar">
    <w:name w:val="Comment Text Char"/>
    <w:basedOn w:val="DefaultParagraphFont"/>
    <w:link w:val="CommentText"/>
    <w:uiPriority w:val="99"/>
    <w:semiHidden/>
    <w:rsid w:val="00882BF8"/>
  </w:style>
  <w:style w:type="paragraph" w:styleId="CommentSubject">
    <w:name w:val="annotation subject"/>
    <w:basedOn w:val="CommentText"/>
    <w:next w:val="CommentText"/>
    <w:link w:val="CommentSubjectChar"/>
    <w:uiPriority w:val="99"/>
    <w:semiHidden/>
    <w:unhideWhenUsed/>
    <w:rsid w:val="00882BF8"/>
    <w:rPr>
      <w:b/>
      <w:bCs/>
      <w:sz w:val="20"/>
      <w:szCs w:val="20"/>
    </w:rPr>
  </w:style>
  <w:style w:type="character" w:customStyle="1" w:styleId="CommentSubjectChar">
    <w:name w:val="Comment Subject Char"/>
    <w:basedOn w:val="CommentTextChar"/>
    <w:link w:val="CommentSubject"/>
    <w:uiPriority w:val="99"/>
    <w:semiHidden/>
    <w:rsid w:val="00882B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3203">
      <w:bodyDiv w:val="1"/>
      <w:marLeft w:val="0"/>
      <w:marRight w:val="0"/>
      <w:marTop w:val="0"/>
      <w:marBottom w:val="0"/>
      <w:divBdr>
        <w:top w:val="none" w:sz="0" w:space="0" w:color="auto"/>
        <w:left w:val="none" w:sz="0" w:space="0" w:color="auto"/>
        <w:bottom w:val="none" w:sz="0" w:space="0" w:color="auto"/>
        <w:right w:val="none" w:sz="0" w:space="0" w:color="auto"/>
      </w:divBdr>
    </w:div>
    <w:div w:id="243346289">
      <w:bodyDiv w:val="1"/>
      <w:marLeft w:val="0"/>
      <w:marRight w:val="0"/>
      <w:marTop w:val="0"/>
      <w:marBottom w:val="0"/>
      <w:divBdr>
        <w:top w:val="none" w:sz="0" w:space="0" w:color="auto"/>
        <w:left w:val="none" w:sz="0" w:space="0" w:color="auto"/>
        <w:bottom w:val="none" w:sz="0" w:space="0" w:color="auto"/>
        <w:right w:val="none" w:sz="0" w:space="0" w:color="auto"/>
      </w:divBdr>
    </w:div>
    <w:div w:id="387189245">
      <w:bodyDiv w:val="1"/>
      <w:marLeft w:val="0"/>
      <w:marRight w:val="0"/>
      <w:marTop w:val="0"/>
      <w:marBottom w:val="0"/>
      <w:divBdr>
        <w:top w:val="none" w:sz="0" w:space="0" w:color="auto"/>
        <w:left w:val="none" w:sz="0" w:space="0" w:color="auto"/>
        <w:bottom w:val="none" w:sz="0" w:space="0" w:color="auto"/>
        <w:right w:val="none" w:sz="0" w:space="0" w:color="auto"/>
      </w:divBdr>
    </w:div>
    <w:div w:id="538662634">
      <w:bodyDiv w:val="1"/>
      <w:marLeft w:val="0"/>
      <w:marRight w:val="0"/>
      <w:marTop w:val="0"/>
      <w:marBottom w:val="0"/>
      <w:divBdr>
        <w:top w:val="none" w:sz="0" w:space="0" w:color="auto"/>
        <w:left w:val="none" w:sz="0" w:space="0" w:color="auto"/>
        <w:bottom w:val="none" w:sz="0" w:space="0" w:color="auto"/>
        <w:right w:val="none" w:sz="0" w:space="0" w:color="auto"/>
      </w:divBdr>
    </w:div>
    <w:div w:id="1749882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0A0A35-4A3B-C247-A240-5D457292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3813</Words>
  <Characters>21740</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Gitanjali Nain Gill</dc:creator>
  <cp:keywords/>
  <dc:description/>
  <cp:lastModifiedBy>Gitanjali Nain Gill</cp:lastModifiedBy>
  <cp:revision>5</cp:revision>
  <dcterms:created xsi:type="dcterms:W3CDTF">2017-06-22T21:15:00Z</dcterms:created>
  <dcterms:modified xsi:type="dcterms:W3CDTF">2017-06-22T21:22:00Z</dcterms:modified>
</cp:coreProperties>
</file>