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ADAF" w14:textId="2B5696DE" w:rsidR="00222533" w:rsidRDefault="00222533">
      <w:pPr>
        <w:rPr>
          <w:b/>
        </w:rPr>
      </w:pPr>
      <w:r>
        <w:rPr>
          <w:b/>
        </w:rPr>
        <w:t xml:space="preserve">Merely naughty or seriously wrong?  ‘Childish sexual experimentation’ and the presumption of </w:t>
      </w:r>
      <w:proofErr w:type="spellStart"/>
      <w:r>
        <w:rPr>
          <w:b/>
        </w:rPr>
        <w:t>doli</w:t>
      </w:r>
      <w:proofErr w:type="spellEnd"/>
      <w:r>
        <w:rPr>
          <w:b/>
        </w:rPr>
        <w:t xml:space="preserve"> </w:t>
      </w:r>
      <w:proofErr w:type="spellStart"/>
      <w:r>
        <w:rPr>
          <w:b/>
        </w:rPr>
        <w:t>incapax</w:t>
      </w:r>
      <w:bookmarkStart w:id="0" w:name="_GoBack"/>
      <w:bookmarkEnd w:id="0"/>
      <w:proofErr w:type="spellEnd"/>
    </w:p>
    <w:p w14:paraId="26B985B3" w14:textId="6757ADDC" w:rsidR="00122D34" w:rsidRPr="004F20D5" w:rsidRDefault="004F20D5">
      <w:pPr>
        <w:rPr>
          <w:b/>
        </w:rPr>
      </w:pPr>
      <w:r>
        <w:rPr>
          <w:b/>
        </w:rPr>
        <w:t>R v PF [2017] EWCA Crim 983</w:t>
      </w:r>
    </w:p>
    <w:p w14:paraId="364ADB07" w14:textId="77777777" w:rsidR="00122D34" w:rsidRPr="004F20D5" w:rsidRDefault="004F20D5">
      <w:pPr>
        <w:rPr>
          <w:b/>
        </w:rPr>
      </w:pPr>
      <w:r w:rsidRPr="004F20D5">
        <w:rPr>
          <w:b/>
        </w:rPr>
        <w:t xml:space="preserve">Keywords: </w:t>
      </w:r>
      <w:proofErr w:type="spellStart"/>
      <w:r w:rsidRPr="004F20D5">
        <w:rPr>
          <w:b/>
        </w:rPr>
        <w:t>Doli</w:t>
      </w:r>
      <w:proofErr w:type="spellEnd"/>
      <w:r w:rsidRPr="004F20D5">
        <w:rPr>
          <w:b/>
        </w:rPr>
        <w:t xml:space="preserve"> </w:t>
      </w:r>
      <w:proofErr w:type="spellStart"/>
      <w:r w:rsidRPr="004F20D5">
        <w:rPr>
          <w:b/>
        </w:rPr>
        <w:t>incapax</w:t>
      </w:r>
      <w:proofErr w:type="spellEnd"/>
      <w:r w:rsidRPr="004F20D5">
        <w:rPr>
          <w:b/>
        </w:rPr>
        <w:t xml:space="preserve">; historic sexual </w:t>
      </w:r>
      <w:proofErr w:type="spellStart"/>
      <w:r w:rsidRPr="004F20D5">
        <w:rPr>
          <w:b/>
        </w:rPr>
        <w:t>offencding</w:t>
      </w:r>
      <w:proofErr w:type="spellEnd"/>
      <w:r w:rsidRPr="004F20D5">
        <w:rPr>
          <w:b/>
        </w:rPr>
        <w:t>;</w:t>
      </w:r>
    </w:p>
    <w:p w14:paraId="70C15B74" w14:textId="0731D99E" w:rsidR="007E1DA7" w:rsidRDefault="002F229F">
      <w:r>
        <w:t>On 14</w:t>
      </w:r>
      <w:r w:rsidRPr="002F229F">
        <w:rPr>
          <w:vertAlign w:val="superscript"/>
        </w:rPr>
        <w:t>th</w:t>
      </w:r>
      <w:r>
        <w:t xml:space="preserve"> September 2016 PF, then aged </w:t>
      </w:r>
      <w:proofErr w:type="gramStart"/>
      <w:r>
        <w:t>47,</w:t>
      </w:r>
      <w:proofErr w:type="gramEnd"/>
      <w:r>
        <w:t xml:space="preserve"> was </w:t>
      </w:r>
      <w:r w:rsidR="004F20D5">
        <w:t xml:space="preserve">charged with sexual offences against two of his sisters, X and Y. He </w:t>
      </w:r>
      <w:proofErr w:type="gramStart"/>
      <w:r w:rsidR="004F20D5">
        <w:t xml:space="preserve">was </w:t>
      </w:r>
      <w:r>
        <w:t>convicted</w:t>
      </w:r>
      <w:proofErr w:type="gramEnd"/>
      <w:r>
        <w:t xml:space="preserve"> of</w:t>
      </w:r>
      <w:r w:rsidR="004F20D5">
        <w:t xml:space="preserve"> two</w:t>
      </w:r>
      <w:r>
        <w:t xml:space="preserve"> count</w:t>
      </w:r>
      <w:r w:rsidR="004F20D5">
        <w:t>s involving X, namely</w:t>
      </w:r>
      <w:r>
        <w:t xml:space="preserve"> indecent assault</w:t>
      </w:r>
      <w:r w:rsidR="00782C4A">
        <w:t xml:space="preserve"> and</w:t>
      </w:r>
      <w:r>
        <w:t xml:space="preserve"> indecency with a girl under 14</w:t>
      </w:r>
      <w:r w:rsidR="004F20D5">
        <w:t xml:space="preserve">. He </w:t>
      </w:r>
      <w:proofErr w:type="gramStart"/>
      <w:r w:rsidR="004F20D5">
        <w:t>was acquitted</w:t>
      </w:r>
      <w:proofErr w:type="gramEnd"/>
      <w:r w:rsidR="004F20D5">
        <w:t xml:space="preserve"> of three sexual offences against Y. </w:t>
      </w:r>
      <w:r w:rsidR="005D5B59">
        <w:t>The trial judge imposed</w:t>
      </w:r>
      <w:r w:rsidR="007E1DA7">
        <w:t xml:space="preserve"> a </w:t>
      </w:r>
      <w:proofErr w:type="gramStart"/>
      <w:r w:rsidR="007E1DA7">
        <w:t>six month</w:t>
      </w:r>
      <w:proofErr w:type="gramEnd"/>
      <w:r w:rsidR="007E1DA7">
        <w:t xml:space="preserve"> community order with a</w:t>
      </w:r>
      <w:r w:rsidR="004F20D5">
        <w:t xml:space="preserve"> four month</w:t>
      </w:r>
      <w:r w:rsidR="007E1DA7">
        <w:t xml:space="preserve"> curfew</w:t>
      </w:r>
      <w:r w:rsidR="005D5B59">
        <w:t>, to be served concurrently on each count.</w:t>
      </w:r>
    </w:p>
    <w:p w14:paraId="44DE6F05" w14:textId="77777777" w:rsidR="009740A1" w:rsidRDefault="002F229F">
      <w:r>
        <w:t xml:space="preserve">PF had been between the ages of 10 and 14 </w:t>
      </w:r>
      <w:r w:rsidR="004F20D5">
        <w:t>at the time of</w:t>
      </w:r>
      <w:r w:rsidR="005D5B59">
        <w:t xml:space="preserve"> the</w:t>
      </w:r>
      <w:r w:rsidR="004F20D5">
        <w:t xml:space="preserve"> offences, and X </w:t>
      </w:r>
      <w:r>
        <w:t xml:space="preserve">was then aged between 9 and 13. </w:t>
      </w:r>
      <w:r w:rsidR="009740A1">
        <w:t>X had been unsu</w:t>
      </w:r>
      <w:r w:rsidR="00557E3B">
        <w:t xml:space="preserve">re when the offences took place. Accordingly, the trial judge treated PF as </w:t>
      </w:r>
      <w:r w:rsidR="009740A1">
        <w:t>being under</w:t>
      </w:r>
      <w:r w:rsidR="00557E3B">
        <w:t xml:space="preserve"> 14 so that the rebuttable</w:t>
      </w:r>
      <w:r w:rsidR="009740A1">
        <w:t xml:space="preserve"> presumption of </w:t>
      </w:r>
      <w:proofErr w:type="spellStart"/>
      <w:r w:rsidR="009740A1">
        <w:t>doli</w:t>
      </w:r>
      <w:proofErr w:type="spellEnd"/>
      <w:r w:rsidR="009740A1">
        <w:t xml:space="preserve"> </w:t>
      </w:r>
      <w:proofErr w:type="spellStart"/>
      <w:r w:rsidR="009740A1">
        <w:t>incapax</w:t>
      </w:r>
      <w:proofErr w:type="spellEnd"/>
      <w:r w:rsidR="00557E3B">
        <w:t xml:space="preserve"> applied</w:t>
      </w:r>
      <w:r w:rsidR="009740A1">
        <w:t xml:space="preserve">, </w:t>
      </w:r>
      <w:r w:rsidR="004F20D5">
        <w:t>‘</w:t>
      </w:r>
      <w:r w:rsidR="009740A1" w:rsidRPr="005D5B59">
        <w:t>meaning [PF], as a child, was to be deemed incapable of committing a crime unless the prosecutio</w:t>
      </w:r>
      <w:r w:rsidR="004F20D5">
        <w:t>n could rebut that presumption’</w:t>
      </w:r>
      <w:r w:rsidR="009740A1">
        <w:t xml:space="preserve"> (at [8]).</w:t>
      </w:r>
    </w:p>
    <w:p w14:paraId="2455F2A7" w14:textId="77777777" w:rsidR="003F3449" w:rsidRDefault="003F3449">
      <w:r>
        <w:t xml:space="preserve">The judge </w:t>
      </w:r>
      <w:r w:rsidR="00BC4E18">
        <w:t>gave the jury written directions, which explained that the prosecution had to prove:</w:t>
      </w:r>
      <w:r>
        <w:t xml:space="preserve"> </w:t>
      </w:r>
    </w:p>
    <w:p w14:paraId="104AB05C" w14:textId="77777777" w:rsidR="00BC4E18" w:rsidRPr="005D5B59" w:rsidRDefault="00BC4E18" w:rsidP="00BC4E18">
      <w:pPr>
        <w:ind w:left="720"/>
      </w:pPr>
      <w:r w:rsidRPr="005D5B59">
        <w:t>a)</w:t>
      </w:r>
      <w:r w:rsidRPr="005D5B59">
        <w:tab/>
      </w:r>
      <w:proofErr w:type="gramStart"/>
      <w:r w:rsidRPr="005D5B59">
        <w:t>t</w:t>
      </w:r>
      <w:r w:rsidR="003F3449" w:rsidRPr="005D5B59">
        <w:t>he</w:t>
      </w:r>
      <w:proofErr w:type="gramEnd"/>
      <w:r w:rsidR="003F3449" w:rsidRPr="005D5B59">
        <w:t xml:space="preserve"> genital touching took place</w:t>
      </w:r>
      <w:r w:rsidRPr="005D5B59">
        <w:t xml:space="preserve"> in the way described on the Indictment </w:t>
      </w:r>
      <w:r w:rsidRPr="005D5B59">
        <w:rPr>
          <w:u w:val="single"/>
        </w:rPr>
        <w:t>and</w:t>
      </w:r>
      <w:r w:rsidRPr="005D5B59">
        <w:t xml:space="preserve"> </w:t>
      </w:r>
    </w:p>
    <w:p w14:paraId="1C5C7C09" w14:textId="77777777" w:rsidR="00BC4E18" w:rsidRPr="005D5B59" w:rsidRDefault="00BC4E18" w:rsidP="00BC4E18">
      <w:pPr>
        <w:ind w:left="720"/>
      </w:pPr>
      <w:r w:rsidRPr="005D5B59">
        <w:t>b)</w:t>
      </w:r>
      <w:r w:rsidRPr="005D5B59">
        <w:tab/>
      </w:r>
      <w:proofErr w:type="gramStart"/>
      <w:r w:rsidR="003F3449" w:rsidRPr="005D5B59">
        <w:t>he</w:t>
      </w:r>
      <w:proofErr w:type="gramEnd"/>
      <w:r w:rsidR="003F3449" w:rsidRPr="005D5B59">
        <w:t xml:space="preserve"> knew at the t</w:t>
      </w:r>
      <w:r w:rsidRPr="005D5B59">
        <w:t xml:space="preserve">ime that right thinking people would say touching his sister in this way (or her doing so to him) was indecent </w:t>
      </w:r>
      <w:r w:rsidRPr="005D5B59">
        <w:rPr>
          <w:u w:val="single"/>
        </w:rPr>
        <w:t>and</w:t>
      </w:r>
    </w:p>
    <w:p w14:paraId="230F2B1B" w14:textId="77777777" w:rsidR="003F3449" w:rsidRPr="007E1DA7" w:rsidRDefault="00BC4E18" w:rsidP="007E1DA7">
      <w:pPr>
        <w:ind w:left="720"/>
        <w:rPr>
          <w:u w:val="single"/>
        </w:rPr>
      </w:pPr>
      <w:r w:rsidRPr="005D5B59">
        <w:t>c)</w:t>
      </w:r>
      <w:r w:rsidRPr="005D5B59">
        <w:tab/>
      </w:r>
      <w:proofErr w:type="gramStart"/>
      <w:r w:rsidRPr="005D5B59">
        <w:t>he</w:t>
      </w:r>
      <w:proofErr w:type="gramEnd"/>
      <w:r w:rsidRPr="005D5B59">
        <w:t xml:space="preserve"> knew at the time that this act was seriously wrong not merely naughty or mischievous</w:t>
      </w:r>
      <w:r w:rsidR="004F20D5">
        <w:t>.</w:t>
      </w:r>
      <w:r w:rsidRPr="005D5B59">
        <w:t xml:space="preserve"> </w:t>
      </w:r>
      <w:r w:rsidR="003F3449">
        <w:t>(</w:t>
      </w:r>
      <w:proofErr w:type="gramStart"/>
      <w:r w:rsidR="003F3449">
        <w:t>at</w:t>
      </w:r>
      <w:proofErr w:type="gramEnd"/>
      <w:r w:rsidR="003F3449">
        <w:t xml:space="preserve"> </w:t>
      </w:r>
      <w:r>
        <w:t>[</w:t>
      </w:r>
      <w:r w:rsidR="003F3449">
        <w:t>11</w:t>
      </w:r>
      <w:r>
        <w:t>]</w:t>
      </w:r>
      <w:r w:rsidR="003F3449">
        <w:t>)</w:t>
      </w:r>
    </w:p>
    <w:p w14:paraId="17F56960" w14:textId="77777777" w:rsidR="009740A1" w:rsidRDefault="003F3449" w:rsidP="003F3449">
      <w:r>
        <w:t xml:space="preserve">After retiring to consider their verdict, the jury </w:t>
      </w:r>
      <w:r w:rsidR="00C07E14">
        <w:t xml:space="preserve">asked a question about the age at which a person becomes criminally culpable. </w:t>
      </w:r>
      <w:r>
        <w:t xml:space="preserve">In response, the judge </w:t>
      </w:r>
      <w:r w:rsidR="007E1DA7">
        <w:t>essentially repeated his written directions and reminded the jury that they had to be sure both that the physical a</w:t>
      </w:r>
      <w:r w:rsidR="004F20D5">
        <w:t>ct had taken place and that PF ‘</w:t>
      </w:r>
      <w:r w:rsidR="007E1DA7">
        <w:t>realised it [wa</w:t>
      </w:r>
      <w:r w:rsidR="004F20D5">
        <w:t>s] indecent and seriously wrong’</w:t>
      </w:r>
      <w:r w:rsidR="007E1DA7">
        <w:t xml:space="preserve"> </w:t>
      </w:r>
      <w:r>
        <w:t xml:space="preserve">(at </w:t>
      </w:r>
      <w:r w:rsidR="007E1DA7">
        <w:t>[</w:t>
      </w:r>
      <w:r>
        <w:t>12</w:t>
      </w:r>
      <w:r w:rsidR="007E1DA7">
        <w:t>]</w:t>
      </w:r>
      <w:r>
        <w:t>)</w:t>
      </w:r>
      <w:r w:rsidR="007E1DA7">
        <w:t>.</w:t>
      </w:r>
      <w:r>
        <w:t xml:space="preserve">  </w:t>
      </w:r>
    </w:p>
    <w:p w14:paraId="3CD8550D" w14:textId="77777777" w:rsidR="007B3741" w:rsidRDefault="004F20D5" w:rsidP="003F3449">
      <w:r>
        <w:t xml:space="preserve">PF appealed on the single ground </w:t>
      </w:r>
      <w:r w:rsidR="007B3741">
        <w:t xml:space="preserve">that the judge </w:t>
      </w:r>
      <w:r w:rsidR="00166F1C">
        <w:t>ought to have directed the</w:t>
      </w:r>
      <w:r w:rsidR="007B3741">
        <w:t xml:space="preserve"> jury that, in order to be satisfied that PF knew his conduct was seriously wrong, </w:t>
      </w:r>
      <w:r>
        <w:t>‘</w:t>
      </w:r>
      <w:r w:rsidR="007B3741">
        <w:t xml:space="preserve">there had to be clear </w:t>
      </w:r>
      <w:r w:rsidR="00C07E14">
        <w:t>positive evidence distinct from</w:t>
      </w:r>
      <w:r w:rsidR="007B3741">
        <w:t xml:space="preserve"> the doing of </w:t>
      </w:r>
      <w:r>
        <w:t>the alleged act itself’</w:t>
      </w:r>
      <w:r w:rsidR="00C07E14">
        <w:t xml:space="preserve"> (at [13</w:t>
      </w:r>
      <w:r w:rsidR="007B3741">
        <w:t>]</w:t>
      </w:r>
      <w:r w:rsidR="00C07E14">
        <w:t>)</w:t>
      </w:r>
      <w:r w:rsidR="007B3741">
        <w:t>.</w:t>
      </w:r>
    </w:p>
    <w:p w14:paraId="5243B102" w14:textId="77777777" w:rsidR="00166F1C" w:rsidRDefault="003334D3" w:rsidP="003F3449">
      <w:r>
        <w:t xml:space="preserve">During the course of the trial, the prosecution adduced evidence from both X and Y that PF </w:t>
      </w:r>
      <w:r w:rsidR="00166F1C">
        <w:t xml:space="preserve">coerced and bribed </w:t>
      </w:r>
      <w:r w:rsidR="004F20D5">
        <w:t>them</w:t>
      </w:r>
      <w:r>
        <w:t xml:space="preserve"> </w:t>
      </w:r>
      <w:r w:rsidR="00166F1C">
        <w:t>for sexual favours</w:t>
      </w:r>
      <w:r>
        <w:t xml:space="preserve">. </w:t>
      </w:r>
      <w:r w:rsidR="004F20D5">
        <w:t>Their home life was ‘clearly difficult’</w:t>
      </w:r>
      <w:r w:rsidR="00166F1C">
        <w:t xml:space="preserve"> (at [3])</w:t>
      </w:r>
      <w:r w:rsidR="004F20D5">
        <w:t>. T</w:t>
      </w:r>
      <w:r w:rsidR="00166F1C">
        <w:t>here was evidence that the children did not have enough to eat</w:t>
      </w:r>
      <w:r w:rsidR="00DB6D74">
        <w:t xml:space="preserve"> and</w:t>
      </w:r>
      <w:r w:rsidR="00166F1C">
        <w:t xml:space="preserve"> X </w:t>
      </w:r>
      <w:r w:rsidR="00DB6D74">
        <w:t>testified</w:t>
      </w:r>
      <w:r w:rsidR="00166F1C">
        <w:t xml:space="preserve"> that she touched PF sexually because he bribed or rewarded her with food or cigarettes. She also stated that sh</w:t>
      </w:r>
      <w:r w:rsidR="004F20D5">
        <w:t>e was ‘fearful’</w:t>
      </w:r>
      <w:r w:rsidR="00166F1C">
        <w:t xml:space="preserve"> of PF (at [22]).</w:t>
      </w:r>
    </w:p>
    <w:p w14:paraId="09EA790A" w14:textId="77777777" w:rsidR="00CD706F" w:rsidRDefault="00CD706F" w:rsidP="00CD706F">
      <w:proofErr w:type="gramStart"/>
      <w:r>
        <w:t>PF denied any sexual contact with Y</w:t>
      </w:r>
      <w:r w:rsidR="004F20D5">
        <w:t xml:space="preserve"> but admitted there had been a ‘modest degree of sexual contact’</w:t>
      </w:r>
      <w:r>
        <w:t xml:space="preserve"> </w:t>
      </w:r>
      <w:r w:rsidR="004F20D5">
        <w:t>with X (at [24]).</w:t>
      </w:r>
      <w:proofErr w:type="gramEnd"/>
      <w:r w:rsidR="004F20D5">
        <w:t xml:space="preserve"> He described ‘</w:t>
      </w:r>
      <w:r>
        <w:t>looking at each other, touching and finding out abou</w:t>
      </w:r>
      <w:r w:rsidR="004F20D5">
        <w:t>t different parts of our bodies’</w:t>
      </w:r>
      <w:r>
        <w:t>, addin</w:t>
      </w:r>
      <w:r w:rsidR="004F20D5">
        <w:t>g that ‘[</w:t>
      </w:r>
      <w:proofErr w:type="spellStart"/>
      <w:r w:rsidR="004F20D5">
        <w:t>i</w:t>
      </w:r>
      <w:proofErr w:type="spellEnd"/>
      <w:r w:rsidR="004F20D5">
        <w:t xml:space="preserve">]t </w:t>
      </w:r>
      <w:proofErr w:type="gramStart"/>
      <w:r w:rsidR="004F20D5">
        <w:t>didn’t</w:t>
      </w:r>
      <w:proofErr w:type="gramEnd"/>
      <w:r w:rsidR="004F20D5">
        <w:t xml:space="preserve"> seem wrong to us’</w:t>
      </w:r>
      <w:r>
        <w:t xml:space="preserve"> (at [24]).</w:t>
      </w:r>
    </w:p>
    <w:p w14:paraId="033229E9" w14:textId="77777777" w:rsidR="00CD706F" w:rsidRDefault="004F20D5" w:rsidP="003F3449">
      <w:r>
        <w:t>On appeal, c</w:t>
      </w:r>
      <w:r w:rsidR="007B3741">
        <w:t>ounsel for the prosecution submitted that the judge had directed the ju</w:t>
      </w:r>
      <w:r w:rsidR="00366D2B">
        <w:t>ry extensively concerning PF’s ‘bullying and coercive behaviour’</w:t>
      </w:r>
      <w:r w:rsidR="00DB6D74">
        <w:t>,</w:t>
      </w:r>
      <w:r w:rsidR="007B3741">
        <w:t xml:space="preserve"> </w:t>
      </w:r>
      <w:r w:rsidR="00DB6D74">
        <w:t>arguing</w:t>
      </w:r>
      <w:r w:rsidR="00366D2B">
        <w:t xml:space="preserve"> that such conduct ‘</w:t>
      </w:r>
      <w:r w:rsidR="004B0FA4">
        <w:t>was evidence well capable of rebutting the presumption of incapacity which the jury must have consider</w:t>
      </w:r>
      <w:r w:rsidR="00366D2B">
        <w:t>ed as part of their conclusions’</w:t>
      </w:r>
      <w:r w:rsidR="004B0FA4">
        <w:t xml:space="preserve"> (at </w:t>
      </w:r>
      <w:r w:rsidR="00DB6D74">
        <w:t>[</w:t>
      </w:r>
      <w:r w:rsidR="004B0FA4">
        <w:t>21</w:t>
      </w:r>
      <w:r w:rsidR="00DB6D74">
        <w:t>]</w:t>
      </w:r>
      <w:r w:rsidR="004B0FA4">
        <w:t xml:space="preserve">). </w:t>
      </w:r>
    </w:p>
    <w:p w14:paraId="367E88BE" w14:textId="77777777" w:rsidR="004B0FA4" w:rsidRDefault="00CD706F" w:rsidP="00CD706F">
      <w:r>
        <w:t>C</w:t>
      </w:r>
      <w:r w:rsidR="00366D2B">
        <w:t>ounsel for PF pointed out that ‘</w:t>
      </w:r>
      <w:r>
        <w:t>the jury were never directed specifically to decide whether the bul</w:t>
      </w:r>
      <w:r w:rsidR="00366D2B">
        <w:t>lying or coercion ever occurred’</w:t>
      </w:r>
      <w:r>
        <w:t xml:space="preserve"> (at [25]). Notably, PF denied any sexual activity with Y and </w:t>
      </w:r>
      <w:proofErr w:type="gramStart"/>
      <w:r>
        <w:t>was acquitted</w:t>
      </w:r>
      <w:proofErr w:type="gramEnd"/>
      <w:r>
        <w:t xml:space="preserve"> of all offences alleged against Y (although in relation to two counts, this was on the </w:t>
      </w:r>
      <w:r>
        <w:lastRenderedPageBreak/>
        <w:t xml:space="preserve">direction of the judge following successful submissions of no case to answer). PF had, however, admitted sexual </w:t>
      </w:r>
      <w:r w:rsidR="00366D2B">
        <w:t>contact with X and ‘</w:t>
      </w:r>
      <w:r>
        <w:t>it was possible that convictions resulted simply from the jury’s satisfaction that the s</w:t>
      </w:r>
      <w:r w:rsidR="00366D2B">
        <w:t>exual acts took place against X’</w:t>
      </w:r>
      <w:r>
        <w:t xml:space="preserve"> (at [24]).</w:t>
      </w:r>
    </w:p>
    <w:p w14:paraId="2F50A43D" w14:textId="77777777" w:rsidR="00366D2B" w:rsidRDefault="007B3741" w:rsidP="003F3449">
      <w:r w:rsidRPr="00CD706F">
        <w:rPr>
          <w:b/>
        </w:rPr>
        <w:t>Held, allowing the appeal,</w:t>
      </w:r>
      <w:r>
        <w:t xml:space="preserve"> </w:t>
      </w:r>
      <w:r w:rsidR="004B0FA4">
        <w:t xml:space="preserve">the jury </w:t>
      </w:r>
      <w:r w:rsidR="00962012">
        <w:t xml:space="preserve">ought to </w:t>
      </w:r>
      <w:proofErr w:type="gramStart"/>
      <w:r w:rsidR="00962012">
        <w:t>have been</w:t>
      </w:r>
      <w:r w:rsidR="004B0FA4">
        <w:t xml:space="preserve"> directed</w:t>
      </w:r>
      <w:proofErr w:type="gramEnd"/>
      <w:r w:rsidR="004B0FA4">
        <w:t xml:space="preserve"> that the presumption </w:t>
      </w:r>
      <w:r w:rsidR="00BB6F7B">
        <w:t xml:space="preserve">of </w:t>
      </w:r>
      <w:proofErr w:type="spellStart"/>
      <w:r w:rsidR="00BB6F7B">
        <w:t>doli</w:t>
      </w:r>
      <w:proofErr w:type="spellEnd"/>
      <w:r w:rsidR="00BB6F7B">
        <w:t xml:space="preserve"> </w:t>
      </w:r>
      <w:proofErr w:type="spellStart"/>
      <w:r w:rsidR="00BB6F7B">
        <w:t>incapax</w:t>
      </w:r>
      <w:proofErr w:type="spellEnd"/>
      <w:r w:rsidR="00BB6F7B">
        <w:t xml:space="preserve"> </w:t>
      </w:r>
      <w:r w:rsidR="004B0FA4">
        <w:t xml:space="preserve">could only be rebutted by evidence independent of the acts alleged. </w:t>
      </w:r>
      <w:r w:rsidR="00962012">
        <w:t xml:space="preserve">In this </w:t>
      </w:r>
      <w:proofErr w:type="gramStart"/>
      <w:r w:rsidR="00962012">
        <w:t>case</w:t>
      </w:r>
      <w:proofErr w:type="gramEnd"/>
      <w:r w:rsidR="00962012">
        <w:t xml:space="preserve"> they</w:t>
      </w:r>
      <w:r w:rsidR="00BB6F7B">
        <w:t xml:space="preserve"> were not told that the alleged bullying and coercion was relied on by the Crown as independent evidence capable of rebutting the presumption. </w:t>
      </w:r>
    </w:p>
    <w:p w14:paraId="43B98004" w14:textId="77777777" w:rsidR="007B3741" w:rsidRDefault="00BB6F7B" w:rsidP="003F3449">
      <w:r>
        <w:t xml:space="preserve">PF had admitted childish sexual </w:t>
      </w:r>
      <w:r w:rsidR="00CD706F">
        <w:t>experime</w:t>
      </w:r>
      <w:r w:rsidR="00366D2B">
        <w:t>ntation with X. In such a case ‘</w:t>
      </w:r>
      <w:r w:rsidR="00CD706F">
        <w:t>it is particularly important to focus the jury’s attention upon the evidence said to be properly capable of demonstrating that the particular defendant must have known that hi</w:t>
      </w:r>
      <w:r w:rsidR="00366D2B">
        <w:t>s conduct went well beyond the “</w:t>
      </w:r>
      <w:r w:rsidR="00CD706F">
        <w:t>mere rud</w:t>
      </w:r>
      <w:r w:rsidR="00366D2B">
        <w:t>e or naughty”’</w:t>
      </w:r>
      <w:r w:rsidR="00CD706F">
        <w:t xml:space="preserve"> (at [28]).</w:t>
      </w:r>
    </w:p>
    <w:p w14:paraId="3E70FAB6" w14:textId="77777777" w:rsidR="00BB6F7B" w:rsidRDefault="00BB6F7B" w:rsidP="003F3449"/>
    <w:p w14:paraId="0F4EE91E" w14:textId="77777777" w:rsidR="00BB6F7B" w:rsidRPr="004F20D5" w:rsidRDefault="00BB6F7B" w:rsidP="003F3449">
      <w:pPr>
        <w:rPr>
          <w:b/>
        </w:rPr>
      </w:pPr>
      <w:r w:rsidRPr="004F20D5">
        <w:rPr>
          <w:b/>
        </w:rPr>
        <w:t>Comment</w:t>
      </w:r>
      <w:r w:rsidR="004F20D5" w:rsidRPr="004F20D5">
        <w:rPr>
          <w:b/>
        </w:rPr>
        <w:t>ary</w:t>
      </w:r>
    </w:p>
    <w:p w14:paraId="6151E4EF" w14:textId="77777777" w:rsidR="00B13DDE" w:rsidRDefault="003E3448" w:rsidP="003F3449">
      <w:pPr>
        <w:rPr>
          <w:i/>
        </w:rPr>
      </w:pPr>
      <w:r>
        <w:t>The presumption that a child lacked the capacity to commit a criminal offence (</w:t>
      </w:r>
      <w:proofErr w:type="spellStart"/>
      <w:r w:rsidRPr="003E3448">
        <w:rPr>
          <w:i/>
        </w:rPr>
        <w:t>doli</w:t>
      </w:r>
      <w:proofErr w:type="spellEnd"/>
      <w:r w:rsidRPr="003E3448">
        <w:rPr>
          <w:i/>
        </w:rPr>
        <w:t xml:space="preserve"> </w:t>
      </w:r>
      <w:proofErr w:type="spellStart"/>
      <w:r w:rsidRPr="003E3448">
        <w:rPr>
          <w:i/>
        </w:rPr>
        <w:t>incapax</w:t>
      </w:r>
      <w:proofErr w:type="spellEnd"/>
      <w:r>
        <w:t>)</w:t>
      </w:r>
      <w:r>
        <w:rPr>
          <w:i/>
        </w:rPr>
        <w:t>,</w:t>
      </w:r>
      <w:r>
        <w:t xml:space="preserve"> applied to children aged 10-13 until its abolition by </w:t>
      </w:r>
      <w:r w:rsidR="009B157F">
        <w:t>s.</w:t>
      </w:r>
      <w:r w:rsidR="00366D2B">
        <w:t xml:space="preserve"> </w:t>
      </w:r>
      <w:r w:rsidR="009B157F">
        <w:t xml:space="preserve">34 of </w:t>
      </w:r>
      <w:r w:rsidR="00962012">
        <w:t>the Crime and Disorder Act 1998</w:t>
      </w:r>
      <w:r>
        <w:t>.</w:t>
      </w:r>
      <w:r w:rsidR="00962012">
        <w:t xml:space="preserve"> The burden </w:t>
      </w:r>
      <w:r>
        <w:t>had been</w:t>
      </w:r>
      <w:r w:rsidR="00962012">
        <w:t xml:space="preserve"> on the prosecution to </w:t>
      </w:r>
      <w:r w:rsidR="00366D2B">
        <w:t>rebut</w:t>
      </w:r>
      <w:r w:rsidR="00962012">
        <w:t xml:space="preserve"> </w:t>
      </w:r>
      <w:r>
        <w:t>the</w:t>
      </w:r>
      <w:r w:rsidR="00962012">
        <w:t xml:space="preserve"> presumption by adducing clear and cogent evidence that the child knew their conduct was seriously wrong, rather than an act of naughtiness or childish mischief (</w:t>
      </w:r>
      <w:r w:rsidR="00962012">
        <w:rPr>
          <w:i/>
        </w:rPr>
        <w:t xml:space="preserve">R v </w:t>
      </w:r>
      <w:proofErr w:type="spellStart"/>
      <w:r w:rsidR="00962012">
        <w:rPr>
          <w:i/>
        </w:rPr>
        <w:t>Gorrie</w:t>
      </w:r>
      <w:proofErr w:type="spellEnd"/>
      <w:r w:rsidR="00962012">
        <w:rPr>
          <w:i/>
        </w:rPr>
        <w:t xml:space="preserve"> </w:t>
      </w:r>
      <w:r w:rsidR="00962012">
        <w:t xml:space="preserve">(1919) 83 JP 136; </w:t>
      </w:r>
      <w:r w:rsidR="00962012">
        <w:rPr>
          <w:i/>
        </w:rPr>
        <w:t xml:space="preserve">B v R </w:t>
      </w:r>
      <w:r w:rsidR="00962012">
        <w:t xml:space="preserve">(1958) 44 Cr App R 1; </w:t>
      </w:r>
      <w:r w:rsidR="00962012">
        <w:rPr>
          <w:i/>
        </w:rPr>
        <w:t xml:space="preserve">C v DPP </w:t>
      </w:r>
      <w:r w:rsidR="00962012">
        <w:t xml:space="preserve">[1996] AC 1). </w:t>
      </w:r>
      <w:r w:rsidR="009B157F">
        <w:t>I</w:t>
      </w:r>
      <w:r w:rsidR="005302B3">
        <w:t xml:space="preserve">n the leading case of </w:t>
      </w:r>
      <w:r w:rsidR="005302B3">
        <w:rPr>
          <w:i/>
        </w:rPr>
        <w:t xml:space="preserve">C v DPP, </w:t>
      </w:r>
      <w:r w:rsidR="009B157F">
        <w:t xml:space="preserve">the House of Lords confirmed </w:t>
      </w:r>
      <w:r w:rsidR="008142A1">
        <w:t xml:space="preserve">(at p.38) </w:t>
      </w:r>
      <w:r w:rsidR="009B157F">
        <w:t xml:space="preserve">that </w:t>
      </w:r>
      <w:r w:rsidR="000F7A23">
        <w:t>this</w:t>
      </w:r>
      <w:r w:rsidR="008142A1">
        <w:t xml:space="preserve"> evidence ‘</w:t>
      </w:r>
      <w:r w:rsidR="005302B3">
        <w:rPr>
          <w:rFonts w:ascii="Verdana" w:hAnsi="Verdana"/>
          <w:sz w:val="19"/>
          <w:szCs w:val="19"/>
        </w:rPr>
        <w:t xml:space="preserve">must not be the mere proof of the doing of the act charged, however horrifying or </w:t>
      </w:r>
      <w:r w:rsidR="008142A1">
        <w:rPr>
          <w:rFonts w:ascii="Verdana" w:hAnsi="Verdana"/>
          <w:sz w:val="19"/>
          <w:szCs w:val="19"/>
        </w:rPr>
        <w:t>obviously wrong that act may be’</w:t>
      </w:r>
      <w:r w:rsidR="005302B3">
        <w:t xml:space="preserve">. Evidence of </w:t>
      </w:r>
      <w:r w:rsidR="009B157F">
        <w:t>things said or done by the child</w:t>
      </w:r>
      <w:r w:rsidR="005302B3">
        <w:t xml:space="preserve"> before or after the alleged offence might be </w:t>
      </w:r>
      <w:r w:rsidR="009B157F">
        <w:t>relied upon to rebut</w:t>
      </w:r>
      <w:r w:rsidR="005302B3">
        <w:t xml:space="preserve"> the presumption</w:t>
      </w:r>
      <w:r w:rsidR="009B157F">
        <w:t>, but</w:t>
      </w:r>
      <w:r w:rsidR="005302B3">
        <w:t xml:space="preserve"> </w:t>
      </w:r>
      <w:r w:rsidR="009B157F">
        <w:t xml:space="preserve">such evidence had to be approached with </w:t>
      </w:r>
      <w:proofErr w:type="gramStart"/>
      <w:r w:rsidR="009B157F">
        <w:t>care</w:t>
      </w:r>
      <w:proofErr w:type="gramEnd"/>
      <w:r w:rsidR="009B157F">
        <w:t xml:space="preserve"> as it </w:t>
      </w:r>
      <w:r w:rsidR="008142A1">
        <w:t>could</w:t>
      </w:r>
      <w:r w:rsidR="009B157F">
        <w:t xml:space="preserve"> be equivocal</w:t>
      </w:r>
      <w:r w:rsidR="005302B3">
        <w:t xml:space="preserve">. For example, evidence of running away after committing an offence would not usually be sufficient to </w:t>
      </w:r>
      <w:r w:rsidR="008142A1">
        <w:t>establish the requisite capacity</w:t>
      </w:r>
      <w:r w:rsidR="005302B3">
        <w:t xml:space="preserve"> because a child who knows they have been naughty is just as likely to run away as a child who knows their conduct is seriously wrong (</w:t>
      </w:r>
      <w:r w:rsidR="005302B3">
        <w:rPr>
          <w:i/>
        </w:rPr>
        <w:t xml:space="preserve">C v DPP </w:t>
      </w:r>
      <w:r w:rsidR="005302B3" w:rsidRPr="009B157F">
        <w:t xml:space="preserve">at </w:t>
      </w:r>
      <w:r w:rsidR="009B157F">
        <w:t>p</w:t>
      </w:r>
      <w:r w:rsidR="005302B3" w:rsidRPr="009B157F">
        <w:t>39</w:t>
      </w:r>
      <w:r w:rsidR="000F7A23">
        <w:t>)</w:t>
      </w:r>
      <w:r w:rsidR="005302B3">
        <w:rPr>
          <w:i/>
        </w:rPr>
        <w:t>.</w:t>
      </w:r>
    </w:p>
    <w:p w14:paraId="1DC89824" w14:textId="77777777" w:rsidR="00962012" w:rsidRDefault="005302B3" w:rsidP="003F3449">
      <w:r>
        <w:t xml:space="preserve">Evidence confirming that a child </w:t>
      </w:r>
      <w:r w:rsidR="003E3448">
        <w:t xml:space="preserve">was </w:t>
      </w:r>
      <w:proofErr w:type="spellStart"/>
      <w:r w:rsidR="003E3448">
        <w:rPr>
          <w:i/>
        </w:rPr>
        <w:t>doli</w:t>
      </w:r>
      <w:proofErr w:type="spellEnd"/>
      <w:r w:rsidR="003E3448">
        <w:rPr>
          <w:i/>
        </w:rPr>
        <w:t xml:space="preserve"> </w:t>
      </w:r>
      <w:proofErr w:type="spellStart"/>
      <w:r w:rsidR="003E3448">
        <w:rPr>
          <w:i/>
        </w:rPr>
        <w:t>capax</w:t>
      </w:r>
      <w:proofErr w:type="spellEnd"/>
      <w:r>
        <w:t xml:space="preserve"> could include </w:t>
      </w:r>
      <w:r w:rsidR="009B157F">
        <w:t xml:space="preserve">their </w:t>
      </w:r>
      <w:r>
        <w:t xml:space="preserve">responses to </w:t>
      </w:r>
      <w:r w:rsidR="00E27042">
        <w:t>police questioning</w:t>
      </w:r>
      <w:r>
        <w:t xml:space="preserve">, a psychological or psychiatric assessment, or evidence from a teacher, parent or social worker as to the child’s general ability to </w:t>
      </w:r>
      <w:r w:rsidR="00F81004">
        <w:t>understand the nature of their conduct</w:t>
      </w:r>
      <w:r w:rsidR="007C0F3E">
        <w:t>.</w:t>
      </w:r>
      <w:r w:rsidR="00E27042">
        <w:t xml:space="preserve"> </w:t>
      </w:r>
      <w:r w:rsidR="001245E6">
        <w:t xml:space="preserve">The doctrine </w:t>
      </w:r>
      <w:proofErr w:type="gramStart"/>
      <w:r w:rsidR="001245E6">
        <w:t>was said</w:t>
      </w:r>
      <w:proofErr w:type="gramEnd"/>
      <w:r w:rsidR="001245E6">
        <w:t xml:space="preserve"> to cause difficulties for the prosecution, who would be unable to </w:t>
      </w:r>
      <w:r w:rsidR="007C0F3E">
        <w:t xml:space="preserve">rely on responses </w:t>
      </w:r>
      <w:r w:rsidR="00E27042">
        <w:t xml:space="preserve">to the police </w:t>
      </w:r>
      <w:r w:rsidR="001245E6">
        <w:t>if</w:t>
      </w:r>
      <w:r w:rsidR="007C0F3E">
        <w:t xml:space="preserve"> the child </w:t>
      </w:r>
      <w:r w:rsidR="001245E6">
        <w:t xml:space="preserve">had </w:t>
      </w:r>
      <w:r w:rsidR="00E1447E">
        <w:t>remained silent</w:t>
      </w:r>
      <w:r w:rsidR="007C0F3E">
        <w:t xml:space="preserve"> </w:t>
      </w:r>
      <w:r w:rsidR="00E27042">
        <w:t>in interview</w:t>
      </w:r>
      <w:r w:rsidR="001245E6">
        <w:t>. Similarly</w:t>
      </w:r>
      <w:r w:rsidR="007C0F3E">
        <w:t xml:space="preserve">, there </w:t>
      </w:r>
      <w:r w:rsidR="00D142C0">
        <w:t>was</w:t>
      </w:r>
      <w:r w:rsidR="007C0F3E">
        <w:t xml:space="preserve"> no power to compel a child to submit to a psychological or psychiatric examination. In addition, parents, teachers or social workers </w:t>
      </w:r>
      <w:r w:rsidR="001245E6">
        <w:t>were often</w:t>
      </w:r>
      <w:r w:rsidR="007C0F3E">
        <w:t xml:space="preserve"> unwilling to testify </w:t>
      </w:r>
      <w:r w:rsidR="001F3DE7">
        <w:t>as</w:t>
      </w:r>
      <w:r w:rsidR="007C0F3E">
        <w:t xml:space="preserve"> to do so </w:t>
      </w:r>
      <w:r w:rsidR="001245E6">
        <w:t>c</w:t>
      </w:r>
      <w:r w:rsidR="00E27042">
        <w:t>ould</w:t>
      </w:r>
      <w:r w:rsidR="007C0F3E">
        <w:t xml:space="preserve"> jeopardise their</w:t>
      </w:r>
      <w:r w:rsidR="001245E6">
        <w:t xml:space="preserve"> ongoing</w:t>
      </w:r>
      <w:r w:rsidR="007C0F3E">
        <w:t xml:space="preserve"> relationship with the child</w:t>
      </w:r>
      <w:r w:rsidR="001245E6">
        <w:t xml:space="preserve"> in question</w:t>
      </w:r>
      <w:r w:rsidR="007C0F3E">
        <w:t>.</w:t>
      </w:r>
      <w:r w:rsidR="009E460F">
        <w:t xml:space="preserve"> </w:t>
      </w:r>
      <w:r w:rsidR="00A23DD2">
        <w:t xml:space="preserve">The practical difficulties faced by prosecutors in </w:t>
      </w:r>
      <w:r w:rsidR="001245E6">
        <w:t>rebutting</w:t>
      </w:r>
      <w:r w:rsidR="00A23DD2">
        <w:t xml:space="preserve"> the presumption </w:t>
      </w:r>
      <w:r w:rsidR="001245E6">
        <w:t>contributed to</w:t>
      </w:r>
      <w:r w:rsidR="00A23DD2">
        <w:t xml:space="preserve"> its </w:t>
      </w:r>
      <w:r w:rsidR="001245E6">
        <w:t xml:space="preserve">eventual </w:t>
      </w:r>
      <w:r w:rsidR="00A23DD2">
        <w:t>abolition</w:t>
      </w:r>
      <w:r w:rsidR="009E460F">
        <w:t>.</w:t>
      </w:r>
    </w:p>
    <w:p w14:paraId="33816576" w14:textId="77777777" w:rsidR="005C75C4" w:rsidRDefault="00F00EEC" w:rsidP="003F3449">
      <w:r>
        <w:t>However, s. 34 of the 1998</w:t>
      </w:r>
      <w:r w:rsidR="00E1447E">
        <w:t xml:space="preserve"> Act</w:t>
      </w:r>
      <w:r w:rsidR="009054E5">
        <w:t xml:space="preserve"> is not retrospective. </w:t>
      </w:r>
      <w:proofErr w:type="gramStart"/>
      <w:r w:rsidR="009054E5">
        <w:t xml:space="preserve">Thus, whenever a defendant is prosecuted for offences arising out of conduct that took place before </w:t>
      </w:r>
      <w:r w:rsidR="00E1447E">
        <w:t>30</w:t>
      </w:r>
      <w:r w:rsidR="00E1447E" w:rsidRPr="00E1447E">
        <w:rPr>
          <w:vertAlign w:val="superscript"/>
        </w:rPr>
        <w:t>th</w:t>
      </w:r>
      <w:r w:rsidR="00E1447E">
        <w:t xml:space="preserve"> September 1998</w:t>
      </w:r>
      <w:r w:rsidR="009054E5">
        <w:t xml:space="preserve"> and the defendant was (or may have been) aged 10-13 at the time of that conduct, </w:t>
      </w:r>
      <w:r w:rsidR="00E27042">
        <w:t>a</w:t>
      </w:r>
      <w:r w:rsidR="009054E5">
        <w:t xml:space="preserve"> </w:t>
      </w:r>
      <w:r w:rsidR="00E27042">
        <w:t>prosecutor must</w:t>
      </w:r>
      <w:r w:rsidR="009054E5">
        <w:t xml:space="preserve"> adduce independent evidence that the defendant </w:t>
      </w:r>
      <w:r w:rsidR="004F7C0C">
        <w:t>had</w:t>
      </w:r>
      <w:r w:rsidR="00E27042">
        <w:t>, at the time,</w:t>
      </w:r>
      <w:r w:rsidR="004F7C0C">
        <w:t xml:space="preserve"> </w:t>
      </w:r>
      <w:r w:rsidR="001F3DE7">
        <w:t>the capacity to understand that his acts were seriously wrong, as opposed to merely naughty.</w:t>
      </w:r>
      <w:proofErr w:type="gramEnd"/>
      <w:r w:rsidR="001F3DE7">
        <w:t xml:space="preserve"> </w:t>
      </w:r>
      <w:proofErr w:type="gramStart"/>
      <w:r w:rsidR="00562925">
        <w:t xml:space="preserve">This principle was </w:t>
      </w:r>
      <w:r w:rsidR="00FE5CC3">
        <w:t xml:space="preserve">recently </w:t>
      </w:r>
      <w:r w:rsidR="00562925">
        <w:t xml:space="preserve">reiterated by the Court of Appeal in </w:t>
      </w:r>
      <w:r w:rsidR="00562925">
        <w:rPr>
          <w:i/>
        </w:rPr>
        <w:t xml:space="preserve">R v DM </w:t>
      </w:r>
      <w:r w:rsidR="00562925">
        <w:t>[2016] EWCA Crim 674</w:t>
      </w:r>
      <w:proofErr w:type="gramEnd"/>
      <w:r w:rsidR="00562925">
        <w:t xml:space="preserve">. </w:t>
      </w:r>
    </w:p>
    <w:p w14:paraId="061E252E" w14:textId="77777777" w:rsidR="009054E5" w:rsidRDefault="00DA030B" w:rsidP="003F3449">
      <w:r>
        <w:t xml:space="preserve">DM </w:t>
      </w:r>
      <w:proofErr w:type="gramStart"/>
      <w:r>
        <w:t>was convicted</w:t>
      </w:r>
      <w:proofErr w:type="gramEnd"/>
      <w:r>
        <w:t xml:space="preserve"> of three offences involving sexual activity with his half-sister. </w:t>
      </w:r>
      <w:r w:rsidR="004E1E1C">
        <w:t xml:space="preserve">It was unclear from the complainant’s evidence whether DM was aged 13 or 14 at the time of the conduct that was the subject of the first count on the indictment. The </w:t>
      </w:r>
      <w:r w:rsidR="008A387B">
        <w:t>trial judge directed the jury ‘in terms similar’</w:t>
      </w:r>
      <w:r w:rsidR="004E1E1C">
        <w:t xml:space="preserve"> to the </w:t>
      </w:r>
      <w:r w:rsidR="004E1E1C">
        <w:lastRenderedPageBreak/>
        <w:t xml:space="preserve">judge in the present case </w:t>
      </w:r>
      <w:r w:rsidR="008A387B">
        <w:t xml:space="preserve">(at [17]) </w:t>
      </w:r>
      <w:r w:rsidR="004E1E1C">
        <w:t xml:space="preserve">and did not refer to the need for independent evidence to establish </w:t>
      </w:r>
      <w:r w:rsidR="008A387B">
        <w:t xml:space="preserve">DM’s </w:t>
      </w:r>
      <w:r w:rsidR="004E1E1C">
        <w:t xml:space="preserve">knowledge that the act was seriously wrong. The Court of Appeal quashed DM’s conviction on the relevant count. </w:t>
      </w:r>
    </w:p>
    <w:p w14:paraId="4D8509DC" w14:textId="77777777" w:rsidR="00E334A6" w:rsidRPr="005C75C4" w:rsidRDefault="00E334A6" w:rsidP="00E334A6">
      <w:r>
        <w:t xml:space="preserve">In </w:t>
      </w:r>
      <w:r>
        <w:rPr>
          <w:i/>
        </w:rPr>
        <w:t>DM</w:t>
      </w:r>
      <w:r>
        <w:t xml:space="preserve">, as in the present case, the jury heard evidence of the appellant’s conduct beyond the evidence of the offences that were alleged. The prosecution adduced </w:t>
      </w:r>
      <w:r w:rsidR="008A387B">
        <w:t>testimony about</w:t>
      </w:r>
      <w:r>
        <w:t xml:space="preserve"> two earlier acts of indecency by DM against the same complainant. The first incident involved DM persuading the complainant to kiss him with her tongue, after which he told her that, if asked by her mother, she should deny that anything had happened. The second incident involved DM trapping the complainant in the changing room at a swimming pool until she performed oral sex upon him. As in the present case, the jury </w:t>
      </w:r>
      <w:proofErr w:type="gramStart"/>
      <w:r>
        <w:t>had not</w:t>
      </w:r>
      <w:r w:rsidR="0019221D">
        <w:t xml:space="preserve"> been</w:t>
      </w:r>
      <w:r>
        <w:t xml:space="preserve"> specifically directed</w:t>
      </w:r>
      <w:proofErr w:type="gramEnd"/>
      <w:r>
        <w:t xml:space="preserve"> that this could constitute independent evidence capable </w:t>
      </w:r>
      <w:r w:rsidR="0019221D">
        <w:t>of rebutting the presumption. In DM’s case, it</w:t>
      </w:r>
      <w:r>
        <w:t xml:space="preserve"> </w:t>
      </w:r>
      <w:proofErr w:type="gramStart"/>
      <w:r>
        <w:t>was not suggested</w:t>
      </w:r>
      <w:proofErr w:type="gramEnd"/>
      <w:r>
        <w:t xml:space="preserve"> that the admission of this</w:t>
      </w:r>
      <w:r w:rsidR="0019221D">
        <w:t xml:space="preserve"> extraneous</w:t>
      </w:r>
      <w:r>
        <w:t xml:space="preserve"> evidence, and its consideration by the jury, was </w:t>
      </w:r>
      <w:r w:rsidR="0019221D">
        <w:t>sufficient</w:t>
      </w:r>
      <w:r>
        <w:t xml:space="preserve"> to</w:t>
      </w:r>
      <w:r w:rsidR="0019221D">
        <w:t xml:space="preserve"> enable the Court of Appeal to</w:t>
      </w:r>
      <w:r>
        <w:t xml:space="preserve"> consider the conviction </w:t>
      </w:r>
      <w:r w:rsidR="0019221D">
        <w:t xml:space="preserve">was </w:t>
      </w:r>
      <w:r>
        <w:t xml:space="preserve">safe. Similarly, in the present case, in the absence of a specific direction as to the relevance of PF’s alleged bullying and coercive behaviour, </w:t>
      </w:r>
      <w:r w:rsidR="0030136B">
        <w:t xml:space="preserve">the </w:t>
      </w:r>
      <w:r w:rsidR="00956379">
        <w:t xml:space="preserve">mere </w:t>
      </w:r>
      <w:r w:rsidR="0030136B">
        <w:t xml:space="preserve">admission of </w:t>
      </w:r>
      <w:r w:rsidR="00956379">
        <w:t>independent</w:t>
      </w:r>
      <w:r w:rsidR="0030136B">
        <w:t xml:space="preserve"> evidence could not save the conviction. </w:t>
      </w:r>
    </w:p>
    <w:p w14:paraId="03D826F3" w14:textId="77777777" w:rsidR="00E334A6" w:rsidRDefault="00956379" w:rsidP="003F3449">
      <w:proofErr w:type="gramStart"/>
      <w:r>
        <w:rPr>
          <w:i/>
        </w:rPr>
        <w:t>PF</w:t>
      </w:r>
      <w:r>
        <w:t xml:space="preserve"> confirms</w:t>
      </w:r>
      <w:r w:rsidR="008434DF">
        <w:t xml:space="preserve"> that in any case where a defendant is (or may have been) below the age of 13 at the ti</w:t>
      </w:r>
      <w:r>
        <w:t>me of an offence that took place before 30</w:t>
      </w:r>
      <w:r w:rsidRPr="00956379">
        <w:rPr>
          <w:vertAlign w:val="superscript"/>
        </w:rPr>
        <w:t>th</w:t>
      </w:r>
      <w:r>
        <w:t xml:space="preserve"> September 1998</w:t>
      </w:r>
      <w:r w:rsidR="00E84748">
        <w:t>, it</w:t>
      </w:r>
      <w:r w:rsidR="008434DF">
        <w:t xml:space="preserve"> is essential that the prosecutor adduces </w:t>
      </w:r>
      <w:r>
        <w:t xml:space="preserve">separate </w:t>
      </w:r>
      <w:r w:rsidR="008434DF">
        <w:t xml:space="preserve">evidence to establish the defendant’s capacity and that the judge draws the jury’s attention to that evidence and to its potential effect </w:t>
      </w:r>
      <w:r>
        <w:t xml:space="preserve">on the presumption of </w:t>
      </w:r>
      <w:proofErr w:type="spellStart"/>
      <w:r>
        <w:rPr>
          <w:i/>
        </w:rPr>
        <w:t>doli</w:t>
      </w:r>
      <w:proofErr w:type="spellEnd"/>
      <w:r>
        <w:rPr>
          <w:i/>
        </w:rPr>
        <w:t xml:space="preserve"> </w:t>
      </w:r>
      <w:proofErr w:type="spellStart"/>
      <w:r>
        <w:rPr>
          <w:i/>
        </w:rPr>
        <w:t>incapax</w:t>
      </w:r>
      <w:proofErr w:type="spellEnd"/>
      <w:r w:rsidR="008434DF">
        <w:t>.</w:t>
      </w:r>
      <w:proofErr w:type="gramEnd"/>
      <w:r w:rsidR="008434DF">
        <w:t xml:space="preserve"> </w:t>
      </w:r>
    </w:p>
    <w:p w14:paraId="165AEC95" w14:textId="77777777" w:rsidR="008674E9" w:rsidRDefault="008674E9" w:rsidP="003F3449">
      <w:r>
        <w:t>Here, if the jury had been properly directed</w:t>
      </w:r>
      <w:r w:rsidR="00C4608D">
        <w:t>,</w:t>
      </w:r>
      <w:r>
        <w:t xml:space="preserve"> and if they had been sure that X’s account of PF’s bullying and coercive behaviour was true, they would surely have found that he had the relevant capacity. Alternatively, if they believed </w:t>
      </w:r>
      <w:r w:rsidR="006E1C6D">
        <w:t xml:space="preserve">that </w:t>
      </w:r>
      <w:r>
        <w:t xml:space="preserve">PF’s account of childish sexual experimentation was (or might have been) right, they would </w:t>
      </w:r>
      <w:r w:rsidR="006E1C6D">
        <w:t>likely</w:t>
      </w:r>
      <w:r>
        <w:t xml:space="preserve"> have found that </w:t>
      </w:r>
      <w:r w:rsidR="006E1C6D">
        <w:t xml:space="preserve">the presumption </w:t>
      </w:r>
      <w:proofErr w:type="gramStart"/>
      <w:r w:rsidR="006E1C6D">
        <w:t>had not been rebutted</w:t>
      </w:r>
      <w:proofErr w:type="gramEnd"/>
      <w:r>
        <w:t xml:space="preserve">. </w:t>
      </w:r>
      <w:r w:rsidR="006E1C6D">
        <w:t xml:space="preserve">, </w:t>
      </w:r>
      <w:r w:rsidR="00D32629">
        <w:t>Acknowledging</w:t>
      </w:r>
      <w:r w:rsidR="006E1C6D">
        <w:t xml:space="preserve"> that children may well engage in such behaviour without understanding it to be ‘</w:t>
      </w:r>
      <w:r w:rsidR="00D32629">
        <w:t>seriously</w:t>
      </w:r>
      <w:r w:rsidR="006E1C6D">
        <w:t xml:space="preserve"> wrong’</w:t>
      </w:r>
      <w:r w:rsidR="00D32629">
        <w:t xml:space="preserve">, </w:t>
      </w:r>
      <w:proofErr w:type="spellStart"/>
      <w:r w:rsidR="00D32629">
        <w:t>McCombe</w:t>
      </w:r>
      <w:proofErr w:type="spellEnd"/>
      <w:r w:rsidR="00D32629">
        <w:t xml:space="preserve"> LJ</w:t>
      </w:r>
      <w:r w:rsidR="006E1C6D">
        <w:t xml:space="preserve"> quoted </w:t>
      </w:r>
      <w:r>
        <w:t xml:space="preserve">from the Australian case of </w:t>
      </w:r>
      <w:r>
        <w:rPr>
          <w:i/>
        </w:rPr>
        <w:t xml:space="preserve">RP v The Queen </w:t>
      </w:r>
      <w:r>
        <w:t>[2016] HCA 53 (at [33]):</w:t>
      </w:r>
    </w:p>
    <w:p w14:paraId="3932BB5D" w14:textId="77777777" w:rsidR="008674E9" w:rsidRPr="008674E9" w:rsidRDefault="008674E9" w:rsidP="008674E9">
      <w:pPr>
        <w:ind w:left="720"/>
      </w:pPr>
      <w:r>
        <w:t>“It is common enough for children to engage in forms of sexual play and to endeavour to keep it secret, since even very young children may appreciate that it is naughty to engage in such play. The appellant’s conduct went well beyond ordinary childish sexual experimentation, but this does not carry with it a conclusion that he understood his conduct was seriously wrong in a moral sense, as distinct from it being rude or naughty.”</w:t>
      </w:r>
    </w:p>
    <w:p w14:paraId="3077B295" w14:textId="35DB929E" w:rsidR="00B205B0" w:rsidRDefault="008674E9">
      <w:pPr>
        <w:rPr>
          <w:rFonts w:ascii="Arial" w:hAnsi="Arial" w:cs="Arial"/>
          <w:color w:val="666666"/>
          <w:sz w:val="20"/>
          <w:szCs w:val="20"/>
        </w:rPr>
      </w:pPr>
      <w:r>
        <w:t xml:space="preserve">An interesting aspect of PF’s case was that he and X were just one year apart in age. Clearly there was a disparity between the accounts of X and PF and, had X’s account also been of childish experimentation, perhaps there would have been no prosecution. However, if a defendant in a similar case were to </w:t>
      </w:r>
      <w:proofErr w:type="gramStart"/>
      <w:r>
        <w:t>be prosecuted</w:t>
      </w:r>
      <w:proofErr w:type="gramEnd"/>
      <w:r>
        <w:t xml:space="preserve"> for conduct taking place after </w:t>
      </w:r>
      <w:r w:rsidR="00D32629">
        <w:t>30</w:t>
      </w:r>
      <w:r w:rsidR="00D32629" w:rsidRPr="00D32629">
        <w:rPr>
          <w:vertAlign w:val="superscript"/>
        </w:rPr>
        <w:t>th</w:t>
      </w:r>
      <w:r w:rsidR="00D32629">
        <w:t xml:space="preserve"> September</w:t>
      </w:r>
      <w:r>
        <w:t xml:space="preserve"> 1998, a jury would not have to consider whether he regarded his conduct as seriously wrong. </w:t>
      </w:r>
      <w:proofErr w:type="spellStart"/>
      <w:r w:rsidR="00D32629">
        <w:rPr>
          <w:i/>
        </w:rPr>
        <w:t>Doli</w:t>
      </w:r>
      <w:proofErr w:type="spellEnd"/>
      <w:r w:rsidR="00D32629">
        <w:rPr>
          <w:i/>
        </w:rPr>
        <w:t xml:space="preserve"> </w:t>
      </w:r>
      <w:proofErr w:type="spellStart"/>
      <w:r w:rsidR="00D32629">
        <w:rPr>
          <w:i/>
        </w:rPr>
        <w:t>incapax</w:t>
      </w:r>
      <w:proofErr w:type="spellEnd"/>
      <w:r w:rsidR="00D32629">
        <w:rPr>
          <w:i/>
        </w:rPr>
        <w:t xml:space="preserve"> </w:t>
      </w:r>
      <w:proofErr w:type="gramStart"/>
      <w:r w:rsidR="00D32629">
        <w:t>was abolished</w:t>
      </w:r>
      <w:proofErr w:type="gramEnd"/>
      <w:r w:rsidR="00D32629">
        <w:t xml:space="preserve"> from that date, so c</w:t>
      </w:r>
      <w:r w:rsidR="001A1CDF">
        <w:t>hildish experimentation would be</w:t>
      </w:r>
      <w:r w:rsidR="00D32629">
        <w:t xml:space="preserve"> no defence</w:t>
      </w:r>
      <w:r w:rsidR="001A1CDF">
        <w:t xml:space="preserve">. </w:t>
      </w:r>
      <w:r w:rsidR="00D32629">
        <w:t xml:space="preserve">Of course, one could argue that prosecutorial discretion would prevent charging where it </w:t>
      </w:r>
      <w:proofErr w:type="gramStart"/>
      <w:r w:rsidR="00D32629">
        <w:t>is accepted</w:t>
      </w:r>
      <w:proofErr w:type="gramEnd"/>
      <w:r w:rsidR="00D32629">
        <w:t xml:space="preserve"> that a young defendant was engaging in consensual sexual experimentation with another child of a similar age.  </w:t>
      </w:r>
      <w:proofErr w:type="gramStart"/>
      <w:r w:rsidR="00D32629">
        <w:t>But</w:t>
      </w:r>
      <w:proofErr w:type="gramEnd"/>
      <w:r w:rsidR="00D32629">
        <w:t xml:space="preserve"> prosecutorial discretion is never a very satisfactory for the reason that it is just that: a discretion. </w:t>
      </w:r>
      <w:r w:rsidR="001A1CDF">
        <w:t xml:space="preserve">Whether someone as young as 10 </w:t>
      </w:r>
      <w:proofErr w:type="gramStart"/>
      <w:r w:rsidR="001A1CDF">
        <w:t>should be exposed</w:t>
      </w:r>
      <w:proofErr w:type="gramEnd"/>
      <w:r w:rsidR="001A1CDF">
        <w:t xml:space="preserve"> to </w:t>
      </w:r>
      <w:r w:rsidR="00D32629">
        <w:t xml:space="preserve">even </w:t>
      </w:r>
      <w:r w:rsidR="001A1CDF">
        <w:t xml:space="preserve">the </w:t>
      </w:r>
      <w:r w:rsidR="00D32629">
        <w:t>potential of criminal</w:t>
      </w:r>
      <w:r w:rsidR="001A1CDF">
        <w:t xml:space="preserve"> conviction for </w:t>
      </w:r>
      <w:r w:rsidR="00D32629">
        <w:t>‘ordinary childish sexual experimentation’</w:t>
      </w:r>
      <w:r w:rsidR="001A1CDF">
        <w:t xml:space="preserve"> is surely a matter that merits </w:t>
      </w:r>
      <w:r w:rsidR="00D32629">
        <w:t xml:space="preserve">debate. </w:t>
      </w:r>
      <w:proofErr w:type="gramStart"/>
      <w:r w:rsidR="00D32629">
        <w:t>As some</w:t>
      </w:r>
      <w:r w:rsidR="001A1CDF">
        <w:t xml:space="preserve"> have argued recently, discussion of the minimum age of criminal responsibility may be politically unpopular but </w:t>
      </w:r>
      <w:r w:rsidR="009A0ECC">
        <w:t>to avoid the issue is to disregard</w:t>
      </w:r>
      <w:r w:rsidR="00B205B0">
        <w:t xml:space="preserve"> the available evidence on developmental immaturity and the abilities of children to regulate their behaviour </w:t>
      </w:r>
      <w:r w:rsidR="00671503">
        <w:t>(see, for example</w:t>
      </w:r>
      <w:r w:rsidR="00B04C5A">
        <w:t xml:space="preserve"> R. Arthur, ‘Exploring </w:t>
      </w:r>
      <w:r w:rsidR="00B205B0">
        <w:lastRenderedPageBreak/>
        <w:t>C</w:t>
      </w:r>
      <w:r w:rsidR="00B04C5A">
        <w:t xml:space="preserve">hildhood, </w:t>
      </w:r>
      <w:r w:rsidR="00B205B0">
        <w:t>C</w:t>
      </w:r>
      <w:r w:rsidR="00B04C5A">
        <w:t xml:space="preserve">riminal </w:t>
      </w:r>
      <w:r w:rsidR="00B205B0">
        <w:t>R</w:t>
      </w:r>
      <w:r w:rsidR="00B04C5A">
        <w:t xml:space="preserve">esponsibility and the </w:t>
      </w:r>
      <w:r w:rsidR="00B205B0">
        <w:t>E</w:t>
      </w:r>
      <w:r w:rsidR="00B04C5A">
        <w:t xml:space="preserve">volving </w:t>
      </w:r>
      <w:r w:rsidR="00B205B0">
        <w:t>C</w:t>
      </w:r>
      <w:r w:rsidR="00B04C5A">
        <w:t xml:space="preserve">apacities of the </w:t>
      </w:r>
      <w:r w:rsidR="00B205B0">
        <w:t>C</w:t>
      </w:r>
      <w:r w:rsidR="00B04C5A">
        <w:t xml:space="preserve">hild: </w:t>
      </w:r>
      <w:r w:rsidR="00B205B0">
        <w:t>T</w:t>
      </w:r>
      <w:r w:rsidR="00B04C5A">
        <w:t xml:space="preserve">he </w:t>
      </w:r>
      <w:r w:rsidR="00B205B0">
        <w:t>A</w:t>
      </w:r>
      <w:r w:rsidR="00B04C5A">
        <w:t xml:space="preserve">ge of </w:t>
      </w:r>
      <w:r w:rsidR="00B205B0">
        <w:t>C</w:t>
      </w:r>
      <w:r w:rsidR="00B04C5A">
        <w:t xml:space="preserve">riminal </w:t>
      </w:r>
      <w:r w:rsidR="00B205B0">
        <w:t>R</w:t>
      </w:r>
      <w:r w:rsidR="00B04C5A">
        <w:t>esponsibility in England and Wales’ (2016) 67(3) NILQ 269</w:t>
      </w:r>
      <w:r w:rsidR="008C5A8C">
        <w:t xml:space="preserve">, B Goldson </w:t>
      </w:r>
      <w:r w:rsidR="008C5A8C" w:rsidRPr="00782C4A">
        <w:t>‘Unsafe, Unjust and Harmful to Wider Society: Grounds for Raising the Minimum Age of Criminal Responsibility in England and Wales</w:t>
      </w:r>
      <w:r w:rsidR="008C5A8C">
        <w:t>’</w:t>
      </w:r>
      <w:r w:rsidR="00782C4A">
        <w:t xml:space="preserve"> [2013] 13(2)</w:t>
      </w:r>
      <w:r w:rsidR="008C5A8C">
        <w:t>Youth Justice 111</w:t>
      </w:r>
      <w:r w:rsidR="00671503">
        <w:t>)</w:t>
      </w:r>
      <w:r w:rsidR="001A1CDF">
        <w:t>.</w:t>
      </w:r>
      <w:proofErr w:type="gramEnd"/>
      <w:r w:rsidR="008C5A8C" w:rsidRPr="008C5A8C">
        <w:rPr>
          <w:rFonts w:ascii="Arial" w:hAnsi="Arial" w:cs="Arial"/>
          <w:color w:val="666666"/>
          <w:sz w:val="20"/>
          <w:szCs w:val="20"/>
        </w:rPr>
        <w:t xml:space="preserve"> </w:t>
      </w:r>
    </w:p>
    <w:p w14:paraId="6A4AB134" w14:textId="72869AE7" w:rsidR="00654604" w:rsidRPr="00B04C5A" w:rsidRDefault="008C5A8C">
      <w:pPr>
        <w:rPr>
          <w:i/>
        </w:rPr>
      </w:pPr>
      <w:r w:rsidRPr="00B205B0">
        <w:rPr>
          <w:lang w:val="en"/>
        </w:rPr>
        <w:t xml:space="preserve">In 2012 </w:t>
      </w:r>
      <w:proofErr w:type="gramStart"/>
      <w:r>
        <w:rPr>
          <w:lang w:val="en"/>
        </w:rPr>
        <w:t xml:space="preserve">an open letter was signed by more than 50 individuals and </w:t>
      </w:r>
      <w:proofErr w:type="spellStart"/>
      <w:r>
        <w:rPr>
          <w:lang w:val="en"/>
        </w:rPr>
        <w:t>organisations</w:t>
      </w:r>
      <w:proofErr w:type="spellEnd"/>
      <w:r>
        <w:rPr>
          <w:lang w:val="en"/>
        </w:rPr>
        <w:t xml:space="preserve"> with expertise in youth justice matters, calling on the government to accept the need to raise the age of criminal responsibility (www.</w:t>
      </w:r>
      <w:r w:rsidRPr="008C5A8C">
        <w:t xml:space="preserve"> </w:t>
      </w:r>
      <w:r w:rsidRPr="008C5A8C">
        <w:rPr>
          <w:lang w:val="en"/>
        </w:rPr>
        <w:t>https://www.theguardian.com/society/2012/dec/05/age-criminal-responsibility-childrens-rights</w:t>
      </w:r>
      <w:r>
        <w:rPr>
          <w:lang w:val="en"/>
        </w:rPr>
        <w:t>)</w:t>
      </w:r>
      <w:proofErr w:type="gramEnd"/>
      <w:r>
        <w:rPr>
          <w:lang w:val="en"/>
        </w:rPr>
        <w:t>.</w:t>
      </w:r>
      <w:r>
        <w:rPr>
          <w:rFonts w:ascii="Arial" w:hAnsi="Arial" w:cs="Arial"/>
          <w:color w:val="666666"/>
          <w:sz w:val="20"/>
          <w:szCs w:val="20"/>
        </w:rPr>
        <w:t xml:space="preserve">  </w:t>
      </w:r>
      <w:r w:rsidR="00D32629">
        <w:t>England and Wales</w:t>
      </w:r>
      <w:r w:rsidR="001A1CDF">
        <w:t xml:space="preserve"> </w:t>
      </w:r>
      <w:r w:rsidR="00782C4A">
        <w:t xml:space="preserve">currently </w:t>
      </w:r>
      <w:r w:rsidR="001A1CDF">
        <w:t xml:space="preserve">has </w:t>
      </w:r>
      <w:r w:rsidR="00D32629">
        <w:t xml:space="preserve">one of the </w:t>
      </w:r>
      <w:r w:rsidR="001A1CDF">
        <w:t>youngest age</w:t>
      </w:r>
      <w:r w:rsidR="00D32629">
        <w:t>s of criminal responsibility</w:t>
      </w:r>
      <w:r w:rsidR="001A1CDF">
        <w:t xml:space="preserve"> in Europe</w:t>
      </w:r>
      <w:r w:rsidR="00B205B0">
        <w:t>; ten years of age</w:t>
      </w:r>
      <w:r w:rsidR="00782C4A">
        <w:t xml:space="preserve"> </w:t>
      </w:r>
      <w:r w:rsidR="00B205B0">
        <w:t>is</w:t>
      </w:r>
      <w:r w:rsidR="00782C4A">
        <w:t xml:space="preserve"> well below the international average and</w:t>
      </w:r>
      <w:r w:rsidR="00B205B0">
        <w:t xml:space="preserve"> </w:t>
      </w:r>
      <w:r w:rsidR="00782C4A">
        <w:t>breach</w:t>
      </w:r>
      <w:r w:rsidR="00B205B0">
        <w:t>es</w:t>
      </w:r>
      <w:r w:rsidR="00782C4A">
        <w:t xml:space="preserve"> </w:t>
      </w:r>
      <w:r w:rsidR="00B205B0">
        <w:t>international rights instruments</w:t>
      </w:r>
      <w:r w:rsidR="00D32629">
        <w:t xml:space="preserve">. </w:t>
      </w:r>
      <w:r w:rsidR="00B205B0" w:rsidRPr="00B205B0">
        <w:rPr>
          <w:lang w:val="en"/>
        </w:rPr>
        <w:t xml:space="preserve">Lord Dholakia’s Private Members Bill, which seeks to raise the minimum age of criminal responsibility to 12, will receive its Second Reading in the Lords on Friday </w:t>
      </w:r>
      <w:proofErr w:type="gramStart"/>
      <w:r w:rsidR="00B205B0" w:rsidRPr="00B205B0">
        <w:rPr>
          <w:lang w:val="en"/>
        </w:rPr>
        <w:t>8th</w:t>
      </w:r>
      <w:proofErr w:type="gramEnd"/>
      <w:r w:rsidR="00B205B0" w:rsidRPr="00B205B0">
        <w:rPr>
          <w:lang w:val="en"/>
        </w:rPr>
        <w:t xml:space="preserve"> September 2017. </w:t>
      </w:r>
      <w:r w:rsidR="009A0ECC">
        <w:rPr>
          <w:lang w:val="en"/>
        </w:rPr>
        <w:t>P</w:t>
      </w:r>
      <w:r w:rsidR="00B205B0" w:rsidRPr="00B205B0">
        <w:rPr>
          <w:lang w:val="en"/>
        </w:rPr>
        <w:t xml:space="preserve">erhaps it is </w:t>
      </w:r>
      <w:r w:rsidR="003A6751">
        <w:rPr>
          <w:lang w:val="en"/>
        </w:rPr>
        <w:t xml:space="preserve">also </w:t>
      </w:r>
      <w:r w:rsidR="00B205B0" w:rsidRPr="00B205B0">
        <w:rPr>
          <w:lang w:val="en"/>
        </w:rPr>
        <w:t xml:space="preserve">time to </w:t>
      </w:r>
      <w:r w:rsidR="003A6751">
        <w:rPr>
          <w:lang w:val="en"/>
        </w:rPr>
        <w:t xml:space="preserve">consider how the law regulates young people’s sexuality and sexual experimentation. </w:t>
      </w:r>
    </w:p>
    <w:sectPr w:rsidR="00654604" w:rsidRPr="00B0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BA5"/>
    <w:multiLevelType w:val="hybridMultilevel"/>
    <w:tmpl w:val="8920398C"/>
    <w:lvl w:ilvl="0" w:tplc="57829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A1"/>
    <w:rsid w:val="00066205"/>
    <w:rsid w:val="000F7A23"/>
    <w:rsid w:val="00122D34"/>
    <w:rsid w:val="001245E6"/>
    <w:rsid w:val="00166F1C"/>
    <w:rsid w:val="00184B2E"/>
    <w:rsid w:val="0019221D"/>
    <w:rsid w:val="001A1CDF"/>
    <w:rsid w:val="001C2D33"/>
    <w:rsid w:val="001F3DE7"/>
    <w:rsid w:val="00222533"/>
    <w:rsid w:val="00236A77"/>
    <w:rsid w:val="002776F7"/>
    <w:rsid w:val="002F229F"/>
    <w:rsid w:val="0030136B"/>
    <w:rsid w:val="003060FA"/>
    <w:rsid w:val="003334D3"/>
    <w:rsid w:val="00366D2B"/>
    <w:rsid w:val="003A6751"/>
    <w:rsid w:val="003E3448"/>
    <w:rsid w:val="003F3449"/>
    <w:rsid w:val="004B0FA4"/>
    <w:rsid w:val="004E1E1C"/>
    <w:rsid w:val="004F20D5"/>
    <w:rsid w:val="004F7C0C"/>
    <w:rsid w:val="005302B3"/>
    <w:rsid w:val="00557E3B"/>
    <w:rsid w:val="00562925"/>
    <w:rsid w:val="005C75C4"/>
    <w:rsid w:val="005D5B59"/>
    <w:rsid w:val="00654604"/>
    <w:rsid w:val="00671503"/>
    <w:rsid w:val="006A318E"/>
    <w:rsid w:val="006E1C6D"/>
    <w:rsid w:val="007003D2"/>
    <w:rsid w:val="00707EDA"/>
    <w:rsid w:val="007466CD"/>
    <w:rsid w:val="00782C4A"/>
    <w:rsid w:val="007B3741"/>
    <w:rsid w:val="007C0F3E"/>
    <w:rsid w:val="007E1DA7"/>
    <w:rsid w:val="008142A1"/>
    <w:rsid w:val="00832001"/>
    <w:rsid w:val="008434DF"/>
    <w:rsid w:val="008674E9"/>
    <w:rsid w:val="008A387B"/>
    <w:rsid w:val="008C5A8C"/>
    <w:rsid w:val="009054E5"/>
    <w:rsid w:val="00956379"/>
    <w:rsid w:val="00962012"/>
    <w:rsid w:val="009740A1"/>
    <w:rsid w:val="009A0ECC"/>
    <w:rsid w:val="009B157F"/>
    <w:rsid w:val="009C1066"/>
    <w:rsid w:val="009E460F"/>
    <w:rsid w:val="00A23DD2"/>
    <w:rsid w:val="00B04C5A"/>
    <w:rsid w:val="00B04F0E"/>
    <w:rsid w:val="00B13DDE"/>
    <w:rsid w:val="00B205B0"/>
    <w:rsid w:val="00B970B5"/>
    <w:rsid w:val="00BB6F7B"/>
    <w:rsid w:val="00BC4E18"/>
    <w:rsid w:val="00C07E14"/>
    <w:rsid w:val="00C4608D"/>
    <w:rsid w:val="00CD706F"/>
    <w:rsid w:val="00D142C0"/>
    <w:rsid w:val="00D21813"/>
    <w:rsid w:val="00D32629"/>
    <w:rsid w:val="00D83EEA"/>
    <w:rsid w:val="00DA030B"/>
    <w:rsid w:val="00DB6D74"/>
    <w:rsid w:val="00E1447E"/>
    <w:rsid w:val="00E27042"/>
    <w:rsid w:val="00E334A6"/>
    <w:rsid w:val="00E84748"/>
    <w:rsid w:val="00EA515C"/>
    <w:rsid w:val="00F00EEC"/>
    <w:rsid w:val="00F24DB5"/>
    <w:rsid w:val="00F81004"/>
    <w:rsid w:val="00FE5C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310"/>
  <w15:chartTrackingRefBased/>
  <w15:docId w15:val="{8239B576-0C51-447B-9183-15136257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49"/>
    <w:pPr>
      <w:ind w:left="720"/>
      <w:contextualSpacing/>
    </w:pPr>
  </w:style>
  <w:style w:type="character" w:styleId="Emphasis">
    <w:name w:val="Emphasis"/>
    <w:basedOn w:val="DefaultParagraphFont"/>
    <w:uiPriority w:val="20"/>
    <w:qFormat/>
    <w:rsid w:val="00184B2E"/>
    <w:rPr>
      <w:i/>
      <w:iCs/>
    </w:rPr>
  </w:style>
  <w:style w:type="paragraph" w:styleId="BalloonText">
    <w:name w:val="Balloon Text"/>
    <w:basedOn w:val="Normal"/>
    <w:link w:val="BalloonTextChar"/>
    <w:uiPriority w:val="99"/>
    <w:semiHidden/>
    <w:unhideWhenUsed/>
    <w:rsid w:val="00654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604"/>
    <w:rPr>
      <w:rFonts w:ascii="Segoe UI" w:hAnsi="Segoe UI" w:cs="Segoe UI"/>
      <w:sz w:val="18"/>
      <w:szCs w:val="18"/>
    </w:rPr>
  </w:style>
  <w:style w:type="character" w:styleId="CommentReference">
    <w:name w:val="annotation reference"/>
    <w:basedOn w:val="DefaultParagraphFont"/>
    <w:uiPriority w:val="99"/>
    <w:semiHidden/>
    <w:unhideWhenUsed/>
    <w:rsid w:val="003E3448"/>
    <w:rPr>
      <w:sz w:val="16"/>
      <w:szCs w:val="16"/>
    </w:rPr>
  </w:style>
  <w:style w:type="paragraph" w:styleId="CommentText">
    <w:name w:val="annotation text"/>
    <w:basedOn w:val="Normal"/>
    <w:link w:val="CommentTextChar"/>
    <w:uiPriority w:val="99"/>
    <w:semiHidden/>
    <w:unhideWhenUsed/>
    <w:rsid w:val="003E3448"/>
    <w:pPr>
      <w:spacing w:line="240" w:lineRule="auto"/>
    </w:pPr>
    <w:rPr>
      <w:sz w:val="20"/>
      <w:szCs w:val="20"/>
    </w:rPr>
  </w:style>
  <w:style w:type="character" w:customStyle="1" w:styleId="CommentTextChar">
    <w:name w:val="Comment Text Char"/>
    <w:basedOn w:val="DefaultParagraphFont"/>
    <w:link w:val="CommentText"/>
    <w:uiPriority w:val="99"/>
    <w:semiHidden/>
    <w:rsid w:val="003E3448"/>
    <w:rPr>
      <w:sz w:val="20"/>
      <w:szCs w:val="20"/>
    </w:rPr>
  </w:style>
  <w:style w:type="paragraph" w:styleId="CommentSubject">
    <w:name w:val="annotation subject"/>
    <w:basedOn w:val="CommentText"/>
    <w:next w:val="CommentText"/>
    <w:link w:val="CommentSubjectChar"/>
    <w:uiPriority w:val="99"/>
    <w:semiHidden/>
    <w:unhideWhenUsed/>
    <w:rsid w:val="003E3448"/>
    <w:rPr>
      <w:b/>
      <w:bCs/>
    </w:rPr>
  </w:style>
  <w:style w:type="character" w:customStyle="1" w:styleId="CommentSubjectChar">
    <w:name w:val="Comment Subject Char"/>
    <w:basedOn w:val="CommentTextChar"/>
    <w:link w:val="CommentSubject"/>
    <w:uiPriority w:val="99"/>
    <w:semiHidden/>
    <w:rsid w:val="003E3448"/>
    <w:rPr>
      <w:b/>
      <w:bCs/>
      <w:sz w:val="20"/>
      <w:szCs w:val="20"/>
    </w:rPr>
  </w:style>
  <w:style w:type="character" w:styleId="Hyperlink">
    <w:name w:val="Hyperlink"/>
    <w:basedOn w:val="DefaultParagraphFont"/>
    <w:uiPriority w:val="99"/>
    <w:unhideWhenUsed/>
    <w:rsid w:val="008C5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Wortley</dc:creator>
  <cp:keywords/>
  <dc:description/>
  <cp:lastModifiedBy>Natalie Wortley</cp:lastModifiedBy>
  <cp:revision>5</cp:revision>
  <cp:lastPrinted>2017-08-30T14:57:00Z</cp:lastPrinted>
  <dcterms:created xsi:type="dcterms:W3CDTF">2017-09-08T11:25:00Z</dcterms:created>
  <dcterms:modified xsi:type="dcterms:W3CDTF">2017-09-08T11:52:00Z</dcterms:modified>
</cp:coreProperties>
</file>