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8C" w:rsidRPr="00EB3AE1" w:rsidRDefault="003F1A8C" w:rsidP="003F1A8C">
      <w:pPr>
        <w:jc w:val="both"/>
        <w:rPr>
          <w:rFonts w:ascii="Arial" w:hAnsi="Arial" w:cs="Arial"/>
          <w:b/>
          <w:sz w:val="40"/>
          <w:szCs w:val="40"/>
        </w:rPr>
      </w:pPr>
      <w:r w:rsidRPr="00EB3AE1">
        <w:rPr>
          <w:rFonts w:ascii="Arial" w:hAnsi="Arial" w:cs="Arial"/>
          <w:b/>
          <w:sz w:val="40"/>
          <w:szCs w:val="40"/>
        </w:rPr>
        <w:t>Unlawful and Dangerous: A Comparative Analysis of Unlawful Act Manslaughter in English, Australian and Canadian Law</w:t>
      </w:r>
    </w:p>
    <w:p w:rsidR="003F1A8C" w:rsidRPr="00B52952" w:rsidRDefault="003F1A8C" w:rsidP="00AB24A3">
      <w:pPr>
        <w:jc w:val="both"/>
        <w:rPr>
          <w:rFonts w:ascii="Arial" w:hAnsi="Arial" w:cs="Arial"/>
          <w:b/>
          <w:color w:val="FF0000"/>
        </w:rPr>
      </w:pPr>
    </w:p>
    <w:p w:rsidR="00B52952" w:rsidRPr="00B52952" w:rsidRDefault="00B52952" w:rsidP="00AB24A3">
      <w:pPr>
        <w:jc w:val="both"/>
        <w:rPr>
          <w:rFonts w:ascii="Arial" w:hAnsi="Arial" w:cs="Arial"/>
          <w:b/>
          <w:color w:val="FF0000"/>
        </w:rPr>
      </w:pPr>
    </w:p>
    <w:p w:rsidR="00B52952" w:rsidRPr="00D5136F" w:rsidRDefault="00B52952" w:rsidP="00AB24A3">
      <w:pPr>
        <w:jc w:val="both"/>
        <w:rPr>
          <w:rFonts w:ascii="Arial" w:hAnsi="Arial" w:cs="Arial"/>
          <w:b/>
          <w:sz w:val="28"/>
          <w:szCs w:val="28"/>
        </w:rPr>
      </w:pPr>
      <w:r w:rsidRPr="00D5136F">
        <w:rPr>
          <w:rFonts w:ascii="Arial" w:hAnsi="Arial" w:cs="Arial"/>
          <w:b/>
          <w:sz w:val="28"/>
          <w:szCs w:val="28"/>
        </w:rPr>
        <w:t>Abstract</w:t>
      </w:r>
    </w:p>
    <w:p w:rsidR="00866C34" w:rsidRDefault="00D5136F" w:rsidP="00AB24A3">
      <w:pPr>
        <w:jc w:val="both"/>
        <w:rPr>
          <w:rFonts w:ascii="Arial" w:hAnsi="Arial" w:cs="Arial"/>
        </w:rPr>
      </w:pPr>
      <w:r w:rsidRPr="00D5136F">
        <w:rPr>
          <w:rFonts w:ascii="Arial" w:hAnsi="Arial" w:cs="Arial"/>
        </w:rPr>
        <w:t>The crime of unlawful act manslaughter</w:t>
      </w:r>
      <w:r>
        <w:rPr>
          <w:rFonts w:ascii="Arial" w:hAnsi="Arial" w:cs="Arial"/>
        </w:rPr>
        <w:t xml:space="preserve"> (otherwise known as constructive manslaughter) exists in English and Australian common law. It is also an offence contrary to the Canadian </w:t>
      </w:r>
      <w:r w:rsidRPr="00D5136F">
        <w:rPr>
          <w:rFonts w:ascii="Arial" w:hAnsi="Arial" w:cs="Arial"/>
          <w:i/>
        </w:rPr>
        <w:t>Criminal Code</w:t>
      </w:r>
      <w:r>
        <w:rPr>
          <w:rFonts w:ascii="Arial" w:hAnsi="Arial" w:cs="Arial"/>
        </w:rPr>
        <w:t>. In all three jurisdictions the offence shares the same essential elements, including the requirements that the accused commit an act which is both unlawful and dangerous. This article will explore the case law on unlawful act manslaughter in Australia, Canada and England, focusing on the elements of an unlawful act and dangerousness, in order to identify similarities and differences in the application of the law in the three jurisdictions. Where differences are found, consideration will be given to the question whether English law should be reformulated.</w:t>
      </w:r>
    </w:p>
    <w:p w:rsidR="00D5136F" w:rsidRPr="00D5136F" w:rsidRDefault="00D5136F" w:rsidP="00AB24A3">
      <w:pPr>
        <w:jc w:val="both"/>
        <w:rPr>
          <w:rFonts w:ascii="Arial" w:hAnsi="Arial" w:cs="Arial"/>
        </w:rPr>
      </w:pPr>
    </w:p>
    <w:p w:rsidR="00B52952" w:rsidRDefault="00B52952" w:rsidP="00AB24A3">
      <w:pPr>
        <w:jc w:val="both"/>
        <w:rPr>
          <w:rFonts w:ascii="Arial" w:hAnsi="Arial" w:cs="Arial"/>
          <w:b/>
          <w:color w:val="FF0000"/>
        </w:rPr>
      </w:pPr>
    </w:p>
    <w:p w:rsidR="00653CFD" w:rsidRPr="00653CFD" w:rsidRDefault="00653CFD" w:rsidP="00653CFD">
      <w:pPr>
        <w:jc w:val="both"/>
        <w:rPr>
          <w:rFonts w:ascii="Arial" w:hAnsi="Arial" w:cs="Arial"/>
          <w:b/>
          <w:sz w:val="28"/>
          <w:szCs w:val="28"/>
        </w:rPr>
      </w:pPr>
      <w:r w:rsidRPr="00653CFD">
        <w:rPr>
          <w:rFonts w:ascii="Arial" w:hAnsi="Arial" w:cs="Arial"/>
          <w:b/>
          <w:sz w:val="28"/>
          <w:szCs w:val="28"/>
        </w:rPr>
        <w:t>Keywords</w:t>
      </w:r>
    </w:p>
    <w:p w:rsidR="00653CFD" w:rsidRPr="00653CFD" w:rsidRDefault="00653CFD" w:rsidP="00653CFD">
      <w:pPr>
        <w:jc w:val="both"/>
        <w:rPr>
          <w:rFonts w:ascii="Arial" w:hAnsi="Arial" w:cs="Arial"/>
        </w:rPr>
      </w:pPr>
      <w:r w:rsidRPr="00653CFD">
        <w:rPr>
          <w:rFonts w:ascii="Arial" w:hAnsi="Arial" w:cs="Arial"/>
        </w:rPr>
        <w:t>Homicide – Manslaughter – Unlawful act – Dangerousness</w:t>
      </w:r>
    </w:p>
    <w:p w:rsidR="00653CFD" w:rsidRDefault="00653CFD" w:rsidP="00AB24A3">
      <w:pPr>
        <w:jc w:val="both"/>
        <w:rPr>
          <w:rFonts w:ascii="Arial" w:hAnsi="Arial" w:cs="Arial"/>
          <w:b/>
          <w:sz w:val="28"/>
          <w:szCs w:val="28"/>
        </w:rPr>
      </w:pPr>
    </w:p>
    <w:p w:rsidR="00D5136F" w:rsidRDefault="00D5136F" w:rsidP="00AB24A3">
      <w:pPr>
        <w:jc w:val="both"/>
        <w:rPr>
          <w:rFonts w:ascii="Arial" w:hAnsi="Arial" w:cs="Arial"/>
          <w:b/>
          <w:sz w:val="28"/>
          <w:szCs w:val="28"/>
        </w:rPr>
      </w:pPr>
    </w:p>
    <w:p w:rsidR="00FF7BFD" w:rsidRPr="00FF7BFD" w:rsidRDefault="00FF7BFD" w:rsidP="00AB24A3">
      <w:pPr>
        <w:jc w:val="both"/>
        <w:rPr>
          <w:rFonts w:ascii="Arial" w:hAnsi="Arial" w:cs="Arial"/>
          <w:b/>
          <w:sz w:val="28"/>
          <w:szCs w:val="28"/>
        </w:rPr>
      </w:pPr>
      <w:r w:rsidRPr="00FF7BFD">
        <w:rPr>
          <w:rFonts w:ascii="Arial" w:hAnsi="Arial" w:cs="Arial"/>
          <w:b/>
          <w:sz w:val="28"/>
          <w:szCs w:val="28"/>
        </w:rPr>
        <w:t>Introduction</w:t>
      </w:r>
    </w:p>
    <w:p w:rsidR="00AB24A3" w:rsidRPr="00AB24A3" w:rsidRDefault="008812A7" w:rsidP="00AB24A3">
      <w:pPr>
        <w:jc w:val="both"/>
        <w:rPr>
          <w:rFonts w:ascii="Arial" w:hAnsi="Arial" w:cs="Arial"/>
        </w:rPr>
      </w:pPr>
      <w:r>
        <w:rPr>
          <w:rFonts w:ascii="Arial" w:hAnsi="Arial" w:cs="Arial"/>
        </w:rPr>
        <w:t xml:space="preserve">In English </w:t>
      </w:r>
      <w:r w:rsidR="00224226">
        <w:rPr>
          <w:rFonts w:ascii="Arial" w:hAnsi="Arial" w:cs="Arial"/>
        </w:rPr>
        <w:t xml:space="preserve">and Australian common </w:t>
      </w:r>
      <w:r>
        <w:rPr>
          <w:rFonts w:ascii="Arial" w:hAnsi="Arial" w:cs="Arial"/>
        </w:rPr>
        <w:t>law,</w:t>
      </w:r>
      <w:r w:rsidR="001B2BD1">
        <w:rPr>
          <w:rStyle w:val="FootnoteReference"/>
          <w:rFonts w:ascii="Arial" w:hAnsi="Arial" w:cs="Arial"/>
        </w:rPr>
        <w:footnoteReference w:id="1"/>
      </w:r>
      <w:r>
        <w:rPr>
          <w:rFonts w:ascii="Arial" w:hAnsi="Arial" w:cs="Arial"/>
        </w:rPr>
        <w:t xml:space="preserve"> </w:t>
      </w:r>
      <w:r w:rsidR="00AB24A3" w:rsidRPr="00AB24A3">
        <w:rPr>
          <w:rFonts w:ascii="Arial" w:hAnsi="Arial" w:cs="Arial"/>
        </w:rPr>
        <w:t xml:space="preserve">D will be guilty of </w:t>
      </w:r>
      <w:r w:rsidR="00AB24A3" w:rsidRPr="008812A7">
        <w:rPr>
          <w:rFonts w:ascii="Arial" w:hAnsi="Arial" w:cs="Arial"/>
          <w:bCs/>
        </w:rPr>
        <w:t>manslaughter</w:t>
      </w:r>
      <w:r w:rsidR="00AB24A3" w:rsidRPr="00AB24A3">
        <w:rPr>
          <w:rFonts w:ascii="Arial" w:hAnsi="Arial" w:cs="Arial"/>
          <w:b/>
          <w:bCs/>
        </w:rPr>
        <w:t xml:space="preserve"> </w:t>
      </w:r>
      <w:r w:rsidR="00AB24A3" w:rsidRPr="00AB24A3">
        <w:rPr>
          <w:rFonts w:ascii="Arial" w:hAnsi="Arial" w:cs="Arial"/>
        </w:rPr>
        <w:t xml:space="preserve">if he kills by an unlawful and dangerous act. </w:t>
      </w:r>
      <w:r w:rsidR="00FF7BFD">
        <w:rPr>
          <w:rFonts w:ascii="Arial" w:hAnsi="Arial" w:cs="Arial"/>
        </w:rPr>
        <w:t xml:space="preserve">In Canada, the equivalent offence is located in s 222(5)(a) of the </w:t>
      </w:r>
      <w:r w:rsidR="00FF7BFD" w:rsidRPr="008812A7">
        <w:rPr>
          <w:rFonts w:ascii="Arial" w:hAnsi="Arial" w:cs="Arial"/>
          <w:i/>
        </w:rPr>
        <w:t>Criminal Code</w:t>
      </w:r>
      <w:r w:rsidR="00FF7BFD">
        <w:rPr>
          <w:rFonts w:ascii="Arial" w:hAnsi="Arial" w:cs="Arial"/>
        </w:rPr>
        <w:t>, which states that ‘</w:t>
      </w:r>
      <w:r w:rsidR="00FF7BFD" w:rsidRPr="008812A7">
        <w:rPr>
          <w:rFonts w:ascii="Arial" w:hAnsi="Arial" w:cs="Arial"/>
        </w:rPr>
        <w:t>A person commits culpable homicide when he ca</w:t>
      </w:r>
      <w:r w:rsidR="00FF7BFD">
        <w:rPr>
          <w:rFonts w:ascii="Arial" w:hAnsi="Arial" w:cs="Arial"/>
        </w:rPr>
        <w:t xml:space="preserve">uses the death of a human being </w:t>
      </w:r>
      <w:r w:rsidR="00FF7BFD" w:rsidRPr="008812A7">
        <w:rPr>
          <w:rFonts w:ascii="Arial" w:hAnsi="Arial" w:cs="Arial"/>
        </w:rPr>
        <w:t>by means of an unlawful act</w:t>
      </w:r>
      <w:r w:rsidR="00FF7BFD">
        <w:rPr>
          <w:rFonts w:ascii="Arial" w:hAnsi="Arial" w:cs="Arial"/>
        </w:rPr>
        <w:t>’. In all three jurisdictions, t</w:t>
      </w:r>
      <w:r w:rsidR="00AB24A3" w:rsidRPr="00AB24A3">
        <w:rPr>
          <w:rFonts w:ascii="Arial" w:hAnsi="Arial" w:cs="Arial"/>
        </w:rPr>
        <w:t>he following elements must be proven to exist:</w:t>
      </w:r>
    </w:p>
    <w:p w:rsidR="00AB24A3" w:rsidRPr="00AB24A3" w:rsidRDefault="00AB24A3" w:rsidP="00AB24A3">
      <w:pPr>
        <w:jc w:val="both"/>
        <w:rPr>
          <w:rFonts w:ascii="Arial" w:hAnsi="Arial" w:cs="Arial"/>
        </w:rPr>
      </w:pPr>
    </w:p>
    <w:p w:rsidR="00AB24A3" w:rsidRPr="00AB24A3" w:rsidRDefault="00AB24A3" w:rsidP="00224226">
      <w:pPr>
        <w:pStyle w:val="ListParagraph"/>
        <w:numPr>
          <w:ilvl w:val="0"/>
          <w:numId w:val="5"/>
        </w:numPr>
        <w:jc w:val="both"/>
        <w:rPr>
          <w:rFonts w:ascii="Arial" w:hAnsi="Arial" w:cs="Arial"/>
        </w:rPr>
      </w:pPr>
      <w:r w:rsidRPr="00AB24A3">
        <w:rPr>
          <w:rFonts w:ascii="Arial" w:hAnsi="Arial" w:cs="Arial"/>
        </w:rPr>
        <w:t>D must commit an unlawful act</w:t>
      </w:r>
      <w:r w:rsidR="00FF7BFD">
        <w:rPr>
          <w:rFonts w:ascii="Arial" w:hAnsi="Arial" w:cs="Arial"/>
        </w:rPr>
        <w:t>.</w:t>
      </w:r>
    </w:p>
    <w:p w:rsidR="00AB24A3" w:rsidRPr="00AB24A3" w:rsidRDefault="00AB24A3" w:rsidP="00224226">
      <w:pPr>
        <w:pStyle w:val="ListParagraph"/>
        <w:numPr>
          <w:ilvl w:val="0"/>
          <w:numId w:val="5"/>
        </w:numPr>
        <w:jc w:val="both"/>
        <w:rPr>
          <w:rFonts w:ascii="Arial" w:hAnsi="Arial" w:cs="Arial"/>
        </w:rPr>
      </w:pPr>
      <w:r w:rsidRPr="00AB24A3">
        <w:rPr>
          <w:rFonts w:ascii="Arial" w:hAnsi="Arial" w:cs="Arial"/>
        </w:rPr>
        <w:t xml:space="preserve">The act must be </w:t>
      </w:r>
      <w:r w:rsidR="00F8652E">
        <w:rPr>
          <w:rFonts w:ascii="Arial" w:hAnsi="Arial" w:cs="Arial"/>
        </w:rPr>
        <w:t>‘</w:t>
      </w:r>
      <w:r w:rsidRPr="00AB24A3">
        <w:rPr>
          <w:rFonts w:ascii="Arial" w:hAnsi="Arial" w:cs="Arial"/>
        </w:rPr>
        <w:t>dangerous</w:t>
      </w:r>
      <w:r w:rsidR="00F8652E">
        <w:rPr>
          <w:rFonts w:ascii="Arial" w:hAnsi="Arial" w:cs="Arial"/>
        </w:rPr>
        <w:t>’</w:t>
      </w:r>
      <w:r w:rsidRPr="00AB24A3">
        <w:rPr>
          <w:rFonts w:ascii="Arial" w:hAnsi="Arial" w:cs="Arial"/>
        </w:rPr>
        <w:t>.</w:t>
      </w:r>
    </w:p>
    <w:p w:rsidR="00AB24A3" w:rsidRPr="00AB24A3" w:rsidRDefault="00AB24A3" w:rsidP="00224226">
      <w:pPr>
        <w:pStyle w:val="ListParagraph"/>
        <w:numPr>
          <w:ilvl w:val="0"/>
          <w:numId w:val="5"/>
        </w:numPr>
        <w:jc w:val="both"/>
        <w:rPr>
          <w:rFonts w:ascii="Arial" w:hAnsi="Arial" w:cs="Arial"/>
        </w:rPr>
      </w:pPr>
      <w:r w:rsidRPr="00AB24A3">
        <w:rPr>
          <w:rFonts w:ascii="Arial" w:hAnsi="Arial" w:cs="Arial"/>
        </w:rPr>
        <w:t>D must have intended to commit the unlawful act.</w:t>
      </w:r>
    </w:p>
    <w:p w:rsidR="00AB24A3" w:rsidRPr="00AB24A3" w:rsidRDefault="00AB24A3" w:rsidP="00224226">
      <w:pPr>
        <w:pStyle w:val="ListParagraph"/>
        <w:numPr>
          <w:ilvl w:val="0"/>
          <w:numId w:val="5"/>
        </w:numPr>
        <w:jc w:val="both"/>
        <w:rPr>
          <w:rFonts w:ascii="Arial" w:hAnsi="Arial" w:cs="Arial"/>
        </w:rPr>
      </w:pPr>
      <w:r w:rsidRPr="00AB24A3">
        <w:rPr>
          <w:rFonts w:ascii="Arial" w:hAnsi="Arial" w:cs="Arial"/>
        </w:rPr>
        <w:t>That act must have caused death.</w:t>
      </w:r>
    </w:p>
    <w:p w:rsidR="00AB24A3" w:rsidRDefault="00AB24A3" w:rsidP="00AB24A3">
      <w:pPr>
        <w:jc w:val="both"/>
        <w:rPr>
          <w:rFonts w:ascii="Arial" w:hAnsi="Arial" w:cs="Arial"/>
        </w:rPr>
      </w:pPr>
    </w:p>
    <w:p w:rsidR="008812A7" w:rsidRDefault="00224226" w:rsidP="00224226">
      <w:pPr>
        <w:jc w:val="both"/>
        <w:rPr>
          <w:rFonts w:ascii="Arial" w:hAnsi="Arial" w:cs="Arial"/>
        </w:rPr>
      </w:pPr>
      <w:r w:rsidRPr="00224226">
        <w:rPr>
          <w:rFonts w:ascii="Arial" w:hAnsi="Arial" w:cs="Arial"/>
        </w:rPr>
        <w:t>The intention behind this article is to compare the</w:t>
      </w:r>
      <w:r>
        <w:rPr>
          <w:rFonts w:ascii="Arial" w:hAnsi="Arial" w:cs="Arial"/>
        </w:rPr>
        <w:t xml:space="preserve"> law in England with that in Australia and Canada regarding the first two elements of the offence: the unlawful act requirement and the requirement of </w:t>
      </w:r>
      <w:r w:rsidR="00F8652E">
        <w:rPr>
          <w:rFonts w:ascii="Arial" w:hAnsi="Arial" w:cs="Arial"/>
        </w:rPr>
        <w:t>‘</w:t>
      </w:r>
      <w:r>
        <w:rPr>
          <w:rFonts w:ascii="Arial" w:hAnsi="Arial" w:cs="Arial"/>
        </w:rPr>
        <w:t>dang</w:t>
      </w:r>
      <w:r w:rsidR="008F79A4">
        <w:rPr>
          <w:rFonts w:ascii="Arial" w:hAnsi="Arial" w:cs="Arial"/>
        </w:rPr>
        <w:t>erousness</w:t>
      </w:r>
      <w:r w:rsidR="00F8652E">
        <w:rPr>
          <w:rFonts w:ascii="Arial" w:hAnsi="Arial" w:cs="Arial"/>
        </w:rPr>
        <w:t>’</w:t>
      </w:r>
      <w:r w:rsidR="00FF7BFD">
        <w:rPr>
          <w:rFonts w:ascii="Arial" w:hAnsi="Arial" w:cs="Arial"/>
        </w:rPr>
        <w:t>. The purpose is</w:t>
      </w:r>
      <w:r w:rsidR="008F79A4">
        <w:rPr>
          <w:rFonts w:ascii="Arial" w:hAnsi="Arial" w:cs="Arial"/>
        </w:rPr>
        <w:t xml:space="preserve"> to identify </w:t>
      </w:r>
      <w:r w:rsidR="00FF7BFD">
        <w:rPr>
          <w:rFonts w:ascii="Arial" w:hAnsi="Arial" w:cs="Arial"/>
        </w:rPr>
        <w:t xml:space="preserve">similarities and differences in the three jurisdictions’ application of these elements in order to suggest </w:t>
      </w:r>
      <w:r w:rsidR="008F79A4">
        <w:rPr>
          <w:rFonts w:ascii="Arial" w:hAnsi="Arial" w:cs="Arial"/>
        </w:rPr>
        <w:t>ways in which English law could be reformulated.</w:t>
      </w:r>
      <w:r w:rsidR="00FF7BFD">
        <w:rPr>
          <w:rFonts w:ascii="Arial" w:hAnsi="Arial" w:cs="Arial"/>
        </w:rPr>
        <w:t xml:space="preserve"> </w:t>
      </w:r>
      <w:r w:rsidR="00E03352">
        <w:rPr>
          <w:rFonts w:ascii="Arial" w:hAnsi="Arial" w:cs="Arial"/>
        </w:rPr>
        <w:t>A</w:t>
      </w:r>
      <w:r w:rsidR="00FF7BFD">
        <w:rPr>
          <w:rFonts w:ascii="Arial" w:hAnsi="Arial" w:cs="Arial"/>
        </w:rPr>
        <w:t>ttention will be paid</w:t>
      </w:r>
      <w:r w:rsidR="00E03352">
        <w:rPr>
          <w:rFonts w:ascii="Arial" w:hAnsi="Arial" w:cs="Arial"/>
        </w:rPr>
        <w:t xml:space="preserve">, </w:t>
      </w:r>
      <w:r w:rsidR="00E03352" w:rsidRPr="00E03352">
        <w:rPr>
          <w:rFonts w:ascii="Arial" w:hAnsi="Arial" w:cs="Arial"/>
          <w:i/>
        </w:rPr>
        <w:t>inter alia</w:t>
      </w:r>
      <w:r w:rsidR="00E03352">
        <w:rPr>
          <w:rFonts w:ascii="Arial" w:hAnsi="Arial" w:cs="Arial"/>
        </w:rPr>
        <w:t>,</w:t>
      </w:r>
      <w:r w:rsidR="00FF7BFD">
        <w:rPr>
          <w:rFonts w:ascii="Arial" w:hAnsi="Arial" w:cs="Arial"/>
        </w:rPr>
        <w:t xml:space="preserve"> to the following questions: (1) Does the unlawful act have to be a </w:t>
      </w:r>
      <w:r w:rsidR="00FF7BFD" w:rsidRPr="00E03352">
        <w:rPr>
          <w:rFonts w:ascii="Arial" w:hAnsi="Arial" w:cs="Arial"/>
          <w:i/>
        </w:rPr>
        <w:t>criminal</w:t>
      </w:r>
      <w:r w:rsidR="00FF7BFD">
        <w:rPr>
          <w:rFonts w:ascii="Arial" w:hAnsi="Arial" w:cs="Arial"/>
        </w:rPr>
        <w:t xml:space="preserve"> offence? </w:t>
      </w:r>
      <w:r w:rsidR="00E03352">
        <w:rPr>
          <w:rFonts w:ascii="Arial" w:hAnsi="Arial" w:cs="Arial"/>
        </w:rPr>
        <w:t xml:space="preserve">(2) What is the situation if one or more elements of the unlawful act cannot be proven and/or the accused raises a </w:t>
      </w:r>
      <w:proofErr w:type="spellStart"/>
      <w:r w:rsidR="00E03352">
        <w:rPr>
          <w:rFonts w:ascii="Arial" w:hAnsi="Arial" w:cs="Arial"/>
        </w:rPr>
        <w:t>defence</w:t>
      </w:r>
      <w:proofErr w:type="spellEnd"/>
      <w:r w:rsidR="00E03352">
        <w:rPr>
          <w:rFonts w:ascii="Arial" w:hAnsi="Arial" w:cs="Arial"/>
        </w:rPr>
        <w:t xml:space="preserve">? </w:t>
      </w:r>
      <w:r w:rsidR="00FF7BFD">
        <w:rPr>
          <w:rFonts w:ascii="Arial" w:hAnsi="Arial" w:cs="Arial"/>
        </w:rPr>
        <w:t>(</w:t>
      </w:r>
      <w:r w:rsidR="00E03352">
        <w:rPr>
          <w:rFonts w:ascii="Arial" w:hAnsi="Arial" w:cs="Arial"/>
        </w:rPr>
        <w:t>3</w:t>
      </w:r>
      <w:r w:rsidR="00FF7BFD">
        <w:rPr>
          <w:rFonts w:ascii="Arial" w:hAnsi="Arial" w:cs="Arial"/>
        </w:rPr>
        <w:t xml:space="preserve">) Are there any categories of criminal offence that are excluded from the scope of the unlawful act element, for example strict liability offences, </w:t>
      </w:r>
      <w:r w:rsidR="00653CFD">
        <w:rPr>
          <w:rFonts w:ascii="Arial" w:hAnsi="Arial" w:cs="Arial"/>
        </w:rPr>
        <w:t xml:space="preserve">or </w:t>
      </w:r>
      <w:r w:rsidR="00FF7BFD">
        <w:rPr>
          <w:rFonts w:ascii="Arial" w:hAnsi="Arial" w:cs="Arial"/>
        </w:rPr>
        <w:t xml:space="preserve">crimes in which the fault element is </w:t>
      </w:r>
      <w:r w:rsidR="00E03352">
        <w:rPr>
          <w:rFonts w:ascii="Arial" w:hAnsi="Arial" w:cs="Arial"/>
        </w:rPr>
        <w:t xml:space="preserve">satisfied by proof of </w:t>
      </w:r>
      <w:r w:rsidR="00FF7BFD">
        <w:rPr>
          <w:rFonts w:ascii="Arial" w:hAnsi="Arial" w:cs="Arial"/>
        </w:rPr>
        <w:t>negligence</w:t>
      </w:r>
      <w:r w:rsidR="00E03352">
        <w:rPr>
          <w:rFonts w:ascii="Arial" w:hAnsi="Arial" w:cs="Arial"/>
        </w:rPr>
        <w:t xml:space="preserve">? (4) Can the unlawful act element be established where the </w:t>
      </w:r>
      <w:r w:rsidR="00E03352">
        <w:rPr>
          <w:rFonts w:ascii="Arial" w:hAnsi="Arial" w:cs="Arial"/>
        </w:rPr>
        <w:lastRenderedPageBreak/>
        <w:t>accused commits an offence having failed to act</w:t>
      </w:r>
      <w:r w:rsidR="00FF7BFD">
        <w:rPr>
          <w:rFonts w:ascii="Arial" w:hAnsi="Arial" w:cs="Arial"/>
        </w:rPr>
        <w:t>? (</w:t>
      </w:r>
      <w:r w:rsidR="00E03352">
        <w:rPr>
          <w:rFonts w:ascii="Arial" w:hAnsi="Arial" w:cs="Arial"/>
        </w:rPr>
        <w:t>5</w:t>
      </w:r>
      <w:r w:rsidR="00FF7BFD">
        <w:rPr>
          <w:rFonts w:ascii="Arial" w:hAnsi="Arial" w:cs="Arial"/>
        </w:rPr>
        <w:t xml:space="preserve">) </w:t>
      </w:r>
      <w:r w:rsidR="00E03352">
        <w:rPr>
          <w:rFonts w:ascii="Arial" w:hAnsi="Arial" w:cs="Arial"/>
        </w:rPr>
        <w:t>Is ‘dangerousness’ assessed subjectively or objectively? (6) If it is assessed objectively, to what exten</w:t>
      </w:r>
      <w:r w:rsidR="00653CFD">
        <w:rPr>
          <w:rFonts w:ascii="Arial" w:hAnsi="Arial" w:cs="Arial"/>
        </w:rPr>
        <w:t>t</w:t>
      </w:r>
      <w:r w:rsidR="00E03352">
        <w:rPr>
          <w:rFonts w:ascii="Arial" w:hAnsi="Arial" w:cs="Arial"/>
        </w:rPr>
        <w:t xml:space="preserve"> can the test be modified to take into account the characteristics of the accused?</w:t>
      </w:r>
    </w:p>
    <w:p w:rsidR="00224226" w:rsidRDefault="00224226" w:rsidP="00224226">
      <w:pPr>
        <w:jc w:val="both"/>
        <w:rPr>
          <w:rFonts w:ascii="Arial" w:hAnsi="Arial" w:cs="Arial"/>
        </w:rPr>
      </w:pPr>
    </w:p>
    <w:p w:rsidR="00224226" w:rsidRPr="00224226" w:rsidRDefault="00224226" w:rsidP="00224226">
      <w:pPr>
        <w:jc w:val="both"/>
        <w:rPr>
          <w:rFonts w:ascii="Arial" w:hAnsi="Arial" w:cs="Arial"/>
        </w:rPr>
      </w:pPr>
    </w:p>
    <w:p w:rsidR="00AB24A3" w:rsidRPr="00146009" w:rsidRDefault="00146009" w:rsidP="00AB24A3">
      <w:pPr>
        <w:pStyle w:val="ListParagraph"/>
        <w:numPr>
          <w:ilvl w:val="0"/>
          <w:numId w:val="2"/>
        </w:numPr>
        <w:jc w:val="both"/>
        <w:rPr>
          <w:rFonts w:ascii="Arial" w:hAnsi="Arial" w:cs="Arial"/>
          <w:b/>
          <w:bCs/>
          <w:iCs/>
          <w:sz w:val="32"/>
          <w:szCs w:val="32"/>
        </w:rPr>
      </w:pPr>
      <w:r>
        <w:rPr>
          <w:rFonts w:ascii="Arial" w:hAnsi="Arial" w:cs="Arial"/>
          <w:b/>
          <w:bCs/>
          <w:iCs/>
          <w:sz w:val="32"/>
          <w:szCs w:val="32"/>
        </w:rPr>
        <w:t>A</w:t>
      </w:r>
      <w:r w:rsidR="00AB24A3" w:rsidRPr="00146009">
        <w:rPr>
          <w:rFonts w:ascii="Arial" w:hAnsi="Arial" w:cs="Arial"/>
          <w:b/>
          <w:bCs/>
          <w:iCs/>
          <w:sz w:val="32"/>
          <w:szCs w:val="32"/>
        </w:rPr>
        <w:t xml:space="preserve">n </w:t>
      </w:r>
      <w:r w:rsidR="00F8652E">
        <w:rPr>
          <w:rFonts w:ascii="Arial" w:hAnsi="Arial" w:cs="Arial"/>
          <w:b/>
          <w:bCs/>
          <w:iCs/>
          <w:sz w:val="32"/>
          <w:szCs w:val="32"/>
        </w:rPr>
        <w:t>‘</w:t>
      </w:r>
      <w:r w:rsidR="00AB24A3" w:rsidRPr="00146009">
        <w:rPr>
          <w:rFonts w:ascii="Arial" w:hAnsi="Arial" w:cs="Arial"/>
          <w:b/>
          <w:bCs/>
          <w:iCs/>
          <w:sz w:val="32"/>
          <w:szCs w:val="32"/>
        </w:rPr>
        <w:t>unlawful</w:t>
      </w:r>
      <w:r w:rsidR="00F8652E">
        <w:rPr>
          <w:rFonts w:ascii="Arial" w:hAnsi="Arial" w:cs="Arial"/>
          <w:b/>
          <w:bCs/>
          <w:iCs/>
          <w:sz w:val="32"/>
          <w:szCs w:val="32"/>
        </w:rPr>
        <w:t>’</w:t>
      </w:r>
      <w:r w:rsidR="00AB24A3" w:rsidRPr="00146009">
        <w:rPr>
          <w:rFonts w:ascii="Arial" w:hAnsi="Arial" w:cs="Arial"/>
          <w:b/>
          <w:bCs/>
          <w:iCs/>
          <w:sz w:val="32"/>
          <w:szCs w:val="32"/>
        </w:rPr>
        <w:t xml:space="preserve"> act</w:t>
      </w:r>
    </w:p>
    <w:p w:rsidR="00AB24A3" w:rsidRDefault="00AB24A3" w:rsidP="00AB24A3">
      <w:pPr>
        <w:jc w:val="both"/>
        <w:rPr>
          <w:rFonts w:ascii="Arial" w:hAnsi="Arial" w:cs="Arial"/>
        </w:rPr>
      </w:pPr>
    </w:p>
    <w:p w:rsidR="00146009" w:rsidRPr="00146009" w:rsidRDefault="00146009" w:rsidP="00AB24A3">
      <w:pPr>
        <w:jc w:val="both"/>
        <w:rPr>
          <w:rFonts w:ascii="Arial" w:hAnsi="Arial" w:cs="Arial"/>
          <w:b/>
          <w:sz w:val="28"/>
          <w:szCs w:val="28"/>
        </w:rPr>
      </w:pPr>
      <w:r w:rsidRPr="00146009">
        <w:rPr>
          <w:rFonts w:ascii="Arial" w:hAnsi="Arial" w:cs="Arial"/>
          <w:b/>
          <w:sz w:val="28"/>
          <w:szCs w:val="28"/>
        </w:rPr>
        <w:t>1.1 The need for a criminal offence</w:t>
      </w:r>
    </w:p>
    <w:p w:rsidR="00146009" w:rsidRDefault="00146009" w:rsidP="00AB24A3">
      <w:pPr>
        <w:jc w:val="both"/>
        <w:rPr>
          <w:rFonts w:ascii="Arial" w:hAnsi="Arial" w:cs="Arial"/>
        </w:rPr>
      </w:pPr>
    </w:p>
    <w:p w:rsidR="00A75CEA" w:rsidRPr="005A00FC" w:rsidRDefault="00AB24A3" w:rsidP="003111AB">
      <w:pPr>
        <w:jc w:val="both"/>
        <w:rPr>
          <w:rFonts w:ascii="Arial" w:hAnsi="Arial" w:cs="Arial"/>
        </w:rPr>
      </w:pPr>
      <w:r w:rsidRPr="00AB24A3">
        <w:rPr>
          <w:rFonts w:ascii="Arial" w:hAnsi="Arial" w:cs="Arial"/>
        </w:rPr>
        <w:t xml:space="preserve">At one time it was thought that it was sufficient if D committed a civil wrong, such as in </w:t>
      </w:r>
      <w:r w:rsidRPr="00AB24A3">
        <w:rPr>
          <w:rFonts w:ascii="Arial" w:hAnsi="Arial" w:cs="Arial"/>
          <w:i/>
          <w:iCs/>
        </w:rPr>
        <w:t>Fenton</w:t>
      </w:r>
      <w:r w:rsidRPr="00AB24A3">
        <w:rPr>
          <w:rFonts w:ascii="Arial" w:hAnsi="Arial" w:cs="Arial"/>
        </w:rPr>
        <w:t>,</w:t>
      </w:r>
      <w:r w:rsidR="009B76A1">
        <w:rPr>
          <w:rStyle w:val="FootnoteReference"/>
          <w:rFonts w:ascii="Arial" w:hAnsi="Arial" w:cs="Arial"/>
        </w:rPr>
        <w:footnoteReference w:id="2"/>
      </w:r>
      <w:r w:rsidRPr="00AB24A3">
        <w:rPr>
          <w:rFonts w:ascii="Arial" w:hAnsi="Arial" w:cs="Arial"/>
        </w:rPr>
        <w:t xml:space="preserve"> where D was convicted of manslaughter on the basis that he had committed the unlawful act of trespass to property. This approach quickly changed and the law now requires that D commit a criminal offence. In </w:t>
      </w:r>
      <w:r w:rsidRPr="00AB24A3">
        <w:rPr>
          <w:rFonts w:ascii="Arial" w:hAnsi="Arial" w:cs="Arial"/>
          <w:i/>
          <w:iCs/>
        </w:rPr>
        <w:t>Franklin</w:t>
      </w:r>
      <w:r w:rsidRPr="00AB24A3">
        <w:rPr>
          <w:rFonts w:ascii="Arial" w:hAnsi="Arial" w:cs="Arial"/>
        </w:rPr>
        <w:t>,</w:t>
      </w:r>
      <w:r w:rsidR="009B76A1">
        <w:rPr>
          <w:rStyle w:val="FootnoteReference"/>
          <w:rFonts w:ascii="Arial" w:hAnsi="Arial" w:cs="Arial"/>
        </w:rPr>
        <w:footnoteReference w:id="3"/>
      </w:r>
      <w:r w:rsidRPr="00AB24A3">
        <w:rPr>
          <w:rFonts w:ascii="Arial" w:hAnsi="Arial" w:cs="Arial"/>
        </w:rPr>
        <w:t xml:space="preserve"> the court stated that </w:t>
      </w:r>
      <w:r w:rsidR="00F8652E">
        <w:rPr>
          <w:rFonts w:ascii="Arial" w:hAnsi="Arial" w:cs="Arial"/>
        </w:rPr>
        <w:t>‘</w:t>
      </w:r>
      <w:r w:rsidRPr="00AB24A3">
        <w:rPr>
          <w:rFonts w:ascii="Arial" w:hAnsi="Arial" w:cs="Arial"/>
        </w:rPr>
        <w:t>The mere fact of a civil wrong committed by one person against another ought not to be used as an incident wh</w:t>
      </w:r>
      <w:r w:rsidRPr="009D3E22">
        <w:rPr>
          <w:rFonts w:ascii="Arial" w:hAnsi="Arial" w:cs="Arial"/>
        </w:rPr>
        <w:t>ich is a necessary step in a criminal case.</w:t>
      </w:r>
      <w:r w:rsidR="00F8652E">
        <w:rPr>
          <w:rFonts w:ascii="Arial" w:hAnsi="Arial" w:cs="Arial"/>
        </w:rPr>
        <w:t>’</w:t>
      </w:r>
      <w:r w:rsidRPr="009D3E22">
        <w:rPr>
          <w:rFonts w:ascii="Arial" w:hAnsi="Arial" w:cs="Arial"/>
        </w:rPr>
        <w:t xml:space="preserve"> </w:t>
      </w:r>
      <w:r w:rsidR="009D3E22" w:rsidRPr="009D3E22">
        <w:rPr>
          <w:rFonts w:ascii="Arial" w:hAnsi="Arial" w:cs="Arial"/>
        </w:rPr>
        <w:t xml:space="preserve">In </w:t>
      </w:r>
      <w:r w:rsidR="009D3E22" w:rsidRPr="009D3E22">
        <w:rPr>
          <w:rFonts w:ascii="Arial" w:hAnsi="Arial" w:cs="Arial"/>
          <w:i/>
          <w:iCs/>
        </w:rPr>
        <w:t>Lamb</w:t>
      </w:r>
      <w:r w:rsidR="009D3E22" w:rsidRPr="009D3E22">
        <w:rPr>
          <w:rFonts w:ascii="Arial" w:hAnsi="Arial" w:cs="Arial"/>
        </w:rPr>
        <w:t>,</w:t>
      </w:r>
      <w:r w:rsidR="009D3E22" w:rsidRPr="009D3E22">
        <w:rPr>
          <w:rStyle w:val="FootnoteReference"/>
          <w:rFonts w:ascii="Arial" w:hAnsi="Arial" w:cs="Arial"/>
        </w:rPr>
        <w:footnoteReference w:id="4"/>
      </w:r>
      <w:r w:rsidR="009D3E22" w:rsidRPr="009D3E22">
        <w:rPr>
          <w:rFonts w:ascii="Arial" w:hAnsi="Arial" w:cs="Arial"/>
        </w:rPr>
        <w:t xml:space="preserve"> Sachs LJ said that </w:t>
      </w:r>
      <w:r w:rsidR="00F8652E">
        <w:rPr>
          <w:rFonts w:ascii="Arial" w:hAnsi="Arial" w:cs="Arial"/>
        </w:rPr>
        <w:t>‘</w:t>
      </w:r>
      <w:r w:rsidR="009D3E22" w:rsidRPr="009D3E22">
        <w:rPr>
          <w:rFonts w:ascii="Arial" w:hAnsi="Arial" w:cs="Arial"/>
        </w:rPr>
        <w:t xml:space="preserve">in the context of unlawful act manslaughter </w:t>
      </w:r>
      <w:r w:rsidR="00F8652E">
        <w:rPr>
          <w:rFonts w:ascii="Arial" w:hAnsi="Arial" w:cs="Arial"/>
        </w:rPr>
        <w:t>‘</w:t>
      </w:r>
      <w:r w:rsidR="009D3E22" w:rsidRPr="009D3E22">
        <w:rPr>
          <w:rFonts w:ascii="Arial" w:hAnsi="Arial" w:cs="Arial"/>
          <w:color w:val="000000"/>
          <w:shd w:val="clear" w:color="auto" w:fill="FFFFFF"/>
        </w:rPr>
        <w:t>it is long settled that it is not in point to consider whether an act is unlawful merely from the angle of civil liabilities</w:t>
      </w:r>
      <w:r w:rsidR="00F8652E">
        <w:rPr>
          <w:rFonts w:ascii="Arial" w:hAnsi="Arial" w:cs="Arial"/>
        </w:rPr>
        <w:t>’</w:t>
      </w:r>
      <w:r w:rsidR="009D3E22">
        <w:rPr>
          <w:rFonts w:ascii="Arial" w:hAnsi="Arial" w:cs="Arial"/>
        </w:rPr>
        <w:t>.</w:t>
      </w:r>
      <w:r w:rsidR="009D3E22">
        <w:rPr>
          <w:rStyle w:val="FootnoteReference"/>
          <w:rFonts w:ascii="Arial" w:hAnsi="Arial" w:cs="Arial"/>
        </w:rPr>
        <w:footnoteReference w:id="5"/>
      </w:r>
      <w:r w:rsidR="00146009">
        <w:rPr>
          <w:rFonts w:ascii="Arial" w:hAnsi="Arial" w:cs="Arial"/>
        </w:rPr>
        <w:t xml:space="preserve"> </w:t>
      </w:r>
      <w:r w:rsidR="00A75CEA" w:rsidRPr="00A75CEA">
        <w:rPr>
          <w:rFonts w:ascii="Arial" w:hAnsi="Arial" w:cs="Arial"/>
        </w:rPr>
        <w:t xml:space="preserve">This is </w:t>
      </w:r>
      <w:r w:rsidR="00146009">
        <w:rPr>
          <w:rFonts w:ascii="Arial" w:hAnsi="Arial" w:cs="Arial"/>
        </w:rPr>
        <w:t xml:space="preserve">also </w:t>
      </w:r>
      <w:r w:rsidR="00A75CEA" w:rsidRPr="00A75CEA">
        <w:rPr>
          <w:rFonts w:ascii="Arial" w:hAnsi="Arial" w:cs="Arial"/>
        </w:rPr>
        <w:t xml:space="preserve">the position in Australian law. </w:t>
      </w:r>
      <w:r w:rsidR="00146009" w:rsidRPr="00A75CEA">
        <w:rPr>
          <w:rFonts w:ascii="Arial" w:hAnsi="Arial" w:cs="Arial"/>
        </w:rPr>
        <w:t>In</w:t>
      </w:r>
      <w:r w:rsidR="00146009">
        <w:rPr>
          <w:rFonts w:ascii="Arial" w:hAnsi="Arial" w:cs="Arial"/>
        </w:rPr>
        <w:t xml:space="preserve"> </w:t>
      </w:r>
      <w:r w:rsidR="00146009" w:rsidRPr="00A75CEA">
        <w:rPr>
          <w:rFonts w:ascii="Arial" w:hAnsi="Arial" w:cs="Arial"/>
          <w:i/>
        </w:rPr>
        <w:t>Burns</w:t>
      </w:r>
      <w:r w:rsidR="00146009" w:rsidRPr="00A75CEA">
        <w:rPr>
          <w:rFonts w:ascii="Arial" w:hAnsi="Arial" w:cs="Arial"/>
        </w:rPr>
        <w:t>,</w:t>
      </w:r>
      <w:r w:rsidR="00146009">
        <w:rPr>
          <w:rStyle w:val="FootnoteReference"/>
          <w:rFonts w:ascii="Arial" w:hAnsi="Arial" w:cs="Arial"/>
          <w:color w:val="000000"/>
        </w:rPr>
        <w:footnoteReference w:id="6"/>
      </w:r>
      <w:r w:rsidR="00146009" w:rsidRPr="00A75CEA">
        <w:rPr>
          <w:rFonts w:ascii="Arial" w:hAnsi="Arial" w:cs="Arial"/>
        </w:rPr>
        <w:t xml:space="preserve"> </w:t>
      </w:r>
      <w:r w:rsidR="00A75CEA" w:rsidRPr="00A75CEA">
        <w:rPr>
          <w:rFonts w:ascii="Arial" w:hAnsi="Arial" w:cs="Arial"/>
        </w:rPr>
        <w:t xml:space="preserve">French CJ said </w:t>
      </w:r>
      <w:r w:rsidR="00146009">
        <w:rPr>
          <w:rFonts w:ascii="Arial" w:hAnsi="Arial" w:cs="Arial"/>
        </w:rPr>
        <w:t xml:space="preserve">that </w:t>
      </w:r>
      <w:r w:rsidR="00F8652E">
        <w:rPr>
          <w:rFonts w:ascii="Arial" w:hAnsi="Arial" w:cs="Arial"/>
        </w:rPr>
        <w:t>‘</w:t>
      </w:r>
      <w:r w:rsidR="00A75CEA" w:rsidRPr="00A75CEA">
        <w:rPr>
          <w:rFonts w:ascii="Arial" w:hAnsi="Arial" w:cs="Arial"/>
          <w:color w:val="000000"/>
          <w:shd w:val="clear" w:color="auto" w:fill="FFFFFF"/>
        </w:rPr>
        <w:t>An unla</w:t>
      </w:r>
      <w:r w:rsidR="00A75CEA" w:rsidRPr="005A00FC">
        <w:rPr>
          <w:rFonts w:ascii="Arial" w:hAnsi="Arial" w:cs="Arial"/>
          <w:shd w:val="clear" w:color="auto" w:fill="FFFFFF"/>
        </w:rPr>
        <w:t>wful act for the purposes of</w:t>
      </w:r>
      <w:r w:rsidR="00A75CEA" w:rsidRPr="005A00FC">
        <w:rPr>
          <w:rStyle w:val="apple-converted-space"/>
          <w:rFonts w:ascii="Arial" w:hAnsi="Arial" w:cs="Arial"/>
          <w:shd w:val="clear" w:color="auto" w:fill="FFFFFF"/>
        </w:rPr>
        <w:t> </w:t>
      </w:r>
      <w:r w:rsidR="00A75CEA" w:rsidRPr="005A00FC">
        <w:rPr>
          <w:rFonts w:ascii="Arial" w:hAnsi="Arial" w:cs="Arial"/>
          <w:bCs/>
          <w:shd w:val="clear" w:color="auto" w:fill="FFFFFF"/>
        </w:rPr>
        <w:t>unlawful and dangerous act </w:t>
      </w:r>
      <w:r w:rsidR="00A75CEA" w:rsidRPr="005A00FC">
        <w:rPr>
          <w:rFonts w:ascii="Arial" w:hAnsi="Arial" w:cs="Arial"/>
          <w:shd w:val="clear" w:color="auto" w:fill="FFFFFF"/>
        </w:rPr>
        <w:t>manslaughter is one which is a breach of the criminal law</w:t>
      </w:r>
      <w:r w:rsidR="00F8652E" w:rsidRPr="005A00FC">
        <w:rPr>
          <w:rFonts w:ascii="Arial" w:hAnsi="Arial" w:cs="Arial"/>
        </w:rPr>
        <w:t>’</w:t>
      </w:r>
      <w:r w:rsidR="00A75CEA" w:rsidRPr="005A00FC">
        <w:rPr>
          <w:rFonts w:ascii="Arial" w:hAnsi="Arial" w:cs="Arial"/>
        </w:rPr>
        <w:t>.</w:t>
      </w:r>
      <w:r w:rsidR="009D3E22" w:rsidRPr="005A00FC">
        <w:rPr>
          <w:rStyle w:val="FootnoteReference"/>
          <w:rFonts w:ascii="Arial" w:hAnsi="Arial" w:cs="Arial"/>
        </w:rPr>
        <w:footnoteReference w:id="7"/>
      </w:r>
      <w:r w:rsidR="00BB4550" w:rsidRPr="005A00FC">
        <w:rPr>
          <w:rFonts w:ascii="Arial" w:hAnsi="Arial" w:cs="Arial"/>
        </w:rPr>
        <w:t xml:space="preserve"> Canadian </w:t>
      </w:r>
      <w:r w:rsidR="005A00FC" w:rsidRPr="005A00FC">
        <w:rPr>
          <w:rFonts w:ascii="Arial" w:hAnsi="Arial" w:cs="Arial"/>
        </w:rPr>
        <w:t xml:space="preserve">courts have stated that </w:t>
      </w:r>
      <w:r w:rsidR="003111AB">
        <w:rPr>
          <w:rFonts w:ascii="Arial" w:hAnsi="Arial" w:cs="Arial"/>
        </w:rPr>
        <w:t xml:space="preserve">‘the </w:t>
      </w:r>
      <w:proofErr w:type="spellStart"/>
      <w:r w:rsidR="003111AB" w:rsidRPr="003111AB">
        <w:rPr>
          <w:rFonts w:ascii="Arial" w:hAnsi="Arial" w:cs="Arial"/>
          <w:i/>
        </w:rPr>
        <w:t>actus</w:t>
      </w:r>
      <w:proofErr w:type="spellEnd"/>
      <w:r w:rsidR="003111AB" w:rsidRPr="003111AB">
        <w:rPr>
          <w:rFonts w:ascii="Arial" w:hAnsi="Arial" w:cs="Arial"/>
          <w:i/>
        </w:rPr>
        <w:t xml:space="preserve"> </w:t>
      </w:r>
      <w:proofErr w:type="spellStart"/>
      <w:r w:rsidR="003111AB" w:rsidRPr="003111AB">
        <w:rPr>
          <w:rFonts w:ascii="Arial" w:hAnsi="Arial" w:cs="Arial"/>
          <w:i/>
        </w:rPr>
        <w:t>reus</w:t>
      </w:r>
      <w:proofErr w:type="spellEnd"/>
      <w:r w:rsidR="003111AB">
        <w:rPr>
          <w:rFonts w:ascii="Arial" w:hAnsi="Arial" w:cs="Arial"/>
        </w:rPr>
        <w:t xml:space="preserve"> of unlawful act manslaughter is the </w:t>
      </w:r>
      <w:proofErr w:type="spellStart"/>
      <w:r w:rsidR="003111AB" w:rsidRPr="003111AB">
        <w:rPr>
          <w:rFonts w:ascii="Arial" w:hAnsi="Arial" w:cs="Arial"/>
          <w:i/>
        </w:rPr>
        <w:t>actus</w:t>
      </w:r>
      <w:proofErr w:type="spellEnd"/>
      <w:r w:rsidR="003111AB" w:rsidRPr="003111AB">
        <w:rPr>
          <w:rFonts w:ascii="Arial" w:hAnsi="Arial" w:cs="Arial"/>
          <w:i/>
        </w:rPr>
        <w:t xml:space="preserve"> </w:t>
      </w:r>
      <w:proofErr w:type="spellStart"/>
      <w:r w:rsidR="003111AB" w:rsidRPr="003111AB">
        <w:rPr>
          <w:rFonts w:ascii="Arial" w:hAnsi="Arial" w:cs="Arial"/>
          <w:i/>
        </w:rPr>
        <w:t>reus</w:t>
      </w:r>
      <w:proofErr w:type="spellEnd"/>
      <w:r w:rsidR="003111AB">
        <w:rPr>
          <w:rFonts w:ascii="Arial" w:hAnsi="Arial" w:cs="Arial"/>
        </w:rPr>
        <w:t xml:space="preserve"> of the predicate offence’</w:t>
      </w:r>
      <w:r w:rsidR="005A00FC" w:rsidRPr="005A00FC">
        <w:rPr>
          <w:rFonts w:ascii="Arial" w:hAnsi="Arial" w:cs="Arial"/>
        </w:rPr>
        <w:t xml:space="preserve"> the use of the word ‘offence’ implying that an underlying civil wrong would fall short of the standard required.</w:t>
      </w:r>
      <w:r w:rsidR="003111AB">
        <w:rPr>
          <w:rStyle w:val="FootnoteReference"/>
          <w:rFonts w:ascii="Arial" w:hAnsi="Arial" w:cs="Arial"/>
        </w:rPr>
        <w:footnoteReference w:id="8"/>
      </w:r>
    </w:p>
    <w:p w:rsidR="00A75CEA" w:rsidRPr="005A00FC" w:rsidRDefault="00A75CEA" w:rsidP="00AB24A3">
      <w:pPr>
        <w:jc w:val="both"/>
        <w:rPr>
          <w:rFonts w:ascii="Arial" w:hAnsi="Arial" w:cs="Arial"/>
        </w:rPr>
      </w:pPr>
    </w:p>
    <w:p w:rsidR="00EF1211" w:rsidRPr="00D30EEB" w:rsidRDefault="00146009" w:rsidP="00056F5F">
      <w:pPr>
        <w:widowControl/>
        <w:kinsoku/>
        <w:overflowPunct/>
        <w:jc w:val="both"/>
        <w:textAlignment w:val="auto"/>
        <w:rPr>
          <w:rFonts w:ascii="Arial" w:hAnsi="Arial" w:cs="Arial"/>
        </w:rPr>
      </w:pPr>
      <w:r>
        <w:rPr>
          <w:rFonts w:ascii="Arial" w:hAnsi="Arial" w:cs="Arial"/>
        </w:rPr>
        <w:t>In the English jurisprudence t</w:t>
      </w:r>
      <w:r w:rsidR="00EF1211" w:rsidRPr="00C760FB">
        <w:rPr>
          <w:rFonts w:ascii="Arial" w:hAnsi="Arial" w:cs="Arial"/>
        </w:rPr>
        <w:t>he criminal act</w:t>
      </w:r>
      <w:r>
        <w:rPr>
          <w:rFonts w:ascii="Arial" w:hAnsi="Arial" w:cs="Arial"/>
        </w:rPr>
        <w:t>s</w:t>
      </w:r>
      <w:r w:rsidR="00EF1211" w:rsidRPr="00C760FB">
        <w:rPr>
          <w:rFonts w:ascii="Arial" w:hAnsi="Arial" w:cs="Arial"/>
        </w:rPr>
        <w:t xml:space="preserve"> </w:t>
      </w:r>
      <w:r>
        <w:rPr>
          <w:rFonts w:ascii="Arial" w:hAnsi="Arial" w:cs="Arial"/>
        </w:rPr>
        <w:t>are</w:t>
      </w:r>
      <w:r w:rsidR="00EF1211" w:rsidRPr="00C760FB">
        <w:rPr>
          <w:rFonts w:ascii="Arial" w:hAnsi="Arial" w:cs="Arial"/>
        </w:rPr>
        <w:t xml:space="preserve"> typically assault</w:t>
      </w:r>
      <w:r w:rsidR="00D30EEB">
        <w:rPr>
          <w:rFonts w:ascii="Arial" w:hAnsi="Arial" w:cs="Arial"/>
        </w:rPr>
        <w:t>,</w:t>
      </w:r>
      <w:r w:rsidR="00EF1211" w:rsidRPr="00C760FB">
        <w:rPr>
          <w:rStyle w:val="FootnoteReference"/>
          <w:rFonts w:ascii="Arial" w:hAnsi="Arial" w:cs="Arial"/>
        </w:rPr>
        <w:footnoteReference w:id="9"/>
      </w:r>
      <w:r w:rsidR="00EF1211" w:rsidRPr="00C760FB">
        <w:rPr>
          <w:rFonts w:ascii="Arial" w:hAnsi="Arial" w:cs="Arial"/>
        </w:rPr>
        <w:t xml:space="preserve"> battery</w:t>
      </w:r>
      <w:r w:rsidR="00D30EEB">
        <w:rPr>
          <w:rFonts w:ascii="Arial" w:hAnsi="Arial" w:cs="Arial"/>
        </w:rPr>
        <w:t>,</w:t>
      </w:r>
      <w:r w:rsidR="00D30EEB" w:rsidRPr="00C760FB">
        <w:rPr>
          <w:rStyle w:val="FootnoteReference"/>
          <w:rFonts w:ascii="Arial" w:hAnsi="Arial" w:cs="Arial"/>
        </w:rPr>
        <w:footnoteReference w:id="10"/>
      </w:r>
      <w:r w:rsidR="00D30EEB">
        <w:rPr>
          <w:rFonts w:ascii="Arial" w:hAnsi="Arial" w:cs="Arial"/>
        </w:rPr>
        <w:t xml:space="preserve"> or assault occasioning actual bodily harm</w:t>
      </w:r>
      <w:r w:rsidR="00EF1211" w:rsidRPr="00C760FB">
        <w:rPr>
          <w:rFonts w:ascii="Arial" w:hAnsi="Arial" w:cs="Arial"/>
        </w:rPr>
        <w:t>.</w:t>
      </w:r>
      <w:r w:rsidR="00D30EEB">
        <w:rPr>
          <w:rStyle w:val="FootnoteReference"/>
          <w:rFonts w:ascii="Arial" w:hAnsi="Arial" w:cs="Arial"/>
        </w:rPr>
        <w:footnoteReference w:id="11"/>
      </w:r>
      <w:r w:rsidR="00EF1211" w:rsidRPr="00C760FB">
        <w:rPr>
          <w:rFonts w:ascii="Arial" w:hAnsi="Arial" w:cs="Arial"/>
        </w:rPr>
        <w:t xml:space="preserve"> However, convictions have been obtained using </w:t>
      </w:r>
      <w:r w:rsidR="00056F5F">
        <w:rPr>
          <w:rFonts w:ascii="Arial" w:eastAsiaTheme="minorEastAsia" w:hAnsi="Arial" w:cs="Arial" w:hint="eastAsia"/>
          <w:lang w:eastAsia="zh-CN"/>
        </w:rPr>
        <w:t>the crimes of procuring miscarriage,</w:t>
      </w:r>
      <w:r w:rsidR="00056F5F">
        <w:rPr>
          <w:rStyle w:val="FootnoteReference"/>
          <w:rFonts w:ascii="Arial" w:eastAsiaTheme="minorEastAsia" w:hAnsi="Arial" w:cs="Arial"/>
          <w:lang w:eastAsia="zh-CN"/>
        </w:rPr>
        <w:footnoteReference w:id="12"/>
      </w:r>
      <w:r w:rsidR="00056F5F" w:rsidRPr="00C760FB">
        <w:rPr>
          <w:rFonts w:ascii="Arial" w:hAnsi="Arial" w:cs="Arial"/>
        </w:rPr>
        <w:t xml:space="preserve"> </w:t>
      </w:r>
      <w:r w:rsidR="00EF1211" w:rsidRPr="00C760FB">
        <w:rPr>
          <w:rFonts w:ascii="Arial" w:hAnsi="Arial" w:cs="Arial"/>
        </w:rPr>
        <w:t>the administration of a noxious substance,</w:t>
      </w:r>
      <w:r w:rsidR="00EF1211" w:rsidRPr="00C760FB">
        <w:rPr>
          <w:rStyle w:val="FootnoteReference"/>
          <w:rFonts w:ascii="Arial" w:hAnsi="Arial" w:cs="Arial"/>
          <w:iCs/>
        </w:rPr>
        <w:footnoteReference w:id="13"/>
      </w:r>
      <w:r w:rsidR="00EF1211" w:rsidRPr="00C760FB">
        <w:rPr>
          <w:rFonts w:ascii="Arial" w:hAnsi="Arial" w:cs="Arial"/>
        </w:rPr>
        <w:t xml:space="preserve"> </w:t>
      </w:r>
      <w:r w:rsidR="00ED157B" w:rsidRPr="00A14BD9">
        <w:rPr>
          <w:rFonts w:ascii="Arial" w:hAnsi="Arial" w:cs="Arial"/>
        </w:rPr>
        <w:t>criminal damage</w:t>
      </w:r>
      <w:r w:rsidR="00ED157B">
        <w:rPr>
          <w:rFonts w:ascii="Arial" w:hAnsi="Arial" w:cs="Arial"/>
        </w:rPr>
        <w:t>,</w:t>
      </w:r>
      <w:r w:rsidR="00ED157B" w:rsidRPr="00ED157B">
        <w:rPr>
          <w:rStyle w:val="FootnoteReference"/>
          <w:rFonts w:ascii="Arial" w:hAnsi="Arial" w:cs="Arial"/>
          <w:iCs/>
        </w:rPr>
        <w:footnoteReference w:id="14"/>
      </w:r>
      <w:r w:rsidR="00ED157B" w:rsidRPr="00A14BD9">
        <w:rPr>
          <w:rFonts w:ascii="Arial" w:hAnsi="Arial" w:cs="Arial"/>
        </w:rPr>
        <w:t xml:space="preserve"> </w:t>
      </w:r>
      <w:r w:rsidR="006F3B4D" w:rsidRPr="00A14BD9">
        <w:rPr>
          <w:rFonts w:ascii="Arial" w:hAnsi="Arial" w:cs="Arial"/>
        </w:rPr>
        <w:t>arson</w:t>
      </w:r>
      <w:r w:rsidR="006F3B4D">
        <w:rPr>
          <w:rFonts w:ascii="Arial" w:hAnsi="Arial" w:cs="Arial"/>
        </w:rPr>
        <w:t>,</w:t>
      </w:r>
      <w:r w:rsidR="006F3B4D" w:rsidRPr="00A14BD9">
        <w:rPr>
          <w:rStyle w:val="FootnoteReference"/>
          <w:rFonts w:ascii="Arial" w:hAnsi="Arial" w:cs="Arial"/>
        </w:rPr>
        <w:footnoteReference w:id="15"/>
      </w:r>
      <w:r w:rsidR="006F3B4D">
        <w:rPr>
          <w:rFonts w:ascii="Arial" w:hAnsi="Arial" w:cs="Arial"/>
        </w:rPr>
        <w:t xml:space="preserve"> </w:t>
      </w:r>
      <w:r w:rsidR="00012319" w:rsidRPr="00C760FB">
        <w:rPr>
          <w:rFonts w:ascii="Arial" w:hAnsi="Arial" w:cs="Arial"/>
        </w:rPr>
        <w:t>attempted robbery,</w:t>
      </w:r>
      <w:r w:rsidR="00012319" w:rsidRPr="00C760FB">
        <w:rPr>
          <w:rStyle w:val="FootnoteReference"/>
          <w:rFonts w:ascii="Arial" w:hAnsi="Arial" w:cs="Arial"/>
          <w:iCs/>
        </w:rPr>
        <w:footnoteReference w:id="16"/>
      </w:r>
      <w:r w:rsidR="00012319" w:rsidRPr="00C760FB">
        <w:rPr>
          <w:rFonts w:ascii="Arial" w:hAnsi="Arial" w:cs="Arial"/>
        </w:rPr>
        <w:t xml:space="preserve"> </w:t>
      </w:r>
      <w:r w:rsidR="00ED157B" w:rsidRPr="00A14BD9">
        <w:rPr>
          <w:rFonts w:ascii="Arial" w:hAnsi="Arial" w:cs="Arial"/>
        </w:rPr>
        <w:t>burglary</w:t>
      </w:r>
      <w:r w:rsidR="00ED157B">
        <w:rPr>
          <w:rFonts w:ascii="Arial" w:hAnsi="Arial" w:cs="Arial"/>
        </w:rPr>
        <w:t>,</w:t>
      </w:r>
      <w:r w:rsidR="00ED157B" w:rsidRPr="00A14BD9">
        <w:rPr>
          <w:rStyle w:val="FootnoteReference"/>
          <w:rFonts w:ascii="Arial" w:hAnsi="Arial" w:cs="Arial"/>
        </w:rPr>
        <w:footnoteReference w:id="17"/>
      </w:r>
      <w:r w:rsidR="0054639D">
        <w:rPr>
          <w:rFonts w:ascii="Arial" w:hAnsi="Arial" w:cs="Arial"/>
        </w:rPr>
        <w:t xml:space="preserve"> </w:t>
      </w:r>
      <w:r w:rsidR="00C760FB" w:rsidRPr="00C760FB">
        <w:rPr>
          <w:rFonts w:ascii="Arial" w:hAnsi="Arial" w:cs="Arial"/>
          <w:color w:val="000000"/>
          <w:shd w:val="clear" w:color="auto" w:fill="FFFFFF"/>
        </w:rPr>
        <w:t xml:space="preserve">carrying an </w:t>
      </w:r>
      <w:r w:rsidR="00C760FB" w:rsidRPr="00C760FB">
        <w:rPr>
          <w:rFonts w:ascii="Arial" w:hAnsi="Arial" w:cs="Arial"/>
          <w:color w:val="000000"/>
          <w:shd w:val="clear" w:color="auto" w:fill="FFFFFF"/>
        </w:rPr>
        <w:lastRenderedPageBreak/>
        <w:t>offensive weapon,</w:t>
      </w:r>
      <w:r w:rsidR="00C760FB" w:rsidRPr="00C760FB">
        <w:rPr>
          <w:rStyle w:val="FootnoteReference"/>
          <w:rFonts w:ascii="Arial" w:hAnsi="Arial" w:cs="Arial"/>
        </w:rPr>
        <w:footnoteReference w:id="18"/>
      </w:r>
      <w:r w:rsidR="00C760FB" w:rsidRPr="00C760FB">
        <w:rPr>
          <w:rFonts w:ascii="Arial" w:hAnsi="Arial" w:cs="Arial"/>
        </w:rPr>
        <w:t xml:space="preserve"> </w:t>
      </w:r>
      <w:r w:rsidR="00F279F4" w:rsidRPr="00D30EEB">
        <w:rPr>
          <w:rFonts w:ascii="Arial" w:hAnsi="Arial" w:cs="Arial"/>
        </w:rPr>
        <w:t>a</w:t>
      </w:r>
      <w:r w:rsidR="00F279F4" w:rsidRPr="00D30EEB">
        <w:rPr>
          <w:rFonts w:ascii="Arial" w:hAnsi="Arial" w:cs="Arial"/>
          <w:bCs/>
          <w:iCs/>
          <w:color w:val="000000"/>
        </w:rPr>
        <w:t>dministering a prescription-only medicine</w:t>
      </w:r>
      <w:r w:rsidR="00F279F4" w:rsidRPr="00D30EEB">
        <w:rPr>
          <w:rStyle w:val="documentbody1"/>
          <w:rFonts w:ascii="Arial" w:hAnsi="Arial" w:cs="Arial"/>
          <w:color w:val="000000"/>
          <w:sz w:val="24"/>
          <w:szCs w:val="24"/>
        </w:rPr>
        <w:t>,</w:t>
      </w:r>
      <w:r w:rsidR="00F279F4" w:rsidRPr="00D30EEB">
        <w:rPr>
          <w:rStyle w:val="FootnoteReference"/>
          <w:rFonts w:ascii="Arial" w:hAnsi="Arial" w:cs="Arial"/>
          <w:color w:val="000000"/>
        </w:rPr>
        <w:footnoteReference w:id="19"/>
      </w:r>
      <w:r w:rsidR="00F279F4">
        <w:rPr>
          <w:rStyle w:val="documentbody1"/>
          <w:rFonts w:ascii="Arial" w:hAnsi="Arial" w:cs="Arial"/>
          <w:color w:val="000000"/>
          <w:sz w:val="24"/>
          <w:szCs w:val="24"/>
        </w:rPr>
        <w:t xml:space="preserve"> </w:t>
      </w:r>
      <w:r w:rsidR="00F279F4" w:rsidRPr="00C760FB">
        <w:rPr>
          <w:rFonts w:ascii="Arial" w:hAnsi="Arial" w:cs="Arial"/>
        </w:rPr>
        <w:t>af</w:t>
      </w:r>
      <w:r w:rsidR="00F279F4" w:rsidRPr="00D30EEB">
        <w:rPr>
          <w:rFonts w:ascii="Arial" w:hAnsi="Arial" w:cs="Arial"/>
        </w:rPr>
        <w:t>fray,</w:t>
      </w:r>
      <w:r w:rsidR="00F279F4" w:rsidRPr="00D30EEB">
        <w:rPr>
          <w:rStyle w:val="FootnoteReference"/>
          <w:rFonts w:ascii="Arial" w:hAnsi="Arial" w:cs="Arial"/>
        </w:rPr>
        <w:footnoteReference w:id="20"/>
      </w:r>
      <w:r w:rsidR="00F279F4" w:rsidRPr="00D30EEB">
        <w:rPr>
          <w:rFonts w:ascii="Arial" w:hAnsi="Arial" w:cs="Arial"/>
        </w:rPr>
        <w:t xml:space="preserve"> </w:t>
      </w:r>
      <w:r w:rsidR="00EF1211" w:rsidRPr="00D30EEB">
        <w:rPr>
          <w:rFonts w:ascii="Arial" w:hAnsi="Arial" w:cs="Arial"/>
        </w:rPr>
        <w:t>cruelty to a person under 16,</w:t>
      </w:r>
      <w:r w:rsidR="00EF1211" w:rsidRPr="00D30EEB">
        <w:rPr>
          <w:rStyle w:val="FootnoteReference"/>
          <w:rFonts w:ascii="Arial" w:hAnsi="Arial" w:cs="Arial"/>
          <w:iCs/>
        </w:rPr>
        <w:footnoteReference w:id="21"/>
      </w:r>
      <w:r w:rsidR="00EF1211" w:rsidRPr="00D30EEB">
        <w:rPr>
          <w:rFonts w:ascii="Arial" w:hAnsi="Arial" w:cs="Arial"/>
        </w:rPr>
        <w:t xml:space="preserve"> </w:t>
      </w:r>
      <w:r w:rsidR="00512C44">
        <w:rPr>
          <w:rFonts w:ascii="Arial" w:hAnsi="Arial" w:cs="Arial"/>
        </w:rPr>
        <w:t>violent disorder,</w:t>
      </w:r>
      <w:r w:rsidR="00512C44">
        <w:rPr>
          <w:rStyle w:val="FootnoteReference"/>
          <w:rFonts w:ascii="Arial" w:hAnsi="Arial" w:cs="Arial"/>
        </w:rPr>
        <w:footnoteReference w:id="22"/>
      </w:r>
      <w:r w:rsidR="00512C44">
        <w:rPr>
          <w:rFonts w:ascii="Arial" w:hAnsi="Arial" w:cs="Arial"/>
        </w:rPr>
        <w:t xml:space="preserve"> </w:t>
      </w:r>
      <w:r w:rsidR="0054639D" w:rsidRPr="00D30EEB">
        <w:rPr>
          <w:rFonts w:ascii="Arial" w:hAnsi="Arial" w:cs="Arial"/>
        </w:rPr>
        <w:t>theft,</w:t>
      </w:r>
      <w:r w:rsidR="0054639D" w:rsidRPr="00D30EEB">
        <w:rPr>
          <w:rStyle w:val="FootnoteReference"/>
          <w:rFonts w:ascii="Arial" w:hAnsi="Arial" w:cs="Arial"/>
          <w:iCs/>
        </w:rPr>
        <w:footnoteReference w:id="23"/>
      </w:r>
      <w:r w:rsidR="0054639D" w:rsidRPr="00D30EEB">
        <w:rPr>
          <w:rFonts w:ascii="Arial" w:hAnsi="Arial" w:cs="Arial"/>
        </w:rPr>
        <w:t xml:space="preserve"> </w:t>
      </w:r>
      <w:r w:rsidR="00EF1211" w:rsidRPr="00D30EEB">
        <w:rPr>
          <w:rFonts w:ascii="Arial" w:hAnsi="Arial" w:cs="Arial"/>
        </w:rPr>
        <w:t>and endangering road users.</w:t>
      </w:r>
      <w:r w:rsidR="00EF1211" w:rsidRPr="00D30EEB">
        <w:rPr>
          <w:rStyle w:val="FootnoteReference"/>
          <w:rFonts w:ascii="Arial" w:hAnsi="Arial" w:cs="Arial"/>
          <w:iCs/>
        </w:rPr>
        <w:footnoteReference w:id="24"/>
      </w:r>
    </w:p>
    <w:p w:rsidR="00EF1211" w:rsidRPr="00D30EEB" w:rsidRDefault="00146009" w:rsidP="00146009">
      <w:pPr>
        <w:tabs>
          <w:tab w:val="left" w:pos="7725"/>
        </w:tabs>
        <w:jc w:val="both"/>
        <w:rPr>
          <w:rFonts w:ascii="Arial" w:hAnsi="Arial" w:cs="Arial"/>
        </w:rPr>
      </w:pPr>
      <w:r>
        <w:rPr>
          <w:rFonts w:ascii="Arial" w:hAnsi="Arial" w:cs="Arial"/>
        </w:rPr>
        <w:tab/>
      </w:r>
    </w:p>
    <w:p w:rsidR="008B0286" w:rsidRDefault="00EF1211" w:rsidP="00EF1211">
      <w:pPr>
        <w:jc w:val="both"/>
        <w:rPr>
          <w:rFonts w:ascii="Arial" w:hAnsi="Arial" w:cs="Arial"/>
          <w:spacing w:val="-3"/>
        </w:rPr>
      </w:pPr>
      <w:r w:rsidRPr="0054639D">
        <w:rPr>
          <w:rFonts w:ascii="Arial" w:hAnsi="Arial" w:cs="Arial"/>
        </w:rPr>
        <w:t>I</w:t>
      </w:r>
      <w:r w:rsidRPr="00512C44">
        <w:rPr>
          <w:rFonts w:ascii="Arial" w:hAnsi="Arial" w:cs="Arial"/>
        </w:rPr>
        <w:t xml:space="preserve">n the Canadian case law, </w:t>
      </w:r>
      <w:r w:rsidR="008F79A4">
        <w:rPr>
          <w:rFonts w:ascii="Arial" w:hAnsi="Arial" w:cs="Arial"/>
        </w:rPr>
        <w:t xml:space="preserve">the </w:t>
      </w:r>
      <w:r w:rsidR="008F79A4" w:rsidRPr="00512C44">
        <w:rPr>
          <w:rFonts w:ascii="Arial" w:hAnsi="Arial" w:cs="Arial"/>
        </w:rPr>
        <w:t xml:space="preserve">typical unlawful acts </w:t>
      </w:r>
      <w:r w:rsidR="008F79A4">
        <w:rPr>
          <w:rFonts w:ascii="Arial" w:hAnsi="Arial" w:cs="Arial"/>
        </w:rPr>
        <w:t xml:space="preserve">are </w:t>
      </w:r>
      <w:r w:rsidRPr="00512C44">
        <w:rPr>
          <w:rFonts w:ascii="Arial" w:hAnsi="Arial" w:cs="Arial"/>
        </w:rPr>
        <w:t>assault and/or battery</w:t>
      </w:r>
      <w:r w:rsidR="008F79A4">
        <w:rPr>
          <w:rFonts w:ascii="Arial" w:hAnsi="Arial" w:cs="Arial"/>
        </w:rPr>
        <w:t>,</w:t>
      </w:r>
      <w:r w:rsidR="00191406" w:rsidRPr="00512C44">
        <w:rPr>
          <w:rStyle w:val="FootnoteReference"/>
          <w:rFonts w:ascii="Arial" w:hAnsi="Arial" w:cs="Arial"/>
        </w:rPr>
        <w:footnoteReference w:id="25"/>
      </w:r>
      <w:r w:rsidR="00851EF2" w:rsidRPr="00512C44">
        <w:rPr>
          <w:rFonts w:ascii="Arial" w:eastAsiaTheme="minorEastAsia" w:hAnsi="Arial" w:cs="Arial" w:hint="eastAsia"/>
          <w:lang w:eastAsia="zh-CN"/>
        </w:rPr>
        <w:t xml:space="preserve"> </w:t>
      </w:r>
      <w:r w:rsidR="008F79A4">
        <w:rPr>
          <w:rFonts w:ascii="Arial" w:eastAsiaTheme="minorEastAsia" w:hAnsi="Arial" w:cs="Arial"/>
          <w:lang w:eastAsia="zh-CN"/>
        </w:rPr>
        <w:t>but</w:t>
      </w:r>
      <w:r w:rsidR="00512C44" w:rsidRPr="00512C44">
        <w:rPr>
          <w:rFonts w:ascii="Arial" w:eastAsiaTheme="minorEastAsia" w:hAnsi="Arial" w:cs="Arial"/>
          <w:lang w:eastAsia="zh-CN"/>
        </w:rPr>
        <w:t xml:space="preserve"> manslaughter is not restricted to such crimes. In </w:t>
      </w:r>
      <w:r w:rsidR="00512C44" w:rsidRPr="00512C44">
        <w:rPr>
          <w:rFonts w:ascii="Arial" w:hAnsi="Arial" w:cs="Arial"/>
          <w:bCs/>
          <w:i/>
          <w:iCs/>
        </w:rPr>
        <w:t>Worrall</w:t>
      </w:r>
      <w:r w:rsidR="00512C44" w:rsidRPr="00512C44">
        <w:rPr>
          <w:rFonts w:ascii="Arial" w:hAnsi="Arial" w:cs="Arial"/>
          <w:bCs/>
        </w:rPr>
        <w:t>,</w:t>
      </w:r>
      <w:r w:rsidR="00512C44" w:rsidRPr="00512C44">
        <w:rPr>
          <w:rStyle w:val="FootnoteReference"/>
          <w:rFonts w:ascii="Arial" w:hAnsi="Arial" w:cs="Arial"/>
          <w:bCs/>
        </w:rPr>
        <w:footnoteReference w:id="26"/>
      </w:r>
      <w:r w:rsidR="00512C44" w:rsidRPr="00512C44">
        <w:rPr>
          <w:rFonts w:ascii="Arial" w:hAnsi="Arial" w:cs="Arial"/>
          <w:bCs/>
        </w:rPr>
        <w:t xml:space="preserve"> Watt J said </w:t>
      </w:r>
      <w:r w:rsidR="00512C44">
        <w:rPr>
          <w:rFonts w:ascii="Arial" w:hAnsi="Arial" w:cs="Arial"/>
          <w:bCs/>
        </w:rPr>
        <w:t xml:space="preserve">that </w:t>
      </w:r>
      <w:r w:rsidR="00F8652E">
        <w:rPr>
          <w:rFonts w:ascii="Arial" w:hAnsi="Arial" w:cs="Arial"/>
          <w:bCs/>
        </w:rPr>
        <w:t>‘</w:t>
      </w:r>
      <w:r w:rsidR="00512C44" w:rsidRPr="00512C44">
        <w:rPr>
          <w:rFonts w:ascii="Arial" w:hAnsi="Arial" w:cs="Arial"/>
        </w:rPr>
        <w:t>In practice, the unlawful act is usually an assault, or some offence against the person of another. But it is not always and does not have to be so</w:t>
      </w:r>
      <w:r w:rsidR="00F8652E">
        <w:rPr>
          <w:rFonts w:ascii="Arial" w:hAnsi="Arial" w:cs="Arial"/>
        </w:rPr>
        <w:t>’</w:t>
      </w:r>
      <w:r w:rsidR="00512C44">
        <w:rPr>
          <w:rFonts w:ascii="Arial" w:hAnsi="Arial" w:cs="Arial"/>
        </w:rPr>
        <w:t>.</w:t>
      </w:r>
      <w:r w:rsidR="00C22DF0">
        <w:rPr>
          <w:rStyle w:val="FootnoteReference"/>
          <w:rFonts w:ascii="Arial" w:hAnsi="Arial" w:cs="Arial"/>
        </w:rPr>
        <w:footnoteReference w:id="27"/>
      </w:r>
      <w:r w:rsidR="00512C44" w:rsidRPr="00512C44">
        <w:rPr>
          <w:rFonts w:ascii="Arial" w:hAnsi="Arial" w:cs="Arial"/>
        </w:rPr>
        <w:t xml:space="preserve"> In that case, the unlawful act was trafficking in a controlled substance (specifically, heroin).</w:t>
      </w:r>
      <w:r w:rsidR="009C5F17">
        <w:rPr>
          <w:rStyle w:val="FootnoteReference"/>
          <w:rFonts w:ascii="Arial" w:hAnsi="Arial" w:cs="Arial"/>
        </w:rPr>
        <w:footnoteReference w:id="28"/>
      </w:r>
      <w:r w:rsidR="00512C44" w:rsidRPr="00512C44">
        <w:rPr>
          <w:rFonts w:ascii="Arial" w:hAnsi="Arial" w:cs="Arial"/>
        </w:rPr>
        <w:t xml:space="preserve"> </w:t>
      </w:r>
      <w:r w:rsidR="005C1CB8">
        <w:rPr>
          <w:rFonts w:ascii="Arial" w:hAnsi="Arial" w:cs="Arial"/>
        </w:rPr>
        <w:t xml:space="preserve">The same unlawful act was the underlying offence in the leading Canadian manslaughter case, </w:t>
      </w:r>
      <w:r w:rsidR="005C1CB8" w:rsidRPr="005C1CB8">
        <w:rPr>
          <w:rFonts w:ascii="Arial" w:hAnsi="Arial" w:cs="Arial"/>
          <w:i/>
        </w:rPr>
        <w:t>Creighton</w:t>
      </w:r>
      <w:r w:rsidR="005C1CB8">
        <w:rPr>
          <w:rFonts w:ascii="Arial" w:hAnsi="Arial" w:cs="Arial"/>
        </w:rPr>
        <w:t>.</w:t>
      </w:r>
      <w:r w:rsidR="005C1CB8" w:rsidRPr="005578D7">
        <w:rPr>
          <w:rStyle w:val="FootnoteReference"/>
          <w:rFonts w:ascii="Arial" w:hAnsi="Arial" w:cs="Arial"/>
        </w:rPr>
        <w:footnoteReference w:id="29"/>
      </w:r>
      <w:r w:rsidR="005C1CB8" w:rsidRPr="005578D7">
        <w:rPr>
          <w:rFonts w:ascii="Arial" w:hAnsi="Arial" w:cs="Arial"/>
        </w:rPr>
        <w:t xml:space="preserve"> </w:t>
      </w:r>
      <w:r w:rsidRPr="00512C44">
        <w:rPr>
          <w:rFonts w:ascii="Arial" w:hAnsi="Arial" w:cs="Arial"/>
        </w:rPr>
        <w:t xml:space="preserve">A number of </w:t>
      </w:r>
      <w:r w:rsidR="005C1CB8">
        <w:rPr>
          <w:rFonts w:ascii="Arial" w:hAnsi="Arial" w:cs="Arial"/>
        </w:rPr>
        <w:t xml:space="preserve">Canadian </w:t>
      </w:r>
      <w:r w:rsidRPr="00512C44">
        <w:rPr>
          <w:rFonts w:ascii="Arial" w:hAnsi="Arial" w:cs="Arial"/>
        </w:rPr>
        <w:t xml:space="preserve">cases involve firearms offences, including the careless use </w:t>
      </w:r>
      <w:r w:rsidR="00FD725B" w:rsidRPr="00512C44">
        <w:rPr>
          <w:rFonts w:ascii="Arial" w:eastAsiaTheme="minorEastAsia" w:hAnsi="Arial" w:cs="Arial" w:hint="eastAsia"/>
          <w:lang w:eastAsia="zh-CN"/>
        </w:rPr>
        <w:t xml:space="preserve">or handling </w:t>
      </w:r>
      <w:r w:rsidRPr="00512C44">
        <w:rPr>
          <w:rFonts w:ascii="Arial" w:hAnsi="Arial" w:cs="Arial"/>
        </w:rPr>
        <w:t>of a firearm</w:t>
      </w:r>
      <w:r w:rsidR="00012319" w:rsidRPr="00512C44">
        <w:rPr>
          <w:rFonts w:ascii="Arial" w:hAnsi="Arial" w:cs="Arial"/>
        </w:rPr>
        <w:t>;</w:t>
      </w:r>
      <w:r w:rsidRPr="00512C44">
        <w:rPr>
          <w:rStyle w:val="FootnoteReference"/>
          <w:rFonts w:ascii="Arial" w:hAnsi="Arial" w:cs="Arial"/>
        </w:rPr>
        <w:footnoteReference w:id="30"/>
      </w:r>
      <w:r w:rsidR="00012319" w:rsidRPr="00512C44">
        <w:rPr>
          <w:rFonts w:ascii="Arial" w:hAnsi="Arial" w:cs="Arial"/>
        </w:rPr>
        <w:t xml:space="preserve"> </w:t>
      </w:r>
      <w:r w:rsidR="00012319" w:rsidRPr="00512C44">
        <w:rPr>
          <w:rFonts w:ascii="Arial" w:hAnsi="Arial" w:cs="Arial"/>
          <w:spacing w:val="-3"/>
        </w:rPr>
        <w:t>poi</w:t>
      </w:r>
      <w:r w:rsidR="00012319" w:rsidRPr="00C760FB">
        <w:rPr>
          <w:rFonts w:ascii="Arial" w:hAnsi="Arial" w:cs="Arial"/>
          <w:spacing w:val="-3"/>
        </w:rPr>
        <w:t>nting a firearm without lawful excuse;</w:t>
      </w:r>
      <w:r w:rsidR="00012319" w:rsidRPr="00C760FB">
        <w:rPr>
          <w:rStyle w:val="FootnoteReference"/>
          <w:rFonts w:ascii="Arial" w:hAnsi="Arial" w:cs="Arial"/>
          <w:spacing w:val="-3"/>
        </w:rPr>
        <w:footnoteReference w:id="31"/>
      </w:r>
      <w:r w:rsidR="00012319" w:rsidRPr="00C760FB">
        <w:rPr>
          <w:rFonts w:ascii="Arial" w:hAnsi="Arial" w:cs="Arial"/>
          <w:spacing w:val="-3"/>
        </w:rPr>
        <w:t xml:space="preserve"> and </w:t>
      </w:r>
      <w:r w:rsidRPr="00C760FB">
        <w:rPr>
          <w:rFonts w:ascii="Arial" w:hAnsi="Arial" w:cs="Arial"/>
          <w:spacing w:val="-3"/>
        </w:rPr>
        <w:t>carrying or possession of a weapon for a purpose dangerous to the public peace</w:t>
      </w:r>
      <w:r w:rsidR="00012319" w:rsidRPr="00C760FB">
        <w:rPr>
          <w:rFonts w:ascii="Arial" w:hAnsi="Arial" w:cs="Arial"/>
          <w:i/>
          <w:spacing w:val="-3"/>
        </w:rPr>
        <w:t>.</w:t>
      </w:r>
      <w:r w:rsidRPr="00C760FB">
        <w:rPr>
          <w:rStyle w:val="FootnoteReference"/>
          <w:rFonts w:ascii="Arial" w:hAnsi="Arial" w:cs="Arial"/>
          <w:spacing w:val="-3"/>
        </w:rPr>
        <w:footnoteReference w:id="32"/>
      </w:r>
      <w:r w:rsidRPr="00C760FB">
        <w:rPr>
          <w:rFonts w:ascii="Arial" w:hAnsi="Arial" w:cs="Arial"/>
          <w:spacing w:val="-3"/>
        </w:rPr>
        <w:t xml:space="preserve"> </w:t>
      </w:r>
    </w:p>
    <w:p w:rsidR="008B0286" w:rsidRDefault="008B0286" w:rsidP="00EF1211">
      <w:pPr>
        <w:jc w:val="both"/>
        <w:rPr>
          <w:rFonts w:ascii="Arial" w:hAnsi="Arial" w:cs="Arial"/>
          <w:spacing w:val="-3"/>
        </w:rPr>
      </w:pPr>
    </w:p>
    <w:p w:rsidR="00EF1211" w:rsidRPr="00C760FB" w:rsidRDefault="00012319" w:rsidP="00EF1211">
      <w:pPr>
        <w:jc w:val="both"/>
        <w:rPr>
          <w:rFonts w:ascii="Arial" w:hAnsi="Arial" w:cs="Arial"/>
          <w:spacing w:val="-3"/>
        </w:rPr>
      </w:pPr>
      <w:r w:rsidRPr="00C760FB">
        <w:rPr>
          <w:rFonts w:ascii="Arial" w:hAnsi="Arial" w:cs="Arial"/>
          <w:spacing w:val="-3"/>
        </w:rPr>
        <w:t xml:space="preserve">One issue which is as yet underexplored in Canadian jurisprudence is the extent to which it can be said that offences involving </w:t>
      </w:r>
      <w:r w:rsidR="00F8652E">
        <w:rPr>
          <w:rFonts w:ascii="Arial" w:hAnsi="Arial" w:cs="Arial"/>
          <w:spacing w:val="-3"/>
        </w:rPr>
        <w:t>‘</w:t>
      </w:r>
      <w:r w:rsidRPr="00C760FB">
        <w:rPr>
          <w:rFonts w:ascii="Arial" w:hAnsi="Arial" w:cs="Arial"/>
          <w:spacing w:val="-3"/>
        </w:rPr>
        <w:t>pointing</w:t>
      </w:r>
      <w:r w:rsidR="00F8652E">
        <w:rPr>
          <w:rFonts w:ascii="Arial" w:hAnsi="Arial" w:cs="Arial"/>
          <w:spacing w:val="-3"/>
        </w:rPr>
        <w:t>’</w:t>
      </w:r>
      <w:r w:rsidRPr="00C760FB">
        <w:rPr>
          <w:rFonts w:ascii="Arial" w:hAnsi="Arial" w:cs="Arial"/>
          <w:spacing w:val="-3"/>
        </w:rPr>
        <w:t xml:space="preserve">, </w:t>
      </w:r>
      <w:r w:rsidR="00F8652E">
        <w:rPr>
          <w:rFonts w:ascii="Arial" w:hAnsi="Arial" w:cs="Arial"/>
          <w:spacing w:val="-3"/>
        </w:rPr>
        <w:t>‘</w:t>
      </w:r>
      <w:r w:rsidRPr="00C760FB">
        <w:rPr>
          <w:rFonts w:ascii="Arial" w:hAnsi="Arial" w:cs="Arial"/>
          <w:spacing w:val="-3"/>
        </w:rPr>
        <w:t>carrying</w:t>
      </w:r>
      <w:r w:rsidR="00F8652E">
        <w:rPr>
          <w:rFonts w:ascii="Arial" w:hAnsi="Arial" w:cs="Arial"/>
          <w:spacing w:val="-3"/>
        </w:rPr>
        <w:t>’</w:t>
      </w:r>
      <w:r w:rsidRPr="00C760FB">
        <w:rPr>
          <w:rFonts w:ascii="Arial" w:hAnsi="Arial" w:cs="Arial"/>
          <w:spacing w:val="-3"/>
        </w:rPr>
        <w:t xml:space="preserve"> or </w:t>
      </w:r>
      <w:r w:rsidR="00F8652E">
        <w:rPr>
          <w:rFonts w:ascii="Arial" w:hAnsi="Arial" w:cs="Arial"/>
          <w:spacing w:val="-3"/>
        </w:rPr>
        <w:t>‘</w:t>
      </w:r>
      <w:r w:rsidRPr="00C760FB">
        <w:rPr>
          <w:rFonts w:ascii="Arial" w:hAnsi="Arial" w:cs="Arial"/>
          <w:spacing w:val="-3"/>
        </w:rPr>
        <w:t>possession</w:t>
      </w:r>
      <w:r w:rsidR="00F8652E">
        <w:rPr>
          <w:rFonts w:ascii="Arial" w:hAnsi="Arial" w:cs="Arial"/>
          <w:spacing w:val="-3"/>
        </w:rPr>
        <w:t>’</w:t>
      </w:r>
      <w:r w:rsidRPr="00C760FB">
        <w:rPr>
          <w:rFonts w:ascii="Arial" w:hAnsi="Arial" w:cs="Arial"/>
          <w:spacing w:val="-3"/>
        </w:rPr>
        <w:t xml:space="preserve"> of a firearm can be said to be causative of V</w:t>
      </w:r>
      <w:r w:rsidR="00F8652E">
        <w:rPr>
          <w:rFonts w:ascii="Arial" w:hAnsi="Arial" w:cs="Arial"/>
          <w:spacing w:val="-3"/>
        </w:rPr>
        <w:t>’</w:t>
      </w:r>
      <w:r w:rsidRPr="00C760FB">
        <w:rPr>
          <w:rFonts w:ascii="Arial" w:hAnsi="Arial" w:cs="Arial"/>
          <w:spacing w:val="-3"/>
        </w:rPr>
        <w:t xml:space="preserve">s death, but </w:t>
      </w:r>
      <w:r w:rsidR="00C760FB" w:rsidRPr="00C760FB">
        <w:rPr>
          <w:rFonts w:ascii="Arial" w:hAnsi="Arial" w:cs="Arial"/>
          <w:spacing w:val="-3"/>
        </w:rPr>
        <w:t xml:space="preserve">detailed consideration of this issue </w:t>
      </w:r>
      <w:r w:rsidRPr="00C760FB">
        <w:rPr>
          <w:rFonts w:ascii="Arial" w:hAnsi="Arial" w:cs="Arial"/>
          <w:spacing w:val="-3"/>
        </w:rPr>
        <w:t>is beyond the scope of this article.</w:t>
      </w:r>
      <w:r w:rsidR="00C760FB">
        <w:rPr>
          <w:rStyle w:val="FootnoteReference"/>
          <w:rFonts w:ascii="Arial" w:hAnsi="Arial" w:cs="Arial"/>
          <w:spacing w:val="-3"/>
        </w:rPr>
        <w:footnoteReference w:id="33"/>
      </w:r>
      <w:r w:rsidR="009C5F17">
        <w:rPr>
          <w:rFonts w:ascii="Arial" w:hAnsi="Arial" w:cs="Arial"/>
          <w:spacing w:val="-3"/>
        </w:rPr>
        <w:t xml:space="preserve"> </w:t>
      </w:r>
      <w:r w:rsidR="00C760FB" w:rsidRPr="00C760FB">
        <w:rPr>
          <w:rFonts w:ascii="Arial" w:hAnsi="Arial" w:cs="Arial"/>
          <w:spacing w:val="-3"/>
        </w:rPr>
        <w:t xml:space="preserve">In </w:t>
      </w:r>
      <w:r w:rsidR="009C5F17">
        <w:rPr>
          <w:rFonts w:ascii="Arial" w:hAnsi="Arial" w:cs="Arial"/>
          <w:spacing w:val="-3"/>
        </w:rPr>
        <w:t xml:space="preserve">the context of English law, </w:t>
      </w:r>
      <w:r w:rsidR="009C5F17" w:rsidRPr="00C760FB">
        <w:rPr>
          <w:rFonts w:ascii="Arial" w:hAnsi="Arial" w:cs="Arial"/>
          <w:color w:val="000000"/>
          <w:shd w:val="clear" w:color="auto" w:fill="FFFFFF"/>
        </w:rPr>
        <w:t xml:space="preserve">Smith </w:t>
      </w:r>
      <w:r w:rsidR="009C5F17">
        <w:rPr>
          <w:rFonts w:ascii="Arial" w:hAnsi="Arial" w:cs="Arial"/>
          <w:color w:val="000000"/>
          <w:shd w:val="clear" w:color="auto" w:fill="FFFFFF"/>
        </w:rPr>
        <w:t xml:space="preserve">has </w:t>
      </w:r>
      <w:r w:rsidR="009C5F17" w:rsidRPr="00C760FB">
        <w:rPr>
          <w:rFonts w:ascii="Arial" w:hAnsi="Arial" w:cs="Arial"/>
          <w:color w:val="000000"/>
          <w:shd w:val="clear" w:color="auto" w:fill="FFFFFF"/>
        </w:rPr>
        <w:t>observe</w:t>
      </w:r>
      <w:r w:rsidR="009C5F17">
        <w:rPr>
          <w:rFonts w:ascii="Arial" w:hAnsi="Arial" w:cs="Arial"/>
          <w:color w:val="000000"/>
          <w:shd w:val="clear" w:color="auto" w:fill="FFFFFF"/>
        </w:rPr>
        <w:t>d</w:t>
      </w:r>
      <w:r w:rsidR="009C5F17" w:rsidRPr="00C760FB">
        <w:rPr>
          <w:rFonts w:ascii="Arial" w:hAnsi="Arial" w:cs="Arial"/>
          <w:color w:val="000000"/>
          <w:shd w:val="clear" w:color="auto" w:fill="FFFFFF"/>
        </w:rPr>
        <w:t xml:space="preserve"> </w:t>
      </w:r>
      <w:r w:rsidR="009C5F17">
        <w:rPr>
          <w:rFonts w:ascii="Arial" w:hAnsi="Arial" w:cs="Arial"/>
          <w:color w:val="000000"/>
          <w:shd w:val="clear" w:color="auto" w:fill="FFFFFF"/>
        </w:rPr>
        <w:t>that t</w:t>
      </w:r>
      <w:r w:rsidR="009C5F17" w:rsidRPr="00C760FB">
        <w:rPr>
          <w:rFonts w:ascii="Arial" w:hAnsi="Arial" w:cs="Arial"/>
          <w:color w:val="000000"/>
          <w:shd w:val="clear" w:color="auto" w:fill="FFFFFF"/>
        </w:rPr>
        <w:t xml:space="preserve">he offence </w:t>
      </w:r>
      <w:r w:rsidR="009C5F17" w:rsidRPr="00C760FB">
        <w:rPr>
          <w:rFonts w:ascii="Arial" w:hAnsi="Arial" w:cs="Arial"/>
        </w:rPr>
        <w:t xml:space="preserve">of </w:t>
      </w:r>
      <w:r w:rsidR="009C5F17" w:rsidRPr="00C760FB">
        <w:rPr>
          <w:rFonts w:ascii="Arial" w:hAnsi="Arial" w:cs="Arial"/>
          <w:color w:val="000000"/>
          <w:shd w:val="clear" w:color="auto" w:fill="FFFFFF"/>
        </w:rPr>
        <w:t xml:space="preserve">carrying an offensive weapon </w:t>
      </w:r>
      <w:r w:rsidR="00F8652E">
        <w:rPr>
          <w:rFonts w:ascii="Arial" w:hAnsi="Arial" w:cs="Arial"/>
          <w:color w:val="000000"/>
          <w:shd w:val="clear" w:color="auto" w:fill="FFFFFF"/>
        </w:rPr>
        <w:t>‘</w:t>
      </w:r>
      <w:r w:rsidR="009C5F17" w:rsidRPr="00C760FB">
        <w:rPr>
          <w:rFonts w:ascii="Arial" w:hAnsi="Arial" w:cs="Arial"/>
          <w:color w:val="000000"/>
          <w:shd w:val="clear" w:color="auto" w:fill="FFFFFF"/>
        </w:rPr>
        <w:t xml:space="preserve">is not likely to be a very fruitful one for the purposes of proving constructive manslaughter. </w:t>
      </w:r>
      <w:r w:rsidR="009C5F17" w:rsidRPr="009C5F17">
        <w:rPr>
          <w:rFonts w:ascii="Arial" w:hAnsi="Arial" w:cs="Arial"/>
          <w:i/>
          <w:color w:val="000000"/>
          <w:shd w:val="clear" w:color="auto" w:fill="FFFFFF"/>
        </w:rPr>
        <w:t>Having</w:t>
      </w:r>
      <w:r w:rsidR="009C5F17" w:rsidRPr="00C760FB">
        <w:rPr>
          <w:rFonts w:ascii="Arial" w:hAnsi="Arial" w:cs="Arial"/>
          <w:color w:val="000000"/>
          <w:shd w:val="clear" w:color="auto" w:fill="FFFFFF"/>
        </w:rPr>
        <w:t xml:space="preserve"> an offensive weapon with one is not an offence which, in itself, is likely to cause death. Generally it will be an act </w:t>
      </w:r>
      <w:r w:rsidR="009C5F17" w:rsidRPr="009C5F17">
        <w:rPr>
          <w:rFonts w:ascii="Arial" w:hAnsi="Arial" w:cs="Arial"/>
          <w:i/>
          <w:color w:val="000000"/>
          <w:shd w:val="clear" w:color="auto" w:fill="FFFFFF"/>
        </w:rPr>
        <w:t>done</w:t>
      </w:r>
      <w:r w:rsidR="009C5F17" w:rsidRPr="00C760FB">
        <w:rPr>
          <w:rFonts w:ascii="Arial" w:hAnsi="Arial" w:cs="Arial"/>
          <w:color w:val="000000"/>
          <w:shd w:val="clear" w:color="auto" w:fill="FFFFFF"/>
        </w:rPr>
        <w:t xml:space="preserve"> with the weapon which causes death, though there may be exceptions where, for example, a bomb in the defendant</w:t>
      </w:r>
      <w:r w:rsidR="00F8652E">
        <w:rPr>
          <w:rFonts w:ascii="Arial" w:hAnsi="Arial" w:cs="Arial"/>
          <w:color w:val="000000"/>
          <w:shd w:val="clear" w:color="auto" w:fill="FFFFFF"/>
        </w:rPr>
        <w:t>’</w:t>
      </w:r>
      <w:r w:rsidR="009C5F17" w:rsidRPr="00C760FB">
        <w:rPr>
          <w:rFonts w:ascii="Arial" w:hAnsi="Arial" w:cs="Arial"/>
          <w:color w:val="000000"/>
          <w:shd w:val="clear" w:color="auto" w:fill="FFFFFF"/>
        </w:rPr>
        <w:t>s possession goes off</w:t>
      </w:r>
      <w:r w:rsidR="00F8652E">
        <w:rPr>
          <w:rFonts w:ascii="Arial" w:hAnsi="Arial" w:cs="Arial"/>
          <w:color w:val="000000"/>
          <w:shd w:val="clear" w:color="auto" w:fill="FFFFFF"/>
        </w:rPr>
        <w:t>’</w:t>
      </w:r>
      <w:r w:rsidR="009C5F17">
        <w:rPr>
          <w:rFonts w:ascii="Arial" w:hAnsi="Arial" w:cs="Arial"/>
          <w:color w:val="000000"/>
          <w:shd w:val="clear" w:color="auto" w:fill="FFFFFF"/>
        </w:rPr>
        <w:t>.</w:t>
      </w:r>
      <w:r w:rsidR="00C760FB" w:rsidRPr="00C760FB">
        <w:rPr>
          <w:rStyle w:val="FootnoteReference"/>
          <w:rFonts w:ascii="Arial" w:hAnsi="Arial" w:cs="Arial"/>
        </w:rPr>
        <w:footnoteReference w:id="34"/>
      </w:r>
      <w:r w:rsidR="00C760FB" w:rsidRPr="00C760FB">
        <w:rPr>
          <w:rFonts w:ascii="Arial" w:hAnsi="Arial" w:cs="Arial"/>
        </w:rPr>
        <w:t xml:space="preserve"> </w:t>
      </w:r>
    </w:p>
    <w:p w:rsidR="004604FB" w:rsidRDefault="004604FB" w:rsidP="0057014B">
      <w:pPr>
        <w:shd w:val="clear" w:color="auto" w:fill="FFFFFF"/>
        <w:jc w:val="both"/>
        <w:rPr>
          <w:rFonts w:ascii="Arial" w:hAnsi="Arial" w:cs="Arial"/>
          <w:spacing w:val="-3"/>
        </w:rPr>
      </w:pPr>
    </w:p>
    <w:p w:rsidR="00012319" w:rsidRDefault="00B648FA" w:rsidP="0057014B">
      <w:pPr>
        <w:shd w:val="clear" w:color="auto" w:fill="FFFFFF"/>
        <w:jc w:val="both"/>
        <w:rPr>
          <w:rFonts w:ascii="Arial" w:hAnsi="Arial" w:cs="Arial"/>
        </w:rPr>
      </w:pPr>
      <w:r w:rsidRPr="004604FB">
        <w:rPr>
          <w:rFonts w:ascii="Arial" w:hAnsi="Arial" w:cs="Arial"/>
          <w:spacing w:val="-3"/>
        </w:rPr>
        <w:t xml:space="preserve">In Australian case law, the unlawful act </w:t>
      </w:r>
      <w:r w:rsidR="001D06AF" w:rsidRPr="004604FB">
        <w:rPr>
          <w:rFonts w:ascii="Arial" w:hAnsi="Arial" w:cs="Arial"/>
          <w:spacing w:val="-3"/>
        </w:rPr>
        <w:t xml:space="preserve">alleged </w:t>
      </w:r>
      <w:r w:rsidR="0057014B" w:rsidRPr="004604FB">
        <w:rPr>
          <w:rFonts w:ascii="Arial" w:hAnsi="Arial" w:cs="Arial"/>
          <w:spacing w:val="-3"/>
        </w:rPr>
        <w:t xml:space="preserve">in the vast majority of cases </w:t>
      </w:r>
      <w:r w:rsidR="008B0286">
        <w:rPr>
          <w:rFonts w:ascii="Arial" w:hAnsi="Arial" w:cs="Arial"/>
          <w:spacing w:val="-3"/>
        </w:rPr>
        <w:t xml:space="preserve">is </w:t>
      </w:r>
      <w:r w:rsidRPr="004604FB">
        <w:rPr>
          <w:rFonts w:ascii="Arial" w:hAnsi="Arial" w:cs="Arial"/>
          <w:spacing w:val="-3"/>
        </w:rPr>
        <w:t>battery.</w:t>
      </w:r>
      <w:r w:rsidRPr="004604FB">
        <w:rPr>
          <w:rStyle w:val="FootnoteReference"/>
          <w:rFonts w:ascii="Arial" w:hAnsi="Arial" w:cs="Arial"/>
        </w:rPr>
        <w:footnoteReference w:id="35"/>
      </w:r>
      <w:r w:rsidR="004604FB" w:rsidRPr="004604FB">
        <w:rPr>
          <w:rFonts w:ascii="Arial" w:hAnsi="Arial" w:cs="Arial"/>
          <w:spacing w:val="-3"/>
        </w:rPr>
        <w:t xml:space="preserve"> In two</w:t>
      </w:r>
      <w:r w:rsidR="0057014B" w:rsidRPr="004604FB">
        <w:rPr>
          <w:rFonts w:ascii="Arial" w:hAnsi="Arial" w:cs="Arial"/>
          <w:spacing w:val="-3"/>
        </w:rPr>
        <w:t xml:space="preserve"> recent case</w:t>
      </w:r>
      <w:r w:rsidR="004604FB" w:rsidRPr="004604FB">
        <w:rPr>
          <w:rFonts w:ascii="Arial" w:hAnsi="Arial" w:cs="Arial"/>
          <w:spacing w:val="-3"/>
        </w:rPr>
        <w:t>s</w:t>
      </w:r>
      <w:r w:rsidR="0057014B" w:rsidRPr="004604FB">
        <w:rPr>
          <w:rFonts w:ascii="Arial" w:hAnsi="Arial" w:cs="Arial"/>
          <w:spacing w:val="-3"/>
        </w:rPr>
        <w:t xml:space="preserve">, </w:t>
      </w:r>
      <w:r w:rsidR="00012378">
        <w:rPr>
          <w:rFonts w:ascii="Arial" w:hAnsi="Arial" w:cs="Arial"/>
          <w:spacing w:val="-3"/>
        </w:rPr>
        <w:t xml:space="preserve">however, the unlawful act was more difficult to pin down. In </w:t>
      </w:r>
      <w:r w:rsidR="004604FB" w:rsidRPr="004604FB">
        <w:rPr>
          <w:rFonts w:ascii="Arial" w:hAnsi="Arial" w:cs="Arial"/>
          <w:i/>
          <w:color w:val="000000"/>
        </w:rPr>
        <w:t>D</w:t>
      </w:r>
      <w:r w:rsidR="004604FB" w:rsidRPr="004604FB">
        <w:rPr>
          <w:rStyle w:val="FootnoteReference"/>
          <w:rFonts w:ascii="Arial" w:hAnsi="Arial" w:cs="Arial"/>
          <w:color w:val="000000"/>
        </w:rPr>
        <w:footnoteReference w:id="36"/>
      </w:r>
      <w:r w:rsidR="004604FB" w:rsidRPr="004604FB">
        <w:rPr>
          <w:rFonts w:ascii="Arial" w:hAnsi="Arial" w:cs="Arial"/>
          <w:color w:val="000000"/>
        </w:rPr>
        <w:t xml:space="preserve"> and </w:t>
      </w:r>
      <w:r w:rsidR="0057014B" w:rsidRPr="004604FB">
        <w:rPr>
          <w:rFonts w:ascii="Arial" w:hAnsi="Arial" w:cs="Arial"/>
          <w:i/>
        </w:rPr>
        <w:t>Lin</w:t>
      </w:r>
      <w:r w:rsidR="0057014B" w:rsidRPr="004604FB">
        <w:rPr>
          <w:rFonts w:ascii="Arial" w:hAnsi="Arial" w:cs="Arial"/>
        </w:rPr>
        <w:t>,</w:t>
      </w:r>
      <w:r w:rsidR="0057014B" w:rsidRPr="004604FB">
        <w:rPr>
          <w:rStyle w:val="FootnoteReference"/>
          <w:rFonts w:ascii="Arial" w:hAnsi="Arial" w:cs="Arial"/>
        </w:rPr>
        <w:footnoteReference w:id="37"/>
      </w:r>
      <w:r w:rsidR="0057014B" w:rsidRPr="004604FB">
        <w:rPr>
          <w:rFonts w:ascii="Arial" w:hAnsi="Arial" w:cs="Arial"/>
          <w:shd w:val="clear" w:color="auto" w:fill="FFFFFF"/>
        </w:rPr>
        <w:t xml:space="preserve"> </w:t>
      </w:r>
      <w:r w:rsidR="004604FB" w:rsidRPr="004604FB">
        <w:rPr>
          <w:rFonts w:ascii="Arial" w:hAnsi="Arial" w:cs="Arial"/>
          <w:shd w:val="clear" w:color="auto" w:fill="FFFFFF"/>
        </w:rPr>
        <w:t xml:space="preserve">the </w:t>
      </w:r>
      <w:r w:rsidR="004604FB">
        <w:rPr>
          <w:rFonts w:ascii="Arial" w:hAnsi="Arial" w:cs="Arial"/>
          <w:shd w:val="clear" w:color="auto" w:fill="FFFFFF"/>
        </w:rPr>
        <w:t xml:space="preserve">respective </w:t>
      </w:r>
      <w:r w:rsidR="004604FB" w:rsidRPr="004604FB">
        <w:rPr>
          <w:rFonts w:ascii="Arial" w:hAnsi="Arial" w:cs="Arial"/>
          <w:shd w:val="clear" w:color="auto" w:fill="FFFFFF"/>
        </w:rPr>
        <w:t>victims</w:t>
      </w:r>
      <w:r w:rsidR="0057014B" w:rsidRPr="004604FB">
        <w:rPr>
          <w:rFonts w:ascii="Arial" w:hAnsi="Arial" w:cs="Arial"/>
          <w:shd w:val="clear" w:color="auto" w:fill="FFFFFF"/>
        </w:rPr>
        <w:t xml:space="preserve"> w</w:t>
      </w:r>
      <w:r w:rsidR="004604FB" w:rsidRPr="004604FB">
        <w:rPr>
          <w:rFonts w:ascii="Arial" w:hAnsi="Arial" w:cs="Arial"/>
          <w:shd w:val="clear" w:color="auto" w:fill="FFFFFF"/>
        </w:rPr>
        <w:t>ere</w:t>
      </w:r>
      <w:r w:rsidR="0057014B" w:rsidRPr="004604FB">
        <w:rPr>
          <w:rFonts w:ascii="Arial" w:hAnsi="Arial" w:cs="Arial"/>
          <w:shd w:val="clear" w:color="auto" w:fill="FFFFFF"/>
        </w:rPr>
        <w:t xml:space="preserve"> killed when a </w:t>
      </w:r>
      <w:r w:rsidR="00F8652E">
        <w:rPr>
          <w:rFonts w:ascii="Arial" w:hAnsi="Arial" w:cs="Arial"/>
          <w:shd w:val="clear" w:color="auto" w:fill="FFFFFF"/>
        </w:rPr>
        <w:t>‘</w:t>
      </w:r>
      <w:r w:rsidR="0057014B" w:rsidRPr="004604FB">
        <w:rPr>
          <w:rFonts w:ascii="Arial" w:hAnsi="Arial" w:cs="Arial"/>
          <w:shd w:val="clear" w:color="auto" w:fill="FFFFFF"/>
        </w:rPr>
        <w:t>meth lab</w:t>
      </w:r>
      <w:r w:rsidR="00F8652E">
        <w:rPr>
          <w:rFonts w:ascii="Arial" w:hAnsi="Arial" w:cs="Arial"/>
          <w:shd w:val="clear" w:color="auto" w:fill="FFFFFF"/>
        </w:rPr>
        <w:t>’</w:t>
      </w:r>
      <w:r w:rsidR="0057014B" w:rsidRPr="004604FB">
        <w:rPr>
          <w:rFonts w:ascii="Arial" w:hAnsi="Arial" w:cs="Arial"/>
          <w:shd w:val="clear" w:color="auto" w:fill="FFFFFF"/>
        </w:rPr>
        <w:t xml:space="preserve"> </w:t>
      </w:r>
      <w:r w:rsidR="004604FB">
        <w:rPr>
          <w:rFonts w:ascii="Arial" w:hAnsi="Arial" w:cs="Arial"/>
          <w:shd w:val="clear" w:color="auto" w:fill="FFFFFF"/>
        </w:rPr>
        <w:t xml:space="preserve">operated by the </w:t>
      </w:r>
      <w:r w:rsidR="00012378">
        <w:rPr>
          <w:rFonts w:ascii="Arial" w:hAnsi="Arial" w:cs="Arial"/>
          <w:shd w:val="clear" w:color="auto" w:fill="FFFFFF"/>
        </w:rPr>
        <w:t xml:space="preserve">respective </w:t>
      </w:r>
      <w:r w:rsidR="004604FB">
        <w:rPr>
          <w:rFonts w:ascii="Arial" w:hAnsi="Arial" w:cs="Arial"/>
          <w:shd w:val="clear" w:color="auto" w:fill="FFFFFF"/>
        </w:rPr>
        <w:t xml:space="preserve">defendants and </w:t>
      </w:r>
      <w:r w:rsidR="0057014B" w:rsidRPr="004604FB">
        <w:rPr>
          <w:rFonts w:ascii="Arial" w:hAnsi="Arial" w:cs="Arial"/>
          <w:shd w:val="clear" w:color="auto" w:fill="FFFFFF"/>
        </w:rPr>
        <w:t xml:space="preserve">in which </w:t>
      </w:r>
      <w:r w:rsidR="004604FB" w:rsidRPr="004604FB">
        <w:rPr>
          <w:rFonts w:ascii="Arial" w:hAnsi="Arial" w:cs="Arial"/>
          <w:shd w:val="clear" w:color="auto" w:fill="FFFFFF"/>
        </w:rPr>
        <w:t>t</w:t>
      </w:r>
      <w:r w:rsidR="0057014B" w:rsidRPr="004604FB">
        <w:rPr>
          <w:rFonts w:ascii="Arial" w:hAnsi="Arial" w:cs="Arial"/>
          <w:shd w:val="clear" w:color="auto" w:fill="FFFFFF"/>
        </w:rPr>
        <w:t>he</w:t>
      </w:r>
      <w:r w:rsidR="004604FB">
        <w:rPr>
          <w:rFonts w:ascii="Arial" w:hAnsi="Arial" w:cs="Arial"/>
          <w:shd w:val="clear" w:color="auto" w:fill="FFFFFF"/>
        </w:rPr>
        <w:t xml:space="preserve"> victims</w:t>
      </w:r>
      <w:r w:rsidR="0057014B" w:rsidRPr="004604FB">
        <w:rPr>
          <w:rFonts w:ascii="Arial" w:hAnsi="Arial" w:cs="Arial"/>
          <w:shd w:val="clear" w:color="auto" w:fill="FFFFFF"/>
        </w:rPr>
        <w:t xml:space="preserve"> w</w:t>
      </w:r>
      <w:r w:rsidR="004604FB" w:rsidRPr="004604FB">
        <w:rPr>
          <w:rFonts w:ascii="Arial" w:hAnsi="Arial" w:cs="Arial"/>
          <w:shd w:val="clear" w:color="auto" w:fill="FFFFFF"/>
        </w:rPr>
        <w:t>ere</w:t>
      </w:r>
      <w:r w:rsidR="0057014B" w:rsidRPr="004604FB">
        <w:rPr>
          <w:rFonts w:ascii="Arial" w:hAnsi="Arial" w:cs="Arial"/>
          <w:shd w:val="clear" w:color="auto" w:fill="FFFFFF"/>
        </w:rPr>
        <w:t xml:space="preserve"> working exploded. </w:t>
      </w:r>
      <w:r w:rsidR="004604FB">
        <w:rPr>
          <w:rFonts w:ascii="Arial" w:hAnsi="Arial" w:cs="Arial"/>
          <w:shd w:val="clear" w:color="auto" w:fill="FFFFFF"/>
        </w:rPr>
        <w:t xml:space="preserve">In both cases, </w:t>
      </w:r>
      <w:r w:rsidR="00012378">
        <w:rPr>
          <w:rFonts w:ascii="Arial" w:hAnsi="Arial" w:cs="Arial"/>
          <w:shd w:val="clear" w:color="auto" w:fill="FFFFFF"/>
        </w:rPr>
        <w:t>t</w:t>
      </w:r>
      <w:r w:rsidR="0057014B" w:rsidRPr="004604FB">
        <w:rPr>
          <w:rFonts w:ascii="Arial" w:hAnsi="Arial" w:cs="Arial"/>
          <w:shd w:val="clear" w:color="auto" w:fill="FFFFFF"/>
        </w:rPr>
        <w:t xml:space="preserve">he </w:t>
      </w:r>
      <w:r w:rsidR="0057014B" w:rsidRPr="004604FB">
        <w:rPr>
          <w:rFonts w:ascii="Arial" w:hAnsi="Arial" w:cs="Arial"/>
        </w:rPr>
        <w:t>New South Wales Court of Criminal Appeal allowed the Crown</w:t>
      </w:r>
      <w:r w:rsidR="00F8652E">
        <w:rPr>
          <w:rFonts w:ascii="Arial" w:hAnsi="Arial" w:cs="Arial"/>
        </w:rPr>
        <w:t>’</w:t>
      </w:r>
      <w:r w:rsidR="0057014B" w:rsidRPr="004604FB">
        <w:rPr>
          <w:rFonts w:ascii="Arial" w:hAnsi="Arial" w:cs="Arial"/>
        </w:rPr>
        <w:t>s appeal against the trial judge</w:t>
      </w:r>
      <w:r w:rsidR="00F8652E">
        <w:rPr>
          <w:rFonts w:ascii="Arial" w:hAnsi="Arial" w:cs="Arial"/>
        </w:rPr>
        <w:t>’</w:t>
      </w:r>
      <w:r w:rsidR="0057014B" w:rsidRPr="004604FB">
        <w:rPr>
          <w:rFonts w:ascii="Arial" w:hAnsi="Arial" w:cs="Arial"/>
        </w:rPr>
        <w:t xml:space="preserve">s direction that there was no </w:t>
      </w:r>
      <w:r w:rsidR="0057014B" w:rsidRPr="004604FB">
        <w:rPr>
          <w:rFonts w:ascii="Arial" w:hAnsi="Arial" w:cs="Arial"/>
          <w:i/>
        </w:rPr>
        <w:t>prim</w:t>
      </w:r>
      <w:r w:rsidR="0057014B" w:rsidRPr="0057014B">
        <w:rPr>
          <w:rFonts w:ascii="Arial" w:hAnsi="Arial" w:cs="Arial"/>
          <w:i/>
        </w:rPr>
        <w:t>a facie</w:t>
      </w:r>
      <w:r w:rsidR="0057014B" w:rsidRPr="0057014B">
        <w:rPr>
          <w:rFonts w:ascii="Arial" w:hAnsi="Arial" w:cs="Arial"/>
        </w:rPr>
        <w:t xml:space="preserve"> case of manslaughter because of the lack of an unlawful act. </w:t>
      </w:r>
      <w:r w:rsidR="004604FB">
        <w:rPr>
          <w:rFonts w:ascii="Arial" w:hAnsi="Arial" w:cs="Arial"/>
        </w:rPr>
        <w:t xml:space="preserve">In both cases the </w:t>
      </w:r>
      <w:r w:rsidR="008B0286">
        <w:rPr>
          <w:rFonts w:ascii="Arial" w:hAnsi="Arial" w:cs="Arial"/>
        </w:rPr>
        <w:t xml:space="preserve">appeal </w:t>
      </w:r>
      <w:r w:rsidR="004604FB">
        <w:rPr>
          <w:rFonts w:ascii="Arial" w:hAnsi="Arial" w:cs="Arial"/>
        </w:rPr>
        <w:t xml:space="preserve">court said that </w:t>
      </w:r>
      <w:r w:rsidR="00012378">
        <w:rPr>
          <w:rFonts w:ascii="Arial" w:hAnsi="Arial" w:cs="Arial"/>
        </w:rPr>
        <w:t xml:space="preserve">the unlawful act was </w:t>
      </w:r>
      <w:r w:rsidR="004604FB">
        <w:rPr>
          <w:rFonts w:ascii="Arial" w:hAnsi="Arial" w:cs="Arial"/>
        </w:rPr>
        <w:t xml:space="preserve">the </w:t>
      </w:r>
      <w:r w:rsidR="00012378">
        <w:rPr>
          <w:rFonts w:ascii="Arial" w:hAnsi="Arial" w:cs="Arial"/>
        </w:rPr>
        <w:t>production</w:t>
      </w:r>
      <w:r w:rsidR="004604FB">
        <w:rPr>
          <w:rFonts w:ascii="Arial" w:hAnsi="Arial" w:cs="Arial"/>
        </w:rPr>
        <w:t xml:space="preserve"> of </w:t>
      </w:r>
      <w:r w:rsidR="00012378">
        <w:rPr>
          <w:rFonts w:ascii="Arial" w:hAnsi="Arial" w:cs="Arial"/>
        </w:rPr>
        <w:t>prohibited drugs.</w:t>
      </w:r>
      <w:r w:rsidR="00012378">
        <w:rPr>
          <w:rStyle w:val="FootnoteReference"/>
          <w:rFonts w:ascii="Arial" w:hAnsi="Arial" w:cs="Arial"/>
        </w:rPr>
        <w:footnoteReference w:id="38"/>
      </w:r>
    </w:p>
    <w:p w:rsidR="00D907FB" w:rsidRDefault="00D907FB" w:rsidP="0057014B">
      <w:pPr>
        <w:shd w:val="clear" w:color="auto" w:fill="FFFFFF"/>
        <w:jc w:val="both"/>
        <w:rPr>
          <w:rFonts w:ascii="Arial" w:hAnsi="Arial" w:cs="Arial"/>
        </w:rPr>
      </w:pPr>
    </w:p>
    <w:p w:rsidR="00D907FB" w:rsidRPr="009D1AB1" w:rsidRDefault="00D907FB" w:rsidP="0057014B">
      <w:pPr>
        <w:shd w:val="clear" w:color="auto" w:fill="FFFFFF"/>
        <w:jc w:val="both"/>
        <w:rPr>
          <w:rFonts w:ascii="Arial" w:hAnsi="Arial" w:cs="Arial"/>
        </w:rPr>
      </w:pPr>
      <w:r>
        <w:rPr>
          <w:rFonts w:ascii="Arial" w:hAnsi="Arial" w:cs="Arial"/>
        </w:rPr>
        <w:t>The fact that the underlying unlawful act need not be a crime against the person has troubled some commentators. Wilson has pointed out that ‘even as in</w:t>
      </w:r>
      <w:r w:rsidRPr="009D1AB1">
        <w:rPr>
          <w:rFonts w:ascii="Arial" w:hAnsi="Arial" w:cs="Arial"/>
        </w:rPr>
        <w:t>nocuous an offence as theft’ could support manslaughter.</w:t>
      </w:r>
      <w:r w:rsidRPr="009D1AB1">
        <w:rPr>
          <w:rStyle w:val="FootnoteReference"/>
          <w:rFonts w:ascii="Arial" w:hAnsi="Arial" w:cs="Arial"/>
        </w:rPr>
        <w:footnoteReference w:id="39"/>
      </w:r>
      <w:r w:rsidRPr="009D1AB1">
        <w:rPr>
          <w:rFonts w:ascii="Arial" w:hAnsi="Arial" w:cs="Arial"/>
        </w:rPr>
        <w:t xml:space="preserve"> </w:t>
      </w:r>
      <w:r w:rsidR="009D1AB1" w:rsidRPr="009D1AB1">
        <w:rPr>
          <w:rFonts w:ascii="Arial" w:hAnsi="Arial" w:cs="Arial"/>
        </w:rPr>
        <w:t>Mitchell has argued that ‘</w:t>
      </w:r>
      <w:r w:rsidR="009D1AB1" w:rsidRPr="009D1AB1">
        <w:rPr>
          <w:rFonts w:ascii="Arial" w:hAnsi="Arial" w:cs="Arial"/>
          <w:color w:val="000000"/>
          <w:shd w:val="clear" w:color="auto" w:fill="FFFFFF"/>
        </w:rPr>
        <w:t>even the most moderate constructivists would argue that the unlawful and dangerous act should be a crime of violence in which D intentionally wrongs V so as to create a foreseeable risk of causing serious harm’</w:t>
      </w:r>
      <w:r w:rsidR="009D1AB1" w:rsidRPr="009D1AB1">
        <w:rPr>
          <w:rFonts w:ascii="Arial" w:hAnsi="Arial" w:cs="Arial"/>
        </w:rPr>
        <w:t>.</w:t>
      </w:r>
      <w:r w:rsidR="009D1AB1" w:rsidRPr="009D1AB1">
        <w:rPr>
          <w:rStyle w:val="FootnoteReference"/>
          <w:rFonts w:ascii="Arial" w:hAnsi="Arial" w:cs="Arial"/>
        </w:rPr>
        <w:footnoteReference w:id="40"/>
      </w:r>
      <w:r w:rsidR="009D1AB1">
        <w:rPr>
          <w:rFonts w:ascii="Arial" w:hAnsi="Arial" w:cs="Arial"/>
        </w:rPr>
        <w:t xml:space="preserve"> Whether ‘most’ moderate constructivists would agree </w:t>
      </w:r>
      <w:r w:rsidR="005A00FC">
        <w:rPr>
          <w:rFonts w:ascii="Arial" w:hAnsi="Arial" w:cs="Arial"/>
        </w:rPr>
        <w:t xml:space="preserve">with this </w:t>
      </w:r>
      <w:r w:rsidR="009D1AB1">
        <w:rPr>
          <w:rFonts w:ascii="Arial" w:hAnsi="Arial" w:cs="Arial"/>
        </w:rPr>
        <w:t xml:space="preserve">is a moot point but </w:t>
      </w:r>
      <w:r w:rsidR="005A00FC">
        <w:rPr>
          <w:rFonts w:ascii="Arial" w:hAnsi="Arial" w:cs="Arial"/>
        </w:rPr>
        <w:t>it is clear that the courts in all three jurisdictions under consideration would not.</w:t>
      </w:r>
    </w:p>
    <w:p w:rsidR="00114E2B" w:rsidRPr="009D1AB1" w:rsidRDefault="00114E2B" w:rsidP="00114E2B">
      <w:pPr>
        <w:widowControl/>
        <w:kinsoku/>
        <w:overflowPunct/>
        <w:jc w:val="both"/>
        <w:textAlignment w:val="auto"/>
        <w:rPr>
          <w:rFonts w:ascii="Arial" w:hAnsi="Arial" w:cs="Arial"/>
        </w:rPr>
      </w:pPr>
    </w:p>
    <w:p w:rsidR="00EF1211" w:rsidRPr="00C760FB" w:rsidRDefault="00EF1211" w:rsidP="00CA5794">
      <w:pPr>
        <w:jc w:val="both"/>
        <w:rPr>
          <w:rFonts w:ascii="Arial" w:hAnsi="Arial" w:cs="Arial"/>
          <w:b/>
          <w:i/>
        </w:rPr>
      </w:pPr>
    </w:p>
    <w:p w:rsidR="002D5F0F" w:rsidRPr="008B0286" w:rsidRDefault="00146009" w:rsidP="005578D7">
      <w:pPr>
        <w:widowControl/>
        <w:kinsoku/>
        <w:overflowPunct/>
        <w:jc w:val="both"/>
        <w:textAlignment w:val="auto"/>
        <w:rPr>
          <w:rFonts w:ascii="Arial" w:hAnsi="Arial" w:cs="Arial"/>
          <w:b/>
          <w:sz w:val="28"/>
          <w:szCs w:val="28"/>
        </w:rPr>
      </w:pPr>
      <w:r w:rsidRPr="008B0286">
        <w:rPr>
          <w:rFonts w:ascii="Arial" w:hAnsi="Arial" w:cs="Arial"/>
          <w:b/>
          <w:sz w:val="28"/>
          <w:szCs w:val="28"/>
        </w:rPr>
        <w:t>1.</w:t>
      </w:r>
      <w:r w:rsidR="008B0286" w:rsidRPr="008B0286">
        <w:rPr>
          <w:rFonts w:ascii="Arial" w:hAnsi="Arial" w:cs="Arial"/>
          <w:b/>
          <w:sz w:val="28"/>
          <w:szCs w:val="28"/>
        </w:rPr>
        <w:t>2</w:t>
      </w:r>
      <w:r w:rsidRPr="008B0286">
        <w:rPr>
          <w:rFonts w:ascii="Arial" w:hAnsi="Arial" w:cs="Arial"/>
          <w:b/>
          <w:sz w:val="28"/>
          <w:szCs w:val="28"/>
        </w:rPr>
        <w:t xml:space="preserve"> </w:t>
      </w:r>
      <w:r w:rsidR="002D5F0F" w:rsidRPr="008B0286">
        <w:rPr>
          <w:rFonts w:ascii="Arial" w:hAnsi="Arial" w:cs="Arial"/>
          <w:b/>
          <w:sz w:val="28"/>
          <w:szCs w:val="28"/>
        </w:rPr>
        <w:t>All elements of the unlawful act must be proven</w:t>
      </w:r>
    </w:p>
    <w:p w:rsidR="002D5F0F" w:rsidRDefault="002D5F0F" w:rsidP="005578D7">
      <w:pPr>
        <w:widowControl/>
        <w:kinsoku/>
        <w:overflowPunct/>
        <w:jc w:val="both"/>
        <w:textAlignment w:val="auto"/>
        <w:rPr>
          <w:rFonts w:ascii="Arial" w:hAnsi="Arial" w:cs="Arial"/>
        </w:rPr>
      </w:pPr>
    </w:p>
    <w:p w:rsidR="0088599F" w:rsidRDefault="0088599F" w:rsidP="0088599F">
      <w:pPr>
        <w:jc w:val="both"/>
        <w:rPr>
          <w:rFonts w:ascii="Arial" w:hAnsi="Arial" w:cs="Arial"/>
        </w:rPr>
      </w:pPr>
      <w:r w:rsidRPr="00AB24A3">
        <w:rPr>
          <w:rFonts w:ascii="Arial" w:hAnsi="Arial" w:cs="Arial"/>
        </w:rPr>
        <w:t xml:space="preserve">The leading </w:t>
      </w:r>
      <w:r>
        <w:rPr>
          <w:rFonts w:ascii="Arial" w:hAnsi="Arial" w:cs="Arial"/>
        </w:rPr>
        <w:t xml:space="preserve">English </w:t>
      </w:r>
      <w:r w:rsidRPr="00AB24A3">
        <w:rPr>
          <w:rFonts w:ascii="Arial" w:hAnsi="Arial" w:cs="Arial"/>
        </w:rPr>
        <w:t xml:space="preserve">case </w:t>
      </w:r>
      <w:r w:rsidR="00012319">
        <w:rPr>
          <w:rFonts w:ascii="Arial" w:hAnsi="Arial" w:cs="Arial"/>
        </w:rPr>
        <w:t xml:space="preserve">on this point </w:t>
      </w:r>
      <w:r w:rsidRPr="00AB24A3">
        <w:rPr>
          <w:rFonts w:ascii="Arial" w:hAnsi="Arial" w:cs="Arial"/>
        </w:rPr>
        <w:t xml:space="preserve">is </w:t>
      </w:r>
      <w:r w:rsidRPr="00AB24A3">
        <w:rPr>
          <w:rFonts w:ascii="Arial" w:hAnsi="Arial" w:cs="Arial"/>
          <w:i/>
          <w:iCs/>
        </w:rPr>
        <w:t>Lamb</w:t>
      </w:r>
      <w:r>
        <w:rPr>
          <w:rFonts w:ascii="Arial" w:hAnsi="Arial" w:cs="Arial"/>
        </w:rPr>
        <w:t>,</w:t>
      </w:r>
      <w:r>
        <w:rPr>
          <w:rStyle w:val="FootnoteReference"/>
          <w:rFonts w:ascii="Arial" w:hAnsi="Arial" w:cs="Arial"/>
        </w:rPr>
        <w:footnoteReference w:id="41"/>
      </w:r>
      <w:r>
        <w:rPr>
          <w:rFonts w:ascii="Arial" w:hAnsi="Arial" w:cs="Arial"/>
        </w:rPr>
        <w:t xml:space="preserve"> in which </w:t>
      </w:r>
      <w:r w:rsidRPr="00AB24A3">
        <w:rPr>
          <w:rFonts w:ascii="Arial" w:hAnsi="Arial" w:cs="Arial"/>
        </w:rPr>
        <w:t>D shot his best friend, V, with a Smith &amp; Wesson revolver</w:t>
      </w:r>
      <w:r>
        <w:rPr>
          <w:rFonts w:ascii="Arial" w:hAnsi="Arial" w:cs="Arial"/>
        </w:rPr>
        <w:t xml:space="preserve"> and was subsequently convicted of manslaughter on the basis of his having committed assault</w:t>
      </w:r>
      <w:r w:rsidRPr="00AB24A3">
        <w:rPr>
          <w:rFonts w:ascii="Arial" w:hAnsi="Arial" w:cs="Arial"/>
        </w:rPr>
        <w:t xml:space="preserve">. </w:t>
      </w:r>
      <w:r>
        <w:rPr>
          <w:rFonts w:ascii="Arial" w:hAnsi="Arial" w:cs="Arial"/>
        </w:rPr>
        <w:t>However, t</w:t>
      </w:r>
      <w:r w:rsidRPr="00AB24A3">
        <w:rPr>
          <w:rFonts w:ascii="Arial" w:hAnsi="Arial" w:cs="Arial"/>
        </w:rPr>
        <w:t>he Court of Appeal quashed D</w:t>
      </w:r>
      <w:r w:rsidR="00F8652E">
        <w:rPr>
          <w:rFonts w:ascii="Arial" w:hAnsi="Arial" w:cs="Arial"/>
        </w:rPr>
        <w:t>’</w:t>
      </w:r>
      <w:r w:rsidRPr="00AB24A3">
        <w:rPr>
          <w:rFonts w:ascii="Arial" w:hAnsi="Arial" w:cs="Arial"/>
        </w:rPr>
        <w:t>s conviction. Sachs LJ said that D</w:t>
      </w:r>
      <w:r w:rsidR="00F8652E">
        <w:rPr>
          <w:rFonts w:ascii="Arial" w:hAnsi="Arial" w:cs="Arial"/>
        </w:rPr>
        <w:t>’</w:t>
      </w:r>
      <w:r w:rsidRPr="00AB24A3">
        <w:rPr>
          <w:rFonts w:ascii="Arial" w:hAnsi="Arial" w:cs="Arial"/>
        </w:rPr>
        <w:t xml:space="preserve">s act was not </w:t>
      </w:r>
      <w:r w:rsidR="00F8652E">
        <w:rPr>
          <w:rFonts w:ascii="Arial" w:hAnsi="Arial" w:cs="Arial"/>
        </w:rPr>
        <w:t>‘</w:t>
      </w:r>
      <w:r w:rsidRPr="00AB24A3">
        <w:rPr>
          <w:rFonts w:ascii="Arial" w:hAnsi="Arial" w:cs="Arial"/>
        </w:rPr>
        <w:t>unlawful in the criminal sense of th</w:t>
      </w:r>
      <w:r w:rsidR="009D3E22">
        <w:rPr>
          <w:rFonts w:ascii="Arial" w:hAnsi="Arial" w:cs="Arial"/>
        </w:rPr>
        <w:t>at</w:t>
      </w:r>
      <w:r w:rsidRPr="00AB24A3">
        <w:rPr>
          <w:rFonts w:ascii="Arial" w:hAnsi="Arial" w:cs="Arial"/>
        </w:rPr>
        <w:t xml:space="preserve"> word</w:t>
      </w:r>
      <w:r w:rsidR="00F8652E">
        <w:rPr>
          <w:rFonts w:ascii="Arial" w:hAnsi="Arial" w:cs="Arial"/>
        </w:rPr>
        <w:t>’</w:t>
      </w:r>
      <w:r w:rsidRPr="00AB24A3">
        <w:rPr>
          <w:rFonts w:ascii="Arial" w:hAnsi="Arial" w:cs="Arial"/>
        </w:rPr>
        <w:t>.</w:t>
      </w:r>
      <w:r w:rsidR="009D3E22">
        <w:rPr>
          <w:rStyle w:val="FootnoteReference"/>
          <w:rFonts w:ascii="Arial" w:hAnsi="Arial" w:cs="Arial"/>
        </w:rPr>
        <w:footnoteReference w:id="42"/>
      </w:r>
      <w:r>
        <w:rPr>
          <w:rFonts w:ascii="Arial" w:hAnsi="Arial" w:cs="Arial"/>
        </w:rPr>
        <w:t xml:space="preserve"> </w:t>
      </w:r>
      <w:r w:rsidRPr="00AB24A3">
        <w:rPr>
          <w:rFonts w:ascii="Arial" w:hAnsi="Arial" w:cs="Arial"/>
        </w:rPr>
        <w:t xml:space="preserve">Although the gun was loaded, in that there were two bullets in the five-chamber cylinder, there were no bullets in the chamber opposite the barrel. Critically, neither man appreciated that the cylinder revolved before the hammer struck the back of the mechanism. Consequently, V did not apprehend any possibility of injury being caused to himself, and therefore the </w:t>
      </w:r>
      <w:proofErr w:type="spellStart"/>
      <w:r w:rsidRPr="00AB24A3">
        <w:rPr>
          <w:rFonts w:ascii="Arial" w:hAnsi="Arial" w:cs="Arial"/>
          <w:i/>
          <w:iCs/>
        </w:rPr>
        <w:t>actus</w:t>
      </w:r>
      <w:proofErr w:type="spellEnd"/>
      <w:r w:rsidRPr="00AB24A3">
        <w:rPr>
          <w:rFonts w:ascii="Arial" w:hAnsi="Arial" w:cs="Arial"/>
          <w:i/>
          <w:iCs/>
        </w:rPr>
        <w:t xml:space="preserve"> </w:t>
      </w:r>
      <w:proofErr w:type="spellStart"/>
      <w:r w:rsidRPr="00AB24A3">
        <w:rPr>
          <w:rFonts w:ascii="Arial" w:hAnsi="Arial" w:cs="Arial"/>
          <w:i/>
          <w:iCs/>
        </w:rPr>
        <w:t>reus</w:t>
      </w:r>
      <w:proofErr w:type="spellEnd"/>
      <w:r w:rsidRPr="00AB24A3">
        <w:rPr>
          <w:rFonts w:ascii="Arial" w:hAnsi="Arial" w:cs="Arial"/>
          <w:i/>
          <w:iCs/>
        </w:rPr>
        <w:t xml:space="preserve"> </w:t>
      </w:r>
      <w:r w:rsidRPr="00AB24A3">
        <w:rPr>
          <w:rFonts w:ascii="Arial" w:hAnsi="Arial" w:cs="Arial"/>
        </w:rPr>
        <w:t xml:space="preserve">of assault had not been performed. </w:t>
      </w:r>
      <w:r>
        <w:rPr>
          <w:rFonts w:ascii="Arial" w:hAnsi="Arial" w:cs="Arial"/>
        </w:rPr>
        <w:t xml:space="preserve">Nor did D possess </w:t>
      </w:r>
      <w:r w:rsidRPr="00AB24A3">
        <w:rPr>
          <w:rFonts w:ascii="Arial" w:hAnsi="Arial" w:cs="Arial"/>
        </w:rPr>
        <w:t xml:space="preserve">the </w:t>
      </w:r>
      <w:proofErr w:type="spellStart"/>
      <w:r w:rsidRPr="0088599F">
        <w:rPr>
          <w:rFonts w:ascii="Arial" w:hAnsi="Arial" w:cs="Arial"/>
          <w:i/>
        </w:rPr>
        <w:t>mens</w:t>
      </w:r>
      <w:proofErr w:type="spellEnd"/>
      <w:r w:rsidRPr="0088599F">
        <w:rPr>
          <w:rFonts w:ascii="Arial" w:hAnsi="Arial" w:cs="Arial"/>
          <w:i/>
        </w:rPr>
        <w:t xml:space="preserve"> rea</w:t>
      </w:r>
      <w:r>
        <w:rPr>
          <w:rFonts w:ascii="Arial" w:hAnsi="Arial" w:cs="Arial"/>
        </w:rPr>
        <w:t xml:space="preserve">. Because </w:t>
      </w:r>
      <w:r w:rsidRPr="00AB24A3">
        <w:rPr>
          <w:rFonts w:ascii="Arial" w:hAnsi="Arial" w:cs="Arial"/>
        </w:rPr>
        <w:t xml:space="preserve">D did not </w:t>
      </w:r>
      <w:r>
        <w:rPr>
          <w:rFonts w:ascii="Arial" w:hAnsi="Arial" w:cs="Arial"/>
        </w:rPr>
        <w:t>anticipate</w:t>
      </w:r>
      <w:r w:rsidRPr="00AB24A3">
        <w:rPr>
          <w:rFonts w:ascii="Arial" w:hAnsi="Arial" w:cs="Arial"/>
        </w:rPr>
        <w:t xml:space="preserve"> </w:t>
      </w:r>
      <w:r>
        <w:rPr>
          <w:rFonts w:ascii="Arial" w:hAnsi="Arial" w:cs="Arial"/>
        </w:rPr>
        <w:t xml:space="preserve">that </w:t>
      </w:r>
      <w:r w:rsidRPr="00AB24A3">
        <w:rPr>
          <w:rFonts w:ascii="Arial" w:hAnsi="Arial" w:cs="Arial"/>
        </w:rPr>
        <w:t xml:space="preserve">the gun </w:t>
      </w:r>
      <w:r>
        <w:rPr>
          <w:rFonts w:ascii="Arial" w:hAnsi="Arial" w:cs="Arial"/>
        </w:rPr>
        <w:t xml:space="preserve">would </w:t>
      </w:r>
      <w:r w:rsidRPr="00AB24A3">
        <w:rPr>
          <w:rFonts w:ascii="Arial" w:hAnsi="Arial" w:cs="Arial"/>
        </w:rPr>
        <w:t>fir</w:t>
      </w:r>
      <w:r>
        <w:rPr>
          <w:rFonts w:ascii="Arial" w:hAnsi="Arial" w:cs="Arial"/>
        </w:rPr>
        <w:t>e</w:t>
      </w:r>
      <w:r w:rsidR="006570C0">
        <w:rPr>
          <w:rFonts w:ascii="Arial" w:hAnsi="Arial" w:cs="Arial"/>
        </w:rPr>
        <w:t>,</w:t>
      </w:r>
      <w:r>
        <w:rPr>
          <w:rFonts w:ascii="Arial" w:hAnsi="Arial" w:cs="Arial"/>
        </w:rPr>
        <w:t xml:space="preserve"> he</w:t>
      </w:r>
      <w:r w:rsidRPr="00AB24A3">
        <w:rPr>
          <w:rFonts w:ascii="Arial" w:hAnsi="Arial" w:cs="Arial"/>
        </w:rPr>
        <w:t xml:space="preserve"> did not possess the mental element of assault (intention or subjective recklessness as to causing immediate violence to be apprehended by V). </w:t>
      </w:r>
    </w:p>
    <w:p w:rsidR="0088599F" w:rsidRPr="00AB24A3" w:rsidRDefault="0088599F" w:rsidP="0088599F">
      <w:pPr>
        <w:jc w:val="both"/>
        <w:rPr>
          <w:rFonts w:ascii="Arial" w:hAnsi="Arial" w:cs="Arial"/>
        </w:rPr>
      </w:pPr>
    </w:p>
    <w:p w:rsidR="00A22D3F" w:rsidRPr="00A22D3F" w:rsidRDefault="00AA17C8" w:rsidP="00A22D3F">
      <w:pPr>
        <w:jc w:val="both"/>
        <w:rPr>
          <w:rFonts w:ascii="Arial" w:hAnsi="Arial" w:cs="Arial"/>
        </w:rPr>
      </w:pPr>
      <w:r>
        <w:rPr>
          <w:rFonts w:ascii="Arial" w:hAnsi="Arial" w:cs="Arial"/>
        </w:rPr>
        <w:lastRenderedPageBreak/>
        <w:t>A s</w:t>
      </w:r>
      <w:r w:rsidR="0088599F" w:rsidRPr="00A22D3F">
        <w:rPr>
          <w:rFonts w:ascii="Arial" w:hAnsi="Arial" w:cs="Arial"/>
        </w:rPr>
        <w:t>imilar</w:t>
      </w:r>
      <w:r>
        <w:rPr>
          <w:rFonts w:ascii="Arial" w:hAnsi="Arial" w:cs="Arial"/>
        </w:rPr>
        <w:t xml:space="preserve"> outcome occurred </w:t>
      </w:r>
      <w:r w:rsidR="0088599F" w:rsidRPr="00A22D3F">
        <w:rPr>
          <w:rFonts w:ascii="Arial" w:hAnsi="Arial" w:cs="Arial"/>
        </w:rPr>
        <w:t xml:space="preserve">in </w:t>
      </w:r>
      <w:proofErr w:type="spellStart"/>
      <w:r w:rsidR="00A22D3F" w:rsidRPr="00A22D3F">
        <w:rPr>
          <w:rFonts w:ascii="Arial" w:hAnsi="Arial" w:cs="Arial"/>
          <w:i/>
        </w:rPr>
        <w:t>Arobieke</w:t>
      </w:r>
      <w:proofErr w:type="spellEnd"/>
      <w:r w:rsidR="00A22D3F" w:rsidRPr="00A22D3F">
        <w:rPr>
          <w:rFonts w:ascii="Arial" w:hAnsi="Arial" w:cs="Arial"/>
        </w:rPr>
        <w:t>,</w:t>
      </w:r>
      <w:r w:rsidR="00A22D3F" w:rsidRPr="00A22D3F">
        <w:rPr>
          <w:rStyle w:val="FootnoteReference"/>
          <w:rFonts w:ascii="Arial" w:hAnsi="Arial" w:cs="Arial"/>
        </w:rPr>
        <w:footnoteReference w:id="43"/>
      </w:r>
      <w:r w:rsidR="00A22D3F" w:rsidRPr="00A22D3F">
        <w:rPr>
          <w:rFonts w:ascii="Arial" w:hAnsi="Arial" w:cs="Arial"/>
        </w:rPr>
        <w:t xml:space="preserve"> </w:t>
      </w:r>
      <w:r>
        <w:rPr>
          <w:rFonts w:ascii="Arial" w:hAnsi="Arial" w:cs="Arial"/>
        </w:rPr>
        <w:t xml:space="preserve">where </w:t>
      </w:r>
      <w:r w:rsidR="00A22D3F" w:rsidRPr="00A22D3F">
        <w:rPr>
          <w:rFonts w:ascii="Arial" w:hAnsi="Arial" w:cs="Arial"/>
        </w:rPr>
        <w:t>D</w:t>
      </w:r>
      <w:r w:rsidR="00F8652E">
        <w:rPr>
          <w:rFonts w:ascii="Arial" w:hAnsi="Arial" w:cs="Arial"/>
        </w:rPr>
        <w:t>’</w:t>
      </w:r>
      <w:r w:rsidR="00A22D3F" w:rsidRPr="00A22D3F">
        <w:rPr>
          <w:rFonts w:ascii="Arial" w:hAnsi="Arial" w:cs="Arial"/>
        </w:rPr>
        <w:t xml:space="preserve">s conviction of manslaughter, </w:t>
      </w:r>
      <w:r>
        <w:rPr>
          <w:rFonts w:ascii="Arial" w:hAnsi="Arial" w:cs="Arial"/>
        </w:rPr>
        <w:t xml:space="preserve">also </w:t>
      </w:r>
      <w:r w:rsidR="00A22D3F" w:rsidRPr="00A22D3F">
        <w:rPr>
          <w:rFonts w:ascii="Arial" w:hAnsi="Arial" w:cs="Arial"/>
        </w:rPr>
        <w:t>based on assault, was quashed</w:t>
      </w:r>
      <w:r>
        <w:rPr>
          <w:rFonts w:ascii="Arial" w:hAnsi="Arial" w:cs="Arial"/>
        </w:rPr>
        <w:t xml:space="preserve">. V was fatally electrocuted after running across live railway lines in order to escape from D but the appeal court was not satisfied that </w:t>
      </w:r>
      <w:r w:rsidR="00A22D3F" w:rsidRPr="00A22D3F">
        <w:rPr>
          <w:rFonts w:ascii="Arial" w:hAnsi="Arial" w:cs="Arial"/>
        </w:rPr>
        <w:t>D</w:t>
      </w:r>
      <w:r w:rsidR="00F8652E">
        <w:rPr>
          <w:rFonts w:ascii="Arial" w:hAnsi="Arial" w:cs="Arial"/>
        </w:rPr>
        <w:t>’</w:t>
      </w:r>
      <w:r>
        <w:rPr>
          <w:rFonts w:ascii="Arial" w:hAnsi="Arial" w:cs="Arial"/>
        </w:rPr>
        <w:t xml:space="preserve">s conduct in simply following V into the railway station and looking for him there constituted an assault. </w:t>
      </w:r>
    </w:p>
    <w:p w:rsidR="00D332AC" w:rsidRDefault="00D332AC" w:rsidP="0088599F">
      <w:pPr>
        <w:jc w:val="both"/>
        <w:rPr>
          <w:rFonts w:ascii="Arial" w:hAnsi="Arial" w:cs="Arial"/>
          <w:iCs/>
        </w:rPr>
      </w:pPr>
    </w:p>
    <w:p w:rsidR="006C10F8" w:rsidRPr="005D0E9F" w:rsidRDefault="00A22D3F" w:rsidP="006C10F8">
      <w:pPr>
        <w:jc w:val="both"/>
        <w:rPr>
          <w:rFonts w:ascii="Arial" w:hAnsi="Arial" w:cs="Arial"/>
          <w:color w:val="000000"/>
          <w:lang w:val="en"/>
        </w:rPr>
      </w:pPr>
      <w:r>
        <w:rPr>
          <w:rFonts w:ascii="Arial" w:hAnsi="Arial" w:cs="Arial"/>
          <w:iCs/>
        </w:rPr>
        <w:t xml:space="preserve">Another example is </w:t>
      </w:r>
      <w:r w:rsidR="0088599F" w:rsidRPr="00AB24A3">
        <w:rPr>
          <w:rFonts w:ascii="Arial" w:hAnsi="Arial" w:cs="Arial"/>
          <w:i/>
          <w:iCs/>
        </w:rPr>
        <w:t>Jennings</w:t>
      </w:r>
      <w:r w:rsidR="0088599F" w:rsidRPr="00AB24A3">
        <w:rPr>
          <w:rFonts w:ascii="Arial" w:hAnsi="Arial" w:cs="Arial"/>
        </w:rPr>
        <w:t>,</w:t>
      </w:r>
      <w:r w:rsidR="0088599F">
        <w:rPr>
          <w:rStyle w:val="FootnoteReference"/>
          <w:rFonts w:ascii="Arial" w:hAnsi="Arial" w:cs="Arial"/>
        </w:rPr>
        <w:footnoteReference w:id="44"/>
      </w:r>
      <w:r w:rsidR="0088599F" w:rsidRPr="00AB24A3">
        <w:rPr>
          <w:rFonts w:ascii="Arial" w:hAnsi="Arial" w:cs="Arial"/>
        </w:rPr>
        <w:t xml:space="preserve"> where D had been convicted of manslaughter on the basis that his act of carrying an uncovered k</w:t>
      </w:r>
      <w:r>
        <w:rPr>
          <w:rFonts w:ascii="Arial" w:hAnsi="Arial" w:cs="Arial"/>
        </w:rPr>
        <w:t>nife in the street was unlawfu</w:t>
      </w:r>
      <w:r w:rsidR="00C36F7F">
        <w:rPr>
          <w:rFonts w:ascii="Arial" w:hAnsi="Arial" w:cs="Arial"/>
        </w:rPr>
        <w:t>l</w:t>
      </w:r>
      <w:r>
        <w:rPr>
          <w:rFonts w:ascii="Arial" w:hAnsi="Arial" w:cs="Arial"/>
        </w:rPr>
        <w:t>.</w:t>
      </w:r>
      <w:r w:rsidR="00AA17C8">
        <w:rPr>
          <w:rStyle w:val="FootnoteReference"/>
          <w:rFonts w:ascii="Arial" w:hAnsi="Arial" w:cs="Arial"/>
        </w:rPr>
        <w:footnoteReference w:id="45"/>
      </w:r>
      <w:r>
        <w:rPr>
          <w:rFonts w:ascii="Arial" w:hAnsi="Arial" w:cs="Arial"/>
        </w:rPr>
        <w:t xml:space="preserve"> </w:t>
      </w:r>
      <w:r w:rsidR="009A20C3">
        <w:rPr>
          <w:rFonts w:ascii="Arial" w:hAnsi="Arial" w:cs="Arial"/>
        </w:rPr>
        <w:t>However, b</w:t>
      </w:r>
      <w:r w:rsidR="009A20C3" w:rsidRPr="00AB24A3">
        <w:rPr>
          <w:rFonts w:ascii="Arial" w:hAnsi="Arial" w:cs="Arial"/>
        </w:rPr>
        <w:t xml:space="preserve">ecause </w:t>
      </w:r>
      <w:r w:rsidR="009A20C3">
        <w:rPr>
          <w:rFonts w:ascii="Arial" w:hAnsi="Arial" w:cs="Arial"/>
        </w:rPr>
        <w:t xml:space="preserve">the knife was not an offensive weapon </w:t>
      </w:r>
      <w:r w:rsidR="009A20C3" w:rsidRPr="00C36F7F">
        <w:rPr>
          <w:rFonts w:ascii="Arial" w:hAnsi="Arial" w:cs="Arial"/>
          <w:i/>
        </w:rPr>
        <w:t>per se</w:t>
      </w:r>
      <w:r w:rsidR="009A20C3">
        <w:rPr>
          <w:rFonts w:ascii="Arial" w:hAnsi="Arial" w:cs="Arial"/>
        </w:rPr>
        <w:t xml:space="preserve">, it was necessary for the Crown to </w:t>
      </w:r>
      <w:r w:rsidR="009A20C3" w:rsidRPr="00AB24A3">
        <w:rPr>
          <w:rFonts w:ascii="Arial" w:hAnsi="Arial" w:cs="Arial"/>
        </w:rPr>
        <w:t>pro</w:t>
      </w:r>
      <w:r w:rsidR="009A20C3">
        <w:rPr>
          <w:rFonts w:ascii="Arial" w:hAnsi="Arial" w:cs="Arial"/>
        </w:rPr>
        <w:t>ve</w:t>
      </w:r>
      <w:r w:rsidR="009A20C3" w:rsidRPr="00AB24A3">
        <w:rPr>
          <w:rFonts w:ascii="Arial" w:hAnsi="Arial" w:cs="Arial"/>
        </w:rPr>
        <w:t xml:space="preserve"> that </w:t>
      </w:r>
      <w:r w:rsidR="009A20C3">
        <w:rPr>
          <w:rFonts w:ascii="Arial" w:hAnsi="Arial" w:cs="Arial"/>
        </w:rPr>
        <w:t>D</w:t>
      </w:r>
      <w:r w:rsidR="009A20C3" w:rsidRPr="00AB24A3">
        <w:rPr>
          <w:rFonts w:ascii="Arial" w:hAnsi="Arial" w:cs="Arial"/>
        </w:rPr>
        <w:t xml:space="preserve"> inten</w:t>
      </w:r>
      <w:r w:rsidR="009A20C3">
        <w:rPr>
          <w:rFonts w:ascii="Arial" w:hAnsi="Arial" w:cs="Arial"/>
        </w:rPr>
        <w:t>ded</w:t>
      </w:r>
      <w:r w:rsidR="009A20C3" w:rsidRPr="00AB24A3">
        <w:rPr>
          <w:rFonts w:ascii="Arial" w:hAnsi="Arial" w:cs="Arial"/>
        </w:rPr>
        <w:t xml:space="preserve"> to cause injury</w:t>
      </w:r>
      <w:r w:rsidR="009A20C3">
        <w:rPr>
          <w:rFonts w:ascii="Arial" w:hAnsi="Arial" w:cs="Arial"/>
        </w:rPr>
        <w:t xml:space="preserve"> with it, but the jury had not been directed to consider that. T</w:t>
      </w:r>
      <w:r>
        <w:rPr>
          <w:rFonts w:ascii="Arial" w:hAnsi="Arial" w:cs="Arial"/>
        </w:rPr>
        <w:t>h</w:t>
      </w:r>
      <w:r w:rsidR="0088599F" w:rsidRPr="00AB24A3">
        <w:rPr>
          <w:rFonts w:ascii="Arial" w:hAnsi="Arial" w:cs="Arial"/>
        </w:rPr>
        <w:t xml:space="preserve">e Court of Appeal quashed his conviction. </w:t>
      </w:r>
      <w:r w:rsidR="006C10F8" w:rsidRPr="005D0E9F">
        <w:rPr>
          <w:rFonts w:ascii="Arial" w:hAnsi="Arial" w:cs="Arial"/>
        </w:rPr>
        <w:t xml:space="preserve">More recently, in </w:t>
      </w:r>
      <w:r w:rsidR="006C10F8" w:rsidRPr="005D0E9F">
        <w:rPr>
          <w:rFonts w:ascii="Arial" w:hAnsi="Arial" w:cs="Arial"/>
          <w:i/>
          <w:iCs/>
          <w:color w:val="000000"/>
          <w:lang w:val="en"/>
        </w:rPr>
        <w:t>Dhaliwal</w:t>
      </w:r>
      <w:r w:rsidR="006C10F8" w:rsidRPr="005D0E9F">
        <w:rPr>
          <w:rFonts w:ascii="Arial" w:hAnsi="Arial" w:cs="Arial"/>
          <w:iCs/>
          <w:color w:val="000000"/>
          <w:lang w:val="en"/>
        </w:rPr>
        <w:t>,</w:t>
      </w:r>
      <w:r w:rsidR="006C10F8" w:rsidRPr="005D0E9F">
        <w:rPr>
          <w:rStyle w:val="FootnoteReference"/>
          <w:rFonts w:ascii="Arial" w:hAnsi="Arial" w:cs="Arial"/>
          <w:color w:val="000000"/>
          <w:lang w:val="en"/>
        </w:rPr>
        <w:footnoteReference w:id="46"/>
      </w:r>
      <w:r w:rsidR="006C10F8" w:rsidRPr="005D0E9F">
        <w:rPr>
          <w:rFonts w:ascii="Arial" w:hAnsi="Arial" w:cs="Arial"/>
          <w:color w:val="000000"/>
          <w:lang w:val="en"/>
        </w:rPr>
        <w:t xml:space="preserve"> the Court of Appeal upheld the trial judge</w:t>
      </w:r>
      <w:r w:rsidR="00F8652E">
        <w:rPr>
          <w:rFonts w:ascii="Arial" w:hAnsi="Arial" w:cs="Arial"/>
          <w:color w:val="000000"/>
          <w:lang w:val="en"/>
        </w:rPr>
        <w:t>’</w:t>
      </w:r>
      <w:r w:rsidR="006C10F8" w:rsidRPr="005D0E9F">
        <w:rPr>
          <w:rFonts w:ascii="Arial" w:hAnsi="Arial" w:cs="Arial"/>
          <w:color w:val="000000"/>
          <w:lang w:val="en"/>
        </w:rPr>
        <w:t xml:space="preserve">s ruling that </w:t>
      </w:r>
      <w:r w:rsidR="006C10F8" w:rsidRPr="005D0E9F">
        <w:rPr>
          <w:rFonts w:ascii="Arial" w:hAnsi="Arial" w:cs="Arial"/>
          <w:lang w:val="en-GB" w:eastAsia="en-GB"/>
        </w:rPr>
        <w:t>there was no basis on which a reasonable jury, properly directed, could convict D of the manslaughter of his wife, V, on the basis that there was no unlawful act. The Crown</w:t>
      </w:r>
      <w:r w:rsidR="00F8652E">
        <w:rPr>
          <w:rFonts w:ascii="Arial" w:hAnsi="Arial" w:cs="Arial"/>
          <w:lang w:val="en-GB" w:eastAsia="en-GB"/>
        </w:rPr>
        <w:t>’</w:t>
      </w:r>
      <w:r w:rsidR="006C10F8" w:rsidRPr="005D0E9F">
        <w:rPr>
          <w:rFonts w:ascii="Arial" w:hAnsi="Arial" w:cs="Arial"/>
          <w:lang w:val="en-GB" w:eastAsia="en-GB"/>
        </w:rPr>
        <w:t>s case was that D</w:t>
      </w:r>
      <w:r w:rsidR="00F8652E">
        <w:rPr>
          <w:rFonts w:ascii="Arial" w:hAnsi="Arial" w:cs="Arial"/>
          <w:lang w:val="en-GB" w:eastAsia="en-GB"/>
        </w:rPr>
        <w:t>’</w:t>
      </w:r>
      <w:r w:rsidR="006C10F8" w:rsidRPr="005D0E9F">
        <w:rPr>
          <w:rFonts w:ascii="Arial" w:hAnsi="Arial" w:cs="Arial"/>
          <w:lang w:val="en-GB" w:eastAsia="en-GB"/>
        </w:rPr>
        <w:t>s abusive treatment of his wife, culminating in her suicide, involved the commission of actual and/or grievous bodily harm.</w:t>
      </w:r>
      <w:r w:rsidR="009A20C3">
        <w:rPr>
          <w:rStyle w:val="FootnoteReference"/>
          <w:rFonts w:ascii="Arial" w:hAnsi="Arial" w:cs="Arial"/>
          <w:lang w:val="en-GB" w:eastAsia="en-GB"/>
        </w:rPr>
        <w:footnoteReference w:id="47"/>
      </w:r>
      <w:r w:rsidR="006C10F8" w:rsidRPr="005D0E9F">
        <w:rPr>
          <w:rFonts w:ascii="Arial" w:hAnsi="Arial" w:cs="Arial"/>
          <w:lang w:val="en-GB" w:eastAsia="en-GB"/>
        </w:rPr>
        <w:t xml:space="preserve"> However, </w:t>
      </w:r>
      <w:r w:rsidR="005D0E9F" w:rsidRPr="005D0E9F">
        <w:rPr>
          <w:rFonts w:ascii="Arial" w:hAnsi="Arial" w:cs="Arial"/>
          <w:lang w:val="en-GB" w:eastAsia="en-GB"/>
        </w:rPr>
        <w:t xml:space="preserve">of the three experts who testified, two were unable to identify any psychiatric illness capable of amounting to </w:t>
      </w:r>
      <w:r w:rsidR="00F8652E">
        <w:rPr>
          <w:rFonts w:ascii="Arial" w:hAnsi="Arial" w:cs="Arial"/>
          <w:lang w:val="en-GB" w:eastAsia="en-GB"/>
        </w:rPr>
        <w:t>‘</w:t>
      </w:r>
      <w:r w:rsidR="005D0E9F" w:rsidRPr="005D0E9F">
        <w:rPr>
          <w:rFonts w:ascii="Arial" w:hAnsi="Arial" w:cs="Arial"/>
          <w:lang w:val="en-GB" w:eastAsia="en-GB"/>
        </w:rPr>
        <w:t>bodily harm</w:t>
      </w:r>
      <w:r w:rsidR="00F8652E">
        <w:rPr>
          <w:rFonts w:ascii="Arial" w:hAnsi="Arial" w:cs="Arial"/>
          <w:lang w:val="en-GB" w:eastAsia="en-GB"/>
        </w:rPr>
        <w:t>’</w:t>
      </w:r>
      <w:r w:rsidR="005D0E9F" w:rsidRPr="005D0E9F">
        <w:rPr>
          <w:rFonts w:ascii="Arial" w:hAnsi="Arial" w:cs="Arial"/>
          <w:lang w:val="en-GB" w:eastAsia="en-GB"/>
        </w:rPr>
        <w:t>.</w:t>
      </w:r>
      <w:r w:rsidR="005D0E9F">
        <w:rPr>
          <w:rFonts w:ascii="Arial" w:hAnsi="Arial" w:cs="Arial"/>
          <w:lang w:val="en-GB" w:eastAsia="en-GB"/>
        </w:rPr>
        <w:t xml:space="preserve"> The Court of Appeal rejected any suggestion that psychological harm falling short of psychiatric injury was capable of falling under the 1861 Act.</w:t>
      </w:r>
    </w:p>
    <w:p w:rsidR="0088599F" w:rsidRPr="005D0E9F" w:rsidRDefault="0088599F" w:rsidP="0088599F">
      <w:pPr>
        <w:jc w:val="both"/>
        <w:rPr>
          <w:rFonts w:ascii="Arial" w:hAnsi="Arial" w:cs="Arial"/>
        </w:rPr>
      </w:pPr>
    </w:p>
    <w:p w:rsidR="00143046" w:rsidRDefault="00EF188C" w:rsidP="00AB24A3">
      <w:pPr>
        <w:jc w:val="both"/>
        <w:rPr>
          <w:rFonts w:ascii="Arial" w:hAnsi="Arial" w:cs="Arial"/>
        </w:rPr>
      </w:pPr>
      <w:r w:rsidRPr="005578D7">
        <w:rPr>
          <w:rFonts w:ascii="Arial" w:hAnsi="Arial" w:cs="Arial"/>
        </w:rPr>
        <w:t xml:space="preserve">As </w:t>
      </w:r>
      <w:r w:rsidR="005578D7">
        <w:rPr>
          <w:rFonts w:ascii="Arial" w:hAnsi="Arial" w:cs="Arial"/>
        </w:rPr>
        <w:t xml:space="preserve">for Canadian law, </w:t>
      </w:r>
      <w:r w:rsidRPr="005578D7">
        <w:rPr>
          <w:rFonts w:ascii="Arial" w:hAnsi="Arial" w:cs="Arial"/>
        </w:rPr>
        <w:t xml:space="preserve">Fraser CJA explained in </w:t>
      </w:r>
      <w:proofErr w:type="spellStart"/>
      <w:r w:rsidRPr="005578D7">
        <w:rPr>
          <w:rFonts w:ascii="Arial" w:hAnsi="Arial" w:cs="Arial"/>
          <w:i/>
        </w:rPr>
        <w:t>LaBerge</w:t>
      </w:r>
      <w:proofErr w:type="spellEnd"/>
      <w:r w:rsidR="009B76A1" w:rsidRPr="005578D7">
        <w:rPr>
          <w:rStyle w:val="FootnoteReference"/>
          <w:rFonts w:ascii="Arial" w:hAnsi="Arial" w:cs="Arial"/>
        </w:rPr>
        <w:footnoteReference w:id="48"/>
      </w:r>
      <w:r w:rsidRPr="005578D7">
        <w:rPr>
          <w:rFonts w:ascii="Arial" w:hAnsi="Arial" w:cs="Arial"/>
        </w:rPr>
        <w:t xml:space="preserve"> </w:t>
      </w:r>
      <w:r w:rsidR="005578D7">
        <w:rPr>
          <w:rFonts w:ascii="Arial" w:hAnsi="Arial" w:cs="Arial"/>
        </w:rPr>
        <w:t xml:space="preserve">that </w:t>
      </w:r>
      <w:r w:rsidRPr="005578D7">
        <w:rPr>
          <w:rFonts w:ascii="Arial" w:hAnsi="Arial" w:cs="Arial"/>
        </w:rPr>
        <w:t>t</w:t>
      </w:r>
      <w:r w:rsidR="00682887" w:rsidRPr="005578D7">
        <w:rPr>
          <w:rFonts w:ascii="Arial" w:hAnsi="Arial" w:cs="Arial"/>
        </w:rPr>
        <w:t xml:space="preserve">o </w:t>
      </w:r>
      <w:r w:rsidR="00F8652E">
        <w:rPr>
          <w:rFonts w:ascii="Arial" w:hAnsi="Arial" w:cs="Arial"/>
        </w:rPr>
        <w:t>‘</w:t>
      </w:r>
      <w:r w:rsidR="00682887" w:rsidRPr="005578D7">
        <w:rPr>
          <w:rFonts w:ascii="Arial" w:hAnsi="Arial" w:cs="Arial"/>
        </w:rPr>
        <w:t xml:space="preserve">convict an accused of unlawful act manslaughter, the Crown must first prove the </w:t>
      </w:r>
      <w:proofErr w:type="spellStart"/>
      <w:r w:rsidR="00682887" w:rsidRPr="005578D7">
        <w:rPr>
          <w:rFonts w:ascii="Arial" w:hAnsi="Arial" w:cs="Arial"/>
          <w:i/>
        </w:rPr>
        <w:t>actus</w:t>
      </w:r>
      <w:proofErr w:type="spellEnd"/>
      <w:r w:rsidR="00682887" w:rsidRPr="005578D7">
        <w:rPr>
          <w:rFonts w:ascii="Arial" w:hAnsi="Arial" w:cs="Arial"/>
          <w:i/>
        </w:rPr>
        <w:t xml:space="preserve"> </w:t>
      </w:r>
      <w:proofErr w:type="spellStart"/>
      <w:r w:rsidR="00682887" w:rsidRPr="005578D7">
        <w:rPr>
          <w:rFonts w:ascii="Arial" w:hAnsi="Arial" w:cs="Arial"/>
          <w:i/>
        </w:rPr>
        <w:t>reus</w:t>
      </w:r>
      <w:proofErr w:type="spellEnd"/>
      <w:r w:rsidR="00682887" w:rsidRPr="005578D7">
        <w:rPr>
          <w:rFonts w:ascii="Arial" w:hAnsi="Arial" w:cs="Arial"/>
        </w:rPr>
        <w:t xml:space="preserve"> and the </w:t>
      </w:r>
      <w:proofErr w:type="spellStart"/>
      <w:r w:rsidR="00682887" w:rsidRPr="005578D7">
        <w:rPr>
          <w:rFonts w:ascii="Arial" w:hAnsi="Arial" w:cs="Arial"/>
          <w:i/>
        </w:rPr>
        <w:t>mens</w:t>
      </w:r>
      <w:proofErr w:type="spellEnd"/>
      <w:r w:rsidR="00682887" w:rsidRPr="005578D7">
        <w:rPr>
          <w:rFonts w:ascii="Arial" w:hAnsi="Arial" w:cs="Arial"/>
          <w:i/>
        </w:rPr>
        <w:t xml:space="preserve"> rea</w:t>
      </w:r>
      <w:r w:rsidR="00682887" w:rsidRPr="005578D7">
        <w:rPr>
          <w:rFonts w:ascii="Arial" w:hAnsi="Arial" w:cs="Arial"/>
        </w:rPr>
        <w:t xml:space="preserve"> associated with the underlying act</w:t>
      </w:r>
      <w:r w:rsidR="00F8652E">
        <w:rPr>
          <w:rFonts w:ascii="Arial" w:hAnsi="Arial" w:cs="Arial"/>
        </w:rPr>
        <w:t>’</w:t>
      </w:r>
      <w:r w:rsidR="00682887" w:rsidRPr="005578D7">
        <w:rPr>
          <w:rFonts w:ascii="Arial" w:hAnsi="Arial" w:cs="Arial"/>
        </w:rPr>
        <w:t>.</w:t>
      </w:r>
      <w:r w:rsidR="009D3E22">
        <w:rPr>
          <w:rStyle w:val="FootnoteReference"/>
          <w:rFonts w:ascii="Arial" w:hAnsi="Arial" w:cs="Arial"/>
        </w:rPr>
        <w:footnoteReference w:id="49"/>
      </w:r>
      <w:r w:rsidR="00682887" w:rsidRPr="005578D7">
        <w:rPr>
          <w:rFonts w:ascii="Arial" w:hAnsi="Arial" w:cs="Arial"/>
        </w:rPr>
        <w:t xml:space="preserve"> </w:t>
      </w:r>
      <w:r w:rsidR="000F6C4A" w:rsidRPr="005578D7">
        <w:rPr>
          <w:rFonts w:ascii="Arial" w:hAnsi="Arial" w:cs="Arial"/>
        </w:rPr>
        <w:t xml:space="preserve">In </w:t>
      </w:r>
      <w:r w:rsidR="00143046" w:rsidRPr="005578D7">
        <w:rPr>
          <w:rFonts w:ascii="Arial" w:hAnsi="Arial" w:cs="Arial"/>
          <w:i/>
          <w:iCs/>
        </w:rPr>
        <w:t>Creighton</w:t>
      </w:r>
      <w:r w:rsidR="000F6C4A" w:rsidRPr="005578D7">
        <w:rPr>
          <w:rFonts w:ascii="Arial" w:hAnsi="Arial" w:cs="Arial"/>
        </w:rPr>
        <w:t>,</w:t>
      </w:r>
      <w:r w:rsidR="009B76A1" w:rsidRPr="005578D7">
        <w:rPr>
          <w:rStyle w:val="FootnoteReference"/>
          <w:rFonts w:ascii="Arial" w:hAnsi="Arial" w:cs="Arial"/>
        </w:rPr>
        <w:footnoteReference w:id="50"/>
      </w:r>
      <w:r w:rsidR="000F6C4A" w:rsidRPr="005578D7">
        <w:rPr>
          <w:rFonts w:ascii="Arial" w:hAnsi="Arial" w:cs="Arial"/>
        </w:rPr>
        <w:t xml:space="preserve"> McLaughlin J</w:t>
      </w:r>
      <w:r w:rsidR="005578D7">
        <w:rPr>
          <w:rStyle w:val="FootnoteReference"/>
          <w:rFonts w:ascii="Arial" w:hAnsi="Arial" w:cs="Arial"/>
        </w:rPr>
        <w:footnoteReference w:id="51"/>
      </w:r>
      <w:r w:rsidR="000F6C4A">
        <w:rPr>
          <w:rFonts w:ascii="Arial" w:hAnsi="Arial" w:cs="Arial"/>
        </w:rPr>
        <w:t xml:space="preserve"> </w:t>
      </w:r>
      <w:r w:rsidR="009A20C3">
        <w:rPr>
          <w:rFonts w:ascii="Arial" w:hAnsi="Arial" w:cs="Arial"/>
        </w:rPr>
        <w:t xml:space="preserve">stressed the need for proof of </w:t>
      </w:r>
      <w:r w:rsidR="00F8652E">
        <w:rPr>
          <w:rFonts w:ascii="Arial" w:hAnsi="Arial" w:cs="Arial"/>
        </w:rPr>
        <w:t>‘</w:t>
      </w:r>
      <w:r w:rsidR="000F6C4A" w:rsidRPr="000F6C4A">
        <w:rPr>
          <w:rFonts w:ascii="Arial" w:hAnsi="Arial" w:cs="Arial"/>
        </w:rPr>
        <w:t xml:space="preserve">the </w:t>
      </w:r>
      <w:proofErr w:type="spellStart"/>
      <w:r w:rsidR="000F6C4A" w:rsidRPr="000F6C4A">
        <w:rPr>
          <w:rFonts w:ascii="Arial" w:hAnsi="Arial" w:cs="Arial"/>
          <w:i/>
        </w:rPr>
        <w:t>actus</w:t>
      </w:r>
      <w:proofErr w:type="spellEnd"/>
      <w:r w:rsidR="000F6C4A" w:rsidRPr="000F6C4A">
        <w:rPr>
          <w:rFonts w:ascii="Arial" w:hAnsi="Arial" w:cs="Arial"/>
          <w:i/>
        </w:rPr>
        <w:t xml:space="preserve"> </w:t>
      </w:r>
      <w:proofErr w:type="spellStart"/>
      <w:r w:rsidR="000F6C4A" w:rsidRPr="000F6C4A">
        <w:rPr>
          <w:rFonts w:ascii="Arial" w:hAnsi="Arial" w:cs="Arial"/>
          <w:i/>
        </w:rPr>
        <w:t>reus</w:t>
      </w:r>
      <w:proofErr w:type="spellEnd"/>
      <w:r w:rsidR="000F6C4A" w:rsidRPr="000F6C4A">
        <w:rPr>
          <w:rFonts w:ascii="Arial" w:hAnsi="Arial" w:cs="Arial"/>
        </w:rPr>
        <w:t xml:space="preserve"> and </w:t>
      </w:r>
      <w:proofErr w:type="spellStart"/>
      <w:r w:rsidR="000F6C4A" w:rsidRPr="000F6C4A">
        <w:rPr>
          <w:rFonts w:ascii="Arial" w:hAnsi="Arial" w:cs="Arial"/>
          <w:i/>
        </w:rPr>
        <w:t>mens</w:t>
      </w:r>
      <w:proofErr w:type="spellEnd"/>
      <w:r w:rsidR="000F6C4A" w:rsidRPr="000F6C4A">
        <w:rPr>
          <w:rFonts w:ascii="Arial" w:hAnsi="Arial" w:cs="Arial"/>
          <w:i/>
        </w:rPr>
        <w:t xml:space="preserve"> rea</w:t>
      </w:r>
      <w:r w:rsidR="000F6C4A" w:rsidRPr="000F6C4A">
        <w:rPr>
          <w:rFonts w:ascii="Arial" w:hAnsi="Arial" w:cs="Arial"/>
        </w:rPr>
        <w:t xml:space="preserve"> associated with the underlying act</w:t>
      </w:r>
      <w:r w:rsidR="00F8652E">
        <w:rPr>
          <w:rFonts w:ascii="Arial" w:hAnsi="Arial" w:cs="Arial"/>
        </w:rPr>
        <w:t>’</w:t>
      </w:r>
      <w:r w:rsidR="000F6C4A" w:rsidRPr="000F6C4A">
        <w:rPr>
          <w:rFonts w:ascii="Arial" w:hAnsi="Arial" w:cs="Arial"/>
        </w:rPr>
        <w:t>,</w:t>
      </w:r>
      <w:r w:rsidR="009D3E22">
        <w:rPr>
          <w:rStyle w:val="FootnoteReference"/>
          <w:rFonts w:ascii="Arial" w:hAnsi="Arial" w:cs="Arial"/>
        </w:rPr>
        <w:footnoteReference w:id="52"/>
      </w:r>
      <w:r w:rsidR="000F6C4A">
        <w:rPr>
          <w:rFonts w:ascii="Arial" w:hAnsi="Arial" w:cs="Arial"/>
        </w:rPr>
        <w:t xml:space="preserve"> while Lamer CJ said that </w:t>
      </w:r>
      <w:r w:rsidR="00143046">
        <w:rPr>
          <w:rFonts w:ascii="Arial" w:hAnsi="Arial" w:cs="Arial"/>
        </w:rPr>
        <w:t xml:space="preserve">it was necessary for the Crown to prove an unlawful act and </w:t>
      </w:r>
      <w:r w:rsidR="00F8652E">
        <w:rPr>
          <w:rFonts w:ascii="Arial" w:hAnsi="Arial" w:cs="Arial"/>
        </w:rPr>
        <w:t>‘</w:t>
      </w:r>
      <w:r w:rsidR="00143046" w:rsidRPr="00143046">
        <w:rPr>
          <w:rFonts w:ascii="Arial" w:hAnsi="Arial" w:cs="Arial"/>
        </w:rPr>
        <w:t>that the fault requirement of the predicate offence</w:t>
      </w:r>
      <w:r w:rsidR="00A76A13">
        <w:rPr>
          <w:rFonts w:ascii="Arial" w:hAnsi="Arial" w:cs="Arial"/>
        </w:rPr>
        <w:t>…</w:t>
      </w:r>
      <w:r w:rsidR="00143046" w:rsidRPr="00143046">
        <w:rPr>
          <w:rFonts w:ascii="Arial" w:hAnsi="Arial" w:cs="Arial"/>
        </w:rPr>
        <w:t xml:space="preserve"> was in existence</w:t>
      </w:r>
      <w:r w:rsidR="00F8652E">
        <w:rPr>
          <w:rFonts w:ascii="Arial" w:hAnsi="Arial" w:cs="Arial"/>
        </w:rPr>
        <w:t>’</w:t>
      </w:r>
      <w:r w:rsidR="00143046">
        <w:rPr>
          <w:rFonts w:ascii="Arial" w:hAnsi="Arial" w:cs="Arial"/>
        </w:rPr>
        <w:t>.</w:t>
      </w:r>
      <w:r w:rsidR="009D3E22">
        <w:rPr>
          <w:rStyle w:val="FootnoteReference"/>
          <w:rFonts w:ascii="Arial" w:hAnsi="Arial" w:cs="Arial"/>
        </w:rPr>
        <w:footnoteReference w:id="53"/>
      </w:r>
    </w:p>
    <w:p w:rsidR="00143046" w:rsidRDefault="00143046" w:rsidP="00AB24A3">
      <w:pPr>
        <w:jc w:val="both"/>
        <w:rPr>
          <w:rFonts w:ascii="Arial" w:hAnsi="Arial" w:cs="Arial"/>
        </w:rPr>
      </w:pPr>
    </w:p>
    <w:p w:rsidR="001D7457" w:rsidRPr="001D7457" w:rsidRDefault="00663AA4" w:rsidP="001D7457">
      <w:pPr>
        <w:jc w:val="both"/>
        <w:rPr>
          <w:rFonts w:ascii="Arial" w:hAnsi="Arial" w:cs="Arial"/>
        </w:rPr>
      </w:pPr>
      <w:r>
        <w:rPr>
          <w:rFonts w:ascii="Arial" w:hAnsi="Arial" w:cs="Arial"/>
        </w:rPr>
        <w:t xml:space="preserve">The </w:t>
      </w:r>
      <w:r w:rsidR="00711EF6">
        <w:rPr>
          <w:rFonts w:ascii="Arial" w:hAnsi="Arial" w:cs="Arial"/>
        </w:rPr>
        <w:t xml:space="preserve">importance of the need to identify which unlawful act has been committed and </w:t>
      </w:r>
      <w:r w:rsidR="00711EF6" w:rsidRPr="001D7457">
        <w:rPr>
          <w:rFonts w:ascii="Arial" w:hAnsi="Arial" w:cs="Arial"/>
        </w:rPr>
        <w:t>whether all of its elements have be</w:t>
      </w:r>
      <w:r w:rsidR="008B0286" w:rsidRPr="001D7457">
        <w:rPr>
          <w:rFonts w:ascii="Arial" w:hAnsi="Arial" w:cs="Arial"/>
        </w:rPr>
        <w:t>e</w:t>
      </w:r>
      <w:r w:rsidR="00711EF6" w:rsidRPr="001D7457">
        <w:rPr>
          <w:rFonts w:ascii="Arial" w:hAnsi="Arial" w:cs="Arial"/>
        </w:rPr>
        <w:t xml:space="preserve">n proven – and the problems which can arise if this is not done – is demonstrated in </w:t>
      </w:r>
      <w:r w:rsidR="001D7457" w:rsidRPr="001D7457">
        <w:rPr>
          <w:rFonts w:ascii="Arial" w:hAnsi="Arial" w:cs="Arial"/>
        </w:rPr>
        <w:t xml:space="preserve">one Canadian and </w:t>
      </w:r>
      <w:r w:rsidR="00711EF6" w:rsidRPr="001D7457">
        <w:rPr>
          <w:rFonts w:ascii="Arial" w:hAnsi="Arial" w:cs="Arial"/>
        </w:rPr>
        <w:t xml:space="preserve">two </w:t>
      </w:r>
      <w:r w:rsidRPr="001D7457">
        <w:rPr>
          <w:rFonts w:ascii="Arial" w:hAnsi="Arial" w:cs="Arial"/>
        </w:rPr>
        <w:t>Australian case</w:t>
      </w:r>
      <w:r w:rsidR="00711EF6" w:rsidRPr="001D7457">
        <w:rPr>
          <w:rFonts w:ascii="Arial" w:hAnsi="Arial" w:cs="Arial"/>
        </w:rPr>
        <w:t xml:space="preserve">s. </w:t>
      </w:r>
      <w:r w:rsidR="001D7457" w:rsidRPr="001D7457">
        <w:rPr>
          <w:rFonts w:ascii="Arial" w:hAnsi="Arial" w:cs="Arial"/>
        </w:rPr>
        <w:t xml:space="preserve">In </w:t>
      </w:r>
      <w:r w:rsidR="001D7457" w:rsidRPr="001D7457">
        <w:rPr>
          <w:rFonts w:ascii="Arial" w:hAnsi="Arial" w:cs="Arial"/>
          <w:i/>
          <w:lang w:eastAsia="zh-CN"/>
        </w:rPr>
        <w:t>T</w:t>
      </w:r>
      <w:r w:rsidR="001D7457" w:rsidRPr="001D7457">
        <w:rPr>
          <w:rFonts w:ascii="Arial" w:hAnsi="Arial" w:cs="Arial"/>
          <w:lang w:eastAsia="zh-CN"/>
        </w:rPr>
        <w:t>,</w:t>
      </w:r>
      <w:r w:rsidR="001D7457" w:rsidRPr="001D7457">
        <w:rPr>
          <w:rStyle w:val="FootnoteReference"/>
          <w:rFonts w:ascii="Arial" w:hAnsi="Arial" w:cs="Arial"/>
          <w:lang w:eastAsia="zh-CN"/>
        </w:rPr>
        <w:footnoteReference w:id="54"/>
      </w:r>
      <w:r w:rsidR="001D7457" w:rsidRPr="001D7457">
        <w:rPr>
          <w:rFonts w:ascii="Arial" w:hAnsi="Arial" w:cs="Arial"/>
          <w:i/>
          <w:lang w:eastAsia="zh-CN"/>
        </w:rPr>
        <w:t xml:space="preserve"> </w:t>
      </w:r>
      <w:r w:rsidR="001D7457">
        <w:rPr>
          <w:rFonts w:ascii="Arial" w:hAnsi="Arial" w:cs="Arial"/>
        </w:rPr>
        <w:t xml:space="preserve">the Canadian case, </w:t>
      </w:r>
      <w:r w:rsidR="001D7457" w:rsidRPr="001D7457">
        <w:rPr>
          <w:rFonts w:ascii="Arial" w:hAnsi="Arial" w:cs="Arial"/>
        </w:rPr>
        <w:t xml:space="preserve">D, aged 13, threw a metal snow shovel at a moving car, hitting a 14-year-old passenger (who was hanging halfway out of one of the car windows) in the head and causing his death. D was convicted of manslaughter and appealed, contending that the trial judge had simply assumed that the act was unlawful (and dangerous) without identifying which criminal offence it was, nor establishing that all of the elements had been proved. The </w:t>
      </w:r>
      <w:r w:rsidR="001D7457" w:rsidRPr="001D7457">
        <w:rPr>
          <w:rFonts w:ascii="Arial" w:hAnsi="Arial" w:cs="Arial"/>
          <w:lang w:eastAsia="zh-CN"/>
        </w:rPr>
        <w:t>Manitoba Court of Appeal</w:t>
      </w:r>
      <w:r w:rsidR="001D7457" w:rsidRPr="001D7457">
        <w:rPr>
          <w:rFonts w:ascii="Arial" w:hAnsi="Arial" w:cs="Arial"/>
        </w:rPr>
        <w:t xml:space="preserve"> quashed his conviction</w:t>
      </w:r>
      <w:r w:rsidR="001D7457">
        <w:rPr>
          <w:rFonts w:ascii="Arial" w:hAnsi="Arial" w:cs="Arial"/>
        </w:rPr>
        <w:t xml:space="preserve">; Hamilton JA said that </w:t>
      </w:r>
      <w:r w:rsidR="00F8652E">
        <w:rPr>
          <w:rFonts w:ascii="Arial" w:hAnsi="Arial" w:cs="Arial"/>
        </w:rPr>
        <w:t>‘</w:t>
      </w:r>
      <w:r w:rsidR="001D7457" w:rsidRPr="001D7457">
        <w:rPr>
          <w:rFonts w:ascii="Arial" w:hAnsi="Arial" w:cs="Arial"/>
        </w:rPr>
        <w:t xml:space="preserve">It was essential that the Crown identify the </w:t>
      </w:r>
      <w:r w:rsidR="001D7457" w:rsidRPr="001D7457">
        <w:rPr>
          <w:rFonts w:ascii="Arial" w:hAnsi="Arial" w:cs="Arial"/>
        </w:rPr>
        <w:lastRenderedPageBreak/>
        <w:t xml:space="preserve">unlawful act being relied upon and for the judge to determine whether the Crown had proved the </w:t>
      </w:r>
      <w:proofErr w:type="spellStart"/>
      <w:r w:rsidR="001D7457" w:rsidRPr="001D7457">
        <w:rPr>
          <w:rFonts w:ascii="Arial" w:hAnsi="Arial" w:cs="Arial"/>
          <w:i/>
        </w:rPr>
        <w:t>actus</w:t>
      </w:r>
      <w:proofErr w:type="spellEnd"/>
      <w:r w:rsidR="001D7457" w:rsidRPr="001D7457">
        <w:rPr>
          <w:rFonts w:ascii="Arial" w:hAnsi="Arial" w:cs="Arial"/>
          <w:i/>
        </w:rPr>
        <w:t xml:space="preserve"> </w:t>
      </w:r>
      <w:proofErr w:type="spellStart"/>
      <w:r w:rsidR="001D7457" w:rsidRPr="001D7457">
        <w:rPr>
          <w:rFonts w:ascii="Arial" w:hAnsi="Arial" w:cs="Arial"/>
          <w:i/>
        </w:rPr>
        <w:t>reus</w:t>
      </w:r>
      <w:proofErr w:type="spellEnd"/>
      <w:r w:rsidR="001D7457" w:rsidRPr="001D7457">
        <w:rPr>
          <w:rFonts w:ascii="Arial" w:hAnsi="Arial" w:cs="Arial"/>
        </w:rPr>
        <w:t xml:space="preserve"> and </w:t>
      </w:r>
      <w:proofErr w:type="spellStart"/>
      <w:r w:rsidR="001D7457" w:rsidRPr="001D7457">
        <w:rPr>
          <w:rFonts w:ascii="Arial" w:hAnsi="Arial" w:cs="Arial"/>
          <w:i/>
        </w:rPr>
        <w:t>mens</w:t>
      </w:r>
      <w:proofErr w:type="spellEnd"/>
      <w:r w:rsidR="001D7457" w:rsidRPr="001D7457">
        <w:rPr>
          <w:rFonts w:ascii="Arial" w:hAnsi="Arial" w:cs="Arial"/>
          <w:i/>
        </w:rPr>
        <w:t xml:space="preserve"> rea</w:t>
      </w:r>
      <w:r w:rsidR="001D7457" w:rsidRPr="001D7457">
        <w:rPr>
          <w:rFonts w:ascii="Arial" w:hAnsi="Arial" w:cs="Arial"/>
        </w:rPr>
        <w:t xml:space="preserve"> of that offence beyond a reasonable doubt</w:t>
      </w:r>
      <w:r w:rsidR="00F8652E">
        <w:rPr>
          <w:rFonts w:ascii="Arial" w:hAnsi="Arial" w:cs="Arial"/>
        </w:rPr>
        <w:t>’</w:t>
      </w:r>
      <w:r w:rsidR="001D7457">
        <w:rPr>
          <w:rFonts w:ascii="Arial" w:hAnsi="Arial" w:cs="Arial"/>
        </w:rPr>
        <w:t>.</w:t>
      </w:r>
      <w:r w:rsidR="001D7457">
        <w:rPr>
          <w:rStyle w:val="FootnoteReference"/>
          <w:rFonts w:ascii="Arial" w:hAnsi="Arial" w:cs="Arial"/>
        </w:rPr>
        <w:footnoteReference w:id="55"/>
      </w:r>
    </w:p>
    <w:p w:rsidR="001D7457" w:rsidRPr="001D7457" w:rsidRDefault="001D7457" w:rsidP="005D0E9F">
      <w:pPr>
        <w:widowControl/>
        <w:kinsoku/>
        <w:overflowPunct/>
        <w:jc w:val="both"/>
        <w:textAlignment w:val="auto"/>
        <w:rPr>
          <w:rFonts w:ascii="Arial" w:hAnsi="Arial" w:cs="Arial"/>
        </w:rPr>
      </w:pPr>
    </w:p>
    <w:p w:rsidR="005D0E9F" w:rsidRPr="005578D7" w:rsidRDefault="005D0E9F" w:rsidP="005D0E9F">
      <w:pPr>
        <w:widowControl/>
        <w:kinsoku/>
        <w:overflowPunct/>
        <w:jc w:val="both"/>
        <w:textAlignment w:val="auto"/>
        <w:rPr>
          <w:rFonts w:ascii="Arial" w:hAnsi="Arial" w:cs="Arial"/>
        </w:rPr>
      </w:pPr>
      <w:r w:rsidRPr="005578D7">
        <w:rPr>
          <w:rFonts w:ascii="Arial" w:hAnsi="Arial" w:cs="Arial"/>
        </w:rPr>
        <w:t>According to Roberts</w:t>
      </w:r>
      <w:r>
        <w:rPr>
          <w:rFonts w:ascii="Arial" w:hAnsi="Arial" w:cs="Arial"/>
        </w:rPr>
        <w:t>, discussing the position in Australia</w:t>
      </w:r>
      <w:r w:rsidRPr="005578D7">
        <w:rPr>
          <w:rFonts w:ascii="Arial" w:hAnsi="Arial" w:cs="Arial"/>
        </w:rPr>
        <w:t>:</w:t>
      </w:r>
      <w:r w:rsidRPr="005578D7">
        <w:rPr>
          <w:rStyle w:val="FootnoteReference"/>
          <w:rFonts w:ascii="Arial" w:hAnsi="Arial" w:cs="Arial"/>
        </w:rPr>
        <w:footnoteReference w:id="56"/>
      </w:r>
    </w:p>
    <w:p w:rsidR="005D0E9F" w:rsidRPr="005578D7" w:rsidRDefault="005D0E9F" w:rsidP="005D0E9F">
      <w:pPr>
        <w:widowControl/>
        <w:kinsoku/>
        <w:overflowPunct/>
        <w:jc w:val="both"/>
        <w:textAlignment w:val="auto"/>
        <w:rPr>
          <w:rFonts w:ascii="Arial" w:hAnsi="Arial" w:cs="Arial"/>
        </w:rPr>
      </w:pPr>
    </w:p>
    <w:p w:rsidR="005D0E9F" w:rsidRPr="005578D7" w:rsidRDefault="00F8652E" w:rsidP="005D0E9F">
      <w:pPr>
        <w:widowControl/>
        <w:kinsoku/>
        <w:overflowPunct/>
        <w:ind w:left="567"/>
        <w:jc w:val="both"/>
        <w:textAlignment w:val="auto"/>
        <w:rPr>
          <w:rFonts w:ascii="Arial" w:hAnsi="Arial" w:cs="Arial"/>
        </w:rPr>
      </w:pPr>
      <w:r>
        <w:rPr>
          <w:rFonts w:ascii="Arial" w:hAnsi="Arial" w:cs="Arial"/>
        </w:rPr>
        <w:t>‘</w:t>
      </w:r>
      <w:r w:rsidR="005D0E9F" w:rsidRPr="005578D7">
        <w:rPr>
          <w:rFonts w:ascii="Arial" w:hAnsi="Arial" w:cs="Arial"/>
        </w:rPr>
        <w:t xml:space="preserve">The cases make it clear that the act, for the purposes of unlawful and dangerous act manslaughter, must be unlawful in a criminal sense. This requirement necessarily involves that the act should constitute a specific offence in its own right and in order to do so it must satisfy </w:t>
      </w:r>
      <w:r w:rsidR="005D0E9F" w:rsidRPr="00BB4550">
        <w:rPr>
          <w:rFonts w:ascii="Arial" w:hAnsi="Arial" w:cs="Arial"/>
          <w:i/>
        </w:rPr>
        <w:t>all</w:t>
      </w:r>
      <w:r w:rsidR="005D0E9F" w:rsidRPr="005578D7">
        <w:rPr>
          <w:rFonts w:ascii="Arial" w:hAnsi="Arial" w:cs="Arial"/>
        </w:rPr>
        <w:t xml:space="preserve"> the technical elements in the definition of the offence.</w:t>
      </w:r>
      <w:r>
        <w:rPr>
          <w:rFonts w:ascii="Arial" w:hAnsi="Arial" w:cs="Arial"/>
        </w:rPr>
        <w:t>’</w:t>
      </w:r>
    </w:p>
    <w:p w:rsidR="005D0E9F" w:rsidRPr="005578D7" w:rsidRDefault="005D0E9F" w:rsidP="005D0E9F">
      <w:pPr>
        <w:jc w:val="both"/>
        <w:rPr>
          <w:rFonts w:ascii="Arial" w:hAnsi="Arial" w:cs="Arial"/>
        </w:rPr>
      </w:pPr>
    </w:p>
    <w:p w:rsidR="00A14BD9" w:rsidRDefault="005D0E9F" w:rsidP="00AB24A3">
      <w:pPr>
        <w:jc w:val="both"/>
        <w:rPr>
          <w:rFonts w:ascii="Arial" w:hAnsi="Arial" w:cs="Arial"/>
          <w:color w:val="000000"/>
          <w:shd w:val="clear" w:color="auto" w:fill="FFFFFF"/>
        </w:rPr>
      </w:pPr>
      <w:r>
        <w:rPr>
          <w:rFonts w:ascii="Arial" w:hAnsi="Arial" w:cs="Arial"/>
        </w:rPr>
        <w:t xml:space="preserve">That is the theory; the practice is sometimes different. </w:t>
      </w:r>
      <w:r w:rsidR="00A14BD9" w:rsidRPr="00A14BD9">
        <w:rPr>
          <w:rFonts w:ascii="Arial" w:hAnsi="Arial" w:cs="Arial"/>
        </w:rPr>
        <w:t xml:space="preserve">In </w:t>
      </w:r>
      <w:proofErr w:type="spellStart"/>
      <w:r w:rsidR="00A14BD9" w:rsidRPr="00A14BD9">
        <w:rPr>
          <w:rFonts w:ascii="Arial" w:hAnsi="Arial" w:cs="Arial"/>
          <w:i/>
        </w:rPr>
        <w:t>Pemble</w:t>
      </w:r>
      <w:proofErr w:type="spellEnd"/>
      <w:r w:rsidR="00A14BD9" w:rsidRPr="00A14BD9">
        <w:rPr>
          <w:rFonts w:ascii="Arial" w:hAnsi="Arial" w:cs="Arial"/>
        </w:rPr>
        <w:t>,</w:t>
      </w:r>
      <w:r w:rsidR="00A14BD9" w:rsidRPr="00A14BD9">
        <w:rPr>
          <w:rStyle w:val="FootnoteReference"/>
          <w:rFonts w:ascii="Arial" w:hAnsi="Arial" w:cs="Arial"/>
        </w:rPr>
        <w:footnoteReference w:id="57"/>
      </w:r>
      <w:r w:rsidR="00A14BD9" w:rsidRPr="00A14BD9">
        <w:rPr>
          <w:rFonts w:ascii="Arial" w:hAnsi="Arial" w:cs="Arial"/>
        </w:rPr>
        <w:t xml:space="preserve"> D fatally shot V, his girlfriend, in the </w:t>
      </w:r>
      <w:r w:rsidR="00A14BD9">
        <w:rPr>
          <w:rFonts w:ascii="Arial" w:hAnsi="Arial" w:cs="Arial"/>
        </w:rPr>
        <w:t xml:space="preserve">back of the </w:t>
      </w:r>
      <w:r w:rsidR="00A14BD9" w:rsidRPr="00A14BD9">
        <w:rPr>
          <w:rFonts w:ascii="Arial" w:hAnsi="Arial" w:cs="Arial"/>
        </w:rPr>
        <w:t xml:space="preserve">head. D claimed to have only intended to frighten her and that the rifle which he was carrying had gone off accidentally when he stumbled as he approached her from behind. He claimed that he did not know that the rifle was loaded and that it had been pointed up in the air before he stumbled. D was convicted of murder and the High Court unanimously allowed his appeal on the basis that the trial judge had misdirected the jury on the definition of murder. However, there was disagreement amongst the five judges in the High Court as to whether D had committed an unlawful act. According to Barwick CJ (with whom </w:t>
      </w:r>
      <w:proofErr w:type="spellStart"/>
      <w:r w:rsidR="00A14BD9" w:rsidRPr="00A14BD9">
        <w:rPr>
          <w:rFonts w:ascii="Arial" w:hAnsi="Arial" w:cs="Arial"/>
        </w:rPr>
        <w:t>Windeyer</w:t>
      </w:r>
      <w:proofErr w:type="spellEnd"/>
      <w:r w:rsidR="00A14BD9" w:rsidRPr="00A14BD9">
        <w:rPr>
          <w:rFonts w:ascii="Arial" w:hAnsi="Arial" w:cs="Arial"/>
        </w:rPr>
        <w:t xml:space="preserve"> J agreed), D was guilty of unlawful act manslaughter because </w:t>
      </w:r>
      <w:r w:rsidR="009A20C3">
        <w:rPr>
          <w:rFonts w:ascii="Arial" w:hAnsi="Arial" w:cs="Arial"/>
        </w:rPr>
        <w:t>hi</w:t>
      </w:r>
      <w:r w:rsidR="00A14BD9" w:rsidRPr="00A14BD9">
        <w:rPr>
          <w:rFonts w:ascii="Arial" w:hAnsi="Arial" w:cs="Arial"/>
        </w:rPr>
        <w:t xml:space="preserve">s conduct in pointing the loaded rifle at V was an </w:t>
      </w:r>
      <w:r w:rsidR="00A14BD9" w:rsidRPr="00A14BD9">
        <w:rPr>
          <w:rFonts w:ascii="Arial" w:hAnsi="Arial" w:cs="Arial"/>
          <w:i/>
        </w:rPr>
        <w:t>attempted</w:t>
      </w:r>
      <w:r w:rsidR="00A14BD9" w:rsidRPr="00A14BD9">
        <w:rPr>
          <w:rFonts w:ascii="Arial" w:hAnsi="Arial" w:cs="Arial"/>
        </w:rPr>
        <w:t xml:space="preserve"> assault.</w:t>
      </w:r>
      <w:r w:rsidR="009D3E22">
        <w:rPr>
          <w:rStyle w:val="FootnoteReference"/>
          <w:rFonts w:ascii="Arial" w:hAnsi="Arial" w:cs="Arial"/>
        </w:rPr>
        <w:footnoteReference w:id="58"/>
      </w:r>
      <w:r w:rsidR="00A14BD9" w:rsidRPr="00A14BD9">
        <w:rPr>
          <w:rFonts w:ascii="Arial" w:hAnsi="Arial" w:cs="Arial"/>
        </w:rPr>
        <w:t xml:space="preserve"> </w:t>
      </w:r>
      <w:proofErr w:type="spellStart"/>
      <w:r w:rsidR="00A14BD9" w:rsidRPr="00A14BD9">
        <w:rPr>
          <w:rFonts w:ascii="Arial" w:hAnsi="Arial" w:cs="Arial"/>
          <w:color w:val="000000"/>
          <w:shd w:val="clear" w:color="auto" w:fill="FFFFFF"/>
        </w:rPr>
        <w:t>McTiernan</w:t>
      </w:r>
      <w:proofErr w:type="spellEnd"/>
      <w:r w:rsidR="00A14BD9" w:rsidRPr="00A14BD9">
        <w:rPr>
          <w:rFonts w:ascii="Arial" w:hAnsi="Arial" w:cs="Arial"/>
          <w:color w:val="000000"/>
          <w:shd w:val="clear" w:color="auto" w:fill="FFFFFF"/>
        </w:rPr>
        <w:t xml:space="preserve"> J reached the same verdict but by a different route: he regarded D</w:t>
      </w:r>
      <w:r w:rsidR="00F8652E">
        <w:rPr>
          <w:rFonts w:ascii="Arial" w:hAnsi="Arial" w:cs="Arial"/>
          <w:color w:val="000000"/>
          <w:shd w:val="clear" w:color="auto" w:fill="FFFFFF"/>
        </w:rPr>
        <w:t>’</w:t>
      </w:r>
      <w:r w:rsidR="00A14BD9" w:rsidRPr="00A14BD9">
        <w:rPr>
          <w:rFonts w:ascii="Arial" w:hAnsi="Arial" w:cs="Arial"/>
          <w:color w:val="000000"/>
          <w:shd w:val="clear" w:color="auto" w:fill="FFFFFF"/>
        </w:rPr>
        <w:t>s conduct as amounting to the statutory offence of discharging a firearm in a public place without reasonable cause.</w:t>
      </w:r>
      <w:r w:rsidR="00A14BD9">
        <w:rPr>
          <w:rStyle w:val="FootnoteReference"/>
          <w:rFonts w:ascii="Arial" w:hAnsi="Arial" w:cs="Arial"/>
          <w:color w:val="000000"/>
          <w:shd w:val="clear" w:color="auto" w:fill="FFFFFF"/>
        </w:rPr>
        <w:footnoteReference w:id="59"/>
      </w:r>
      <w:r w:rsidR="00A14BD9" w:rsidRPr="00A14BD9">
        <w:rPr>
          <w:rFonts w:ascii="Arial" w:hAnsi="Arial" w:cs="Arial"/>
          <w:color w:val="000000"/>
          <w:shd w:val="clear" w:color="auto" w:fill="FFFFFF"/>
        </w:rPr>
        <w:t xml:space="preserve"> Menzies J and Owen J dissented, refusing to hold that there was an unlawful act</w:t>
      </w:r>
      <w:r w:rsidR="00A14BD9">
        <w:rPr>
          <w:rFonts w:ascii="Arial" w:hAnsi="Arial" w:cs="Arial"/>
          <w:color w:val="000000"/>
          <w:shd w:val="clear" w:color="auto" w:fill="FFFFFF"/>
        </w:rPr>
        <w:t xml:space="preserve">, </w:t>
      </w:r>
      <w:r w:rsidR="00A14BD9" w:rsidRPr="00A14BD9">
        <w:rPr>
          <w:rFonts w:ascii="Arial" w:hAnsi="Arial" w:cs="Arial"/>
          <w:color w:val="000000"/>
          <w:shd w:val="clear" w:color="auto" w:fill="FFFFFF"/>
        </w:rPr>
        <w:t>because V had been shot in the back of the head</w:t>
      </w:r>
      <w:r w:rsidR="00A14BD9">
        <w:rPr>
          <w:rFonts w:ascii="Arial" w:hAnsi="Arial" w:cs="Arial"/>
          <w:color w:val="000000"/>
          <w:shd w:val="clear" w:color="auto" w:fill="FFFFFF"/>
        </w:rPr>
        <w:t>, and hence there was no assault</w:t>
      </w:r>
      <w:r w:rsidR="00D05637">
        <w:rPr>
          <w:rFonts w:ascii="Arial" w:hAnsi="Arial" w:cs="Arial"/>
          <w:color w:val="000000"/>
          <w:shd w:val="clear" w:color="auto" w:fill="FFFFFF"/>
        </w:rPr>
        <w:t>.</w:t>
      </w:r>
      <w:r w:rsidR="00D05637">
        <w:rPr>
          <w:rStyle w:val="FootnoteReference"/>
          <w:rFonts w:ascii="Arial" w:hAnsi="Arial" w:cs="Arial"/>
          <w:color w:val="000000"/>
          <w:shd w:val="clear" w:color="auto" w:fill="FFFFFF"/>
        </w:rPr>
        <w:footnoteReference w:id="60"/>
      </w:r>
    </w:p>
    <w:p w:rsidR="00711EF6" w:rsidRDefault="00711EF6" w:rsidP="00AB24A3">
      <w:pPr>
        <w:jc w:val="both"/>
        <w:rPr>
          <w:rFonts w:ascii="Arial" w:hAnsi="Arial" w:cs="Arial"/>
          <w:color w:val="000000"/>
          <w:shd w:val="clear" w:color="auto" w:fill="FFFFFF"/>
        </w:rPr>
      </w:pPr>
    </w:p>
    <w:p w:rsidR="00711EF6" w:rsidRPr="00A14BD9" w:rsidRDefault="00BB4550" w:rsidP="00711EF6">
      <w:pPr>
        <w:jc w:val="both"/>
        <w:rPr>
          <w:rFonts w:ascii="Arial" w:hAnsi="Arial" w:cs="Arial"/>
        </w:rPr>
      </w:pPr>
      <w:r>
        <w:rPr>
          <w:rFonts w:ascii="Arial" w:hAnsi="Arial" w:cs="Arial"/>
        </w:rPr>
        <w:t>In</w:t>
      </w:r>
      <w:r w:rsidR="00711EF6">
        <w:rPr>
          <w:rFonts w:ascii="Arial" w:hAnsi="Arial" w:cs="Arial"/>
        </w:rPr>
        <w:t xml:space="preserve"> </w:t>
      </w:r>
      <w:r w:rsidR="00711EF6" w:rsidRPr="00E52B92">
        <w:rPr>
          <w:rFonts w:ascii="Arial" w:hAnsi="Arial" w:cs="Arial"/>
          <w:i/>
        </w:rPr>
        <w:t>Wills</w:t>
      </w:r>
      <w:r w:rsidR="00711EF6">
        <w:rPr>
          <w:rFonts w:ascii="Arial" w:hAnsi="Arial" w:cs="Arial"/>
        </w:rPr>
        <w:t>,</w:t>
      </w:r>
      <w:r w:rsidR="00711EF6">
        <w:rPr>
          <w:rStyle w:val="FootnoteReference"/>
          <w:rFonts w:ascii="Arial" w:hAnsi="Arial" w:cs="Arial"/>
        </w:rPr>
        <w:footnoteReference w:id="61"/>
      </w:r>
      <w:r w:rsidR="00711EF6">
        <w:rPr>
          <w:rFonts w:ascii="Arial" w:hAnsi="Arial" w:cs="Arial"/>
        </w:rPr>
        <w:t xml:space="preserve"> </w:t>
      </w:r>
      <w:r w:rsidR="00711EF6" w:rsidRPr="000D7494">
        <w:rPr>
          <w:rFonts w:ascii="Arial" w:hAnsi="Arial" w:cs="Arial"/>
        </w:rPr>
        <w:t xml:space="preserve">D fired a single shot from a rifle at a car in which V was sitting. The shot was fired as </w:t>
      </w:r>
      <w:r w:rsidR="00711EF6">
        <w:rPr>
          <w:rFonts w:ascii="Arial" w:hAnsi="Arial" w:cs="Arial"/>
        </w:rPr>
        <w:t>D</w:t>
      </w:r>
      <w:r w:rsidR="00711EF6" w:rsidRPr="000D7494">
        <w:rPr>
          <w:rFonts w:ascii="Arial" w:hAnsi="Arial" w:cs="Arial"/>
        </w:rPr>
        <w:t xml:space="preserve"> approached the car from behind, or at least at an angle. The bullet passed through the rear door and the driver</w:t>
      </w:r>
      <w:r w:rsidR="00F8652E">
        <w:rPr>
          <w:rFonts w:ascii="Arial" w:hAnsi="Arial" w:cs="Arial"/>
        </w:rPr>
        <w:t>’</w:t>
      </w:r>
      <w:r w:rsidR="00711EF6" w:rsidRPr="000D7494">
        <w:rPr>
          <w:rFonts w:ascii="Arial" w:hAnsi="Arial" w:cs="Arial"/>
        </w:rPr>
        <w:t>s seat where V was sitting</w:t>
      </w:r>
      <w:r w:rsidR="00711EF6">
        <w:rPr>
          <w:rFonts w:ascii="Arial" w:hAnsi="Arial" w:cs="Arial"/>
        </w:rPr>
        <w:t xml:space="preserve">, </w:t>
      </w:r>
      <w:r w:rsidR="00711EF6" w:rsidRPr="000D7494">
        <w:rPr>
          <w:rFonts w:ascii="Arial" w:hAnsi="Arial" w:cs="Arial"/>
        </w:rPr>
        <w:t>kill</w:t>
      </w:r>
      <w:r w:rsidR="00711EF6">
        <w:rPr>
          <w:rFonts w:ascii="Arial" w:hAnsi="Arial" w:cs="Arial"/>
        </w:rPr>
        <w:t>ing him</w:t>
      </w:r>
      <w:r w:rsidR="00711EF6" w:rsidRPr="000D7494">
        <w:rPr>
          <w:rFonts w:ascii="Arial" w:hAnsi="Arial" w:cs="Arial"/>
        </w:rPr>
        <w:t xml:space="preserve"> instantly. </w:t>
      </w:r>
      <w:r w:rsidR="00711EF6">
        <w:rPr>
          <w:rFonts w:ascii="Arial" w:hAnsi="Arial" w:cs="Arial"/>
        </w:rPr>
        <w:t>D</w:t>
      </w:r>
      <w:r w:rsidR="00711EF6" w:rsidRPr="000D7494">
        <w:rPr>
          <w:rFonts w:ascii="Arial" w:hAnsi="Arial" w:cs="Arial"/>
        </w:rPr>
        <w:t xml:space="preserve"> was charged with murder but convicted of manslaughter, apparently on the basis that the firing of the gun was an assault. H</w:t>
      </w:r>
      <w:r w:rsidR="00711EF6">
        <w:rPr>
          <w:rFonts w:ascii="Arial" w:hAnsi="Arial" w:cs="Arial"/>
        </w:rPr>
        <w:t>is</w:t>
      </w:r>
      <w:r w:rsidR="00711EF6" w:rsidRPr="000D7494">
        <w:rPr>
          <w:rFonts w:ascii="Arial" w:hAnsi="Arial" w:cs="Arial"/>
        </w:rPr>
        <w:t xml:space="preserve"> appeal</w:t>
      </w:r>
      <w:r w:rsidR="00711EF6">
        <w:rPr>
          <w:rFonts w:ascii="Arial" w:hAnsi="Arial" w:cs="Arial"/>
        </w:rPr>
        <w:t xml:space="preserve"> was dismissed</w:t>
      </w:r>
      <w:r w:rsidR="00711EF6" w:rsidRPr="000D7494">
        <w:rPr>
          <w:rFonts w:ascii="Arial" w:hAnsi="Arial" w:cs="Arial"/>
        </w:rPr>
        <w:t>.</w:t>
      </w:r>
      <w:r w:rsidR="00711EF6">
        <w:rPr>
          <w:rFonts w:ascii="Arial" w:hAnsi="Arial" w:cs="Arial"/>
        </w:rPr>
        <w:t xml:space="preserve"> This decision was criticized by Roberts on the basis that both the trial court and the appeal court failed to examine whether the unlawful act was actually made o</w:t>
      </w:r>
      <w:r w:rsidR="00711EF6" w:rsidRPr="000D7494">
        <w:rPr>
          <w:rFonts w:ascii="Arial" w:hAnsi="Arial" w:cs="Arial"/>
        </w:rPr>
        <w:t xml:space="preserve">ut. </w:t>
      </w:r>
      <w:r w:rsidR="00711EF6">
        <w:rPr>
          <w:rFonts w:ascii="Arial" w:hAnsi="Arial" w:cs="Arial"/>
        </w:rPr>
        <w:t xml:space="preserve">Roberts contends that on these facts there was no </w:t>
      </w:r>
      <w:proofErr w:type="spellStart"/>
      <w:r w:rsidR="00711EF6" w:rsidRPr="000D7494">
        <w:rPr>
          <w:rFonts w:ascii="Arial" w:hAnsi="Arial" w:cs="Arial"/>
          <w:i/>
        </w:rPr>
        <w:t>actus</w:t>
      </w:r>
      <w:proofErr w:type="spellEnd"/>
      <w:r w:rsidR="00711EF6" w:rsidRPr="000D7494">
        <w:rPr>
          <w:rFonts w:ascii="Arial" w:hAnsi="Arial" w:cs="Arial"/>
          <w:i/>
        </w:rPr>
        <w:t xml:space="preserve"> </w:t>
      </w:r>
      <w:proofErr w:type="spellStart"/>
      <w:r w:rsidR="00711EF6" w:rsidRPr="000D7494">
        <w:rPr>
          <w:rFonts w:ascii="Arial" w:hAnsi="Arial" w:cs="Arial"/>
          <w:i/>
        </w:rPr>
        <w:t>reus</w:t>
      </w:r>
      <w:proofErr w:type="spellEnd"/>
      <w:r w:rsidR="00711EF6">
        <w:rPr>
          <w:rFonts w:ascii="Arial" w:hAnsi="Arial" w:cs="Arial"/>
        </w:rPr>
        <w:t xml:space="preserve"> of an assault, because V would have been unaware of the rifle being pointed at him and therefo</w:t>
      </w:r>
      <w:r w:rsidR="00711EF6" w:rsidRPr="00A14BD9">
        <w:rPr>
          <w:rFonts w:ascii="Arial" w:hAnsi="Arial" w:cs="Arial"/>
        </w:rPr>
        <w:t>re would not have apprehended immediate violence.</w:t>
      </w:r>
      <w:r w:rsidR="00711EF6">
        <w:rPr>
          <w:rStyle w:val="FootnoteReference"/>
          <w:rFonts w:ascii="Arial" w:hAnsi="Arial" w:cs="Arial"/>
        </w:rPr>
        <w:footnoteReference w:id="62"/>
      </w:r>
    </w:p>
    <w:p w:rsidR="00AB24A3" w:rsidRPr="00A14BD9" w:rsidRDefault="00AB24A3" w:rsidP="00AB24A3">
      <w:pPr>
        <w:jc w:val="both"/>
        <w:rPr>
          <w:rFonts w:ascii="Arial" w:hAnsi="Arial" w:cs="Arial"/>
        </w:rPr>
      </w:pPr>
    </w:p>
    <w:p w:rsidR="006570C0" w:rsidRPr="00A14BD9" w:rsidRDefault="006570C0" w:rsidP="00AB24A3">
      <w:pPr>
        <w:jc w:val="both"/>
        <w:rPr>
          <w:rFonts w:ascii="Arial" w:hAnsi="Arial" w:cs="Arial"/>
          <w:b/>
          <w:bCs/>
          <w:i/>
          <w:iCs/>
        </w:rPr>
      </w:pPr>
    </w:p>
    <w:p w:rsidR="00E03352" w:rsidRPr="00D05637" w:rsidRDefault="00E03352" w:rsidP="00E03352">
      <w:pPr>
        <w:jc w:val="both"/>
        <w:rPr>
          <w:rFonts w:ascii="Arial" w:hAnsi="Arial" w:cs="Arial"/>
          <w:b/>
          <w:sz w:val="28"/>
          <w:szCs w:val="28"/>
        </w:rPr>
      </w:pPr>
      <w:r w:rsidRPr="00D05637">
        <w:rPr>
          <w:rFonts w:ascii="Arial" w:hAnsi="Arial" w:cs="Arial"/>
          <w:b/>
          <w:sz w:val="28"/>
          <w:szCs w:val="28"/>
        </w:rPr>
        <w:lastRenderedPageBreak/>
        <w:t>1.</w:t>
      </w:r>
      <w:r>
        <w:rPr>
          <w:rFonts w:ascii="Arial" w:hAnsi="Arial" w:cs="Arial"/>
          <w:b/>
          <w:sz w:val="28"/>
          <w:szCs w:val="28"/>
        </w:rPr>
        <w:t>3</w:t>
      </w:r>
      <w:r w:rsidRPr="00D05637">
        <w:rPr>
          <w:rFonts w:ascii="Arial" w:hAnsi="Arial" w:cs="Arial"/>
          <w:b/>
          <w:sz w:val="28"/>
          <w:szCs w:val="28"/>
        </w:rPr>
        <w:t xml:space="preserve"> Need for </w:t>
      </w:r>
      <w:proofErr w:type="spellStart"/>
      <w:r w:rsidRPr="00D05637">
        <w:rPr>
          <w:rFonts w:ascii="Arial" w:hAnsi="Arial" w:cs="Arial"/>
          <w:b/>
          <w:sz w:val="28"/>
          <w:szCs w:val="28"/>
        </w:rPr>
        <w:t>defence</w:t>
      </w:r>
      <w:proofErr w:type="spellEnd"/>
      <w:r w:rsidRPr="00D05637">
        <w:rPr>
          <w:rFonts w:ascii="Arial" w:hAnsi="Arial" w:cs="Arial"/>
          <w:b/>
          <w:sz w:val="28"/>
          <w:szCs w:val="28"/>
        </w:rPr>
        <w:t>(s) to be disproved</w:t>
      </w:r>
    </w:p>
    <w:p w:rsidR="00E03352" w:rsidRDefault="00E03352" w:rsidP="00E03352">
      <w:pPr>
        <w:jc w:val="both"/>
        <w:rPr>
          <w:rFonts w:ascii="Arial" w:hAnsi="Arial" w:cs="Arial"/>
        </w:rPr>
      </w:pPr>
    </w:p>
    <w:p w:rsidR="00E03352" w:rsidRPr="009276C5" w:rsidRDefault="00E03352" w:rsidP="00E03352">
      <w:pPr>
        <w:jc w:val="both"/>
        <w:rPr>
          <w:rFonts w:ascii="Arial" w:hAnsi="Arial" w:cs="Arial"/>
          <w:color w:val="000000"/>
          <w:shd w:val="clear" w:color="auto" w:fill="FFFFFF"/>
        </w:rPr>
      </w:pPr>
      <w:r>
        <w:rPr>
          <w:rFonts w:ascii="Arial" w:hAnsi="Arial" w:cs="Arial"/>
        </w:rPr>
        <w:t xml:space="preserve">Because of the need for an ‘unlawful’ act, the Crown must also disprove any </w:t>
      </w:r>
      <w:proofErr w:type="spellStart"/>
      <w:r w:rsidRPr="00DE387B">
        <w:rPr>
          <w:rFonts w:ascii="Arial" w:hAnsi="Arial" w:cs="Arial"/>
        </w:rPr>
        <w:t>defence</w:t>
      </w:r>
      <w:proofErr w:type="spellEnd"/>
      <w:r w:rsidRPr="00DE387B">
        <w:rPr>
          <w:rFonts w:ascii="Arial" w:hAnsi="Arial" w:cs="Arial"/>
        </w:rPr>
        <w:t xml:space="preserve">(s) raised by D. In </w:t>
      </w:r>
      <w:r w:rsidRPr="00DE387B">
        <w:rPr>
          <w:rStyle w:val="groupheading1"/>
          <w:rFonts w:ascii="Arial" w:hAnsi="Arial" w:cs="Arial"/>
          <w:b w:val="0"/>
          <w:bCs w:val="0"/>
          <w:i/>
          <w:sz w:val="24"/>
          <w:szCs w:val="24"/>
        </w:rPr>
        <w:t>Scarlett</w:t>
      </w:r>
      <w:r w:rsidRPr="00BB4550">
        <w:rPr>
          <w:rStyle w:val="groupheading1"/>
          <w:rFonts w:ascii="Arial" w:hAnsi="Arial" w:cs="Arial"/>
          <w:b w:val="0"/>
          <w:sz w:val="24"/>
          <w:szCs w:val="24"/>
        </w:rPr>
        <w:t>,</w:t>
      </w:r>
      <w:r w:rsidRPr="00C22DF0">
        <w:rPr>
          <w:rStyle w:val="FootnoteReference"/>
          <w:rFonts w:ascii="Arial" w:hAnsi="Arial" w:cs="Arial"/>
          <w:bCs/>
        </w:rPr>
        <w:footnoteReference w:id="63"/>
      </w:r>
      <w:r w:rsidRPr="00DE387B">
        <w:rPr>
          <w:rStyle w:val="groupheading1"/>
          <w:rFonts w:ascii="Arial" w:hAnsi="Arial" w:cs="Arial"/>
          <w:sz w:val="24"/>
          <w:szCs w:val="24"/>
        </w:rPr>
        <w:t xml:space="preserve"> </w:t>
      </w:r>
      <w:r w:rsidRPr="00DE387B">
        <w:rPr>
          <w:rStyle w:val="groupheading1"/>
          <w:rFonts w:ascii="Arial" w:hAnsi="Arial" w:cs="Arial"/>
          <w:b w:val="0"/>
          <w:sz w:val="24"/>
          <w:szCs w:val="24"/>
        </w:rPr>
        <w:t>D</w:t>
      </w:r>
      <w:r>
        <w:rPr>
          <w:rStyle w:val="groupheading1"/>
          <w:rFonts w:ascii="Arial" w:hAnsi="Arial" w:cs="Arial"/>
          <w:b w:val="0"/>
          <w:sz w:val="24"/>
          <w:szCs w:val="24"/>
        </w:rPr>
        <w:t>’</w:t>
      </w:r>
      <w:r w:rsidRPr="00DE387B">
        <w:rPr>
          <w:rStyle w:val="groupheading1"/>
          <w:rFonts w:ascii="Arial" w:hAnsi="Arial" w:cs="Arial"/>
          <w:b w:val="0"/>
          <w:sz w:val="24"/>
          <w:szCs w:val="24"/>
        </w:rPr>
        <w:t>s conviction of manslaughter was quashed by the Court of Appeal</w:t>
      </w:r>
      <w:r>
        <w:rPr>
          <w:rStyle w:val="groupheading1"/>
          <w:rFonts w:ascii="Arial" w:hAnsi="Arial" w:cs="Arial"/>
          <w:b w:val="0"/>
          <w:sz w:val="24"/>
          <w:szCs w:val="24"/>
        </w:rPr>
        <w:t xml:space="preserve"> following </w:t>
      </w:r>
      <w:proofErr w:type="spellStart"/>
      <w:r>
        <w:rPr>
          <w:rStyle w:val="groupheading1"/>
          <w:rFonts w:ascii="Arial" w:hAnsi="Arial" w:cs="Arial"/>
          <w:b w:val="0"/>
          <w:sz w:val="24"/>
          <w:szCs w:val="24"/>
        </w:rPr>
        <w:t>misdirections</w:t>
      </w:r>
      <w:proofErr w:type="spellEnd"/>
      <w:r>
        <w:rPr>
          <w:rStyle w:val="groupheading1"/>
          <w:rFonts w:ascii="Arial" w:hAnsi="Arial" w:cs="Arial"/>
          <w:b w:val="0"/>
          <w:sz w:val="24"/>
          <w:szCs w:val="24"/>
        </w:rPr>
        <w:t xml:space="preserve"> to the jury </w:t>
      </w:r>
      <w:r w:rsidRPr="00DE387B">
        <w:rPr>
          <w:rStyle w:val="groupheading1"/>
          <w:rFonts w:ascii="Arial" w:hAnsi="Arial" w:cs="Arial"/>
          <w:b w:val="0"/>
          <w:sz w:val="24"/>
          <w:szCs w:val="24"/>
        </w:rPr>
        <w:t>concerning D</w:t>
      </w:r>
      <w:r>
        <w:rPr>
          <w:rStyle w:val="groupheading1"/>
          <w:rFonts w:ascii="Arial" w:hAnsi="Arial" w:cs="Arial"/>
          <w:b w:val="0"/>
          <w:sz w:val="24"/>
          <w:szCs w:val="24"/>
        </w:rPr>
        <w:t>’</w:t>
      </w:r>
      <w:r w:rsidRPr="00DE387B">
        <w:rPr>
          <w:rStyle w:val="groupheading1"/>
          <w:rFonts w:ascii="Arial" w:hAnsi="Arial" w:cs="Arial"/>
          <w:b w:val="0"/>
          <w:sz w:val="24"/>
          <w:szCs w:val="24"/>
        </w:rPr>
        <w:t xml:space="preserve">s </w:t>
      </w:r>
      <w:proofErr w:type="spellStart"/>
      <w:r w:rsidRPr="00DE387B">
        <w:rPr>
          <w:rStyle w:val="groupheading1"/>
          <w:rFonts w:ascii="Arial" w:hAnsi="Arial" w:cs="Arial"/>
          <w:b w:val="0"/>
          <w:sz w:val="24"/>
          <w:szCs w:val="24"/>
        </w:rPr>
        <w:t>defence</w:t>
      </w:r>
      <w:proofErr w:type="spellEnd"/>
      <w:r w:rsidRPr="00DE387B">
        <w:rPr>
          <w:rStyle w:val="groupheading1"/>
          <w:rFonts w:ascii="Arial" w:hAnsi="Arial" w:cs="Arial"/>
          <w:b w:val="0"/>
          <w:sz w:val="24"/>
          <w:szCs w:val="24"/>
        </w:rPr>
        <w:t xml:space="preserve"> of ejectment. </w:t>
      </w:r>
      <w:r w:rsidRPr="00DE387B">
        <w:rPr>
          <w:rFonts w:ascii="Arial" w:hAnsi="Arial" w:cs="Arial"/>
        </w:rPr>
        <w:t>The Crown case at trial was that D</w:t>
      </w:r>
      <w:r>
        <w:rPr>
          <w:rFonts w:ascii="Arial" w:hAnsi="Arial" w:cs="Arial"/>
        </w:rPr>
        <w:t>, a publican,</w:t>
      </w:r>
      <w:r w:rsidRPr="00DE387B">
        <w:rPr>
          <w:rFonts w:ascii="Arial" w:hAnsi="Arial" w:cs="Arial"/>
        </w:rPr>
        <w:t xml:space="preserve"> had committed an unlawful act </w:t>
      </w:r>
      <w:r>
        <w:rPr>
          <w:rFonts w:ascii="Arial" w:hAnsi="Arial" w:cs="Arial"/>
        </w:rPr>
        <w:t xml:space="preserve">(battery) </w:t>
      </w:r>
      <w:r w:rsidRPr="00DE387B">
        <w:rPr>
          <w:rFonts w:ascii="Arial" w:hAnsi="Arial" w:cs="Arial"/>
        </w:rPr>
        <w:t>by using excessive force when bundling V</w:t>
      </w:r>
      <w:r>
        <w:rPr>
          <w:rFonts w:ascii="Arial" w:hAnsi="Arial" w:cs="Arial"/>
        </w:rPr>
        <w:t>, an intoxicated customer</w:t>
      </w:r>
      <w:r w:rsidRPr="00DE387B">
        <w:rPr>
          <w:rFonts w:ascii="Arial" w:hAnsi="Arial" w:cs="Arial"/>
        </w:rPr>
        <w:t xml:space="preserve"> </w:t>
      </w:r>
      <w:r>
        <w:rPr>
          <w:rFonts w:ascii="Arial" w:hAnsi="Arial" w:cs="Arial"/>
        </w:rPr>
        <w:t xml:space="preserve">out of </w:t>
      </w:r>
      <w:r w:rsidRPr="00DE387B">
        <w:rPr>
          <w:rFonts w:ascii="Arial" w:hAnsi="Arial" w:cs="Arial"/>
        </w:rPr>
        <w:t xml:space="preserve">the </w:t>
      </w:r>
      <w:r>
        <w:rPr>
          <w:rFonts w:ascii="Arial" w:hAnsi="Arial" w:cs="Arial"/>
        </w:rPr>
        <w:t xml:space="preserve">pub </w:t>
      </w:r>
      <w:r w:rsidRPr="00DE387B">
        <w:rPr>
          <w:rFonts w:ascii="Arial" w:hAnsi="Arial" w:cs="Arial"/>
        </w:rPr>
        <w:t>door</w:t>
      </w:r>
      <w:r>
        <w:rPr>
          <w:rFonts w:ascii="Arial" w:hAnsi="Arial" w:cs="Arial"/>
        </w:rPr>
        <w:t xml:space="preserve"> and down the steps to the pavement. The Court of Appeal allowed D’s appeal on the basis that the trial judge had failed t</w:t>
      </w:r>
      <w:r w:rsidRPr="00DE387B">
        <w:rPr>
          <w:rFonts w:ascii="Arial" w:hAnsi="Arial" w:cs="Arial"/>
        </w:rPr>
        <w:t>o explain to the jury that D could only be g</w:t>
      </w:r>
      <w:r w:rsidRPr="009276C5">
        <w:rPr>
          <w:rFonts w:ascii="Arial" w:hAnsi="Arial" w:cs="Arial"/>
        </w:rPr>
        <w:t>uilty of battery if the Crown proved that he used excessive force in the circumstances as he (honestly, not necessarily reasonably) believed them to be.</w:t>
      </w:r>
      <w:r w:rsidRPr="009276C5">
        <w:rPr>
          <w:rFonts w:ascii="Arial" w:hAnsi="Arial" w:cs="Arial"/>
          <w:iCs/>
        </w:rPr>
        <w:t xml:space="preserve"> The Canadian case of </w:t>
      </w:r>
      <w:r w:rsidRPr="009276C5">
        <w:rPr>
          <w:rFonts w:ascii="Arial" w:hAnsi="Arial" w:cs="Arial"/>
          <w:bCs/>
          <w:i/>
          <w:iCs/>
        </w:rPr>
        <w:t>Gunning</w:t>
      </w:r>
      <w:r w:rsidRPr="009276C5">
        <w:rPr>
          <w:rFonts w:ascii="Arial" w:hAnsi="Arial" w:cs="Arial"/>
          <w:b/>
          <w:bCs/>
        </w:rPr>
        <w:t xml:space="preserve"> </w:t>
      </w:r>
      <w:r w:rsidRPr="009276C5">
        <w:rPr>
          <w:rStyle w:val="FootnoteReference"/>
          <w:rFonts w:ascii="Arial" w:hAnsi="Arial" w:cs="Arial"/>
          <w:bCs/>
        </w:rPr>
        <w:footnoteReference w:id="64"/>
      </w:r>
      <w:r>
        <w:rPr>
          <w:rFonts w:ascii="Arial" w:hAnsi="Arial" w:cs="Arial"/>
          <w:iCs/>
        </w:rPr>
        <w:t xml:space="preserve"> is similar: the Supreme Court quashed D’s conviction for killing V and ordered a retrial after the trial judge wrongly withdrew from the jury’s consideration D’s plea that he was acting in </w:t>
      </w:r>
      <w:proofErr w:type="spellStart"/>
      <w:r>
        <w:rPr>
          <w:rFonts w:ascii="Arial" w:hAnsi="Arial" w:cs="Arial"/>
          <w:iCs/>
        </w:rPr>
        <w:t>defence</w:t>
      </w:r>
      <w:proofErr w:type="spellEnd"/>
      <w:r>
        <w:rPr>
          <w:rFonts w:ascii="Arial" w:hAnsi="Arial" w:cs="Arial"/>
          <w:iCs/>
        </w:rPr>
        <w:t xml:space="preserve"> of property.</w:t>
      </w:r>
      <w:r>
        <w:rPr>
          <w:rStyle w:val="FootnoteReference"/>
          <w:rFonts w:ascii="Arial" w:hAnsi="Arial" w:cs="Arial"/>
          <w:iCs/>
        </w:rPr>
        <w:footnoteReference w:id="65"/>
      </w:r>
      <w:r>
        <w:rPr>
          <w:rFonts w:ascii="Arial" w:hAnsi="Arial" w:cs="Arial"/>
          <w:iCs/>
        </w:rPr>
        <w:t xml:space="preserve"> </w:t>
      </w:r>
      <w:r w:rsidRPr="009276C5">
        <w:rPr>
          <w:rFonts w:ascii="Arial" w:hAnsi="Arial" w:cs="Arial"/>
          <w:iCs/>
        </w:rPr>
        <w:t xml:space="preserve">In contrast, in the Australian case of </w:t>
      </w:r>
      <w:proofErr w:type="spellStart"/>
      <w:r w:rsidRPr="009276C5">
        <w:rPr>
          <w:rFonts w:ascii="Arial" w:hAnsi="Arial" w:cs="Arial"/>
          <w:i/>
        </w:rPr>
        <w:t>Fragomeli</w:t>
      </w:r>
      <w:proofErr w:type="spellEnd"/>
      <w:r w:rsidRPr="009276C5">
        <w:rPr>
          <w:rFonts w:ascii="Arial" w:hAnsi="Arial" w:cs="Arial"/>
        </w:rPr>
        <w:t>,</w:t>
      </w:r>
      <w:r w:rsidRPr="009276C5">
        <w:rPr>
          <w:rStyle w:val="FootnoteReference"/>
          <w:rFonts w:ascii="Arial" w:hAnsi="Arial" w:cs="Arial"/>
        </w:rPr>
        <w:footnoteReference w:id="66"/>
      </w:r>
      <w:r w:rsidRPr="009276C5">
        <w:rPr>
          <w:rFonts w:ascii="Arial" w:hAnsi="Arial" w:cs="Arial"/>
        </w:rPr>
        <w:t xml:space="preserve"> D</w:t>
      </w:r>
      <w:r>
        <w:rPr>
          <w:rFonts w:ascii="Arial" w:hAnsi="Arial" w:cs="Arial"/>
        </w:rPr>
        <w:t>’</w:t>
      </w:r>
      <w:r w:rsidRPr="009276C5">
        <w:rPr>
          <w:rFonts w:ascii="Arial" w:hAnsi="Arial" w:cs="Arial"/>
        </w:rPr>
        <w:t xml:space="preserve">s manslaughter conviction was upheld after the appeal court rejected arguments that the trial judge had misdirected the jury on </w:t>
      </w:r>
      <w:proofErr w:type="spellStart"/>
      <w:r w:rsidRPr="009276C5">
        <w:rPr>
          <w:rFonts w:ascii="Arial" w:hAnsi="Arial" w:cs="Arial"/>
        </w:rPr>
        <w:t>self-defence</w:t>
      </w:r>
      <w:proofErr w:type="spellEnd"/>
      <w:r w:rsidRPr="009276C5">
        <w:rPr>
          <w:rFonts w:ascii="Arial" w:hAnsi="Arial" w:cs="Arial"/>
        </w:rPr>
        <w:t>.</w:t>
      </w:r>
      <w:r w:rsidRPr="00E10485">
        <w:rPr>
          <w:rStyle w:val="FootnoteReference"/>
          <w:rFonts w:ascii="Arial" w:hAnsi="Arial" w:cs="Arial"/>
          <w:sz w:val="28"/>
          <w:szCs w:val="28"/>
          <w:lang w:val="en-GB"/>
        </w:rPr>
        <w:footnoteReference w:id="67"/>
      </w:r>
      <w:r>
        <w:rPr>
          <w:rFonts w:ascii="Arial" w:hAnsi="Arial" w:cs="Arial"/>
          <w:lang w:val="en-GB"/>
        </w:rPr>
        <w:t xml:space="preserve"> </w:t>
      </w:r>
    </w:p>
    <w:p w:rsidR="00E03352" w:rsidRPr="009276C5" w:rsidRDefault="00E03352" w:rsidP="00E03352">
      <w:pPr>
        <w:jc w:val="both"/>
        <w:rPr>
          <w:rFonts w:ascii="Arial" w:hAnsi="Arial" w:cs="Arial"/>
        </w:rPr>
      </w:pPr>
    </w:p>
    <w:p w:rsidR="00E03352" w:rsidRDefault="00E03352" w:rsidP="00E03352">
      <w:pPr>
        <w:jc w:val="both"/>
        <w:rPr>
          <w:rFonts w:ascii="Arial" w:hAnsi="Arial" w:cs="Arial"/>
          <w:iCs/>
        </w:rPr>
      </w:pPr>
      <w:r w:rsidRPr="009276C5">
        <w:rPr>
          <w:rFonts w:ascii="Arial" w:hAnsi="Arial" w:cs="Arial"/>
        </w:rPr>
        <w:t xml:space="preserve">In </w:t>
      </w:r>
      <w:proofErr w:type="spellStart"/>
      <w:r w:rsidRPr="009276C5">
        <w:rPr>
          <w:rFonts w:ascii="Arial" w:hAnsi="Arial" w:cs="Arial"/>
          <w:i/>
          <w:iCs/>
        </w:rPr>
        <w:t>Slingsby</w:t>
      </w:r>
      <w:proofErr w:type="spellEnd"/>
      <w:r w:rsidRPr="009276C5">
        <w:rPr>
          <w:rFonts w:ascii="Arial" w:hAnsi="Arial" w:cs="Arial"/>
        </w:rPr>
        <w:t>,</w:t>
      </w:r>
      <w:r w:rsidRPr="009276C5">
        <w:rPr>
          <w:rStyle w:val="FootnoteReference"/>
          <w:rFonts w:ascii="Arial" w:hAnsi="Arial" w:cs="Arial"/>
        </w:rPr>
        <w:footnoteReference w:id="68"/>
      </w:r>
      <w:r w:rsidRPr="009276C5">
        <w:rPr>
          <w:rFonts w:ascii="Arial" w:hAnsi="Arial" w:cs="Arial"/>
        </w:rPr>
        <w:t xml:space="preserve"> V</w:t>
      </w:r>
      <w:r>
        <w:rPr>
          <w:rFonts w:ascii="Arial" w:hAnsi="Arial" w:cs="Arial"/>
        </w:rPr>
        <w:t>’</w:t>
      </w:r>
      <w:r w:rsidRPr="009276C5">
        <w:rPr>
          <w:rFonts w:ascii="Arial" w:hAnsi="Arial" w:cs="Arial"/>
        </w:rPr>
        <w:t>s consent to the risk of</w:t>
      </w:r>
      <w:r>
        <w:rPr>
          <w:rFonts w:ascii="Arial" w:hAnsi="Arial" w:cs="Arial"/>
        </w:rPr>
        <w:t xml:space="preserve"> injury precluded proof of an unlawful act. D was charged with the manslaughter of V, who had died after </w:t>
      </w:r>
      <w:r w:rsidRPr="000B4E14">
        <w:rPr>
          <w:rFonts w:ascii="Arial" w:hAnsi="Arial" w:cs="Arial"/>
        </w:rPr>
        <w:t>suffer</w:t>
      </w:r>
      <w:r>
        <w:rPr>
          <w:rFonts w:ascii="Arial" w:hAnsi="Arial" w:cs="Arial"/>
        </w:rPr>
        <w:t>ing</w:t>
      </w:r>
      <w:r w:rsidRPr="000B4E14">
        <w:rPr>
          <w:rFonts w:ascii="Arial" w:hAnsi="Arial" w:cs="Arial"/>
        </w:rPr>
        <w:t xml:space="preserve"> </w:t>
      </w:r>
      <w:r>
        <w:rPr>
          <w:rFonts w:ascii="Arial" w:hAnsi="Arial" w:cs="Arial"/>
        </w:rPr>
        <w:t xml:space="preserve">internal </w:t>
      </w:r>
      <w:r w:rsidRPr="000B4E14">
        <w:rPr>
          <w:rFonts w:ascii="Arial" w:hAnsi="Arial" w:cs="Arial"/>
        </w:rPr>
        <w:t xml:space="preserve">cuts </w:t>
      </w:r>
      <w:r>
        <w:rPr>
          <w:rFonts w:ascii="Arial" w:hAnsi="Arial" w:cs="Arial"/>
        </w:rPr>
        <w:t>from which</w:t>
      </w:r>
      <w:r w:rsidRPr="000B4E14">
        <w:rPr>
          <w:rFonts w:ascii="Arial" w:hAnsi="Arial" w:cs="Arial"/>
        </w:rPr>
        <w:t xml:space="preserve"> </w:t>
      </w:r>
      <w:proofErr w:type="spellStart"/>
      <w:r w:rsidRPr="000B4E14">
        <w:rPr>
          <w:rFonts w:ascii="Arial" w:hAnsi="Arial" w:cs="Arial"/>
        </w:rPr>
        <w:t>septicaemia</w:t>
      </w:r>
      <w:proofErr w:type="spellEnd"/>
      <w:r w:rsidRPr="000B4E14">
        <w:rPr>
          <w:rFonts w:ascii="Arial" w:hAnsi="Arial" w:cs="Arial"/>
        </w:rPr>
        <w:t xml:space="preserve"> developed and she died. </w:t>
      </w:r>
      <w:r>
        <w:rPr>
          <w:rFonts w:ascii="Arial" w:hAnsi="Arial" w:cs="Arial"/>
        </w:rPr>
        <w:t xml:space="preserve">The cuts occurred during sexual activity between D and V. </w:t>
      </w:r>
      <w:r w:rsidRPr="000B4E14">
        <w:rPr>
          <w:rFonts w:ascii="Arial" w:hAnsi="Arial" w:cs="Arial"/>
          <w:iCs/>
        </w:rPr>
        <w:t xml:space="preserve">The trial judge ruled that </w:t>
      </w:r>
      <w:r>
        <w:rPr>
          <w:rFonts w:ascii="Arial" w:hAnsi="Arial" w:cs="Arial"/>
          <w:iCs/>
        </w:rPr>
        <w:t>because</w:t>
      </w:r>
      <w:r w:rsidRPr="000B4E14">
        <w:rPr>
          <w:rFonts w:ascii="Arial" w:hAnsi="Arial" w:cs="Arial"/>
          <w:iCs/>
        </w:rPr>
        <w:t xml:space="preserve"> V </w:t>
      </w:r>
      <w:r>
        <w:rPr>
          <w:rFonts w:ascii="Arial" w:hAnsi="Arial" w:cs="Arial"/>
          <w:iCs/>
        </w:rPr>
        <w:t xml:space="preserve">had </w:t>
      </w:r>
      <w:r w:rsidRPr="000B4E14">
        <w:rPr>
          <w:rFonts w:ascii="Arial" w:hAnsi="Arial" w:cs="Arial"/>
          <w:iCs/>
        </w:rPr>
        <w:t>consented to the sexual activity</w:t>
      </w:r>
      <w:r>
        <w:rPr>
          <w:rFonts w:ascii="Arial" w:hAnsi="Arial" w:cs="Arial"/>
          <w:iCs/>
        </w:rPr>
        <w:t>, t</w:t>
      </w:r>
      <w:r w:rsidRPr="000B4E14">
        <w:rPr>
          <w:rFonts w:ascii="Arial" w:hAnsi="Arial" w:cs="Arial"/>
          <w:iCs/>
        </w:rPr>
        <w:t xml:space="preserve">he fact that </w:t>
      </w:r>
      <w:r>
        <w:rPr>
          <w:rFonts w:ascii="Arial" w:hAnsi="Arial" w:cs="Arial"/>
          <w:iCs/>
        </w:rPr>
        <w:t>V</w:t>
      </w:r>
      <w:r w:rsidRPr="000B4E14">
        <w:rPr>
          <w:rFonts w:ascii="Arial" w:hAnsi="Arial" w:cs="Arial"/>
          <w:iCs/>
        </w:rPr>
        <w:t xml:space="preserve"> suffered unforeseen (indeed unforeseeable) injuries did not convert their consensual sexual activity into a crime. </w:t>
      </w:r>
    </w:p>
    <w:p w:rsidR="00E03352" w:rsidRDefault="00E03352" w:rsidP="00E03352">
      <w:pPr>
        <w:jc w:val="both"/>
        <w:rPr>
          <w:rFonts w:ascii="Arial" w:hAnsi="Arial" w:cs="Arial"/>
          <w:iCs/>
        </w:rPr>
      </w:pPr>
    </w:p>
    <w:p w:rsidR="00E03352" w:rsidRDefault="00E03352" w:rsidP="00E03352">
      <w:pPr>
        <w:jc w:val="both"/>
        <w:rPr>
          <w:rFonts w:ascii="Arial" w:hAnsi="Arial" w:cs="Arial"/>
        </w:rPr>
      </w:pPr>
      <w:r>
        <w:rPr>
          <w:rFonts w:ascii="Arial" w:hAnsi="Arial" w:cs="Arial"/>
          <w:iCs/>
        </w:rPr>
        <w:t xml:space="preserve">Of course, consent may not be available as a </w:t>
      </w:r>
      <w:proofErr w:type="spellStart"/>
      <w:r>
        <w:rPr>
          <w:rFonts w:ascii="Arial" w:hAnsi="Arial" w:cs="Arial"/>
          <w:iCs/>
        </w:rPr>
        <w:t>defence</w:t>
      </w:r>
      <w:proofErr w:type="spellEnd"/>
      <w:r>
        <w:rPr>
          <w:rFonts w:ascii="Arial" w:hAnsi="Arial" w:cs="Arial"/>
          <w:iCs/>
        </w:rPr>
        <w:t xml:space="preserve"> depending on the context. In</w:t>
      </w:r>
      <w:r w:rsidRPr="00B648FA">
        <w:rPr>
          <w:rFonts w:ascii="Arial" w:hAnsi="Arial" w:cs="Arial"/>
          <w:iCs/>
        </w:rPr>
        <w:t xml:space="preserve"> </w:t>
      </w:r>
      <w:proofErr w:type="spellStart"/>
      <w:r w:rsidRPr="00B648FA">
        <w:rPr>
          <w:rFonts w:ascii="Arial" w:hAnsi="Arial" w:cs="Arial"/>
          <w:bCs/>
          <w:i/>
          <w:iCs/>
          <w:lang w:val="en-GB"/>
        </w:rPr>
        <w:t>Jobidon</w:t>
      </w:r>
      <w:proofErr w:type="spellEnd"/>
      <w:r>
        <w:rPr>
          <w:rFonts w:ascii="Arial" w:hAnsi="Arial" w:cs="Arial"/>
          <w:iCs/>
          <w:lang w:val="en-GB"/>
        </w:rPr>
        <w:t>,</w:t>
      </w:r>
      <w:r>
        <w:rPr>
          <w:rStyle w:val="FootnoteReference"/>
          <w:rFonts w:ascii="Arial" w:hAnsi="Arial" w:cs="Arial"/>
          <w:iCs/>
          <w:lang w:val="en-GB"/>
        </w:rPr>
        <w:footnoteReference w:id="69"/>
      </w:r>
      <w:r>
        <w:rPr>
          <w:rFonts w:ascii="Arial" w:hAnsi="Arial" w:cs="Arial"/>
          <w:iCs/>
          <w:lang w:val="en-GB"/>
        </w:rPr>
        <w:t xml:space="preserve"> the Supreme Court of Canada upheld D’s conviction for manslaughter based on the unlawful act of battery. In doing so, the court held that V’s alleged ‘consent’ was not legally valid, having been given in the context of a fist-fight in the parking lot of a hotel. The Australian </w:t>
      </w:r>
      <w:r w:rsidRPr="00B648FA">
        <w:rPr>
          <w:rFonts w:ascii="Arial" w:hAnsi="Arial" w:cs="Arial"/>
          <w:iCs/>
          <w:lang w:val="en-GB"/>
        </w:rPr>
        <w:t xml:space="preserve">case of </w:t>
      </w:r>
      <w:proofErr w:type="spellStart"/>
      <w:r w:rsidRPr="00B648FA">
        <w:rPr>
          <w:rFonts w:ascii="Arial" w:hAnsi="Arial" w:cs="Arial"/>
          <w:i/>
        </w:rPr>
        <w:t>Aidid</w:t>
      </w:r>
      <w:proofErr w:type="spellEnd"/>
      <w:r w:rsidRPr="00B648FA">
        <w:rPr>
          <w:rStyle w:val="FootnoteReference"/>
          <w:rFonts w:ascii="Arial" w:hAnsi="Arial" w:cs="Arial"/>
        </w:rPr>
        <w:footnoteReference w:id="70"/>
      </w:r>
      <w:r>
        <w:rPr>
          <w:rFonts w:ascii="Arial" w:hAnsi="Arial" w:cs="Arial"/>
        </w:rPr>
        <w:t xml:space="preserve"> is very similar. D and V were fighting in the middle of a road when V was run over and killed. D’s conviction of manslaughter based on battery (or alternatively, affray) was upheld on appeal with V’s alleged consent again providing no </w:t>
      </w:r>
      <w:proofErr w:type="spellStart"/>
      <w:r>
        <w:rPr>
          <w:rFonts w:ascii="Arial" w:hAnsi="Arial" w:cs="Arial"/>
        </w:rPr>
        <w:t>defence</w:t>
      </w:r>
      <w:proofErr w:type="spellEnd"/>
      <w:r>
        <w:rPr>
          <w:rFonts w:ascii="Arial" w:hAnsi="Arial" w:cs="Arial"/>
        </w:rPr>
        <w:t xml:space="preserve"> to D. In another Australian case, </w:t>
      </w:r>
      <w:r w:rsidRPr="0021668D">
        <w:rPr>
          <w:rFonts w:ascii="Arial" w:hAnsi="Arial" w:cs="Arial"/>
          <w:i/>
        </w:rPr>
        <w:t>Stein</w:t>
      </w:r>
      <w:r>
        <w:rPr>
          <w:rFonts w:ascii="Arial" w:hAnsi="Arial" w:cs="Arial"/>
        </w:rPr>
        <w:t>,</w:t>
      </w:r>
      <w:r>
        <w:rPr>
          <w:rStyle w:val="FootnoteReference"/>
          <w:rFonts w:ascii="Arial" w:hAnsi="Arial" w:cs="Arial"/>
        </w:rPr>
        <w:footnoteReference w:id="71"/>
      </w:r>
      <w:r>
        <w:rPr>
          <w:rFonts w:ascii="Arial" w:hAnsi="Arial" w:cs="Arial"/>
        </w:rPr>
        <w:t xml:space="preserve"> D was convicted of manslaughter after </w:t>
      </w:r>
      <w:r w:rsidRPr="00632728">
        <w:rPr>
          <w:rFonts w:ascii="Arial" w:hAnsi="Arial" w:cs="Arial"/>
        </w:rPr>
        <w:t xml:space="preserve">gagging V during a bondage sex session, </w:t>
      </w:r>
      <w:r>
        <w:rPr>
          <w:rFonts w:ascii="Arial" w:hAnsi="Arial" w:cs="Arial"/>
        </w:rPr>
        <w:t xml:space="preserve">as a result of which </w:t>
      </w:r>
      <w:r w:rsidRPr="00632728">
        <w:rPr>
          <w:rFonts w:ascii="Arial" w:hAnsi="Arial" w:cs="Arial"/>
        </w:rPr>
        <w:t>V suffocated to death. The appeal court dismissed D</w:t>
      </w:r>
      <w:r>
        <w:rPr>
          <w:rFonts w:ascii="Arial" w:hAnsi="Arial" w:cs="Arial"/>
        </w:rPr>
        <w:t>’</w:t>
      </w:r>
      <w:r w:rsidRPr="00632728">
        <w:rPr>
          <w:rFonts w:ascii="Arial" w:hAnsi="Arial" w:cs="Arial"/>
        </w:rPr>
        <w:t xml:space="preserve">s </w:t>
      </w:r>
      <w:r>
        <w:rPr>
          <w:rFonts w:ascii="Arial" w:hAnsi="Arial" w:cs="Arial"/>
        </w:rPr>
        <w:t>appeal</w:t>
      </w:r>
      <w:r w:rsidRPr="00632728">
        <w:rPr>
          <w:rFonts w:ascii="Arial" w:hAnsi="Arial" w:cs="Arial"/>
        </w:rPr>
        <w:t xml:space="preserve"> holding that the evidence showed that </w:t>
      </w:r>
      <w:r>
        <w:rPr>
          <w:rFonts w:ascii="Arial" w:hAnsi="Arial" w:cs="Arial"/>
        </w:rPr>
        <w:t xml:space="preserve">although </w:t>
      </w:r>
      <w:r w:rsidRPr="00632728">
        <w:rPr>
          <w:rFonts w:ascii="Arial" w:hAnsi="Arial" w:cs="Arial"/>
        </w:rPr>
        <w:t xml:space="preserve">V had consented to being tied up, </w:t>
      </w:r>
      <w:r>
        <w:rPr>
          <w:rFonts w:ascii="Arial" w:hAnsi="Arial" w:cs="Arial"/>
        </w:rPr>
        <w:t xml:space="preserve">he had </w:t>
      </w:r>
      <w:r w:rsidRPr="00632728">
        <w:rPr>
          <w:rFonts w:ascii="Arial" w:hAnsi="Arial" w:cs="Arial"/>
        </w:rPr>
        <w:t xml:space="preserve">not </w:t>
      </w:r>
      <w:r>
        <w:rPr>
          <w:rFonts w:ascii="Arial" w:hAnsi="Arial" w:cs="Arial"/>
        </w:rPr>
        <w:t xml:space="preserve">consented </w:t>
      </w:r>
      <w:r w:rsidRPr="00632728">
        <w:rPr>
          <w:rFonts w:ascii="Arial" w:hAnsi="Arial" w:cs="Arial"/>
        </w:rPr>
        <w:t xml:space="preserve">to being gagged. </w:t>
      </w:r>
      <w:r>
        <w:rPr>
          <w:rFonts w:ascii="Arial" w:hAnsi="Arial" w:cs="Arial"/>
        </w:rPr>
        <w:t xml:space="preserve">The gagging was therefore an </w:t>
      </w:r>
      <w:r>
        <w:rPr>
          <w:rFonts w:ascii="Arial" w:hAnsi="Arial" w:cs="Arial"/>
        </w:rPr>
        <w:lastRenderedPageBreak/>
        <w:t>unlawful act.</w:t>
      </w:r>
      <w:r>
        <w:rPr>
          <w:rStyle w:val="FootnoteReference"/>
          <w:rFonts w:ascii="Arial" w:hAnsi="Arial" w:cs="Arial"/>
        </w:rPr>
        <w:footnoteReference w:id="72"/>
      </w:r>
      <w:r>
        <w:rPr>
          <w:rFonts w:ascii="Arial" w:hAnsi="Arial" w:cs="Arial"/>
        </w:rPr>
        <w:t xml:space="preserve"> Moreover, even if V had agreed to the gag, such consent would not be legally valid, given the </w:t>
      </w:r>
      <w:proofErr w:type="spellStart"/>
      <w:r>
        <w:rPr>
          <w:rFonts w:ascii="Arial" w:hAnsi="Arial" w:cs="Arial"/>
        </w:rPr>
        <w:t>sado</w:t>
      </w:r>
      <w:proofErr w:type="spellEnd"/>
      <w:r>
        <w:rPr>
          <w:rFonts w:ascii="Arial" w:hAnsi="Arial" w:cs="Arial"/>
        </w:rPr>
        <w:t>-masochism context and the ‘</w:t>
      </w:r>
      <w:r w:rsidRPr="00632728">
        <w:rPr>
          <w:rFonts w:ascii="Arial" w:hAnsi="Arial" w:cs="Arial"/>
        </w:rPr>
        <w:t>foreseeable risk of serious injury</w:t>
      </w:r>
      <w:r>
        <w:rPr>
          <w:rFonts w:ascii="Arial" w:hAnsi="Arial" w:cs="Arial"/>
        </w:rPr>
        <w:t>’.</w:t>
      </w:r>
      <w:r>
        <w:rPr>
          <w:rStyle w:val="FootnoteReference"/>
          <w:rFonts w:ascii="Arial" w:hAnsi="Arial" w:cs="Arial"/>
        </w:rPr>
        <w:footnoteReference w:id="73"/>
      </w:r>
    </w:p>
    <w:p w:rsidR="00E03352" w:rsidRDefault="00E03352" w:rsidP="00E03352">
      <w:pPr>
        <w:jc w:val="both"/>
        <w:rPr>
          <w:rFonts w:ascii="Arial" w:hAnsi="Arial" w:cs="Arial"/>
        </w:rPr>
      </w:pPr>
    </w:p>
    <w:p w:rsidR="00E03352" w:rsidRPr="00B648FA" w:rsidRDefault="00E03352" w:rsidP="00E03352">
      <w:pPr>
        <w:jc w:val="both"/>
        <w:rPr>
          <w:rFonts w:ascii="Arial" w:hAnsi="Arial" w:cs="Arial"/>
          <w:iCs/>
        </w:rPr>
      </w:pPr>
      <w:r>
        <w:rPr>
          <w:rFonts w:ascii="Arial" w:hAnsi="Arial" w:cs="Arial"/>
          <w:bCs/>
          <w:iCs/>
        </w:rPr>
        <w:t xml:space="preserve">In </w:t>
      </w:r>
      <w:r w:rsidRPr="00D54DC7">
        <w:rPr>
          <w:rFonts w:ascii="Arial" w:hAnsi="Arial" w:cs="Arial"/>
          <w:bCs/>
          <w:i/>
          <w:iCs/>
        </w:rPr>
        <w:t>Sinclair</w:t>
      </w:r>
      <w:r>
        <w:rPr>
          <w:rFonts w:ascii="Arial" w:hAnsi="Arial" w:cs="Arial"/>
          <w:bCs/>
          <w:iCs/>
        </w:rPr>
        <w:t>,</w:t>
      </w:r>
      <w:r w:rsidRPr="00D54DC7">
        <w:rPr>
          <w:rStyle w:val="FootnoteReference"/>
          <w:rFonts w:ascii="Arial" w:hAnsi="Arial" w:cs="Arial"/>
          <w:bCs/>
          <w:iCs/>
        </w:rPr>
        <w:footnoteReference w:id="74"/>
      </w:r>
      <w:r>
        <w:rPr>
          <w:rFonts w:ascii="Arial" w:hAnsi="Arial" w:cs="Arial"/>
          <w:bCs/>
          <w:iCs/>
        </w:rPr>
        <w:t xml:space="preserve"> D’s </w:t>
      </w:r>
      <w:r>
        <w:rPr>
          <w:rFonts w:ascii="Arial" w:hAnsi="Arial" w:cs="Arial"/>
        </w:rPr>
        <w:t>4-year-old daughter, V, had refused to go to bed,</w:t>
      </w:r>
      <w:r w:rsidRPr="00D54DC7">
        <w:rPr>
          <w:rFonts w:ascii="Arial" w:hAnsi="Arial" w:cs="Arial"/>
        </w:rPr>
        <w:t xml:space="preserve"> </w:t>
      </w:r>
      <w:r>
        <w:rPr>
          <w:rFonts w:ascii="Arial" w:hAnsi="Arial" w:cs="Arial"/>
        </w:rPr>
        <w:t xml:space="preserve">so D </w:t>
      </w:r>
      <w:r w:rsidRPr="00D54DC7">
        <w:rPr>
          <w:rFonts w:ascii="Arial" w:hAnsi="Arial" w:cs="Arial"/>
        </w:rPr>
        <w:t xml:space="preserve">shook her a couple of times and threw her down onto the bed.  Unfortunately, </w:t>
      </w:r>
      <w:r>
        <w:rPr>
          <w:rFonts w:ascii="Arial" w:hAnsi="Arial" w:cs="Arial"/>
        </w:rPr>
        <w:t>V</w:t>
      </w:r>
      <w:r w:rsidRPr="00D54DC7">
        <w:rPr>
          <w:rFonts w:ascii="Arial" w:hAnsi="Arial" w:cs="Arial"/>
        </w:rPr>
        <w:t xml:space="preserve"> bounced off the bed, hit the wall and fell onto the floor. </w:t>
      </w:r>
      <w:r>
        <w:rPr>
          <w:rFonts w:ascii="Arial" w:hAnsi="Arial" w:cs="Arial"/>
        </w:rPr>
        <w:t>S</w:t>
      </w:r>
      <w:r w:rsidRPr="00D54DC7">
        <w:rPr>
          <w:rFonts w:ascii="Arial" w:hAnsi="Arial" w:cs="Arial"/>
        </w:rPr>
        <w:t xml:space="preserve">he later died </w:t>
      </w:r>
      <w:r>
        <w:rPr>
          <w:rFonts w:ascii="Arial" w:hAnsi="Arial" w:cs="Arial"/>
        </w:rPr>
        <w:t xml:space="preserve">and D </w:t>
      </w:r>
      <w:r w:rsidRPr="00D54DC7">
        <w:rPr>
          <w:rFonts w:ascii="Arial" w:hAnsi="Arial" w:cs="Arial"/>
        </w:rPr>
        <w:t xml:space="preserve">was convicted of manslaughter (based on </w:t>
      </w:r>
      <w:r>
        <w:rPr>
          <w:rFonts w:ascii="Arial" w:hAnsi="Arial" w:cs="Arial"/>
        </w:rPr>
        <w:t>battery</w:t>
      </w:r>
      <w:r w:rsidRPr="00D54DC7">
        <w:rPr>
          <w:rFonts w:ascii="Arial" w:hAnsi="Arial" w:cs="Arial"/>
        </w:rPr>
        <w:t>)</w:t>
      </w:r>
      <w:r>
        <w:rPr>
          <w:rFonts w:ascii="Arial" w:hAnsi="Arial" w:cs="Arial"/>
        </w:rPr>
        <w:t>. He</w:t>
      </w:r>
      <w:r w:rsidRPr="00D54DC7">
        <w:rPr>
          <w:rFonts w:ascii="Arial" w:hAnsi="Arial" w:cs="Arial"/>
        </w:rPr>
        <w:t xml:space="preserve"> appealed, contending that s 43 of the </w:t>
      </w:r>
      <w:r w:rsidRPr="00D54DC7">
        <w:rPr>
          <w:rFonts w:ascii="Arial" w:hAnsi="Arial" w:cs="Arial"/>
          <w:i/>
        </w:rPr>
        <w:t>Criminal Code</w:t>
      </w:r>
      <w:r w:rsidRPr="00D54DC7">
        <w:rPr>
          <w:rFonts w:ascii="Arial" w:hAnsi="Arial" w:cs="Arial"/>
        </w:rPr>
        <w:t xml:space="preserve"> provided him with a </w:t>
      </w:r>
      <w:proofErr w:type="spellStart"/>
      <w:r w:rsidRPr="00D54DC7">
        <w:rPr>
          <w:rFonts w:ascii="Arial" w:hAnsi="Arial" w:cs="Arial"/>
        </w:rPr>
        <w:t>defence</w:t>
      </w:r>
      <w:proofErr w:type="spellEnd"/>
      <w:r w:rsidRPr="00D54DC7">
        <w:rPr>
          <w:rFonts w:ascii="Arial" w:hAnsi="Arial" w:cs="Arial"/>
        </w:rPr>
        <w:t xml:space="preserve"> to </w:t>
      </w:r>
      <w:r>
        <w:rPr>
          <w:rFonts w:ascii="Arial" w:hAnsi="Arial" w:cs="Arial"/>
        </w:rPr>
        <w:t>battery</w:t>
      </w:r>
      <w:r w:rsidRPr="00D54DC7">
        <w:rPr>
          <w:rFonts w:ascii="Arial" w:hAnsi="Arial" w:cs="Arial"/>
        </w:rPr>
        <w:t xml:space="preserve"> and, therefore, to manslaughter. </w:t>
      </w:r>
      <w:r>
        <w:rPr>
          <w:rFonts w:ascii="Arial" w:hAnsi="Arial" w:cs="Arial"/>
        </w:rPr>
        <w:t>This s</w:t>
      </w:r>
      <w:r w:rsidRPr="00D54DC7">
        <w:rPr>
          <w:rFonts w:ascii="Arial" w:hAnsi="Arial" w:cs="Arial"/>
        </w:rPr>
        <w:t xml:space="preserve">ection </w:t>
      </w:r>
      <w:r>
        <w:rPr>
          <w:rFonts w:ascii="Arial" w:hAnsi="Arial" w:cs="Arial"/>
        </w:rPr>
        <w:t xml:space="preserve">allows, </w:t>
      </w:r>
      <w:r w:rsidRPr="00881F8E">
        <w:rPr>
          <w:rFonts w:ascii="Arial" w:hAnsi="Arial" w:cs="Arial"/>
          <w:i/>
        </w:rPr>
        <w:t>inter alia</w:t>
      </w:r>
      <w:r>
        <w:rPr>
          <w:rFonts w:ascii="Arial" w:hAnsi="Arial" w:cs="Arial"/>
        </w:rPr>
        <w:t xml:space="preserve">, </w:t>
      </w:r>
      <w:r w:rsidRPr="00D54DC7">
        <w:rPr>
          <w:rFonts w:ascii="Arial" w:hAnsi="Arial" w:cs="Arial"/>
        </w:rPr>
        <w:t>parent</w:t>
      </w:r>
      <w:r>
        <w:rPr>
          <w:rFonts w:ascii="Arial" w:hAnsi="Arial" w:cs="Arial"/>
        </w:rPr>
        <w:t>s</w:t>
      </w:r>
      <w:r w:rsidRPr="00D54DC7">
        <w:rPr>
          <w:rFonts w:ascii="Arial" w:hAnsi="Arial" w:cs="Arial"/>
        </w:rPr>
        <w:t xml:space="preserve"> </w:t>
      </w:r>
      <w:r>
        <w:rPr>
          <w:rFonts w:ascii="Arial" w:hAnsi="Arial" w:cs="Arial"/>
        </w:rPr>
        <w:t xml:space="preserve">to </w:t>
      </w:r>
      <w:r w:rsidRPr="00D54DC7">
        <w:rPr>
          <w:rFonts w:ascii="Arial" w:hAnsi="Arial" w:cs="Arial"/>
        </w:rPr>
        <w:t>us</w:t>
      </w:r>
      <w:r>
        <w:rPr>
          <w:rFonts w:ascii="Arial" w:hAnsi="Arial" w:cs="Arial"/>
        </w:rPr>
        <w:t>e</w:t>
      </w:r>
      <w:r w:rsidRPr="00D54DC7">
        <w:rPr>
          <w:rFonts w:ascii="Arial" w:hAnsi="Arial" w:cs="Arial"/>
        </w:rPr>
        <w:t xml:space="preserve"> force </w:t>
      </w:r>
      <w:r>
        <w:rPr>
          <w:rFonts w:ascii="Arial" w:hAnsi="Arial" w:cs="Arial"/>
        </w:rPr>
        <w:t>‘</w:t>
      </w:r>
      <w:r w:rsidRPr="00D54DC7">
        <w:rPr>
          <w:rFonts w:ascii="Arial" w:hAnsi="Arial" w:cs="Arial"/>
        </w:rPr>
        <w:t>by way of correction toward a child</w:t>
      </w:r>
      <w:r>
        <w:rPr>
          <w:rFonts w:ascii="Arial" w:hAnsi="Arial" w:cs="Arial"/>
        </w:rPr>
        <w:t>’ provided that ‘</w:t>
      </w:r>
      <w:r w:rsidRPr="00D54DC7">
        <w:rPr>
          <w:rFonts w:ascii="Arial" w:hAnsi="Arial" w:cs="Arial"/>
        </w:rPr>
        <w:t>the force does not exceed what is reasonable under the circumstances</w:t>
      </w:r>
      <w:r>
        <w:rPr>
          <w:rFonts w:ascii="Arial" w:hAnsi="Arial" w:cs="Arial"/>
        </w:rPr>
        <w:t>’</w:t>
      </w:r>
      <w:r w:rsidRPr="00D54DC7">
        <w:rPr>
          <w:rFonts w:ascii="Arial" w:hAnsi="Arial" w:cs="Arial"/>
        </w:rPr>
        <w:t>.</w:t>
      </w:r>
      <w:r>
        <w:rPr>
          <w:rFonts w:ascii="Arial" w:hAnsi="Arial" w:cs="Arial"/>
        </w:rPr>
        <w:t xml:space="preserve"> The Manitoba Court of Appeal upheld the conviction on the basis that s</w:t>
      </w:r>
      <w:r w:rsidRPr="00D54DC7">
        <w:rPr>
          <w:rFonts w:ascii="Arial" w:hAnsi="Arial" w:cs="Arial"/>
        </w:rPr>
        <w:t xml:space="preserve"> 43 had a </w:t>
      </w:r>
      <w:r>
        <w:rPr>
          <w:rFonts w:ascii="Arial" w:hAnsi="Arial" w:cs="Arial"/>
        </w:rPr>
        <w:t>‘</w:t>
      </w:r>
      <w:r w:rsidRPr="00D54DC7">
        <w:rPr>
          <w:rFonts w:ascii="Arial" w:hAnsi="Arial" w:cs="Arial"/>
        </w:rPr>
        <w:t>very narrow scope</w:t>
      </w:r>
      <w:r>
        <w:rPr>
          <w:rFonts w:ascii="Arial" w:hAnsi="Arial" w:cs="Arial"/>
        </w:rPr>
        <w:t>’ and could not ‘</w:t>
      </w:r>
      <w:r w:rsidRPr="00D54DC7">
        <w:rPr>
          <w:rFonts w:ascii="Arial" w:hAnsi="Arial" w:cs="Arial"/>
        </w:rPr>
        <w:t>exculpate outbursts of violence against a child motivated by anger or animated by frustration</w:t>
      </w:r>
      <w:r>
        <w:rPr>
          <w:rFonts w:ascii="Arial" w:hAnsi="Arial" w:cs="Arial"/>
        </w:rPr>
        <w:t>’</w:t>
      </w:r>
      <w:r w:rsidRPr="00D54DC7">
        <w:rPr>
          <w:rFonts w:ascii="Arial" w:hAnsi="Arial" w:cs="Arial"/>
        </w:rPr>
        <w:t>.</w:t>
      </w:r>
      <w:r>
        <w:rPr>
          <w:rStyle w:val="FootnoteReference"/>
          <w:rFonts w:ascii="Arial" w:hAnsi="Arial" w:cs="Arial"/>
        </w:rPr>
        <w:footnoteReference w:id="75"/>
      </w:r>
    </w:p>
    <w:p w:rsidR="00E03352" w:rsidRDefault="00E03352" w:rsidP="00E03352">
      <w:pPr>
        <w:jc w:val="both"/>
        <w:rPr>
          <w:rFonts w:ascii="Arial" w:hAnsi="Arial" w:cs="Arial"/>
          <w:iCs/>
        </w:rPr>
      </w:pPr>
    </w:p>
    <w:p w:rsidR="00E03352" w:rsidRDefault="00E03352" w:rsidP="00E03352">
      <w:pPr>
        <w:jc w:val="both"/>
        <w:rPr>
          <w:rFonts w:ascii="Arial" w:hAnsi="Arial" w:cs="Arial"/>
          <w:color w:val="000000"/>
        </w:rPr>
      </w:pPr>
      <w:r>
        <w:rPr>
          <w:rStyle w:val="groupheading1"/>
          <w:rFonts w:ascii="Arial" w:hAnsi="Arial" w:cs="Arial"/>
          <w:b w:val="0"/>
          <w:sz w:val="24"/>
          <w:szCs w:val="24"/>
        </w:rPr>
        <w:t xml:space="preserve">Where intoxication is raised as a </w:t>
      </w:r>
      <w:proofErr w:type="spellStart"/>
      <w:r>
        <w:rPr>
          <w:rStyle w:val="groupheading1"/>
          <w:rFonts w:ascii="Arial" w:hAnsi="Arial" w:cs="Arial"/>
          <w:b w:val="0"/>
          <w:sz w:val="24"/>
          <w:szCs w:val="24"/>
        </w:rPr>
        <w:t>defence</w:t>
      </w:r>
      <w:proofErr w:type="spellEnd"/>
      <w:r>
        <w:rPr>
          <w:rStyle w:val="groupheading1"/>
          <w:rFonts w:ascii="Arial" w:hAnsi="Arial" w:cs="Arial"/>
          <w:b w:val="0"/>
          <w:sz w:val="24"/>
          <w:szCs w:val="24"/>
        </w:rPr>
        <w:t xml:space="preserve"> (or, more accurately, in order to deny </w:t>
      </w:r>
      <w:proofErr w:type="spellStart"/>
      <w:r>
        <w:rPr>
          <w:rStyle w:val="groupheading1"/>
          <w:rFonts w:ascii="Arial" w:hAnsi="Arial" w:cs="Arial"/>
          <w:b w:val="0"/>
          <w:sz w:val="24"/>
          <w:szCs w:val="24"/>
        </w:rPr>
        <w:t>mens</w:t>
      </w:r>
      <w:proofErr w:type="spellEnd"/>
      <w:r>
        <w:rPr>
          <w:rStyle w:val="groupheading1"/>
          <w:rFonts w:ascii="Arial" w:hAnsi="Arial" w:cs="Arial"/>
          <w:b w:val="0"/>
          <w:sz w:val="24"/>
          <w:szCs w:val="24"/>
        </w:rPr>
        <w:t xml:space="preserve"> rea of the underlying unlawful act) then the key question is whether or not the unlawful act is one of specific or basic intent.</w:t>
      </w:r>
      <w:r>
        <w:rPr>
          <w:rStyle w:val="FootnoteReference"/>
          <w:rFonts w:ascii="Arial" w:hAnsi="Arial" w:cs="Arial"/>
          <w:bCs/>
        </w:rPr>
        <w:footnoteReference w:id="76"/>
      </w:r>
      <w:r>
        <w:rPr>
          <w:rStyle w:val="groupheading1"/>
          <w:rFonts w:ascii="Arial" w:hAnsi="Arial" w:cs="Arial"/>
          <w:b w:val="0"/>
          <w:sz w:val="24"/>
          <w:szCs w:val="24"/>
        </w:rPr>
        <w:t xml:space="preserve"> If it is the latter, intoxication provides no </w:t>
      </w:r>
      <w:proofErr w:type="spellStart"/>
      <w:r>
        <w:rPr>
          <w:rStyle w:val="groupheading1"/>
          <w:rFonts w:ascii="Arial" w:hAnsi="Arial" w:cs="Arial"/>
          <w:b w:val="0"/>
          <w:sz w:val="24"/>
          <w:szCs w:val="24"/>
        </w:rPr>
        <w:t>defence</w:t>
      </w:r>
      <w:proofErr w:type="spellEnd"/>
      <w:r>
        <w:rPr>
          <w:rStyle w:val="groupheading1"/>
          <w:rFonts w:ascii="Arial" w:hAnsi="Arial" w:cs="Arial"/>
          <w:b w:val="0"/>
          <w:sz w:val="24"/>
          <w:szCs w:val="24"/>
        </w:rPr>
        <w:t>.</w:t>
      </w:r>
      <w:r>
        <w:rPr>
          <w:rStyle w:val="FootnoteReference"/>
          <w:rFonts w:ascii="Arial" w:hAnsi="Arial" w:cs="Arial"/>
          <w:bCs/>
        </w:rPr>
        <w:footnoteReference w:id="77"/>
      </w:r>
      <w:r>
        <w:rPr>
          <w:rStyle w:val="groupheading1"/>
          <w:rFonts w:ascii="Arial" w:hAnsi="Arial" w:cs="Arial"/>
          <w:b w:val="0"/>
          <w:sz w:val="24"/>
          <w:szCs w:val="24"/>
        </w:rPr>
        <w:t xml:space="preserve"> </w:t>
      </w:r>
      <w:r w:rsidRPr="00D332AC">
        <w:rPr>
          <w:rStyle w:val="groupheading1"/>
          <w:rFonts w:ascii="Arial" w:hAnsi="Arial" w:cs="Arial"/>
          <w:b w:val="0"/>
          <w:sz w:val="24"/>
          <w:szCs w:val="24"/>
        </w:rPr>
        <w:t xml:space="preserve">In </w:t>
      </w:r>
      <w:proofErr w:type="spellStart"/>
      <w:r w:rsidRPr="00D332AC">
        <w:rPr>
          <w:rStyle w:val="groupheading1"/>
          <w:rFonts w:ascii="Arial" w:hAnsi="Arial" w:cs="Arial"/>
          <w:b w:val="0"/>
          <w:i/>
          <w:sz w:val="24"/>
          <w:szCs w:val="24"/>
        </w:rPr>
        <w:t>Lipman</w:t>
      </w:r>
      <w:proofErr w:type="spellEnd"/>
      <w:r w:rsidRPr="00D332AC">
        <w:rPr>
          <w:rStyle w:val="groupheading1"/>
          <w:rFonts w:ascii="Arial" w:hAnsi="Arial" w:cs="Arial"/>
          <w:b w:val="0"/>
          <w:sz w:val="24"/>
          <w:szCs w:val="24"/>
        </w:rPr>
        <w:t>,</w:t>
      </w:r>
      <w:r>
        <w:rPr>
          <w:rStyle w:val="FootnoteReference"/>
          <w:rFonts w:ascii="Arial" w:hAnsi="Arial" w:cs="Arial"/>
          <w:bCs/>
        </w:rPr>
        <w:footnoteReference w:id="78"/>
      </w:r>
      <w:r>
        <w:rPr>
          <w:rStyle w:val="groupheading1"/>
          <w:rFonts w:ascii="Arial" w:hAnsi="Arial" w:cs="Arial"/>
          <w:b w:val="0"/>
          <w:sz w:val="24"/>
          <w:szCs w:val="24"/>
        </w:rPr>
        <w:t xml:space="preserve"> D had killed his girlfriend, V, whilst both were under the influence of the hallucinogenic drug LSD. D was charged with murder but </w:t>
      </w:r>
      <w:r w:rsidRPr="00A07640">
        <w:rPr>
          <w:rStyle w:val="groupheading1"/>
          <w:rFonts w:ascii="Arial" w:hAnsi="Arial" w:cs="Arial"/>
          <w:b w:val="0"/>
          <w:sz w:val="24"/>
          <w:szCs w:val="24"/>
        </w:rPr>
        <w:t>convicted of manslaughter</w:t>
      </w:r>
      <w:r>
        <w:rPr>
          <w:rStyle w:val="groupheading1"/>
          <w:rFonts w:ascii="Arial" w:hAnsi="Arial" w:cs="Arial"/>
          <w:b w:val="0"/>
          <w:sz w:val="24"/>
          <w:szCs w:val="24"/>
        </w:rPr>
        <w:t xml:space="preserve">; </w:t>
      </w:r>
      <w:r w:rsidRPr="00A07640">
        <w:rPr>
          <w:rStyle w:val="groupheading1"/>
          <w:rFonts w:ascii="Arial" w:hAnsi="Arial" w:cs="Arial"/>
          <w:b w:val="0"/>
          <w:sz w:val="24"/>
          <w:szCs w:val="24"/>
        </w:rPr>
        <w:t>the Court of Appeal upheld his conviction. D</w:t>
      </w:r>
      <w:r>
        <w:rPr>
          <w:rStyle w:val="groupheading1"/>
          <w:rFonts w:ascii="Arial" w:hAnsi="Arial" w:cs="Arial"/>
          <w:b w:val="0"/>
          <w:sz w:val="24"/>
          <w:szCs w:val="24"/>
        </w:rPr>
        <w:t>’</w:t>
      </w:r>
      <w:r w:rsidRPr="00A07640">
        <w:rPr>
          <w:rStyle w:val="groupheading1"/>
          <w:rFonts w:ascii="Arial" w:hAnsi="Arial" w:cs="Arial"/>
          <w:b w:val="0"/>
          <w:sz w:val="24"/>
          <w:szCs w:val="24"/>
        </w:rPr>
        <w:t>s intoxication</w:t>
      </w:r>
      <w:r>
        <w:rPr>
          <w:rStyle w:val="groupheading1"/>
          <w:rFonts w:ascii="Arial" w:hAnsi="Arial" w:cs="Arial"/>
          <w:b w:val="0"/>
          <w:sz w:val="24"/>
          <w:szCs w:val="24"/>
        </w:rPr>
        <w:t xml:space="preserve">, although capable of denying the </w:t>
      </w:r>
      <w:proofErr w:type="spellStart"/>
      <w:r>
        <w:rPr>
          <w:rStyle w:val="groupheading1"/>
          <w:rFonts w:ascii="Arial" w:hAnsi="Arial" w:cs="Arial"/>
          <w:b w:val="0"/>
          <w:sz w:val="24"/>
          <w:szCs w:val="24"/>
        </w:rPr>
        <w:t>mens</w:t>
      </w:r>
      <w:proofErr w:type="spellEnd"/>
      <w:r>
        <w:rPr>
          <w:rStyle w:val="groupheading1"/>
          <w:rFonts w:ascii="Arial" w:hAnsi="Arial" w:cs="Arial"/>
          <w:b w:val="0"/>
          <w:sz w:val="24"/>
          <w:szCs w:val="24"/>
        </w:rPr>
        <w:t xml:space="preserve"> rea of murder (a specific intent offence),</w:t>
      </w:r>
      <w:r w:rsidRPr="00A07640">
        <w:rPr>
          <w:rStyle w:val="groupheading1"/>
          <w:rFonts w:ascii="Arial" w:hAnsi="Arial" w:cs="Arial"/>
          <w:b w:val="0"/>
          <w:sz w:val="24"/>
          <w:szCs w:val="24"/>
        </w:rPr>
        <w:t xml:space="preserve"> could not be used to deny the </w:t>
      </w:r>
      <w:proofErr w:type="spellStart"/>
      <w:r w:rsidRPr="00A07640">
        <w:rPr>
          <w:rStyle w:val="groupheading1"/>
          <w:rFonts w:ascii="Arial" w:hAnsi="Arial" w:cs="Arial"/>
          <w:b w:val="0"/>
          <w:i/>
          <w:sz w:val="24"/>
          <w:szCs w:val="24"/>
        </w:rPr>
        <w:t>mens</w:t>
      </w:r>
      <w:proofErr w:type="spellEnd"/>
      <w:r w:rsidRPr="00A07640">
        <w:rPr>
          <w:rStyle w:val="groupheading1"/>
          <w:rFonts w:ascii="Arial" w:hAnsi="Arial" w:cs="Arial"/>
          <w:b w:val="0"/>
          <w:i/>
          <w:sz w:val="24"/>
          <w:szCs w:val="24"/>
        </w:rPr>
        <w:t xml:space="preserve"> rea</w:t>
      </w:r>
      <w:r w:rsidRPr="00A07640">
        <w:rPr>
          <w:rStyle w:val="groupheading1"/>
          <w:rFonts w:ascii="Arial" w:hAnsi="Arial" w:cs="Arial"/>
          <w:b w:val="0"/>
          <w:sz w:val="24"/>
          <w:szCs w:val="24"/>
        </w:rPr>
        <w:t xml:space="preserve"> for the underlying unlawful act of battery</w:t>
      </w:r>
      <w:r>
        <w:rPr>
          <w:rStyle w:val="groupheading1"/>
          <w:rFonts w:ascii="Arial" w:hAnsi="Arial" w:cs="Arial"/>
          <w:b w:val="0"/>
          <w:sz w:val="24"/>
          <w:szCs w:val="24"/>
        </w:rPr>
        <w:t xml:space="preserve"> (</w:t>
      </w:r>
      <w:r w:rsidRPr="00A07640">
        <w:rPr>
          <w:rStyle w:val="groupheading1"/>
          <w:rFonts w:ascii="Arial" w:hAnsi="Arial" w:cs="Arial"/>
          <w:b w:val="0"/>
          <w:sz w:val="24"/>
          <w:szCs w:val="24"/>
        </w:rPr>
        <w:t>a basic intent offence</w:t>
      </w:r>
      <w:r>
        <w:rPr>
          <w:rStyle w:val="groupheading1"/>
          <w:rFonts w:ascii="Arial" w:hAnsi="Arial" w:cs="Arial"/>
          <w:b w:val="0"/>
          <w:sz w:val="24"/>
          <w:szCs w:val="24"/>
        </w:rPr>
        <w:t>)</w:t>
      </w:r>
      <w:r w:rsidRPr="00A07640">
        <w:rPr>
          <w:rStyle w:val="groupheading1"/>
          <w:rFonts w:ascii="Arial" w:hAnsi="Arial" w:cs="Arial"/>
          <w:b w:val="0"/>
          <w:sz w:val="24"/>
          <w:szCs w:val="24"/>
        </w:rPr>
        <w:t xml:space="preserve">. Similarly, in </w:t>
      </w:r>
      <w:r w:rsidRPr="00A07640">
        <w:rPr>
          <w:rFonts w:ascii="Arial" w:hAnsi="Arial" w:cs="Arial"/>
          <w:i/>
          <w:color w:val="000000"/>
        </w:rPr>
        <w:t>O</w:t>
      </w:r>
      <w:r>
        <w:rPr>
          <w:rFonts w:ascii="Arial" w:hAnsi="Arial" w:cs="Arial"/>
          <w:i/>
          <w:color w:val="000000"/>
        </w:rPr>
        <w:t>’</w:t>
      </w:r>
      <w:r w:rsidRPr="00A07640">
        <w:rPr>
          <w:rFonts w:ascii="Arial" w:hAnsi="Arial" w:cs="Arial"/>
          <w:i/>
          <w:color w:val="000000"/>
        </w:rPr>
        <w:t>Driscoll</w:t>
      </w:r>
      <w:r w:rsidRPr="00A07640">
        <w:rPr>
          <w:rFonts w:ascii="Arial" w:hAnsi="Arial" w:cs="Arial"/>
          <w:color w:val="000000"/>
        </w:rPr>
        <w:t>,</w:t>
      </w:r>
      <w:r w:rsidRPr="00A07640">
        <w:rPr>
          <w:rStyle w:val="FootnoteReference"/>
          <w:rFonts w:ascii="Arial" w:hAnsi="Arial" w:cs="Arial"/>
          <w:color w:val="000000"/>
        </w:rPr>
        <w:footnoteReference w:id="79"/>
      </w:r>
      <w:r w:rsidRPr="00A07640">
        <w:rPr>
          <w:rFonts w:ascii="Arial" w:hAnsi="Arial" w:cs="Arial"/>
          <w:color w:val="000000"/>
        </w:rPr>
        <w:t xml:space="preserve"> </w:t>
      </w:r>
      <w:r>
        <w:rPr>
          <w:rFonts w:ascii="Arial" w:hAnsi="Arial" w:cs="Arial"/>
          <w:color w:val="000000"/>
        </w:rPr>
        <w:t xml:space="preserve">D’s manslaughter conviction, based on the unlawful act of arson, was upheld. Again, D’s intoxication could not be used to negative proof of the </w:t>
      </w:r>
      <w:proofErr w:type="spellStart"/>
      <w:r>
        <w:rPr>
          <w:rFonts w:ascii="Arial" w:hAnsi="Arial" w:cs="Arial"/>
          <w:color w:val="000000"/>
        </w:rPr>
        <w:t>mens</w:t>
      </w:r>
      <w:proofErr w:type="spellEnd"/>
      <w:r>
        <w:rPr>
          <w:rFonts w:ascii="Arial" w:hAnsi="Arial" w:cs="Arial"/>
          <w:color w:val="000000"/>
        </w:rPr>
        <w:t xml:space="preserve"> rea, arson being a crime of basic intent. </w:t>
      </w:r>
    </w:p>
    <w:p w:rsidR="00E03352" w:rsidRDefault="00E03352" w:rsidP="00E03352">
      <w:pPr>
        <w:jc w:val="both"/>
        <w:rPr>
          <w:rFonts w:ascii="Arial" w:hAnsi="Arial" w:cs="Arial"/>
          <w:color w:val="000000"/>
        </w:rPr>
      </w:pPr>
    </w:p>
    <w:p w:rsidR="00E03352" w:rsidRDefault="00E03352" w:rsidP="00E03352">
      <w:pPr>
        <w:jc w:val="both"/>
        <w:rPr>
          <w:rFonts w:ascii="Arial" w:hAnsi="Arial" w:cs="Arial"/>
        </w:rPr>
      </w:pPr>
      <w:r>
        <w:rPr>
          <w:rFonts w:ascii="Arial" w:hAnsi="Arial" w:cs="Arial"/>
          <w:color w:val="000000"/>
        </w:rPr>
        <w:t xml:space="preserve">Thus, only where D is charged with manslaughter based on an underlying </w:t>
      </w:r>
      <w:r w:rsidRPr="00A54ADA">
        <w:rPr>
          <w:rFonts w:ascii="Arial" w:hAnsi="Arial" w:cs="Arial"/>
          <w:i/>
          <w:color w:val="000000"/>
        </w:rPr>
        <w:t>specific</w:t>
      </w:r>
      <w:r>
        <w:rPr>
          <w:rFonts w:ascii="Arial" w:hAnsi="Arial" w:cs="Arial"/>
          <w:color w:val="000000"/>
        </w:rPr>
        <w:t xml:space="preserve"> intent offence will D be able to avoid liability using intoxication; and even there only where there is no included basic intent offence. </w:t>
      </w:r>
      <w:r>
        <w:rPr>
          <w:rFonts w:ascii="Arial" w:hAnsi="Arial" w:cs="Arial"/>
        </w:rPr>
        <w:t>Wilson (discussing Canadian law) argues, surely correctly, that ‘if the unlawful act did not have a lesser included offence or, if the lesser included offence was also an offence of specific intention, the Crown would be unable to provide an unlawful act and the charge of unlawful act culpable homicide would fail’.</w:t>
      </w:r>
      <w:r>
        <w:rPr>
          <w:rStyle w:val="FootnoteReference"/>
          <w:rFonts w:ascii="Arial" w:hAnsi="Arial" w:cs="Arial"/>
        </w:rPr>
        <w:footnoteReference w:id="80"/>
      </w:r>
      <w:r>
        <w:rPr>
          <w:rFonts w:ascii="Arial" w:hAnsi="Arial" w:cs="Arial"/>
        </w:rPr>
        <w:t xml:space="preserve"> However, </w:t>
      </w:r>
      <w:r>
        <w:rPr>
          <w:rFonts w:ascii="Arial" w:hAnsi="Arial" w:cs="Arial"/>
          <w:color w:val="000000"/>
        </w:rPr>
        <w:t>Allen suggests that ‘it is difficult to envisage an offence of specific intent which does not necessarily encompass a lesser offence of basic intent’.</w:t>
      </w:r>
      <w:r w:rsidRPr="00A07640">
        <w:rPr>
          <w:rStyle w:val="FootnoteReference"/>
          <w:rFonts w:ascii="Arial" w:hAnsi="Arial" w:cs="Arial"/>
        </w:rPr>
        <w:t xml:space="preserve"> </w:t>
      </w:r>
      <w:r>
        <w:rPr>
          <w:rStyle w:val="FootnoteReference"/>
          <w:rFonts w:ascii="Arial" w:hAnsi="Arial" w:cs="Arial"/>
        </w:rPr>
        <w:footnoteReference w:id="81"/>
      </w:r>
      <w:r>
        <w:rPr>
          <w:rFonts w:ascii="Arial" w:hAnsi="Arial" w:cs="Arial"/>
        </w:rPr>
        <w:t xml:space="preserve"> Difficult yes, but not impossible; theft is a recognized unlawful act and is not only a crime of specific intent but has no included basic intent offence. </w:t>
      </w:r>
    </w:p>
    <w:p w:rsidR="00E03352" w:rsidRDefault="00E03352" w:rsidP="00E03352">
      <w:pPr>
        <w:jc w:val="both"/>
        <w:rPr>
          <w:rFonts w:ascii="Arial" w:hAnsi="Arial" w:cs="Arial"/>
        </w:rPr>
      </w:pPr>
    </w:p>
    <w:p w:rsidR="00E03352" w:rsidRPr="00AD4D3E" w:rsidRDefault="00E03352" w:rsidP="00E03352">
      <w:pPr>
        <w:jc w:val="both"/>
        <w:rPr>
          <w:rStyle w:val="groupheading1"/>
          <w:rFonts w:ascii="Arial" w:hAnsi="Arial" w:cs="Arial"/>
          <w:b w:val="0"/>
          <w:sz w:val="24"/>
          <w:szCs w:val="24"/>
        </w:rPr>
      </w:pPr>
      <w:r>
        <w:rPr>
          <w:rFonts w:ascii="Arial" w:hAnsi="Arial" w:cs="Arial"/>
        </w:rPr>
        <w:t xml:space="preserve">Meanwhile, in the Australian common law states, the courts have eschewed the </w:t>
      </w:r>
      <w:r>
        <w:rPr>
          <w:rFonts w:ascii="Arial" w:hAnsi="Arial" w:cs="Arial"/>
        </w:rPr>
        <w:lastRenderedPageBreak/>
        <w:t xml:space="preserve">specific/basic intent dichotomy and held that intoxication can potentially be used to negate the </w:t>
      </w:r>
      <w:proofErr w:type="spellStart"/>
      <w:r w:rsidRPr="00AD4D3E">
        <w:rPr>
          <w:rFonts w:ascii="Arial" w:hAnsi="Arial" w:cs="Arial"/>
          <w:i/>
        </w:rPr>
        <w:t>mens</w:t>
      </w:r>
      <w:proofErr w:type="spellEnd"/>
      <w:r w:rsidRPr="00AD4D3E">
        <w:rPr>
          <w:rFonts w:ascii="Arial" w:hAnsi="Arial" w:cs="Arial"/>
          <w:i/>
        </w:rPr>
        <w:t xml:space="preserve"> rea </w:t>
      </w:r>
      <w:r>
        <w:rPr>
          <w:rFonts w:ascii="Arial" w:hAnsi="Arial" w:cs="Arial"/>
        </w:rPr>
        <w:t xml:space="preserve">of </w:t>
      </w:r>
      <w:r w:rsidRPr="001C4A39">
        <w:rPr>
          <w:rFonts w:ascii="Arial" w:hAnsi="Arial" w:cs="Arial"/>
          <w:i/>
        </w:rPr>
        <w:t>any</w:t>
      </w:r>
      <w:r>
        <w:rPr>
          <w:rFonts w:ascii="Arial" w:hAnsi="Arial" w:cs="Arial"/>
        </w:rPr>
        <w:t xml:space="preserve"> fault-based offence,</w:t>
      </w:r>
      <w:r>
        <w:rPr>
          <w:rStyle w:val="FootnoteReference"/>
          <w:rFonts w:ascii="Arial" w:hAnsi="Arial" w:cs="Arial"/>
        </w:rPr>
        <w:footnoteReference w:id="82"/>
      </w:r>
      <w:r>
        <w:rPr>
          <w:rFonts w:ascii="Arial" w:hAnsi="Arial" w:cs="Arial"/>
        </w:rPr>
        <w:t xml:space="preserve"> potentially allowing intoxication to be used as a </w:t>
      </w:r>
      <w:proofErr w:type="spellStart"/>
      <w:r>
        <w:rPr>
          <w:rFonts w:ascii="Arial" w:hAnsi="Arial" w:cs="Arial"/>
        </w:rPr>
        <w:t>defence</w:t>
      </w:r>
      <w:proofErr w:type="spellEnd"/>
      <w:r>
        <w:rPr>
          <w:rFonts w:ascii="Arial" w:hAnsi="Arial" w:cs="Arial"/>
        </w:rPr>
        <w:t xml:space="preserve"> in </w:t>
      </w:r>
      <w:r w:rsidRPr="00F82F10">
        <w:rPr>
          <w:rFonts w:ascii="Arial" w:hAnsi="Arial" w:cs="Arial"/>
        </w:rPr>
        <w:t>typical manslaughter cases based on assault and/or battery.</w:t>
      </w:r>
      <w:r w:rsidRPr="00F82F10">
        <w:rPr>
          <w:rStyle w:val="FootnoteReference"/>
          <w:rFonts w:ascii="Arial" w:hAnsi="Arial" w:cs="Arial"/>
        </w:rPr>
        <w:footnoteReference w:id="83"/>
      </w:r>
      <w:r w:rsidRPr="00F82F10">
        <w:rPr>
          <w:rFonts w:ascii="Arial" w:hAnsi="Arial" w:cs="Arial"/>
        </w:rPr>
        <w:t xml:space="preserve"> </w:t>
      </w:r>
      <w:r>
        <w:rPr>
          <w:rFonts w:ascii="Arial" w:hAnsi="Arial" w:cs="Arial"/>
        </w:rPr>
        <w:t xml:space="preserve">This all depends, however, on the intoxication being of such a degree as to prevent proof of </w:t>
      </w:r>
      <w:proofErr w:type="spellStart"/>
      <w:r w:rsidRPr="00C22DF0">
        <w:rPr>
          <w:rFonts w:ascii="Arial" w:hAnsi="Arial" w:cs="Arial"/>
          <w:i/>
        </w:rPr>
        <w:t>mens</w:t>
      </w:r>
      <w:proofErr w:type="spellEnd"/>
      <w:r w:rsidRPr="00C22DF0">
        <w:rPr>
          <w:rFonts w:ascii="Arial" w:hAnsi="Arial" w:cs="Arial"/>
          <w:i/>
        </w:rPr>
        <w:t xml:space="preserve"> rea</w:t>
      </w:r>
      <w:r>
        <w:rPr>
          <w:rFonts w:ascii="Arial" w:hAnsi="Arial" w:cs="Arial"/>
        </w:rPr>
        <w:t xml:space="preserve">. </w:t>
      </w:r>
      <w:r w:rsidRPr="00F82F10">
        <w:rPr>
          <w:rFonts w:ascii="Arial" w:hAnsi="Arial" w:cs="Arial"/>
        </w:rPr>
        <w:t xml:space="preserve">In </w:t>
      </w:r>
      <w:r w:rsidRPr="00F82F10">
        <w:rPr>
          <w:rFonts w:ascii="Arial" w:hAnsi="Arial" w:cs="Arial"/>
          <w:bCs/>
          <w:i/>
          <w:color w:val="000000"/>
          <w:shd w:val="clear" w:color="auto" w:fill="FFFFFF"/>
        </w:rPr>
        <w:t>Brougham</w:t>
      </w:r>
      <w:r>
        <w:rPr>
          <w:rFonts w:ascii="Arial" w:hAnsi="Arial" w:cs="Arial"/>
          <w:bCs/>
          <w:i/>
          <w:color w:val="000000"/>
          <w:shd w:val="clear" w:color="auto" w:fill="FFFFFF"/>
        </w:rPr>
        <w:t>,</w:t>
      </w:r>
      <w:r w:rsidRPr="00AD4D3E">
        <w:rPr>
          <w:rStyle w:val="FootnoteReference"/>
          <w:rFonts w:ascii="Arial" w:hAnsi="Arial" w:cs="Arial"/>
          <w:bCs/>
          <w:color w:val="000000"/>
          <w:shd w:val="clear" w:color="auto" w:fill="FFFFFF"/>
        </w:rPr>
        <w:footnoteReference w:id="84"/>
      </w:r>
      <w:r w:rsidRPr="00AD4D3E">
        <w:rPr>
          <w:rFonts w:ascii="Arial" w:hAnsi="Arial" w:cs="Arial"/>
          <w:bCs/>
          <w:color w:val="000000"/>
          <w:shd w:val="clear" w:color="auto" w:fill="FFFFFF"/>
        </w:rPr>
        <w:t xml:space="preserve"> </w:t>
      </w:r>
      <w:r>
        <w:rPr>
          <w:rFonts w:ascii="Arial" w:hAnsi="Arial" w:cs="Arial"/>
          <w:bCs/>
          <w:color w:val="000000"/>
          <w:shd w:val="clear" w:color="auto" w:fill="FFFFFF"/>
        </w:rPr>
        <w:t>D was charged with murder but was acquitted after the trial judge accepted that D’s evidence of intoxication preclud</w:t>
      </w:r>
      <w:r w:rsidRPr="00AD4D3E">
        <w:rPr>
          <w:rFonts w:ascii="Arial" w:hAnsi="Arial" w:cs="Arial"/>
          <w:bCs/>
          <w:color w:val="000000"/>
          <w:shd w:val="clear" w:color="auto" w:fill="FFFFFF"/>
        </w:rPr>
        <w:t>ed proof of the specific intent required. However, he was convicted of manslaughter based on numerous assaults, to which his intoxication was not</w:t>
      </w:r>
      <w:r>
        <w:rPr>
          <w:rFonts w:ascii="Arial" w:hAnsi="Arial" w:cs="Arial"/>
          <w:bCs/>
          <w:color w:val="000000"/>
          <w:shd w:val="clear" w:color="auto" w:fill="FFFFFF"/>
        </w:rPr>
        <w:t>, on the facts,</w:t>
      </w:r>
      <w:r w:rsidRPr="00AD4D3E">
        <w:rPr>
          <w:rFonts w:ascii="Arial" w:hAnsi="Arial" w:cs="Arial"/>
          <w:bCs/>
          <w:color w:val="000000"/>
          <w:shd w:val="clear" w:color="auto" w:fill="FFFFFF"/>
        </w:rPr>
        <w:t xml:space="preserve"> a </w:t>
      </w:r>
      <w:proofErr w:type="spellStart"/>
      <w:r w:rsidRPr="00AD4D3E">
        <w:rPr>
          <w:rFonts w:ascii="Arial" w:hAnsi="Arial" w:cs="Arial"/>
          <w:bCs/>
          <w:color w:val="000000"/>
          <w:shd w:val="clear" w:color="auto" w:fill="FFFFFF"/>
        </w:rPr>
        <w:t>defence</w:t>
      </w:r>
      <w:proofErr w:type="spellEnd"/>
      <w:r w:rsidRPr="00AD4D3E">
        <w:rPr>
          <w:rFonts w:ascii="Arial" w:hAnsi="Arial" w:cs="Arial"/>
          <w:bCs/>
          <w:color w:val="000000"/>
          <w:shd w:val="clear" w:color="auto" w:fill="FFFFFF"/>
        </w:rPr>
        <w:t xml:space="preserve">. </w:t>
      </w:r>
      <w:proofErr w:type="spellStart"/>
      <w:r w:rsidRPr="00AD4D3E">
        <w:rPr>
          <w:rFonts w:ascii="Arial" w:hAnsi="Arial" w:cs="Arial"/>
          <w:bCs/>
          <w:color w:val="000000"/>
          <w:shd w:val="clear" w:color="auto" w:fill="FFFFFF"/>
        </w:rPr>
        <w:t>Sulan</w:t>
      </w:r>
      <w:proofErr w:type="spellEnd"/>
      <w:r w:rsidRPr="00AD4D3E">
        <w:rPr>
          <w:rFonts w:ascii="Arial" w:hAnsi="Arial" w:cs="Arial"/>
          <w:bCs/>
          <w:color w:val="000000"/>
          <w:shd w:val="clear" w:color="auto" w:fill="FFFFFF"/>
        </w:rPr>
        <w:t xml:space="preserve"> J said that </w:t>
      </w:r>
      <w:r>
        <w:rPr>
          <w:rFonts w:ascii="Arial" w:hAnsi="Arial" w:cs="Arial"/>
          <w:bCs/>
          <w:color w:val="000000"/>
          <w:shd w:val="clear" w:color="auto" w:fill="FFFFFF"/>
        </w:rPr>
        <w:t>D ‘</w:t>
      </w:r>
      <w:r w:rsidRPr="00AD4D3E">
        <w:rPr>
          <w:rFonts w:ascii="Arial" w:hAnsi="Arial" w:cs="Arial"/>
          <w:color w:val="000000"/>
          <w:shd w:val="clear" w:color="auto" w:fill="FFFFFF"/>
        </w:rPr>
        <w:t xml:space="preserve">must have forcefully hit </w:t>
      </w:r>
      <w:r>
        <w:rPr>
          <w:rFonts w:ascii="Arial" w:hAnsi="Arial" w:cs="Arial"/>
          <w:color w:val="000000"/>
          <w:shd w:val="clear" w:color="auto" w:fill="FFFFFF"/>
        </w:rPr>
        <w:t>[V]</w:t>
      </w:r>
      <w:r w:rsidRPr="00AD4D3E">
        <w:rPr>
          <w:rFonts w:ascii="Arial" w:hAnsi="Arial" w:cs="Arial"/>
          <w:color w:val="000000"/>
          <w:shd w:val="clear" w:color="auto" w:fill="FFFFFF"/>
        </w:rPr>
        <w:t xml:space="preserve"> on a number of occasions. I conclude that his conduct was deliberate</w:t>
      </w:r>
      <w:r>
        <w:rPr>
          <w:rFonts w:ascii="Arial" w:hAnsi="Arial" w:cs="Arial"/>
          <w:color w:val="000000"/>
          <w:shd w:val="clear" w:color="auto" w:fill="FFFFFF"/>
        </w:rPr>
        <w:t>’</w:t>
      </w:r>
      <w:r w:rsidRPr="00AD4D3E">
        <w:rPr>
          <w:rFonts w:ascii="Arial" w:hAnsi="Arial" w:cs="Arial"/>
          <w:color w:val="000000"/>
          <w:shd w:val="clear" w:color="auto" w:fill="FFFFFF"/>
        </w:rPr>
        <w:t>.</w:t>
      </w:r>
      <w:r>
        <w:rPr>
          <w:rStyle w:val="FootnoteReference"/>
          <w:rFonts w:ascii="Arial" w:hAnsi="Arial" w:cs="Arial"/>
          <w:color w:val="000000"/>
          <w:shd w:val="clear" w:color="auto" w:fill="FFFFFF"/>
        </w:rPr>
        <w:footnoteReference w:id="85"/>
      </w:r>
    </w:p>
    <w:p w:rsidR="00E03352" w:rsidRDefault="00E03352" w:rsidP="00E03352">
      <w:pPr>
        <w:jc w:val="both"/>
        <w:rPr>
          <w:rFonts w:ascii="Arial" w:hAnsi="Arial" w:cs="Arial"/>
        </w:rPr>
      </w:pPr>
    </w:p>
    <w:p w:rsidR="00E03352" w:rsidRDefault="00E03352" w:rsidP="00E03352">
      <w:pPr>
        <w:jc w:val="both"/>
        <w:rPr>
          <w:rFonts w:ascii="Arial" w:hAnsi="Arial" w:cs="Arial"/>
        </w:rPr>
      </w:pPr>
    </w:p>
    <w:p w:rsidR="00E03352" w:rsidRPr="00D05637" w:rsidRDefault="00E03352" w:rsidP="00E03352">
      <w:pPr>
        <w:jc w:val="both"/>
        <w:rPr>
          <w:rFonts w:ascii="Arial" w:hAnsi="Arial" w:cs="Arial"/>
          <w:b/>
          <w:bCs/>
          <w:iCs/>
          <w:sz w:val="28"/>
          <w:szCs w:val="28"/>
        </w:rPr>
      </w:pPr>
      <w:r w:rsidRPr="00D05637">
        <w:rPr>
          <w:rFonts w:ascii="Arial" w:hAnsi="Arial" w:cs="Arial"/>
          <w:b/>
          <w:bCs/>
          <w:iCs/>
          <w:sz w:val="28"/>
          <w:szCs w:val="28"/>
        </w:rPr>
        <w:t>1.</w:t>
      </w:r>
      <w:r>
        <w:rPr>
          <w:rFonts w:ascii="Arial" w:hAnsi="Arial" w:cs="Arial"/>
          <w:b/>
          <w:bCs/>
          <w:iCs/>
          <w:sz w:val="28"/>
          <w:szCs w:val="28"/>
        </w:rPr>
        <w:t>4</w:t>
      </w:r>
      <w:r w:rsidRPr="00D05637">
        <w:rPr>
          <w:rFonts w:ascii="Arial" w:hAnsi="Arial" w:cs="Arial"/>
          <w:b/>
          <w:bCs/>
          <w:iCs/>
          <w:sz w:val="28"/>
          <w:szCs w:val="28"/>
        </w:rPr>
        <w:t xml:space="preserve"> Strict Liability crimes as unlawful acts</w:t>
      </w:r>
    </w:p>
    <w:p w:rsidR="00E03352" w:rsidRDefault="00E03352" w:rsidP="00E03352">
      <w:pPr>
        <w:jc w:val="both"/>
        <w:rPr>
          <w:rFonts w:ascii="Arial" w:hAnsi="Arial" w:cs="Arial"/>
        </w:rPr>
      </w:pPr>
    </w:p>
    <w:p w:rsidR="00E03352" w:rsidRPr="0059547C" w:rsidRDefault="00E03352" w:rsidP="00E03352">
      <w:pPr>
        <w:jc w:val="both"/>
        <w:rPr>
          <w:rFonts w:ascii="Arial" w:hAnsi="Arial" w:cs="Arial"/>
        </w:rPr>
      </w:pPr>
      <w:r w:rsidRPr="00AB24A3">
        <w:rPr>
          <w:rFonts w:ascii="Arial" w:hAnsi="Arial" w:cs="Arial"/>
        </w:rPr>
        <w:t xml:space="preserve">In </w:t>
      </w:r>
      <w:r w:rsidRPr="00AB24A3">
        <w:rPr>
          <w:rFonts w:ascii="Arial" w:hAnsi="Arial" w:cs="Arial"/>
          <w:i/>
          <w:iCs/>
        </w:rPr>
        <w:t>Andrews</w:t>
      </w:r>
      <w:r w:rsidRPr="00AB24A3">
        <w:rPr>
          <w:rFonts w:ascii="Arial" w:hAnsi="Arial" w:cs="Arial"/>
        </w:rPr>
        <w:t>,</w:t>
      </w:r>
      <w:r>
        <w:rPr>
          <w:rStyle w:val="FootnoteReference"/>
          <w:rFonts w:ascii="Arial" w:hAnsi="Arial" w:cs="Arial"/>
        </w:rPr>
        <w:footnoteReference w:id="86"/>
      </w:r>
      <w:r w:rsidRPr="00AB24A3">
        <w:rPr>
          <w:rFonts w:ascii="Arial" w:hAnsi="Arial" w:cs="Arial"/>
        </w:rPr>
        <w:t xml:space="preserve"> D had given V, and others, insulin injections to give them a </w:t>
      </w:r>
      <w:r>
        <w:rPr>
          <w:rFonts w:ascii="Arial" w:hAnsi="Arial" w:cs="Arial"/>
        </w:rPr>
        <w:t>‘</w:t>
      </w:r>
      <w:r w:rsidRPr="00AB24A3">
        <w:rPr>
          <w:rFonts w:ascii="Arial" w:hAnsi="Arial" w:cs="Arial"/>
        </w:rPr>
        <w:t>rush</w:t>
      </w:r>
      <w:r>
        <w:rPr>
          <w:rFonts w:ascii="Arial" w:hAnsi="Arial" w:cs="Arial"/>
        </w:rPr>
        <w:t>’</w:t>
      </w:r>
      <w:r w:rsidRPr="00AB24A3">
        <w:rPr>
          <w:rFonts w:ascii="Arial" w:hAnsi="Arial" w:cs="Arial"/>
        </w:rPr>
        <w:t xml:space="preserve">. V, who was undernourished and had been drinking, died. </w:t>
      </w:r>
      <w:r>
        <w:rPr>
          <w:rFonts w:ascii="Arial" w:hAnsi="Arial" w:cs="Arial"/>
        </w:rPr>
        <w:t>T</w:t>
      </w:r>
      <w:r w:rsidRPr="00AB24A3">
        <w:rPr>
          <w:rFonts w:ascii="Arial" w:hAnsi="Arial" w:cs="Arial"/>
        </w:rPr>
        <w:t xml:space="preserve">he Court of Appeal upheld </w:t>
      </w:r>
      <w:r>
        <w:rPr>
          <w:rFonts w:ascii="Arial" w:hAnsi="Arial" w:cs="Arial"/>
        </w:rPr>
        <w:t>D’s</w:t>
      </w:r>
      <w:r w:rsidRPr="00AB24A3">
        <w:rPr>
          <w:rFonts w:ascii="Arial" w:hAnsi="Arial" w:cs="Arial"/>
        </w:rPr>
        <w:t xml:space="preserve"> manslaughter conviction</w:t>
      </w:r>
      <w:r>
        <w:rPr>
          <w:rFonts w:ascii="Arial" w:hAnsi="Arial" w:cs="Arial"/>
        </w:rPr>
        <w:t>, which had been</w:t>
      </w:r>
      <w:r w:rsidRPr="00AB24A3">
        <w:rPr>
          <w:rFonts w:ascii="Arial" w:hAnsi="Arial" w:cs="Arial"/>
        </w:rPr>
        <w:t xml:space="preserve"> based </w:t>
      </w:r>
      <w:r>
        <w:rPr>
          <w:rFonts w:ascii="Arial" w:hAnsi="Arial" w:cs="Arial"/>
        </w:rPr>
        <w:t xml:space="preserve">on the unlawful act of </w:t>
      </w:r>
      <w:r w:rsidRPr="00D30EEB">
        <w:rPr>
          <w:rFonts w:ascii="Arial" w:hAnsi="Arial" w:cs="Arial"/>
        </w:rPr>
        <w:t>a</w:t>
      </w:r>
      <w:r w:rsidRPr="00D30EEB">
        <w:rPr>
          <w:rFonts w:ascii="Arial" w:hAnsi="Arial" w:cs="Arial"/>
          <w:bCs/>
          <w:iCs/>
          <w:color w:val="000000"/>
        </w:rPr>
        <w:t>dministering a prescription-only medicine</w:t>
      </w:r>
      <w:r w:rsidRPr="00AB24A3">
        <w:rPr>
          <w:rFonts w:ascii="Arial" w:hAnsi="Arial" w:cs="Arial"/>
        </w:rPr>
        <w:t>.</w:t>
      </w:r>
      <w:r>
        <w:rPr>
          <w:rStyle w:val="FootnoteReference"/>
          <w:rFonts w:ascii="Arial" w:hAnsi="Arial" w:cs="Arial"/>
        </w:rPr>
        <w:footnoteReference w:id="87"/>
      </w:r>
      <w:r w:rsidRPr="00AB24A3">
        <w:rPr>
          <w:rFonts w:ascii="Arial" w:hAnsi="Arial" w:cs="Arial"/>
        </w:rPr>
        <w:t xml:space="preserve"> Th</w:t>
      </w:r>
      <w:r>
        <w:rPr>
          <w:rFonts w:ascii="Arial" w:hAnsi="Arial" w:cs="Arial"/>
        </w:rPr>
        <w:t xml:space="preserve">e Court rejected D’s appeal, which was based on a challenge to the trial judge’s ruling that V’s apparent consent to the injection was no </w:t>
      </w:r>
      <w:proofErr w:type="spellStart"/>
      <w:r>
        <w:rPr>
          <w:rFonts w:ascii="Arial" w:hAnsi="Arial" w:cs="Arial"/>
        </w:rPr>
        <w:t>defence</w:t>
      </w:r>
      <w:proofErr w:type="spellEnd"/>
      <w:r>
        <w:rPr>
          <w:rFonts w:ascii="Arial" w:hAnsi="Arial" w:cs="Arial"/>
        </w:rPr>
        <w:t xml:space="preserve">. </w:t>
      </w:r>
    </w:p>
    <w:p w:rsidR="00E03352" w:rsidRPr="0059547C" w:rsidRDefault="00E03352" w:rsidP="00E03352">
      <w:pPr>
        <w:jc w:val="both"/>
        <w:rPr>
          <w:rFonts w:ascii="Arial" w:hAnsi="Arial" w:cs="Arial"/>
        </w:rPr>
      </w:pPr>
    </w:p>
    <w:p w:rsidR="00E03352" w:rsidRDefault="00E03352" w:rsidP="00E03352">
      <w:pPr>
        <w:jc w:val="both"/>
        <w:rPr>
          <w:rFonts w:ascii="Arial" w:hAnsi="Arial" w:cs="Arial"/>
        </w:rPr>
      </w:pPr>
      <w:r>
        <w:rPr>
          <w:rFonts w:ascii="Arial" w:hAnsi="Arial" w:cs="Arial"/>
        </w:rPr>
        <w:t xml:space="preserve">This issue does not appear to have been raised before Australian courts. In Canadian law, absolute (but </w:t>
      </w:r>
      <w:r w:rsidRPr="000E2696">
        <w:rPr>
          <w:rFonts w:ascii="Arial" w:hAnsi="Arial" w:cs="Arial"/>
          <w:i/>
        </w:rPr>
        <w:t>not</w:t>
      </w:r>
      <w:r>
        <w:rPr>
          <w:rFonts w:ascii="Arial" w:hAnsi="Arial" w:cs="Arial"/>
        </w:rPr>
        <w:t xml:space="preserve"> strict) liability offences have been excluded from the scope of unlawful act manslaughter.</w:t>
      </w:r>
      <w:r>
        <w:rPr>
          <w:rStyle w:val="FootnoteReference"/>
          <w:rFonts w:ascii="Arial" w:hAnsi="Arial" w:cs="Arial"/>
        </w:rPr>
        <w:footnoteReference w:id="88"/>
      </w:r>
      <w:r>
        <w:rPr>
          <w:rFonts w:ascii="Arial" w:hAnsi="Arial" w:cs="Arial"/>
        </w:rPr>
        <w:t xml:space="preserve"> In </w:t>
      </w:r>
      <w:r w:rsidRPr="00E951B6">
        <w:rPr>
          <w:rFonts w:ascii="Arial" w:hAnsi="Arial" w:cs="Arial"/>
          <w:i/>
        </w:rPr>
        <w:t>Creighton</w:t>
      </w:r>
      <w:r>
        <w:rPr>
          <w:rFonts w:ascii="Arial" w:hAnsi="Arial" w:cs="Arial"/>
        </w:rPr>
        <w:t>,</w:t>
      </w:r>
      <w:r w:rsidRPr="005578D7">
        <w:rPr>
          <w:rStyle w:val="FootnoteReference"/>
          <w:rFonts w:ascii="Arial" w:hAnsi="Arial" w:cs="Arial"/>
        </w:rPr>
        <w:footnoteReference w:id="89"/>
      </w:r>
      <w:r>
        <w:rPr>
          <w:rFonts w:ascii="Arial" w:hAnsi="Arial" w:cs="Arial"/>
        </w:rPr>
        <w:t xml:space="preserve"> Lamer CJ</w:t>
      </w:r>
      <w:r>
        <w:rPr>
          <w:rStyle w:val="FootnoteReference"/>
          <w:rFonts w:ascii="Arial" w:hAnsi="Arial" w:cs="Arial"/>
        </w:rPr>
        <w:footnoteReference w:id="90"/>
      </w:r>
      <w:r>
        <w:rPr>
          <w:rFonts w:ascii="Arial" w:hAnsi="Arial" w:cs="Arial"/>
        </w:rPr>
        <w:t xml:space="preserve"> said that scope of the </w:t>
      </w:r>
      <w:r w:rsidRPr="00F96B8A">
        <w:rPr>
          <w:rFonts w:ascii="Arial" w:hAnsi="Arial" w:cs="Arial"/>
        </w:rPr>
        <w:t xml:space="preserve">predicate offence </w:t>
      </w:r>
      <w:r>
        <w:rPr>
          <w:rFonts w:ascii="Arial" w:hAnsi="Arial" w:cs="Arial"/>
        </w:rPr>
        <w:t>‘</w:t>
      </w:r>
      <w:r w:rsidRPr="00D05637">
        <w:rPr>
          <w:rFonts w:ascii="Arial" w:hAnsi="Arial" w:cs="Arial"/>
        </w:rPr>
        <w:t>cannot extend to offences of absolute liability</w:t>
      </w:r>
      <w:r>
        <w:rPr>
          <w:rFonts w:ascii="Arial" w:hAnsi="Arial" w:cs="Arial"/>
        </w:rPr>
        <w:t>’.</w:t>
      </w:r>
      <w:r>
        <w:rPr>
          <w:rStyle w:val="FootnoteReference"/>
          <w:rFonts w:ascii="Arial" w:hAnsi="Arial" w:cs="Arial"/>
        </w:rPr>
        <w:footnoteReference w:id="91"/>
      </w:r>
      <w:r>
        <w:rPr>
          <w:rFonts w:ascii="Arial" w:hAnsi="Arial" w:cs="Arial"/>
        </w:rPr>
        <w:t xml:space="preserve"> Similarly, </w:t>
      </w:r>
      <w:proofErr w:type="spellStart"/>
      <w:r>
        <w:rPr>
          <w:rFonts w:ascii="Arial" w:hAnsi="Arial" w:cs="Arial"/>
        </w:rPr>
        <w:t>McLachlin</w:t>
      </w:r>
      <w:proofErr w:type="spellEnd"/>
      <w:r>
        <w:rPr>
          <w:rFonts w:ascii="Arial" w:hAnsi="Arial" w:cs="Arial"/>
        </w:rPr>
        <w:t xml:space="preserve"> J</w:t>
      </w:r>
      <w:r>
        <w:rPr>
          <w:rStyle w:val="FootnoteReference"/>
          <w:rFonts w:ascii="Arial" w:hAnsi="Arial" w:cs="Arial"/>
        </w:rPr>
        <w:footnoteReference w:id="92"/>
      </w:r>
      <w:r>
        <w:rPr>
          <w:rFonts w:ascii="Arial" w:hAnsi="Arial" w:cs="Arial"/>
        </w:rPr>
        <w:t xml:space="preserve"> said that ‘</w:t>
      </w:r>
      <w:r w:rsidRPr="00E951B6">
        <w:rPr>
          <w:rFonts w:ascii="Arial" w:hAnsi="Arial" w:cs="Arial"/>
        </w:rPr>
        <w:t xml:space="preserve">It is now settled that the fact that an offence depends upon a predicate offence does not render it unconstitutional, provided that the predicate </w:t>
      </w:r>
      <w:r w:rsidRPr="00E951B6">
        <w:rPr>
          <w:rFonts w:ascii="Arial" w:hAnsi="Arial" w:cs="Arial"/>
        </w:rPr>
        <w:lastRenderedPageBreak/>
        <w:t xml:space="preserve">offence involves a dangerous act, </w:t>
      </w:r>
      <w:r w:rsidRPr="00D05637">
        <w:rPr>
          <w:rFonts w:ascii="Arial" w:hAnsi="Arial" w:cs="Arial"/>
          <w:i/>
        </w:rPr>
        <w:t>is not an offence of absolute liability</w:t>
      </w:r>
      <w:r w:rsidRPr="00E951B6">
        <w:rPr>
          <w:rFonts w:ascii="Arial" w:hAnsi="Arial" w:cs="Arial"/>
        </w:rPr>
        <w:t>, and is not unconstitutional</w:t>
      </w:r>
      <w:r>
        <w:rPr>
          <w:rFonts w:ascii="Arial" w:hAnsi="Arial" w:cs="Arial"/>
        </w:rPr>
        <w:t>’.</w:t>
      </w:r>
      <w:r>
        <w:rPr>
          <w:rStyle w:val="FootnoteReference"/>
          <w:rFonts w:ascii="Arial" w:hAnsi="Arial" w:cs="Arial"/>
        </w:rPr>
        <w:footnoteReference w:id="93"/>
      </w:r>
    </w:p>
    <w:p w:rsidR="00E03352" w:rsidRDefault="00E03352" w:rsidP="00E03352">
      <w:pPr>
        <w:jc w:val="both"/>
        <w:rPr>
          <w:rFonts w:ascii="Arial" w:hAnsi="Arial" w:cs="Arial"/>
        </w:rPr>
      </w:pPr>
    </w:p>
    <w:p w:rsidR="00E03352" w:rsidRDefault="00E03352" w:rsidP="00E03352">
      <w:pPr>
        <w:jc w:val="both"/>
        <w:rPr>
          <w:rFonts w:ascii="Arial" w:hAnsi="Arial" w:cs="Arial"/>
        </w:rPr>
      </w:pPr>
      <w:r>
        <w:rPr>
          <w:rFonts w:ascii="Arial" w:hAnsi="Arial" w:cs="Arial"/>
        </w:rPr>
        <w:t xml:space="preserve">The fact that the underlying offence in </w:t>
      </w:r>
      <w:r w:rsidRPr="00A54ADA">
        <w:rPr>
          <w:rFonts w:ascii="Arial" w:hAnsi="Arial" w:cs="Arial"/>
          <w:i/>
        </w:rPr>
        <w:t>Andrews</w:t>
      </w:r>
      <w:r>
        <w:rPr>
          <w:rFonts w:ascii="Arial" w:hAnsi="Arial" w:cs="Arial"/>
        </w:rPr>
        <w:t xml:space="preserve"> wa</w:t>
      </w:r>
      <w:r w:rsidRPr="00AB24A3">
        <w:rPr>
          <w:rFonts w:ascii="Arial" w:hAnsi="Arial" w:cs="Arial"/>
        </w:rPr>
        <w:t xml:space="preserve">s </w:t>
      </w:r>
      <w:r>
        <w:rPr>
          <w:rFonts w:ascii="Arial" w:hAnsi="Arial" w:cs="Arial"/>
        </w:rPr>
        <w:t xml:space="preserve">one </w:t>
      </w:r>
      <w:r w:rsidRPr="00AB24A3">
        <w:rPr>
          <w:rFonts w:ascii="Arial" w:hAnsi="Arial" w:cs="Arial"/>
        </w:rPr>
        <w:t>a strict liability</w:t>
      </w:r>
      <w:r>
        <w:rPr>
          <w:rFonts w:ascii="Arial" w:hAnsi="Arial" w:cs="Arial"/>
        </w:rPr>
        <w:t xml:space="preserve"> was not raised on appeal; had it been</w:t>
      </w:r>
      <w:r w:rsidRPr="0059547C">
        <w:rPr>
          <w:rFonts w:ascii="Arial" w:hAnsi="Arial" w:cs="Arial"/>
        </w:rPr>
        <w:t xml:space="preserve">, the conviction may </w:t>
      </w:r>
      <w:r>
        <w:rPr>
          <w:rFonts w:ascii="Arial" w:hAnsi="Arial" w:cs="Arial"/>
        </w:rPr>
        <w:t xml:space="preserve">– indeed, it is submitted, should – </w:t>
      </w:r>
      <w:r w:rsidRPr="0059547C">
        <w:rPr>
          <w:rFonts w:ascii="Arial" w:hAnsi="Arial" w:cs="Arial"/>
        </w:rPr>
        <w:t>have</w:t>
      </w:r>
      <w:r>
        <w:rPr>
          <w:rFonts w:ascii="Arial" w:hAnsi="Arial" w:cs="Arial"/>
        </w:rPr>
        <w:t xml:space="preserve"> </w:t>
      </w:r>
      <w:r w:rsidRPr="0059547C">
        <w:rPr>
          <w:rFonts w:ascii="Arial" w:hAnsi="Arial" w:cs="Arial"/>
        </w:rPr>
        <w:t>been quashed</w:t>
      </w:r>
      <w:r>
        <w:rPr>
          <w:rFonts w:ascii="Arial" w:hAnsi="Arial" w:cs="Arial"/>
        </w:rPr>
        <w:t xml:space="preserve">. Support for the proposition that unlawful act manslaughter requires an underlying unlawful act with a fault requirement comes from </w:t>
      </w:r>
      <w:r w:rsidRPr="0059547C">
        <w:rPr>
          <w:rFonts w:ascii="Arial" w:hAnsi="Arial" w:cs="Arial"/>
        </w:rPr>
        <w:t xml:space="preserve">the statements by Edmund-Davies J in </w:t>
      </w:r>
      <w:r w:rsidRPr="0059547C">
        <w:rPr>
          <w:rFonts w:ascii="Arial" w:hAnsi="Arial" w:cs="Arial"/>
          <w:i/>
        </w:rPr>
        <w:t>Church</w:t>
      </w:r>
      <w:r w:rsidRPr="0059547C">
        <w:rPr>
          <w:rStyle w:val="FootnoteReference"/>
          <w:rFonts w:ascii="Arial" w:hAnsi="Arial" w:cs="Arial"/>
        </w:rPr>
        <w:footnoteReference w:id="94"/>
      </w:r>
      <w:r w:rsidRPr="0059547C">
        <w:rPr>
          <w:rFonts w:ascii="Arial" w:hAnsi="Arial" w:cs="Arial"/>
          <w:i/>
        </w:rPr>
        <w:t xml:space="preserve"> </w:t>
      </w:r>
      <w:r w:rsidRPr="0059547C">
        <w:rPr>
          <w:rFonts w:ascii="Arial" w:hAnsi="Arial" w:cs="Arial"/>
        </w:rPr>
        <w:t xml:space="preserve">that </w:t>
      </w:r>
      <w:r>
        <w:rPr>
          <w:rFonts w:ascii="Arial" w:hAnsi="Arial" w:cs="Arial"/>
        </w:rPr>
        <w:t>‘</w:t>
      </w:r>
      <w:r w:rsidRPr="0059547C">
        <w:rPr>
          <w:rFonts w:ascii="Arial" w:hAnsi="Arial" w:cs="Arial"/>
          <w:color w:val="000000"/>
          <w:shd w:val="clear" w:color="auto" w:fill="FFFFFF"/>
        </w:rPr>
        <w:t xml:space="preserve">a degree of </w:t>
      </w:r>
      <w:proofErr w:type="spellStart"/>
      <w:r w:rsidRPr="0059547C">
        <w:rPr>
          <w:rFonts w:ascii="Arial" w:hAnsi="Arial" w:cs="Arial"/>
          <w:i/>
          <w:color w:val="000000"/>
          <w:shd w:val="clear" w:color="auto" w:fill="FFFFFF"/>
        </w:rPr>
        <w:t>mens</w:t>
      </w:r>
      <w:proofErr w:type="spellEnd"/>
      <w:r w:rsidRPr="0059547C">
        <w:rPr>
          <w:rFonts w:ascii="Arial" w:hAnsi="Arial" w:cs="Arial"/>
          <w:i/>
          <w:color w:val="000000"/>
          <w:shd w:val="clear" w:color="auto" w:fill="FFFFFF"/>
        </w:rPr>
        <w:t xml:space="preserve"> rea</w:t>
      </w:r>
      <w:r w:rsidRPr="0059547C">
        <w:rPr>
          <w:rFonts w:ascii="Arial" w:hAnsi="Arial" w:cs="Arial"/>
          <w:color w:val="000000"/>
          <w:shd w:val="clear" w:color="auto" w:fill="FFFFFF"/>
        </w:rPr>
        <w:t xml:space="preserve"> has become </w:t>
      </w:r>
      <w:proofErr w:type="spellStart"/>
      <w:r w:rsidRPr="0059547C">
        <w:rPr>
          <w:rFonts w:ascii="Arial" w:hAnsi="Arial" w:cs="Arial"/>
          <w:color w:val="000000"/>
          <w:shd w:val="clear" w:color="auto" w:fill="FFFFFF"/>
        </w:rPr>
        <w:t>recognised</w:t>
      </w:r>
      <w:proofErr w:type="spellEnd"/>
      <w:r w:rsidRPr="0059547C">
        <w:rPr>
          <w:rFonts w:ascii="Arial" w:hAnsi="Arial" w:cs="Arial"/>
          <w:color w:val="000000"/>
          <w:shd w:val="clear" w:color="auto" w:fill="FFFFFF"/>
        </w:rPr>
        <w:t xml:space="preserve"> as essential</w:t>
      </w:r>
      <w:r>
        <w:rPr>
          <w:rFonts w:ascii="Arial" w:hAnsi="Arial" w:cs="Arial"/>
        </w:rPr>
        <w:t>’</w:t>
      </w:r>
      <w:r>
        <w:rPr>
          <w:rStyle w:val="FootnoteReference"/>
          <w:rFonts w:ascii="Arial" w:hAnsi="Arial" w:cs="Arial"/>
        </w:rPr>
        <w:footnoteReference w:id="95"/>
      </w:r>
      <w:r w:rsidRPr="0059547C">
        <w:rPr>
          <w:rFonts w:ascii="Arial" w:hAnsi="Arial" w:cs="Arial"/>
        </w:rPr>
        <w:t xml:space="preserve"> and Sachs LJ in </w:t>
      </w:r>
      <w:r w:rsidRPr="0059547C">
        <w:rPr>
          <w:rFonts w:ascii="Arial" w:hAnsi="Arial" w:cs="Arial"/>
          <w:i/>
        </w:rPr>
        <w:t>Lamb</w:t>
      </w:r>
      <w:r w:rsidRPr="009D3E22">
        <w:rPr>
          <w:rStyle w:val="FootnoteReference"/>
          <w:rFonts w:ascii="Arial" w:hAnsi="Arial" w:cs="Arial"/>
        </w:rPr>
        <w:footnoteReference w:id="96"/>
      </w:r>
      <w:r w:rsidRPr="0059547C">
        <w:rPr>
          <w:rFonts w:ascii="Arial" w:hAnsi="Arial" w:cs="Arial"/>
        </w:rPr>
        <w:t xml:space="preserve"> that </w:t>
      </w:r>
      <w:r>
        <w:rPr>
          <w:rFonts w:ascii="Arial" w:hAnsi="Arial" w:cs="Arial"/>
        </w:rPr>
        <w:t>‘</w:t>
      </w:r>
      <w:proofErr w:type="spellStart"/>
      <w:r w:rsidRPr="0059547C">
        <w:rPr>
          <w:rFonts w:ascii="Arial" w:hAnsi="Arial" w:cs="Arial"/>
          <w:i/>
        </w:rPr>
        <w:t>mens</w:t>
      </w:r>
      <w:proofErr w:type="spellEnd"/>
      <w:r w:rsidRPr="0059547C">
        <w:rPr>
          <w:rFonts w:ascii="Arial" w:hAnsi="Arial" w:cs="Arial"/>
          <w:i/>
        </w:rPr>
        <w:t xml:space="preserve"> rea</w:t>
      </w:r>
      <w:r w:rsidRPr="0059547C">
        <w:rPr>
          <w:rFonts w:ascii="Arial" w:hAnsi="Arial" w:cs="Arial"/>
        </w:rPr>
        <w:t xml:space="preserve"> [is] now an essential ingredient in manslaughter</w:t>
      </w:r>
      <w:r>
        <w:rPr>
          <w:rFonts w:ascii="Arial" w:hAnsi="Arial" w:cs="Arial"/>
        </w:rPr>
        <w:t>’</w:t>
      </w:r>
      <w:r w:rsidRPr="0059547C">
        <w:rPr>
          <w:rFonts w:ascii="Arial" w:hAnsi="Arial" w:cs="Arial"/>
        </w:rPr>
        <w:t>.</w:t>
      </w:r>
      <w:r w:rsidRPr="0059547C">
        <w:rPr>
          <w:rStyle w:val="FootnoteReference"/>
          <w:rFonts w:ascii="Arial" w:hAnsi="Arial" w:cs="Arial"/>
        </w:rPr>
        <w:footnoteReference w:id="97"/>
      </w:r>
    </w:p>
    <w:p w:rsidR="00E03352" w:rsidRDefault="00E03352" w:rsidP="00E03352">
      <w:pPr>
        <w:jc w:val="both"/>
        <w:rPr>
          <w:rFonts w:ascii="Arial" w:hAnsi="Arial" w:cs="Arial"/>
        </w:rPr>
      </w:pPr>
    </w:p>
    <w:p w:rsidR="00E03352" w:rsidRPr="0059547C" w:rsidRDefault="00E03352" w:rsidP="00E03352">
      <w:pPr>
        <w:jc w:val="both"/>
        <w:rPr>
          <w:rFonts w:ascii="Arial" w:hAnsi="Arial" w:cs="Arial"/>
        </w:rPr>
      </w:pPr>
    </w:p>
    <w:p w:rsidR="00E03352" w:rsidRPr="00AD4D3E" w:rsidRDefault="00E03352" w:rsidP="00E03352">
      <w:pPr>
        <w:jc w:val="both"/>
        <w:rPr>
          <w:rFonts w:ascii="Arial" w:hAnsi="Arial" w:cs="Arial"/>
        </w:rPr>
      </w:pPr>
    </w:p>
    <w:p w:rsidR="00E03352" w:rsidRPr="0080712C" w:rsidRDefault="00E03352" w:rsidP="00E03352">
      <w:pPr>
        <w:jc w:val="both"/>
        <w:rPr>
          <w:rFonts w:ascii="Arial" w:hAnsi="Arial" w:cs="Arial"/>
          <w:b/>
          <w:sz w:val="28"/>
          <w:szCs w:val="28"/>
        </w:rPr>
      </w:pPr>
      <w:r w:rsidRPr="0080712C">
        <w:rPr>
          <w:rFonts w:ascii="Arial" w:hAnsi="Arial" w:cs="Arial"/>
          <w:b/>
          <w:sz w:val="28"/>
          <w:szCs w:val="28"/>
        </w:rPr>
        <w:t>1.</w:t>
      </w:r>
      <w:r>
        <w:rPr>
          <w:rFonts w:ascii="Arial" w:hAnsi="Arial" w:cs="Arial"/>
          <w:b/>
          <w:sz w:val="28"/>
          <w:szCs w:val="28"/>
        </w:rPr>
        <w:t>5</w:t>
      </w:r>
      <w:r w:rsidRPr="0080712C">
        <w:rPr>
          <w:rFonts w:ascii="Arial" w:hAnsi="Arial" w:cs="Arial"/>
          <w:b/>
          <w:sz w:val="28"/>
          <w:szCs w:val="28"/>
        </w:rPr>
        <w:t xml:space="preserve"> Exclusion for crimes of negligence</w:t>
      </w:r>
    </w:p>
    <w:p w:rsidR="00E03352" w:rsidRDefault="00E03352" w:rsidP="00E03352">
      <w:pPr>
        <w:jc w:val="both"/>
        <w:rPr>
          <w:rFonts w:ascii="Arial" w:hAnsi="Arial" w:cs="Arial"/>
        </w:rPr>
      </w:pPr>
    </w:p>
    <w:p w:rsidR="00E03352" w:rsidRDefault="00E03352" w:rsidP="00E03352">
      <w:pPr>
        <w:jc w:val="both"/>
        <w:rPr>
          <w:rFonts w:ascii="Arial" w:hAnsi="Arial" w:cs="Arial"/>
        </w:rPr>
      </w:pPr>
      <w:r>
        <w:rPr>
          <w:rFonts w:ascii="Arial" w:hAnsi="Arial" w:cs="Arial"/>
        </w:rPr>
        <w:t>I</w:t>
      </w:r>
      <w:r w:rsidRPr="00C760FB">
        <w:rPr>
          <w:rFonts w:ascii="Arial" w:hAnsi="Arial" w:cs="Arial"/>
        </w:rPr>
        <w:t xml:space="preserve">n </w:t>
      </w:r>
      <w:r w:rsidRPr="00C760FB">
        <w:rPr>
          <w:rFonts w:ascii="Arial" w:hAnsi="Arial" w:cs="Arial"/>
          <w:i/>
        </w:rPr>
        <w:t>Andrews,</w:t>
      </w:r>
      <w:r w:rsidRPr="00C760FB">
        <w:rPr>
          <w:rStyle w:val="FootnoteReference"/>
          <w:rFonts w:ascii="Arial" w:hAnsi="Arial" w:cs="Arial"/>
        </w:rPr>
        <w:footnoteReference w:id="98"/>
      </w:r>
      <w:r w:rsidRPr="00C760FB">
        <w:rPr>
          <w:rFonts w:ascii="Arial" w:hAnsi="Arial" w:cs="Arial"/>
        </w:rPr>
        <w:t xml:space="preserve"> </w:t>
      </w:r>
      <w:r>
        <w:rPr>
          <w:rFonts w:ascii="Arial" w:hAnsi="Arial" w:cs="Arial"/>
        </w:rPr>
        <w:t xml:space="preserve">the </w:t>
      </w:r>
      <w:r w:rsidRPr="00C760FB">
        <w:rPr>
          <w:rFonts w:ascii="Arial" w:hAnsi="Arial" w:cs="Arial"/>
        </w:rPr>
        <w:t xml:space="preserve">House of Lords decided </w:t>
      </w:r>
      <w:r>
        <w:rPr>
          <w:rFonts w:ascii="Arial" w:hAnsi="Arial" w:cs="Arial"/>
        </w:rPr>
        <w:t xml:space="preserve">that </w:t>
      </w:r>
      <w:r w:rsidRPr="00C760FB">
        <w:rPr>
          <w:rFonts w:ascii="Arial" w:hAnsi="Arial" w:cs="Arial"/>
        </w:rPr>
        <w:t xml:space="preserve">crimes </w:t>
      </w:r>
      <w:r>
        <w:rPr>
          <w:rFonts w:ascii="Arial" w:hAnsi="Arial" w:cs="Arial"/>
        </w:rPr>
        <w:t>in which the fault element is satisfied by proof of</w:t>
      </w:r>
      <w:r w:rsidRPr="00C760FB">
        <w:rPr>
          <w:rFonts w:ascii="Arial" w:hAnsi="Arial" w:cs="Arial"/>
        </w:rPr>
        <w:t xml:space="preserve"> negligence </w:t>
      </w:r>
      <w:r>
        <w:rPr>
          <w:rFonts w:ascii="Arial" w:hAnsi="Arial" w:cs="Arial"/>
        </w:rPr>
        <w:t xml:space="preserve">could not be used </w:t>
      </w:r>
      <w:r w:rsidRPr="00C760FB">
        <w:rPr>
          <w:rFonts w:ascii="Arial" w:hAnsi="Arial" w:cs="Arial"/>
        </w:rPr>
        <w:t xml:space="preserve">to underpin </w:t>
      </w:r>
      <w:r>
        <w:rPr>
          <w:rFonts w:ascii="Arial" w:hAnsi="Arial" w:cs="Arial"/>
        </w:rPr>
        <w:t>an unlawful act</w:t>
      </w:r>
      <w:r w:rsidRPr="00C760FB">
        <w:rPr>
          <w:rFonts w:ascii="Arial" w:hAnsi="Arial" w:cs="Arial"/>
        </w:rPr>
        <w:t xml:space="preserve"> manslaughter charge</w:t>
      </w:r>
      <w:r>
        <w:rPr>
          <w:rFonts w:ascii="Arial" w:hAnsi="Arial" w:cs="Arial"/>
        </w:rPr>
        <w:t>.</w:t>
      </w:r>
      <w:r w:rsidRPr="00C760FB">
        <w:rPr>
          <w:rFonts w:ascii="Arial" w:hAnsi="Arial" w:cs="Arial"/>
        </w:rPr>
        <w:t xml:space="preserve"> Lord Atkin said that there was an </w:t>
      </w:r>
      <w:r>
        <w:rPr>
          <w:rFonts w:ascii="Arial" w:hAnsi="Arial" w:cs="Arial"/>
        </w:rPr>
        <w:t>‘</w:t>
      </w:r>
      <w:r w:rsidRPr="00C760FB">
        <w:rPr>
          <w:rFonts w:ascii="Arial" w:hAnsi="Arial" w:cs="Arial"/>
        </w:rPr>
        <w:t>obvious difference</w:t>
      </w:r>
      <w:r>
        <w:rPr>
          <w:rFonts w:ascii="Arial" w:hAnsi="Arial" w:cs="Arial"/>
        </w:rPr>
        <w:t>’</w:t>
      </w:r>
      <w:r w:rsidRPr="00C760FB">
        <w:rPr>
          <w:rFonts w:ascii="Arial" w:hAnsi="Arial" w:cs="Arial"/>
        </w:rPr>
        <w:t xml:space="preserve"> between </w:t>
      </w:r>
      <w:r>
        <w:rPr>
          <w:rFonts w:ascii="Arial" w:hAnsi="Arial" w:cs="Arial"/>
        </w:rPr>
        <w:t>‘</w:t>
      </w:r>
      <w:r w:rsidRPr="00C760FB">
        <w:rPr>
          <w:rFonts w:ascii="Arial" w:hAnsi="Arial" w:cs="Arial"/>
        </w:rPr>
        <w:t>doing an unlawful act</w:t>
      </w:r>
      <w:r>
        <w:rPr>
          <w:rFonts w:ascii="Arial" w:hAnsi="Arial" w:cs="Arial"/>
        </w:rPr>
        <w:t>’</w:t>
      </w:r>
      <w:r w:rsidRPr="00C760FB">
        <w:rPr>
          <w:rFonts w:ascii="Arial" w:hAnsi="Arial" w:cs="Arial"/>
        </w:rPr>
        <w:t xml:space="preserve"> on one hand and </w:t>
      </w:r>
      <w:r>
        <w:rPr>
          <w:rFonts w:ascii="Arial" w:hAnsi="Arial" w:cs="Arial"/>
        </w:rPr>
        <w:t>‘</w:t>
      </w:r>
      <w:r w:rsidRPr="00C760FB">
        <w:rPr>
          <w:rFonts w:ascii="Arial" w:hAnsi="Arial" w:cs="Arial"/>
        </w:rPr>
        <w:t>doing a lawful act with a degree of carelessness which the Legislature makes criminal</w:t>
      </w:r>
      <w:r>
        <w:rPr>
          <w:rFonts w:ascii="Arial" w:hAnsi="Arial" w:cs="Arial"/>
        </w:rPr>
        <w:t>’</w:t>
      </w:r>
      <w:r w:rsidRPr="00C760FB">
        <w:rPr>
          <w:rFonts w:ascii="Arial" w:hAnsi="Arial" w:cs="Arial"/>
        </w:rPr>
        <w:t xml:space="preserve"> on the other.</w:t>
      </w:r>
      <w:r w:rsidRPr="00C760FB">
        <w:rPr>
          <w:rStyle w:val="FootnoteReference"/>
          <w:rFonts w:ascii="Arial" w:hAnsi="Arial" w:cs="Arial"/>
        </w:rPr>
        <w:footnoteReference w:id="99"/>
      </w:r>
      <w:r w:rsidRPr="00C760FB">
        <w:rPr>
          <w:rFonts w:ascii="Arial" w:hAnsi="Arial" w:cs="Arial"/>
        </w:rPr>
        <w:t xml:space="preserve"> This was said to be the case because otherwise every case of dangerous driving resulting in death would automatically be manslaughter. </w:t>
      </w:r>
      <w:proofErr w:type="spellStart"/>
      <w:r w:rsidRPr="00C760FB">
        <w:rPr>
          <w:rFonts w:ascii="Arial" w:hAnsi="Arial" w:cs="Arial"/>
        </w:rPr>
        <w:t>Ormerod</w:t>
      </w:r>
      <w:proofErr w:type="spellEnd"/>
      <w:r w:rsidRPr="00C760FB">
        <w:rPr>
          <w:rFonts w:ascii="Arial" w:hAnsi="Arial" w:cs="Arial"/>
        </w:rPr>
        <w:t xml:space="preserve"> has criticized Lord Atkin</w:t>
      </w:r>
      <w:r>
        <w:rPr>
          <w:rFonts w:ascii="Arial" w:hAnsi="Arial" w:cs="Arial"/>
        </w:rPr>
        <w:t>’</w:t>
      </w:r>
      <w:r w:rsidRPr="00C760FB">
        <w:rPr>
          <w:rFonts w:ascii="Arial" w:hAnsi="Arial" w:cs="Arial"/>
        </w:rPr>
        <w:t xml:space="preserve">s reasoning on the basis that the concept of </w:t>
      </w:r>
      <w:r>
        <w:rPr>
          <w:rFonts w:ascii="Arial" w:hAnsi="Arial" w:cs="Arial"/>
        </w:rPr>
        <w:t>‘</w:t>
      </w:r>
      <w:r w:rsidRPr="00C760FB">
        <w:rPr>
          <w:rFonts w:ascii="Arial" w:hAnsi="Arial" w:cs="Arial"/>
        </w:rPr>
        <w:t>doing a lawful ac</w:t>
      </w:r>
      <w:r>
        <w:rPr>
          <w:rFonts w:ascii="Arial" w:hAnsi="Arial" w:cs="Arial"/>
        </w:rPr>
        <w:t>t’ in a criminal way is inherently contradictory.</w:t>
      </w:r>
      <w:r>
        <w:rPr>
          <w:rStyle w:val="FootnoteReference"/>
          <w:rFonts w:ascii="Arial" w:hAnsi="Arial" w:cs="Arial"/>
        </w:rPr>
        <w:footnoteReference w:id="100"/>
      </w:r>
      <w:r>
        <w:rPr>
          <w:rFonts w:ascii="Arial" w:hAnsi="Arial" w:cs="Arial"/>
        </w:rPr>
        <w:t xml:space="preserve"> </w:t>
      </w:r>
      <w:proofErr w:type="spellStart"/>
      <w:r>
        <w:rPr>
          <w:rFonts w:ascii="Arial" w:hAnsi="Arial" w:cs="Arial"/>
        </w:rPr>
        <w:t>Simester</w:t>
      </w:r>
      <w:proofErr w:type="spellEnd"/>
      <w:r>
        <w:rPr>
          <w:rFonts w:ascii="Arial" w:hAnsi="Arial" w:cs="Arial"/>
        </w:rPr>
        <w:t xml:space="preserve"> et al have also criticized </w:t>
      </w:r>
      <w:r w:rsidRPr="00CA5794">
        <w:rPr>
          <w:rFonts w:ascii="Arial" w:hAnsi="Arial" w:cs="Arial"/>
          <w:i/>
        </w:rPr>
        <w:t>Andrews</w:t>
      </w:r>
      <w:r>
        <w:rPr>
          <w:rFonts w:ascii="Arial" w:hAnsi="Arial" w:cs="Arial"/>
        </w:rPr>
        <w:t>, describing the judgment as ‘judicial policy masquerading as a conceptually driven distinction’.</w:t>
      </w:r>
      <w:r>
        <w:rPr>
          <w:rStyle w:val="FootnoteReference"/>
          <w:rFonts w:ascii="Arial" w:hAnsi="Arial" w:cs="Arial"/>
        </w:rPr>
        <w:footnoteReference w:id="101"/>
      </w:r>
      <w:r w:rsidRPr="00CA5794">
        <w:rPr>
          <w:rFonts w:ascii="Arial" w:hAnsi="Arial" w:cs="Arial"/>
        </w:rPr>
        <w:t xml:space="preserve"> </w:t>
      </w:r>
      <w:r>
        <w:rPr>
          <w:rFonts w:ascii="Arial" w:hAnsi="Arial" w:cs="Arial"/>
        </w:rPr>
        <w:t xml:space="preserve">Nevertheless </w:t>
      </w:r>
      <w:r w:rsidRPr="00CA5794">
        <w:rPr>
          <w:rFonts w:ascii="Arial" w:hAnsi="Arial" w:cs="Arial"/>
          <w:i/>
        </w:rPr>
        <w:t>Andrews</w:t>
      </w:r>
      <w:r>
        <w:rPr>
          <w:rFonts w:ascii="Arial" w:hAnsi="Arial" w:cs="Arial"/>
        </w:rPr>
        <w:t xml:space="preserve"> is explicable on the basis that a separate head of involuntary manslaughter exists for ‘gross’ negligence and allowing convictions for unlawful act manslaughter to be based on crimes of negligence would undermine that offence. </w:t>
      </w:r>
    </w:p>
    <w:p w:rsidR="00E03352" w:rsidRDefault="00E03352" w:rsidP="00E03352">
      <w:pPr>
        <w:jc w:val="both"/>
        <w:rPr>
          <w:rFonts w:ascii="Arial" w:hAnsi="Arial" w:cs="Arial"/>
        </w:rPr>
      </w:pPr>
    </w:p>
    <w:p w:rsidR="00E03352" w:rsidRPr="007B4487" w:rsidRDefault="00E03352" w:rsidP="00E03352">
      <w:pPr>
        <w:jc w:val="both"/>
        <w:rPr>
          <w:rFonts w:ascii="Arial" w:hAnsi="Arial" w:cs="Arial"/>
        </w:rPr>
      </w:pPr>
      <w:r>
        <w:rPr>
          <w:rFonts w:ascii="Arial" w:hAnsi="Arial" w:cs="Arial"/>
        </w:rPr>
        <w:t xml:space="preserve">This point was explicitly addressed in </w:t>
      </w:r>
      <w:proofErr w:type="spellStart"/>
      <w:r w:rsidRPr="00A14BD9">
        <w:rPr>
          <w:rFonts w:ascii="Arial" w:hAnsi="Arial" w:cs="Arial"/>
          <w:i/>
          <w:iCs/>
        </w:rPr>
        <w:t>Meeking</w:t>
      </w:r>
      <w:proofErr w:type="spellEnd"/>
      <w:r w:rsidRPr="007B4487">
        <w:rPr>
          <w:rFonts w:ascii="Arial" w:hAnsi="Arial" w:cs="Arial"/>
          <w:iCs/>
        </w:rPr>
        <w:t>,</w:t>
      </w:r>
      <w:r w:rsidRPr="007B4487">
        <w:rPr>
          <w:rStyle w:val="FootnoteReference"/>
          <w:rFonts w:ascii="Arial" w:hAnsi="Arial" w:cs="Arial"/>
          <w:iCs/>
        </w:rPr>
        <w:footnoteReference w:id="102"/>
      </w:r>
      <w:r w:rsidRPr="007B4487">
        <w:rPr>
          <w:rFonts w:ascii="Arial" w:hAnsi="Arial" w:cs="Arial"/>
          <w:iCs/>
        </w:rPr>
        <w:t xml:space="preserve"> </w:t>
      </w:r>
      <w:r>
        <w:rPr>
          <w:rFonts w:ascii="Arial" w:hAnsi="Arial" w:cs="Arial"/>
          <w:iCs/>
        </w:rPr>
        <w:t xml:space="preserve">where the Court of Appeal upheld a conviction of unlawful act manslaughter based on the offence of </w:t>
      </w:r>
      <w:r w:rsidRPr="00A14BD9">
        <w:rPr>
          <w:rFonts w:ascii="Arial" w:hAnsi="Arial" w:cs="Arial"/>
        </w:rPr>
        <w:t>endangering road users</w:t>
      </w:r>
      <w:r>
        <w:rPr>
          <w:rFonts w:ascii="Arial" w:hAnsi="Arial" w:cs="Arial"/>
        </w:rPr>
        <w:t xml:space="preserve">. </w:t>
      </w:r>
      <w:proofErr w:type="spellStart"/>
      <w:r>
        <w:rPr>
          <w:rFonts w:ascii="Arial" w:hAnsi="Arial" w:cs="Arial"/>
        </w:rPr>
        <w:t>Toulson</w:t>
      </w:r>
      <w:proofErr w:type="spellEnd"/>
      <w:r>
        <w:rPr>
          <w:rFonts w:ascii="Arial" w:hAnsi="Arial" w:cs="Arial"/>
        </w:rPr>
        <w:t xml:space="preserve"> LJ expressed some disquiet with the fact that the underlyin</w:t>
      </w:r>
      <w:r w:rsidRPr="007B4487">
        <w:rPr>
          <w:rFonts w:ascii="Arial" w:hAnsi="Arial" w:cs="Arial"/>
        </w:rPr>
        <w:t xml:space="preserve">g unlawful act was one which was </w:t>
      </w:r>
      <w:r>
        <w:rPr>
          <w:rFonts w:ascii="Arial" w:hAnsi="Arial" w:cs="Arial"/>
        </w:rPr>
        <w:t>‘</w:t>
      </w:r>
      <w:r w:rsidRPr="007B4487">
        <w:rPr>
          <w:rFonts w:ascii="Arial" w:hAnsi="Arial" w:cs="Arial"/>
          <w:color w:val="000000"/>
          <w:shd w:val="clear" w:color="auto" w:fill="FFFFFF"/>
        </w:rPr>
        <w:t>capable of being committed by a negligent act</w:t>
      </w:r>
      <w:r>
        <w:rPr>
          <w:rFonts w:ascii="Arial" w:hAnsi="Arial" w:cs="Arial"/>
        </w:rPr>
        <w:t>’</w:t>
      </w:r>
      <w:r w:rsidRPr="007B4487">
        <w:rPr>
          <w:rFonts w:ascii="Arial" w:hAnsi="Arial" w:cs="Arial"/>
        </w:rPr>
        <w:t xml:space="preserve"> but dismissed the appeal on the ground that, had the case been prosecuted as one involving gross negligence manslaughter instead, </w:t>
      </w:r>
      <w:r>
        <w:rPr>
          <w:rFonts w:ascii="Arial" w:hAnsi="Arial" w:cs="Arial"/>
        </w:rPr>
        <w:t>‘</w:t>
      </w:r>
      <w:r w:rsidRPr="007B4487">
        <w:rPr>
          <w:rFonts w:ascii="Arial" w:hAnsi="Arial" w:cs="Arial"/>
          <w:color w:val="000000"/>
          <w:shd w:val="clear" w:color="auto" w:fill="FFFFFF"/>
        </w:rPr>
        <w:t>we find it impossible to conclude that the jury could have come to any other verdict than guilty</w:t>
      </w:r>
      <w:r>
        <w:rPr>
          <w:rFonts w:ascii="Arial" w:hAnsi="Arial" w:cs="Arial"/>
        </w:rPr>
        <w:t>’.</w:t>
      </w:r>
      <w:r>
        <w:rPr>
          <w:rStyle w:val="FootnoteReference"/>
          <w:rFonts w:ascii="Arial" w:hAnsi="Arial" w:cs="Arial"/>
        </w:rPr>
        <w:footnoteReference w:id="103"/>
      </w:r>
      <w:r>
        <w:rPr>
          <w:rFonts w:ascii="Arial" w:hAnsi="Arial" w:cs="Arial"/>
        </w:rPr>
        <w:t xml:space="preserve"> Nevertheless, </w:t>
      </w:r>
      <w:proofErr w:type="spellStart"/>
      <w:r>
        <w:rPr>
          <w:rFonts w:ascii="Arial" w:hAnsi="Arial" w:cs="Arial"/>
        </w:rPr>
        <w:t>Toulson</w:t>
      </w:r>
      <w:proofErr w:type="spellEnd"/>
      <w:r>
        <w:rPr>
          <w:rFonts w:ascii="Arial" w:hAnsi="Arial" w:cs="Arial"/>
        </w:rPr>
        <w:t xml:space="preserve"> LJ said:</w:t>
      </w:r>
      <w:r>
        <w:rPr>
          <w:rStyle w:val="FootnoteReference"/>
          <w:rFonts w:ascii="Arial" w:hAnsi="Arial" w:cs="Arial"/>
        </w:rPr>
        <w:footnoteReference w:id="104"/>
      </w:r>
    </w:p>
    <w:p w:rsidR="00E03352" w:rsidRPr="007B4487" w:rsidRDefault="00E03352" w:rsidP="00E03352">
      <w:pPr>
        <w:jc w:val="both"/>
        <w:rPr>
          <w:rFonts w:ascii="Arial" w:hAnsi="Arial" w:cs="Arial"/>
        </w:rPr>
      </w:pPr>
    </w:p>
    <w:p w:rsidR="00E03352" w:rsidRPr="007B4487" w:rsidRDefault="00E03352" w:rsidP="00E03352">
      <w:pPr>
        <w:ind w:left="567"/>
        <w:jc w:val="both"/>
        <w:rPr>
          <w:rFonts w:ascii="Arial" w:hAnsi="Arial" w:cs="Arial"/>
        </w:rPr>
      </w:pPr>
      <w:r>
        <w:rPr>
          <w:rFonts w:ascii="Arial" w:hAnsi="Arial" w:cs="Arial"/>
          <w:color w:val="000000"/>
          <w:shd w:val="clear" w:color="auto" w:fill="FFFFFF"/>
        </w:rPr>
        <w:lastRenderedPageBreak/>
        <w:t>‘</w:t>
      </w:r>
      <w:r w:rsidRPr="007B4487">
        <w:rPr>
          <w:rFonts w:ascii="Arial" w:hAnsi="Arial" w:cs="Arial"/>
          <w:color w:val="000000"/>
          <w:shd w:val="clear" w:color="auto" w:fill="FFFFFF"/>
        </w:rPr>
        <w:t>We can see a possible ground for concern if a case which was essentially</w:t>
      </w:r>
      <w:r w:rsidRPr="007B4487">
        <w:rPr>
          <w:rStyle w:val="apple-converted-space"/>
          <w:rFonts w:ascii="Arial" w:hAnsi="Arial" w:cs="Arial"/>
          <w:color w:val="000000"/>
          <w:shd w:val="clear" w:color="auto" w:fill="FFFFFF"/>
        </w:rPr>
        <w:t> </w:t>
      </w:r>
      <w:r w:rsidRPr="007B4487">
        <w:rPr>
          <w:rFonts w:ascii="Arial" w:hAnsi="Arial" w:cs="Arial"/>
          <w:color w:val="000000"/>
          <w:shd w:val="clear" w:color="auto" w:fill="FFFFFF"/>
        </w:rPr>
        <w:t>one of negligence, but arguably negligence falling short of gross negligence, were prosecuted by this route as a form of unlawful act manslaughter.</w:t>
      </w:r>
      <w:r>
        <w:rPr>
          <w:rFonts w:ascii="Arial" w:hAnsi="Arial" w:cs="Arial"/>
          <w:color w:val="000000"/>
          <w:shd w:val="clear" w:color="auto" w:fill="FFFFFF"/>
        </w:rPr>
        <w:t>’</w:t>
      </w:r>
    </w:p>
    <w:p w:rsidR="00E03352" w:rsidRPr="006014AF" w:rsidRDefault="00E03352" w:rsidP="00E03352">
      <w:pPr>
        <w:jc w:val="both"/>
        <w:rPr>
          <w:rFonts w:ascii="Arial" w:hAnsi="Arial" w:cs="Arial"/>
        </w:rPr>
      </w:pPr>
    </w:p>
    <w:p w:rsidR="00E03352" w:rsidRPr="006014AF" w:rsidRDefault="00E03352" w:rsidP="00E03352">
      <w:pPr>
        <w:jc w:val="both"/>
        <w:rPr>
          <w:rFonts w:ascii="Arial" w:hAnsi="Arial" w:cs="Arial"/>
          <w:i/>
        </w:rPr>
      </w:pPr>
      <w:r w:rsidRPr="006014AF">
        <w:rPr>
          <w:rFonts w:ascii="Arial" w:hAnsi="Arial" w:cs="Arial"/>
        </w:rPr>
        <w:t xml:space="preserve">Australian law has followed a similar line. </w:t>
      </w:r>
      <w:r>
        <w:rPr>
          <w:rFonts w:ascii="Arial" w:hAnsi="Arial" w:cs="Arial"/>
          <w:iCs/>
          <w:shd w:val="clear" w:color="auto" w:fill="FFFFFF"/>
        </w:rPr>
        <w:t>As Lloyd has put it, ‘unlawful in the doctrine of unlawful and dangerous act [manslaughter] has a special meaning. Only certain crimes are sufficiently unlawful’.</w:t>
      </w:r>
      <w:r>
        <w:rPr>
          <w:rStyle w:val="FootnoteReference"/>
          <w:rFonts w:ascii="Arial" w:hAnsi="Arial" w:cs="Arial"/>
          <w:iCs/>
          <w:shd w:val="clear" w:color="auto" w:fill="FFFFFF"/>
        </w:rPr>
        <w:footnoteReference w:id="105"/>
      </w:r>
      <w:r>
        <w:rPr>
          <w:rFonts w:ascii="Arial" w:hAnsi="Arial" w:cs="Arial"/>
        </w:rPr>
        <w:t xml:space="preserve"> In</w:t>
      </w:r>
      <w:r w:rsidRPr="006014AF">
        <w:rPr>
          <w:rFonts w:ascii="Arial" w:hAnsi="Arial" w:cs="Arial"/>
        </w:rPr>
        <w:t xml:space="preserve"> </w:t>
      </w:r>
      <w:r w:rsidRPr="006014AF">
        <w:rPr>
          <w:rFonts w:ascii="Arial" w:hAnsi="Arial" w:cs="Arial"/>
          <w:i/>
          <w:iCs/>
          <w:shd w:val="clear" w:color="auto" w:fill="FFFFFF"/>
        </w:rPr>
        <w:t>Pullman</w:t>
      </w:r>
      <w:r w:rsidRPr="006014AF">
        <w:rPr>
          <w:rStyle w:val="apple-converted-space"/>
          <w:rFonts w:ascii="Arial" w:hAnsi="Arial" w:cs="Arial"/>
          <w:shd w:val="clear" w:color="auto" w:fill="FFFFFF"/>
        </w:rPr>
        <w:t>,</w:t>
      </w:r>
      <w:r w:rsidRPr="006014AF">
        <w:rPr>
          <w:rStyle w:val="FootnoteReference"/>
          <w:rFonts w:ascii="Arial" w:hAnsi="Arial" w:cs="Arial"/>
          <w:shd w:val="clear" w:color="auto" w:fill="FFFFFF"/>
        </w:rPr>
        <w:footnoteReference w:id="106"/>
      </w:r>
      <w:r w:rsidRPr="006014AF">
        <w:rPr>
          <w:rStyle w:val="apple-converted-space"/>
          <w:rFonts w:ascii="Arial" w:hAnsi="Arial" w:cs="Arial"/>
          <w:shd w:val="clear" w:color="auto" w:fill="FFFFFF"/>
        </w:rPr>
        <w:t xml:space="preserve"> the facts were not dissimilar to </w:t>
      </w:r>
      <w:r w:rsidRPr="006014AF">
        <w:rPr>
          <w:rStyle w:val="apple-converted-space"/>
          <w:rFonts w:ascii="Arial" w:hAnsi="Arial" w:cs="Arial"/>
          <w:i/>
          <w:shd w:val="clear" w:color="auto" w:fill="FFFFFF"/>
        </w:rPr>
        <w:t>Andrews</w:t>
      </w:r>
      <w:r w:rsidRPr="006014AF">
        <w:rPr>
          <w:rStyle w:val="apple-converted-space"/>
          <w:rFonts w:ascii="Arial" w:hAnsi="Arial" w:cs="Arial"/>
          <w:shd w:val="clear" w:color="auto" w:fill="FFFFFF"/>
        </w:rPr>
        <w:t xml:space="preserve">. </w:t>
      </w:r>
      <w:r w:rsidRPr="006014AF">
        <w:rPr>
          <w:rFonts w:ascii="Arial" w:hAnsi="Arial" w:cs="Arial"/>
        </w:rPr>
        <w:t xml:space="preserve">D, whilst driving, crossed an unbroken </w:t>
      </w:r>
      <w:proofErr w:type="spellStart"/>
      <w:r w:rsidRPr="006014AF">
        <w:rPr>
          <w:rFonts w:ascii="Arial" w:hAnsi="Arial" w:cs="Arial"/>
        </w:rPr>
        <w:t>centre</w:t>
      </w:r>
      <w:proofErr w:type="spellEnd"/>
      <w:r>
        <w:rPr>
          <w:rFonts w:ascii="Arial" w:hAnsi="Arial" w:cs="Arial"/>
        </w:rPr>
        <w:t>-</w:t>
      </w:r>
      <w:r w:rsidRPr="006014AF">
        <w:rPr>
          <w:rFonts w:ascii="Arial" w:hAnsi="Arial" w:cs="Arial"/>
        </w:rPr>
        <w:t>line to pass vehicles in front of him forcing a driver coming in the opposite direction to take evasive action</w:t>
      </w:r>
      <w:r>
        <w:rPr>
          <w:rFonts w:ascii="Arial" w:hAnsi="Arial" w:cs="Arial"/>
        </w:rPr>
        <w:t xml:space="preserve">; </w:t>
      </w:r>
      <w:r w:rsidRPr="006014AF">
        <w:rPr>
          <w:rFonts w:ascii="Arial" w:hAnsi="Arial" w:cs="Arial"/>
        </w:rPr>
        <w:t xml:space="preserve">that driver lost control and collided with a motor cycle, killing the motorcyclist. D was charged with manslaughter based on the motor traffic regulation prohibiting the crossing of an unbroken </w:t>
      </w:r>
      <w:proofErr w:type="spellStart"/>
      <w:r w:rsidRPr="006014AF">
        <w:rPr>
          <w:rFonts w:ascii="Arial" w:hAnsi="Arial" w:cs="Arial"/>
        </w:rPr>
        <w:t>centre</w:t>
      </w:r>
      <w:proofErr w:type="spellEnd"/>
      <w:r>
        <w:rPr>
          <w:rFonts w:ascii="Arial" w:hAnsi="Arial" w:cs="Arial"/>
        </w:rPr>
        <w:t>-</w:t>
      </w:r>
      <w:r w:rsidRPr="006014AF">
        <w:rPr>
          <w:rFonts w:ascii="Arial" w:hAnsi="Arial" w:cs="Arial"/>
        </w:rPr>
        <w:t xml:space="preserve">line. He was convicted </w:t>
      </w:r>
      <w:r>
        <w:rPr>
          <w:rFonts w:ascii="Arial" w:hAnsi="Arial" w:cs="Arial"/>
        </w:rPr>
        <w:t>but</w:t>
      </w:r>
      <w:r w:rsidRPr="006014AF">
        <w:rPr>
          <w:rFonts w:ascii="Arial" w:hAnsi="Arial" w:cs="Arial"/>
        </w:rPr>
        <w:t xml:space="preserve"> successfully appealed. Hunt CJ</w:t>
      </w:r>
      <w:r>
        <w:rPr>
          <w:rFonts w:ascii="Arial" w:hAnsi="Arial" w:cs="Arial"/>
        </w:rPr>
        <w:t xml:space="preserve"> said that:</w:t>
      </w:r>
    </w:p>
    <w:p w:rsidR="00E03352" w:rsidRPr="006014AF" w:rsidRDefault="00E03352" w:rsidP="00E03352">
      <w:pPr>
        <w:jc w:val="both"/>
        <w:outlineLvl w:val="1"/>
        <w:rPr>
          <w:rFonts w:ascii="Arial" w:hAnsi="Arial" w:cs="Arial"/>
          <w:i/>
          <w:iCs/>
          <w:shd w:val="clear" w:color="auto" w:fill="FFFFFF"/>
        </w:rPr>
      </w:pPr>
    </w:p>
    <w:p w:rsidR="00E03352" w:rsidRPr="00E17033" w:rsidRDefault="00E03352" w:rsidP="00E03352">
      <w:pPr>
        <w:ind w:left="567"/>
        <w:jc w:val="both"/>
        <w:outlineLvl w:val="1"/>
        <w:rPr>
          <w:rFonts w:ascii="Arial" w:hAnsi="Arial" w:cs="Arial"/>
          <w:iCs/>
          <w:shd w:val="clear" w:color="auto" w:fill="FFFFFF"/>
        </w:rPr>
      </w:pPr>
      <w:r>
        <w:rPr>
          <w:rFonts w:ascii="Arial" w:hAnsi="Arial" w:cs="Arial"/>
          <w:iCs/>
          <w:shd w:val="clear" w:color="auto" w:fill="FFFFFF"/>
        </w:rPr>
        <w:t>‘</w:t>
      </w:r>
      <w:r w:rsidRPr="00E17033">
        <w:rPr>
          <w:rFonts w:ascii="Arial" w:hAnsi="Arial" w:cs="Arial"/>
          <w:iCs/>
          <w:shd w:val="clear" w:color="auto" w:fill="FFFFFF"/>
        </w:rPr>
        <w:t>(1) An act which constitutes a breach of some statutory or regulatory prohibition does not, for that reason alone, constitute an unlawful act sufficient to found a charge of manslaughter within the category of an unlawful and dangerous act. (2) Such an act may, however, constitute such an unlawful act if it is unlawful in itself – that is, unlawful otherwise than by reason of the fact that it amounts to such a breach.</w:t>
      </w:r>
      <w:r>
        <w:rPr>
          <w:rFonts w:ascii="Arial" w:hAnsi="Arial" w:cs="Arial"/>
          <w:iCs/>
          <w:shd w:val="clear" w:color="auto" w:fill="FFFFFF"/>
        </w:rPr>
        <w:t>’</w:t>
      </w:r>
    </w:p>
    <w:p w:rsidR="00E03352" w:rsidRPr="00E17033" w:rsidRDefault="00E03352" w:rsidP="00E03352">
      <w:pPr>
        <w:outlineLvl w:val="1"/>
        <w:rPr>
          <w:rFonts w:ascii="Arial" w:hAnsi="Arial" w:cs="Arial"/>
          <w:i/>
          <w:iCs/>
          <w:shd w:val="clear" w:color="auto" w:fill="FFFFFF"/>
        </w:rPr>
      </w:pPr>
    </w:p>
    <w:p w:rsidR="00E03352" w:rsidRPr="006014AF" w:rsidRDefault="00E03352" w:rsidP="00E03352">
      <w:pPr>
        <w:jc w:val="both"/>
        <w:outlineLvl w:val="1"/>
        <w:rPr>
          <w:rFonts w:ascii="Arial" w:hAnsi="Arial" w:cs="Arial"/>
        </w:rPr>
      </w:pPr>
      <w:r w:rsidRPr="006014AF">
        <w:rPr>
          <w:rFonts w:ascii="Arial" w:hAnsi="Arial" w:cs="Arial"/>
          <w:i/>
          <w:iCs/>
          <w:shd w:val="clear" w:color="auto" w:fill="FFFFFF"/>
        </w:rPr>
        <w:t xml:space="preserve">Pullman </w:t>
      </w:r>
      <w:r w:rsidRPr="006014AF">
        <w:rPr>
          <w:rFonts w:ascii="Arial" w:hAnsi="Arial" w:cs="Arial"/>
          <w:iCs/>
          <w:shd w:val="clear" w:color="auto" w:fill="FFFFFF"/>
        </w:rPr>
        <w:t>was followed in</w:t>
      </w:r>
      <w:r w:rsidRPr="006014AF">
        <w:rPr>
          <w:rFonts w:ascii="Arial" w:hAnsi="Arial" w:cs="Arial"/>
          <w:i/>
          <w:iCs/>
          <w:shd w:val="clear" w:color="auto" w:fill="FFFFFF"/>
        </w:rPr>
        <w:t xml:space="preserve"> </w:t>
      </w:r>
      <w:proofErr w:type="spellStart"/>
      <w:r w:rsidRPr="006014AF">
        <w:rPr>
          <w:rFonts w:ascii="Arial" w:hAnsi="Arial" w:cs="Arial"/>
          <w:i/>
          <w:iCs/>
          <w:shd w:val="clear" w:color="auto" w:fill="FFFFFF"/>
        </w:rPr>
        <w:t>Borkowski</w:t>
      </w:r>
      <w:proofErr w:type="spellEnd"/>
      <w:r w:rsidRPr="006014AF">
        <w:rPr>
          <w:rFonts w:ascii="Arial" w:hAnsi="Arial" w:cs="Arial"/>
          <w:shd w:val="clear" w:color="auto" w:fill="FFFFFF"/>
        </w:rPr>
        <w:t>.</w:t>
      </w:r>
      <w:r w:rsidRPr="006014AF">
        <w:rPr>
          <w:rStyle w:val="FootnoteReference"/>
          <w:rFonts w:ascii="Arial" w:hAnsi="Arial" w:cs="Arial"/>
          <w:shd w:val="clear" w:color="auto" w:fill="FFFFFF"/>
        </w:rPr>
        <w:footnoteReference w:id="107"/>
      </w:r>
      <w:r w:rsidRPr="006014AF">
        <w:rPr>
          <w:rFonts w:ascii="Arial" w:hAnsi="Arial" w:cs="Arial"/>
          <w:shd w:val="clear" w:color="auto" w:fill="FFFFFF"/>
        </w:rPr>
        <w:t xml:space="preserve"> Here, D was convicted of two counts of manslaughter after the car in which he was racing collided with the victims</w:t>
      </w:r>
      <w:r>
        <w:rPr>
          <w:rFonts w:ascii="Arial" w:hAnsi="Arial" w:cs="Arial"/>
          <w:shd w:val="clear" w:color="auto" w:fill="FFFFFF"/>
        </w:rPr>
        <w:t>’</w:t>
      </w:r>
      <w:r w:rsidRPr="006014AF">
        <w:rPr>
          <w:rFonts w:ascii="Arial" w:hAnsi="Arial" w:cs="Arial"/>
          <w:shd w:val="clear" w:color="auto" w:fill="FFFFFF"/>
        </w:rPr>
        <w:t xml:space="preserve"> vehicle. The underlying criminal offence was that </w:t>
      </w:r>
      <w:r w:rsidRPr="006014AF">
        <w:rPr>
          <w:rFonts w:ascii="Arial" w:hAnsi="Arial" w:cs="Arial"/>
        </w:rPr>
        <w:t>of taking part in a race between vehicles on a road,</w:t>
      </w:r>
      <w:r>
        <w:rPr>
          <w:rStyle w:val="FootnoteReference"/>
          <w:rFonts w:ascii="Arial" w:hAnsi="Arial" w:cs="Arial"/>
        </w:rPr>
        <w:footnoteReference w:id="108"/>
      </w:r>
      <w:r w:rsidRPr="006014AF">
        <w:rPr>
          <w:rFonts w:ascii="Arial" w:hAnsi="Arial" w:cs="Arial"/>
        </w:rPr>
        <w:t xml:space="preserve"> the maximum penalty for which is a fine.</w:t>
      </w:r>
      <w:r w:rsidRPr="006014AF">
        <w:rPr>
          <w:rFonts w:ascii="Arial" w:hAnsi="Arial" w:cs="Arial"/>
          <w:shd w:val="clear" w:color="auto" w:fill="FFFFFF"/>
        </w:rPr>
        <w:t xml:space="preserve"> D</w:t>
      </w:r>
      <w:r>
        <w:rPr>
          <w:rFonts w:ascii="Arial" w:hAnsi="Arial" w:cs="Arial"/>
          <w:shd w:val="clear" w:color="auto" w:fill="FFFFFF"/>
        </w:rPr>
        <w:t>’</w:t>
      </w:r>
      <w:r w:rsidRPr="006014AF">
        <w:rPr>
          <w:rFonts w:ascii="Arial" w:hAnsi="Arial" w:cs="Arial"/>
          <w:shd w:val="clear" w:color="auto" w:fill="FFFFFF"/>
        </w:rPr>
        <w:t xml:space="preserve">s convictions were quashed on appeal. Howie J said that </w:t>
      </w:r>
      <w:r w:rsidRPr="006014AF">
        <w:rPr>
          <w:rFonts w:ascii="Arial" w:hAnsi="Arial" w:cs="Arial"/>
        </w:rPr>
        <w:t>the prosecut</w:t>
      </w:r>
      <w:r>
        <w:rPr>
          <w:rFonts w:ascii="Arial" w:hAnsi="Arial" w:cs="Arial"/>
        </w:rPr>
        <w:t>i</w:t>
      </w:r>
      <w:r w:rsidRPr="006014AF">
        <w:rPr>
          <w:rFonts w:ascii="Arial" w:hAnsi="Arial" w:cs="Arial"/>
        </w:rPr>
        <w:t>o</w:t>
      </w:r>
      <w:r>
        <w:rPr>
          <w:rFonts w:ascii="Arial" w:hAnsi="Arial" w:cs="Arial"/>
        </w:rPr>
        <w:t>n</w:t>
      </w:r>
      <w:r w:rsidRPr="006014AF">
        <w:rPr>
          <w:rFonts w:ascii="Arial" w:hAnsi="Arial" w:cs="Arial"/>
        </w:rPr>
        <w:t xml:space="preserve"> </w:t>
      </w:r>
      <w:r>
        <w:rPr>
          <w:rFonts w:ascii="Arial" w:hAnsi="Arial" w:cs="Arial"/>
        </w:rPr>
        <w:t xml:space="preserve">should not have presented the case as one of </w:t>
      </w:r>
      <w:r w:rsidRPr="006014AF">
        <w:rPr>
          <w:rFonts w:ascii="Arial" w:hAnsi="Arial" w:cs="Arial"/>
        </w:rPr>
        <w:t>unlawful act</w:t>
      </w:r>
      <w:r>
        <w:rPr>
          <w:rFonts w:ascii="Arial" w:hAnsi="Arial" w:cs="Arial"/>
        </w:rPr>
        <w:t xml:space="preserve"> manslaughter: ‘</w:t>
      </w:r>
      <w:r w:rsidRPr="006014AF">
        <w:rPr>
          <w:rFonts w:ascii="Arial" w:hAnsi="Arial" w:cs="Arial"/>
        </w:rPr>
        <w:t xml:space="preserve">According to </w:t>
      </w:r>
      <w:r w:rsidRPr="006014AF">
        <w:rPr>
          <w:rFonts w:ascii="Arial" w:hAnsi="Arial" w:cs="Arial"/>
          <w:i/>
        </w:rPr>
        <w:t>Pullman</w:t>
      </w:r>
      <w:r w:rsidRPr="006014AF">
        <w:rPr>
          <w:rFonts w:ascii="Arial" w:hAnsi="Arial" w:cs="Arial"/>
        </w:rPr>
        <w:t xml:space="preserve"> it was not open to charge manslaughter on this basis... [It] was unnecessary and liable to distract the </w:t>
      </w:r>
      <w:proofErr w:type="spellStart"/>
      <w:r w:rsidRPr="006014AF">
        <w:rPr>
          <w:rFonts w:ascii="Arial" w:hAnsi="Arial" w:cs="Arial"/>
        </w:rPr>
        <w:t>sentencer</w:t>
      </w:r>
      <w:proofErr w:type="spellEnd"/>
      <w:r w:rsidRPr="006014AF">
        <w:rPr>
          <w:rFonts w:ascii="Arial" w:hAnsi="Arial" w:cs="Arial"/>
        </w:rPr>
        <w:t xml:space="preserve"> from a proper assessment of the criminality of the driving by introducing the concept of an unlawful act. That was particularly so where the unlawful act is the mere breach of a traffic regulation</w:t>
      </w:r>
      <w:r>
        <w:rPr>
          <w:rFonts w:ascii="Arial" w:hAnsi="Arial" w:cs="Arial"/>
        </w:rPr>
        <w:t>’</w:t>
      </w:r>
      <w:r w:rsidRPr="006014AF">
        <w:rPr>
          <w:rFonts w:ascii="Arial" w:hAnsi="Arial" w:cs="Arial"/>
        </w:rPr>
        <w:t>.</w:t>
      </w:r>
      <w:r>
        <w:rPr>
          <w:rStyle w:val="FootnoteReference"/>
          <w:rFonts w:ascii="Arial" w:hAnsi="Arial" w:cs="Arial"/>
        </w:rPr>
        <w:footnoteReference w:id="109"/>
      </w:r>
      <w:r w:rsidRPr="006014AF">
        <w:rPr>
          <w:rFonts w:ascii="Arial" w:hAnsi="Arial" w:cs="Arial"/>
        </w:rPr>
        <w:t xml:space="preserve"> However, one of the other judges </w:t>
      </w:r>
      <w:r w:rsidRPr="006014AF">
        <w:rPr>
          <w:rFonts w:ascii="Arial" w:hAnsi="Arial" w:cs="Arial"/>
          <w:iCs/>
          <w:shd w:val="clear" w:color="auto" w:fill="FFFFFF"/>
        </w:rPr>
        <w:t>in</w:t>
      </w:r>
      <w:r w:rsidRPr="006014AF">
        <w:rPr>
          <w:rFonts w:ascii="Arial" w:hAnsi="Arial" w:cs="Arial"/>
          <w:i/>
          <w:iCs/>
          <w:shd w:val="clear" w:color="auto" w:fill="FFFFFF"/>
        </w:rPr>
        <w:t xml:space="preserve"> </w:t>
      </w:r>
      <w:proofErr w:type="spellStart"/>
      <w:r w:rsidRPr="006014AF">
        <w:rPr>
          <w:rFonts w:ascii="Arial" w:hAnsi="Arial" w:cs="Arial"/>
          <w:i/>
          <w:iCs/>
          <w:shd w:val="clear" w:color="auto" w:fill="FFFFFF"/>
        </w:rPr>
        <w:t>Borkowski</w:t>
      </w:r>
      <w:proofErr w:type="spellEnd"/>
      <w:r w:rsidRPr="006014AF">
        <w:rPr>
          <w:rFonts w:ascii="Arial" w:hAnsi="Arial" w:cs="Arial"/>
          <w:iCs/>
          <w:shd w:val="clear" w:color="auto" w:fill="FFFFFF"/>
        </w:rPr>
        <w:t>,</w:t>
      </w:r>
      <w:r w:rsidRPr="006014AF">
        <w:rPr>
          <w:rFonts w:ascii="Arial" w:hAnsi="Arial" w:cs="Arial"/>
        </w:rPr>
        <w:t xml:space="preserve"> Simpson J, expressed doubts about the correctness of </w:t>
      </w:r>
      <w:r w:rsidRPr="006014AF">
        <w:rPr>
          <w:rFonts w:ascii="Arial" w:hAnsi="Arial" w:cs="Arial"/>
          <w:i/>
        </w:rPr>
        <w:t>Pullman</w:t>
      </w:r>
      <w:r w:rsidRPr="006014AF">
        <w:rPr>
          <w:rFonts w:ascii="Arial" w:hAnsi="Arial" w:cs="Arial"/>
        </w:rPr>
        <w:t xml:space="preserve">, describing the conclusions of Hunt CJ </w:t>
      </w:r>
      <w:r>
        <w:rPr>
          <w:rFonts w:ascii="Arial" w:hAnsi="Arial" w:cs="Arial"/>
        </w:rPr>
        <w:t>(above)</w:t>
      </w:r>
      <w:r w:rsidRPr="006014AF">
        <w:rPr>
          <w:rFonts w:ascii="Arial" w:hAnsi="Arial" w:cs="Arial"/>
        </w:rPr>
        <w:t xml:space="preserve"> as </w:t>
      </w:r>
      <w:r>
        <w:rPr>
          <w:rFonts w:ascii="Arial" w:hAnsi="Arial" w:cs="Arial"/>
        </w:rPr>
        <w:t>‘</w:t>
      </w:r>
      <w:r w:rsidRPr="006014AF">
        <w:rPr>
          <w:rFonts w:ascii="Arial" w:hAnsi="Arial" w:cs="Arial"/>
        </w:rPr>
        <w:t>extremely broad</w:t>
      </w:r>
      <w:r>
        <w:rPr>
          <w:rFonts w:ascii="Arial" w:hAnsi="Arial" w:cs="Arial"/>
        </w:rPr>
        <w:t>’</w:t>
      </w:r>
      <w:r w:rsidRPr="006014AF">
        <w:rPr>
          <w:rFonts w:ascii="Arial" w:hAnsi="Arial" w:cs="Arial"/>
        </w:rPr>
        <w:t>.</w:t>
      </w:r>
      <w:r>
        <w:rPr>
          <w:rStyle w:val="FootnoteReference"/>
          <w:rFonts w:ascii="Arial" w:hAnsi="Arial" w:cs="Arial"/>
        </w:rPr>
        <w:footnoteReference w:id="110"/>
      </w:r>
      <w:r w:rsidRPr="006014AF">
        <w:rPr>
          <w:rFonts w:ascii="Arial" w:hAnsi="Arial" w:cs="Arial"/>
        </w:rPr>
        <w:t xml:space="preserve"> He said that even if the phrase </w:t>
      </w:r>
      <w:r>
        <w:rPr>
          <w:rFonts w:ascii="Arial" w:hAnsi="Arial" w:cs="Arial"/>
        </w:rPr>
        <w:t>‘</w:t>
      </w:r>
      <w:r w:rsidRPr="006014AF">
        <w:rPr>
          <w:rFonts w:ascii="Arial" w:hAnsi="Arial" w:cs="Arial"/>
        </w:rPr>
        <w:t>some statutory or regulatory prohibition</w:t>
      </w:r>
      <w:r>
        <w:rPr>
          <w:rFonts w:ascii="Arial" w:hAnsi="Arial" w:cs="Arial"/>
        </w:rPr>
        <w:t>’</w:t>
      </w:r>
      <w:r w:rsidRPr="006014AF">
        <w:rPr>
          <w:rFonts w:ascii="Arial" w:hAnsi="Arial" w:cs="Arial"/>
        </w:rPr>
        <w:t xml:space="preserve"> only referred to breaches of traffic laws, he was unable to see why such a breach could not form the basis of the </w:t>
      </w:r>
      <w:r>
        <w:rPr>
          <w:rFonts w:ascii="Arial" w:hAnsi="Arial" w:cs="Arial"/>
        </w:rPr>
        <w:t>‘</w:t>
      </w:r>
      <w:r w:rsidRPr="006014AF">
        <w:rPr>
          <w:rFonts w:ascii="Arial" w:hAnsi="Arial" w:cs="Arial"/>
        </w:rPr>
        <w:t>unlawfulness</w:t>
      </w:r>
      <w:r>
        <w:rPr>
          <w:rFonts w:ascii="Arial" w:hAnsi="Arial" w:cs="Arial"/>
        </w:rPr>
        <w:t>’</w:t>
      </w:r>
      <w:r w:rsidRPr="006014AF">
        <w:rPr>
          <w:rFonts w:ascii="Arial" w:hAnsi="Arial" w:cs="Arial"/>
        </w:rPr>
        <w:t xml:space="preserve"> of an act necessary for a conviction for manslaughter.</w:t>
      </w:r>
      <w:r>
        <w:rPr>
          <w:rStyle w:val="FootnoteReference"/>
          <w:rFonts w:ascii="Arial" w:hAnsi="Arial" w:cs="Arial"/>
        </w:rPr>
        <w:footnoteReference w:id="111"/>
      </w:r>
    </w:p>
    <w:p w:rsidR="00E03352" w:rsidRPr="006014AF" w:rsidRDefault="00E03352" w:rsidP="00E03352">
      <w:pPr>
        <w:jc w:val="both"/>
        <w:rPr>
          <w:rFonts w:ascii="Arial" w:hAnsi="Arial" w:cs="Arial"/>
        </w:rPr>
      </w:pPr>
    </w:p>
    <w:p w:rsidR="00E03352" w:rsidRPr="00994504" w:rsidRDefault="00E03352" w:rsidP="00E03352">
      <w:pPr>
        <w:widowControl/>
        <w:kinsoku/>
        <w:overflowPunct/>
        <w:jc w:val="both"/>
        <w:textAlignment w:val="auto"/>
        <w:rPr>
          <w:rFonts w:ascii="Arial" w:hAnsi="Arial" w:cs="Arial"/>
          <w:iCs/>
          <w:sz w:val="28"/>
          <w:szCs w:val="28"/>
        </w:rPr>
      </w:pPr>
      <w:r>
        <w:rPr>
          <w:rFonts w:ascii="Arial" w:hAnsi="Arial" w:cs="Arial"/>
        </w:rPr>
        <w:t xml:space="preserve">Canadian courts, meanwhile, have emphatically not followed the </w:t>
      </w:r>
      <w:r w:rsidRPr="006014AF">
        <w:rPr>
          <w:rFonts w:ascii="Arial" w:hAnsi="Arial" w:cs="Arial"/>
          <w:i/>
        </w:rPr>
        <w:t>Andrews / Pullman</w:t>
      </w:r>
      <w:r>
        <w:rPr>
          <w:rFonts w:ascii="Arial" w:hAnsi="Arial" w:cs="Arial"/>
        </w:rPr>
        <w:t xml:space="preserve"> line. As indicated above, convictions based on negligence offences, such as the careless handling or use of a firearm</w:t>
      </w:r>
      <w:r w:rsidRPr="006014AF">
        <w:rPr>
          <w:rFonts w:ascii="Arial" w:hAnsi="Arial" w:cs="Arial"/>
        </w:rPr>
        <w:t>,</w:t>
      </w:r>
      <w:r w:rsidRPr="00512C44">
        <w:rPr>
          <w:rStyle w:val="FootnoteReference"/>
          <w:rFonts w:ascii="Arial" w:hAnsi="Arial" w:cs="Arial"/>
        </w:rPr>
        <w:footnoteReference w:id="112"/>
      </w:r>
      <w:r w:rsidRPr="00512C44">
        <w:rPr>
          <w:rFonts w:ascii="Arial" w:hAnsi="Arial" w:cs="Arial"/>
        </w:rPr>
        <w:t xml:space="preserve"> </w:t>
      </w:r>
      <w:r>
        <w:rPr>
          <w:rFonts w:ascii="Arial" w:hAnsi="Arial" w:cs="Arial"/>
        </w:rPr>
        <w:t xml:space="preserve">are routine. </w:t>
      </w:r>
      <w:r w:rsidRPr="00994504">
        <w:rPr>
          <w:rFonts w:ascii="Arial" w:hAnsi="Arial" w:cs="Arial"/>
          <w:iCs/>
        </w:rPr>
        <w:t xml:space="preserve">Yeo has </w:t>
      </w:r>
      <w:r>
        <w:rPr>
          <w:rFonts w:ascii="Arial" w:hAnsi="Arial" w:cs="Arial"/>
          <w:iCs/>
        </w:rPr>
        <w:t xml:space="preserve">criticized this, </w:t>
      </w:r>
      <w:r w:rsidRPr="00994504">
        <w:rPr>
          <w:rFonts w:ascii="Arial" w:hAnsi="Arial" w:cs="Arial"/>
          <w:iCs/>
        </w:rPr>
        <w:t>argu</w:t>
      </w:r>
      <w:r>
        <w:rPr>
          <w:rFonts w:ascii="Arial" w:hAnsi="Arial" w:cs="Arial"/>
          <w:iCs/>
        </w:rPr>
        <w:t>ing</w:t>
      </w:r>
      <w:r w:rsidRPr="00994504">
        <w:rPr>
          <w:rFonts w:ascii="Arial" w:hAnsi="Arial" w:cs="Arial"/>
          <w:iCs/>
        </w:rPr>
        <w:t xml:space="preserve"> </w:t>
      </w:r>
      <w:r>
        <w:rPr>
          <w:rFonts w:ascii="Arial" w:hAnsi="Arial" w:cs="Arial"/>
          <w:iCs/>
        </w:rPr>
        <w:t xml:space="preserve">that ‘the Canadian position can be challenged on the ground that recognizing crimes </w:t>
      </w:r>
      <w:r>
        <w:rPr>
          <w:rFonts w:ascii="Arial" w:hAnsi="Arial" w:cs="Arial"/>
          <w:iCs/>
        </w:rPr>
        <w:lastRenderedPageBreak/>
        <w:t>based on negligence as unlawful acts confuses the fault element for unlawful act manslaughter with that for negligent manslaughter’</w:t>
      </w:r>
      <w:r w:rsidRPr="00994504">
        <w:rPr>
          <w:rFonts w:ascii="Arial" w:hAnsi="Arial" w:cs="Arial"/>
          <w:iCs/>
        </w:rPr>
        <w:t>.</w:t>
      </w:r>
      <w:r w:rsidRPr="00994504">
        <w:rPr>
          <w:rStyle w:val="FootnoteReference"/>
          <w:rFonts w:ascii="Arial" w:hAnsi="Arial" w:cs="Arial"/>
          <w:iCs/>
          <w:sz w:val="28"/>
          <w:szCs w:val="28"/>
        </w:rPr>
        <w:footnoteReference w:id="113"/>
      </w:r>
    </w:p>
    <w:p w:rsidR="00E03352" w:rsidRPr="00A14BD9" w:rsidRDefault="00E03352" w:rsidP="00E03352">
      <w:pPr>
        <w:jc w:val="both"/>
        <w:rPr>
          <w:rFonts w:ascii="Arial" w:hAnsi="Arial" w:cs="Arial"/>
        </w:rPr>
      </w:pPr>
    </w:p>
    <w:p w:rsidR="00E03352" w:rsidRDefault="00E03352" w:rsidP="00D05637">
      <w:pPr>
        <w:jc w:val="both"/>
        <w:rPr>
          <w:rFonts w:ascii="Arial" w:hAnsi="Arial" w:cs="Arial"/>
          <w:b/>
          <w:bCs/>
          <w:iCs/>
          <w:sz w:val="28"/>
          <w:szCs w:val="28"/>
        </w:rPr>
      </w:pPr>
    </w:p>
    <w:p w:rsidR="00D05637" w:rsidRPr="00D05637" w:rsidRDefault="00D05637" w:rsidP="00D05637">
      <w:pPr>
        <w:jc w:val="both"/>
        <w:rPr>
          <w:rFonts w:ascii="Arial" w:hAnsi="Arial" w:cs="Arial"/>
          <w:b/>
          <w:bCs/>
          <w:iCs/>
          <w:sz w:val="28"/>
          <w:szCs w:val="28"/>
        </w:rPr>
      </w:pPr>
      <w:r w:rsidRPr="00D05637">
        <w:rPr>
          <w:rFonts w:ascii="Arial" w:hAnsi="Arial" w:cs="Arial"/>
          <w:b/>
          <w:bCs/>
          <w:iCs/>
          <w:sz w:val="28"/>
          <w:szCs w:val="28"/>
        </w:rPr>
        <w:t>1.</w:t>
      </w:r>
      <w:r w:rsidR="00E03352">
        <w:rPr>
          <w:rFonts w:ascii="Arial" w:hAnsi="Arial" w:cs="Arial"/>
          <w:b/>
          <w:bCs/>
          <w:iCs/>
          <w:sz w:val="28"/>
          <w:szCs w:val="28"/>
        </w:rPr>
        <w:t>6</w:t>
      </w:r>
      <w:r w:rsidRPr="00D05637">
        <w:rPr>
          <w:rFonts w:ascii="Arial" w:hAnsi="Arial" w:cs="Arial"/>
          <w:b/>
          <w:bCs/>
          <w:iCs/>
          <w:sz w:val="28"/>
          <w:szCs w:val="28"/>
        </w:rPr>
        <w:t xml:space="preserve"> Omissions as unlawful </w:t>
      </w:r>
      <w:r w:rsidR="00F8652E">
        <w:rPr>
          <w:rFonts w:ascii="Arial" w:hAnsi="Arial" w:cs="Arial"/>
          <w:b/>
          <w:bCs/>
          <w:iCs/>
          <w:sz w:val="28"/>
          <w:szCs w:val="28"/>
        </w:rPr>
        <w:t>‘</w:t>
      </w:r>
      <w:r w:rsidRPr="00D05637">
        <w:rPr>
          <w:rFonts w:ascii="Arial" w:hAnsi="Arial" w:cs="Arial"/>
          <w:b/>
          <w:bCs/>
          <w:iCs/>
          <w:sz w:val="28"/>
          <w:szCs w:val="28"/>
        </w:rPr>
        <w:t>acts</w:t>
      </w:r>
      <w:r w:rsidR="00F8652E">
        <w:rPr>
          <w:rFonts w:ascii="Arial" w:hAnsi="Arial" w:cs="Arial"/>
          <w:b/>
          <w:bCs/>
          <w:iCs/>
          <w:sz w:val="28"/>
          <w:szCs w:val="28"/>
        </w:rPr>
        <w:t>’</w:t>
      </w:r>
    </w:p>
    <w:p w:rsidR="00D05637" w:rsidRDefault="00D05637" w:rsidP="00D05637">
      <w:pPr>
        <w:jc w:val="both"/>
        <w:rPr>
          <w:rFonts w:ascii="Arial" w:hAnsi="Arial" w:cs="Arial"/>
        </w:rPr>
      </w:pPr>
    </w:p>
    <w:p w:rsidR="00D05637" w:rsidRPr="00AB24A3" w:rsidRDefault="00D05637" w:rsidP="00D05637">
      <w:pPr>
        <w:jc w:val="both"/>
        <w:rPr>
          <w:rFonts w:ascii="Arial" w:hAnsi="Arial" w:cs="Arial"/>
        </w:rPr>
      </w:pPr>
      <w:r w:rsidRPr="00A14BD9">
        <w:rPr>
          <w:rFonts w:ascii="Arial" w:hAnsi="Arial" w:cs="Arial"/>
        </w:rPr>
        <w:t xml:space="preserve">Given that constructive manslaughter requires an unlawful and dangerous </w:t>
      </w:r>
      <w:r w:rsidR="00F8652E">
        <w:rPr>
          <w:rFonts w:ascii="Arial" w:hAnsi="Arial" w:cs="Arial"/>
        </w:rPr>
        <w:t>‘</w:t>
      </w:r>
      <w:r w:rsidRPr="00A14BD9">
        <w:rPr>
          <w:rFonts w:ascii="Arial" w:hAnsi="Arial" w:cs="Arial"/>
        </w:rPr>
        <w:t>act</w:t>
      </w:r>
      <w:r w:rsidR="00F8652E">
        <w:rPr>
          <w:rFonts w:ascii="Arial" w:hAnsi="Arial" w:cs="Arial"/>
        </w:rPr>
        <w:t>’</w:t>
      </w:r>
      <w:r w:rsidRPr="00A14BD9">
        <w:rPr>
          <w:rFonts w:ascii="Arial" w:hAnsi="Arial" w:cs="Arial"/>
        </w:rPr>
        <w:t xml:space="preserve">, it </w:t>
      </w:r>
      <w:r>
        <w:rPr>
          <w:rFonts w:ascii="Arial" w:hAnsi="Arial" w:cs="Arial"/>
        </w:rPr>
        <w:t xml:space="preserve">logically </w:t>
      </w:r>
      <w:r w:rsidRPr="00A14BD9">
        <w:rPr>
          <w:rFonts w:ascii="Arial" w:hAnsi="Arial" w:cs="Arial"/>
        </w:rPr>
        <w:t xml:space="preserve">follows that if D simply omits to act, he cannot be guilty of this form of manslaughter. </w:t>
      </w:r>
      <w:r>
        <w:rPr>
          <w:rFonts w:ascii="Arial" w:hAnsi="Arial" w:cs="Arial"/>
        </w:rPr>
        <w:t xml:space="preserve">At least, that is the case in English and Australian law. </w:t>
      </w:r>
      <w:r w:rsidRPr="00A14BD9">
        <w:rPr>
          <w:rFonts w:ascii="Arial" w:hAnsi="Arial" w:cs="Arial"/>
        </w:rPr>
        <w:t xml:space="preserve">In </w:t>
      </w:r>
      <w:r w:rsidRPr="00A14BD9">
        <w:rPr>
          <w:rFonts w:ascii="Arial" w:hAnsi="Arial" w:cs="Arial"/>
          <w:i/>
          <w:iCs/>
        </w:rPr>
        <w:t>Lowe</w:t>
      </w:r>
      <w:r w:rsidRPr="00A14BD9">
        <w:rPr>
          <w:rFonts w:ascii="Arial" w:hAnsi="Arial" w:cs="Arial"/>
        </w:rPr>
        <w:t>,</w:t>
      </w:r>
      <w:r w:rsidRPr="00A14BD9">
        <w:rPr>
          <w:rStyle w:val="FootnoteReference"/>
          <w:rFonts w:ascii="Arial" w:hAnsi="Arial" w:cs="Arial"/>
        </w:rPr>
        <w:footnoteReference w:id="114"/>
      </w:r>
      <w:r w:rsidRPr="00A14BD9">
        <w:rPr>
          <w:rFonts w:ascii="Arial" w:hAnsi="Arial" w:cs="Arial"/>
        </w:rPr>
        <w:t xml:space="preserve"> D had been convicted of both neglecting his child so as to cause it unnecessary suffering or injury to its health</w:t>
      </w:r>
      <w:r>
        <w:rPr>
          <w:rStyle w:val="FootnoteReference"/>
          <w:rFonts w:ascii="Arial" w:hAnsi="Arial" w:cs="Arial"/>
        </w:rPr>
        <w:footnoteReference w:id="115"/>
      </w:r>
      <w:r w:rsidRPr="00A14BD9">
        <w:rPr>
          <w:rFonts w:ascii="Arial" w:hAnsi="Arial" w:cs="Arial"/>
        </w:rPr>
        <w:t xml:space="preserve"> and manslaughter. </w:t>
      </w:r>
      <w:r>
        <w:rPr>
          <w:rFonts w:ascii="Arial" w:hAnsi="Arial" w:cs="Arial"/>
        </w:rPr>
        <w:t>However, t</w:t>
      </w:r>
      <w:r w:rsidRPr="00AB24A3">
        <w:rPr>
          <w:rFonts w:ascii="Arial" w:hAnsi="Arial" w:cs="Arial"/>
        </w:rPr>
        <w:t>he Court of Appeal quashed his manslaughter conviction</w:t>
      </w:r>
      <w:r>
        <w:rPr>
          <w:rFonts w:ascii="Arial" w:hAnsi="Arial" w:cs="Arial"/>
        </w:rPr>
        <w:t xml:space="preserve">, </w:t>
      </w:r>
      <w:r w:rsidRPr="00AB24A3">
        <w:rPr>
          <w:rFonts w:ascii="Arial" w:hAnsi="Arial" w:cs="Arial"/>
        </w:rPr>
        <w:t>Phillimore J s</w:t>
      </w:r>
      <w:r>
        <w:rPr>
          <w:rFonts w:ascii="Arial" w:hAnsi="Arial" w:cs="Arial"/>
        </w:rPr>
        <w:t>tating</w:t>
      </w:r>
      <w:r w:rsidRPr="00AB24A3">
        <w:rPr>
          <w:rFonts w:ascii="Arial" w:hAnsi="Arial" w:cs="Arial"/>
        </w:rPr>
        <w:t>:</w:t>
      </w:r>
      <w:r>
        <w:rPr>
          <w:rStyle w:val="FootnoteReference"/>
          <w:rFonts w:ascii="Arial" w:hAnsi="Arial" w:cs="Arial"/>
        </w:rPr>
        <w:footnoteReference w:id="116"/>
      </w:r>
    </w:p>
    <w:p w:rsidR="00D05637" w:rsidRPr="00AB24A3" w:rsidRDefault="00D05637" w:rsidP="00D05637">
      <w:pPr>
        <w:jc w:val="both"/>
        <w:rPr>
          <w:rFonts w:ascii="Arial" w:hAnsi="Arial" w:cs="Arial"/>
        </w:rPr>
      </w:pPr>
    </w:p>
    <w:p w:rsidR="00D05637" w:rsidRPr="00AB24A3" w:rsidRDefault="00F8652E" w:rsidP="00D05637">
      <w:pPr>
        <w:ind w:left="567"/>
        <w:jc w:val="both"/>
        <w:rPr>
          <w:rFonts w:ascii="Arial" w:hAnsi="Arial" w:cs="Arial"/>
        </w:rPr>
      </w:pPr>
      <w:r>
        <w:rPr>
          <w:rFonts w:ascii="Arial" w:hAnsi="Arial" w:cs="Arial"/>
        </w:rPr>
        <w:t>‘</w:t>
      </w:r>
      <w:r w:rsidR="00D05637" w:rsidRPr="00AB24A3">
        <w:rPr>
          <w:rFonts w:ascii="Arial" w:hAnsi="Arial" w:cs="Arial"/>
        </w:rPr>
        <w:t>If I strike a child in a manner likely to cause harm it is right that if the child dies I may be charged with manslaughter. If, however, I omit to do something, with the result that it suffers injury to its health which results in its death, we think that a charge of manslaughter should not be an inevitable consequence even if the omission is deliberate.</w:t>
      </w:r>
      <w:r>
        <w:rPr>
          <w:rFonts w:ascii="Arial" w:hAnsi="Arial" w:cs="Arial"/>
        </w:rPr>
        <w:t>’</w:t>
      </w:r>
    </w:p>
    <w:p w:rsidR="00D05637" w:rsidRPr="00FB0929" w:rsidRDefault="00D05637" w:rsidP="00D05637">
      <w:pPr>
        <w:jc w:val="both"/>
        <w:rPr>
          <w:rFonts w:ascii="Arial" w:hAnsi="Arial" w:cs="Arial"/>
        </w:rPr>
      </w:pPr>
    </w:p>
    <w:p w:rsidR="00D05637" w:rsidRPr="00FB0929" w:rsidRDefault="00D05637" w:rsidP="00D05637">
      <w:pPr>
        <w:shd w:val="clear" w:color="auto" w:fill="FFFFFF"/>
        <w:jc w:val="both"/>
        <w:rPr>
          <w:rFonts w:ascii="Arial" w:hAnsi="Arial" w:cs="Arial"/>
        </w:rPr>
      </w:pPr>
      <w:r w:rsidRPr="00FB0929">
        <w:rPr>
          <w:rFonts w:ascii="Arial" w:hAnsi="Arial" w:cs="Arial"/>
        </w:rPr>
        <w:t xml:space="preserve">This is also the position in Australia. According to the </w:t>
      </w:r>
      <w:r>
        <w:rPr>
          <w:rFonts w:ascii="Arial" w:hAnsi="Arial" w:cs="Arial"/>
        </w:rPr>
        <w:t xml:space="preserve">court </w:t>
      </w:r>
      <w:r w:rsidRPr="00FB0929">
        <w:rPr>
          <w:rFonts w:ascii="Arial" w:hAnsi="Arial" w:cs="Arial"/>
          <w:iCs/>
          <w:color w:val="000000"/>
          <w:shd w:val="clear" w:color="auto" w:fill="FFFFFF"/>
        </w:rPr>
        <w:t xml:space="preserve">in </w:t>
      </w:r>
      <w:r w:rsidRPr="00FB0929">
        <w:rPr>
          <w:rFonts w:ascii="Arial" w:hAnsi="Arial" w:cs="Arial"/>
          <w:i/>
          <w:iCs/>
          <w:color w:val="000000"/>
          <w:shd w:val="clear" w:color="auto" w:fill="FFFFFF"/>
        </w:rPr>
        <w:t>Lane</w:t>
      </w:r>
      <w:r w:rsidRPr="00FB0929">
        <w:rPr>
          <w:rFonts w:ascii="Arial" w:hAnsi="Arial" w:cs="Arial"/>
          <w:color w:val="000000"/>
          <w:shd w:val="clear" w:color="auto" w:fill="FFFFFF"/>
        </w:rPr>
        <w:t>,</w:t>
      </w:r>
      <w:r>
        <w:rPr>
          <w:rStyle w:val="FootnoteReference"/>
          <w:rFonts w:ascii="Arial" w:hAnsi="Arial" w:cs="Arial"/>
          <w:color w:val="000000"/>
          <w:shd w:val="clear" w:color="auto" w:fill="FFFFFF"/>
        </w:rPr>
        <w:footnoteReference w:id="117"/>
      </w:r>
      <w:r w:rsidRPr="00FB0929">
        <w:rPr>
          <w:rFonts w:ascii="Arial" w:hAnsi="Arial" w:cs="Arial"/>
          <w:color w:val="000000"/>
          <w:shd w:val="clear" w:color="auto" w:fill="FFFFFF"/>
        </w:rPr>
        <w:t xml:space="preserve"> </w:t>
      </w:r>
      <w:r w:rsidR="00F8652E">
        <w:rPr>
          <w:rFonts w:ascii="Arial" w:hAnsi="Arial" w:cs="Arial"/>
        </w:rPr>
        <w:t>‘</w:t>
      </w:r>
      <w:r w:rsidRPr="00FB0929">
        <w:rPr>
          <w:rFonts w:ascii="Arial" w:hAnsi="Arial" w:cs="Arial"/>
          <w:color w:val="000000"/>
          <w:shd w:val="clear" w:color="auto" w:fill="FFFFFF"/>
        </w:rPr>
        <w:t xml:space="preserve">manslaughter by unlawful and dangerous act may only be established by </w:t>
      </w:r>
      <w:r w:rsidRPr="005C1CB8">
        <w:rPr>
          <w:rFonts w:ascii="Arial" w:hAnsi="Arial" w:cs="Arial"/>
          <w:i/>
          <w:color w:val="000000"/>
          <w:shd w:val="clear" w:color="auto" w:fill="FFFFFF"/>
        </w:rPr>
        <w:t>proof of a specific act</w:t>
      </w:r>
      <w:r w:rsidR="00F8652E">
        <w:rPr>
          <w:rFonts w:ascii="Arial" w:hAnsi="Arial" w:cs="Arial"/>
        </w:rPr>
        <w:t>’</w:t>
      </w:r>
      <w:r>
        <w:rPr>
          <w:rFonts w:ascii="Arial" w:hAnsi="Arial" w:cs="Arial"/>
        </w:rPr>
        <w:t>.</w:t>
      </w:r>
      <w:r>
        <w:rPr>
          <w:rStyle w:val="FootnoteReference"/>
          <w:rFonts w:ascii="Arial" w:hAnsi="Arial" w:cs="Arial"/>
        </w:rPr>
        <w:footnoteReference w:id="118"/>
      </w:r>
    </w:p>
    <w:p w:rsidR="00D05637" w:rsidRDefault="00D05637" w:rsidP="00D05637">
      <w:pPr>
        <w:jc w:val="both"/>
        <w:rPr>
          <w:rFonts w:ascii="Arial" w:hAnsi="Arial" w:cs="Arial"/>
        </w:rPr>
      </w:pPr>
    </w:p>
    <w:p w:rsidR="00D05637" w:rsidRDefault="00D05637" w:rsidP="00D05637">
      <w:pPr>
        <w:jc w:val="both"/>
        <w:rPr>
          <w:rFonts w:ascii="Arial" w:hAnsi="Arial" w:cs="Arial"/>
        </w:rPr>
      </w:pPr>
      <w:r>
        <w:rPr>
          <w:rFonts w:ascii="Arial" w:hAnsi="Arial" w:cs="Arial"/>
        </w:rPr>
        <w:t xml:space="preserve">This automatic exclusion of omissions from the scope of unlawful act manslaughter in English law has been criticized. </w:t>
      </w:r>
      <w:proofErr w:type="spellStart"/>
      <w:r>
        <w:rPr>
          <w:rFonts w:ascii="Arial" w:hAnsi="Arial" w:cs="Arial"/>
        </w:rPr>
        <w:t>Horder</w:t>
      </w:r>
      <w:proofErr w:type="spellEnd"/>
      <w:r>
        <w:rPr>
          <w:rFonts w:ascii="Arial" w:hAnsi="Arial" w:cs="Arial"/>
        </w:rPr>
        <w:t xml:space="preserve"> argues that cases like </w:t>
      </w:r>
      <w:r w:rsidRPr="00224226">
        <w:rPr>
          <w:rFonts w:ascii="Arial" w:hAnsi="Arial" w:cs="Arial"/>
          <w:i/>
        </w:rPr>
        <w:t>Lowe</w:t>
      </w:r>
      <w:r>
        <w:rPr>
          <w:rFonts w:ascii="Arial" w:hAnsi="Arial" w:cs="Arial"/>
        </w:rPr>
        <w:t xml:space="preserve"> should </w:t>
      </w:r>
      <w:r w:rsidR="00F8652E">
        <w:rPr>
          <w:rFonts w:ascii="Arial" w:hAnsi="Arial" w:cs="Arial"/>
        </w:rPr>
        <w:t>‘</w:t>
      </w:r>
      <w:r>
        <w:rPr>
          <w:rFonts w:ascii="Arial" w:hAnsi="Arial" w:cs="Arial"/>
        </w:rPr>
        <w:t>fall squarely within</w:t>
      </w:r>
      <w:r w:rsidR="00F8652E">
        <w:rPr>
          <w:rFonts w:ascii="Arial" w:hAnsi="Arial" w:cs="Arial"/>
        </w:rPr>
        <w:t>’</w:t>
      </w:r>
      <w:r>
        <w:rPr>
          <w:rFonts w:ascii="Arial" w:hAnsi="Arial" w:cs="Arial"/>
        </w:rPr>
        <w:t xml:space="preserve"> this form of manslaughter and that this </w:t>
      </w:r>
      <w:r w:rsidR="00F8652E">
        <w:rPr>
          <w:rFonts w:ascii="Arial" w:hAnsi="Arial" w:cs="Arial"/>
        </w:rPr>
        <w:t>‘</w:t>
      </w:r>
      <w:r>
        <w:rPr>
          <w:rFonts w:ascii="Arial" w:hAnsi="Arial" w:cs="Arial"/>
        </w:rPr>
        <w:t>manifestation of the distinction between acts and omissions is morally untenable</w:t>
      </w:r>
      <w:r w:rsidR="00F8652E">
        <w:rPr>
          <w:rFonts w:ascii="Arial" w:hAnsi="Arial" w:cs="Arial"/>
        </w:rPr>
        <w:t>’</w:t>
      </w:r>
      <w:r>
        <w:rPr>
          <w:rFonts w:ascii="Arial" w:hAnsi="Arial" w:cs="Arial"/>
        </w:rPr>
        <w:t>.</w:t>
      </w:r>
      <w:r>
        <w:rPr>
          <w:rStyle w:val="FootnoteReference"/>
          <w:rFonts w:ascii="Arial" w:hAnsi="Arial" w:cs="Arial"/>
        </w:rPr>
        <w:footnoteReference w:id="119"/>
      </w:r>
      <w:r>
        <w:rPr>
          <w:rFonts w:ascii="Arial" w:hAnsi="Arial" w:cs="Arial"/>
        </w:rPr>
        <w:t xml:space="preserve"> Allen agrees, arguing that where neglect is </w:t>
      </w:r>
      <w:r w:rsidR="00F8652E">
        <w:rPr>
          <w:rFonts w:ascii="Arial" w:hAnsi="Arial" w:cs="Arial"/>
        </w:rPr>
        <w:t>‘</w:t>
      </w:r>
      <w:r>
        <w:rPr>
          <w:rFonts w:ascii="Arial" w:hAnsi="Arial" w:cs="Arial"/>
        </w:rPr>
        <w:t xml:space="preserve">willful, in the sense that there is a deliberate decision not to give food or liquids or to seek medical attention [such] conduct is just as reprehensible as positive acts which are likely to cause harm. </w:t>
      </w:r>
      <w:r w:rsidRPr="005C1CB8">
        <w:rPr>
          <w:rFonts w:ascii="Arial" w:hAnsi="Arial" w:cs="Arial"/>
          <w:i/>
        </w:rPr>
        <w:t>Lowe</w:t>
      </w:r>
      <w:r>
        <w:rPr>
          <w:rFonts w:ascii="Arial" w:hAnsi="Arial" w:cs="Arial"/>
        </w:rPr>
        <w:t xml:space="preserve"> is a decision which clearly requires reconsideration</w:t>
      </w:r>
      <w:r w:rsidR="00F8652E">
        <w:rPr>
          <w:rFonts w:ascii="Arial" w:hAnsi="Arial" w:cs="Arial"/>
        </w:rPr>
        <w:t>’</w:t>
      </w:r>
      <w:r>
        <w:rPr>
          <w:rFonts w:ascii="Arial" w:hAnsi="Arial" w:cs="Arial"/>
        </w:rPr>
        <w:t>.</w:t>
      </w:r>
      <w:r>
        <w:rPr>
          <w:rStyle w:val="FootnoteReference"/>
          <w:rFonts w:ascii="Arial" w:hAnsi="Arial" w:cs="Arial"/>
        </w:rPr>
        <w:footnoteReference w:id="120"/>
      </w:r>
      <w:r>
        <w:rPr>
          <w:rFonts w:ascii="Arial" w:hAnsi="Arial" w:cs="Arial"/>
        </w:rPr>
        <w:t xml:space="preserve"> On the other hand, </w:t>
      </w:r>
      <w:proofErr w:type="spellStart"/>
      <w:r>
        <w:rPr>
          <w:rFonts w:ascii="Arial" w:hAnsi="Arial" w:cs="Arial"/>
        </w:rPr>
        <w:t>Simester</w:t>
      </w:r>
      <w:proofErr w:type="spellEnd"/>
      <w:r>
        <w:rPr>
          <w:rFonts w:ascii="Arial" w:hAnsi="Arial" w:cs="Arial"/>
        </w:rPr>
        <w:t xml:space="preserve"> et al have pointed out that if the ruling in </w:t>
      </w:r>
      <w:r w:rsidRPr="006570C0">
        <w:rPr>
          <w:rFonts w:ascii="Arial" w:hAnsi="Arial" w:cs="Arial"/>
          <w:i/>
        </w:rPr>
        <w:t>Lowe</w:t>
      </w:r>
      <w:r>
        <w:rPr>
          <w:rFonts w:ascii="Arial" w:hAnsi="Arial" w:cs="Arial"/>
        </w:rPr>
        <w:t xml:space="preserve"> had been the other way then </w:t>
      </w:r>
      <w:r w:rsidR="00F8652E">
        <w:rPr>
          <w:rFonts w:ascii="Arial" w:hAnsi="Arial" w:cs="Arial"/>
        </w:rPr>
        <w:t>‘</w:t>
      </w:r>
      <w:r w:rsidRPr="006570C0">
        <w:rPr>
          <w:rFonts w:ascii="Arial" w:hAnsi="Arial" w:cs="Arial"/>
          <w:i/>
        </w:rPr>
        <w:t>all</w:t>
      </w:r>
      <w:r>
        <w:rPr>
          <w:rFonts w:ascii="Arial" w:hAnsi="Arial" w:cs="Arial"/>
        </w:rPr>
        <w:t xml:space="preserve"> child deaths associated with willful neglect would constitute manslaughter without any necessity to demonstrate parental culpability in respect of the risk of death</w:t>
      </w:r>
      <w:r w:rsidR="00F8652E">
        <w:rPr>
          <w:rFonts w:ascii="Arial" w:hAnsi="Arial" w:cs="Arial"/>
        </w:rPr>
        <w:t>’</w:t>
      </w:r>
      <w:r>
        <w:rPr>
          <w:rFonts w:ascii="Arial" w:hAnsi="Arial" w:cs="Arial"/>
        </w:rPr>
        <w:t>.</w:t>
      </w:r>
      <w:r>
        <w:rPr>
          <w:rStyle w:val="FootnoteReference"/>
          <w:rFonts w:ascii="Arial" w:hAnsi="Arial" w:cs="Arial"/>
        </w:rPr>
        <w:footnoteReference w:id="121"/>
      </w:r>
      <w:r>
        <w:rPr>
          <w:rFonts w:ascii="Arial" w:hAnsi="Arial" w:cs="Arial"/>
        </w:rPr>
        <w:t xml:space="preserve"> They argue that cases of </w:t>
      </w:r>
      <w:r w:rsidR="00F8652E">
        <w:rPr>
          <w:rFonts w:ascii="Arial" w:hAnsi="Arial" w:cs="Arial"/>
        </w:rPr>
        <w:t>‘</w:t>
      </w:r>
      <w:r>
        <w:rPr>
          <w:rFonts w:ascii="Arial" w:hAnsi="Arial" w:cs="Arial"/>
        </w:rPr>
        <w:t>egregious parental neglect resulting in the death of children</w:t>
      </w:r>
      <w:r w:rsidR="00F8652E">
        <w:rPr>
          <w:rFonts w:ascii="Arial" w:hAnsi="Arial" w:cs="Arial"/>
        </w:rPr>
        <w:t>’</w:t>
      </w:r>
      <w:r>
        <w:rPr>
          <w:rFonts w:ascii="Arial" w:hAnsi="Arial" w:cs="Arial"/>
        </w:rPr>
        <w:t xml:space="preserve"> can be charged as gross negligence manslaughter,</w:t>
      </w:r>
      <w:r>
        <w:rPr>
          <w:rStyle w:val="FootnoteReference"/>
          <w:rFonts w:ascii="Arial" w:hAnsi="Arial" w:cs="Arial"/>
        </w:rPr>
        <w:footnoteReference w:id="122"/>
      </w:r>
      <w:r>
        <w:rPr>
          <w:rFonts w:ascii="Arial" w:hAnsi="Arial" w:cs="Arial"/>
        </w:rPr>
        <w:t xml:space="preserve"> and therefore </w:t>
      </w:r>
      <w:r w:rsidR="00F8652E">
        <w:rPr>
          <w:rFonts w:ascii="Arial" w:hAnsi="Arial" w:cs="Arial"/>
        </w:rPr>
        <w:t>‘</w:t>
      </w:r>
      <w:r>
        <w:rPr>
          <w:rFonts w:ascii="Arial" w:hAnsi="Arial" w:cs="Arial"/>
        </w:rPr>
        <w:t xml:space="preserve">the decision in </w:t>
      </w:r>
      <w:r w:rsidRPr="006570C0">
        <w:rPr>
          <w:rFonts w:ascii="Arial" w:hAnsi="Arial" w:cs="Arial"/>
          <w:i/>
        </w:rPr>
        <w:t>Lowe</w:t>
      </w:r>
      <w:r>
        <w:rPr>
          <w:rFonts w:ascii="Arial" w:hAnsi="Arial" w:cs="Arial"/>
        </w:rPr>
        <w:t xml:space="preserve"> may be welcomed</w:t>
      </w:r>
      <w:r w:rsidR="00F8652E">
        <w:rPr>
          <w:rFonts w:ascii="Arial" w:hAnsi="Arial" w:cs="Arial"/>
        </w:rPr>
        <w:t>’</w:t>
      </w:r>
      <w:r>
        <w:rPr>
          <w:rFonts w:ascii="Arial" w:hAnsi="Arial" w:cs="Arial"/>
        </w:rPr>
        <w:t>.</w:t>
      </w:r>
      <w:r>
        <w:rPr>
          <w:rStyle w:val="FootnoteReference"/>
          <w:rFonts w:ascii="Arial" w:hAnsi="Arial" w:cs="Arial"/>
        </w:rPr>
        <w:footnoteReference w:id="123"/>
      </w:r>
    </w:p>
    <w:p w:rsidR="00D05637" w:rsidRPr="003D3485" w:rsidRDefault="00D05637" w:rsidP="00D05637">
      <w:pPr>
        <w:jc w:val="both"/>
        <w:rPr>
          <w:rFonts w:ascii="Arial" w:hAnsi="Arial" w:cs="Arial"/>
        </w:rPr>
      </w:pPr>
    </w:p>
    <w:p w:rsidR="00D05637" w:rsidRPr="003D3485" w:rsidRDefault="00D05637" w:rsidP="00D05637">
      <w:pPr>
        <w:widowControl/>
        <w:kinsoku/>
        <w:overflowPunct/>
        <w:jc w:val="both"/>
        <w:textAlignment w:val="auto"/>
        <w:rPr>
          <w:rFonts w:ascii="Arial" w:hAnsi="Arial" w:cs="Arial"/>
        </w:rPr>
      </w:pPr>
      <w:r w:rsidRPr="003D3485">
        <w:rPr>
          <w:rFonts w:ascii="Arial" w:hAnsi="Arial" w:cs="Arial"/>
        </w:rPr>
        <w:lastRenderedPageBreak/>
        <w:t xml:space="preserve">In Canadian law, </w:t>
      </w:r>
      <w:r>
        <w:rPr>
          <w:rFonts w:ascii="Arial" w:hAnsi="Arial" w:cs="Arial"/>
        </w:rPr>
        <w:t xml:space="preserve">meanwhile, </w:t>
      </w:r>
      <w:r w:rsidRPr="003D3485">
        <w:rPr>
          <w:rFonts w:ascii="Arial" w:hAnsi="Arial" w:cs="Arial"/>
        </w:rPr>
        <w:t xml:space="preserve">a conviction for unlawful act manslaughter </w:t>
      </w:r>
      <w:r>
        <w:rPr>
          <w:rFonts w:ascii="Arial" w:hAnsi="Arial" w:cs="Arial"/>
        </w:rPr>
        <w:t>based on an omission is possible. In</w:t>
      </w:r>
      <w:r w:rsidRPr="003D3485">
        <w:rPr>
          <w:rFonts w:ascii="Arial" w:hAnsi="Arial" w:cs="Arial"/>
        </w:rPr>
        <w:t xml:space="preserve"> </w:t>
      </w:r>
      <w:r w:rsidRPr="003D3485">
        <w:rPr>
          <w:rFonts w:ascii="Arial" w:hAnsi="Arial" w:cs="Arial"/>
          <w:bCs/>
          <w:i/>
          <w:iCs/>
        </w:rPr>
        <w:t>Turner</w:t>
      </w:r>
      <w:r>
        <w:rPr>
          <w:rFonts w:ascii="Arial" w:hAnsi="Arial" w:cs="Arial"/>
          <w:bCs/>
          <w:iCs/>
        </w:rPr>
        <w:t>,</w:t>
      </w:r>
      <w:r w:rsidRPr="003D3485">
        <w:rPr>
          <w:rStyle w:val="FootnoteReference"/>
          <w:rFonts w:ascii="Arial" w:hAnsi="Arial" w:cs="Arial"/>
          <w:bCs/>
        </w:rPr>
        <w:footnoteReference w:id="124"/>
      </w:r>
      <w:r w:rsidRPr="003D3485">
        <w:rPr>
          <w:rFonts w:ascii="Arial" w:hAnsi="Arial" w:cs="Arial"/>
          <w:bCs/>
          <w:iCs/>
        </w:rPr>
        <w:t xml:space="preserve"> </w:t>
      </w:r>
      <w:r>
        <w:rPr>
          <w:rFonts w:ascii="Arial" w:hAnsi="Arial" w:cs="Arial"/>
          <w:bCs/>
          <w:iCs/>
        </w:rPr>
        <w:t xml:space="preserve">the defendants, a husband and wife, </w:t>
      </w:r>
      <w:r w:rsidRPr="003D3485">
        <w:rPr>
          <w:rFonts w:ascii="Arial" w:hAnsi="Arial" w:cs="Arial"/>
        </w:rPr>
        <w:t>were charged with the manslaughter of their 3-year-old son</w:t>
      </w:r>
      <w:r>
        <w:rPr>
          <w:rFonts w:ascii="Arial" w:hAnsi="Arial" w:cs="Arial"/>
        </w:rPr>
        <w:t>, V</w:t>
      </w:r>
      <w:r w:rsidRPr="003D3485">
        <w:rPr>
          <w:rFonts w:ascii="Arial" w:hAnsi="Arial" w:cs="Arial"/>
        </w:rPr>
        <w:t xml:space="preserve">. The cause of death was starvation. The autopsy report indicated that </w:t>
      </w:r>
      <w:r>
        <w:rPr>
          <w:rFonts w:ascii="Arial" w:hAnsi="Arial" w:cs="Arial"/>
        </w:rPr>
        <w:t>V</w:t>
      </w:r>
      <w:r w:rsidRPr="003D3485">
        <w:rPr>
          <w:rFonts w:ascii="Arial" w:hAnsi="Arial" w:cs="Arial"/>
        </w:rPr>
        <w:t xml:space="preserve"> was a </w:t>
      </w:r>
      <w:r w:rsidR="00F8652E">
        <w:rPr>
          <w:rFonts w:ascii="Arial" w:hAnsi="Arial" w:cs="Arial"/>
        </w:rPr>
        <w:t>‘</w:t>
      </w:r>
      <w:r w:rsidRPr="003D3485">
        <w:rPr>
          <w:rFonts w:ascii="Arial" w:hAnsi="Arial" w:cs="Arial"/>
        </w:rPr>
        <w:t>severely emaciated male child with an appearance consistent with malnutrition</w:t>
      </w:r>
      <w:r w:rsidR="00F8652E">
        <w:rPr>
          <w:rFonts w:ascii="Arial" w:hAnsi="Arial" w:cs="Arial"/>
        </w:rPr>
        <w:t>’</w:t>
      </w:r>
      <w:r w:rsidRPr="003D3485">
        <w:rPr>
          <w:rFonts w:ascii="Arial" w:hAnsi="Arial" w:cs="Arial"/>
        </w:rPr>
        <w:t xml:space="preserve">. </w:t>
      </w:r>
      <w:r>
        <w:rPr>
          <w:rFonts w:ascii="Arial" w:hAnsi="Arial" w:cs="Arial"/>
        </w:rPr>
        <w:t xml:space="preserve">The case proceeded on the basis of unlawful act manslaughter with </w:t>
      </w:r>
      <w:r w:rsidRPr="003D3485">
        <w:rPr>
          <w:rFonts w:ascii="Arial" w:hAnsi="Arial" w:cs="Arial"/>
        </w:rPr>
        <w:t xml:space="preserve">the unlawful </w:t>
      </w:r>
      <w:r w:rsidR="00F8652E">
        <w:rPr>
          <w:rFonts w:ascii="Arial" w:hAnsi="Arial" w:cs="Arial"/>
        </w:rPr>
        <w:t>‘</w:t>
      </w:r>
      <w:r w:rsidRPr="003D3485">
        <w:rPr>
          <w:rFonts w:ascii="Arial" w:hAnsi="Arial" w:cs="Arial"/>
        </w:rPr>
        <w:t>act</w:t>
      </w:r>
      <w:r w:rsidR="00F8652E">
        <w:rPr>
          <w:rFonts w:ascii="Arial" w:hAnsi="Arial" w:cs="Arial"/>
        </w:rPr>
        <w:t>’</w:t>
      </w:r>
      <w:r w:rsidRPr="003D3485">
        <w:rPr>
          <w:rFonts w:ascii="Arial" w:hAnsi="Arial" w:cs="Arial"/>
        </w:rPr>
        <w:t xml:space="preserve"> </w:t>
      </w:r>
      <w:r>
        <w:rPr>
          <w:rFonts w:ascii="Arial" w:hAnsi="Arial" w:cs="Arial"/>
        </w:rPr>
        <w:t>being</w:t>
      </w:r>
      <w:r w:rsidRPr="003D3485">
        <w:rPr>
          <w:rFonts w:ascii="Arial" w:hAnsi="Arial" w:cs="Arial"/>
        </w:rPr>
        <w:t xml:space="preserve"> the defendants</w:t>
      </w:r>
      <w:r w:rsidR="00F8652E">
        <w:rPr>
          <w:rFonts w:ascii="Arial" w:hAnsi="Arial" w:cs="Arial"/>
        </w:rPr>
        <w:t>’</w:t>
      </w:r>
      <w:r w:rsidRPr="003D3485">
        <w:rPr>
          <w:rFonts w:ascii="Arial" w:hAnsi="Arial" w:cs="Arial"/>
        </w:rPr>
        <w:t xml:space="preserve"> failure to provide the necessities of life to a child under 16</w:t>
      </w:r>
      <w:r w:rsidRPr="003D3485">
        <w:rPr>
          <w:rFonts w:ascii="Arial" w:hAnsi="Arial" w:cs="Arial"/>
          <w:iCs/>
        </w:rPr>
        <w:t>.</w:t>
      </w:r>
      <w:r>
        <w:rPr>
          <w:rStyle w:val="FootnoteReference"/>
          <w:rFonts w:ascii="Arial" w:hAnsi="Arial" w:cs="Arial"/>
          <w:iCs/>
        </w:rPr>
        <w:footnoteReference w:id="125"/>
      </w:r>
      <w:r w:rsidRPr="003D3485">
        <w:rPr>
          <w:rFonts w:ascii="Arial" w:hAnsi="Arial" w:cs="Arial"/>
          <w:iCs/>
        </w:rPr>
        <w:t xml:space="preserve"> That this is a crime of omission was emphasized by t</w:t>
      </w:r>
      <w:r w:rsidRPr="003D3485">
        <w:rPr>
          <w:rFonts w:ascii="Arial" w:hAnsi="Arial" w:cs="Arial"/>
        </w:rPr>
        <w:t xml:space="preserve">he trial judge who said that </w:t>
      </w:r>
      <w:r w:rsidR="00F8652E">
        <w:rPr>
          <w:rFonts w:ascii="Arial" w:hAnsi="Arial" w:cs="Arial"/>
        </w:rPr>
        <w:t>‘</w:t>
      </w:r>
      <w:r w:rsidRPr="003D3485">
        <w:rPr>
          <w:rFonts w:ascii="Arial" w:hAnsi="Arial" w:cs="Arial"/>
        </w:rPr>
        <w:t xml:space="preserve">the death of this child was caused by the </w:t>
      </w:r>
      <w:r w:rsidRPr="003D3485">
        <w:rPr>
          <w:rFonts w:ascii="Arial" w:hAnsi="Arial" w:cs="Arial"/>
          <w:bCs/>
          <w:i/>
          <w:iCs/>
        </w:rPr>
        <w:t>failure</w:t>
      </w:r>
      <w:r w:rsidRPr="003D3485">
        <w:rPr>
          <w:rFonts w:ascii="Arial" w:hAnsi="Arial" w:cs="Arial"/>
        </w:rPr>
        <w:t xml:space="preserve"> to provide him with necessaries of life. The </w:t>
      </w:r>
      <w:r w:rsidRPr="003D3485">
        <w:rPr>
          <w:rFonts w:ascii="Arial" w:hAnsi="Arial" w:cs="Arial"/>
          <w:bCs/>
          <w:i/>
          <w:iCs/>
        </w:rPr>
        <w:t>failure</w:t>
      </w:r>
      <w:r w:rsidRPr="003D3485">
        <w:rPr>
          <w:rFonts w:ascii="Arial" w:hAnsi="Arial" w:cs="Arial"/>
        </w:rPr>
        <w:t xml:space="preserve"> to provide these necessaries… is a serious and a dangerous </w:t>
      </w:r>
      <w:r w:rsidRPr="003D3485">
        <w:rPr>
          <w:rFonts w:ascii="Arial" w:hAnsi="Arial" w:cs="Arial"/>
          <w:bCs/>
          <w:i/>
          <w:iCs/>
        </w:rPr>
        <w:t>omission</w:t>
      </w:r>
      <w:r w:rsidRPr="003D3485">
        <w:rPr>
          <w:rFonts w:ascii="Arial" w:hAnsi="Arial" w:cs="Arial"/>
        </w:rPr>
        <w:t xml:space="preserve"> of duty</w:t>
      </w:r>
      <w:r w:rsidR="00F8652E">
        <w:rPr>
          <w:rFonts w:ascii="Arial" w:hAnsi="Arial" w:cs="Arial"/>
        </w:rPr>
        <w:t>’</w:t>
      </w:r>
      <w:r w:rsidRPr="003D3485">
        <w:rPr>
          <w:rFonts w:ascii="Arial" w:hAnsi="Arial" w:cs="Arial"/>
        </w:rPr>
        <w:t>.</w:t>
      </w:r>
      <w:r>
        <w:rPr>
          <w:rStyle w:val="FootnoteReference"/>
          <w:rFonts w:ascii="Arial" w:hAnsi="Arial" w:cs="Arial"/>
        </w:rPr>
        <w:footnoteReference w:id="126"/>
      </w:r>
      <w:r w:rsidRPr="003D3485">
        <w:rPr>
          <w:rFonts w:ascii="Arial" w:hAnsi="Arial" w:cs="Arial"/>
        </w:rPr>
        <w:t xml:space="preserve"> The defendants were convicted and the appeal court dismissed their appeals.</w:t>
      </w:r>
      <w:r>
        <w:rPr>
          <w:rFonts w:ascii="Arial" w:hAnsi="Arial" w:cs="Arial"/>
        </w:rPr>
        <w:t xml:space="preserve"> If </w:t>
      </w:r>
      <w:r w:rsidRPr="003D3485">
        <w:rPr>
          <w:rFonts w:ascii="Arial" w:hAnsi="Arial" w:cs="Arial"/>
          <w:i/>
        </w:rPr>
        <w:t>Lowe</w:t>
      </w:r>
      <w:r>
        <w:rPr>
          <w:rFonts w:ascii="Arial" w:hAnsi="Arial" w:cs="Arial"/>
        </w:rPr>
        <w:t xml:space="preserve"> is to be reconsidered, as Allen suggests, then </w:t>
      </w:r>
      <w:r w:rsidRPr="003D3485">
        <w:rPr>
          <w:rFonts w:ascii="Arial" w:hAnsi="Arial" w:cs="Arial"/>
          <w:i/>
        </w:rPr>
        <w:t>Turner</w:t>
      </w:r>
      <w:r>
        <w:rPr>
          <w:rFonts w:ascii="Arial" w:hAnsi="Arial" w:cs="Arial"/>
        </w:rPr>
        <w:t xml:space="preserve"> provides an obvious</w:t>
      </w:r>
      <w:r w:rsidR="00C63E95">
        <w:rPr>
          <w:rFonts w:ascii="Arial" w:hAnsi="Arial" w:cs="Arial"/>
        </w:rPr>
        <w:t>, albeit</w:t>
      </w:r>
      <w:r>
        <w:rPr>
          <w:rFonts w:ascii="Arial" w:hAnsi="Arial" w:cs="Arial"/>
        </w:rPr>
        <w:t xml:space="preserve"> persuasive</w:t>
      </w:r>
      <w:r w:rsidR="00C63E95">
        <w:rPr>
          <w:rFonts w:ascii="Arial" w:hAnsi="Arial" w:cs="Arial"/>
        </w:rPr>
        <w:t>,</w:t>
      </w:r>
      <w:r>
        <w:rPr>
          <w:rFonts w:ascii="Arial" w:hAnsi="Arial" w:cs="Arial"/>
        </w:rPr>
        <w:t xml:space="preserve"> precedent.</w:t>
      </w:r>
    </w:p>
    <w:p w:rsidR="00D05637" w:rsidRPr="003D3485" w:rsidRDefault="00D05637" w:rsidP="00D05637">
      <w:pPr>
        <w:jc w:val="both"/>
        <w:rPr>
          <w:rFonts w:ascii="Arial" w:hAnsi="Arial" w:cs="Arial"/>
        </w:rPr>
      </w:pPr>
    </w:p>
    <w:p w:rsidR="00D05637" w:rsidRPr="00FB0929" w:rsidRDefault="00D05637" w:rsidP="00D05637">
      <w:pPr>
        <w:jc w:val="both"/>
        <w:rPr>
          <w:rFonts w:ascii="Arial" w:hAnsi="Arial" w:cs="Arial"/>
        </w:rPr>
      </w:pPr>
    </w:p>
    <w:p w:rsidR="00AB24A3" w:rsidRPr="00A07640" w:rsidRDefault="00AB24A3" w:rsidP="00AB24A3">
      <w:pPr>
        <w:jc w:val="both"/>
        <w:rPr>
          <w:rFonts w:ascii="Arial" w:hAnsi="Arial" w:cs="Arial"/>
          <w:b/>
          <w:bCs/>
          <w:i/>
          <w:iCs/>
        </w:rPr>
      </w:pPr>
    </w:p>
    <w:p w:rsidR="00AB24A3" w:rsidRPr="000C0F3C" w:rsidRDefault="00AB24A3" w:rsidP="000B4E14">
      <w:pPr>
        <w:pStyle w:val="ListParagraph"/>
        <w:numPr>
          <w:ilvl w:val="0"/>
          <w:numId w:val="2"/>
        </w:numPr>
        <w:jc w:val="both"/>
        <w:rPr>
          <w:rFonts w:ascii="Arial" w:hAnsi="Arial" w:cs="Arial"/>
          <w:b/>
          <w:bCs/>
          <w:iCs/>
          <w:sz w:val="32"/>
          <w:szCs w:val="32"/>
        </w:rPr>
      </w:pPr>
      <w:r w:rsidRPr="000C0F3C">
        <w:rPr>
          <w:rFonts w:ascii="Arial" w:hAnsi="Arial" w:cs="Arial"/>
          <w:b/>
          <w:bCs/>
          <w:iCs/>
          <w:sz w:val="32"/>
          <w:szCs w:val="32"/>
        </w:rPr>
        <w:t>Dangerousness</w:t>
      </w:r>
    </w:p>
    <w:p w:rsidR="000B4E14" w:rsidRDefault="000B4E14" w:rsidP="00AB24A3">
      <w:pPr>
        <w:jc w:val="both"/>
        <w:rPr>
          <w:rFonts w:ascii="Arial" w:hAnsi="Arial" w:cs="Arial"/>
          <w:iCs/>
        </w:rPr>
      </w:pPr>
    </w:p>
    <w:p w:rsidR="00AB24A3" w:rsidRPr="00AB24A3" w:rsidRDefault="007304F5" w:rsidP="00AB24A3">
      <w:pPr>
        <w:jc w:val="both"/>
        <w:rPr>
          <w:rFonts w:ascii="Arial" w:hAnsi="Arial" w:cs="Arial"/>
        </w:rPr>
      </w:pPr>
      <w:r>
        <w:rPr>
          <w:rFonts w:ascii="Arial" w:hAnsi="Arial" w:cs="Arial"/>
          <w:iCs/>
        </w:rPr>
        <w:t xml:space="preserve">The requirement of </w:t>
      </w:r>
      <w:r w:rsidR="00F8652E">
        <w:rPr>
          <w:rFonts w:ascii="Arial" w:hAnsi="Arial" w:cs="Arial"/>
          <w:iCs/>
        </w:rPr>
        <w:t>‘</w:t>
      </w:r>
      <w:r>
        <w:rPr>
          <w:rFonts w:ascii="Arial" w:hAnsi="Arial" w:cs="Arial"/>
          <w:iCs/>
        </w:rPr>
        <w:t>dangerousness</w:t>
      </w:r>
      <w:r w:rsidR="00F8652E">
        <w:rPr>
          <w:rFonts w:ascii="Arial" w:hAnsi="Arial" w:cs="Arial"/>
          <w:iCs/>
        </w:rPr>
        <w:t>’</w:t>
      </w:r>
      <w:r>
        <w:rPr>
          <w:rFonts w:ascii="Arial" w:hAnsi="Arial" w:cs="Arial"/>
          <w:iCs/>
        </w:rPr>
        <w:t xml:space="preserve"> </w:t>
      </w:r>
      <w:r w:rsidR="000C0F3C">
        <w:rPr>
          <w:rFonts w:ascii="Arial" w:hAnsi="Arial" w:cs="Arial"/>
          <w:iCs/>
        </w:rPr>
        <w:t>was</w:t>
      </w:r>
      <w:r w:rsidR="00952CE0">
        <w:rPr>
          <w:rFonts w:ascii="Arial" w:hAnsi="Arial" w:cs="Arial"/>
          <w:iCs/>
        </w:rPr>
        <w:t xml:space="preserve"> </w:t>
      </w:r>
      <w:r>
        <w:rPr>
          <w:rFonts w:ascii="Arial" w:hAnsi="Arial" w:cs="Arial"/>
          <w:iCs/>
        </w:rPr>
        <w:t>added in order to restrict the scope of unlawful act manslaughter, which historically had been capable of commission simply on proof of an unlawful act causing death.</w:t>
      </w:r>
      <w:r w:rsidRPr="007304F5">
        <w:rPr>
          <w:rFonts w:ascii="Arial" w:hAnsi="Arial" w:cs="Arial"/>
          <w:iCs/>
        </w:rPr>
        <w:t xml:space="preserve"> </w:t>
      </w:r>
      <w:r w:rsidR="000C0F3C">
        <w:rPr>
          <w:rFonts w:ascii="Arial" w:hAnsi="Arial" w:cs="Arial"/>
          <w:iCs/>
        </w:rPr>
        <w:t>I</w:t>
      </w:r>
      <w:r w:rsidR="00AB24A3" w:rsidRPr="00AB24A3">
        <w:rPr>
          <w:rFonts w:ascii="Arial" w:hAnsi="Arial" w:cs="Arial"/>
          <w:iCs/>
        </w:rPr>
        <w:t xml:space="preserve">n </w:t>
      </w:r>
      <w:r w:rsidR="00AB24A3" w:rsidRPr="00AB24A3">
        <w:rPr>
          <w:rFonts w:ascii="Arial" w:hAnsi="Arial" w:cs="Arial"/>
          <w:i/>
          <w:iCs/>
        </w:rPr>
        <w:t>Larkin</w:t>
      </w:r>
      <w:r w:rsidR="00AB24A3" w:rsidRPr="00AB24A3">
        <w:rPr>
          <w:rFonts w:ascii="Arial" w:hAnsi="Arial" w:cs="Arial"/>
        </w:rPr>
        <w:t>,</w:t>
      </w:r>
      <w:r w:rsidR="009B76A1">
        <w:rPr>
          <w:rStyle w:val="FootnoteReference"/>
          <w:rFonts w:ascii="Arial" w:hAnsi="Arial" w:cs="Arial"/>
        </w:rPr>
        <w:footnoteReference w:id="127"/>
      </w:r>
      <w:r w:rsidR="00AB24A3" w:rsidRPr="00AB24A3">
        <w:rPr>
          <w:rFonts w:ascii="Arial" w:hAnsi="Arial" w:cs="Arial"/>
        </w:rPr>
        <w:t xml:space="preserve"> </w:t>
      </w:r>
      <w:r w:rsidR="00BB4550">
        <w:rPr>
          <w:rFonts w:ascii="Arial" w:hAnsi="Arial" w:cs="Arial"/>
        </w:rPr>
        <w:t xml:space="preserve">Humphreys J </w:t>
      </w:r>
      <w:r w:rsidR="00AB24A3" w:rsidRPr="00AB24A3">
        <w:rPr>
          <w:rFonts w:ascii="Arial" w:hAnsi="Arial" w:cs="Arial"/>
        </w:rPr>
        <w:t xml:space="preserve">said that </w:t>
      </w:r>
      <w:r w:rsidR="00BB4550">
        <w:rPr>
          <w:rFonts w:ascii="Arial" w:hAnsi="Arial" w:cs="Arial"/>
        </w:rPr>
        <w:t xml:space="preserve">it </w:t>
      </w:r>
      <w:r w:rsidR="00AB24A3" w:rsidRPr="00AB24A3">
        <w:rPr>
          <w:rFonts w:ascii="Arial" w:hAnsi="Arial" w:cs="Arial"/>
        </w:rPr>
        <w:t xml:space="preserve">meant an </w:t>
      </w:r>
      <w:r w:rsidR="00F8652E">
        <w:rPr>
          <w:rFonts w:ascii="Arial" w:hAnsi="Arial" w:cs="Arial"/>
        </w:rPr>
        <w:t>‘</w:t>
      </w:r>
      <w:r w:rsidR="00AB24A3" w:rsidRPr="00AB24A3">
        <w:rPr>
          <w:rFonts w:ascii="Arial" w:hAnsi="Arial" w:cs="Arial"/>
        </w:rPr>
        <w:t>act which is likely to injure another person</w:t>
      </w:r>
      <w:r w:rsidR="00F8652E">
        <w:rPr>
          <w:rFonts w:ascii="Arial" w:hAnsi="Arial" w:cs="Arial"/>
        </w:rPr>
        <w:t>’</w:t>
      </w:r>
      <w:r w:rsidR="00AB24A3" w:rsidRPr="00AB24A3">
        <w:rPr>
          <w:rFonts w:ascii="Arial" w:hAnsi="Arial" w:cs="Arial"/>
        </w:rPr>
        <w:t>.</w:t>
      </w:r>
      <w:r w:rsidR="00BB4550">
        <w:rPr>
          <w:rStyle w:val="FootnoteReference"/>
          <w:rFonts w:ascii="Arial" w:hAnsi="Arial" w:cs="Arial"/>
        </w:rPr>
        <w:footnoteReference w:id="128"/>
      </w:r>
      <w:r w:rsidR="00AB24A3" w:rsidRPr="00AB24A3">
        <w:rPr>
          <w:rFonts w:ascii="Arial" w:hAnsi="Arial" w:cs="Arial"/>
        </w:rPr>
        <w:t xml:space="preserve"> In </w:t>
      </w:r>
      <w:r w:rsidR="00952CE0">
        <w:rPr>
          <w:rFonts w:ascii="Arial" w:hAnsi="Arial" w:cs="Arial"/>
        </w:rPr>
        <w:t xml:space="preserve">what is now the leading English case, </w:t>
      </w:r>
      <w:r w:rsidR="00AB24A3" w:rsidRPr="00AB24A3">
        <w:rPr>
          <w:rFonts w:ascii="Arial" w:hAnsi="Arial" w:cs="Arial"/>
          <w:i/>
          <w:iCs/>
        </w:rPr>
        <w:t>Church</w:t>
      </w:r>
      <w:r w:rsidR="00E52B92" w:rsidRPr="00E52B92">
        <w:rPr>
          <w:rFonts w:ascii="Arial" w:hAnsi="Arial" w:cs="Arial"/>
          <w:iCs/>
        </w:rPr>
        <w:t>,</w:t>
      </w:r>
      <w:r w:rsidR="00E52B92">
        <w:rPr>
          <w:rStyle w:val="FootnoteReference"/>
          <w:rFonts w:ascii="Arial" w:hAnsi="Arial" w:cs="Arial"/>
        </w:rPr>
        <w:footnoteReference w:id="129"/>
      </w:r>
      <w:r w:rsidR="00AB24A3" w:rsidRPr="00AB24A3">
        <w:rPr>
          <w:rFonts w:ascii="Arial" w:hAnsi="Arial" w:cs="Arial"/>
        </w:rPr>
        <w:t xml:space="preserve"> Edmund Davies J </w:t>
      </w:r>
      <w:r w:rsidR="00952CE0">
        <w:rPr>
          <w:rFonts w:ascii="Arial" w:hAnsi="Arial" w:cs="Arial"/>
        </w:rPr>
        <w:t>explained that</w:t>
      </w:r>
      <w:r w:rsidR="00AB24A3" w:rsidRPr="00AB24A3">
        <w:rPr>
          <w:rFonts w:ascii="Arial" w:hAnsi="Arial" w:cs="Arial"/>
        </w:rPr>
        <w:t>:</w:t>
      </w:r>
      <w:r w:rsidR="008F304A">
        <w:rPr>
          <w:rStyle w:val="FootnoteReference"/>
          <w:rFonts w:ascii="Arial" w:hAnsi="Arial" w:cs="Arial"/>
        </w:rPr>
        <w:footnoteReference w:id="130"/>
      </w:r>
    </w:p>
    <w:p w:rsidR="00AB24A3" w:rsidRPr="00AB24A3" w:rsidRDefault="00AB24A3" w:rsidP="00AB24A3">
      <w:pPr>
        <w:jc w:val="both"/>
        <w:rPr>
          <w:rFonts w:ascii="Arial" w:hAnsi="Arial" w:cs="Arial"/>
        </w:rPr>
      </w:pPr>
    </w:p>
    <w:p w:rsidR="00AB24A3" w:rsidRPr="00286798" w:rsidRDefault="00F8652E" w:rsidP="00B620F6">
      <w:pPr>
        <w:ind w:left="567"/>
        <w:jc w:val="both"/>
        <w:rPr>
          <w:rFonts w:ascii="Arial" w:hAnsi="Arial" w:cs="Arial"/>
        </w:rPr>
      </w:pPr>
      <w:r>
        <w:rPr>
          <w:rFonts w:ascii="Arial" w:hAnsi="Arial" w:cs="Arial"/>
        </w:rPr>
        <w:t>‘</w:t>
      </w:r>
      <w:r w:rsidR="00AB24A3" w:rsidRPr="00AB24A3">
        <w:rPr>
          <w:rFonts w:ascii="Arial" w:hAnsi="Arial" w:cs="Arial"/>
        </w:rPr>
        <w:t xml:space="preserve">An unlawful act causing the death of another cannot, simply because it is an unlawful act, render a manslaughter verdict inevitable. For such a verdict inexorably to follow, the unlawful act must be such as all sober and reasonable people would inevitably </w:t>
      </w:r>
      <w:proofErr w:type="spellStart"/>
      <w:r w:rsidR="00AB24A3" w:rsidRPr="00AB24A3">
        <w:rPr>
          <w:rFonts w:ascii="Arial" w:hAnsi="Arial" w:cs="Arial"/>
        </w:rPr>
        <w:t>recognise</w:t>
      </w:r>
      <w:proofErr w:type="spellEnd"/>
      <w:r w:rsidR="00AB24A3" w:rsidRPr="00AB24A3">
        <w:rPr>
          <w:rFonts w:ascii="Arial" w:hAnsi="Arial" w:cs="Arial"/>
        </w:rPr>
        <w:t xml:space="preserve"> must subject the other person to, at least, the </w:t>
      </w:r>
      <w:r w:rsidR="00AB24A3" w:rsidRPr="00286798">
        <w:rPr>
          <w:rFonts w:ascii="Arial" w:hAnsi="Arial" w:cs="Arial"/>
        </w:rPr>
        <w:t>risk of some harm resulting therefrom, albeit not serious harm.</w:t>
      </w:r>
      <w:r w:rsidRPr="00286798">
        <w:rPr>
          <w:rFonts w:ascii="Arial" w:hAnsi="Arial" w:cs="Arial"/>
        </w:rPr>
        <w:t>’</w:t>
      </w:r>
    </w:p>
    <w:p w:rsidR="00AB24A3" w:rsidRPr="00286798" w:rsidRDefault="00AB24A3" w:rsidP="00AB24A3">
      <w:pPr>
        <w:jc w:val="both"/>
        <w:rPr>
          <w:rFonts w:ascii="Arial" w:hAnsi="Arial" w:cs="Arial"/>
        </w:rPr>
      </w:pPr>
    </w:p>
    <w:p w:rsidR="000C0F3C" w:rsidRDefault="00286798" w:rsidP="00286798">
      <w:pPr>
        <w:pStyle w:val="ListParagraph"/>
        <w:ind w:left="0"/>
        <w:jc w:val="both"/>
        <w:rPr>
          <w:rFonts w:ascii="Arial" w:hAnsi="Arial" w:cs="Arial"/>
          <w:spacing w:val="-3"/>
        </w:rPr>
      </w:pPr>
      <w:r w:rsidRPr="00286798">
        <w:rPr>
          <w:rFonts w:ascii="Arial" w:hAnsi="Arial" w:cs="Arial"/>
          <w:iCs/>
        </w:rPr>
        <w:t xml:space="preserve">In </w:t>
      </w:r>
      <w:r w:rsidRPr="00286798">
        <w:rPr>
          <w:rFonts w:ascii="Arial" w:hAnsi="Arial" w:cs="Arial"/>
          <w:bCs/>
          <w:i/>
        </w:rPr>
        <w:t>Attorney-General’s Reference (No.3 of 1994)</w:t>
      </w:r>
      <w:r w:rsidRPr="00286798">
        <w:rPr>
          <w:rFonts w:ascii="Arial" w:hAnsi="Arial" w:cs="Arial"/>
          <w:bCs/>
        </w:rPr>
        <w:t>,</w:t>
      </w:r>
      <w:r w:rsidRPr="00286798">
        <w:rPr>
          <w:rStyle w:val="FootnoteReference"/>
          <w:rFonts w:ascii="Arial" w:hAnsi="Arial" w:cs="Arial"/>
          <w:bCs/>
        </w:rPr>
        <w:footnoteReference w:id="131"/>
      </w:r>
      <w:r w:rsidRPr="00286798">
        <w:rPr>
          <w:rFonts w:ascii="Arial" w:hAnsi="Arial" w:cs="Arial"/>
          <w:bCs/>
          <w:i/>
        </w:rPr>
        <w:t xml:space="preserve"> </w:t>
      </w:r>
      <w:r w:rsidRPr="00286798">
        <w:rPr>
          <w:rFonts w:ascii="Arial" w:hAnsi="Arial" w:cs="Arial"/>
          <w:bCs/>
        </w:rPr>
        <w:t xml:space="preserve">the House of Lords clarified that an act was dangerous if </w:t>
      </w:r>
      <w:r w:rsidR="00977BBF">
        <w:rPr>
          <w:rFonts w:ascii="Arial" w:hAnsi="Arial" w:cs="Arial"/>
          <w:bCs/>
        </w:rPr>
        <w:t xml:space="preserve">(in the opinion of the sober and reasonable bystander) </w:t>
      </w:r>
      <w:r w:rsidRPr="00286798">
        <w:rPr>
          <w:rFonts w:ascii="Arial" w:hAnsi="Arial" w:cs="Arial"/>
          <w:bCs/>
        </w:rPr>
        <w:t>it exposed someone to the risk of some harm (not necessarily the person who subsequently died).</w:t>
      </w:r>
      <w:r w:rsidR="00977BBF">
        <w:rPr>
          <w:rStyle w:val="FootnoteReference"/>
          <w:rFonts w:ascii="Arial" w:hAnsi="Arial" w:cs="Arial"/>
          <w:bCs/>
        </w:rPr>
        <w:footnoteReference w:id="132"/>
      </w:r>
      <w:r>
        <w:rPr>
          <w:rFonts w:ascii="Arial" w:hAnsi="Arial" w:cs="Arial"/>
          <w:bCs/>
        </w:rPr>
        <w:t xml:space="preserve"> </w:t>
      </w:r>
      <w:r w:rsidR="000C0F3C" w:rsidRPr="00286798">
        <w:rPr>
          <w:rFonts w:ascii="Arial" w:hAnsi="Arial" w:cs="Arial"/>
          <w:iCs/>
        </w:rPr>
        <w:t xml:space="preserve">The Canadian </w:t>
      </w:r>
      <w:r w:rsidR="000C0F3C" w:rsidRPr="00286798">
        <w:rPr>
          <w:rFonts w:ascii="Arial" w:hAnsi="Arial" w:cs="Arial"/>
          <w:i/>
          <w:iCs/>
        </w:rPr>
        <w:t>Criminal Code</w:t>
      </w:r>
      <w:r w:rsidR="000C0F3C" w:rsidRPr="00286798">
        <w:rPr>
          <w:rFonts w:ascii="Arial" w:hAnsi="Arial" w:cs="Arial"/>
          <w:iCs/>
        </w:rPr>
        <w:t xml:space="preserve"> does not explicitly specify that the unlawful act must also be dangerous but the courts have accepted that it is an implicit requirement. In</w:t>
      </w:r>
      <w:r w:rsidR="000C0F3C" w:rsidRPr="007304F5">
        <w:rPr>
          <w:rFonts w:ascii="Arial" w:hAnsi="Arial" w:cs="Arial"/>
          <w:iCs/>
        </w:rPr>
        <w:t xml:space="preserve"> </w:t>
      </w:r>
      <w:r w:rsidR="000C0F3C" w:rsidRPr="007304F5">
        <w:rPr>
          <w:rFonts w:ascii="Arial" w:hAnsi="Arial" w:cs="Arial"/>
          <w:i/>
          <w:spacing w:val="-3"/>
        </w:rPr>
        <w:t>Adkins</w:t>
      </w:r>
      <w:r w:rsidR="000C0F3C">
        <w:rPr>
          <w:rFonts w:ascii="Arial" w:hAnsi="Arial" w:cs="Arial"/>
          <w:spacing w:val="-3"/>
        </w:rPr>
        <w:t>,</w:t>
      </w:r>
      <w:r w:rsidR="000C0F3C" w:rsidRPr="007304F5">
        <w:rPr>
          <w:rFonts w:ascii="Arial" w:hAnsi="Arial" w:cs="Arial"/>
          <w:spacing w:val="-3"/>
        </w:rPr>
        <w:t xml:space="preserve"> </w:t>
      </w:r>
      <w:r w:rsidR="000C0F3C" w:rsidRPr="007304F5">
        <w:rPr>
          <w:rStyle w:val="FootnoteReference"/>
          <w:rFonts w:ascii="Arial" w:hAnsi="Arial" w:cs="Arial"/>
          <w:spacing w:val="-3"/>
        </w:rPr>
        <w:footnoteReference w:id="133"/>
      </w:r>
      <w:r w:rsidR="000C0F3C">
        <w:rPr>
          <w:rFonts w:ascii="Arial" w:hAnsi="Arial" w:cs="Arial"/>
          <w:spacing w:val="-3"/>
        </w:rPr>
        <w:t xml:space="preserve"> </w:t>
      </w:r>
      <w:r w:rsidR="000C0F3C" w:rsidRPr="007304F5">
        <w:rPr>
          <w:rFonts w:ascii="Arial" w:hAnsi="Arial" w:cs="Arial"/>
          <w:spacing w:val="-3"/>
        </w:rPr>
        <w:t xml:space="preserve">Hutcheon JA explained </w:t>
      </w:r>
      <w:r w:rsidR="000C0F3C">
        <w:rPr>
          <w:rFonts w:ascii="Arial" w:hAnsi="Arial" w:cs="Arial"/>
          <w:spacing w:val="-3"/>
        </w:rPr>
        <w:t>why this was so:</w:t>
      </w:r>
      <w:r w:rsidR="000C0F3C">
        <w:rPr>
          <w:rStyle w:val="FootnoteReference"/>
          <w:rFonts w:ascii="Arial" w:hAnsi="Arial" w:cs="Arial"/>
          <w:spacing w:val="-3"/>
        </w:rPr>
        <w:footnoteReference w:id="134"/>
      </w:r>
    </w:p>
    <w:p w:rsidR="000C0F3C" w:rsidRPr="005943E4" w:rsidRDefault="000C0F3C" w:rsidP="000C0F3C">
      <w:pPr>
        <w:jc w:val="both"/>
        <w:rPr>
          <w:rFonts w:ascii="Arial" w:hAnsi="Arial" w:cs="Arial"/>
          <w:b/>
          <w:spacing w:val="-3"/>
          <w:sz w:val="28"/>
          <w:szCs w:val="28"/>
        </w:rPr>
      </w:pPr>
    </w:p>
    <w:p w:rsidR="000C0F3C" w:rsidRDefault="00F8652E" w:rsidP="000C0F3C">
      <w:pPr>
        <w:ind w:left="567"/>
        <w:jc w:val="both"/>
        <w:rPr>
          <w:rFonts w:ascii="Arial" w:hAnsi="Arial" w:cs="Arial"/>
          <w:iCs/>
        </w:rPr>
      </w:pPr>
      <w:r>
        <w:rPr>
          <w:rFonts w:ascii="Arial" w:hAnsi="Arial" w:cs="Arial"/>
          <w:iCs/>
        </w:rPr>
        <w:t>‘</w:t>
      </w:r>
      <w:r w:rsidR="000C0F3C" w:rsidRPr="007304F5">
        <w:rPr>
          <w:rFonts w:ascii="Arial" w:hAnsi="Arial" w:cs="Arial"/>
          <w:iCs/>
        </w:rPr>
        <w:t xml:space="preserve">I accept the proposition that the unlawful act must be such as all reasonable people would inevitably recognize must subject the other person to harm. I </w:t>
      </w:r>
      <w:r w:rsidR="000C0F3C" w:rsidRPr="007304F5">
        <w:rPr>
          <w:rFonts w:ascii="Arial" w:hAnsi="Arial" w:cs="Arial"/>
          <w:iCs/>
        </w:rPr>
        <w:lastRenderedPageBreak/>
        <w:t xml:space="preserve">think that proposition to be in accord with principle and common sense. It would guard against an unjust conviction for manslaughter that could arise from a breach of a section of the </w:t>
      </w:r>
      <w:r w:rsidR="000C0F3C" w:rsidRPr="007304F5">
        <w:rPr>
          <w:rFonts w:ascii="Arial" w:hAnsi="Arial" w:cs="Arial"/>
          <w:i/>
          <w:iCs/>
        </w:rPr>
        <w:t>Criminal Code</w:t>
      </w:r>
      <w:r w:rsidR="000C0F3C" w:rsidRPr="007304F5">
        <w:rPr>
          <w:rFonts w:ascii="Arial" w:hAnsi="Arial" w:cs="Arial"/>
          <w:iCs/>
        </w:rPr>
        <w:t>, a breach that in some bizarre or unexpected way caused the death of a human being.</w:t>
      </w:r>
      <w:r>
        <w:rPr>
          <w:rFonts w:ascii="Arial" w:hAnsi="Arial" w:cs="Arial"/>
          <w:iCs/>
        </w:rPr>
        <w:t>’</w:t>
      </w:r>
    </w:p>
    <w:p w:rsidR="000C0F3C" w:rsidRDefault="000C0F3C" w:rsidP="000C0F3C">
      <w:pPr>
        <w:jc w:val="both"/>
        <w:rPr>
          <w:rFonts w:ascii="Arial" w:hAnsi="Arial" w:cs="Arial"/>
          <w:iCs/>
        </w:rPr>
      </w:pPr>
    </w:p>
    <w:p w:rsidR="000C0F3C" w:rsidRPr="00977BBF" w:rsidRDefault="00977BBF" w:rsidP="000C0F3C">
      <w:pPr>
        <w:jc w:val="both"/>
        <w:rPr>
          <w:rFonts w:ascii="Arial" w:hAnsi="Arial" w:cs="Arial"/>
          <w:iCs/>
        </w:rPr>
      </w:pPr>
      <w:r w:rsidRPr="00977BBF">
        <w:rPr>
          <w:rFonts w:ascii="Arial" w:hAnsi="Arial" w:cs="Arial"/>
          <w:iCs/>
        </w:rPr>
        <w:t xml:space="preserve">The objective nature of the </w:t>
      </w:r>
      <w:r w:rsidRPr="00977BBF">
        <w:rPr>
          <w:rFonts w:ascii="Arial" w:hAnsi="Arial" w:cs="Arial"/>
          <w:i/>
          <w:iCs/>
        </w:rPr>
        <w:t>Church</w:t>
      </w:r>
      <w:r w:rsidRPr="00977BBF">
        <w:rPr>
          <w:rFonts w:ascii="Arial" w:hAnsi="Arial" w:cs="Arial"/>
          <w:iCs/>
        </w:rPr>
        <w:t xml:space="preserve"> test was endorsed in </w:t>
      </w:r>
      <w:r w:rsidRPr="00977BBF">
        <w:rPr>
          <w:rFonts w:ascii="Arial" w:hAnsi="Arial" w:cs="Arial"/>
          <w:i/>
          <w:iCs/>
        </w:rPr>
        <w:t>DPP v Newbury and Jones</w:t>
      </w:r>
      <w:r w:rsidRPr="00977BBF">
        <w:rPr>
          <w:rFonts w:ascii="Arial" w:hAnsi="Arial" w:cs="Arial"/>
          <w:lang w:val="en-GB"/>
        </w:rPr>
        <w:t>,</w:t>
      </w:r>
      <w:r w:rsidRPr="00977BBF">
        <w:rPr>
          <w:rStyle w:val="FootnoteReference"/>
          <w:rFonts w:ascii="Arial" w:hAnsi="Arial" w:cs="Arial"/>
          <w:lang w:val="en-GB"/>
        </w:rPr>
        <w:footnoteReference w:id="135"/>
      </w:r>
      <w:r>
        <w:rPr>
          <w:rFonts w:ascii="Arial" w:hAnsi="Arial" w:cs="Arial"/>
          <w:lang w:val="en-GB"/>
        </w:rPr>
        <w:t xml:space="preserve"> </w:t>
      </w:r>
      <w:r w:rsidRPr="00977BBF">
        <w:rPr>
          <w:rFonts w:ascii="Arial" w:hAnsi="Arial" w:cs="Arial"/>
          <w:iCs/>
        </w:rPr>
        <w:t>the House of Lords</w:t>
      </w:r>
      <w:r>
        <w:rPr>
          <w:rFonts w:ascii="Arial" w:hAnsi="Arial" w:cs="Arial"/>
          <w:iCs/>
        </w:rPr>
        <w:t xml:space="preserve"> unanim</w:t>
      </w:r>
      <w:r w:rsidRPr="00977BBF">
        <w:rPr>
          <w:rFonts w:ascii="Arial" w:hAnsi="Arial" w:cs="Arial"/>
          <w:iCs/>
        </w:rPr>
        <w:t>ously holding that there was no requirement that D foresee any harm, let alone death. According to Lord Salmon, ‘</w:t>
      </w:r>
      <w:r w:rsidRPr="00977BBF">
        <w:rPr>
          <w:rFonts w:ascii="Arial" w:hAnsi="Arial" w:cs="Arial"/>
          <w:color w:val="000000"/>
          <w:shd w:val="clear" w:color="auto" w:fill="FFFFFF"/>
        </w:rPr>
        <w:t xml:space="preserve">The test is still the objective test. In judging whether the act was dangerous the test is not did the accused </w:t>
      </w:r>
      <w:proofErr w:type="spellStart"/>
      <w:r w:rsidRPr="00977BBF">
        <w:rPr>
          <w:rFonts w:ascii="Arial" w:hAnsi="Arial" w:cs="Arial"/>
          <w:color w:val="000000"/>
          <w:shd w:val="clear" w:color="auto" w:fill="FFFFFF"/>
        </w:rPr>
        <w:t>recognise</w:t>
      </w:r>
      <w:proofErr w:type="spellEnd"/>
      <w:r w:rsidRPr="00977BBF">
        <w:rPr>
          <w:rFonts w:ascii="Arial" w:hAnsi="Arial" w:cs="Arial"/>
          <w:color w:val="000000"/>
          <w:shd w:val="clear" w:color="auto" w:fill="FFFFFF"/>
        </w:rPr>
        <w:t xml:space="preserve"> that it was dangerous but would all sober and reasonable people </w:t>
      </w:r>
      <w:proofErr w:type="spellStart"/>
      <w:r w:rsidRPr="00977BBF">
        <w:rPr>
          <w:rFonts w:ascii="Arial" w:hAnsi="Arial" w:cs="Arial"/>
          <w:color w:val="000000"/>
          <w:shd w:val="clear" w:color="auto" w:fill="FFFFFF"/>
        </w:rPr>
        <w:t>recognise</w:t>
      </w:r>
      <w:proofErr w:type="spellEnd"/>
      <w:r w:rsidRPr="00977BBF">
        <w:rPr>
          <w:rFonts w:ascii="Arial" w:hAnsi="Arial" w:cs="Arial"/>
          <w:color w:val="000000"/>
          <w:shd w:val="clear" w:color="auto" w:fill="FFFFFF"/>
        </w:rPr>
        <w:t xml:space="preserve"> its danger</w:t>
      </w:r>
      <w:r w:rsidRPr="00977BBF">
        <w:rPr>
          <w:rFonts w:ascii="Arial" w:hAnsi="Arial" w:cs="Arial"/>
          <w:iCs/>
        </w:rPr>
        <w:t>’</w:t>
      </w:r>
      <w:r>
        <w:rPr>
          <w:rFonts w:ascii="Arial" w:hAnsi="Arial" w:cs="Arial"/>
          <w:iCs/>
        </w:rPr>
        <w:t>.</w:t>
      </w:r>
      <w:r>
        <w:rPr>
          <w:rStyle w:val="FootnoteReference"/>
          <w:rFonts w:ascii="Arial" w:hAnsi="Arial" w:cs="Arial"/>
          <w:iCs/>
        </w:rPr>
        <w:footnoteReference w:id="136"/>
      </w:r>
      <w:r w:rsidR="00D907FB">
        <w:rPr>
          <w:rFonts w:ascii="Arial" w:hAnsi="Arial" w:cs="Arial"/>
          <w:iCs/>
        </w:rPr>
        <w:t xml:space="preserve"> That has not stopped commentators from </w:t>
      </w:r>
      <w:proofErr w:type="spellStart"/>
      <w:r w:rsidR="00D907FB">
        <w:rPr>
          <w:rFonts w:ascii="Arial" w:hAnsi="Arial" w:cs="Arial"/>
          <w:iCs/>
        </w:rPr>
        <w:t>criticising</w:t>
      </w:r>
      <w:proofErr w:type="spellEnd"/>
      <w:r w:rsidR="00D907FB">
        <w:rPr>
          <w:rFonts w:ascii="Arial" w:hAnsi="Arial" w:cs="Arial"/>
          <w:iCs/>
        </w:rPr>
        <w:t xml:space="preserve"> the test for setting the bar too low. In particular, Mitchell has argued that ‘one of the major functions of the criminal justice system is to provide a proportionate response to crime and criminality… Liability for manslaughter ought therefore to arise only where there is a foreseeable or foreseen risk of killing or causing at least serious (and preferably life-threatening) harm’.</w:t>
      </w:r>
      <w:r w:rsidR="00D907FB">
        <w:rPr>
          <w:rStyle w:val="FootnoteReference"/>
          <w:rFonts w:ascii="Arial" w:hAnsi="Arial" w:cs="Arial"/>
          <w:iCs/>
        </w:rPr>
        <w:footnoteReference w:id="137"/>
      </w:r>
    </w:p>
    <w:p w:rsidR="00977BBF" w:rsidRPr="00977BBF" w:rsidRDefault="00977BBF" w:rsidP="000C0F3C">
      <w:pPr>
        <w:jc w:val="both"/>
        <w:rPr>
          <w:rFonts w:ascii="Arial" w:hAnsi="Arial" w:cs="Arial"/>
          <w:iCs/>
        </w:rPr>
      </w:pPr>
    </w:p>
    <w:p w:rsidR="00977BBF" w:rsidRPr="00977BBF" w:rsidRDefault="00977BBF" w:rsidP="000C0F3C">
      <w:pPr>
        <w:jc w:val="both"/>
        <w:rPr>
          <w:rFonts w:ascii="Arial" w:hAnsi="Arial" w:cs="Arial"/>
          <w:iCs/>
        </w:rPr>
      </w:pPr>
    </w:p>
    <w:p w:rsidR="005F0AFE" w:rsidRPr="000C0F3C" w:rsidRDefault="000C0F3C" w:rsidP="005F0AFE">
      <w:pPr>
        <w:pStyle w:val="Default"/>
        <w:jc w:val="both"/>
        <w:rPr>
          <w:rFonts w:ascii="Arial" w:hAnsi="Arial" w:cs="Arial"/>
          <w:b/>
          <w:color w:val="auto"/>
          <w:sz w:val="28"/>
          <w:szCs w:val="28"/>
        </w:rPr>
      </w:pPr>
      <w:r w:rsidRPr="000C0F3C">
        <w:rPr>
          <w:rFonts w:ascii="Arial" w:hAnsi="Arial" w:cs="Arial"/>
          <w:b/>
          <w:color w:val="auto"/>
          <w:sz w:val="28"/>
          <w:szCs w:val="28"/>
        </w:rPr>
        <w:t xml:space="preserve">2.1 </w:t>
      </w:r>
      <w:r w:rsidR="00F8652E">
        <w:rPr>
          <w:rFonts w:ascii="Arial" w:hAnsi="Arial" w:cs="Arial"/>
          <w:b/>
          <w:color w:val="auto"/>
          <w:sz w:val="28"/>
          <w:szCs w:val="28"/>
        </w:rPr>
        <w:t>‘</w:t>
      </w:r>
      <w:r w:rsidRPr="000C0F3C">
        <w:rPr>
          <w:rFonts w:ascii="Arial" w:hAnsi="Arial" w:cs="Arial"/>
          <w:b/>
          <w:color w:val="auto"/>
          <w:sz w:val="28"/>
          <w:szCs w:val="28"/>
        </w:rPr>
        <w:t>Dangerous</w:t>
      </w:r>
      <w:r w:rsidR="00F8652E">
        <w:rPr>
          <w:rFonts w:ascii="Arial" w:hAnsi="Arial" w:cs="Arial"/>
          <w:b/>
          <w:color w:val="auto"/>
          <w:sz w:val="28"/>
          <w:szCs w:val="28"/>
        </w:rPr>
        <w:t>’</w:t>
      </w:r>
      <w:r w:rsidRPr="000C0F3C">
        <w:rPr>
          <w:rFonts w:ascii="Arial" w:hAnsi="Arial" w:cs="Arial"/>
          <w:b/>
          <w:color w:val="auto"/>
          <w:sz w:val="28"/>
          <w:szCs w:val="28"/>
        </w:rPr>
        <w:t xml:space="preserve"> means t</w:t>
      </w:r>
      <w:r w:rsidR="005F0AFE" w:rsidRPr="000C0F3C">
        <w:rPr>
          <w:rFonts w:ascii="Arial" w:hAnsi="Arial" w:cs="Arial"/>
          <w:b/>
          <w:color w:val="auto"/>
          <w:sz w:val="28"/>
          <w:szCs w:val="28"/>
        </w:rPr>
        <w:t xml:space="preserve">he foreseeable risk of </w:t>
      </w:r>
      <w:r w:rsidR="00F8652E">
        <w:rPr>
          <w:rFonts w:ascii="Arial" w:hAnsi="Arial" w:cs="Arial"/>
          <w:b/>
          <w:color w:val="auto"/>
          <w:sz w:val="28"/>
          <w:szCs w:val="28"/>
        </w:rPr>
        <w:t>‘</w:t>
      </w:r>
      <w:r w:rsidR="005F0AFE" w:rsidRPr="000C0F3C">
        <w:rPr>
          <w:rFonts w:ascii="Arial" w:hAnsi="Arial" w:cs="Arial"/>
          <w:b/>
          <w:color w:val="auto"/>
          <w:sz w:val="28"/>
          <w:szCs w:val="28"/>
        </w:rPr>
        <w:t>some</w:t>
      </w:r>
      <w:r w:rsidR="00F8652E">
        <w:rPr>
          <w:rFonts w:ascii="Arial" w:hAnsi="Arial" w:cs="Arial"/>
          <w:b/>
          <w:color w:val="auto"/>
          <w:sz w:val="28"/>
          <w:szCs w:val="28"/>
        </w:rPr>
        <w:t>’</w:t>
      </w:r>
      <w:r w:rsidR="005F0AFE" w:rsidRPr="000C0F3C">
        <w:rPr>
          <w:rFonts w:ascii="Arial" w:hAnsi="Arial" w:cs="Arial"/>
          <w:b/>
          <w:color w:val="auto"/>
          <w:sz w:val="28"/>
          <w:szCs w:val="28"/>
        </w:rPr>
        <w:t xml:space="preserve"> harm</w:t>
      </w:r>
      <w:r w:rsidR="004B7D8A">
        <w:rPr>
          <w:rFonts w:ascii="Arial" w:hAnsi="Arial" w:cs="Arial"/>
          <w:b/>
          <w:color w:val="auto"/>
          <w:sz w:val="28"/>
          <w:szCs w:val="28"/>
        </w:rPr>
        <w:t xml:space="preserve"> (except in Australia)</w:t>
      </w:r>
    </w:p>
    <w:p w:rsidR="008C07D5" w:rsidRDefault="008C07D5" w:rsidP="00B620F6">
      <w:pPr>
        <w:pStyle w:val="Default"/>
        <w:jc w:val="both"/>
        <w:rPr>
          <w:rFonts w:ascii="Arial" w:hAnsi="Arial" w:cs="Arial"/>
          <w:color w:val="auto"/>
        </w:rPr>
      </w:pPr>
    </w:p>
    <w:p w:rsidR="00B620F6" w:rsidRPr="00AB24A3" w:rsidRDefault="00B620F6" w:rsidP="00B620F6">
      <w:pPr>
        <w:pStyle w:val="Default"/>
        <w:jc w:val="both"/>
        <w:rPr>
          <w:rFonts w:ascii="Arial" w:hAnsi="Arial" w:cs="Arial"/>
          <w:color w:val="auto"/>
        </w:rPr>
      </w:pPr>
      <w:r>
        <w:rPr>
          <w:rFonts w:ascii="Arial" w:hAnsi="Arial" w:cs="Arial"/>
          <w:color w:val="auto"/>
        </w:rPr>
        <w:t xml:space="preserve">On this point, </w:t>
      </w:r>
      <w:r w:rsidR="00032D99">
        <w:rPr>
          <w:rFonts w:ascii="Arial" w:hAnsi="Arial" w:cs="Arial"/>
          <w:color w:val="auto"/>
        </w:rPr>
        <w:t>English and</w:t>
      </w:r>
      <w:r w:rsidR="00032D99" w:rsidRPr="00AB24A3">
        <w:rPr>
          <w:rFonts w:ascii="Arial" w:hAnsi="Arial" w:cs="Arial"/>
          <w:color w:val="auto"/>
        </w:rPr>
        <w:t xml:space="preserve"> </w:t>
      </w:r>
      <w:r w:rsidRPr="00AB24A3">
        <w:rPr>
          <w:rFonts w:ascii="Arial" w:hAnsi="Arial" w:cs="Arial"/>
          <w:color w:val="auto"/>
        </w:rPr>
        <w:t xml:space="preserve">Canadian law </w:t>
      </w:r>
      <w:r w:rsidR="00032D99">
        <w:rPr>
          <w:rFonts w:ascii="Arial" w:hAnsi="Arial" w:cs="Arial"/>
          <w:color w:val="auto"/>
        </w:rPr>
        <w:t>are</w:t>
      </w:r>
      <w:r w:rsidRPr="00AB24A3">
        <w:rPr>
          <w:rFonts w:ascii="Arial" w:hAnsi="Arial" w:cs="Arial"/>
          <w:color w:val="auto"/>
        </w:rPr>
        <w:t xml:space="preserve"> consistent. In </w:t>
      </w:r>
      <w:r w:rsidRPr="00AB24A3">
        <w:rPr>
          <w:rFonts w:ascii="Arial" w:hAnsi="Arial" w:cs="Arial"/>
          <w:i/>
          <w:iCs/>
          <w:color w:val="auto"/>
        </w:rPr>
        <w:t>Creighton</w:t>
      </w:r>
      <w:r w:rsidRPr="00AB24A3">
        <w:rPr>
          <w:rFonts w:ascii="Arial" w:hAnsi="Arial" w:cs="Arial"/>
          <w:color w:val="auto"/>
        </w:rPr>
        <w:t>,</w:t>
      </w:r>
      <w:r w:rsidR="00003F33">
        <w:rPr>
          <w:rStyle w:val="FootnoteReference"/>
          <w:rFonts w:ascii="Arial" w:hAnsi="Arial" w:cs="Arial"/>
          <w:color w:val="auto"/>
        </w:rPr>
        <w:footnoteReference w:id="138"/>
      </w:r>
      <w:r w:rsidRPr="00AB24A3">
        <w:rPr>
          <w:rFonts w:ascii="Arial" w:hAnsi="Arial" w:cs="Arial"/>
          <w:color w:val="auto"/>
        </w:rPr>
        <w:t xml:space="preserve"> a majority of the Supreme Court of Canada rejected an argument that the objective test for dangerousness in the context of unlawful act manslaughter was unconstitutional. In that case, </w:t>
      </w:r>
      <w:proofErr w:type="spellStart"/>
      <w:r w:rsidRPr="00AB24A3">
        <w:rPr>
          <w:rFonts w:ascii="Arial" w:hAnsi="Arial" w:cs="Arial"/>
          <w:color w:val="auto"/>
        </w:rPr>
        <w:t>McLachlin</w:t>
      </w:r>
      <w:proofErr w:type="spellEnd"/>
      <w:r w:rsidRPr="00AB24A3">
        <w:rPr>
          <w:rFonts w:ascii="Arial" w:hAnsi="Arial" w:cs="Arial"/>
          <w:color w:val="auto"/>
        </w:rPr>
        <w:t xml:space="preserve"> J</w:t>
      </w:r>
      <w:r w:rsidR="00003F33">
        <w:rPr>
          <w:rStyle w:val="FootnoteReference"/>
          <w:rFonts w:ascii="Arial" w:hAnsi="Arial" w:cs="Arial"/>
          <w:color w:val="auto"/>
        </w:rPr>
        <w:footnoteReference w:id="139"/>
      </w:r>
      <w:r w:rsidRPr="00AB24A3">
        <w:rPr>
          <w:rFonts w:ascii="Arial" w:hAnsi="Arial" w:cs="Arial"/>
          <w:color w:val="auto"/>
        </w:rPr>
        <w:t xml:space="preserve"> said that </w:t>
      </w:r>
      <w:r w:rsidR="00F8652E">
        <w:rPr>
          <w:rFonts w:ascii="Arial" w:hAnsi="Arial" w:cs="Arial"/>
          <w:color w:val="auto"/>
        </w:rPr>
        <w:t>‘</w:t>
      </w:r>
      <w:r w:rsidRPr="00AB24A3">
        <w:rPr>
          <w:rFonts w:ascii="Arial" w:hAnsi="Arial" w:cs="Arial"/>
          <w:color w:val="auto"/>
        </w:rPr>
        <w:t xml:space="preserve">the test for the </w:t>
      </w:r>
      <w:proofErr w:type="spellStart"/>
      <w:r w:rsidRPr="00AB24A3">
        <w:rPr>
          <w:rFonts w:ascii="Arial" w:hAnsi="Arial" w:cs="Arial"/>
          <w:i/>
          <w:iCs/>
          <w:color w:val="auto"/>
        </w:rPr>
        <w:t>mens</w:t>
      </w:r>
      <w:proofErr w:type="spellEnd"/>
      <w:r w:rsidRPr="00AB24A3">
        <w:rPr>
          <w:rFonts w:ascii="Arial" w:hAnsi="Arial" w:cs="Arial"/>
          <w:i/>
          <w:iCs/>
          <w:color w:val="auto"/>
        </w:rPr>
        <w:t xml:space="preserve"> rea </w:t>
      </w:r>
      <w:r w:rsidRPr="00AB24A3">
        <w:rPr>
          <w:rFonts w:ascii="Arial" w:hAnsi="Arial" w:cs="Arial"/>
          <w:color w:val="auto"/>
        </w:rPr>
        <w:t>of unlawful act manslaughter in Canada, as in the United Kingdom [</w:t>
      </w:r>
      <w:r w:rsidRPr="00AB24A3">
        <w:rPr>
          <w:rFonts w:ascii="Arial" w:hAnsi="Arial" w:cs="Arial"/>
          <w:i/>
          <w:iCs/>
          <w:color w:val="auto"/>
        </w:rPr>
        <w:t>sic</w:t>
      </w:r>
      <w:r w:rsidRPr="00AB24A3">
        <w:rPr>
          <w:rFonts w:ascii="Arial" w:hAnsi="Arial" w:cs="Arial"/>
          <w:color w:val="auto"/>
        </w:rPr>
        <w:t>], is objective foreseeability of the risk of bodily harm which is neither trivial nor transitory, in the context of a dangerous act</w:t>
      </w:r>
      <w:r w:rsidR="00F8652E">
        <w:rPr>
          <w:rFonts w:ascii="Arial" w:hAnsi="Arial" w:cs="Arial"/>
          <w:color w:val="auto"/>
        </w:rPr>
        <w:t>’</w:t>
      </w:r>
      <w:r w:rsidRPr="00AB24A3">
        <w:rPr>
          <w:rFonts w:ascii="Arial" w:hAnsi="Arial" w:cs="Arial"/>
          <w:color w:val="auto"/>
        </w:rPr>
        <w:t xml:space="preserve">. In justifying this stance, </w:t>
      </w:r>
      <w:proofErr w:type="spellStart"/>
      <w:r w:rsidRPr="00AB24A3">
        <w:rPr>
          <w:rFonts w:ascii="Arial" w:hAnsi="Arial" w:cs="Arial"/>
          <w:color w:val="auto"/>
        </w:rPr>
        <w:t>McLachlin</w:t>
      </w:r>
      <w:proofErr w:type="spellEnd"/>
      <w:r w:rsidRPr="00AB24A3">
        <w:rPr>
          <w:rFonts w:ascii="Arial" w:hAnsi="Arial" w:cs="Arial"/>
          <w:color w:val="auto"/>
        </w:rPr>
        <w:t xml:space="preserve"> J drew an analogy with the thin-sku</w:t>
      </w:r>
      <w:r w:rsidR="000C0F3C">
        <w:rPr>
          <w:rFonts w:ascii="Arial" w:hAnsi="Arial" w:cs="Arial"/>
          <w:color w:val="auto"/>
        </w:rPr>
        <w:t>ll rule:</w:t>
      </w:r>
      <w:r w:rsidR="000C0F3C">
        <w:rPr>
          <w:rStyle w:val="FootnoteReference"/>
          <w:rFonts w:ascii="Arial" w:hAnsi="Arial" w:cs="Arial"/>
          <w:color w:val="auto"/>
        </w:rPr>
        <w:footnoteReference w:id="140"/>
      </w:r>
    </w:p>
    <w:p w:rsidR="00B620F6" w:rsidRDefault="00B620F6" w:rsidP="00B620F6">
      <w:pPr>
        <w:pStyle w:val="Default"/>
        <w:rPr>
          <w:rFonts w:ascii="Arial" w:hAnsi="Arial" w:cs="Arial"/>
          <w:color w:val="auto"/>
        </w:rPr>
      </w:pPr>
    </w:p>
    <w:p w:rsidR="00B620F6" w:rsidRPr="00AB24A3" w:rsidRDefault="00F8652E" w:rsidP="00B620F6">
      <w:pPr>
        <w:pStyle w:val="Default"/>
        <w:ind w:left="567"/>
        <w:jc w:val="both"/>
        <w:rPr>
          <w:rFonts w:ascii="Arial" w:hAnsi="Arial" w:cs="Arial"/>
          <w:color w:val="auto"/>
        </w:rPr>
      </w:pPr>
      <w:r>
        <w:rPr>
          <w:rFonts w:ascii="Arial" w:hAnsi="Arial" w:cs="Arial"/>
          <w:color w:val="auto"/>
        </w:rPr>
        <w:t>‘</w:t>
      </w:r>
      <w:r w:rsidR="00B620F6" w:rsidRPr="00AB24A3">
        <w:rPr>
          <w:rFonts w:ascii="Arial" w:hAnsi="Arial" w:cs="Arial"/>
          <w:color w:val="auto"/>
        </w:rPr>
        <w:t xml:space="preserve">The thin-skull rule is a good and useful principle. It requires aggressors, once embarked on their dangerous course of conduct which may foreseeably injure others, to take responsibility for all the consequences that ensue, even to death. That is not, in my view, contrary to fundamental justice... In fact, when manslaughter is viewed in the context of the thin-skull principle, the disparity diminishes between the </w:t>
      </w:r>
      <w:proofErr w:type="spellStart"/>
      <w:r w:rsidR="00B620F6" w:rsidRPr="00AB24A3">
        <w:rPr>
          <w:rFonts w:ascii="Arial" w:hAnsi="Arial" w:cs="Arial"/>
          <w:i/>
          <w:iCs/>
          <w:color w:val="auto"/>
        </w:rPr>
        <w:t>mens</w:t>
      </w:r>
      <w:proofErr w:type="spellEnd"/>
      <w:r w:rsidR="00B620F6" w:rsidRPr="00AB24A3">
        <w:rPr>
          <w:rFonts w:ascii="Arial" w:hAnsi="Arial" w:cs="Arial"/>
          <w:i/>
          <w:iCs/>
          <w:color w:val="auto"/>
        </w:rPr>
        <w:t xml:space="preserve"> rea </w:t>
      </w:r>
      <w:r w:rsidR="00B620F6" w:rsidRPr="00AB24A3">
        <w:rPr>
          <w:rFonts w:ascii="Arial" w:hAnsi="Arial" w:cs="Arial"/>
          <w:color w:val="auto"/>
        </w:rPr>
        <w:t>of the offence and its consequence. The law does not posit the average victim. It says the aggressor must take the victim as he finds him. Wherever there is a risk of harm, there is also a practical risk that some victims may die as a result of the harm. At this point, the test of harm and death merge.</w:t>
      </w:r>
      <w:r>
        <w:rPr>
          <w:rFonts w:ascii="Arial" w:hAnsi="Arial" w:cs="Arial"/>
          <w:color w:val="auto"/>
        </w:rPr>
        <w:t>’</w:t>
      </w:r>
      <w:r w:rsidR="00B620F6" w:rsidRPr="00AB24A3">
        <w:rPr>
          <w:rFonts w:ascii="Arial" w:hAnsi="Arial" w:cs="Arial"/>
          <w:color w:val="auto"/>
        </w:rPr>
        <w:t xml:space="preserve"> </w:t>
      </w:r>
    </w:p>
    <w:p w:rsidR="00B620F6" w:rsidRDefault="00B620F6" w:rsidP="00B620F6">
      <w:pPr>
        <w:jc w:val="both"/>
        <w:rPr>
          <w:rFonts w:ascii="Arial" w:hAnsi="Arial" w:cs="Arial"/>
        </w:rPr>
      </w:pPr>
    </w:p>
    <w:p w:rsidR="00B620F6" w:rsidRDefault="00B620F6" w:rsidP="004B7D8A">
      <w:pPr>
        <w:pStyle w:val="Header"/>
        <w:jc w:val="both"/>
        <w:rPr>
          <w:rFonts w:ascii="Arial" w:hAnsi="Arial" w:cs="Arial"/>
        </w:rPr>
      </w:pPr>
      <w:r w:rsidRPr="00AB24A3">
        <w:rPr>
          <w:rFonts w:ascii="Arial" w:hAnsi="Arial" w:cs="Arial"/>
        </w:rPr>
        <w:lastRenderedPageBreak/>
        <w:t xml:space="preserve">The </w:t>
      </w:r>
      <w:r w:rsidRPr="00AB24A3">
        <w:rPr>
          <w:rFonts w:ascii="Arial" w:hAnsi="Arial" w:cs="Arial"/>
          <w:i/>
          <w:iCs/>
        </w:rPr>
        <w:t xml:space="preserve">Creighton </w:t>
      </w:r>
      <w:r w:rsidRPr="00AB24A3">
        <w:rPr>
          <w:rFonts w:ascii="Arial" w:hAnsi="Arial" w:cs="Arial"/>
        </w:rPr>
        <w:t>decision has been confirmed several times subsequently by the Supreme Court</w:t>
      </w:r>
      <w:r w:rsidR="00003F33">
        <w:rPr>
          <w:rStyle w:val="FootnoteReference"/>
          <w:rFonts w:ascii="Arial" w:hAnsi="Arial" w:cs="Arial"/>
        </w:rPr>
        <w:footnoteReference w:id="141"/>
      </w:r>
      <w:r w:rsidR="00C23A4F">
        <w:rPr>
          <w:rFonts w:ascii="Arial" w:hAnsi="Arial" w:cs="Arial"/>
        </w:rPr>
        <w:t xml:space="preserve"> and by provincial courts on countless other occasions.</w:t>
      </w:r>
      <w:r w:rsidR="00CC1CA9">
        <w:rPr>
          <w:rFonts w:ascii="Arial" w:hAnsi="Arial" w:cs="Arial"/>
        </w:rPr>
        <w:t xml:space="preserve"> However, it has been criticised for setting the threshol</w:t>
      </w:r>
      <w:r w:rsidR="001B2BD1">
        <w:rPr>
          <w:rFonts w:ascii="Arial" w:hAnsi="Arial" w:cs="Arial"/>
        </w:rPr>
        <w:t>d</w:t>
      </w:r>
      <w:r w:rsidR="00CC1CA9">
        <w:rPr>
          <w:rFonts w:ascii="Arial" w:hAnsi="Arial" w:cs="Arial"/>
        </w:rPr>
        <w:t xml:space="preserve"> for manslaughter liability too low. </w:t>
      </w:r>
      <w:r w:rsidR="009520E6">
        <w:rPr>
          <w:rFonts w:ascii="Arial" w:hAnsi="Arial" w:cs="Arial"/>
          <w:color w:val="000000"/>
          <w:shd w:val="clear" w:color="auto" w:fill="FFFFFF"/>
        </w:rPr>
        <w:t xml:space="preserve">In </w:t>
      </w:r>
      <w:r w:rsidR="009520E6" w:rsidRPr="00C23A4F">
        <w:rPr>
          <w:rFonts w:ascii="Arial" w:hAnsi="Arial" w:cs="Arial"/>
          <w:i/>
          <w:color w:val="000000"/>
          <w:shd w:val="clear" w:color="auto" w:fill="FFFFFF"/>
        </w:rPr>
        <w:t>Creighton</w:t>
      </w:r>
      <w:r w:rsidR="009520E6">
        <w:rPr>
          <w:rFonts w:ascii="Arial" w:hAnsi="Arial" w:cs="Arial"/>
          <w:color w:val="000000"/>
          <w:shd w:val="clear" w:color="auto" w:fill="FFFFFF"/>
        </w:rPr>
        <w:t xml:space="preserve"> itself, a minority of the Supreme Court dissented. Lamer CJ</w:t>
      </w:r>
      <w:r w:rsidR="004B7D8A">
        <w:rPr>
          <w:rStyle w:val="FootnoteReference"/>
          <w:rFonts w:ascii="Arial" w:hAnsi="Arial" w:cs="Arial"/>
          <w:color w:val="000000"/>
          <w:shd w:val="clear" w:color="auto" w:fill="FFFFFF"/>
        </w:rPr>
        <w:footnoteReference w:id="142"/>
      </w:r>
      <w:r w:rsidR="009520E6">
        <w:rPr>
          <w:rFonts w:ascii="Arial" w:hAnsi="Arial" w:cs="Arial"/>
          <w:color w:val="000000"/>
          <w:shd w:val="clear" w:color="auto" w:fill="FFFFFF"/>
        </w:rPr>
        <w:t xml:space="preserve"> said that </w:t>
      </w:r>
      <w:r w:rsidR="00F8652E">
        <w:rPr>
          <w:rFonts w:ascii="Arial" w:hAnsi="Arial" w:cs="Arial"/>
          <w:color w:val="000000"/>
          <w:shd w:val="clear" w:color="auto" w:fill="FFFFFF"/>
        </w:rPr>
        <w:t>‘</w:t>
      </w:r>
      <w:r w:rsidR="009520E6" w:rsidRPr="00C23A4F">
        <w:rPr>
          <w:rFonts w:ascii="Arial" w:hAnsi="Arial" w:cs="Arial"/>
          <w:color w:val="000000"/>
          <w:shd w:val="clear" w:color="auto" w:fill="FFFFFF"/>
        </w:rPr>
        <w:t>the stigma attached to a conviction for culpable homicide, albeit culpable homicide which is not murder, to be significant enough to require, at a minimum, objective foresight of the risk of death</w:t>
      </w:r>
      <w:r w:rsidR="00F8652E">
        <w:rPr>
          <w:rFonts w:ascii="Arial" w:hAnsi="Arial" w:cs="Arial"/>
          <w:color w:val="000000"/>
          <w:shd w:val="clear" w:color="auto" w:fill="FFFFFF"/>
        </w:rPr>
        <w:t>’</w:t>
      </w:r>
      <w:r w:rsidR="009520E6">
        <w:rPr>
          <w:rFonts w:ascii="Arial" w:hAnsi="Arial" w:cs="Arial"/>
          <w:color w:val="000000"/>
          <w:shd w:val="clear" w:color="auto" w:fill="FFFFFF"/>
        </w:rPr>
        <w:t>.</w:t>
      </w:r>
      <w:r w:rsidR="004B7D8A">
        <w:rPr>
          <w:rStyle w:val="FootnoteReference"/>
          <w:rFonts w:ascii="Arial" w:hAnsi="Arial" w:cs="Arial"/>
          <w:color w:val="000000"/>
          <w:shd w:val="clear" w:color="auto" w:fill="FFFFFF"/>
        </w:rPr>
        <w:footnoteReference w:id="143"/>
      </w:r>
      <w:r w:rsidR="004B7D8A">
        <w:rPr>
          <w:rFonts w:ascii="Arial" w:hAnsi="Arial" w:cs="Arial"/>
          <w:color w:val="000000"/>
          <w:shd w:val="clear" w:color="auto" w:fill="FFFFFF"/>
        </w:rPr>
        <w:t xml:space="preserve"> </w:t>
      </w:r>
      <w:r w:rsidR="009520E6">
        <w:rPr>
          <w:rFonts w:ascii="Arial" w:hAnsi="Arial" w:cs="Arial"/>
        </w:rPr>
        <w:t xml:space="preserve">More recently, </w:t>
      </w:r>
      <w:proofErr w:type="spellStart"/>
      <w:r w:rsidR="00CC1CA9">
        <w:rPr>
          <w:rFonts w:ascii="Arial" w:hAnsi="Arial" w:cs="Arial"/>
        </w:rPr>
        <w:t>Khoday</w:t>
      </w:r>
      <w:proofErr w:type="spellEnd"/>
      <w:r w:rsidR="00CC1CA9">
        <w:rPr>
          <w:rFonts w:ascii="Arial" w:hAnsi="Arial" w:cs="Arial"/>
        </w:rPr>
        <w:t xml:space="preserve"> has </w:t>
      </w:r>
      <w:r w:rsidR="001B2BD1">
        <w:rPr>
          <w:rFonts w:ascii="Arial" w:hAnsi="Arial" w:cs="Arial"/>
        </w:rPr>
        <w:t xml:space="preserve">argued that </w:t>
      </w:r>
      <w:r w:rsidR="00F8652E">
        <w:rPr>
          <w:rFonts w:ascii="Arial" w:hAnsi="Arial" w:cs="Arial"/>
        </w:rPr>
        <w:t>‘</w:t>
      </w:r>
      <w:r w:rsidR="001B2BD1">
        <w:rPr>
          <w:rFonts w:ascii="Arial" w:hAnsi="Arial" w:cs="Arial"/>
        </w:rPr>
        <w:t xml:space="preserve">there is a considerable asymmetry between the stigma of culpable homicide and the label of having committed manslaughter on one hand and </w:t>
      </w:r>
      <w:proofErr w:type="spellStart"/>
      <w:r w:rsidR="001B2BD1" w:rsidRPr="00994504">
        <w:rPr>
          <w:rFonts w:ascii="Arial" w:hAnsi="Arial" w:cs="Arial"/>
          <w:i/>
        </w:rPr>
        <w:t>mens</w:t>
      </w:r>
      <w:proofErr w:type="spellEnd"/>
      <w:r w:rsidR="001B2BD1" w:rsidRPr="00994504">
        <w:rPr>
          <w:rFonts w:ascii="Arial" w:hAnsi="Arial" w:cs="Arial"/>
          <w:i/>
        </w:rPr>
        <w:t xml:space="preserve"> rea</w:t>
      </w:r>
      <w:r w:rsidR="001B2BD1" w:rsidRPr="00994504">
        <w:rPr>
          <w:rFonts w:ascii="Arial" w:hAnsi="Arial" w:cs="Arial"/>
        </w:rPr>
        <w:t xml:space="preserve"> standard of objective foreseeability of the risk of bodily harm</w:t>
      </w:r>
      <w:r w:rsidR="00F8652E">
        <w:rPr>
          <w:rFonts w:ascii="Arial" w:hAnsi="Arial" w:cs="Arial"/>
        </w:rPr>
        <w:t>’</w:t>
      </w:r>
      <w:r w:rsidR="001B2BD1" w:rsidRPr="00994504">
        <w:rPr>
          <w:rFonts w:ascii="Arial" w:hAnsi="Arial" w:cs="Arial"/>
        </w:rPr>
        <w:t xml:space="preserve"> on the other.</w:t>
      </w:r>
      <w:r w:rsidR="001B2BD1" w:rsidRPr="00994504">
        <w:rPr>
          <w:rStyle w:val="FootnoteReference"/>
          <w:rFonts w:ascii="Arial" w:hAnsi="Arial" w:cs="Arial"/>
        </w:rPr>
        <w:footnoteReference w:id="144"/>
      </w:r>
      <w:r w:rsidR="001B2BD1" w:rsidRPr="00994504">
        <w:rPr>
          <w:rFonts w:ascii="Arial" w:hAnsi="Arial" w:cs="Arial"/>
        </w:rPr>
        <w:t xml:space="preserve"> </w:t>
      </w:r>
      <w:r w:rsidR="00C17B63">
        <w:rPr>
          <w:rFonts w:ascii="Arial" w:hAnsi="Arial" w:cs="Arial"/>
        </w:rPr>
        <w:t xml:space="preserve">Likewise, Yeo has argued that the majority decision in </w:t>
      </w:r>
      <w:r w:rsidR="00C17B63" w:rsidRPr="009520E6">
        <w:rPr>
          <w:rFonts w:ascii="Arial" w:hAnsi="Arial" w:cs="Arial"/>
          <w:i/>
        </w:rPr>
        <w:t>Creighton</w:t>
      </w:r>
      <w:r w:rsidR="00C17B63">
        <w:rPr>
          <w:rFonts w:ascii="Arial" w:hAnsi="Arial" w:cs="Arial"/>
        </w:rPr>
        <w:t xml:space="preserve"> </w:t>
      </w:r>
      <w:r w:rsidR="00F8652E">
        <w:rPr>
          <w:rFonts w:ascii="Arial" w:hAnsi="Arial" w:cs="Arial"/>
        </w:rPr>
        <w:t>‘</w:t>
      </w:r>
      <w:r w:rsidR="00C17B63">
        <w:rPr>
          <w:rFonts w:ascii="Arial" w:hAnsi="Arial" w:cs="Arial"/>
        </w:rPr>
        <w:t>has led to the degree of moral culpability being pitched at too low a level to warrant conviction for what is, after all, a very serious offence</w:t>
      </w:r>
      <w:r w:rsidR="00F8652E">
        <w:rPr>
          <w:rFonts w:ascii="Arial" w:hAnsi="Arial" w:cs="Arial"/>
        </w:rPr>
        <w:t>’</w:t>
      </w:r>
      <w:r w:rsidR="00C17B63">
        <w:rPr>
          <w:rFonts w:ascii="Arial" w:hAnsi="Arial" w:cs="Arial"/>
        </w:rPr>
        <w:t>.</w:t>
      </w:r>
      <w:r w:rsidR="009520E6" w:rsidRPr="00994504">
        <w:rPr>
          <w:rStyle w:val="FootnoteReference"/>
          <w:rFonts w:ascii="Arial" w:hAnsi="Arial" w:cs="Arial"/>
          <w:iCs/>
          <w:sz w:val="28"/>
          <w:szCs w:val="28"/>
        </w:rPr>
        <w:footnoteReference w:id="145"/>
      </w:r>
      <w:r w:rsidR="009520E6">
        <w:rPr>
          <w:rFonts w:ascii="Arial" w:hAnsi="Arial" w:cs="Arial"/>
        </w:rPr>
        <w:t xml:space="preserve"> </w:t>
      </w:r>
      <w:proofErr w:type="spellStart"/>
      <w:r w:rsidR="00994504">
        <w:rPr>
          <w:rFonts w:ascii="Arial" w:hAnsi="Arial" w:cs="Arial"/>
        </w:rPr>
        <w:t>Khoday</w:t>
      </w:r>
      <w:proofErr w:type="spellEnd"/>
      <w:r w:rsidR="001B2BD1">
        <w:rPr>
          <w:rFonts w:ascii="Arial" w:hAnsi="Arial" w:cs="Arial"/>
        </w:rPr>
        <w:t xml:space="preserve"> has suggested </w:t>
      </w:r>
      <w:r w:rsidR="00CC1CA9">
        <w:rPr>
          <w:rFonts w:ascii="Arial" w:hAnsi="Arial" w:cs="Arial"/>
        </w:rPr>
        <w:t xml:space="preserve">that </w:t>
      </w:r>
      <w:r w:rsidR="009520E6">
        <w:rPr>
          <w:rFonts w:ascii="Arial" w:hAnsi="Arial" w:cs="Arial"/>
        </w:rPr>
        <w:t xml:space="preserve">Canadian law would be improved by following the minority ruling in </w:t>
      </w:r>
      <w:r w:rsidR="009520E6" w:rsidRPr="00336935">
        <w:rPr>
          <w:rFonts w:ascii="Arial" w:hAnsi="Arial" w:cs="Arial"/>
          <w:i/>
        </w:rPr>
        <w:t>Creighton</w:t>
      </w:r>
      <w:r w:rsidR="009520E6">
        <w:rPr>
          <w:rFonts w:ascii="Arial" w:hAnsi="Arial" w:cs="Arial"/>
        </w:rPr>
        <w:t xml:space="preserve">, i.e. by raising the threshold to </w:t>
      </w:r>
      <w:r w:rsidR="00F8652E">
        <w:rPr>
          <w:rFonts w:ascii="Arial" w:hAnsi="Arial" w:cs="Arial"/>
        </w:rPr>
        <w:t>‘</w:t>
      </w:r>
      <w:r w:rsidR="00CC1CA9">
        <w:rPr>
          <w:rFonts w:ascii="Arial" w:hAnsi="Arial" w:cs="Arial"/>
        </w:rPr>
        <w:t>objective foresight of death</w:t>
      </w:r>
      <w:r w:rsidR="00F8652E">
        <w:rPr>
          <w:rFonts w:ascii="Arial" w:hAnsi="Arial" w:cs="Arial"/>
        </w:rPr>
        <w:t>’</w:t>
      </w:r>
      <w:r w:rsidR="009520E6">
        <w:rPr>
          <w:rFonts w:ascii="Arial" w:hAnsi="Arial" w:cs="Arial"/>
        </w:rPr>
        <w:t xml:space="preserve">, arguing that this </w:t>
      </w:r>
      <w:r w:rsidR="00F8652E">
        <w:rPr>
          <w:rFonts w:ascii="Arial" w:hAnsi="Arial" w:cs="Arial"/>
        </w:rPr>
        <w:t>‘</w:t>
      </w:r>
      <w:r w:rsidR="00CC1CA9">
        <w:rPr>
          <w:rFonts w:ascii="Arial" w:hAnsi="Arial" w:cs="Arial"/>
        </w:rPr>
        <w:t>would incorporate conduct of a significantly harmful nature warranting the stigma of a man</w:t>
      </w:r>
      <w:r w:rsidR="001B2BD1">
        <w:rPr>
          <w:rFonts w:ascii="Arial" w:hAnsi="Arial" w:cs="Arial"/>
        </w:rPr>
        <w:t>slaughter conviction</w:t>
      </w:r>
      <w:r w:rsidR="00F8652E">
        <w:rPr>
          <w:rFonts w:ascii="Arial" w:hAnsi="Arial" w:cs="Arial"/>
        </w:rPr>
        <w:t>’</w:t>
      </w:r>
      <w:r w:rsidR="001B2BD1">
        <w:rPr>
          <w:rFonts w:ascii="Arial" w:hAnsi="Arial" w:cs="Arial"/>
        </w:rPr>
        <w:t>.</w:t>
      </w:r>
      <w:r w:rsidR="001B2BD1">
        <w:rPr>
          <w:rStyle w:val="FootnoteReference"/>
          <w:rFonts w:ascii="Arial" w:hAnsi="Arial" w:cs="Arial"/>
        </w:rPr>
        <w:footnoteReference w:id="146"/>
      </w:r>
    </w:p>
    <w:p w:rsidR="00B620F6" w:rsidRDefault="00B620F6" w:rsidP="00B620F6">
      <w:pPr>
        <w:pStyle w:val="Default"/>
        <w:jc w:val="both"/>
        <w:rPr>
          <w:rFonts w:ascii="Arial" w:hAnsi="Arial" w:cs="Arial"/>
        </w:rPr>
      </w:pPr>
    </w:p>
    <w:p w:rsidR="00A5679E" w:rsidRDefault="009520E6" w:rsidP="009C5F17">
      <w:pPr>
        <w:jc w:val="both"/>
        <w:rPr>
          <w:rFonts w:ascii="Arial" w:hAnsi="Arial" w:cs="Arial"/>
        </w:rPr>
      </w:pPr>
      <w:r>
        <w:rPr>
          <w:rFonts w:ascii="Arial" w:hAnsi="Arial" w:cs="Arial"/>
        </w:rPr>
        <w:t>Meanwhile</w:t>
      </w:r>
      <w:r w:rsidR="00B620F6">
        <w:rPr>
          <w:rFonts w:ascii="Arial" w:hAnsi="Arial" w:cs="Arial"/>
        </w:rPr>
        <w:t xml:space="preserve">, the </w:t>
      </w:r>
      <w:r>
        <w:rPr>
          <w:rFonts w:ascii="Arial" w:hAnsi="Arial" w:cs="Arial"/>
        </w:rPr>
        <w:t>threshold</w:t>
      </w:r>
      <w:r w:rsidR="00B620F6">
        <w:rPr>
          <w:rFonts w:ascii="Arial" w:hAnsi="Arial" w:cs="Arial"/>
        </w:rPr>
        <w:t xml:space="preserve"> in Australia</w:t>
      </w:r>
      <w:r w:rsidR="006601E9">
        <w:rPr>
          <w:rFonts w:ascii="Arial" w:hAnsi="Arial" w:cs="Arial"/>
        </w:rPr>
        <w:t>n common law</w:t>
      </w:r>
      <w:r w:rsidR="00B620F6">
        <w:rPr>
          <w:rFonts w:ascii="Arial" w:hAnsi="Arial" w:cs="Arial"/>
        </w:rPr>
        <w:t xml:space="preserve"> is </w:t>
      </w:r>
      <w:r w:rsidR="009B69DD">
        <w:rPr>
          <w:rFonts w:ascii="Arial" w:hAnsi="Arial" w:cs="Arial"/>
        </w:rPr>
        <w:t xml:space="preserve">set </w:t>
      </w:r>
      <w:r>
        <w:rPr>
          <w:rFonts w:ascii="Arial" w:hAnsi="Arial" w:cs="Arial"/>
        </w:rPr>
        <w:t xml:space="preserve">higher than in both England and Canada (although not as high as the </w:t>
      </w:r>
      <w:r w:rsidRPr="009520E6">
        <w:rPr>
          <w:rFonts w:ascii="Arial" w:hAnsi="Arial" w:cs="Arial"/>
          <w:i/>
        </w:rPr>
        <w:t>Creighton</w:t>
      </w:r>
      <w:r>
        <w:rPr>
          <w:rFonts w:ascii="Arial" w:hAnsi="Arial" w:cs="Arial"/>
        </w:rPr>
        <w:t xml:space="preserve"> minority</w:t>
      </w:r>
      <w:r w:rsidR="009D1AB1">
        <w:rPr>
          <w:rFonts w:ascii="Arial" w:hAnsi="Arial" w:cs="Arial"/>
        </w:rPr>
        <w:t>,</w:t>
      </w:r>
      <w:r>
        <w:rPr>
          <w:rFonts w:ascii="Arial" w:hAnsi="Arial" w:cs="Arial"/>
        </w:rPr>
        <w:t xml:space="preserve"> </w:t>
      </w:r>
      <w:proofErr w:type="spellStart"/>
      <w:r>
        <w:rPr>
          <w:rFonts w:ascii="Arial" w:hAnsi="Arial" w:cs="Arial"/>
        </w:rPr>
        <w:t>Khoday</w:t>
      </w:r>
      <w:proofErr w:type="spellEnd"/>
      <w:r>
        <w:rPr>
          <w:rFonts w:ascii="Arial" w:hAnsi="Arial" w:cs="Arial"/>
        </w:rPr>
        <w:t xml:space="preserve"> </w:t>
      </w:r>
      <w:r w:rsidR="009D1AB1">
        <w:rPr>
          <w:rFonts w:ascii="Arial" w:hAnsi="Arial" w:cs="Arial"/>
        </w:rPr>
        <w:t xml:space="preserve">and Mitchell </w:t>
      </w:r>
      <w:r>
        <w:rPr>
          <w:rFonts w:ascii="Arial" w:hAnsi="Arial" w:cs="Arial"/>
        </w:rPr>
        <w:t xml:space="preserve">would </w:t>
      </w:r>
      <w:r w:rsidR="009D1AB1">
        <w:rPr>
          <w:rFonts w:ascii="Arial" w:hAnsi="Arial" w:cs="Arial"/>
        </w:rPr>
        <w:t xml:space="preserve">like to </w:t>
      </w:r>
      <w:r w:rsidR="009B69DD">
        <w:rPr>
          <w:rFonts w:ascii="Arial" w:hAnsi="Arial" w:cs="Arial"/>
        </w:rPr>
        <w:t>set</w:t>
      </w:r>
      <w:r>
        <w:rPr>
          <w:rFonts w:ascii="Arial" w:hAnsi="Arial" w:cs="Arial"/>
        </w:rPr>
        <w:t xml:space="preserve"> it)</w:t>
      </w:r>
      <w:r w:rsidR="00B620F6">
        <w:rPr>
          <w:rFonts w:ascii="Arial" w:hAnsi="Arial" w:cs="Arial"/>
        </w:rPr>
        <w:t xml:space="preserve">. </w:t>
      </w:r>
      <w:r>
        <w:rPr>
          <w:rFonts w:ascii="Arial" w:hAnsi="Arial" w:cs="Arial"/>
        </w:rPr>
        <w:t>In Australia</w:t>
      </w:r>
      <w:r w:rsidR="005F0AFE">
        <w:rPr>
          <w:rFonts w:ascii="Arial" w:hAnsi="Arial" w:cs="Arial"/>
        </w:rPr>
        <w:t xml:space="preserve">, the Crown must prove </w:t>
      </w:r>
      <w:r w:rsidR="005F0AFE" w:rsidRPr="00AB24A3">
        <w:rPr>
          <w:rFonts w:ascii="Arial" w:hAnsi="Arial" w:cs="Arial"/>
        </w:rPr>
        <w:t xml:space="preserve">that </w:t>
      </w:r>
      <w:r w:rsidR="00F8652E">
        <w:rPr>
          <w:rFonts w:ascii="Arial" w:hAnsi="Arial" w:cs="Arial"/>
        </w:rPr>
        <w:t>‘</w:t>
      </w:r>
      <w:r w:rsidR="005F0AFE" w:rsidRPr="00AB24A3">
        <w:rPr>
          <w:rFonts w:ascii="Arial" w:hAnsi="Arial" w:cs="Arial"/>
        </w:rPr>
        <w:t>all sober and reasonable people</w:t>
      </w:r>
      <w:r w:rsidR="00F8652E">
        <w:rPr>
          <w:rFonts w:ascii="Arial" w:hAnsi="Arial" w:cs="Arial"/>
        </w:rPr>
        <w:t>’</w:t>
      </w:r>
      <w:r w:rsidR="005F0AFE" w:rsidRPr="00AB24A3">
        <w:rPr>
          <w:rFonts w:ascii="Arial" w:hAnsi="Arial" w:cs="Arial"/>
        </w:rPr>
        <w:t xml:space="preserve"> would have foreseen the risk of </w:t>
      </w:r>
      <w:r w:rsidR="00F8652E">
        <w:rPr>
          <w:rFonts w:ascii="Arial" w:hAnsi="Arial" w:cs="Arial"/>
        </w:rPr>
        <w:t>‘</w:t>
      </w:r>
      <w:r w:rsidR="005F0AFE" w:rsidRPr="00AB24A3">
        <w:rPr>
          <w:rFonts w:ascii="Arial" w:hAnsi="Arial" w:cs="Arial"/>
        </w:rPr>
        <w:t>serious</w:t>
      </w:r>
      <w:r w:rsidR="00F8652E">
        <w:rPr>
          <w:rFonts w:ascii="Arial" w:hAnsi="Arial" w:cs="Arial"/>
        </w:rPr>
        <w:t>’</w:t>
      </w:r>
      <w:r w:rsidR="005F0AFE">
        <w:rPr>
          <w:rFonts w:ascii="Arial" w:hAnsi="Arial" w:cs="Arial"/>
        </w:rPr>
        <w:t xml:space="preserve"> </w:t>
      </w:r>
      <w:r w:rsidR="005F0AFE" w:rsidRPr="00AB24A3">
        <w:rPr>
          <w:rFonts w:ascii="Arial" w:hAnsi="Arial" w:cs="Arial"/>
        </w:rPr>
        <w:t xml:space="preserve">harm, as opposed to </w:t>
      </w:r>
      <w:r w:rsidR="00F8652E">
        <w:rPr>
          <w:rFonts w:ascii="Arial" w:hAnsi="Arial" w:cs="Arial"/>
        </w:rPr>
        <w:t>‘</w:t>
      </w:r>
      <w:r w:rsidR="005F0AFE" w:rsidRPr="00AB24A3">
        <w:rPr>
          <w:rFonts w:ascii="Arial" w:hAnsi="Arial" w:cs="Arial"/>
        </w:rPr>
        <w:t>some</w:t>
      </w:r>
      <w:r w:rsidR="00F8652E">
        <w:rPr>
          <w:rFonts w:ascii="Arial" w:hAnsi="Arial" w:cs="Arial"/>
        </w:rPr>
        <w:t>’</w:t>
      </w:r>
      <w:r w:rsidR="005F0AFE">
        <w:rPr>
          <w:rFonts w:ascii="Arial" w:hAnsi="Arial" w:cs="Arial"/>
        </w:rPr>
        <w:t xml:space="preserve"> </w:t>
      </w:r>
      <w:r w:rsidR="005F0AFE" w:rsidRPr="00AB24A3">
        <w:rPr>
          <w:rFonts w:ascii="Arial" w:hAnsi="Arial" w:cs="Arial"/>
        </w:rPr>
        <w:t xml:space="preserve">harm. In </w:t>
      </w:r>
      <w:r w:rsidR="005F0AFE" w:rsidRPr="00AB24A3">
        <w:rPr>
          <w:rFonts w:ascii="Arial" w:hAnsi="Arial" w:cs="Arial"/>
          <w:i/>
          <w:iCs/>
        </w:rPr>
        <w:t>Wilson</w:t>
      </w:r>
      <w:r w:rsidR="005F0AFE" w:rsidRPr="00AB24A3">
        <w:rPr>
          <w:rFonts w:ascii="Arial" w:hAnsi="Arial" w:cs="Arial"/>
        </w:rPr>
        <w:t>,</w:t>
      </w:r>
      <w:r w:rsidR="00003F33">
        <w:rPr>
          <w:rStyle w:val="FootnoteReference"/>
          <w:rFonts w:ascii="Arial" w:hAnsi="Arial" w:cs="Arial"/>
        </w:rPr>
        <w:footnoteReference w:id="147"/>
      </w:r>
      <w:r w:rsidR="005F0AFE" w:rsidRPr="00AB24A3">
        <w:rPr>
          <w:rFonts w:ascii="Arial" w:hAnsi="Arial" w:cs="Arial"/>
        </w:rPr>
        <w:t xml:space="preserve"> a majority of the High Court of Australia declared that </w:t>
      </w:r>
      <w:r w:rsidR="00F8652E">
        <w:rPr>
          <w:rFonts w:ascii="Arial" w:hAnsi="Arial" w:cs="Arial"/>
        </w:rPr>
        <w:t>‘</w:t>
      </w:r>
      <w:r w:rsidR="005F0AFE" w:rsidRPr="00AB24A3">
        <w:rPr>
          <w:rFonts w:ascii="Arial" w:hAnsi="Arial" w:cs="Arial"/>
        </w:rPr>
        <w:t>an appreciable risk of serious injury is required in the case of manslaughter by an unlawful and dangerous act</w:t>
      </w:r>
      <w:r w:rsidR="00F8652E">
        <w:rPr>
          <w:rFonts w:ascii="Arial" w:hAnsi="Arial" w:cs="Arial"/>
        </w:rPr>
        <w:t>’</w:t>
      </w:r>
      <w:r w:rsidR="005F0AFE" w:rsidRPr="00AB24A3">
        <w:rPr>
          <w:rFonts w:ascii="Arial" w:hAnsi="Arial" w:cs="Arial"/>
        </w:rPr>
        <w:t>.</w:t>
      </w:r>
      <w:r w:rsidR="00003F33">
        <w:rPr>
          <w:rStyle w:val="FootnoteReference"/>
          <w:rFonts w:ascii="Arial" w:hAnsi="Arial" w:cs="Arial"/>
        </w:rPr>
        <w:footnoteReference w:id="148"/>
      </w:r>
      <w:r w:rsidR="005F0AFE" w:rsidRPr="00AB24A3">
        <w:rPr>
          <w:rFonts w:ascii="Arial" w:hAnsi="Arial" w:cs="Arial"/>
        </w:rPr>
        <w:t xml:space="preserve"> The majority approved an earlier decision of the Supreme Court of Victoria in </w:t>
      </w:r>
      <w:proofErr w:type="spellStart"/>
      <w:r w:rsidR="005F0AFE" w:rsidRPr="00AB24A3">
        <w:rPr>
          <w:rFonts w:ascii="Arial" w:hAnsi="Arial" w:cs="Arial"/>
          <w:i/>
          <w:iCs/>
        </w:rPr>
        <w:t>Holzer</w:t>
      </w:r>
      <w:proofErr w:type="spellEnd"/>
      <w:r w:rsidR="005F0AFE" w:rsidRPr="00AB24A3">
        <w:rPr>
          <w:rFonts w:ascii="Arial" w:hAnsi="Arial" w:cs="Arial"/>
        </w:rPr>
        <w:t>.</w:t>
      </w:r>
      <w:r w:rsidR="00003F33">
        <w:rPr>
          <w:rStyle w:val="FootnoteReference"/>
          <w:rFonts w:ascii="Arial" w:hAnsi="Arial" w:cs="Arial"/>
        </w:rPr>
        <w:footnoteReference w:id="149"/>
      </w:r>
      <w:r w:rsidR="005F0AFE" w:rsidRPr="00AB24A3">
        <w:rPr>
          <w:rFonts w:ascii="Arial" w:hAnsi="Arial" w:cs="Arial"/>
        </w:rPr>
        <w:t xml:space="preserve"> In that case, the court explicitly departed from </w:t>
      </w:r>
      <w:r w:rsidR="005F0AFE" w:rsidRPr="00AB24A3">
        <w:rPr>
          <w:rFonts w:ascii="Arial" w:hAnsi="Arial" w:cs="Arial"/>
          <w:i/>
          <w:iCs/>
        </w:rPr>
        <w:t>Church</w:t>
      </w:r>
      <w:r w:rsidR="005F0AFE" w:rsidRPr="00AB24A3">
        <w:rPr>
          <w:rFonts w:ascii="Arial" w:hAnsi="Arial" w:cs="Arial"/>
        </w:rPr>
        <w:t xml:space="preserve">, whereas other Australian state courts had followed the English Court of Criminal Appeal. </w:t>
      </w:r>
      <w:proofErr w:type="spellStart"/>
      <w:r w:rsidR="005F0AFE" w:rsidRPr="00AB24A3">
        <w:rPr>
          <w:rFonts w:ascii="Arial" w:hAnsi="Arial" w:cs="Arial"/>
        </w:rPr>
        <w:t>Recognising</w:t>
      </w:r>
      <w:proofErr w:type="spellEnd"/>
      <w:r w:rsidR="005F0AFE" w:rsidRPr="00AB24A3">
        <w:rPr>
          <w:rFonts w:ascii="Arial" w:hAnsi="Arial" w:cs="Arial"/>
        </w:rPr>
        <w:t xml:space="preserve"> the need to resolve the conflict in the authorities, the High Court in </w:t>
      </w:r>
      <w:r w:rsidR="005F0AFE" w:rsidRPr="00AB24A3">
        <w:rPr>
          <w:rFonts w:ascii="Arial" w:hAnsi="Arial" w:cs="Arial"/>
          <w:i/>
          <w:iCs/>
        </w:rPr>
        <w:t xml:space="preserve">Wilson </w:t>
      </w:r>
      <w:r w:rsidR="005F0AFE" w:rsidRPr="00AB24A3">
        <w:rPr>
          <w:rFonts w:ascii="Arial" w:hAnsi="Arial" w:cs="Arial"/>
        </w:rPr>
        <w:t xml:space="preserve">preferred </w:t>
      </w:r>
      <w:proofErr w:type="spellStart"/>
      <w:r w:rsidR="005F0AFE" w:rsidRPr="00AB24A3">
        <w:rPr>
          <w:rFonts w:ascii="Arial" w:hAnsi="Arial" w:cs="Arial"/>
          <w:i/>
          <w:iCs/>
        </w:rPr>
        <w:t>Holzer</w:t>
      </w:r>
      <w:proofErr w:type="spellEnd"/>
      <w:r w:rsidR="005F0AFE" w:rsidRPr="00AB24A3">
        <w:rPr>
          <w:rFonts w:ascii="Arial" w:hAnsi="Arial" w:cs="Arial"/>
        </w:rPr>
        <w:t xml:space="preserve">. The majority in </w:t>
      </w:r>
      <w:r w:rsidR="005F0AFE" w:rsidRPr="00AB24A3">
        <w:rPr>
          <w:rFonts w:ascii="Arial" w:hAnsi="Arial" w:cs="Arial"/>
          <w:i/>
          <w:iCs/>
        </w:rPr>
        <w:t xml:space="preserve">Wilson </w:t>
      </w:r>
      <w:r w:rsidR="005F0AFE" w:rsidRPr="00AB24A3">
        <w:rPr>
          <w:rFonts w:ascii="Arial" w:hAnsi="Arial" w:cs="Arial"/>
        </w:rPr>
        <w:t xml:space="preserve">said that </w:t>
      </w:r>
      <w:r w:rsidR="00F8652E">
        <w:rPr>
          <w:rFonts w:ascii="Arial" w:hAnsi="Arial" w:cs="Arial"/>
        </w:rPr>
        <w:t>‘</w:t>
      </w:r>
      <w:r w:rsidR="005F0AFE" w:rsidRPr="00AB24A3">
        <w:rPr>
          <w:rFonts w:ascii="Arial" w:hAnsi="Arial" w:cs="Arial"/>
        </w:rPr>
        <w:t xml:space="preserve">there are good reasons why the test in </w:t>
      </w:r>
      <w:proofErr w:type="spellStart"/>
      <w:r w:rsidR="005F0AFE" w:rsidRPr="00AB24A3">
        <w:rPr>
          <w:rFonts w:ascii="Arial" w:hAnsi="Arial" w:cs="Arial"/>
          <w:i/>
          <w:iCs/>
        </w:rPr>
        <w:t>Holzer</w:t>
      </w:r>
      <w:proofErr w:type="spellEnd"/>
      <w:r w:rsidR="005F0AFE" w:rsidRPr="00AB24A3">
        <w:rPr>
          <w:rFonts w:ascii="Arial" w:hAnsi="Arial" w:cs="Arial"/>
          <w:i/>
          <w:iCs/>
        </w:rPr>
        <w:t xml:space="preserve"> </w:t>
      </w:r>
      <w:r w:rsidR="005F0AFE" w:rsidRPr="00AB24A3">
        <w:rPr>
          <w:rFonts w:ascii="Arial" w:hAnsi="Arial" w:cs="Arial"/>
        </w:rPr>
        <w:t>should be preferred... One is the development of the law towards a closer correlation between moral culpability and legal responsibility. Another is that the scope of constructive crime should be confined to what is truly unavoidable</w:t>
      </w:r>
      <w:r w:rsidR="00F8652E">
        <w:rPr>
          <w:rFonts w:ascii="Arial" w:hAnsi="Arial" w:cs="Arial"/>
        </w:rPr>
        <w:t>’</w:t>
      </w:r>
      <w:r w:rsidR="005F0AFE" w:rsidRPr="00AB24A3">
        <w:rPr>
          <w:rFonts w:ascii="Arial" w:hAnsi="Arial" w:cs="Arial"/>
        </w:rPr>
        <w:t>.</w:t>
      </w:r>
      <w:r w:rsidR="00003F33">
        <w:rPr>
          <w:rStyle w:val="FootnoteReference"/>
          <w:rFonts w:ascii="Arial" w:hAnsi="Arial" w:cs="Arial"/>
        </w:rPr>
        <w:footnoteReference w:id="150"/>
      </w:r>
      <w:r w:rsidR="005F0AFE" w:rsidRPr="00AB24A3">
        <w:rPr>
          <w:rFonts w:ascii="Arial" w:hAnsi="Arial" w:cs="Arial"/>
        </w:rPr>
        <w:t xml:space="preserve"> </w:t>
      </w:r>
      <w:r w:rsidR="005F0AFE" w:rsidRPr="00AB24A3">
        <w:rPr>
          <w:rFonts w:ascii="Arial" w:hAnsi="Arial" w:cs="Arial"/>
          <w:i/>
          <w:iCs/>
        </w:rPr>
        <w:t xml:space="preserve">Wilson </w:t>
      </w:r>
      <w:r w:rsidR="005F0AFE" w:rsidRPr="00AB24A3">
        <w:rPr>
          <w:rFonts w:ascii="Arial" w:hAnsi="Arial" w:cs="Arial"/>
        </w:rPr>
        <w:t xml:space="preserve">was approved by a majority of the same court in </w:t>
      </w:r>
      <w:r w:rsidR="005F0AFE" w:rsidRPr="00AB24A3">
        <w:rPr>
          <w:rFonts w:ascii="Arial" w:hAnsi="Arial" w:cs="Arial"/>
          <w:i/>
          <w:iCs/>
        </w:rPr>
        <w:t>Lavender</w:t>
      </w:r>
      <w:r w:rsidR="00003F33">
        <w:rPr>
          <w:rStyle w:val="FootnoteReference"/>
          <w:rFonts w:ascii="Arial" w:hAnsi="Arial" w:cs="Arial"/>
        </w:rPr>
        <w:footnoteReference w:id="151"/>
      </w:r>
      <w:r w:rsidR="00C17B63">
        <w:rPr>
          <w:rFonts w:ascii="Arial" w:hAnsi="Arial" w:cs="Arial"/>
        </w:rPr>
        <w:t xml:space="preserve"> </w:t>
      </w:r>
      <w:r w:rsidR="00560C59" w:rsidRPr="00560C59">
        <w:rPr>
          <w:rFonts w:ascii="Arial" w:hAnsi="Arial" w:cs="Arial"/>
        </w:rPr>
        <w:t xml:space="preserve">and in </w:t>
      </w:r>
      <w:r w:rsidR="00560C59" w:rsidRPr="00560C59">
        <w:rPr>
          <w:rFonts w:ascii="Arial" w:hAnsi="Arial" w:cs="Arial"/>
          <w:bCs/>
          <w:i/>
          <w:lang w:eastAsia="zh-CN"/>
        </w:rPr>
        <w:t>Burns</w:t>
      </w:r>
      <w:r w:rsidR="00560C59" w:rsidRPr="00560C59">
        <w:rPr>
          <w:rFonts w:ascii="Arial" w:hAnsi="Arial" w:cs="Arial"/>
        </w:rPr>
        <w:t>.</w:t>
      </w:r>
      <w:r w:rsidR="00560C59" w:rsidRPr="00560C59">
        <w:rPr>
          <w:rStyle w:val="FootnoteReference"/>
          <w:rFonts w:ascii="Arial" w:hAnsi="Arial" w:cs="Arial"/>
        </w:rPr>
        <w:footnoteReference w:id="152"/>
      </w:r>
      <w:r w:rsidR="00560C59" w:rsidRPr="00560C59">
        <w:rPr>
          <w:rFonts w:ascii="Arial" w:hAnsi="Arial" w:cs="Arial"/>
        </w:rPr>
        <w:t xml:space="preserve"> </w:t>
      </w:r>
    </w:p>
    <w:p w:rsidR="00A5679E" w:rsidRDefault="00A5679E" w:rsidP="009C5F17">
      <w:pPr>
        <w:jc w:val="both"/>
        <w:rPr>
          <w:rFonts w:ascii="Arial" w:hAnsi="Arial" w:cs="Arial"/>
        </w:rPr>
      </w:pPr>
    </w:p>
    <w:p w:rsidR="00A5679E" w:rsidRPr="00A5679E" w:rsidRDefault="00C17B63" w:rsidP="00A5679E">
      <w:pPr>
        <w:widowControl/>
        <w:kinsoku/>
        <w:overflowPunct/>
        <w:jc w:val="both"/>
        <w:textAlignment w:val="auto"/>
        <w:rPr>
          <w:rStyle w:val="documentbody1"/>
          <w:rFonts w:ascii="Arial" w:hAnsi="Arial" w:cs="Arial"/>
          <w:sz w:val="24"/>
          <w:szCs w:val="24"/>
        </w:rPr>
      </w:pPr>
      <w:r w:rsidRPr="00A5679E">
        <w:rPr>
          <w:rFonts w:ascii="Arial" w:hAnsi="Arial" w:cs="Arial"/>
        </w:rPr>
        <w:lastRenderedPageBreak/>
        <w:t xml:space="preserve">The decision in </w:t>
      </w:r>
      <w:r w:rsidRPr="00A5679E">
        <w:rPr>
          <w:rFonts w:ascii="Arial" w:hAnsi="Arial" w:cs="Arial"/>
          <w:i/>
        </w:rPr>
        <w:t>Wilson</w:t>
      </w:r>
      <w:r w:rsidR="00560C59" w:rsidRPr="00A5679E">
        <w:rPr>
          <w:rFonts w:ascii="Arial" w:hAnsi="Arial" w:cs="Arial"/>
        </w:rPr>
        <w:t xml:space="preserve"> has also attracted academic support.</w:t>
      </w:r>
      <w:r w:rsidRPr="00A5679E">
        <w:rPr>
          <w:rFonts w:ascii="Arial" w:hAnsi="Arial" w:cs="Arial"/>
        </w:rPr>
        <w:t xml:space="preserve"> </w:t>
      </w:r>
      <w:r w:rsidR="00A5679E" w:rsidRPr="00A5679E">
        <w:rPr>
          <w:rFonts w:ascii="Arial" w:hAnsi="Arial" w:cs="Arial"/>
          <w:color w:val="000000"/>
        </w:rPr>
        <w:t>O</w:t>
      </w:r>
      <w:r w:rsidR="00F8652E">
        <w:rPr>
          <w:rFonts w:ascii="Arial" w:hAnsi="Arial" w:cs="Arial"/>
          <w:color w:val="000000"/>
        </w:rPr>
        <w:t>’</w:t>
      </w:r>
      <w:r w:rsidR="00A5679E" w:rsidRPr="00A5679E">
        <w:rPr>
          <w:rFonts w:ascii="Arial" w:hAnsi="Arial" w:cs="Arial"/>
          <w:color w:val="000000"/>
        </w:rPr>
        <w:t xml:space="preserve">Reilly, </w:t>
      </w:r>
      <w:r w:rsidR="00A5679E" w:rsidRPr="00A5679E">
        <w:rPr>
          <w:rFonts w:ascii="Arial" w:hAnsi="Arial" w:cs="Arial"/>
        </w:rPr>
        <w:t>for example,</w:t>
      </w:r>
      <w:r w:rsidR="00A5679E">
        <w:rPr>
          <w:rFonts w:ascii="Arial" w:hAnsi="Arial" w:cs="Arial"/>
        </w:rPr>
        <w:t xml:space="preserve"> states that the </w:t>
      </w:r>
      <w:r w:rsidR="00F8652E">
        <w:rPr>
          <w:rFonts w:ascii="Arial" w:hAnsi="Arial" w:cs="Arial"/>
        </w:rPr>
        <w:t>‘</w:t>
      </w:r>
      <w:r w:rsidR="00337AF7">
        <w:rPr>
          <w:rFonts w:ascii="Arial" w:hAnsi="Arial" w:cs="Arial"/>
        </w:rPr>
        <w:t xml:space="preserve">more progressive </w:t>
      </w:r>
      <w:r w:rsidR="00A5679E">
        <w:rPr>
          <w:rFonts w:ascii="Arial" w:hAnsi="Arial" w:cs="Arial"/>
        </w:rPr>
        <w:t>majority judgment</w:t>
      </w:r>
      <w:r w:rsidR="00F8652E">
        <w:rPr>
          <w:rFonts w:ascii="Arial" w:hAnsi="Arial" w:cs="Arial"/>
        </w:rPr>
        <w:t>’</w:t>
      </w:r>
      <w:r w:rsidR="00A5679E">
        <w:rPr>
          <w:rFonts w:ascii="Arial" w:hAnsi="Arial" w:cs="Arial"/>
        </w:rPr>
        <w:t xml:space="preserve"> is </w:t>
      </w:r>
      <w:r w:rsidR="00F8652E">
        <w:rPr>
          <w:rFonts w:ascii="Arial" w:hAnsi="Arial" w:cs="Arial"/>
        </w:rPr>
        <w:t>‘</w:t>
      </w:r>
      <w:r w:rsidR="00337AF7">
        <w:rPr>
          <w:rFonts w:ascii="Arial" w:hAnsi="Arial" w:cs="Arial"/>
        </w:rPr>
        <w:t>t</w:t>
      </w:r>
      <w:r w:rsidR="00A5679E">
        <w:rPr>
          <w:rFonts w:ascii="Arial" w:hAnsi="Arial" w:cs="Arial"/>
        </w:rPr>
        <w:t>o be preferred</w:t>
      </w:r>
      <w:r w:rsidR="00F8652E">
        <w:rPr>
          <w:rFonts w:ascii="Arial" w:hAnsi="Arial" w:cs="Arial"/>
        </w:rPr>
        <w:t>’</w:t>
      </w:r>
      <w:r w:rsidR="00337AF7">
        <w:rPr>
          <w:rFonts w:ascii="Arial" w:hAnsi="Arial" w:cs="Arial"/>
        </w:rPr>
        <w:t xml:space="preserve"> because </w:t>
      </w:r>
      <w:r w:rsidR="00F8652E">
        <w:rPr>
          <w:rFonts w:ascii="Arial" w:hAnsi="Arial" w:cs="Arial"/>
          <w:color w:val="000000"/>
        </w:rPr>
        <w:t>‘</w:t>
      </w:r>
      <w:r w:rsidR="00337AF7">
        <w:rPr>
          <w:rFonts w:ascii="Arial" w:hAnsi="Arial" w:cs="Arial"/>
          <w:color w:val="000000"/>
        </w:rPr>
        <w:t>it recognizes a moral obligation to deal justly with the accused</w:t>
      </w:r>
      <w:r w:rsidR="00F8652E">
        <w:rPr>
          <w:rFonts w:ascii="Arial" w:hAnsi="Arial" w:cs="Arial"/>
          <w:color w:val="000000"/>
        </w:rPr>
        <w:t>’</w:t>
      </w:r>
      <w:r w:rsidR="00337AF7">
        <w:rPr>
          <w:rFonts w:ascii="Arial" w:hAnsi="Arial" w:cs="Arial"/>
          <w:color w:val="000000"/>
        </w:rPr>
        <w:t>,</w:t>
      </w:r>
      <w:r w:rsidR="002A68DC">
        <w:rPr>
          <w:rStyle w:val="FootnoteReference"/>
          <w:rFonts w:ascii="Arial" w:hAnsi="Arial" w:cs="Arial"/>
          <w:color w:val="000000"/>
        </w:rPr>
        <w:footnoteReference w:id="153"/>
      </w:r>
      <w:r w:rsidR="00337AF7">
        <w:rPr>
          <w:rFonts w:ascii="Arial" w:hAnsi="Arial" w:cs="Arial"/>
          <w:color w:val="000000"/>
        </w:rPr>
        <w:t xml:space="preserve"> whereas the </w:t>
      </w:r>
      <w:r w:rsidR="00F8652E">
        <w:rPr>
          <w:rFonts w:ascii="Arial" w:hAnsi="Arial" w:cs="Arial"/>
          <w:color w:val="000000"/>
        </w:rPr>
        <w:t>‘</w:t>
      </w:r>
      <w:r w:rsidR="00337AF7">
        <w:rPr>
          <w:rFonts w:ascii="Arial" w:hAnsi="Arial" w:cs="Arial"/>
          <w:color w:val="000000"/>
        </w:rPr>
        <w:t xml:space="preserve">conservative minority judgment… is an outdated and blinkered moral vision. A rigid determination that such cases [as </w:t>
      </w:r>
      <w:r w:rsidR="00337AF7" w:rsidRPr="00337AF7">
        <w:rPr>
          <w:rFonts w:ascii="Arial" w:hAnsi="Arial" w:cs="Arial"/>
          <w:i/>
          <w:color w:val="000000"/>
        </w:rPr>
        <w:t>Wilson</w:t>
      </w:r>
      <w:r w:rsidR="00337AF7">
        <w:rPr>
          <w:rFonts w:ascii="Arial" w:hAnsi="Arial" w:cs="Arial"/>
          <w:color w:val="000000"/>
        </w:rPr>
        <w:t>] should constitute manslaughter is a simplistic consideration of the moral issues at hand</w:t>
      </w:r>
      <w:r w:rsidR="00F8652E">
        <w:rPr>
          <w:rFonts w:ascii="Arial" w:hAnsi="Arial" w:cs="Arial"/>
          <w:color w:val="000000"/>
        </w:rPr>
        <w:t>’</w:t>
      </w:r>
      <w:r w:rsidR="00337AF7">
        <w:rPr>
          <w:rFonts w:ascii="Arial" w:hAnsi="Arial" w:cs="Arial"/>
          <w:color w:val="000000"/>
        </w:rPr>
        <w:t>.</w:t>
      </w:r>
      <w:r w:rsidR="00337AF7">
        <w:rPr>
          <w:rStyle w:val="FootnoteReference"/>
          <w:rFonts w:ascii="Arial" w:hAnsi="Arial" w:cs="Arial"/>
          <w:color w:val="000000"/>
        </w:rPr>
        <w:footnoteReference w:id="154"/>
      </w:r>
      <w:r w:rsidR="00337AF7">
        <w:rPr>
          <w:rFonts w:ascii="Arial" w:hAnsi="Arial" w:cs="Arial"/>
          <w:color w:val="000000"/>
        </w:rPr>
        <w:t xml:space="preserve"> </w:t>
      </w:r>
      <w:r w:rsidR="00A5679E" w:rsidRPr="00A5679E">
        <w:rPr>
          <w:rFonts w:ascii="Arial" w:hAnsi="Arial" w:cs="Arial"/>
          <w:color w:val="000000"/>
        </w:rPr>
        <w:t xml:space="preserve">Similarly, </w:t>
      </w:r>
      <w:r w:rsidRPr="00A5679E">
        <w:rPr>
          <w:rFonts w:ascii="Arial" w:hAnsi="Arial" w:cs="Arial"/>
        </w:rPr>
        <w:t>Yeo contends that the majority</w:t>
      </w:r>
      <w:r w:rsidR="00F8652E">
        <w:rPr>
          <w:rFonts w:ascii="Arial" w:hAnsi="Arial" w:cs="Arial"/>
        </w:rPr>
        <w:t>’</w:t>
      </w:r>
      <w:r w:rsidRPr="00A5679E">
        <w:rPr>
          <w:rFonts w:ascii="Arial" w:hAnsi="Arial" w:cs="Arial"/>
        </w:rPr>
        <w:t xml:space="preserve">s decision to restrict </w:t>
      </w:r>
      <w:r w:rsidR="00F8652E">
        <w:rPr>
          <w:rFonts w:ascii="Arial" w:hAnsi="Arial" w:cs="Arial"/>
        </w:rPr>
        <w:t>‘</w:t>
      </w:r>
      <w:r w:rsidRPr="00A5679E">
        <w:rPr>
          <w:rFonts w:ascii="Arial" w:hAnsi="Arial" w:cs="Arial"/>
        </w:rPr>
        <w:t>the scope of constructive crime</w:t>
      </w:r>
      <w:r w:rsidR="00F8652E">
        <w:rPr>
          <w:rFonts w:ascii="Arial" w:hAnsi="Arial" w:cs="Arial"/>
        </w:rPr>
        <w:t>’</w:t>
      </w:r>
      <w:r w:rsidRPr="00A5679E">
        <w:rPr>
          <w:rFonts w:ascii="Arial" w:hAnsi="Arial" w:cs="Arial"/>
        </w:rPr>
        <w:t xml:space="preserve"> was </w:t>
      </w:r>
      <w:r w:rsidR="00F8652E">
        <w:rPr>
          <w:rFonts w:ascii="Arial" w:hAnsi="Arial" w:cs="Arial"/>
        </w:rPr>
        <w:t>‘</w:t>
      </w:r>
      <w:r w:rsidRPr="00A5679E">
        <w:rPr>
          <w:rFonts w:ascii="Arial" w:hAnsi="Arial" w:cs="Arial"/>
        </w:rPr>
        <w:t>desirable</w:t>
      </w:r>
      <w:r w:rsidR="00F8652E">
        <w:rPr>
          <w:rFonts w:ascii="Arial" w:hAnsi="Arial" w:cs="Arial"/>
        </w:rPr>
        <w:t>’</w:t>
      </w:r>
      <w:r w:rsidRPr="00A5679E">
        <w:rPr>
          <w:rFonts w:ascii="Arial" w:hAnsi="Arial" w:cs="Arial"/>
        </w:rPr>
        <w:t>.</w:t>
      </w:r>
      <w:r w:rsidRPr="00A5679E">
        <w:rPr>
          <w:rStyle w:val="FootnoteReference"/>
          <w:rFonts w:ascii="Arial" w:hAnsi="Arial" w:cs="Arial"/>
          <w:iCs/>
        </w:rPr>
        <w:footnoteReference w:id="155"/>
      </w:r>
      <w:r w:rsidR="00A5679E" w:rsidRPr="00A5679E">
        <w:rPr>
          <w:rFonts w:ascii="Arial" w:hAnsi="Arial" w:cs="Arial"/>
        </w:rPr>
        <w:t xml:space="preserve"> </w:t>
      </w:r>
    </w:p>
    <w:p w:rsidR="005F0AFE" w:rsidRDefault="005F0AFE" w:rsidP="009C5F17">
      <w:pPr>
        <w:jc w:val="both"/>
        <w:rPr>
          <w:rFonts w:ascii="Arial" w:hAnsi="Arial" w:cs="Arial"/>
        </w:rPr>
      </w:pPr>
    </w:p>
    <w:p w:rsidR="00AF26E3" w:rsidRDefault="00560C59" w:rsidP="00AF26E3">
      <w:pPr>
        <w:pStyle w:val="Header"/>
        <w:jc w:val="both"/>
        <w:rPr>
          <w:rFonts w:ascii="Arial" w:hAnsi="Arial" w:cs="Arial"/>
          <w:color w:val="000000"/>
          <w:shd w:val="clear" w:color="auto" w:fill="FFFFFF"/>
        </w:rPr>
      </w:pPr>
      <w:r w:rsidRPr="00560C59">
        <w:rPr>
          <w:rFonts w:ascii="Arial" w:hAnsi="Arial" w:cs="Arial"/>
        </w:rPr>
        <w:t xml:space="preserve">In </w:t>
      </w:r>
      <w:proofErr w:type="spellStart"/>
      <w:r w:rsidRPr="00560C59">
        <w:rPr>
          <w:rFonts w:ascii="Arial" w:hAnsi="Arial" w:cs="Arial"/>
          <w:i/>
        </w:rPr>
        <w:t>Fragomeli</w:t>
      </w:r>
      <w:proofErr w:type="spellEnd"/>
      <w:r w:rsidRPr="00560C59">
        <w:rPr>
          <w:rFonts w:ascii="Arial" w:hAnsi="Arial" w:cs="Arial"/>
        </w:rPr>
        <w:t>,</w:t>
      </w:r>
      <w:r>
        <w:rPr>
          <w:rStyle w:val="FootnoteReference"/>
          <w:rFonts w:ascii="Arial" w:hAnsi="Arial" w:cs="Arial"/>
        </w:rPr>
        <w:footnoteReference w:id="156"/>
      </w:r>
      <w:r w:rsidRPr="00560C59">
        <w:rPr>
          <w:rFonts w:ascii="Arial" w:hAnsi="Arial" w:cs="Arial"/>
        </w:rPr>
        <w:t xml:space="preserve"> it was held that the </w:t>
      </w:r>
      <w:r w:rsidRPr="00560C59">
        <w:rPr>
          <w:rFonts w:ascii="Arial" w:hAnsi="Arial" w:cs="Arial"/>
          <w:i/>
        </w:rPr>
        <w:t>Wilson</w:t>
      </w:r>
      <w:r w:rsidRPr="00560C59">
        <w:rPr>
          <w:rFonts w:ascii="Arial" w:hAnsi="Arial" w:cs="Arial"/>
        </w:rPr>
        <w:t xml:space="preserve"> test is a minimum threshold. </w:t>
      </w:r>
      <w:r>
        <w:rPr>
          <w:rFonts w:ascii="Arial" w:hAnsi="Arial" w:cs="Arial"/>
        </w:rPr>
        <w:t xml:space="preserve">D appealed his </w:t>
      </w:r>
      <w:r w:rsidRPr="00CD5914">
        <w:rPr>
          <w:rFonts w:ascii="Arial" w:hAnsi="Arial" w:cs="Arial"/>
        </w:rPr>
        <w:t xml:space="preserve">conviction for manslaughter contending that, because his act actually created an appreciable risk of </w:t>
      </w:r>
      <w:r w:rsidRPr="00CD5914">
        <w:rPr>
          <w:rFonts w:ascii="Arial" w:hAnsi="Arial" w:cs="Arial"/>
          <w:i/>
        </w:rPr>
        <w:t>death</w:t>
      </w:r>
      <w:r w:rsidRPr="00CD5914">
        <w:rPr>
          <w:rFonts w:ascii="Arial" w:hAnsi="Arial" w:cs="Arial"/>
        </w:rPr>
        <w:t xml:space="preserve">, he should </w:t>
      </w:r>
      <w:r w:rsidR="00CD5914" w:rsidRPr="00CD5914">
        <w:rPr>
          <w:rFonts w:ascii="Arial" w:hAnsi="Arial" w:cs="Arial"/>
        </w:rPr>
        <w:t>either</w:t>
      </w:r>
      <w:r w:rsidRPr="00CD5914">
        <w:rPr>
          <w:rFonts w:ascii="Arial" w:hAnsi="Arial" w:cs="Arial"/>
        </w:rPr>
        <w:t xml:space="preserve"> have been convicted of murder </w:t>
      </w:r>
      <w:r w:rsidR="00CD5914" w:rsidRPr="00CD5914">
        <w:rPr>
          <w:rFonts w:ascii="Arial" w:hAnsi="Arial" w:cs="Arial"/>
        </w:rPr>
        <w:t>or acquitted altogether (on the basis of self-defence).</w:t>
      </w:r>
      <w:r w:rsidRPr="00CD5914">
        <w:rPr>
          <w:rFonts w:ascii="Arial" w:hAnsi="Arial" w:cs="Arial"/>
        </w:rPr>
        <w:t xml:space="preserve"> White J</w:t>
      </w:r>
      <w:r w:rsidR="00CD5914" w:rsidRPr="00CD5914">
        <w:rPr>
          <w:rFonts w:ascii="Arial" w:hAnsi="Arial" w:cs="Arial"/>
        </w:rPr>
        <w:t xml:space="preserve"> rejected that argument holding that </w:t>
      </w:r>
      <w:r w:rsidR="00CD5914" w:rsidRPr="00CD5914">
        <w:rPr>
          <w:rFonts w:ascii="Arial" w:hAnsi="Arial" w:cs="Arial"/>
          <w:i/>
        </w:rPr>
        <w:t>Wilson</w:t>
      </w:r>
      <w:r w:rsidR="00CD5914" w:rsidRPr="00CD5914">
        <w:rPr>
          <w:rFonts w:ascii="Arial" w:hAnsi="Arial" w:cs="Arial"/>
        </w:rPr>
        <w:t xml:space="preserve"> did </w:t>
      </w:r>
      <w:r w:rsidR="00F8652E">
        <w:rPr>
          <w:rFonts w:ascii="Arial" w:hAnsi="Arial" w:cs="Arial"/>
        </w:rPr>
        <w:t>‘</w:t>
      </w:r>
      <w:r w:rsidR="00CD5914" w:rsidRPr="00CD5914">
        <w:rPr>
          <w:rFonts w:ascii="Arial" w:hAnsi="Arial" w:cs="Arial"/>
        </w:rPr>
        <w:t xml:space="preserve">not indicate that an act involving a risk of </w:t>
      </w:r>
      <w:r w:rsidR="00CD5914" w:rsidRPr="00CD5914">
        <w:rPr>
          <w:rFonts w:ascii="Arial" w:hAnsi="Arial" w:cs="Arial"/>
          <w:i/>
        </w:rPr>
        <w:t>greater</w:t>
      </w:r>
      <w:r w:rsidR="00CD5914" w:rsidRPr="00CD5914">
        <w:rPr>
          <w:rFonts w:ascii="Arial" w:hAnsi="Arial" w:cs="Arial"/>
        </w:rPr>
        <w:t xml:space="preserve"> injury could not be sufficient for the offence, only that an act carrying with it a risk of less than serious injury would not be sufficient</w:t>
      </w:r>
      <w:r w:rsidR="00F8652E">
        <w:rPr>
          <w:rFonts w:ascii="Arial" w:hAnsi="Arial" w:cs="Arial"/>
        </w:rPr>
        <w:t>’</w:t>
      </w:r>
      <w:r w:rsidR="00CD5914">
        <w:rPr>
          <w:rFonts w:ascii="Arial" w:hAnsi="Arial" w:cs="Arial"/>
        </w:rPr>
        <w:t>.</w:t>
      </w:r>
      <w:r w:rsidR="00C22DF0">
        <w:rPr>
          <w:rStyle w:val="FootnoteReference"/>
          <w:rFonts w:ascii="Arial" w:hAnsi="Arial" w:cs="Arial"/>
        </w:rPr>
        <w:footnoteReference w:id="157"/>
      </w:r>
      <w:r w:rsidR="00CD5914">
        <w:rPr>
          <w:rFonts w:ascii="Arial" w:hAnsi="Arial" w:cs="Arial"/>
        </w:rPr>
        <w:t xml:space="preserve"> I</w:t>
      </w:r>
      <w:r w:rsidR="00AF26E3" w:rsidRPr="00CD5914">
        <w:rPr>
          <w:rFonts w:ascii="Arial" w:hAnsi="Arial" w:cs="Arial"/>
        </w:rPr>
        <w:t xml:space="preserve">n </w:t>
      </w:r>
      <w:r w:rsidR="00AF26E3" w:rsidRPr="00CD5914">
        <w:rPr>
          <w:rFonts w:ascii="Arial" w:hAnsi="Arial" w:cs="Arial"/>
          <w:bCs/>
          <w:i/>
          <w:color w:val="000000"/>
          <w:lang w:eastAsia="zh-CN"/>
        </w:rPr>
        <w:t>Burns</w:t>
      </w:r>
      <w:r w:rsidR="00AF26E3" w:rsidRPr="00CD5914">
        <w:rPr>
          <w:rFonts w:ascii="Arial" w:hAnsi="Arial" w:cs="Arial"/>
          <w:color w:val="000000"/>
        </w:rPr>
        <w:t>,</w:t>
      </w:r>
      <w:r w:rsidR="00003F33" w:rsidRPr="00CD5914">
        <w:rPr>
          <w:rStyle w:val="FootnoteReference"/>
          <w:rFonts w:ascii="Arial" w:hAnsi="Arial" w:cs="Arial"/>
          <w:color w:val="000000"/>
        </w:rPr>
        <w:footnoteReference w:id="158"/>
      </w:r>
      <w:r w:rsidR="00AF26E3" w:rsidRPr="00CD5914">
        <w:rPr>
          <w:rFonts w:ascii="Arial" w:hAnsi="Arial" w:cs="Arial"/>
          <w:color w:val="000000"/>
        </w:rPr>
        <w:t xml:space="preserve"> </w:t>
      </w:r>
      <w:r w:rsidR="00AF26E3" w:rsidRPr="00CD5914">
        <w:rPr>
          <w:rFonts w:ascii="Arial" w:hAnsi="Arial" w:cs="Arial"/>
        </w:rPr>
        <w:t xml:space="preserve">the </w:t>
      </w:r>
      <w:r w:rsidR="00AF26E3" w:rsidRPr="00CD5914">
        <w:rPr>
          <w:rFonts w:ascii="Arial" w:hAnsi="Arial" w:cs="Arial"/>
          <w:color w:val="000000"/>
        </w:rPr>
        <w:t xml:space="preserve">High Court </w:t>
      </w:r>
      <w:r w:rsidR="00C22DF0">
        <w:rPr>
          <w:rFonts w:ascii="Arial" w:hAnsi="Arial" w:cs="Arial"/>
          <w:color w:val="000000"/>
        </w:rPr>
        <w:t xml:space="preserve">of Australia </w:t>
      </w:r>
      <w:r w:rsidR="00AF26E3" w:rsidRPr="00CD5914">
        <w:rPr>
          <w:rFonts w:ascii="Arial" w:hAnsi="Arial" w:cs="Arial"/>
          <w:color w:val="000000"/>
          <w:shd w:val="clear" w:color="auto" w:fill="FFFFFF"/>
        </w:rPr>
        <w:t xml:space="preserve">held that there </w:t>
      </w:r>
      <w:r w:rsidR="00CD5914">
        <w:rPr>
          <w:rFonts w:ascii="Arial" w:hAnsi="Arial" w:cs="Arial"/>
          <w:color w:val="000000"/>
          <w:shd w:val="clear" w:color="auto" w:fill="FFFFFF"/>
        </w:rPr>
        <w:t>had to be</w:t>
      </w:r>
      <w:r w:rsidR="00AF26E3" w:rsidRPr="00CD5914">
        <w:rPr>
          <w:rFonts w:ascii="Arial" w:hAnsi="Arial" w:cs="Arial"/>
          <w:color w:val="000000"/>
          <w:shd w:val="clear" w:color="auto" w:fill="FFFFFF"/>
        </w:rPr>
        <w:t xml:space="preserve"> evidence capable of supporting a finding that the act was dangerous, in the </w:t>
      </w:r>
      <w:r w:rsidR="00CD5914" w:rsidRPr="00CD5914">
        <w:rPr>
          <w:rFonts w:ascii="Arial" w:hAnsi="Arial" w:cs="Arial"/>
          <w:i/>
          <w:color w:val="000000"/>
          <w:shd w:val="clear" w:color="auto" w:fill="FFFFFF"/>
        </w:rPr>
        <w:t>Wilson</w:t>
      </w:r>
      <w:r w:rsidR="00AF26E3" w:rsidRPr="00CD5914">
        <w:rPr>
          <w:rFonts w:ascii="Arial" w:hAnsi="Arial" w:cs="Arial"/>
          <w:color w:val="000000"/>
          <w:shd w:val="clear" w:color="auto" w:fill="FFFFFF"/>
        </w:rPr>
        <w:t xml:space="preserve"> sense</w:t>
      </w:r>
      <w:r w:rsidR="00CD5914">
        <w:rPr>
          <w:rFonts w:ascii="Arial" w:hAnsi="Arial" w:cs="Arial"/>
          <w:color w:val="000000"/>
          <w:shd w:val="clear" w:color="auto" w:fill="FFFFFF"/>
        </w:rPr>
        <w:t>; whether there was sufficient evidence being a question of law for the trial judge</w:t>
      </w:r>
      <w:r w:rsidR="00AF26E3" w:rsidRPr="00CD5914">
        <w:rPr>
          <w:rFonts w:ascii="Arial" w:hAnsi="Arial" w:cs="Arial"/>
          <w:color w:val="000000"/>
          <w:shd w:val="clear" w:color="auto" w:fill="FFFFFF"/>
        </w:rPr>
        <w:t xml:space="preserve">. In </w:t>
      </w:r>
      <w:r w:rsidR="00AF26E3" w:rsidRPr="00CD5914">
        <w:rPr>
          <w:rFonts w:ascii="Arial" w:hAnsi="Arial" w:cs="Arial"/>
          <w:i/>
          <w:color w:val="000000"/>
          <w:shd w:val="clear" w:color="auto" w:fill="FFFFFF"/>
        </w:rPr>
        <w:t>Burns</w:t>
      </w:r>
      <w:r w:rsidR="00AF26E3" w:rsidRPr="00CD5914">
        <w:rPr>
          <w:rFonts w:ascii="Arial" w:hAnsi="Arial" w:cs="Arial"/>
          <w:color w:val="000000"/>
          <w:shd w:val="clear" w:color="auto" w:fill="FFFFFF"/>
        </w:rPr>
        <w:t>, D had</w:t>
      </w:r>
      <w:r w:rsidR="00AF26E3" w:rsidRPr="00AF26E3">
        <w:rPr>
          <w:rFonts w:ascii="Arial" w:hAnsi="Arial" w:cs="Arial"/>
          <w:color w:val="000000"/>
          <w:shd w:val="clear" w:color="auto" w:fill="FFFFFF"/>
        </w:rPr>
        <w:t xml:space="preserve"> </w:t>
      </w:r>
      <w:r w:rsidR="00AF26E3" w:rsidRPr="00AF26E3">
        <w:rPr>
          <w:rFonts w:ascii="Arial" w:hAnsi="Arial" w:cs="Arial"/>
        </w:rPr>
        <w:t xml:space="preserve">supplied methadone to V who subsequently died. </w:t>
      </w:r>
      <w:r w:rsidR="00CD5914">
        <w:rPr>
          <w:rFonts w:ascii="Arial" w:hAnsi="Arial" w:cs="Arial"/>
        </w:rPr>
        <w:t>T</w:t>
      </w:r>
      <w:r w:rsidR="00AF26E3" w:rsidRPr="00AF26E3">
        <w:rPr>
          <w:rFonts w:ascii="Arial" w:hAnsi="Arial" w:cs="Arial"/>
          <w:color w:val="000000"/>
          <w:shd w:val="clear" w:color="auto" w:fill="FFFFFF"/>
        </w:rPr>
        <w:t xml:space="preserve">he trial judge directed the jury that if that supply </w:t>
      </w:r>
      <w:r w:rsidR="00CD5914">
        <w:rPr>
          <w:rFonts w:ascii="Arial" w:hAnsi="Arial" w:cs="Arial"/>
          <w:color w:val="000000"/>
          <w:shd w:val="clear" w:color="auto" w:fill="FFFFFF"/>
        </w:rPr>
        <w:t xml:space="preserve">was dangerous and </w:t>
      </w:r>
      <w:r w:rsidR="00AF26E3" w:rsidRPr="00AF26E3">
        <w:rPr>
          <w:rFonts w:ascii="Arial" w:hAnsi="Arial" w:cs="Arial"/>
          <w:color w:val="000000"/>
          <w:shd w:val="clear" w:color="auto" w:fill="FFFFFF"/>
        </w:rPr>
        <w:t>caused V</w:t>
      </w:r>
      <w:r w:rsidR="00F8652E">
        <w:rPr>
          <w:rFonts w:ascii="Arial" w:hAnsi="Arial" w:cs="Arial"/>
          <w:color w:val="000000"/>
          <w:shd w:val="clear" w:color="auto" w:fill="FFFFFF"/>
        </w:rPr>
        <w:t>’</w:t>
      </w:r>
      <w:r w:rsidR="00AF26E3" w:rsidRPr="00AF26E3">
        <w:rPr>
          <w:rFonts w:ascii="Arial" w:hAnsi="Arial" w:cs="Arial"/>
          <w:color w:val="000000"/>
          <w:shd w:val="clear" w:color="auto" w:fill="FFFFFF"/>
        </w:rPr>
        <w:t>s death</w:t>
      </w:r>
      <w:r w:rsidR="00CD5914">
        <w:rPr>
          <w:rFonts w:ascii="Arial" w:hAnsi="Arial" w:cs="Arial"/>
          <w:color w:val="000000"/>
          <w:shd w:val="clear" w:color="auto" w:fill="FFFFFF"/>
        </w:rPr>
        <w:t xml:space="preserve"> (which would be the case if D actually injected V with the drug)</w:t>
      </w:r>
      <w:r w:rsidR="00AF26E3" w:rsidRPr="00AF26E3">
        <w:rPr>
          <w:rFonts w:ascii="Arial" w:hAnsi="Arial" w:cs="Arial"/>
          <w:color w:val="000000"/>
          <w:shd w:val="clear" w:color="auto" w:fill="FFFFFF"/>
        </w:rPr>
        <w:t>, then she could be convicted of manslau</w:t>
      </w:r>
      <w:r w:rsidR="008C07D5">
        <w:rPr>
          <w:rFonts w:ascii="Arial" w:hAnsi="Arial" w:cs="Arial"/>
          <w:color w:val="000000"/>
          <w:shd w:val="clear" w:color="auto" w:fill="FFFFFF"/>
        </w:rPr>
        <w:t>ghter. D</w:t>
      </w:r>
      <w:r w:rsidR="00F8652E">
        <w:rPr>
          <w:rFonts w:ascii="Arial" w:hAnsi="Arial" w:cs="Arial"/>
          <w:color w:val="000000"/>
          <w:shd w:val="clear" w:color="auto" w:fill="FFFFFF"/>
        </w:rPr>
        <w:t>’</w:t>
      </w:r>
      <w:r w:rsidR="008C07D5">
        <w:rPr>
          <w:rFonts w:ascii="Arial" w:hAnsi="Arial" w:cs="Arial"/>
          <w:color w:val="000000"/>
          <w:shd w:val="clear" w:color="auto" w:fill="FFFFFF"/>
        </w:rPr>
        <w:t xml:space="preserve">s </w:t>
      </w:r>
      <w:r w:rsidR="00AF26E3" w:rsidRPr="00AF26E3">
        <w:rPr>
          <w:rFonts w:ascii="Arial" w:hAnsi="Arial" w:cs="Arial"/>
          <w:color w:val="000000"/>
          <w:shd w:val="clear" w:color="auto" w:fill="FFFFFF"/>
        </w:rPr>
        <w:t>convict</w:t>
      </w:r>
      <w:r w:rsidR="008C07D5">
        <w:rPr>
          <w:rFonts w:ascii="Arial" w:hAnsi="Arial" w:cs="Arial"/>
          <w:color w:val="000000"/>
          <w:shd w:val="clear" w:color="auto" w:fill="FFFFFF"/>
        </w:rPr>
        <w:t>ion was quashed; t</w:t>
      </w:r>
      <w:r w:rsidR="00AF26E3" w:rsidRPr="00AF26E3">
        <w:rPr>
          <w:rFonts w:ascii="Arial" w:hAnsi="Arial" w:cs="Arial"/>
          <w:color w:val="000000"/>
          <w:shd w:val="clear" w:color="auto" w:fill="FFFFFF"/>
        </w:rPr>
        <w:t xml:space="preserve">he High Court held that there was nothing in the evidence to support the proposition that the supply of a prescription quantity of methadone to an adult person of ordinary capacity could be characterised as carrying with it an </w:t>
      </w:r>
      <w:r w:rsidR="00F8652E">
        <w:rPr>
          <w:rFonts w:ascii="Arial" w:hAnsi="Arial" w:cs="Arial"/>
          <w:color w:val="000000"/>
          <w:shd w:val="clear" w:color="auto" w:fill="FFFFFF"/>
        </w:rPr>
        <w:t>‘</w:t>
      </w:r>
      <w:r w:rsidR="00AF26E3" w:rsidRPr="00AF26E3">
        <w:rPr>
          <w:rFonts w:ascii="Arial" w:hAnsi="Arial" w:cs="Arial"/>
          <w:color w:val="000000"/>
          <w:shd w:val="clear" w:color="auto" w:fill="FFFFFF"/>
        </w:rPr>
        <w:t>appreciable risk of serious injury</w:t>
      </w:r>
      <w:r w:rsidR="00F8652E">
        <w:rPr>
          <w:rFonts w:ascii="Arial" w:hAnsi="Arial" w:cs="Arial"/>
          <w:color w:val="000000"/>
          <w:shd w:val="clear" w:color="auto" w:fill="FFFFFF"/>
        </w:rPr>
        <w:t>’</w:t>
      </w:r>
      <w:r w:rsidR="00AF26E3" w:rsidRPr="00AF26E3">
        <w:rPr>
          <w:rFonts w:ascii="Arial" w:hAnsi="Arial" w:cs="Arial"/>
          <w:color w:val="000000"/>
          <w:shd w:val="clear" w:color="auto" w:fill="FFFFFF"/>
        </w:rPr>
        <w:t>.</w:t>
      </w:r>
    </w:p>
    <w:p w:rsidR="00C23A4F" w:rsidRDefault="00C23A4F" w:rsidP="00AF26E3">
      <w:pPr>
        <w:pStyle w:val="Header"/>
        <w:jc w:val="both"/>
        <w:rPr>
          <w:rFonts w:ascii="Arial" w:hAnsi="Arial" w:cs="Arial"/>
          <w:color w:val="000000"/>
          <w:shd w:val="clear" w:color="auto" w:fill="FFFFFF"/>
        </w:rPr>
      </w:pPr>
    </w:p>
    <w:p w:rsidR="004F5923" w:rsidRDefault="004F5923" w:rsidP="004F5923">
      <w:pPr>
        <w:jc w:val="both"/>
        <w:rPr>
          <w:rFonts w:ascii="Arial" w:hAnsi="Arial" w:cs="Arial"/>
        </w:rPr>
      </w:pPr>
      <w:r w:rsidRPr="00AB24A3">
        <w:rPr>
          <w:rFonts w:ascii="Arial" w:hAnsi="Arial" w:cs="Arial"/>
        </w:rPr>
        <w:t xml:space="preserve">Meanwhile, the minority of the High Court of Australia in </w:t>
      </w:r>
      <w:r w:rsidRPr="00AB24A3">
        <w:rPr>
          <w:rFonts w:ascii="Arial" w:hAnsi="Arial" w:cs="Arial"/>
          <w:i/>
          <w:iCs/>
        </w:rPr>
        <w:t xml:space="preserve">Wilson </w:t>
      </w:r>
      <w:r w:rsidRPr="00AB24A3">
        <w:rPr>
          <w:rFonts w:ascii="Arial" w:hAnsi="Arial" w:cs="Arial"/>
        </w:rPr>
        <w:t xml:space="preserve">approved the </w:t>
      </w:r>
      <w:r w:rsidRPr="00AB24A3">
        <w:rPr>
          <w:rFonts w:ascii="Arial" w:hAnsi="Arial" w:cs="Arial"/>
          <w:i/>
          <w:iCs/>
        </w:rPr>
        <w:t xml:space="preserve">Church </w:t>
      </w:r>
      <w:r w:rsidR="00003F33">
        <w:rPr>
          <w:rFonts w:ascii="Arial" w:hAnsi="Arial" w:cs="Arial"/>
        </w:rPr>
        <w:t xml:space="preserve">test. </w:t>
      </w:r>
      <w:r w:rsidR="00003F33" w:rsidRPr="00AB24A3">
        <w:rPr>
          <w:rFonts w:ascii="Arial" w:hAnsi="Arial" w:cs="Arial"/>
        </w:rPr>
        <w:t xml:space="preserve">Brennan, Deane and Dawson JJ </w:t>
      </w:r>
      <w:r w:rsidR="00003F33">
        <w:rPr>
          <w:rFonts w:ascii="Arial" w:hAnsi="Arial" w:cs="Arial"/>
        </w:rPr>
        <w:t xml:space="preserve">stated that </w:t>
      </w:r>
      <w:r w:rsidR="00F8652E">
        <w:rPr>
          <w:rFonts w:ascii="Arial" w:hAnsi="Arial" w:cs="Arial"/>
        </w:rPr>
        <w:t>‘</w:t>
      </w:r>
      <w:r w:rsidRPr="00AB24A3">
        <w:rPr>
          <w:rFonts w:ascii="Arial" w:hAnsi="Arial" w:cs="Arial"/>
        </w:rPr>
        <w:t>we are unable to see why, in assessing an act as dangerous, it is necessary to disregard the risk of any injury which does not fall within the cat</w:t>
      </w:r>
      <w:r w:rsidR="00003F33">
        <w:rPr>
          <w:rFonts w:ascii="Arial" w:hAnsi="Arial" w:cs="Arial"/>
        </w:rPr>
        <w:t>egory of grievous bodily harm</w:t>
      </w:r>
      <w:r w:rsidR="00F8652E">
        <w:rPr>
          <w:rFonts w:ascii="Arial" w:hAnsi="Arial" w:cs="Arial"/>
        </w:rPr>
        <w:t>’</w:t>
      </w:r>
      <w:r w:rsidRPr="00AB24A3">
        <w:rPr>
          <w:rFonts w:ascii="Arial" w:hAnsi="Arial" w:cs="Arial"/>
        </w:rPr>
        <w:t>.</w:t>
      </w:r>
      <w:r w:rsidR="00003F33">
        <w:rPr>
          <w:rStyle w:val="FootnoteReference"/>
          <w:rFonts w:ascii="Arial" w:hAnsi="Arial" w:cs="Arial"/>
        </w:rPr>
        <w:footnoteReference w:id="159"/>
      </w:r>
    </w:p>
    <w:p w:rsidR="006601E9" w:rsidRDefault="006601E9" w:rsidP="004F5923">
      <w:pPr>
        <w:jc w:val="both"/>
        <w:rPr>
          <w:rFonts w:ascii="Arial" w:hAnsi="Arial" w:cs="Arial"/>
        </w:rPr>
      </w:pPr>
    </w:p>
    <w:p w:rsidR="006601E9" w:rsidRPr="00AB24A3" w:rsidRDefault="006601E9" w:rsidP="004F5923">
      <w:pPr>
        <w:jc w:val="both"/>
        <w:rPr>
          <w:rFonts w:ascii="Arial" w:hAnsi="Arial" w:cs="Arial"/>
        </w:rPr>
      </w:pPr>
      <w:r>
        <w:rPr>
          <w:rFonts w:ascii="Arial" w:hAnsi="Arial" w:cs="Arial"/>
        </w:rPr>
        <w:t>The legislature in Victoria ha</w:t>
      </w:r>
      <w:r w:rsidR="00F8652E">
        <w:rPr>
          <w:rFonts w:ascii="Arial" w:hAnsi="Arial" w:cs="Arial"/>
        </w:rPr>
        <w:t>s</w:t>
      </w:r>
      <w:r>
        <w:rPr>
          <w:rFonts w:ascii="Arial" w:hAnsi="Arial" w:cs="Arial"/>
        </w:rPr>
        <w:t xml:space="preserve"> also taken steps to modify the </w:t>
      </w:r>
      <w:r w:rsidRPr="006601E9">
        <w:rPr>
          <w:rFonts w:ascii="Arial" w:hAnsi="Arial" w:cs="Arial"/>
          <w:i/>
        </w:rPr>
        <w:t>Wilson</w:t>
      </w:r>
      <w:r>
        <w:rPr>
          <w:rFonts w:ascii="Arial" w:hAnsi="Arial" w:cs="Arial"/>
        </w:rPr>
        <w:t xml:space="preserve"> test in that state. Section 4A of the Crimes Act 1958</w:t>
      </w:r>
      <w:r w:rsidR="00F244EA">
        <w:rPr>
          <w:rStyle w:val="FootnoteReference"/>
          <w:rFonts w:ascii="Arial" w:hAnsi="Arial" w:cs="Arial"/>
        </w:rPr>
        <w:footnoteReference w:id="160"/>
      </w:r>
      <w:r>
        <w:rPr>
          <w:rFonts w:ascii="Arial" w:hAnsi="Arial" w:cs="Arial"/>
        </w:rPr>
        <w:t xml:space="preserve"> provides that </w:t>
      </w:r>
      <w:r w:rsidR="00F8652E">
        <w:rPr>
          <w:rFonts w:ascii="Arial" w:hAnsi="Arial" w:cs="Arial"/>
        </w:rPr>
        <w:t>‘</w:t>
      </w:r>
      <w:r w:rsidRPr="006601E9">
        <w:rPr>
          <w:rFonts w:ascii="Arial" w:hAnsi="Arial" w:cs="Arial"/>
        </w:rPr>
        <w:t>A single punch or strike is to be taken to be a dangerous act for the purposes of the law relating to manslaughter by an unlawful and dangerous act</w:t>
      </w:r>
      <w:r w:rsidR="00F8652E">
        <w:rPr>
          <w:rFonts w:ascii="Arial" w:hAnsi="Arial" w:cs="Arial"/>
        </w:rPr>
        <w:t>’</w:t>
      </w:r>
      <w:r>
        <w:rPr>
          <w:rFonts w:ascii="Arial" w:hAnsi="Arial" w:cs="Arial"/>
        </w:rPr>
        <w:t>.</w:t>
      </w:r>
      <w:r>
        <w:rPr>
          <w:rStyle w:val="FootnoteReference"/>
          <w:rFonts w:ascii="Arial" w:hAnsi="Arial" w:cs="Arial"/>
        </w:rPr>
        <w:footnoteReference w:id="161"/>
      </w:r>
    </w:p>
    <w:p w:rsidR="004F5923" w:rsidRDefault="004F5923" w:rsidP="00AB24A3">
      <w:pPr>
        <w:jc w:val="both"/>
        <w:rPr>
          <w:rFonts w:ascii="Arial" w:hAnsi="Arial" w:cs="Arial"/>
          <w:lang w:eastAsia="zh-CN"/>
        </w:rPr>
      </w:pPr>
    </w:p>
    <w:p w:rsidR="004F5923" w:rsidRPr="00A2274D" w:rsidRDefault="004F5923" w:rsidP="00AB24A3">
      <w:pPr>
        <w:jc w:val="both"/>
        <w:rPr>
          <w:rFonts w:ascii="Arial" w:hAnsi="Arial" w:cs="Arial"/>
          <w:lang w:val="en-GB" w:eastAsia="zh-CN"/>
        </w:rPr>
      </w:pPr>
    </w:p>
    <w:p w:rsidR="00AB24A3" w:rsidRPr="004B7D8A" w:rsidRDefault="004B7D8A" w:rsidP="00AB24A3">
      <w:pPr>
        <w:jc w:val="both"/>
        <w:rPr>
          <w:rFonts w:ascii="Arial" w:hAnsi="Arial" w:cs="Arial"/>
          <w:b/>
          <w:bCs/>
          <w:iCs/>
          <w:sz w:val="28"/>
          <w:szCs w:val="28"/>
        </w:rPr>
      </w:pPr>
      <w:r w:rsidRPr="004B7D8A">
        <w:rPr>
          <w:rFonts w:ascii="Arial" w:hAnsi="Arial" w:cs="Arial"/>
          <w:b/>
          <w:bCs/>
          <w:iCs/>
          <w:sz w:val="28"/>
          <w:szCs w:val="28"/>
        </w:rPr>
        <w:t>2.</w:t>
      </w:r>
      <w:r w:rsidR="00FD591E">
        <w:rPr>
          <w:rFonts w:ascii="Arial" w:hAnsi="Arial" w:cs="Arial"/>
          <w:b/>
          <w:bCs/>
          <w:iCs/>
          <w:sz w:val="28"/>
          <w:szCs w:val="28"/>
        </w:rPr>
        <w:t>2</w:t>
      </w:r>
      <w:r w:rsidRPr="004B7D8A">
        <w:rPr>
          <w:rFonts w:ascii="Arial" w:hAnsi="Arial" w:cs="Arial"/>
          <w:b/>
          <w:bCs/>
          <w:iCs/>
          <w:sz w:val="28"/>
          <w:szCs w:val="28"/>
        </w:rPr>
        <w:t xml:space="preserve"> </w:t>
      </w:r>
      <w:r w:rsidR="00F8652E">
        <w:rPr>
          <w:rFonts w:ascii="Arial" w:hAnsi="Arial" w:cs="Arial"/>
          <w:b/>
          <w:bCs/>
          <w:iCs/>
          <w:sz w:val="28"/>
          <w:szCs w:val="28"/>
        </w:rPr>
        <w:t>‘</w:t>
      </w:r>
      <w:r>
        <w:rPr>
          <w:rFonts w:ascii="Arial" w:hAnsi="Arial" w:cs="Arial"/>
          <w:b/>
          <w:bCs/>
          <w:iCs/>
          <w:sz w:val="28"/>
          <w:szCs w:val="28"/>
        </w:rPr>
        <w:t>Some h</w:t>
      </w:r>
      <w:r w:rsidR="00AB24A3" w:rsidRPr="004B7D8A">
        <w:rPr>
          <w:rFonts w:ascii="Arial" w:hAnsi="Arial" w:cs="Arial"/>
          <w:b/>
          <w:bCs/>
          <w:iCs/>
          <w:sz w:val="28"/>
          <w:szCs w:val="28"/>
        </w:rPr>
        <w:t>arm</w:t>
      </w:r>
      <w:r w:rsidR="00F8652E">
        <w:rPr>
          <w:rFonts w:ascii="Arial" w:hAnsi="Arial" w:cs="Arial"/>
          <w:b/>
          <w:bCs/>
          <w:iCs/>
          <w:sz w:val="28"/>
          <w:szCs w:val="28"/>
        </w:rPr>
        <w:t>’</w:t>
      </w:r>
    </w:p>
    <w:p w:rsidR="004B7D8A" w:rsidRDefault="004B7D8A" w:rsidP="00AB24A3">
      <w:pPr>
        <w:jc w:val="both"/>
        <w:rPr>
          <w:rFonts w:ascii="Arial" w:hAnsi="Arial" w:cs="Arial"/>
        </w:rPr>
      </w:pPr>
    </w:p>
    <w:p w:rsidR="00AB24A3" w:rsidRPr="00AB24A3" w:rsidRDefault="00AB24A3" w:rsidP="00AB24A3">
      <w:pPr>
        <w:jc w:val="both"/>
        <w:rPr>
          <w:rFonts w:ascii="Arial" w:hAnsi="Arial" w:cs="Arial"/>
        </w:rPr>
      </w:pPr>
      <w:r w:rsidRPr="00AB24A3">
        <w:rPr>
          <w:rFonts w:ascii="Arial" w:hAnsi="Arial" w:cs="Arial"/>
        </w:rPr>
        <w:t xml:space="preserve">According to the </w:t>
      </w:r>
      <w:r w:rsidRPr="00AB24A3">
        <w:rPr>
          <w:rFonts w:ascii="Arial" w:hAnsi="Arial" w:cs="Arial"/>
          <w:i/>
          <w:iCs/>
        </w:rPr>
        <w:t xml:space="preserve">Church </w:t>
      </w:r>
      <w:r w:rsidRPr="00AB24A3">
        <w:rPr>
          <w:rFonts w:ascii="Arial" w:hAnsi="Arial" w:cs="Arial"/>
        </w:rPr>
        <w:t xml:space="preserve">test, V must be subjected to the risk of </w:t>
      </w:r>
      <w:r w:rsidR="00F8652E">
        <w:rPr>
          <w:rFonts w:ascii="Arial" w:hAnsi="Arial" w:cs="Arial"/>
        </w:rPr>
        <w:t>‘</w:t>
      </w:r>
      <w:r w:rsidRPr="00AB24A3">
        <w:rPr>
          <w:rFonts w:ascii="Arial" w:hAnsi="Arial" w:cs="Arial"/>
        </w:rPr>
        <w:t>some harm</w:t>
      </w:r>
      <w:r w:rsidR="00F8652E">
        <w:rPr>
          <w:rFonts w:ascii="Arial" w:hAnsi="Arial" w:cs="Arial"/>
        </w:rPr>
        <w:t>’</w:t>
      </w:r>
      <w:r w:rsidRPr="00AB24A3">
        <w:rPr>
          <w:rFonts w:ascii="Arial" w:hAnsi="Arial" w:cs="Arial"/>
        </w:rPr>
        <w:t xml:space="preserve">. </w:t>
      </w:r>
      <w:r w:rsidR="00FD591E">
        <w:rPr>
          <w:rFonts w:ascii="Arial" w:hAnsi="Arial" w:cs="Arial"/>
        </w:rPr>
        <w:t>Fundamentally this is a question of fact for the jury</w:t>
      </w:r>
      <w:r w:rsidR="00093095">
        <w:rPr>
          <w:rFonts w:ascii="Arial" w:hAnsi="Arial" w:cs="Arial"/>
        </w:rPr>
        <w:t xml:space="preserve">, although there is a minimum </w:t>
      </w:r>
      <w:r w:rsidR="00093095">
        <w:rPr>
          <w:rFonts w:ascii="Arial" w:hAnsi="Arial" w:cs="Arial"/>
        </w:rPr>
        <w:lastRenderedPageBreak/>
        <w:t>legal threshold</w:t>
      </w:r>
      <w:r w:rsidRPr="00AB24A3">
        <w:rPr>
          <w:rFonts w:ascii="Arial" w:hAnsi="Arial" w:cs="Arial"/>
        </w:rPr>
        <w:t xml:space="preserve">. In </w:t>
      </w:r>
      <w:r w:rsidRPr="00AB24A3">
        <w:rPr>
          <w:rFonts w:ascii="Arial" w:hAnsi="Arial" w:cs="Arial"/>
          <w:i/>
          <w:iCs/>
        </w:rPr>
        <w:t>Dawson</w:t>
      </w:r>
      <w:r w:rsidRPr="00AB24A3">
        <w:rPr>
          <w:rFonts w:ascii="Arial" w:hAnsi="Arial" w:cs="Arial"/>
        </w:rPr>
        <w:t>,</w:t>
      </w:r>
      <w:r w:rsidR="00FD591E">
        <w:rPr>
          <w:rStyle w:val="FootnoteReference"/>
          <w:rFonts w:ascii="Arial" w:hAnsi="Arial" w:cs="Arial"/>
        </w:rPr>
        <w:footnoteReference w:id="162"/>
      </w:r>
      <w:r w:rsidRPr="00AB24A3">
        <w:rPr>
          <w:rFonts w:ascii="Arial" w:hAnsi="Arial" w:cs="Arial"/>
        </w:rPr>
        <w:t xml:space="preserve"> Watkins LJ said that </w:t>
      </w:r>
      <w:r w:rsidR="00F8652E">
        <w:rPr>
          <w:rFonts w:ascii="Arial" w:hAnsi="Arial" w:cs="Arial"/>
        </w:rPr>
        <w:t>‘</w:t>
      </w:r>
      <w:r w:rsidR="00FD591E">
        <w:rPr>
          <w:rFonts w:ascii="Arial" w:hAnsi="Arial" w:cs="Arial"/>
        </w:rPr>
        <w:t xml:space="preserve">harm </w:t>
      </w:r>
      <w:r w:rsidR="00093095">
        <w:rPr>
          <w:rFonts w:ascii="Arial" w:hAnsi="Arial" w:cs="Arial"/>
        </w:rPr>
        <w:t>means physical harm</w:t>
      </w:r>
      <w:r w:rsidR="00F8652E">
        <w:rPr>
          <w:rFonts w:ascii="Arial" w:hAnsi="Arial" w:cs="Arial"/>
        </w:rPr>
        <w:t>’</w:t>
      </w:r>
      <w:r w:rsidR="00093095">
        <w:rPr>
          <w:rStyle w:val="FootnoteReference"/>
          <w:rFonts w:ascii="Arial" w:hAnsi="Arial" w:cs="Arial"/>
        </w:rPr>
        <w:footnoteReference w:id="163"/>
      </w:r>
      <w:r w:rsidR="00093095">
        <w:rPr>
          <w:rFonts w:ascii="Arial" w:hAnsi="Arial" w:cs="Arial"/>
        </w:rPr>
        <w:t xml:space="preserve"> although it </w:t>
      </w:r>
      <w:r w:rsidR="00FD591E">
        <w:rPr>
          <w:rFonts w:ascii="Arial" w:hAnsi="Arial" w:cs="Arial"/>
        </w:rPr>
        <w:t xml:space="preserve">included </w:t>
      </w:r>
      <w:r w:rsidR="00F8652E">
        <w:rPr>
          <w:rFonts w:ascii="Arial" w:hAnsi="Arial" w:cs="Arial"/>
        </w:rPr>
        <w:t>‘</w:t>
      </w:r>
      <w:r w:rsidR="00FD591E" w:rsidRPr="00FD591E">
        <w:rPr>
          <w:rFonts w:ascii="Arial" w:hAnsi="Arial" w:cs="Arial"/>
        </w:rPr>
        <w:t>injury to the person through the operation of shock emanating from fright</w:t>
      </w:r>
      <w:r w:rsidR="00F8652E">
        <w:rPr>
          <w:rFonts w:ascii="Arial" w:hAnsi="Arial" w:cs="Arial"/>
        </w:rPr>
        <w:t>’</w:t>
      </w:r>
      <w:r w:rsidRPr="00AB24A3">
        <w:rPr>
          <w:rFonts w:ascii="Arial" w:hAnsi="Arial" w:cs="Arial"/>
        </w:rPr>
        <w:t>.</w:t>
      </w:r>
      <w:r w:rsidR="00FD591E">
        <w:rPr>
          <w:rStyle w:val="FootnoteReference"/>
          <w:rFonts w:ascii="Arial" w:hAnsi="Arial" w:cs="Arial"/>
        </w:rPr>
        <w:footnoteReference w:id="164"/>
      </w:r>
      <w:r w:rsidRPr="00AB24A3">
        <w:rPr>
          <w:rFonts w:ascii="Arial" w:hAnsi="Arial" w:cs="Arial"/>
        </w:rPr>
        <w:t xml:space="preserve"> </w:t>
      </w:r>
      <w:r w:rsidR="00873E60">
        <w:rPr>
          <w:rFonts w:ascii="Arial" w:hAnsi="Arial" w:cs="Arial"/>
        </w:rPr>
        <w:t xml:space="preserve">This was confirmed in </w:t>
      </w:r>
      <w:r w:rsidR="00873E60" w:rsidRPr="00FD591E">
        <w:rPr>
          <w:rFonts w:ascii="Arial" w:hAnsi="Arial" w:cs="Arial"/>
          <w:i/>
        </w:rPr>
        <w:t>Carey &amp; Others</w:t>
      </w:r>
      <w:r w:rsidR="00873E60">
        <w:rPr>
          <w:rFonts w:ascii="Arial" w:hAnsi="Arial" w:cs="Arial"/>
        </w:rPr>
        <w:t>.</w:t>
      </w:r>
      <w:r w:rsidR="00FD591E">
        <w:rPr>
          <w:rStyle w:val="FootnoteReference"/>
          <w:rFonts w:ascii="Arial" w:hAnsi="Arial" w:cs="Arial"/>
        </w:rPr>
        <w:footnoteReference w:id="165"/>
      </w:r>
      <w:r w:rsidR="00873E60">
        <w:rPr>
          <w:rFonts w:ascii="Arial" w:hAnsi="Arial" w:cs="Arial"/>
        </w:rPr>
        <w:t xml:space="preserve"> Dyson LJ distinguished between </w:t>
      </w:r>
      <w:r w:rsidR="00F8652E">
        <w:rPr>
          <w:rFonts w:ascii="Arial" w:hAnsi="Arial" w:cs="Arial"/>
        </w:rPr>
        <w:t>‘</w:t>
      </w:r>
      <w:r w:rsidR="00FD591E" w:rsidRPr="00FD591E">
        <w:rPr>
          <w:rFonts w:ascii="Arial" w:hAnsi="Arial" w:cs="Arial"/>
        </w:rPr>
        <w:t>emotional upset, which is not physical harm, and shock, which is</w:t>
      </w:r>
      <w:r w:rsidR="00F8652E">
        <w:rPr>
          <w:rFonts w:ascii="Arial" w:hAnsi="Arial" w:cs="Arial"/>
        </w:rPr>
        <w:t>’</w:t>
      </w:r>
      <w:r w:rsidR="00FD591E">
        <w:rPr>
          <w:rFonts w:ascii="Arial" w:hAnsi="Arial" w:cs="Arial"/>
        </w:rPr>
        <w:t>.</w:t>
      </w:r>
      <w:r w:rsidR="00FD591E">
        <w:rPr>
          <w:rStyle w:val="FootnoteReference"/>
          <w:rFonts w:ascii="Arial" w:hAnsi="Arial" w:cs="Arial"/>
        </w:rPr>
        <w:footnoteReference w:id="166"/>
      </w:r>
    </w:p>
    <w:p w:rsidR="00AB58C1" w:rsidRDefault="00AB58C1" w:rsidP="00AB58C1">
      <w:pPr>
        <w:jc w:val="both"/>
        <w:rPr>
          <w:rFonts w:ascii="Arial" w:hAnsi="Arial" w:cs="Arial"/>
        </w:rPr>
      </w:pPr>
    </w:p>
    <w:p w:rsidR="00AB24A3" w:rsidRPr="000E2696" w:rsidRDefault="00AB24A3" w:rsidP="00AB24A3">
      <w:pPr>
        <w:jc w:val="both"/>
        <w:rPr>
          <w:rFonts w:ascii="Arial" w:hAnsi="Arial" w:cs="Arial"/>
        </w:rPr>
      </w:pPr>
      <w:r w:rsidRPr="00AB24A3">
        <w:rPr>
          <w:rFonts w:ascii="Arial" w:hAnsi="Arial" w:cs="Arial"/>
        </w:rPr>
        <w:t xml:space="preserve">In </w:t>
      </w:r>
      <w:r w:rsidRPr="00AB24A3">
        <w:rPr>
          <w:rFonts w:ascii="Arial" w:hAnsi="Arial" w:cs="Arial"/>
          <w:i/>
          <w:iCs/>
        </w:rPr>
        <w:t>M and M</w:t>
      </w:r>
      <w:r w:rsidRPr="00AB24A3">
        <w:rPr>
          <w:rFonts w:ascii="Arial" w:hAnsi="Arial" w:cs="Arial"/>
        </w:rPr>
        <w:t>,</w:t>
      </w:r>
      <w:r w:rsidR="00003F33">
        <w:rPr>
          <w:rStyle w:val="FootnoteReference"/>
          <w:rFonts w:ascii="Arial" w:hAnsi="Arial" w:cs="Arial"/>
        </w:rPr>
        <w:footnoteReference w:id="167"/>
      </w:r>
      <w:r w:rsidRPr="00AB24A3">
        <w:rPr>
          <w:rFonts w:ascii="Arial" w:hAnsi="Arial" w:cs="Arial"/>
        </w:rPr>
        <w:t xml:space="preserve"> the Court of Appeal </w:t>
      </w:r>
      <w:proofErr w:type="spellStart"/>
      <w:r w:rsidRPr="00AB24A3">
        <w:rPr>
          <w:rFonts w:ascii="Arial" w:hAnsi="Arial" w:cs="Arial"/>
        </w:rPr>
        <w:t>emphasised</w:t>
      </w:r>
      <w:proofErr w:type="spellEnd"/>
      <w:r w:rsidRPr="00AB24A3">
        <w:rPr>
          <w:rFonts w:ascii="Arial" w:hAnsi="Arial" w:cs="Arial"/>
        </w:rPr>
        <w:t xml:space="preserve"> that the </w:t>
      </w:r>
      <w:r w:rsidRPr="00AB24A3">
        <w:rPr>
          <w:rFonts w:ascii="Arial" w:hAnsi="Arial" w:cs="Arial"/>
          <w:i/>
          <w:iCs/>
        </w:rPr>
        <w:t xml:space="preserve">Church </w:t>
      </w:r>
      <w:r w:rsidRPr="00AB24A3">
        <w:rPr>
          <w:rFonts w:ascii="Arial" w:hAnsi="Arial" w:cs="Arial"/>
        </w:rPr>
        <w:t>test simply required the jury to decide whether D</w:t>
      </w:r>
      <w:r w:rsidR="00F8652E">
        <w:rPr>
          <w:rFonts w:ascii="Arial" w:hAnsi="Arial" w:cs="Arial"/>
        </w:rPr>
        <w:t>’</w:t>
      </w:r>
      <w:r w:rsidRPr="00AB24A3">
        <w:rPr>
          <w:rFonts w:ascii="Arial" w:hAnsi="Arial" w:cs="Arial"/>
        </w:rPr>
        <w:t xml:space="preserve">s unlawful act exposed V to the risk of </w:t>
      </w:r>
      <w:r w:rsidR="00F8652E">
        <w:rPr>
          <w:rFonts w:ascii="Arial" w:hAnsi="Arial" w:cs="Arial"/>
        </w:rPr>
        <w:t>‘</w:t>
      </w:r>
      <w:r w:rsidRPr="00AB24A3">
        <w:rPr>
          <w:rFonts w:ascii="Arial" w:hAnsi="Arial" w:cs="Arial"/>
        </w:rPr>
        <w:t>some</w:t>
      </w:r>
      <w:r w:rsidR="00F8652E">
        <w:rPr>
          <w:rFonts w:ascii="Arial" w:hAnsi="Arial" w:cs="Arial"/>
        </w:rPr>
        <w:t>’</w:t>
      </w:r>
      <w:r w:rsidRPr="00AB24A3">
        <w:rPr>
          <w:rFonts w:ascii="Arial" w:hAnsi="Arial" w:cs="Arial"/>
        </w:rPr>
        <w:t xml:space="preserve"> harm. There was no requirement that the </w:t>
      </w:r>
      <w:r w:rsidR="00F8652E">
        <w:rPr>
          <w:rFonts w:ascii="Arial" w:hAnsi="Arial" w:cs="Arial"/>
        </w:rPr>
        <w:t>‘</w:t>
      </w:r>
      <w:r w:rsidRPr="00AB24A3">
        <w:rPr>
          <w:rFonts w:ascii="Arial" w:hAnsi="Arial" w:cs="Arial"/>
        </w:rPr>
        <w:t>sober and reasonable</w:t>
      </w:r>
      <w:r w:rsidR="00F8652E">
        <w:rPr>
          <w:rFonts w:ascii="Arial" w:hAnsi="Arial" w:cs="Arial"/>
        </w:rPr>
        <w:t>’</w:t>
      </w:r>
      <w:r w:rsidRPr="00AB24A3">
        <w:rPr>
          <w:rFonts w:ascii="Arial" w:hAnsi="Arial" w:cs="Arial"/>
        </w:rPr>
        <w:t xml:space="preserve"> bystander had to have foreseen the </w:t>
      </w:r>
      <w:r w:rsidR="00F8652E">
        <w:rPr>
          <w:rFonts w:ascii="Arial" w:hAnsi="Arial" w:cs="Arial"/>
        </w:rPr>
        <w:t>‘</w:t>
      </w:r>
      <w:r w:rsidRPr="00AB24A3">
        <w:rPr>
          <w:rFonts w:ascii="Arial" w:hAnsi="Arial" w:cs="Arial"/>
        </w:rPr>
        <w:t>sort</w:t>
      </w:r>
      <w:r w:rsidR="00F8652E">
        <w:rPr>
          <w:rFonts w:ascii="Arial" w:hAnsi="Arial" w:cs="Arial"/>
        </w:rPr>
        <w:t>’</w:t>
      </w:r>
      <w:r w:rsidRPr="00AB24A3">
        <w:rPr>
          <w:rFonts w:ascii="Arial" w:hAnsi="Arial" w:cs="Arial"/>
        </w:rPr>
        <w:t xml:space="preserve"> or </w:t>
      </w:r>
      <w:r w:rsidR="00F8652E">
        <w:rPr>
          <w:rFonts w:ascii="Arial" w:hAnsi="Arial" w:cs="Arial"/>
        </w:rPr>
        <w:t>‘</w:t>
      </w:r>
      <w:r w:rsidRPr="00AB24A3">
        <w:rPr>
          <w:rFonts w:ascii="Arial" w:hAnsi="Arial" w:cs="Arial"/>
        </w:rPr>
        <w:t>type</w:t>
      </w:r>
      <w:r w:rsidR="00F8652E">
        <w:rPr>
          <w:rFonts w:ascii="Arial" w:hAnsi="Arial" w:cs="Arial"/>
        </w:rPr>
        <w:t>’</w:t>
      </w:r>
      <w:r w:rsidRPr="00AB24A3">
        <w:rPr>
          <w:rFonts w:ascii="Arial" w:hAnsi="Arial" w:cs="Arial"/>
        </w:rPr>
        <w:t xml:space="preserve"> of harm to which V was, in fact, exposed.</w:t>
      </w:r>
      <w:r w:rsidR="00AB58C1">
        <w:rPr>
          <w:rFonts w:ascii="Arial" w:hAnsi="Arial" w:cs="Arial"/>
        </w:rPr>
        <w:t xml:space="preserve"> </w:t>
      </w:r>
      <w:r w:rsidR="000E2696">
        <w:rPr>
          <w:rFonts w:ascii="Arial" w:hAnsi="Arial" w:cs="Arial"/>
        </w:rPr>
        <w:t>Canadian law is the same on this point.</w:t>
      </w:r>
      <w:r w:rsidR="00CB58F2">
        <w:rPr>
          <w:rStyle w:val="FootnoteReference"/>
          <w:rFonts w:ascii="Arial" w:hAnsi="Arial" w:cs="Arial"/>
        </w:rPr>
        <w:footnoteReference w:id="168"/>
      </w:r>
      <w:r w:rsidR="000E2696">
        <w:rPr>
          <w:rFonts w:ascii="Arial" w:hAnsi="Arial" w:cs="Arial"/>
        </w:rPr>
        <w:t xml:space="preserve"> In </w:t>
      </w:r>
      <w:r w:rsidR="000E2696" w:rsidRPr="000E2696">
        <w:rPr>
          <w:rFonts w:ascii="Arial" w:hAnsi="Arial" w:cs="Arial"/>
          <w:i/>
        </w:rPr>
        <w:t>Worrall</w:t>
      </w:r>
      <w:r w:rsidR="000E2696">
        <w:rPr>
          <w:rFonts w:ascii="Arial" w:hAnsi="Arial" w:cs="Arial"/>
        </w:rPr>
        <w:t>,</w:t>
      </w:r>
      <w:r w:rsidR="000E2696">
        <w:rPr>
          <w:rStyle w:val="FootnoteReference"/>
          <w:rFonts w:ascii="Arial" w:hAnsi="Arial" w:cs="Arial"/>
        </w:rPr>
        <w:footnoteReference w:id="169"/>
      </w:r>
      <w:r w:rsidR="000E2696">
        <w:rPr>
          <w:rFonts w:ascii="Arial" w:hAnsi="Arial" w:cs="Arial"/>
        </w:rPr>
        <w:t xml:space="preserve"> W</w:t>
      </w:r>
      <w:r w:rsidR="000E2696" w:rsidRPr="000E2696">
        <w:rPr>
          <w:rFonts w:ascii="Arial" w:hAnsi="Arial" w:cs="Arial"/>
        </w:rPr>
        <w:t xml:space="preserve">att J said that </w:t>
      </w:r>
      <w:r w:rsidR="000E2696">
        <w:rPr>
          <w:rFonts w:ascii="Arial" w:hAnsi="Arial" w:cs="Arial"/>
        </w:rPr>
        <w:t>t</w:t>
      </w:r>
      <w:r w:rsidR="000E2696" w:rsidRPr="000E2696">
        <w:rPr>
          <w:rFonts w:ascii="Arial" w:hAnsi="Arial" w:cs="Arial"/>
        </w:rPr>
        <w:t xml:space="preserve">he </w:t>
      </w:r>
      <w:r w:rsidR="00F8652E">
        <w:rPr>
          <w:rFonts w:ascii="Arial" w:hAnsi="Arial" w:cs="Arial"/>
        </w:rPr>
        <w:t>‘</w:t>
      </w:r>
      <w:r w:rsidR="000E2696" w:rsidRPr="000E2696">
        <w:rPr>
          <w:rFonts w:ascii="Arial" w:hAnsi="Arial" w:cs="Arial"/>
        </w:rPr>
        <w:t>fault element in unlawful act manslaughter is objective foreseeability of the risk of bodily harm</w:t>
      </w:r>
      <w:r w:rsidR="000E2696">
        <w:rPr>
          <w:rFonts w:ascii="Arial" w:hAnsi="Arial" w:cs="Arial"/>
        </w:rPr>
        <w:t>…</w:t>
      </w:r>
      <w:r w:rsidR="000E2696" w:rsidRPr="000E2696">
        <w:rPr>
          <w:rFonts w:ascii="Arial" w:hAnsi="Arial" w:cs="Arial"/>
        </w:rPr>
        <w:t>. Provided a reasonable person in an accused</w:t>
      </w:r>
      <w:r w:rsidR="00F8652E">
        <w:rPr>
          <w:rFonts w:ascii="Arial" w:hAnsi="Arial" w:cs="Arial"/>
        </w:rPr>
        <w:t>’</w:t>
      </w:r>
      <w:r w:rsidR="000E2696" w:rsidRPr="000E2696">
        <w:rPr>
          <w:rFonts w:ascii="Arial" w:hAnsi="Arial" w:cs="Arial"/>
        </w:rPr>
        <w:t xml:space="preserve">s circumstances would foresee a risk of bodily harm of the nature described, </w:t>
      </w:r>
      <w:r w:rsidR="000E2696" w:rsidRPr="000E2696">
        <w:rPr>
          <w:rFonts w:ascii="Arial" w:hAnsi="Arial" w:cs="Arial"/>
          <w:i/>
        </w:rPr>
        <w:t>though not necessarily the precise form that occurred</w:t>
      </w:r>
      <w:r w:rsidR="000E2696" w:rsidRPr="000E2696">
        <w:rPr>
          <w:rFonts w:ascii="Arial" w:hAnsi="Arial" w:cs="Arial"/>
        </w:rPr>
        <w:t>, the required mental element has been established</w:t>
      </w:r>
      <w:r w:rsidR="00F8652E">
        <w:rPr>
          <w:rFonts w:ascii="Arial" w:hAnsi="Arial" w:cs="Arial"/>
        </w:rPr>
        <w:t>’</w:t>
      </w:r>
      <w:r w:rsidR="000E2696" w:rsidRPr="000E2696">
        <w:rPr>
          <w:rFonts w:ascii="Arial" w:hAnsi="Arial" w:cs="Arial"/>
        </w:rPr>
        <w:t>.</w:t>
      </w:r>
      <w:r w:rsidR="000E2696">
        <w:rPr>
          <w:rStyle w:val="FootnoteReference"/>
          <w:rFonts w:ascii="Arial" w:hAnsi="Arial" w:cs="Arial"/>
        </w:rPr>
        <w:footnoteReference w:id="170"/>
      </w:r>
    </w:p>
    <w:p w:rsidR="00AB24A3" w:rsidRDefault="00AB24A3" w:rsidP="00AB24A3">
      <w:pPr>
        <w:jc w:val="both"/>
        <w:rPr>
          <w:rFonts w:ascii="Arial" w:hAnsi="Arial" w:cs="Arial"/>
        </w:rPr>
      </w:pPr>
    </w:p>
    <w:p w:rsidR="004B7D8A" w:rsidRDefault="004B7D8A" w:rsidP="00A5679E">
      <w:pPr>
        <w:jc w:val="both"/>
        <w:rPr>
          <w:rFonts w:ascii="Arial" w:hAnsi="Arial" w:cs="Arial"/>
          <w:b/>
          <w:i/>
        </w:rPr>
      </w:pPr>
    </w:p>
    <w:p w:rsidR="00FD591E" w:rsidRPr="004B7D8A" w:rsidRDefault="00FD591E" w:rsidP="00FD591E">
      <w:pPr>
        <w:jc w:val="both"/>
        <w:rPr>
          <w:rFonts w:ascii="Arial" w:hAnsi="Arial" w:cs="Arial"/>
          <w:b/>
          <w:sz w:val="28"/>
          <w:szCs w:val="28"/>
        </w:rPr>
      </w:pPr>
      <w:r w:rsidRPr="004B7D8A">
        <w:rPr>
          <w:rFonts w:ascii="Arial" w:hAnsi="Arial" w:cs="Arial"/>
          <w:b/>
          <w:sz w:val="28"/>
          <w:szCs w:val="28"/>
        </w:rPr>
        <w:t>2.</w:t>
      </w:r>
      <w:r>
        <w:rPr>
          <w:rFonts w:ascii="Arial" w:hAnsi="Arial" w:cs="Arial"/>
          <w:b/>
          <w:sz w:val="28"/>
          <w:szCs w:val="28"/>
        </w:rPr>
        <w:t>3</w:t>
      </w:r>
      <w:r w:rsidRPr="004B7D8A">
        <w:rPr>
          <w:rFonts w:ascii="Arial" w:hAnsi="Arial" w:cs="Arial"/>
          <w:b/>
          <w:sz w:val="28"/>
          <w:szCs w:val="28"/>
        </w:rPr>
        <w:t xml:space="preserve"> Knowledge ascribed to the </w:t>
      </w:r>
      <w:r w:rsidR="00F8652E">
        <w:rPr>
          <w:rFonts w:ascii="Arial" w:hAnsi="Arial" w:cs="Arial"/>
          <w:b/>
          <w:sz w:val="28"/>
          <w:szCs w:val="28"/>
        </w:rPr>
        <w:t>‘</w:t>
      </w:r>
      <w:r w:rsidRPr="004B7D8A">
        <w:rPr>
          <w:rFonts w:ascii="Arial" w:hAnsi="Arial" w:cs="Arial"/>
          <w:b/>
          <w:sz w:val="28"/>
          <w:szCs w:val="28"/>
        </w:rPr>
        <w:t>sober and reasonable</w:t>
      </w:r>
      <w:r w:rsidR="00F8652E">
        <w:rPr>
          <w:rFonts w:ascii="Arial" w:hAnsi="Arial" w:cs="Arial"/>
          <w:b/>
          <w:sz w:val="28"/>
          <w:szCs w:val="28"/>
        </w:rPr>
        <w:t>’</w:t>
      </w:r>
      <w:r w:rsidRPr="004B7D8A">
        <w:rPr>
          <w:rFonts w:ascii="Arial" w:hAnsi="Arial" w:cs="Arial"/>
          <w:b/>
          <w:sz w:val="28"/>
          <w:szCs w:val="28"/>
        </w:rPr>
        <w:t xml:space="preserve"> bystander</w:t>
      </w:r>
    </w:p>
    <w:p w:rsidR="00FD591E" w:rsidRDefault="00FD591E" w:rsidP="00FD591E">
      <w:pPr>
        <w:jc w:val="both"/>
        <w:rPr>
          <w:rFonts w:ascii="Arial" w:hAnsi="Arial" w:cs="Arial"/>
        </w:rPr>
      </w:pPr>
    </w:p>
    <w:p w:rsidR="00FD591E" w:rsidRPr="00113691" w:rsidRDefault="00FD591E" w:rsidP="00FD591E">
      <w:pPr>
        <w:jc w:val="both"/>
        <w:rPr>
          <w:rFonts w:ascii="Arial" w:hAnsi="Arial" w:cs="Arial"/>
        </w:rPr>
      </w:pPr>
      <w:r>
        <w:rPr>
          <w:rFonts w:ascii="Arial" w:hAnsi="Arial" w:cs="Arial"/>
        </w:rPr>
        <w:t xml:space="preserve">English </w:t>
      </w:r>
      <w:r w:rsidRPr="00AB24A3">
        <w:rPr>
          <w:rFonts w:ascii="Arial" w:hAnsi="Arial" w:cs="Arial"/>
        </w:rPr>
        <w:t xml:space="preserve">courts approach the </w:t>
      </w:r>
      <w:r w:rsidRPr="00AB24A3">
        <w:rPr>
          <w:rFonts w:ascii="Arial" w:hAnsi="Arial" w:cs="Arial"/>
          <w:i/>
        </w:rPr>
        <w:t>Church</w:t>
      </w:r>
      <w:r w:rsidRPr="00AB24A3">
        <w:rPr>
          <w:rFonts w:ascii="Arial" w:hAnsi="Arial" w:cs="Arial"/>
        </w:rPr>
        <w:t xml:space="preserve"> test by asking whether a hypothetical </w:t>
      </w:r>
      <w:r w:rsidR="00F8652E">
        <w:rPr>
          <w:rFonts w:ascii="Arial" w:hAnsi="Arial" w:cs="Arial"/>
        </w:rPr>
        <w:t>‘</w:t>
      </w:r>
      <w:r w:rsidRPr="00AB24A3">
        <w:rPr>
          <w:rFonts w:ascii="Arial" w:hAnsi="Arial" w:cs="Arial"/>
        </w:rPr>
        <w:t>sober and reasonable</w:t>
      </w:r>
      <w:r w:rsidR="00F8652E">
        <w:rPr>
          <w:rFonts w:ascii="Arial" w:hAnsi="Arial" w:cs="Arial"/>
        </w:rPr>
        <w:t>’</w:t>
      </w:r>
      <w:r w:rsidRPr="00AB24A3">
        <w:rPr>
          <w:rFonts w:ascii="Arial" w:hAnsi="Arial" w:cs="Arial"/>
        </w:rPr>
        <w:t xml:space="preserve"> bystander, who happened to be watching the unlawful act, would regard the act as dangerous. </w:t>
      </w:r>
      <w:r>
        <w:rPr>
          <w:rFonts w:ascii="Arial" w:hAnsi="Arial" w:cs="Arial"/>
        </w:rPr>
        <w:t xml:space="preserve">Although the test is essentially objective, the bystander shares any knowledge acquired by D both </w:t>
      </w:r>
      <w:r w:rsidRPr="00EF1905">
        <w:rPr>
          <w:rFonts w:ascii="Arial" w:hAnsi="Arial" w:cs="Arial"/>
          <w:i/>
        </w:rPr>
        <w:t>prior to</w:t>
      </w:r>
      <w:r>
        <w:rPr>
          <w:rFonts w:ascii="Arial" w:hAnsi="Arial" w:cs="Arial"/>
        </w:rPr>
        <w:t xml:space="preserve"> and </w:t>
      </w:r>
      <w:r w:rsidRPr="00EF1905">
        <w:rPr>
          <w:rFonts w:ascii="Arial" w:hAnsi="Arial" w:cs="Arial"/>
          <w:i/>
        </w:rPr>
        <w:t>during</w:t>
      </w:r>
      <w:r>
        <w:rPr>
          <w:rFonts w:ascii="Arial" w:hAnsi="Arial" w:cs="Arial"/>
        </w:rPr>
        <w:t xml:space="preserve"> the unlawful act. An example of the former situation is</w:t>
      </w:r>
      <w:r w:rsidRPr="00AB24A3">
        <w:rPr>
          <w:rFonts w:ascii="Arial" w:hAnsi="Arial" w:cs="Arial"/>
        </w:rPr>
        <w:t xml:space="preserve"> </w:t>
      </w:r>
      <w:r w:rsidRPr="00AB24A3">
        <w:rPr>
          <w:rFonts w:ascii="Arial" w:hAnsi="Arial" w:cs="Arial"/>
          <w:i/>
          <w:iCs/>
        </w:rPr>
        <w:t>Ball</w:t>
      </w:r>
      <w:r>
        <w:rPr>
          <w:rFonts w:ascii="Arial" w:hAnsi="Arial" w:cs="Arial"/>
        </w:rPr>
        <w:t>,</w:t>
      </w:r>
      <w:r>
        <w:rPr>
          <w:rStyle w:val="FootnoteReference"/>
          <w:rFonts w:ascii="Arial" w:hAnsi="Arial" w:cs="Arial"/>
        </w:rPr>
        <w:footnoteReference w:id="171"/>
      </w:r>
      <w:r>
        <w:rPr>
          <w:rFonts w:ascii="Arial" w:hAnsi="Arial" w:cs="Arial"/>
        </w:rPr>
        <w:t xml:space="preserve"> in which D</w:t>
      </w:r>
      <w:r w:rsidR="00F8652E">
        <w:rPr>
          <w:rFonts w:ascii="Arial" w:hAnsi="Arial" w:cs="Arial"/>
        </w:rPr>
        <w:t>’</w:t>
      </w:r>
      <w:r>
        <w:rPr>
          <w:rFonts w:ascii="Arial" w:hAnsi="Arial" w:cs="Arial"/>
        </w:rPr>
        <w:t xml:space="preserve">s conduct in </w:t>
      </w:r>
      <w:r w:rsidRPr="00AB24A3">
        <w:rPr>
          <w:rFonts w:ascii="Arial" w:hAnsi="Arial" w:cs="Arial"/>
        </w:rPr>
        <w:t>grabb</w:t>
      </w:r>
      <w:r>
        <w:rPr>
          <w:rFonts w:ascii="Arial" w:hAnsi="Arial" w:cs="Arial"/>
        </w:rPr>
        <w:t>ing</w:t>
      </w:r>
      <w:r w:rsidRPr="00AB24A3">
        <w:rPr>
          <w:rFonts w:ascii="Arial" w:hAnsi="Arial" w:cs="Arial"/>
        </w:rPr>
        <w:t xml:space="preserve"> a handful of cartridges </w:t>
      </w:r>
      <w:r>
        <w:rPr>
          <w:rFonts w:ascii="Arial" w:hAnsi="Arial" w:cs="Arial"/>
        </w:rPr>
        <w:t xml:space="preserve">from the pocket of his overalls, which D knew contained a mixture of live and blank ammunition, loading his shotgun, and firing it at V, was objectively dangerous. </w:t>
      </w:r>
      <w:r w:rsidRPr="00113691">
        <w:rPr>
          <w:rFonts w:ascii="Arial" w:hAnsi="Arial" w:cs="Arial"/>
        </w:rPr>
        <w:t xml:space="preserve">Smith </w:t>
      </w:r>
      <w:r>
        <w:rPr>
          <w:rFonts w:ascii="Arial" w:hAnsi="Arial" w:cs="Arial"/>
        </w:rPr>
        <w:t xml:space="preserve">agreed </w:t>
      </w:r>
      <w:r w:rsidRPr="00113691">
        <w:rPr>
          <w:rFonts w:ascii="Arial" w:hAnsi="Arial" w:cs="Arial"/>
        </w:rPr>
        <w:t xml:space="preserve">that </w:t>
      </w:r>
      <w:r>
        <w:rPr>
          <w:rFonts w:ascii="Arial" w:hAnsi="Arial" w:cs="Arial"/>
        </w:rPr>
        <w:t>t</w:t>
      </w:r>
      <w:r w:rsidRPr="00113691">
        <w:rPr>
          <w:rFonts w:ascii="Arial" w:hAnsi="Arial" w:cs="Arial"/>
          <w:color w:val="000000"/>
          <w:shd w:val="clear" w:color="auto" w:fill="FFFFFF"/>
        </w:rPr>
        <w:t xml:space="preserve">he sober and reasonable man </w:t>
      </w:r>
      <w:r w:rsidR="00F8652E">
        <w:rPr>
          <w:rFonts w:ascii="Arial" w:hAnsi="Arial" w:cs="Arial"/>
          <w:color w:val="000000"/>
          <w:shd w:val="clear" w:color="auto" w:fill="FFFFFF"/>
        </w:rPr>
        <w:t>‘</w:t>
      </w:r>
      <w:r w:rsidRPr="00113691">
        <w:rPr>
          <w:rFonts w:ascii="Arial" w:hAnsi="Arial" w:cs="Arial"/>
          <w:color w:val="000000"/>
          <w:shd w:val="clear" w:color="auto" w:fill="FFFFFF"/>
        </w:rPr>
        <w:t>cannot be treated as having come on the scene at the moment of the fatal act with no knowledge of any earlier events. His knowledge must surely include awareness of the preparatory acts done by the defendant</w:t>
      </w:r>
      <w:r w:rsidR="00F8652E">
        <w:rPr>
          <w:rFonts w:ascii="Arial" w:hAnsi="Arial" w:cs="Arial"/>
          <w:color w:val="000000"/>
          <w:shd w:val="clear" w:color="auto" w:fill="FFFFFF"/>
        </w:rPr>
        <w:t>’</w:t>
      </w:r>
      <w:r w:rsidRPr="00113691">
        <w:rPr>
          <w:rFonts w:ascii="Arial" w:hAnsi="Arial" w:cs="Arial"/>
        </w:rPr>
        <w:t>.</w:t>
      </w:r>
      <w:r>
        <w:rPr>
          <w:rStyle w:val="FootnoteReference"/>
          <w:rFonts w:ascii="Arial" w:hAnsi="Arial" w:cs="Arial"/>
        </w:rPr>
        <w:footnoteReference w:id="172"/>
      </w:r>
    </w:p>
    <w:p w:rsidR="00FD591E" w:rsidRPr="00113691" w:rsidRDefault="00FD591E" w:rsidP="00FD591E">
      <w:pPr>
        <w:jc w:val="both"/>
        <w:rPr>
          <w:rFonts w:ascii="Arial" w:hAnsi="Arial" w:cs="Arial"/>
        </w:rPr>
      </w:pPr>
    </w:p>
    <w:p w:rsidR="00FD591E" w:rsidRPr="00AB24A3" w:rsidRDefault="00FD591E" w:rsidP="00FD591E">
      <w:pPr>
        <w:jc w:val="both"/>
        <w:rPr>
          <w:rFonts w:ascii="Arial" w:hAnsi="Arial" w:cs="Arial"/>
        </w:rPr>
      </w:pPr>
      <w:r>
        <w:rPr>
          <w:rFonts w:ascii="Arial" w:hAnsi="Arial" w:cs="Arial"/>
        </w:rPr>
        <w:t>An example of the latter situation is</w:t>
      </w:r>
      <w:r w:rsidRPr="00AB24A3">
        <w:rPr>
          <w:rFonts w:ascii="Arial" w:hAnsi="Arial" w:cs="Arial"/>
        </w:rPr>
        <w:t xml:space="preserve"> </w:t>
      </w:r>
      <w:r w:rsidRPr="00AB24A3">
        <w:rPr>
          <w:rFonts w:ascii="Arial" w:hAnsi="Arial" w:cs="Arial"/>
          <w:i/>
          <w:iCs/>
        </w:rPr>
        <w:t>Watson</w:t>
      </w:r>
      <w:r>
        <w:rPr>
          <w:rFonts w:ascii="Arial" w:hAnsi="Arial" w:cs="Arial"/>
        </w:rPr>
        <w:t>,</w:t>
      </w:r>
      <w:r>
        <w:rPr>
          <w:rStyle w:val="FootnoteReference"/>
          <w:rFonts w:ascii="Arial" w:hAnsi="Arial" w:cs="Arial"/>
        </w:rPr>
        <w:footnoteReference w:id="173"/>
      </w:r>
      <w:r>
        <w:rPr>
          <w:rFonts w:ascii="Arial" w:hAnsi="Arial" w:cs="Arial"/>
        </w:rPr>
        <w:t xml:space="preserve"> in which V, </w:t>
      </w:r>
      <w:r w:rsidR="00864048">
        <w:rPr>
          <w:rFonts w:ascii="Arial" w:hAnsi="Arial" w:cs="Arial"/>
        </w:rPr>
        <w:t xml:space="preserve">an </w:t>
      </w:r>
      <w:bookmarkStart w:id="0" w:name="_GoBack"/>
      <w:bookmarkEnd w:id="0"/>
      <w:r w:rsidRPr="00AB24A3">
        <w:rPr>
          <w:rFonts w:ascii="Arial" w:hAnsi="Arial" w:cs="Arial"/>
        </w:rPr>
        <w:t xml:space="preserve">87-year-old man, </w:t>
      </w:r>
      <w:r>
        <w:rPr>
          <w:rFonts w:ascii="Arial" w:hAnsi="Arial" w:cs="Arial"/>
        </w:rPr>
        <w:t>awakened by the sound of breaking glass during the night, discovered D burgling his house. D</w:t>
      </w:r>
      <w:r w:rsidRPr="00AB24A3">
        <w:rPr>
          <w:rFonts w:ascii="Arial" w:hAnsi="Arial" w:cs="Arial"/>
        </w:rPr>
        <w:t xml:space="preserve"> verbally abused</w:t>
      </w:r>
      <w:r>
        <w:rPr>
          <w:rFonts w:ascii="Arial" w:hAnsi="Arial" w:cs="Arial"/>
        </w:rPr>
        <w:t xml:space="preserve"> V and then l</w:t>
      </w:r>
      <w:r w:rsidRPr="00AB24A3">
        <w:rPr>
          <w:rFonts w:ascii="Arial" w:hAnsi="Arial" w:cs="Arial"/>
        </w:rPr>
        <w:t xml:space="preserve">eft but V died of a heart attack 90 minutes later. D pleaded guilty to burglary </w:t>
      </w:r>
      <w:r>
        <w:rPr>
          <w:rFonts w:ascii="Arial" w:hAnsi="Arial" w:cs="Arial"/>
        </w:rPr>
        <w:t>and</w:t>
      </w:r>
      <w:r w:rsidRPr="00AB24A3">
        <w:rPr>
          <w:rFonts w:ascii="Arial" w:hAnsi="Arial" w:cs="Arial"/>
        </w:rPr>
        <w:t xml:space="preserve"> was also convicted of manslaughter. The Court of Appeal allowed D</w:t>
      </w:r>
      <w:r w:rsidR="00F8652E">
        <w:rPr>
          <w:rFonts w:ascii="Arial" w:hAnsi="Arial" w:cs="Arial"/>
        </w:rPr>
        <w:t>’</w:t>
      </w:r>
      <w:r w:rsidRPr="00AB24A3">
        <w:rPr>
          <w:rFonts w:ascii="Arial" w:hAnsi="Arial" w:cs="Arial"/>
        </w:rPr>
        <w:t>s appeal against the latter conviction (on causation grounds) but was satisfied that the jury were entitled to find that the burglary was dangerous.</w:t>
      </w:r>
      <w:r w:rsidRPr="00AB58C1">
        <w:rPr>
          <w:rFonts w:ascii="Arial" w:hAnsi="Arial" w:cs="Arial"/>
        </w:rPr>
        <w:t xml:space="preserve"> </w:t>
      </w:r>
      <w:r w:rsidRPr="00AB24A3">
        <w:rPr>
          <w:rFonts w:ascii="Arial" w:hAnsi="Arial" w:cs="Arial"/>
        </w:rPr>
        <w:t>Lord Lane CJ s</w:t>
      </w:r>
      <w:r>
        <w:rPr>
          <w:rFonts w:ascii="Arial" w:hAnsi="Arial" w:cs="Arial"/>
        </w:rPr>
        <w:t xml:space="preserve">tated that </w:t>
      </w:r>
      <w:r w:rsidR="00F8652E">
        <w:rPr>
          <w:rFonts w:ascii="Arial" w:hAnsi="Arial" w:cs="Arial"/>
        </w:rPr>
        <w:t>‘</w:t>
      </w:r>
      <w:r w:rsidRPr="00AB24A3">
        <w:rPr>
          <w:rFonts w:ascii="Arial" w:hAnsi="Arial" w:cs="Arial"/>
        </w:rPr>
        <w:t xml:space="preserve">the jury were entitled to ascribe to the </w:t>
      </w:r>
      <w:r w:rsidRPr="00AB24A3">
        <w:rPr>
          <w:rFonts w:ascii="Arial" w:hAnsi="Arial" w:cs="Arial"/>
        </w:rPr>
        <w:lastRenderedPageBreak/>
        <w:t>bystander the knowledge which [D] gained during the whole of his stay in the house</w:t>
      </w:r>
      <w:r>
        <w:rPr>
          <w:rFonts w:ascii="Arial" w:hAnsi="Arial" w:cs="Arial"/>
        </w:rPr>
        <w:t xml:space="preserve">… </w:t>
      </w:r>
      <w:r w:rsidRPr="00AB24A3">
        <w:rPr>
          <w:rFonts w:ascii="Arial" w:hAnsi="Arial" w:cs="Arial"/>
        </w:rPr>
        <w:t>The unlawful act in the present circumstances comprised the whole of the burglarious intrusion . . . That being so, D (and therefore the bystander) during the course of the unlawful act must have become aware of [V]</w:t>
      </w:r>
      <w:r w:rsidR="00F8652E">
        <w:rPr>
          <w:rFonts w:ascii="Arial" w:hAnsi="Arial" w:cs="Arial"/>
        </w:rPr>
        <w:t>’</w:t>
      </w:r>
      <w:r w:rsidRPr="00AB24A3">
        <w:rPr>
          <w:rFonts w:ascii="Arial" w:hAnsi="Arial" w:cs="Arial"/>
        </w:rPr>
        <w:t>s frailty and approximate age.</w:t>
      </w:r>
      <w:r w:rsidR="00F8652E">
        <w:rPr>
          <w:rFonts w:ascii="Arial" w:hAnsi="Arial" w:cs="Arial"/>
        </w:rPr>
        <w:t>’</w:t>
      </w:r>
      <w:r>
        <w:rPr>
          <w:rStyle w:val="FootnoteReference"/>
          <w:rFonts w:ascii="Arial" w:hAnsi="Arial" w:cs="Arial"/>
        </w:rPr>
        <w:footnoteReference w:id="174"/>
      </w:r>
    </w:p>
    <w:p w:rsidR="00FD591E" w:rsidRPr="00AB24A3" w:rsidRDefault="00FD591E" w:rsidP="00FD591E">
      <w:pPr>
        <w:jc w:val="both"/>
        <w:rPr>
          <w:rFonts w:ascii="Arial" w:hAnsi="Arial" w:cs="Arial"/>
        </w:rPr>
      </w:pPr>
    </w:p>
    <w:p w:rsidR="00FD591E" w:rsidRDefault="00FD591E" w:rsidP="00FD591E">
      <w:pPr>
        <w:jc w:val="both"/>
        <w:rPr>
          <w:rFonts w:ascii="Arial" w:hAnsi="Arial" w:cs="Arial"/>
        </w:rPr>
      </w:pPr>
      <w:r w:rsidRPr="00AB24A3">
        <w:rPr>
          <w:rFonts w:ascii="Arial" w:hAnsi="Arial" w:cs="Arial"/>
        </w:rPr>
        <w:t xml:space="preserve">Similar reasoning was adopted in </w:t>
      </w:r>
      <w:r w:rsidRPr="00AB24A3">
        <w:rPr>
          <w:rFonts w:ascii="Arial" w:hAnsi="Arial" w:cs="Arial"/>
          <w:i/>
          <w:iCs/>
        </w:rPr>
        <w:t>Bristow and others</w:t>
      </w:r>
      <w:r w:rsidRPr="00AB24A3">
        <w:rPr>
          <w:rFonts w:ascii="Arial" w:hAnsi="Arial" w:cs="Arial"/>
        </w:rPr>
        <w:t>.</w:t>
      </w:r>
      <w:r>
        <w:rPr>
          <w:rStyle w:val="FootnoteReference"/>
          <w:rFonts w:ascii="Arial" w:hAnsi="Arial" w:cs="Arial"/>
        </w:rPr>
        <w:footnoteReference w:id="175"/>
      </w:r>
      <w:r w:rsidRPr="00AB24A3">
        <w:rPr>
          <w:rFonts w:ascii="Arial" w:hAnsi="Arial" w:cs="Arial"/>
        </w:rPr>
        <w:t xml:space="preserve"> </w:t>
      </w:r>
      <w:proofErr w:type="spellStart"/>
      <w:r w:rsidRPr="00AB24A3">
        <w:rPr>
          <w:rFonts w:ascii="Arial" w:hAnsi="Arial" w:cs="Arial"/>
        </w:rPr>
        <w:t>Treacy</w:t>
      </w:r>
      <w:proofErr w:type="spellEnd"/>
      <w:r w:rsidRPr="00AB24A3">
        <w:rPr>
          <w:rFonts w:ascii="Arial" w:hAnsi="Arial" w:cs="Arial"/>
        </w:rPr>
        <w:t xml:space="preserve"> LJ said that </w:t>
      </w:r>
      <w:r w:rsidR="00F8652E">
        <w:rPr>
          <w:rFonts w:ascii="Arial" w:hAnsi="Arial" w:cs="Arial"/>
        </w:rPr>
        <w:t>‘</w:t>
      </w:r>
      <w:r w:rsidRPr="00AB24A3">
        <w:rPr>
          <w:rFonts w:ascii="Arial" w:hAnsi="Arial" w:cs="Arial"/>
        </w:rPr>
        <w:t>whilst burglary of itself is not a dangerous crime, a particular burglary may be dangerous because of the circumstances surrounding its commission</w:t>
      </w:r>
      <w:r w:rsidR="00F8652E">
        <w:rPr>
          <w:rFonts w:ascii="Arial" w:hAnsi="Arial" w:cs="Arial"/>
        </w:rPr>
        <w:t>’</w:t>
      </w:r>
      <w:r w:rsidRPr="00AB24A3">
        <w:rPr>
          <w:rFonts w:ascii="Arial" w:hAnsi="Arial" w:cs="Arial"/>
        </w:rPr>
        <w:t>.</w:t>
      </w:r>
      <w:r>
        <w:rPr>
          <w:rStyle w:val="FootnoteReference"/>
          <w:rFonts w:ascii="Arial" w:hAnsi="Arial" w:cs="Arial"/>
        </w:rPr>
        <w:footnoteReference w:id="176"/>
      </w:r>
      <w:r>
        <w:rPr>
          <w:rFonts w:ascii="Arial" w:hAnsi="Arial" w:cs="Arial"/>
        </w:rPr>
        <w:t xml:space="preserve"> V was run over and killed by the defendants </w:t>
      </w:r>
      <w:r w:rsidRPr="00AB24A3">
        <w:rPr>
          <w:rFonts w:ascii="Arial" w:hAnsi="Arial" w:cs="Arial"/>
        </w:rPr>
        <w:t>as they attempted to escape</w:t>
      </w:r>
      <w:r>
        <w:rPr>
          <w:rFonts w:ascii="Arial" w:hAnsi="Arial" w:cs="Arial"/>
        </w:rPr>
        <w:t xml:space="preserve"> </w:t>
      </w:r>
      <w:r w:rsidRPr="00AB24A3">
        <w:rPr>
          <w:rFonts w:ascii="Arial" w:hAnsi="Arial" w:cs="Arial"/>
        </w:rPr>
        <w:t xml:space="preserve">down </w:t>
      </w:r>
      <w:r>
        <w:rPr>
          <w:rFonts w:ascii="Arial" w:hAnsi="Arial" w:cs="Arial"/>
        </w:rPr>
        <w:t>a</w:t>
      </w:r>
      <w:r w:rsidRPr="00AB24A3">
        <w:rPr>
          <w:rFonts w:ascii="Arial" w:hAnsi="Arial" w:cs="Arial"/>
        </w:rPr>
        <w:t xml:space="preserve"> single-track road past V</w:t>
      </w:r>
      <w:r w:rsidR="00F8652E">
        <w:rPr>
          <w:rFonts w:ascii="Arial" w:hAnsi="Arial" w:cs="Arial"/>
        </w:rPr>
        <w:t>’</w:t>
      </w:r>
      <w:r w:rsidRPr="00AB24A3">
        <w:rPr>
          <w:rFonts w:ascii="Arial" w:hAnsi="Arial" w:cs="Arial"/>
        </w:rPr>
        <w:t>s home</w:t>
      </w:r>
      <w:r>
        <w:rPr>
          <w:rFonts w:ascii="Arial" w:hAnsi="Arial" w:cs="Arial"/>
        </w:rPr>
        <w:t xml:space="preserve"> with stolen vehicles from V</w:t>
      </w:r>
      <w:r w:rsidR="00F8652E">
        <w:rPr>
          <w:rFonts w:ascii="Arial" w:hAnsi="Arial" w:cs="Arial"/>
        </w:rPr>
        <w:t>’</w:t>
      </w:r>
      <w:r>
        <w:rPr>
          <w:rFonts w:ascii="Arial" w:hAnsi="Arial" w:cs="Arial"/>
        </w:rPr>
        <w:t>s car repair business</w:t>
      </w:r>
      <w:r w:rsidRPr="00AB24A3">
        <w:rPr>
          <w:rFonts w:ascii="Arial" w:hAnsi="Arial" w:cs="Arial"/>
        </w:rPr>
        <w:t xml:space="preserve">. The Court of Appeal upheld their convictions </w:t>
      </w:r>
      <w:r>
        <w:rPr>
          <w:rFonts w:ascii="Arial" w:hAnsi="Arial" w:cs="Arial"/>
        </w:rPr>
        <w:t xml:space="preserve">for manslaughter, holding that the burglary </w:t>
      </w:r>
      <w:r w:rsidRPr="00AB24A3">
        <w:rPr>
          <w:rFonts w:ascii="Arial" w:hAnsi="Arial" w:cs="Arial"/>
        </w:rPr>
        <w:t>was dangerous</w:t>
      </w:r>
      <w:r>
        <w:rPr>
          <w:rFonts w:ascii="Arial" w:hAnsi="Arial" w:cs="Arial"/>
        </w:rPr>
        <w:t xml:space="preserve"> because </w:t>
      </w:r>
      <w:r w:rsidRPr="00AB24A3">
        <w:rPr>
          <w:rFonts w:ascii="Arial" w:hAnsi="Arial" w:cs="Arial"/>
        </w:rPr>
        <w:t xml:space="preserve">a </w:t>
      </w:r>
      <w:r w:rsidR="00F8652E">
        <w:rPr>
          <w:rFonts w:ascii="Arial" w:hAnsi="Arial" w:cs="Arial"/>
        </w:rPr>
        <w:t>‘</w:t>
      </w:r>
      <w:r w:rsidRPr="00AB24A3">
        <w:rPr>
          <w:rFonts w:ascii="Arial" w:hAnsi="Arial" w:cs="Arial"/>
        </w:rPr>
        <w:t>reasonable bystander would</w:t>
      </w:r>
      <w:r>
        <w:rPr>
          <w:rFonts w:ascii="Arial" w:hAnsi="Arial" w:cs="Arial"/>
        </w:rPr>
        <w:t>…</w:t>
      </w:r>
      <w:r w:rsidRPr="00AB24A3">
        <w:rPr>
          <w:rFonts w:ascii="Arial" w:hAnsi="Arial" w:cs="Arial"/>
        </w:rPr>
        <w:t xml:space="preserve"> </w:t>
      </w:r>
      <w:proofErr w:type="spellStart"/>
      <w:r w:rsidRPr="00AB24A3">
        <w:rPr>
          <w:rFonts w:ascii="Arial" w:hAnsi="Arial" w:cs="Arial"/>
        </w:rPr>
        <w:t>recognise</w:t>
      </w:r>
      <w:proofErr w:type="spellEnd"/>
      <w:r w:rsidRPr="00AB24A3">
        <w:rPr>
          <w:rFonts w:ascii="Arial" w:hAnsi="Arial" w:cs="Arial"/>
        </w:rPr>
        <w:t xml:space="preserve"> the risk of some harm being caused to a person intervening at night, in the dark, in a relatively confined space, where powerful vehicles were involved, and there was only one route of escape</w:t>
      </w:r>
      <w:r w:rsidR="00F8652E">
        <w:rPr>
          <w:rFonts w:ascii="Arial" w:hAnsi="Arial" w:cs="Arial"/>
        </w:rPr>
        <w:t>’</w:t>
      </w:r>
      <w:r>
        <w:rPr>
          <w:rFonts w:ascii="Arial" w:hAnsi="Arial" w:cs="Arial"/>
        </w:rPr>
        <w:t>.</w:t>
      </w:r>
      <w:r>
        <w:rPr>
          <w:rStyle w:val="FootnoteReference"/>
          <w:rFonts w:ascii="Arial" w:hAnsi="Arial" w:cs="Arial"/>
        </w:rPr>
        <w:footnoteReference w:id="177"/>
      </w:r>
    </w:p>
    <w:p w:rsidR="00FD591E" w:rsidRPr="00513CD3" w:rsidRDefault="00FD591E" w:rsidP="00FD591E">
      <w:pPr>
        <w:jc w:val="both"/>
        <w:rPr>
          <w:rFonts w:ascii="Arial" w:hAnsi="Arial" w:cs="Arial"/>
        </w:rPr>
      </w:pPr>
    </w:p>
    <w:p w:rsidR="00FD591E" w:rsidRDefault="00FD591E" w:rsidP="00FD591E">
      <w:pPr>
        <w:pStyle w:val="Heading1"/>
        <w:spacing w:before="0" w:after="0"/>
        <w:jc w:val="both"/>
        <w:rPr>
          <w:rFonts w:ascii="Arial" w:hAnsi="Arial" w:cs="Arial"/>
        </w:rPr>
      </w:pPr>
      <w:r w:rsidRPr="00513CD3">
        <w:rPr>
          <w:rFonts w:ascii="Arial" w:hAnsi="Arial" w:cs="Arial"/>
          <w:b w:val="0"/>
          <w:sz w:val="24"/>
          <w:szCs w:val="24"/>
        </w:rPr>
        <w:t xml:space="preserve">The leading Australian </w:t>
      </w:r>
      <w:r>
        <w:rPr>
          <w:rFonts w:ascii="Arial" w:hAnsi="Arial" w:cs="Arial"/>
          <w:b w:val="0"/>
          <w:sz w:val="24"/>
          <w:szCs w:val="24"/>
        </w:rPr>
        <w:t>case</w:t>
      </w:r>
      <w:r w:rsidRPr="00513CD3">
        <w:rPr>
          <w:rFonts w:ascii="Arial" w:hAnsi="Arial" w:cs="Arial"/>
          <w:b w:val="0"/>
          <w:sz w:val="24"/>
          <w:szCs w:val="24"/>
        </w:rPr>
        <w:t xml:space="preserve"> on this point is </w:t>
      </w:r>
      <w:r w:rsidRPr="00513CD3">
        <w:rPr>
          <w:rFonts w:ascii="Arial" w:hAnsi="Arial" w:cs="Arial"/>
          <w:b w:val="0"/>
          <w:i/>
          <w:iCs/>
          <w:color w:val="000000"/>
          <w:sz w:val="24"/>
          <w:szCs w:val="24"/>
          <w:shd w:val="clear" w:color="auto" w:fill="FFFFFF"/>
        </w:rPr>
        <w:t>Cornelissen</w:t>
      </w:r>
      <w:bookmarkStart w:id="1" w:name="disp0"/>
      <w:r w:rsidRPr="00513CD3">
        <w:rPr>
          <w:rFonts w:ascii="Arial" w:hAnsi="Arial" w:cs="Arial"/>
          <w:b w:val="0"/>
          <w:iCs/>
          <w:color w:val="000000"/>
          <w:sz w:val="24"/>
          <w:szCs w:val="24"/>
          <w:shd w:val="clear" w:color="auto" w:fill="FFFFFF"/>
        </w:rPr>
        <w:t>.</w:t>
      </w:r>
      <w:r>
        <w:rPr>
          <w:rStyle w:val="FootnoteReference"/>
          <w:rFonts w:ascii="Arial" w:hAnsi="Arial" w:cs="Arial"/>
          <w:b w:val="0"/>
          <w:iCs/>
          <w:color w:val="000000"/>
          <w:sz w:val="24"/>
          <w:szCs w:val="24"/>
          <w:shd w:val="clear" w:color="auto" w:fill="FFFFFF"/>
        </w:rPr>
        <w:footnoteReference w:id="178"/>
      </w:r>
      <w:r>
        <w:rPr>
          <w:rFonts w:ascii="Arial" w:hAnsi="Arial" w:cs="Arial"/>
          <w:b w:val="0"/>
          <w:iCs/>
          <w:color w:val="000000"/>
          <w:sz w:val="24"/>
          <w:szCs w:val="24"/>
          <w:shd w:val="clear" w:color="auto" w:fill="FFFFFF"/>
        </w:rPr>
        <w:t xml:space="preserve"> </w:t>
      </w:r>
      <w:bookmarkEnd w:id="1"/>
      <w:r>
        <w:rPr>
          <w:rFonts w:ascii="Arial" w:hAnsi="Arial" w:cs="Arial"/>
          <w:b w:val="0"/>
          <w:iCs/>
          <w:color w:val="000000"/>
          <w:sz w:val="24"/>
          <w:szCs w:val="24"/>
          <w:shd w:val="clear" w:color="auto" w:fill="FFFFFF"/>
        </w:rPr>
        <w:t>During an altercation, D punched V, causing him to collapse. V</w:t>
      </w:r>
      <w:r>
        <w:rPr>
          <w:rFonts w:ascii="Arial" w:hAnsi="Arial" w:cs="Arial"/>
          <w:b w:val="0"/>
          <w:color w:val="000000"/>
          <w:sz w:val="24"/>
          <w:szCs w:val="24"/>
          <w:shd w:val="clear" w:color="auto" w:fill="FFFFFF"/>
        </w:rPr>
        <w:t xml:space="preserve"> later died and D was convicted of manslaughter. He appealed, contending</w:t>
      </w:r>
      <w:r w:rsidRPr="00EF1905">
        <w:rPr>
          <w:rFonts w:ascii="Arial" w:hAnsi="Arial" w:cs="Arial"/>
          <w:b w:val="0"/>
          <w:i/>
          <w:color w:val="000000"/>
          <w:sz w:val="24"/>
          <w:szCs w:val="24"/>
          <w:shd w:val="clear" w:color="auto" w:fill="FFFFFF"/>
        </w:rPr>
        <w:t xml:space="preserve"> inter alia </w:t>
      </w:r>
      <w:r w:rsidRPr="00513CD3">
        <w:rPr>
          <w:rFonts w:ascii="Arial" w:hAnsi="Arial" w:cs="Arial"/>
          <w:b w:val="0"/>
          <w:color w:val="000000"/>
          <w:sz w:val="24"/>
          <w:szCs w:val="24"/>
          <w:shd w:val="clear" w:color="auto" w:fill="FFFFFF"/>
        </w:rPr>
        <w:t xml:space="preserve">that the trial judge had </w:t>
      </w:r>
      <w:r>
        <w:rPr>
          <w:rFonts w:ascii="Arial" w:hAnsi="Arial" w:cs="Arial"/>
          <w:b w:val="0"/>
          <w:color w:val="000000"/>
          <w:sz w:val="24"/>
          <w:szCs w:val="24"/>
          <w:shd w:val="clear" w:color="auto" w:fill="FFFFFF"/>
        </w:rPr>
        <w:t>misdi</w:t>
      </w:r>
      <w:r w:rsidRPr="00513CD3">
        <w:rPr>
          <w:rFonts w:ascii="Arial" w:hAnsi="Arial" w:cs="Arial"/>
          <w:b w:val="0"/>
          <w:color w:val="000000"/>
          <w:sz w:val="24"/>
          <w:szCs w:val="24"/>
          <w:shd w:val="clear" w:color="auto" w:fill="FFFFFF"/>
        </w:rPr>
        <w:t>rect</w:t>
      </w:r>
      <w:r>
        <w:rPr>
          <w:rFonts w:ascii="Arial" w:hAnsi="Arial" w:cs="Arial"/>
          <w:b w:val="0"/>
          <w:color w:val="000000"/>
          <w:sz w:val="24"/>
          <w:szCs w:val="24"/>
          <w:shd w:val="clear" w:color="auto" w:fill="FFFFFF"/>
        </w:rPr>
        <w:t>ed</w:t>
      </w:r>
      <w:r w:rsidRPr="00513CD3">
        <w:rPr>
          <w:rFonts w:ascii="Arial" w:hAnsi="Arial" w:cs="Arial"/>
          <w:b w:val="0"/>
          <w:color w:val="000000"/>
          <w:sz w:val="24"/>
          <w:szCs w:val="24"/>
          <w:shd w:val="clear" w:color="auto" w:fill="FFFFFF"/>
        </w:rPr>
        <w:t xml:space="preserve"> the jury on the meaning of dangerousness. </w:t>
      </w:r>
      <w:r>
        <w:rPr>
          <w:rFonts w:ascii="Arial" w:hAnsi="Arial" w:cs="Arial"/>
          <w:b w:val="0"/>
          <w:color w:val="000000"/>
          <w:sz w:val="24"/>
          <w:szCs w:val="24"/>
          <w:shd w:val="clear" w:color="auto" w:fill="FFFFFF"/>
        </w:rPr>
        <w:t>A</w:t>
      </w:r>
      <w:r w:rsidRPr="00513CD3">
        <w:rPr>
          <w:rFonts w:ascii="Arial" w:hAnsi="Arial" w:cs="Arial"/>
          <w:b w:val="0"/>
          <w:color w:val="000000"/>
          <w:sz w:val="24"/>
          <w:szCs w:val="24"/>
          <w:shd w:val="clear" w:color="auto" w:fill="FFFFFF"/>
        </w:rPr>
        <w:t xml:space="preserve">ccording to the majority in </w:t>
      </w:r>
      <w:r w:rsidRPr="00513CD3">
        <w:rPr>
          <w:rFonts w:ascii="Arial" w:hAnsi="Arial" w:cs="Arial"/>
          <w:b w:val="0"/>
          <w:i/>
          <w:color w:val="000000"/>
          <w:sz w:val="24"/>
          <w:szCs w:val="24"/>
          <w:shd w:val="clear" w:color="auto" w:fill="FFFFFF"/>
        </w:rPr>
        <w:t>Wilson</w:t>
      </w:r>
      <w:r>
        <w:rPr>
          <w:rFonts w:ascii="Arial" w:hAnsi="Arial" w:cs="Arial"/>
          <w:b w:val="0"/>
          <w:color w:val="000000"/>
          <w:sz w:val="24"/>
          <w:szCs w:val="24"/>
          <w:shd w:val="clear" w:color="auto" w:fill="FFFFFF"/>
        </w:rPr>
        <w:t xml:space="preserve">, whether or not </w:t>
      </w:r>
      <w:r w:rsidRPr="00513CD3">
        <w:rPr>
          <w:rFonts w:ascii="Arial" w:hAnsi="Arial" w:cs="Arial"/>
          <w:b w:val="0"/>
          <w:color w:val="000000"/>
          <w:sz w:val="24"/>
          <w:szCs w:val="24"/>
          <w:shd w:val="clear" w:color="auto" w:fill="FFFFFF"/>
        </w:rPr>
        <w:t xml:space="preserve">an act was dangerous </w:t>
      </w:r>
      <w:r>
        <w:rPr>
          <w:rFonts w:ascii="Arial" w:hAnsi="Arial" w:cs="Arial"/>
          <w:b w:val="0"/>
          <w:color w:val="000000"/>
          <w:sz w:val="24"/>
          <w:szCs w:val="24"/>
          <w:shd w:val="clear" w:color="auto" w:fill="FFFFFF"/>
        </w:rPr>
        <w:t xml:space="preserve">is decided by reference to </w:t>
      </w:r>
      <w:r w:rsidR="00F8652E">
        <w:rPr>
          <w:rFonts w:ascii="Arial" w:hAnsi="Arial" w:cs="Arial"/>
          <w:b w:val="0"/>
          <w:color w:val="000000"/>
          <w:sz w:val="24"/>
          <w:szCs w:val="24"/>
          <w:shd w:val="clear" w:color="auto" w:fill="FFFFFF"/>
        </w:rPr>
        <w:t>‘</w:t>
      </w:r>
      <w:r w:rsidRPr="00513CD3">
        <w:rPr>
          <w:rFonts w:ascii="Arial" w:hAnsi="Arial" w:cs="Arial"/>
          <w:b w:val="0"/>
          <w:color w:val="000000"/>
          <w:sz w:val="24"/>
          <w:szCs w:val="24"/>
          <w:shd w:val="clear" w:color="auto" w:fill="FFFFFF"/>
        </w:rPr>
        <w:t xml:space="preserve">a reasonable person </w:t>
      </w:r>
      <w:r w:rsidRPr="00513CD3">
        <w:rPr>
          <w:rFonts w:ascii="Arial" w:hAnsi="Arial" w:cs="Arial"/>
          <w:b w:val="0"/>
          <w:i/>
          <w:color w:val="000000"/>
          <w:sz w:val="24"/>
          <w:szCs w:val="24"/>
          <w:shd w:val="clear" w:color="auto" w:fill="FFFFFF"/>
        </w:rPr>
        <w:t>in the accused</w:t>
      </w:r>
      <w:r w:rsidR="00F8652E">
        <w:rPr>
          <w:rFonts w:ascii="Arial" w:hAnsi="Arial" w:cs="Arial"/>
          <w:b w:val="0"/>
          <w:i/>
          <w:color w:val="000000"/>
          <w:sz w:val="24"/>
          <w:szCs w:val="24"/>
          <w:shd w:val="clear" w:color="auto" w:fill="FFFFFF"/>
        </w:rPr>
        <w:t>’</w:t>
      </w:r>
      <w:r w:rsidRPr="00513CD3">
        <w:rPr>
          <w:rFonts w:ascii="Arial" w:hAnsi="Arial" w:cs="Arial"/>
          <w:b w:val="0"/>
          <w:i/>
          <w:color w:val="000000"/>
          <w:sz w:val="24"/>
          <w:szCs w:val="24"/>
          <w:shd w:val="clear" w:color="auto" w:fill="FFFFFF"/>
        </w:rPr>
        <w:t>s position</w:t>
      </w:r>
      <w:r w:rsidR="00F8652E">
        <w:rPr>
          <w:rFonts w:ascii="Arial" w:hAnsi="Arial" w:cs="Arial"/>
          <w:b w:val="0"/>
          <w:color w:val="000000"/>
          <w:sz w:val="24"/>
          <w:szCs w:val="24"/>
          <w:shd w:val="clear" w:color="auto" w:fill="FFFFFF"/>
        </w:rPr>
        <w:t>’</w:t>
      </w:r>
      <w:r w:rsidRPr="00513CD3">
        <w:rPr>
          <w:rFonts w:ascii="Arial" w:hAnsi="Arial" w:cs="Arial"/>
          <w:b w:val="0"/>
          <w:color w:val="000000"/>
          <w:sz w:val="24"/>
          <w:szCs w:val="24"/>
          <w:shd w:val="clear" w:color="auto" w:fill="FFFFFF"/>
        </w:rPr>
        <w:t xml:space="preserve">. </w:t>
      </w:r>
      <w:r>
        <w:rPr>
          <w:rFonts w:ascii="Arial" w:hAnsi="Arial" w:cs="Arial"/>
          <w:b w:val="0"/>
          <w:color w:val="000000"/>
          <w:sz w:val="24"/>
          <w:szCs w:val="24"/>
          <w:shd w:val="clear" w:color="auto" w:fill="FFFFFF"/>
        </w:rPr>
        <w:t>However, the direction given to the jury omitted the italicised words. T</w:t>
      </w:r>
      <w:r w:rsidRPr="00513CD3">
        <w:rPr>
          <w:rFonts w:ascii="Arial" w:hAnsi="Arial" w:cs="Arial"/>
          <w:b w:val="0"/>
          <w:color w:val="000000"/>
          <w:sz w:val="24"/>
          <w:szCs w:val="24"/>
          <w:shd w:val="clear" w:color="auto" w:fill="FFFFFF"/>
        </w:rPr>
        <w:t xml:space="preserve">he </w:t>
      </w:r>
      <w:r>
        <w:rPr>
          <w:rFonts w:ascii="Arial" w:hAnsi="Arial" w:cs="Arial"/>
          <w:b w:val="0"/>
          <w:sz w:val="24"/>
          <w:szCs w:val="24"/>
        </w:rPr>
        <w:t>a</w:t>
      </w:r>
      <w:r w:rsidRPr="00513CD3">
        <w:rPr>
          <w:rFonts w:ascii="Arial" w:hAnsi="Arial" w:cs="Arial"/>
          <w:b w:val="0"/>
          <w:sz w:val="24"/>
          <w:szCs w:val="24"/>
        </w:rPr>
        <w:t xml:space="preserve">ppeal </w:t>
      </w:r>
      <w:r>
        <w:rPr>
          <w:rFonts w:ascii="Arial" w:hAnsi="Arial" w:cs="Arial"/>
          <w:b w:val="0"/>
          <w:sz w:val="24"/>
          <w:szCs w:val="24"/>
        </w:rPr>
        <w:t xml:space="preserve">court </w:t>
      </w:r>
      <w:r w:rsidRPr="00513CD3">
        <w:rPr>
          <w:rFonts w:ascii="Arial" w:hAnsi="Arial" w:cs="Arial"/>
          <w:b w:val="0"/>
          <w:sz w:val="24"/>
          <w:szCs w:val="24"/>
        </w:rPr>
        <w:t>quashed D</w:t>
      </w:r>
      <w:r w:rsidR="00F8652E">
        <w:rPr>
          <w:rFonts w:ascii="Arial" w:hAnsi="Arial" w:cs="Arial"/>
          <w:b w:val="0"/>
          <w:sz w:val="24"/>
          <w:szCs w:val="24"/>
        </w:rPr>
        <w:t>’</w:t>
      </w:r>
      <w:r w:rsidRPr="00513CD3">
        <w:rPr>
          <w:rFonts w:ascii="Arial" w:hAnsi="Arial" w:cs="Arial"/>
          <w:b w:val="0"/>
          <w:sz w:val="24"/>
          <w:szCs w:val="24"/>
        </w:rPr>
        <w:t xml:space="preserve">s conviction; </w:t>
      </w:r>
      <w:r>
        <w:rPr>
          <w:rFonts w:ascii="Arial" w:hAnsi="Arial" w:cs="Arial"/>
          <w:b w:val="0"/>
          <w:sz w:val="24"/>
          <w:szCs w:val="24"/>
        </w:rPr>
        <w:t xml:space="preserve">James J said that </w:t>
      </w:r>
      <w:r w:rsidRPr="00513CD3">
        <w:rPr>
          <w:rFonts w:ascii="Arial" w:hAnsi="Arial" w:cs="Arial"/>
          <w:b w:val="0"/>
          <w:sz w:val="24"/>
          <w:szCs w:val="24"/>
        </w:rPr>
        <w:t xml:space="preserve">the omission of the words </w:t>
      </w:r>
      <w:r w:rsidR="00F8652E">
        <w:rPr>
          <w:rFonts w:ascii="Arial" w:hAnsi="Arial" w:cs="Arial"/>
          <w:b w:val="0"/>
          <w:sz w:val="24"/>
          <w:szCs w:val="24"/>
        </w:rPr>
        <w:t>‘</w:t>
      </w:r>
      <w:r w:rsidRPr="00513CD3">
        <w:rPr>
          <w:rFonts w:ascii="Arial" w:hAnsi="Arial" w:cs="Arial"/>
          <w:b w:val="0"/>
          <w:color w:val="000000"/>
          <w:sz w:val="24"/>
          <w:szCs w:val="24"/>
          <w:shd w:val="clear" w:color="auto" w:fill="FFFFFF"/>
        </w:rPr>
        <w:t>in the accused</w:t>
      </w:r>
      <w:r w:rsidR="00F8652E">
        <w:rPr>
          <w:rFonts w:ascii="Arial" w:hAnsi="Arial" w:cs="Arial"/>
          <w:b w:val="0"/>
          <w:color w:val="000000"/>
          <w:sz w:val="24"/>
          <w:szCs w:val="24"/>
          <w:shd w:val="clear" w:color="auto" w:fill="FFFFFF"/>
        </w:rPr>
        <w:t>’</w:t>
      </w:r>
      <w:r w:rsidRPr="00513CD3">
        <w:rPr>
          <w:rFonts w:ascii="Arial" w:hAnsi="Arial" w:cs="Arial"/>
          <w:b w:val="0"/>
          <w:color w:val="000000"/>
          <w:sz w:val="24"/>
          <w:szCs w:val="24"/>
          <w:shd w:val="clear" w:color="auto" w:fill="FFFFFF"/>
        </w:rPr>
        <w:t>s position</w:t>
      </w:r>
      <w:r w:rsidR="00F8652E">
        <w:rPr>
          <w:rFonts w:ascii="Arial" w:hAnsi="Arial" w:cs="Arial"/>
          <w:b w:val="0"/>
          <w:sz w:val="24"/>
          <w:szCs w:val="24"/>
        </w:rPr>
        <w:t>’</w:t>
      </w:r>
      <w:r w:rsidRPr="00513CD3">
        <w:rPr>
          <w:rFonts w:ascii="Arial" w:hAnsi="Arial" w:cs="Arial"/>
          <w:b w:val="0"/>
          <w:sz w:val="24"/>
          <w:szCs w:val="24"/>
        </w:rPr>
        <w:t xml:space="preserve"> was </w:t>
      </w:r>
      <w:r w:rsidR="00F8652E">
        <w:rPr>
          <w:rFonts w:ascii="Arial" w:hAnsi="Arial" w:cs="Arial"/>
          <w:b w:val="0"/>
          <w:sz w:val="24"/>
          <w:szCs w:val="24"/>
        </w:rPr>
        <w:t>‘</w:t>
      </w:r>
      <w:r w:rsidRPr="00513CD3">
        <w:rPr>
          <w:rFonts w:ascii="Arial" w:hAnsi="Arial" w:cs="Arial"/>
          <w:b w:val="0"/>
          <w:sz w:val="24"/>
          <w:szCs w:val="24"/>
        </w:rPr>
        <w:t>significant</w:t>
      </w:r>
      <w:r w:rsidR="00F8652E">
        <w:rPr>
          <w:rFonts w:ascii="Arial" w:hAnsi="Arial" w:cs="Arial"/>
          <w:b w:val="0"/>
          <w:sz w:val="24"/>
          <w:szCs w:val="24"/>
        </w:rPr>
        <w:t>’</w:t>
      </w:r>
      <w:r w:rsidRPr="00513CD3">
        <w:rPr>
          <w:rFonts w:ascii="Arial" w:hAnsi="Arial" w:cs="Arial"/>
          <w:b w:val="0"/>
          <w:sz w:val="24"/>
          <w:szCs w:val="24"/>
        </w:rPr>
        <w:t xml:space="preserve"> and rendered the convictions unsafe.</w:t>
      </w:r>
      <w:r>
        <w:rPr>
          <w:rStyle w:val="FootnoteReference"/>
          <w:rFonts w:ascii="Arial" w:hAnsi="Arial" w:cs="Arial"/>
          <w:b w:val="0"/>
          <w:sz w:val="24"/>
          <w:szCs w:val="24"/>
        </w:rPr>
        <w:footnoteReference w:id="179"/>
      </w:r>
      <w:r w:rsidRPr="00513CD3">
        <w:rPr>
          <w:rFonts w:ascii="Arial" w:hAnsi="Arial" w:cs="Arial"/>
          <w:b w:val="0"/>
          <w:sz w:val="24"/>
          <w:szCs w:val="24"/>
        </w:rPr>
        <w:t xml:space="preserve"> </w:t>
      </w:r>
      <w:r>
        <w:rPr>
          <w:rFonts w:ascii="Arial" w:hAnsi="Arial" w:cs="Arial"/>
          <w:b w:val="0"/>
          <w:sz w:val="24"/>
          <w:szCs w:val="24"/>
        </w:rPr>
        <w:t xml:space="preserve">Specifically, the jury should have been directed to decide whether or not D realised that V had been </w:t>
      </w:r>
      <w:r w:rsidR="00F8652E">
        <w:rPr>
          <w:rFonts w:ascii="Arial" w:hAnsi="Arial" w:cs="Arial"/>
          <w:b w:val="0"/>
          <w:sz w:val="24"/>
          <w:szCs w:val="24"/>
        </w:rPr>
        <w:t>‘</w:t>
      </w:r>
      <w:r>
        <w:rPr>
          <w:rFonts w:ascii="Arial" w:hAnsi="Arial" w:cs="Arial"/>
          <w:b w:val="0"/>
          <w:sz w:val="24"/>
          <w:szCs w:val="24"/>
        </w:rPr>
        <w:t>staggering</w:t>
      </w:r>
      <w:r w:rsidR="00F8652E">
        <w:rPr>
          <w:rFonts w:ascii="Arial" w:hAnsi="Arial" w:cs="Arial"/>
          <w:b w:val="0"/>
          <w:sz w:val="24"/>
          <w:szCs w:val="24"/>
        </w:rPr>
        <w:t>’</w:t>
      </w:r>
      <w:r>
        <w:rPr>
          <w:rFonts w:ascii="Arial" w:hAnsi="Arial" w:cs="Arial"/>
          <w:b w:val="0"/>
          <w:sz w:val="24"/>
          <w:szCs w:val="24"/>
        </w:rPr>
        <w:t xml:space="preserve"> (as some of the Crown witnesses claimed) before the fatal punch.</w:t>
      </w:r>
      <w:r>
        <w:rPr>
          <w:rStyle w:val="FootnoteReference"/>
          <w:rFonts w:ascii="Arial" w:hAnsi="Arial" w:cs="Arial"/>
          <w:b w:val="0"/>
          <w:sz w:val="24"/>
          <w:szCs w:val="24"/>
        </w:rPr>
        <w:footnoteReference w:id="180"/>
      </w:r>
    </w:p>
    <w:p w:rsidR="00FD591E" w:rsidRPr="00AB24A3" w:rsidRDefault="00FD591E" w:rsidP="00FD591E">
      <w:pPr>
        <w:jc w:val="both"/>
        <w:rPr>
          <w:rFonts w:ascii="Arial" w:hAnsi="Arial" w:cs="Arial"/>
        </w:rPr>
      </w:pPr>
    </w:p>
    <w:p w:rsidR="00FD591E" w:rsidRPr="00AB24A3" w:rsidRDefault="00FD591E" w:rsidP="00FD591E">
      <w:pPr>
        <w:jc w:val="both"/>
        <w:rPr>
          <w:rFonts w:ascii="Arial" w:hAnsi="Arial" w:cs="Arial"/>
        </w:rPr>
      </w:pPr>
      <w:r>
        <w:rPr>
          <w:rFonts w:ascii="Arial" w:hAnsi="Arial" w:cs="Arial"/>
        </w:rPr>
        <w:t>These cases must be</w:t>
      </w:r>
      <w:r w:rsidRPr="00AB24A3">
        <w:rPr>
          <w:rFonts w:ascii="Arial" w:hAnsi="Arial" w:cs="Arial"/>
        </w:rPr>
        <w:t xml:space="preserve"> should be contrasted with that in </w:t>
      </w:r>
      <w:r w:rsidRPr="00AB24A3">
        <w:rPr>
          <w:rFonts w:ascii="Arial" w:hAnsi="Arial" w:cs="Arial"/>
          <w:i/>
          <w:iCs/>
        </w:rPr>
        <w:t>Dawson</w:t>
      </w:r>
      <w:r w:rsidRPr="00AB24A3">
        <w:rPr>
          <w:rFonts w:ascii="Arial" w:hAnsi="Arial" w:cs="Arial"/>
        </w:rPr>
        <w:t>.</w:t>
      </w:r>
      <w:r>
        <w:rPr>
          <w:rStyle w:val="FootnoteReference"/>
          <w:rFonts w:ascii="Arial" w:hAnsi="Arial" w:cs="Arial"/>
        </w:rPr>
        <w:footnoteReference w:id="181"/>
      </w:r>
      <w:r w:rsidRPr="00AB24A3">
        <w:rPr>
          <w:rFonts w:ascii="Arial" w:hAnsi="Arial" w:cs="Arial"/>
        </w:rPr>
        <w:t xml:space="preserve"> D and another man carried out an </w:t>
      </w:r>
      <w:r>
        <w:rPr>
          <w:rFonts w:ascii="Arial" w:hAnsi="Arial" w:cs="Arial"/>
        </w:rPr>
        <w:t xml:space="preserve">attempted </w:t>
      </w:r>
      <w:r w:rsidRPr="00AB24A3">
        <w:rPr>
          <w:rFonts w:ascii="Arial" w:hAnsi="Arial" w:cs="Arial"/>
        </w:rPr>
        <w:t xml:space="preserve">robbery of a petrol station while masked and armed with pickaxe handles and replica guns. The attendant, V, was 60 years old. He had a heart condition and died of a heart attack. The Court of Appeal held </w:t>
      </w:r>
      <w:r>
        <w:rPr>
          <w:rFonts w:ascii="Arial" w:hAnsi="Arial" w:cs="Arial"/>
        </w:rPr>
        <w:t>D</w:t>
      </w:r>
      <w:r w:rsidR="00F8652E">
        <w:rPr>
          <w:rFonts w:ascii="Arial" w:hAnsi="Arial" w:cs="Arial"/>
        </w:rPr>
        <w:t>’</w:t>
      </w:r>
      <w:r>
        <w:rPr>
          <w:rFonts w:ascii="Arial" w:hAnsi="Arial" w:cs="Arial"/>
        </w:rPr>
        <w:t>s unlawful act</w:t>
      </w:r>
      <w:r w:rsidRPr="00AB24A3">
        <w:rPr>
          <w:rFonts w:ascii="Arial" w:hAnsi="Arial" w:cs="Arial"/>
        </w:rPr>
        <w:t xml:space="preserve"> was not </w:t>
      </w:r>
      <w:r>
        <w:rPr>
          <w:rFonts w:ascii="Arial" w:hAnsi="Arial" w:cs="Arial"/>
        </w:rPr>
        <w:t>dangerous</w:t>
      </w:r>
      <w:r w:rsidRPr="00AB24A3">
        <w:rPr>
          <w:rFonts w:ascii="Arial" w:hAnsi="Arial" w:cs="Arial"/>
        </w:rPr>
        <w:t xml:space="preserve"> – neither D nor the </w:t>
      </w:r>
      <w:r w:rsidR="00F8652E">
        <w:rPr>
          <w:rFonts w:ascii="Arial" w:hAnsi="Arial" w:cs="Arial"/>
        </w:rPr>
        <w:t>‘</w:t>
      </w:r>
      <w:r w:rsidRPr="00AB24A3">
        <w:rPr>
          <w:rFonts w:ascii="Arial" w:hAnsi="Arial" w:cs="Arial"/>
        </w:rPr>
        <w:t>sober and reasonable</w:t>
      </w:r>
      <w:r w:rsidR="00F8652E">
        <w:rPr>
          <w:rFonts w:ascii="Arial" w:hAnsi="Arial" w:cs="Arial"/>
        </w:rPr>
        <w:t>’</w:t>
      </w:r>
      <w:r w:rsidRPr="00AB24A3">
        <w:rPr>
          <w:rFonts w:ascii="Arial" w:hAnsi="Arial" w:cs="Arial"/>
        </w:rPr>
        <w:t xml:space="preserve"> bystander would have been aware of </w:t>
      </w:r>
      <w:r>
        <w:rPr>
          <w:rFonts w:ascii="Arial" w:hAnsi="Arial" w:cs="Arial"/>
        </w:rPr>
        <w:t>V</w:t>
      </w:r>
      <w:r w:rsidR="00F8652E">
        <w:rPr>
          <w:rFonts w:ascii="Arial" w:hAnsi="Arial" w:cs="Arial"/>
        </w:rPr>
        <w:t>’</w:t>
      </w:r>
      <w:r>
        <w:rPr>
          <w:rFonts w:ascii="Arial" w:hAnsi="Arial" w:cs="Arial"/>
        </w:rPr>
        <w:t>s</w:t>
      </w:r>
      <w:r w:rsidRPr="00AB24A3">
        <w:rPr>
          <w:rFonts w:ascii="Arial" w:hAnsi="Arial" w:cs="Arial"/>
        </w:rPr>
        <w:t xml:space="preserve"> condition.</w:t>
      </w:r>
    </w:p>
    <w:p w:rsidR="00FD591E" w:rsidRPr="00AB24A3" w:rsidRDefault="00FD591E" w:rsidP="00FD591E">
      <w:pPr>
        <w:jc w:val="both"/>
        <w:rPr>
          <w:rFonts w:ascii="Arial" w:hAnsi="Arial" w:cs="Arial"/>
        </w:rPr>
      </w:pPr>
    </w:p>
    <w:p w:rsidR="00FD591E" w:rsidRDefault="00FD591E" w:rsidP="00FD591E">
      <w:pPr>
        <w:jc w:val="both"/>
        <w:rPr>
          <w:rFonts w:ascii="Arial" w:hAnsi="Arial" w:cs="Arial"/>
        </w:rPr>
      </w:pPr>
      <w:r w:rsidRPr="00AB24A3">
        <w:rPr>
          <w:rFonts w:ascii="Arial" w:hAnsi="Arial" w:cs="Arial"/>
        </w:rPr>
        <w:t xml:space="preserve">A similar outcome was achieved in </w:t>
      </w:r>
      <w:r w:rsidRPr="00AB24A3">
        <w:rPr>
          <w:rFonts w:ascii="Arial" w:hAnsi="Arial" w:cs="Arial"/>
          <w:i/>
          <w:iCs/>
        </w:rPr>
        <w:t>Carey and others</w:t>
      </w:r>
      <w:r w:rsidRPr="00AB24A3">
        <w:rPr>
          <w:rFonts w:ascii="Arial" w:hAnsi="Arial" w:cs="Arial"/>
        </w:rPr>
        <w:t>.</w:t>
      </w:r>
      <w:r>
        <w:rPr>
          <w:rStyle w:val="FootnoteReference"/>
          <w:rFonts w:ascii="Arial" w:hAnsi="Arial" w:cs="Arial"/>
        </w:rPr>
        <w:footnoteReference w:id="182"/>
      </w:r>
      <w:r>
        <w:rPr>
          <w:rFonts w:ascii="Arial" w:hAnsi="Arial" w:cs="Arial"/>
        </w:rPr>
        <w:t xml:space="preserve"> </w:t>
      </w:r>
      <w:r w:rsidRPr="00AB24A3">
        <w:rPr>
          <w:rFonts w:ascii="Arial" w:hAnsi="Arial" w:cs="Arial"/>
        </w:rPr>
        <w:t xml:space="preserve">V, a 15-year-old girl, had run away from the three defendants after being punched and threatened with further violence, but had collapsed after running about 100 </w:t>
      </w:r>
      <w:proofErr w:type="spellStart"/>
      <w:r w:rsidRPr="00AB24A3">
        <w:rPr>
          <w:rFonts w:ascii="Arial" w:hAnsi="Arial" w:cs="Arial"/>
        </w:rPr>
        <w:t>metres</w:t>
      </w:r>
      <w:proofErr w:type="spellEnd"/>
      <w:r w:rsidRPr="00AB24A3">
        <w:rPr>
          <w:rFonts w:ascii="Arial" w:hAnsi="Arial" w:cs="Arial"/>
        </w:rPr>
        <w:t xml:space="preserve"> and died of an undiagnosed heart complaint aggravated by the running. The defendants were convicted of affray and manslaughter but their manslaughter convictions were quashed on appeal. </w:t>
      </w:r>
      <w:r>
        <w:rPr>
          <w:rFonts w:ascii="Arial" w:hAnsi="Arial" w:cs="Arial"/>
        </w:rPr>
        <w:t>Dyson LJ</w:t>
      </w:r>
      <w:r w:rsidRPr="00AB24A3">
        <w:rPr>
          <w:rFonts w:ascii="Arial" w:hAnsi="Arial" w:cs="Arial"/>
        </w:rPr>
        <w:t xml:space="preserve"> held that the count of </w:t>
      </w:r>
      <w:r>
        <w:rPr>
          <w:rFonts w:ascii="Arial" w:hAnsi="Arial" w:cs="Arial"/>
        </w:rPr>
        <w:t>unlawful act</w:t>
      </w:r>
      <w:r w:rsidRPr="00AB24A3">
        <w:rPr>
          <w:rFonts w:ascii="Arial" w:hAnsi="Arial" w:cs="Arial"/>
        </w:rPr>
        <w:t xml:space="preserve"> manslaughter should have been withdrawn from the jury as the only physical harm to V (a single </w:t>
      </w:r>
      <w:r w:rsidRPr="00AB24A3">
        <w:rPr>
          <w:rFonts w:ascii="Arial" w:hAnsi="Arial" w:cs="Arial"/>
        </w:rPr>
        <w:lastRenderedPageBreak/>
        <w:t>punch) did not cause her death.</w:t>
      </w:r>
      <w:r>
        <w:rPr>
          <w:rStyle w:val="FootnoteReference"/>
          <w:rFonts w:ascii="Arial" w:hAnsi="Arial" w:cs="Arial"/>
        </w:rPr>
        <w:footnoteReference w:id="183"/>
      </w:r>
      <w:r w:rsidRPr="00AB24A3">
        <w:rPr>
          <w:rFonts w:ascii="Arial" w:hAnsi="Arial" w:cs="Arial"/>
        </w:rPr>
        <w:t xml:space="preserve"> Although there were other threats of violence in the course of the affray they were not dangerous, inasmuch as a reasonable person would not have foreseen their causing any physical harm to V.</w:t>
      </w:r>
      <w:r>
        <w:rPr>
          <w:rStyle w:val="FootnoteReference"/>
          <w:rFonts w:ascii="Arial" w:hAnsi="Arial" w:cs="Arial"/>
        </w:rPr>
        <w:footnoteReference w:id="184"/>
      </w:r>
    </w:p>
    <w:p w:rsidR="00FD591E" w:rsidRDefault="00FD591E" w:rsidP="00FD591E">
      <w:pPr>
        <w:jc w:val="both"/>
        <w:rPr>
          <w:rFonts w:ascii="Arial" w:hAnsi="Arial" w:cs="Arial"/>
        </w:rPr>
      </w:pPr>
    </w:p>
    <w:p w:rsidR="00FD591E" w:rsidRDefault="00FD591E" w:rsidP="00FD591E">
      <w:pPr>
        <w:jc w:val="both"/>
        <w:rPr>
          <w:rFonts w:ascii="Arial" w:hAnsi="Arial" w:cs="Arial"/>
        </w:rPr>
      </w:pPr>
    </w:p>
    <w:p w:rsidR="00FD591E" w:rsidRDefault="00FD591E" w:rsidP="00A5679E">
      <w:pPr>
        <w:jc w:val="both"/>
        <w:rPr>
          <w:rFonts w:ascii="Arial" w:hAnsi="Arial" w:cs="Arial"/>
          <w:b/>
          <w:i/>
        </w:rPr>
      </w:pPr>
    </w:p>
    <w:p w:rsidR="00A5679E" w:rsidRPr="004B7D8A" w:rsidRDefault="004B7D8A" w:rsidP="00A5679E">
      <w:pPr>
        <w:jc w:val="both"/>
        <w:rPr>
          <w:rFonts w:ascii="Arial" w:hAnsi="Arial" w:cs="Arial"/>
          <w:b/>
          <w:sz w:val="28"/>
          <w:szCs w:val="28"/>
        </w:rPr>
      </w:pPr>
      <w:r w:rsidRPr="004B7D8A">
        <w:rPr>
          <w:rFonts w:ascii="Arial" w:hAnsi="Arial" w:cs="Arial"/>
          <w:b/>
          <w:sz w:val="28"/>
          <w:szCs w:val="28"/>
        </w:rPr>
        <w:t xml:space="preserve">2.4 </w:t>
      </w:r>
      <w:r w:rsidR="00A5679E" w:rsidRPr="004B7D8A">
        <w:rPr>
          <w:rFonts w:ascii="Arial" w:hAnsi="Arial" w:cs="Arial"/>
          <w:b/>
          <w:sz w:val="28"/>
          <w:szCs w:val="28"/>
        </w:rPr>
        <w:t xml:space="preserve">The objective nature of the </w:t>
      </w:r>
      <w:r w:rsidR="00A5679E" w:rsidRPr="004B7D8A">
        <w:rPr>
          <w:rFonts w:ascii="Arial" w:hAnsi="Arial" w:cs="Arial"/>
          <w:b/>
          <w:i/>
          <w:sz w:val="28"/>
          <w:szCs w:val="28"/>
        </w:rPr>
        <w:t>Church</w:t>
      </w:r>
      <w:r w:rsidR="00A5679E" w:rsidRPr="004B7D8A">
        <w:rPr>
          <w:rFonts w:ascii="Arial" w:hAnsi="Arial" w:cs="Arial"/>
          <w:b/>
          <w:sz w:val="28"/>
          <w:szCs w:val="28"/>
        </w:rPr>
        <w:t xml:space="preserve"> test</w:t>
      </w:r>
    </w:p>
    <w:p w:rsidR="00A5679E" w:rsidRDefault="00A5679E" w:rsidP="00A5679E">
      <w:pPr>
        <w:jc w:val="both"/>
        <w:rPr>
          <w:rFonts w:ascii="Arial" w:hAnsi="Arial" w:cs="Arial"/>
        </w:rPr>
      </w:pPr>
    </w:p>
    <w:p w:rsidR="00A5679E" w:rsidRDefault="00A5679E" w:rsidP="00A5679E">
      <w:pPr>
        <w:jc w:val="both"/>
        <w:rPr>
          <w:rFonts w:ascii="Arial" w:hAnsi="Arial" w:cs="Arial"/>
        </w:rPr>
      </w:pPr>
      <w:r w:rsidRPr="00AB24A3">
        <w:rPr>
          <w:rFonts w:ascii="Arial" w:hAnsi="Arial" w:cs="Arial"/>
        </w:rPr>
        <w:t xml:space="preserve">The </w:t>
      </w:r>
      <w:r w:rsidR="00F8652E">
        <w:rPr>
          <w:rFonts w:ascii="Arial" w:hAnsi="Arial" w:cs="Arial"/>
        </w:rPr>
        <w:t>‘</w:t>
      </w:r>
      <w:r>
        <w:rPr>
          <w:rFonts w:ascii="Arial" w:hAnsi="Arial" w:cs="Arial"/>
        </w:rPr>
        <w:t>sober and reasonable</w:t>
      </w:r>
      <w:r w:rsidR="00F8652E">
        <w:rPr>
          <w:rFonts w:ascii="Arial" w:hAnsi="Arial" w:cs="Arial"/>
        </w:rPr>
        <w:t>’</w:t>
      </w:r>
      <w:r>
        <w:rPr>
          <w:rFonts w:ascii="Arial" w:hAnsi="Arial" w:cs="Arial"/>
        </w:rPr>
        <w:t xml:space="preserve"> person created by the </w:t>
      </w:r>
      <w:r w:rsidRPr="009B69DD">
        <w:rPr>
          <w:rFonts w:ascii="Arial" w:hAnsi="Arial" w:cs="Arial"/>
          <w:i/>
        </w:rPr>
        <w:t>Church</w:t>
      </w:r>
      <w:r>
        <w:rPr>
          <w:rFonts w:ascii="Arial" w:hAnsi="Arial" w:cs="Arial"/>
        </w:rPr>
        <w:t xml:space="preserve"> test is a purely objective creature, sharing none of the accused</w:t>
      </w:r>
      <w:r w:rsidR="00F8652E">
        <w:rPr>
          <w:rFonts w:ascii="Arial" w:hAnsi="Arial" w:cs="Arial"/>
        </w:rPr>
        <w:t>’</w:t>
      </w:r>
      <w:r>
        <w:rPr>
          <w:rFonts w:ascii="Arial" w:hAnsi="Arial" w:cs="Arial"/>
        </w:rPr>
        <w:t xml:space="preserve">s characteristics. His/her Canadian equivalent is likewise characterless. This has the advantage of simplicity but is susceptible to challenge on the grounds of potential unfairness, particularly by those who may not have the ability to foresee consequences to the same extent as the paradigm </w:t>
      </w:r>
      <w:r w:rsidR="00F8652E">
        <w:rPr>
          <w:rFonts w:ascii="Arial" w:hAnsi="Arial" w:cs="Arial"/>
        </w:rPr>
        <w:t>‘</w:t>
      </w:r>
      <w:r>
        <w:rPr>
          <w:rFonts w:ascii="Arial" w:hAnsi="Arial" w:cs="Arial"/>
        </w:rPr>
        <w:t>reasonable</w:t>
      </w:r>
      <w:r w:rsidR="00F8652E">
        <w:rPr>
          <w:rFonts w:ascii="Arial" w:hAnsi="Arial" w:cs="Arial"/>
        </w:rPr>
        <w:t>’</w:t>
      </w:r>
      <w:r>
        <w:rPr>
          <w:rFonts w:ascii="Arial" w:hAnsi="Arial" w:cs="Arial"/>
        </w:rPr>
        <w:t xml:space="preserve"> person. Indeed, the </w:t>
      </w:r>
      <w:r w:rsidRPr="00952CE0">
        <w:rPr>
          <w:rFonts w:ascii="Arial" w:hAnsi="Arial" w:cs="Arial"/>
          <w:i/>
        </w:rPr>
        <w:t>status quo</w:t>
      </w:r>
      <w:r w:rsidRPr="00AB24A3">
        <w:rPr>
          <w:rFonts w:ascii="Arial" w:hAnsi="Arial" w:cs="Arial"/>
        </w:rPr>
        <w:t xml:space="preserve"> was recently challenged in </w:t>
      </w:r>
      <w:r w:rsidRPr="00AB24A3">
        <w:rPr>
          <w:rFonts w:ascii="Arial" w:hAnsi="Arial" w:cs="Arial"/>
          <w:i/>
          <w:lang w:eastAsia="zh-CN"/>
        </w:rPr>
        <w:t>F &amp; E</w:t>
      </w:r>
      <w:r w:rsidRPr="00AB24A3">
        <w:rPr>
          <w:rFonts w:ascii="Arial" w:hAnsi="Arial" w:cs="Arial"/>
          <w:lang w:eastAsia="zh-CN"/>
        </w:rPr>
        <w:t>.</w:t>
      </w:r>
      <w:r>
        <w:rPr>
          <w:rStyle w:val="FootnoteReference"/>
          <w:rFonts w:ascii="Arial" w:hAnsi="Arial" w:cs="Arial"/>
          <w:lang w:eastAsia="zh-CN"/>
        </w:rPr>
        <w:footnoteReference w:id="185"/>
      </w:r>
      <w:r w:rsidRPr="00AB24A3">
        <w:rPr>
          <w:rFonts w:ascii="Arial" w:hAnsi="Arial" w:cs="Arial"/>
          <w:lang w:eastAsia="zh-CN"/>
        </w:rPr>
        <w:t xml:space="preserve"> </w:t>
      </w:r>
      <w:r>
        <w:rPr>
          <w:rFonts w:ascii="Arial" w:hAnsi="Arial" w:cs="Arial"/>
          <w:lang w:eastAsia="zh-CN"/>
        </w:rPr>
        <w:t xml:space="preserve">The case involved two teenage defendants who had killed V after starting a fire in a derelict building in which V was squatting. </w:t>
      </w:r>
      <w:r w:rsidRPr="00AB24A3">
        <w:rPr>
          <w:rFonts w:ascii="Arial" w:hAnsi="Arial" w:cs="Arial"/>
        </w:rPr>
        <w:t>F, aged 14½, and E, aged 16, appealed their manslaughter convictions</w:t>
      </w:r>
      <w:r>
        <w:rPr>
          <w:rFonts w:ascii="Arial" w:hAnsi="Arial" w:cs="Arial"/>
        </w:rPr>
        <w:t>, s</w:t>
      </w:r>
      <w:r w:rsidRPr="00AB24A3">
        <w:rPr>
          <w:rFonts w:ascii="Arial" w:hAnsi="Arial" w:cs="Arial"/>
        </w:rPr>
        <w:t>ubmitt</w:t>
      </w:r>
      <w:r>
        <w:rPr>
          <w:rFonts w:ascii="Arial" w:hAnsi="Arial" w:cs="Arial"/>
        </w:rPr>
        <w:t>ing</w:t>
      </w:r>
      <w:r w:rsidRPr="00AB24A3">
        <w:rPr>
          <w:rFonts w:ascii="Arial" w:hAnsi="Arial" w:cs="Arial"/>
        </w:rPr>
        <w:t xml:space="preserve"> that the test of dangerousness should be modified to take into account their ages and, in the case of the F, his mental capacity (he had a low IQ and poor reasoning skills). The Court of Appeal disagreed and upheld their convictions.</w:t>
      </w:r>
      <w:r>
        <w:rPr>
          <w:rFonts w:ascii="Arial" w:hAnsi="Arial" w:cs="Arial"/>
        </w:rPr>
        <w:t xml:space="preserve"> </w:t>
      </w:r>
      <w:r w:rsidRPr="00AB24A3">
        <w:rPr>
          <w:rFonts w:ascii="Arial" w:hAnsi="Arial" w:cs="Arial"/>
          <w:lang w:eastAsia="zh-CN"/>
        </w:rPr>
        <w:t>Lord Thomas LJ said that i</w:t>
      </w:r>
      <w:r w:rsidRPr="00AB24A3">
        <w:rPr>
          <w:rFonts w:ascii="Arial" w:hAnsi="Arial" w:cs="Arial"/>
        </w:rPr>
        <w:t xml:space="preserve">t has </w:t>
      </w:r>
      <w:r w:rsidR="00F8652E">
        <w:rPr>
          <w:rFonts w:ascii="Arial" w:hAnsi="Arial" w:cs="Arial"/>
        </w:rPr>
        <w:t>‘</w:t>
      </w:r>
      <w:r w:rsidRPr="00AB24A3">
        <w:rPr>
          <w:rFonts w:ascii="Arial" w:hAnsi="Arial" w:cs="Arial"/>
        </w:rPr>
        <w:t>been established since at least 1943 that in determining whether the act was dangerous, the test is objective</w:t>
      </w:r>
      <w:r w:rsidR="00F8652E">
        <w:rPr>
          <w:rFonts w:ascii="Arial" w:hAnsi="Arial" w:cs="Arial"/>
        </w:rPr>
        <w:t>’</w:t>
      </w:r>
      <w:r w:rsidRPr="00AB24A3">
        <w:rPr>
          <w:rFonts w:ascii="Arial" w:hAnsi="Arial" w:cs="Arial"/>
          <w:lang w:eastAsia="zh-CN"/>
        </w:rPr>
        <w:t>.</w:t>
      </w:r>
      <w:r>
        <w:rPr>
          <w:rStyle w:val="FootnoteReference"/>
          <w:rFonts w:ascii="Arial" w:hAnsi="Arial" w:cs="Arial"/>
          <w:lang w:eastAsia="zh-CN"/>
        </w:rPr>
        <w:footnoteReference w:id="186"/>
      </w:r>
      <w:r w:rsidRPr="00AB24A3">
        <w:rPr>
          <w:rFonts w:ascii="Arial" w:hAnsi="Arial" w:cs="Arial"/>
          <w:lang w:eastAsia="zh-CN"/>
        </w:rPr>
        <w:t xml:space="preserve"> </w:t>
      </w:r>
    </w:p>
    <w:p w:rsidR="00A5679E" w:rsidRDefault="00A5679E" w:rsidP="00A5679E">
      <w:pPr>
        <w:jc w:val="both"/>
        <w:rPr>
          <w:rFonts w:ascii="Arial" w:hAnsi="Arial" w:cs="Arial"/>
        </w:rPr>
      </w:pPr>
    </w:p>
    <w:p w:rsidR="00A5679E" w:rsidRPr="004B7D8A" w:rsidRDefault="004B7D8A" w:rsidP="00A5679E">
      <w:pPr>
        <w:jc w:val="both"/>
        <w:rPr>
          <w:rFonts w:ascii="Arial" w:hAnsi="Arial" w:cs="Arial"/>
          <w:b/>
          <w:sz w:val="28"/>
          <w:szCs w:val="28"/>
        </w:rPr>
      </w:pPr>
      <w:r w:rsidRPr="004B7D8A">
        <w:rPr>
          <w:rFonts w:ascii="Arial" w:hAnsi="Arial" w:cs="Arial"/>
          <w:b/>
          <w:sz w:val="28"/>
          <w:szCs w:val="28"/>
        </w:rPr>
        <w:t xml:space="preserve">2.5 </w:t>
      </w:r>
      <w:r w:rsidR="00A5679E" w:rsidRPr="004B7D8A">
        <w:rPr>
          <w:rFonts w:ascii="Arial" w:hAnsi="Arial" w:cs="Arial"/>
          <w:b/>
          <w:sz w:val="28"/>
          <w:szCs w:val="28"/>
        </w:rPr>
        <w:t xml:space="preserve">The semi-objective nature of the </w:t>
      </w:r>
      <w:r w:rsidR="00A5679E" w:rsidRPr="004B7D8A">
        <w:rPr>
          <w:rFonts w:ascii="Arial" w:hAnsi="Arial" w:cs="Arial"/>
          <w:b/>
          <w:i/>
          <w:sz w:val="28"/>
          <w:szCs w:val="28"/>
        </w:rPr>
        <w:t xml:space="preserve">Wilson </w:t>
      </w:r>
      <w:r w:rsidR="00A5679E" w:rsidRPr="004B7D8A">
        <w:rPr>
          <w:rFonts w:ascii="Arial" w:hAnsi="Arial" w:cs="Arial"/>
          <w:b/>
          <w:sz w:val="28"/>
          <w:szCs w:val="28"/>
        </w:rPr>
        <w:t>test</w:t>
      </w:r>
    </w:p>
    <w:p w:rsidR="00A5679E" w:rsidRDefault="00A5679E" w:rsidP="00A5679E">
      <w:pPr>
        <w:jc w:val="both"/>
        <w:rPr>
          <w:rFonts w:ascii="Arial" w:hAnsi="Arial" w:cs="Arial"/>
        </w:rPr>
      </w:pPr>
    </w:p>
    <w:p w:rsidR="00A5679E" w:rsidRPr="00290BAC" w:rsidRDefault="00A5679E" w:rsidP="00A5679E">
      <w:pPr>
        <w:jc w:val="both"/>
        <w:rPr>
          <w:rFonts w:ascii="Arial" w:hAnsi="Arial" w:cs="Arial"/>
          <w:shd w:val="clear" w:color="auto" w:fill="FFFFFF"/>
        </w:rPr>
      </w:pPr>
      <w:r>
        <w:rPr>
          <w:rFonts w:ascii="Arial" w:hAnsi="Arial" w:cs="Arial"/>
        </w:rPr>
        <w:t xml:space="preserve">In Australia, meanwhile, arguments similar to those in </w:t>
      </w:r>
      <w:r w:rsidRPr="009B69DD">
        <w:rPr>
          <w:rFonts w:ascii="Arial" w:hAnsi="Arial" w:cs="Arial"/>
          <w:i/>
        </w:rPr>
        <w:t>F &amp; E</w:t>
      </w:r>
      <w:r>
        <w:rPr>
          <w:rFonts w:ascii="Arial" w:hAnsi="Arial" w:cs="Arial"/>
        </w:rPr>
        <w:t xml:space="preserve"> have gained more </w:t>
      </w:r>
      <w:r w:rsidRPr="00290BAC">
        <w:rPr>
          <w:rFonts w:ascii="Arial" w:hAnsi="Arial" w:cs="Arial"/>
        </w:rPr>
        <w:t xml:space="preserve">traction. In </w:t>
      </w:r>
      <w:r w:rsidRPr="00290BAC">
        <w:rPr>
          <w:rFonts w:ascii="Arial" w:hAnsi="Arial" w:cs="Arial"/>
          <w:i/>
        </w:rPr>
        <w:t>DPP v T.Y</w:t>
      </w:r>
      <w:r w:rsidRPr="00290BAC">
        <w:rPr>
          <w:rFonts w:ascii="Arial" w:hAnsi="Arial" w:cs="Arial"/>
          <w:shd w:val="clear" w:color="auto" w:fill="FFFFFF"/>
        </w:rPr>
        <w:t>.</w:t>
      </w:r>
      <w:r>
        <w:rPr>
          <w:rFonts w:ascii="Arial" w:hAnsi="Arial" w:cs="Arial"/>
          <w:shd w:val="clear" w:color="auto" w:fill="FFFFFF"/>
        </w:rPr>
        <w:t>,</w:t>
      </w:r>
      <w:r>
        <w:rPr>
          <w:rStyle w:val="FootnoteReference"/>
          <w:rFonts w:ascii="Arial" w:hAnsi="Arial" w:cs="Arial"/>
          <w:shd w:val="clear" w:color="auto" w:fill="FFFFFF"/>
        </w:rPr>
        <w:footnoteReference w:id="187"/>
      </w:r>
      <w:r>
        <w:rPr>
          <w:rFonts w:ascii="Arial" w:hAnsi="Arial" w:cs="Arial"/>
          <w:shd w:val="clear" w:color="auto" w:fill="FFFFFF"/>
        </w:rPr>
        <w:t xml:space="preserve"> where D was four months shy of his 15</w:t>
      </w:r>
      <w:r w:rsidRPr="00CA5669">
        <w:rPr>
          <w:rFonts w:ascii="Arial" w:hAnsi="Arial" w:cs="Arial"/>
          <w:shd w:val="clear" w:color="auto" w:fill="FFFFFF"/>
          <w:vertAlign w:val="superscript"/>
        </w:rPr>
        <w:t>th</w:t>
      </w:r>
      <w:r>
        <w:rPr>
          <w:rFonts w:ascii="Arial" w:hAnsi="Arial" w:cs="Arial"/>
          <w:shd w:val="clear" w:color="auto" w:fill="FFFFFF"/>
        </w:rPr>
        <w:t xml:space="preserve"> birthday, Bell J accepted that the reasonable person should be the same age as D:</w:t>
      </w:r>
      <w:r w:rsidR="00093095">
        <w:rPr>
          <w:rStyle w:val="FootnoteReference"/>
          <w:rFonts w:ascii="Arial" w:hAnsi="Arial" w:cs="Arial"/>
          <w:shd w:val="clear" w:color="auto" w:fill="FFFFFF"/>
        </w:rPr>
        <w:footnoteReference w:id="188"/>
      </w:r>
    </w:p>
    <w:p w:rsidR="00A5679E" w:rsidRDefault="00A5679E" w:rsidP="00A5679E">
      <w:pPr>
        <w:rPr>
          <w:rFonts w:ascii="Arial" w:hAnsi="Arial" w:cs="Arial"/>
          <w:sz w:val="28"/>
          <w:szCs w:val="28"/>
        </w:rPr>
      </w:pPr>
    </w:p>
    <w:p w:rsidR="00A5679E" w:rsidRPr="00290BAC" w:rsidRDefault="00F8652E" w:rsidP="00A5679E">
      <w:pPr>
        <w:ind w:left="567"/>
        <w:jc w:val="both"/>
        <w:rPr>
          <w:rFonts w:ascii="Arial" w:hAnsi="Arial" w:cs="Arial"/>
        </w:rPr>
      </w:pPr>
      <w:r>
        <w:rPr>
          <w:rFonts w:ascii="Arial" w:hAnsi="Arial" w:cs="Arial"/>
        </w:rPr>
        <w:t>‘</w:t>
      </w:r>
      <w:r w:rsidR="00A5679E" w:rsidRPr="00290BAC">
        <w:rPr>
          <w:rFonts w:ascii="Arial" w:hAnsi="Arial" w:cs="Arial"/>
        </w:rPr>
        <w:t xml:space="preserve">Subjecting children to an adult standard, when we know children have a lesser capacity for </w:t>
      </w:r>
      <w:proofErr w:type="spellStart"/>
      <w:r w:rsidR="00A5679E" w:rsidRPr="00290BAC">
        <w:rPr>
          <w:rFonts w:ascii="Arial" w:hAnsi="Arial" w:cs="Arial"/>
        </w:rPr>
        <w:t>realisation</w:t>
      </w:r>
      <w:proofErr w:type="spellEnd"/>
      <w:r w:rsidR="00A5679E" w:rsidRPr="00290BAC">
        <w:rPr>
          <w:rFonts w:ascii="Arial" w:hAnsi="Arial" w:cs="Arial"/>
        </w:rPr>
        <w:t xml:space="preserve"> of appreciable risk than adults, would widen the gap between moral culpability and legal responsibility to its maximum. Taking the age of a child into account when applying the dangerousness test brings the two more closely together and is more consistent with the evolution of the law of homicide.</w:t>
      </w:r>
      <w:r>
        <w:rPr>
          <w:rFonts w:ascii="Arial" w:hAnsi="Arial" w:cs="Arial"/>
        </w:rPr>
        <w:t>’</w:t>
      </w:r>
    </w:p>
    <w:p w:rsidR="00A5679E" w:rsidRPr="00290BAC" w:rsidRDefault="00A5679E" w:rsidP="00A5679E">
      <w:pPr>
        <w:jc w:val="both"/>
        <w:outlineLvl w:val="1"/>
        <w:rPr>
          <w:rFonts w:ascii="Arial" w:hAnsi="Arial" w:cs="Arial"/>
        </w:rPr>
      </w:pPr>
    </w:p>
    <w:p w:rsidR="00A5679E" w:rsidRPr="00290BAC" w:rsidRDefault="00A5679E" w:rsidP="00A5679E">
      <w:pPr>
        <w:jc w:val="both"/>
        <w:rPr>
          <w:rFonts w:ascii="Arial" w:hAnsi="Arial" w:cs="Arial"/>
          <w:iCs/>
          <w:shd w:val="clear" w:color="auto" w:fill="FFFFFF"/>
        </w:rPr>
      </w:pPr>
      <w:r w:rsidRPr="00290BAC">
        <w:rPr>
          <w:rFonts w:ascii="Arial" w:hAnsi="Arial" w:cs="Arial"/>
        </w:rPr>
        <w:t xml:space="preserve">Other </w:t>
      </w:r>
      <w:r>
        <w:rPr>
          <w:rFonts w:ascii="Arial" w:hAnsi="Arial" w:cs="Arial"/>
        </w:rPr>
        <w:t xml:space="preserve">Australian </w:t>
      </w:r>
      <w:r w:rsidRPr="00290BAC">
        <w:rPr>
          <w:rFonts w:ascii="Arial" w:hAnsi="Arial" w:cs="Arial"/>
        </w:rPr>
        <w:t xml:space="preserve">cases have, </w:t>
      </w:r>
      <w:r>
        <w:rPr>
          <w:rFonts w:ascii="Arial" w:hAnsi="Arial" w:cs="Arial"/>
        </w:rPr>
        <w:t>at least until recently</w:t>
      </w:r>
      <w:r w:rsidRPr="00290BAC">
        <w:rPr>
          <w:rFonts w:ascii="Arial" w:hAnsi="Arial" w:cs="Arial"/>
        </w:rPr>
        <w:t xml:space="preserve">, refused to endow the reasonable person with other </w:t>
      </w:r>
      <w:r w:rsidRPr="00006F60">
        <w:rPr>
          <w:rFonts w:ascii="Arial" w:hAnsi="Arial" w:cs="Arial"/>
        </w:rPr>
        <w:t xml:space="preserve">characteristics of D. In </w:t>
      </w:r>
      <w:r w:rsidRPr="00006F60">
        <w:rPr>
          <w:rFonts w:ascii="Arial" w:hAnsi="Arial" w:cs="Arial"/>
          <w:i/>
        </w:rPr>
        <w:t>Wills,</w:t>
      </w:r>
      <w:r w:rsidRPr="00006F60">
        <w:rPr>
          <w:rStyle w:val="FootnoteReference"/>
          <w:rFonts w:ascii="Arial" w:hAnsi="Arial" w:cs="Arial"/>
        </w:rPr>
        <w:footnoteReference w:id="189"/>
      </w:r>
      <w:r w:rsidRPr="00006F60">
        <w:rPr>
          <w:rFonts w:ascii="Arial" w:hAnsi="Arial" w:cs="Arial"/>
        </w:rPr>
        <w:t xml:space="preserve"> Lush J said that </w:t>
      </w:r>
      <w:r w:rsidR="00F8652E">
        <w:rPr>
          <w:rFonts w:ascii="Arial" w:hAnsi="Arial" w:cs="Arial"/>
        </w:rPr>
        <w:t>‘</w:t>
      </w:r>
      <w:r w:rsidRPr="00006F60">
        <w:rPr>
          <w:rFonts w:ascii="Arial" w:hAnsi="Arial" w:cs="Arial"/>
        </w:rPr>
        <w:t>the lawfulness of the act is determined by considerations extraneous to the subjective state</w:t>
      </w:r>
      <w:r w:rsidR="00F8652E">
        <w:rPr>
          <w:rFonts w:ascii="Arial" w:hAnsi="Arial" w:cs="Arial"/>
        </w:rPr>
        <w:t>’</w:t>
      </w:r>
      <w:r w:rsidRPr="00006F60">
        <w:rPr>
          <w:rFonts w:ascii="Arial" w:hAnsi="Arial" w:cs="Arial"/>
        </w:rPr>
        <w:t xml:space="preserve"> of the accused.</w:t>
      </w:r>
      <w:r w:rsidR="008F1A2E">
        <w:rPr>
          <w:rStyle w:val="FootnoteReference"/>
          <w:rFonts w:ascii="Arial" w:hAnsi="Arial" w:cs="Arial"/>
          <w:color w:val="000000"/>
        </w:rPr>
        <w:footnoteReference w:id="190"/>
      </w:r>
      <w:r w:rsidRPr="00006F60">
        <w:rPr>
          <w:rFonts w:ascii="Arial" w:hAnsi="Arial" w:cs="Arial"/>
        </w:rPr>
        <w:t xml:space="preserve"> </w:t>
      </w:r>
      <w:r>
        <w:rPr>
          <w:rFonts w:ascii="Arial" w:hAnsi="Arial" w:cs="Arial"/>
        </w:rPr>
        <w:t xml:space="preserve">He explained that </w:t>
      </w:r>
      <w:r>
        <w:rPr>
          <w:rFonts w:ascii="Arial" w:hAnsi="Arial" w:cs="Arial"/>
          <w:color w:val="000000"/>
        </w:rPr>
        <w:t>if the test for dangerousness were</w:t>
      </w:r>
      <w:r w:rsidRPr="00006F60">
        <w:rPr>
          <w:rFonts w:ascii="Arial" w:hAnsi="Arial" w:cs="Arial"/>
          <w:color w:val="000000"/>
        </w:rPr>
        <w:t xml:space="preserve"> </w:t>
      </w:r>
      <w:r w:rsidR="00F8652E">
        <w:rPr>
          <w:rFonts w:ascii="Arial" w:hAnsi="Arial" w:cs="Arial"/>
          <w:color w:val="000000"/>
        </w:rPr>
        <w:t>‘</w:t>
      </w:r>
      <w:r w:rsidRPr="00006F60">
        <w:rPr>
          <w:rFonts w:ascii="Arial" w:hAnsi="Arial" w:cs="Arial"/>
          <w:color w:val="000000"/>
        </w:rPr>
        <w:t xml:space="preserve">to be regarded as including the ephemeral emotional and mental conditions of [D], the test begins to take on a subjective appearance. If it were extended to matters relating for instance, </w:t>
      </w:r>
      <w:r w:rsidRPr="00006F60">
        <w:rPr>
          <w:rFonts w:ascii="Arial" w:hAnsi="Arial" w:cs="Arial"/>
          <w:color w:val="000000"/>
        </w:rPr>
        <w:lastRenderedPageBreak/>
        <w:t>to alcohol and drugs, it would in my opinion become clearly subjective</w:t>
      </w:r>
      <w:r w:rsidR="00F8652E">
        <w:rPr>
          <w:rFonts w:ascii="Arial" w:hAnsi="Arial" w:cs="Arial"/>
          <w:color w:val="000000"/>
        </w:rPr>
        <w:t>’</w:t>
      </w:r>
      <w:r w:rsidRPr="00006F60">
        <w:rPr>
          <w:rFonts w:ascii="Arial" w:hAnsi="Arial" w:cs="Arial"/>
          <w:color w:val="000000"/>
        </w:rPr>
        <w:t>.</w:t>
      </w:r>
      <w:r w:rsidR="004A1D0A">
        <w:rPr>
          <w:rStyle w:val="FootnoteReference"/>
          <w:rFonts w:ascii="Arial" w:hAnsi="Arial" w:cs="Arial"/>
          <w:color w:val="000000"/>
        </w:rPr>
        <w:footnoteReference w:id="191"/>
      </w:r>
      <w:r w:rsidRPr="00006F60">
        <w:rPr>
          <w:rFonts w:ascii="Arial" w:hAnsi="Arial" w:cs="Arial"/>
          <w:color w:val="000000"/>
        </w:rPr>
        <w:t xml:space="preserve"> In </w:t>
      </w:r>
      <w:r w:rsidRPr="00006F60">
        <w:rPr>
          <w:rFonts w:ascii="Arial" w:hAnsi="Arial" w:cs="Arial"/>
          <w:i/>
          <w:color w:val="000000"/>
        </w:rPr>
        <w:t>T.Y.</w:t>
      </w:r>
      <w:r w:rsidRPr="00006F60">
        <w:rPr>
          <w:rFonts w:ascii="Arial" w:hAnsi="Arial" w:cs="Arial"/>
          <w:color w:val="000000"/>
        </w:rPr>
        <w:t xml:space="preserve">, Bell J said that </w:t>
      </w:r>
      <w:r w:rsidR="00F8652E">
        <w:rPr>
          <w:rFonts w:ascii="Arial" w:hAnsi="Arial" w:cs="Arial"/>
          <w:color w:val="000000"/>
        </w:rPr>
        <w:t>‘</w:t>
      </w:r>
      <w:r w:rsidRPr="00006F60">
        <w:rPr>
          <w:rFonts w:ascii="Arial" w:hAnsi="Arial" w:cs="Arial"/>
        </w:rPr>
        <w:t>the objective test precludes the idiosyncrasies of an alleged wrongdoer from being taken into account</w:t>
      </w:r>
      <w:r w:rsidR="00F8652E">
        <w:rPr>
          <w:rFonts w:ascii="Arial" w:hAnsi="Arial" w:cs="Arial"/>
          <w:color w:val="000000"/>
        </w:rPr>
        <w:t>’</w:t>
      </w:r>
      <w:r w:rsidR="004A1D0A">
        <w:rPr>
          <w:rStyle w:val="FootnoteReference"/>
          <w:rFonts w:ascii="Arial" w:hAnsi="Arial" w:cs="Arial"/>
          <w:color w:val="000000"/>
        </w:rPr>
        <w:footnoteReference w:id="192"/>
      </w:r>
      <w:r>
        <w:rPr>
          <w:rFonts w:ascii="Arial" w:hAnsi="Arial" w:cs="Arial"/>
          <w:color w:val="000000"/>
        </w:rPr>
        <w:t xml:space="preserve"> and i</w:t>
      </w:r>
      <w:r w:rsidRPr="00006F60">
        <w:rPr>
          <w:rFonts w:ascii="Arial" w:hAnsi="Arial" w:cs="Arial"/>
        </w:rPr>
        <w:t xml:space="preserve">n </w:t>
      </w:r>
      <w:proofErr w:type="spellStart"/>
      <w:r w:rsidRPr="00006F60">
        <w:rPr>
          <w:rFonts w:ascii="Arial" w:hAnsi="Arial" w:cs="Arial"/>
          <w:i/>
          <w:iCs/>
          <w:shd w:val="clear" w:color="auto" w:fill="FFFFFF"/>
        </w:rPr>
        <w:t>Besim</w:t>
      </w:r>
      <w:proofErr w:type="spellEnd"/>
      <w:r w:rsidRPr="00006F60">
        <w:rPr>
          <w:rFonts w:ascii="Arial" w:hAnsi="Arial" w:cs="Arial"/>
          <w:i/>
          <w:iCs/>
          <w:shd w:val="clear" w:color="auto" w:fill="FFFFFF"/>
        </w:rPr>
        <w:t>,</w:t>
      </w:r>
      <w:r w:rsidRPr="00006F60">
        <w:rPr>
          <w:rStyle w:val="FootnoteReference"/>
          <w:rFonts w:ascii="Arial" w:hAnsi="Arial" w:cs="Arial"/>
          <w:iCs/>
          <w:shd w:val="clear" w:color="auto" w:fill="FFFFFF"/>
        </w:rPr>
        <w:footnoteReference w:id="193"/>
      </w:r>
      <w:r w:rsidRPr="00006F60">
        <w:rPr>
          <w:rFonts w:ascii="Arial" w:hAnsi="Arial" w:cs="Arial"/>
          <w:iCs/>
          <w:shd w:val="clear" w:color="auto" w:fill="FFFFFF"/>
        </w:rPr>
        <w:t xml:space="preserve"> Redlich J emphasized that the </w:t>
      </w:r>
      <w:r>
        <w:rPr>
          <w:rFonts w:ascii="Arial" w:hAnsi="Arial" w:cs="Arial"/>
          <w:iCs/>
          <w:shd w:val="clear" w:color="auto" w:fill="FFFFFF"/>
        </w:rPr>
        <w:t>dangerousness test in Australia took account of</w:t>
      </w:r>
      <w:r w:rsidRPr="00006F60">
        <w:rPr>
          <w:rFonts w:ascii="Arial" w:hAnsi="Arial" w:cs="Arial"/>
          <w:iCs/>
          <w:shd w:val="clear" w:color="auto" w:fill="FFFFFF"/>
        </w:rPr>
        <w:t xml:space="preserve"> </w:t>
      </w:r>
      <w:r w:rsidR="00F8652E">
        <w:rPr>
          <w:rFonts w:ascii="Arial" w:hAnsi="Arial" w:cs="Arial"/>
          <w:iCs/>
          <w:shd w:val="clear" w:color="auto" w:fill="FFFFFF"/>
        </w:rPr>
        <w:t>‘</w:t>
      </w:r>
      <w:r w:rsidRPr="00006F60">
        <w:rPr>
          <w:rFonts w:ascii="Arial" w:hAnsi="Arial" w:cs="Arial"/>
          <w:iCs/>
          <w:shd w:val="clear" w:color="auto" w:fill="FFFFFF"/>
        </w:rPr>
        <w:t>the physical circumstances</w:t>
      </w:r>
      <w:r w:rsidR="00F8652E">
        <w:rPr>
          <w:rFonts w:ascii="Arial" w:hAnsi="Arial" w:cs="Arial"/>
          <w:iCs/>
          <w:shd w:val="clear" w:color="auto" w:fill="FFFFFF"/>
        </w:rPr>
        <w:t>’</w:t>
      </w:r>
      <w:r w:rsidRPr="00006F60">
        <w:rPr>
          <w:rFonts w:ascii="Arial" w:hAnsi="Arial" w:cs="Arial"/>
          <w:iCs/>
          <w:shd w:val="clear" w:color="auto" w:fill="FFFFFF"/>
        </w:rPr>
        <w:t xml:space="preserve"> of D and </w:t>
      </w:r>
      <w:r w:rsidR="00F8652E">
        <w:rPr>
          <w:rFonts w:ascii="Arial" w:hAnsi="Arial" w:cs="Arial"/>
          <w:iCs/>
          <w:shd w:val="clear" w:color="auto" w:fill="FFFFFF"/>
        </w:rPr>
        <w:t>‘</w:t>
      </w:r>
      <w:r w:rsidRPr="00006F60">
        <w:rPr>
          <w:rFonts w:ascii="Arial" w:hAnsi="Arial" w:cs="Arial"/>
          <w:iCs/>
          <w:shd w:val="clear" w:color="auto" w:fill="FFFFFF"/>
        </w:rPr>
        <w:t xml:space="preserve">the nature of the </w:t>
      </w:r>
      <w:r w:rsidRPr="00290BAC">
        <w:rPr>
          <w:rFonts w:ascii="Arial" w:hAnsi="Arial" w:cs="Arial"/>
          <w:iCs/>
          <w:color w:val="000000"/>
          <w:shd w:val="clear" w:color="auto" w:fill="FFFFFF"/>
        </w:rPr>
        <w:t>act performed</w:t>
      </w:r>
      <w:r w:rsidR="00F8652E">
        <w:rPr>
          <w:rFonts w:ascii="Arial" w:hAnsi="Arial" w:cs="Arial"/>
          <w:iCs/>
          <w:color w:val="000000"/>
          <w:shd w:val="clear" w:color="auto" w:fill="FFFFFF"/>
        </w:rPr>
        <w:t>’</w:t>
      </w:r>
      <w:r w:rsidRPr="00290BAC">
        <w:rPr>
          <w:rFonts w:ascii="Arial" w:hAnsi="Arial" w:cs="Arial"/>
          <w:iCs/>
          <w:color w:val="000000"/>
          <w:shd w:val="clear" w:color="auto" w:fill="FFFFFF"/>
        </w:rPr>
        <w:t xml:space="preserve"> by D</w:t>
      </w:r>
      <w:r>
        <w:rPr>
          <w:rFonts w:ascii="Arial" w:hAnsi="Arial" w:cs="Arial"/>
          <w:iCs/>
          <w:color w:val="000000"/>
          <w:shd w:val="clear" w:color="auto" w:fill="FFFFFF"/>
        </w:rPr>
        <w:t xml:space="preserve">, but not </w:t>
      </w:r>
      <w:r w:rsidR="00F8652E">
        <w:rPr>
          <w:rFonts w:ascii="Arial" w:hAnsi="Arial" w:cs="Arial"/>
          <w:iCs/>
          <w:color w:val="000000"/>
          <w:shd w:val="clear" w:color="auto" w:fill="FFFFFF"/>
        </w:rPr>
        <w:t>‘</w:t>
      </w:r>
      <w:r w:rsidR="004A1D0A">
        <w:rPr>
          <w:rFonts w:ascii="Arial" w:hAnsi="Arial" w:cs="Arial"/>
          <w:iCs/>
          <w:color w:val="000000"/>
          <w:shd w:val="clear" w:color="auto" w:fill="FFFFFF"/>
        </w:rPr>
        <w:t>e</w:t>
      </w:r>
      <w:r w:rsidR="004A1D0A" w:rsidRPr="004A1D0A">
        <w:rPr>
          <w:rFonts w:ascii="Arial" w:hAnsi="Arial" w:cs="Arial"/>
          <w:iCs/>
          <w:color w:val="000000"/>
          <w:shd w:val="clear" w:color="auto" w:fill="FFFFFF"/>
        </w:rPr>
        <w:t>motions</w:t>
      </w:r>
      <w:r w:rsidR="004A1D0A">
        <w:rPr>
          <w:rFonts w:ascii="Arial" w:hAnsi="Arial" w:cs="Arial"/>
          <w:iCs/>
          <w:color w:val="000000"/>
          <w:shd w:val="clear" w:color="auto" w:fill="FFFFFF"/>
        </w:rPr>
        <w:t>,</w:t>
      </w:r>
      <w:r w:rsidR="004A1D0A" w:rsidRPr="004A1D0A">
        <w:rPr>
          <w:rFonts w:ascii="Arial" w:hAnsi="Arial" w:cs="Arial"/>
          <w:iCs/>
          <w:color w:val="000000"/>
          <w:shd w:val="clear" w:color="auto" w:fill="FFFFFF"/>
        </w:rPr>
        <w:t xml:space="preserve"> passions or the mental state of the accused</w:t>
      </w:r>
      <w:r w:rsidR="00F8652E">
        <w:rPr>
          <w:rFonts w:ascii="Arial" w:hAnsi="Arial" w:cs="Arial"/>
          <w:iCs/>
          <w:color w:val="000000"/>
          <w:shd w:val="clear" w:color="auto" w:fill="FFFFFF"/>
        </w:rPr>
        <w:t>’</w:t>
      </w:r>
      <w:r w:rsidRPr="00290BAC">
        <w:rPr>
          <w:rFonts w:ascii="Arial" w:hAnsi="Arial" w:cs="Arial"/>
          <w:iCs/>
          <w:color w:val="000000"/>
          <w:shd w:val="clear" w:color="auto" w:fill="FFFFFF"/>
        </w:rPr>
        <w:t>.</w:t>
      </w:r>
      <w:r w:rsidR="004A1D0A">
        <w:rPr>
          <w:rStyle w:val="FootnoteReference"/>
          <w:rFonts w:ascii="Arial" w:hAnsi="Arial" w:cs="Arial"/>
          <w:iCs/>
          <w:color w:val="000000"/>
          <w:shd w:val="clear" w:color="auto" w:fill="FFFFFF"/>
        </w:rPr>
        <w:footnoteReference w:id="194"/>
      </w:r>
    </w:p>
    <w:p w:rsidR="00A5679E" w:rsidRDefault="00A5679E" w:rsidP="00A5679E">
      <w:pPr>
        <w:jc w:val="both"/>
        <w:rPr>
          <w:rFonts w:ascii="Arial" w:hAnsi="Arial" w:cs="Arial"/>
        </w:rPr>
      </w:pPr>
    </w:p>
    <w:p w:rsidR="00A5679E" w:rsidRPr="00CA5669" w:rsidRDefault="00A5679E" w:rsidP="00A5679E">
      <w:pPr>
        <w:jc w:val="both"/>
        <w:rPr>
          <w:rFonts w:ascii="Arial" w:hAnsi="Arial" w:cs="Arial"/>
          <w:shd w:val="clear" w:color="auto" w:fill="FFFFFF"/>
        </w:rPr>
      </w:pPr>
      <w:r w:rsidRPr="00006F60">
        <w:rPr>
          <w:rFonts w:ascii="Arial" w:hAnsi="Arial" w:cs="Arial"/>
          <w:iCs/>
          <w:shd w:val="clear" w:color="auto" w:fill="FFFFFF"/>
        </w:rPr>
        <w:t>Howev</w:t>
      </w:r>
      <w:r>
        <w:rPr>
          <w:rFonts w:ascii="Arial" w:hAnsi="Arial" w:cs="Arial"/>
          <w:iCs/>
          <w:shd w:val="clear" w:color="auto" w:fill="FFFFFF"/>
        </w:rPr>
        <w:t xml:space="preserve">er, the most recent case distinguished </w:t>
      </w:r>
      <w:r w:rsidRPr="00CA5669">
        <w:rPr>
          <w:rFonts w:ascii="Arial" w:hAnsi="Arial" w:cs="Arial"/>
          <w:i/>
          <w:iCs/>
          <w:shd w:val="clear" w:color="auto" w:fill="FFFFFF"/>
        </w:rPr>
        <w:t>Wills</w:t>
      </w:r>
      <w:r>
        <w:rPr>
          <w:rFonts w:ascii="Arial" w:hAnsi="Arial" w:cs="Arial"/>
          <w:iCs/>
          <w:shd w:val="clear" w:color="auto" w:fill="FFFFFF"/>
        </w:rPr>
        <w:t xml:space="preserve"> by putting </w:t>
      </w:r>
      <w:r w:rsidR="00F8652E">
        <w:rPr>
          <w:rFonts w:ascii="Arial" w:hAnsi="Arial" w:cs="Arial"/>
          <w:iCs/>
          <w:shd w:val="clear" w:color="auto" w:fill="FFFFFF"/>
        </w:rPr>
        <w:t>‘</w:t>
      </w:r>
      <w:r w:rsidRPr="00CA5669">
        <w:rPr>
          <w:rFonts w:ascii="Arial" w:hAnsi="Arial" w:cs="Arial"/>
        </w:rPr>
        <w:t>objectively ascertainable</w:t>
      </w:r>
      <w:r w:rsidR="00F8652E">
        <w:rPr>
          <w:rFonts w:ascii="Arial" w:hAnsi="Arial" w:cs="Arial"/>
        </w:rPr>
        <w:t>’</w:t>
      </w:r>
      <w:r w:rsidRPr="00CA5669">
        <w:rPr>
          <w:rFonts w:ascii="Arial" w:hAnsi="Arial" w:cs="Arial"/>
        </w:rPr>
        <w:t xml:space="preserve"> attribute</w:t>
      </w:r>
      <w:r>
        <w:rPr>
          <w:rFonts w:ascii="Arial" w:hAnsi="Arial" w:cs="Arial"/>
        </w:rPr>
        <w:t>s that affected D</w:t>
      </w:r>
      <w:r w:rsidR="00F8652E">
        <w:rPr>
          <w:rFonts w:ascii="Arial" w:hAnsi="Arial" w:cs="Arial"/>
        </w:rPr>
        <w:t>’</w:t>
      </w:r>
      <w:r>
        <w:rPr>
          <w:rFonts w:ascii="Arial" w:hAnsi="Arial" w:cs="Arial"/>
        </w:rPr>
        <w:t>s ability to appreciate the consequences of his actions into the same category as D</w:t>
      </w:r>
      <w:r w:rsidR="00F8652E">
        <w:rPr>
          <w:rFonts w:ascii="Arial" w:hAnsi="Arial" w:cs="Arial"/>
        </w:rPr>
        <w:t>’</w:t>
      </w:r>
      <w:r>
        <w:rPr>
          <w:rFonts w:ascii="Arial" w:hAnsi="Arial" w:cs="Arial"/>
        </w:rPr>
        <w:t>s age</w:t>
      </w:r>
      <w:r>
        <w:rPr>
          <w:rFonts w:ascii="Arial" w:hAnsi="Arial" w:cs="Arial"/>
          <w:iCs/>
          <w:shd w:val="clear" w:color="auto" w:fill="FFFFFF"/>
        </w:rPr>
        <w:t xml:space="preserve">. In </w:t>
      </w:r>
      <w:r w:rsidRPr="00CA5669">
        <w:rPr>
          <w:rFonts w:ascii="Arial" w:hAnsi="Arial" w:cs="Arial"/>
          <w:i/>
          <w:iCs/>
          <w:shd w:val="clear" w:color="auto" w:fill="FFFFFF"/>
        </w:rPr>
        <w:t>Thomas</w:t>
      </w:r>
      <w:r>
        <w:rPr>
          <w:rFonts w:ascii="Arial" w:hAnsi="Arial" w:cs="Arial"/>
          <w:iCs/>
          <w:shd w:val="clear" w:color="auto" w:fill="FFFFFF"/>
        </w:rPr>
        <w:t>,</w:t>
      </w:r>
      <w:r>
        <w:rPr>
          <w:rStyle w:val="FootnoteReference"/>
          <w:rFonts w:ascii="Arial" w:hAnsi="Arial" w:cs="Arial"/>
          <w:iCs/>
          <w:shd w:val="clear" w:color="auto" w:fill="FFFFFF"/>
        </w:rPr>
        <w:footnoteReference w:id="195"/>
      </w:r>
      <w:r w:rsidRPr="00006F60">
        <w:rPr>
          <w:rFonts w:ascii="Arial" w:hAnsi="Arial" w:cs="Arial"/>
          <w:shd w:val="clear" w:color="auto" w:fill="FFFFFF"/>
        </w:rPr>
        <w:t xml:space="preserve"> </w:t>
      </w:r>
      <w:r>
        <w:rPr>
          <w:rFonts w:ascii="Arial" w:hAnsi="Arial" w:cs="Arial"/>
          <w:shd w:val="clear" w:color="auto" w:fill="FFFFFF"/>
        </w:rPr>
        <w:t xml:space="preserve">it was undisputed that D had killed his adoptive mother. The question for </w:t>
      </w:r>
      <w:proofErr w:type="spellStart"/>
      <w:r w:rsidRPr="00006F60">
        <w:rPr>
          <w:rFonts w:ascii="Arial" w:hAnsi="Arial" w:cs="Arial"/>
          <w:shd w:val="clear" w:color="auto" w:fill="FFFFFF"/>
        </w:rPr>
        <w:t>Hulme</w:t>
      </w:r>
      <w:proofErr w:type="spellEnd"/>
      <w:r w:rsidRPr="00006F60">
        <w:rPr>
          <w:rFonts w:ascii="Arial" w:hAnsi="Arial" w:cs="Arial"/>
          <w:shd w:val="clear" w:color="auto" w:fill="FFFFFF"/>
        </w:rPr>
        <w:t xml:space="preserve"> J</w:t>
      </w:r>
      <w:r>
        <w:rPr>
          <w:rFonts w:ascii="Arial" w:hAnsi="Arial" w:cs="Arial"/>
          <w:shd w:val="clear" w:color="auto" w:fill="FFFFFF"/>
        </w:rPr>
        <w:t xml:space="preserve"> was whether the reasonable person could be invested with D</w:t>
      </w:r>
      <w:r w:rsidR="00F8652E">
        <w:rPr>
          <w:rFonts w:ascii="Arial" w:hAnsi="Arial" w:cs="Arial"/>
          <w:shd w:val="clear" w:color="auto" w:fill="FFFFFF"/>
        </w:rPr>
        <w:t>’</w:t>
      </w:r>
      <w:r>
        <w:rPr>
          <w:rFonts w:ascii="Arial" w:hAnsi="Arial" w:cs="Arial"/>
          <w:shd w:val="clear" w:color="auto" w:fill="FFFFFF"/>
        </w:rPr>
        <w:t xml:space="preserve">s psychiatric </w:t>
      </w:r>
      <w:r w:rsidRPr="00CA5669">
        <w:rPr>
          <w:rFonts w:ascii="Arial" w:hAnsi="Arial" w:cs="Arial"/>
          <w:shd w:val="clear" w:color="auto" w:fill="FFFFFF"/>
        </w:rPr>
        <w:t xml:space="preserve">condition. After the killing, D had been </w:t>
      </w:r>
      <w:r w:rsidRPr="00CA5669">
        <w:rPr>
          <w:rFonts w:ascii="Arial" w:hAnsi="Arial" w:cs="Arial"/>
        </w:rPr>
        <w:t xml:space="preserve">assessed by a clinical neuropsychologist and forensic psychologist, who found that he had a </w:t>
      </w:r>
      <w:r w:rsidR="00F8652E">
        <w:rPr>
          <w:rFonts w:ascii="Arial" w:hAnsi="Arial" w:cs="Arial"/>
        </w:rPr>
        <w:t>‘</w:t>
      </w:r>
      <w:r w:rsidRPr="00CA5669">
        <w:rPr>
          <w:rFonts w:ascii="Arial" w:hAnsi="Arial" w:cs="Arial"/>
        </w:rPr>
        <w:t>moderate intellectual disability</w:t>
      </w:r>
      <w:r w:rsidR="00F8652E">
        <w:rPr>
          <w:rFonts w:ascii="Arial" w:hAnsi="Arial" w:cs="Arial"/>
        </w:rPr>
        <w:t>’</w:t>
      </w:r>
      <w:r w:rsidRPr="00CA5669">
        <w:rPr>
          <w:rFonts w:ascii="Arial" w:hAnsi="Arial" w:cs="Arial"/>
        </w:rPr>
        <w:t>, features of which included extremely limited attention, extremely poor information processing speed and impaired conceptual reasoning abilities</w:t>
      </w:r>
      <w:r>
        <w:rPr>
          <w:rFonts w:ascii="Arial" w:hAnsi="Arial" w:cs="Arial"/>
          <w:shd w:val="clear" w:color="auto" w:fill="FFFFFF"/>
        </w:rPr>
        <w:t xml:space="preserve">. </w:t>
      </w:r>
      <w:proofErr w:type="spellStart"/>
      <w:r w:rsidRPr="00006F60">
        <w:rPr>
          <w:rFonts w:ascii="Arial" w:hAnsi="Arial" w:cs="Arial"/>
          <w:shd w:val="clear" w:color="auto" w:fill="FFFFFF"/>
        </w:rPr>
        <w:t>Hulme</w:t>
      </w:r>
      <w:proofErr w:type="spellEnd"/>
      <w:r w:rsidRPr="00006F60">
        <w:rPr>
          <w:rFonts w:ascii="Arial" w:hAnsi="Arial" w:cs="Arial"/>
          <w:shd w:val="clear" w:color="auto" w:fill="FFFFFF"/>
        </w:rPr>
        <w:t xml:space="preserve"> J</w:t>
      </w:r>
      <w:r>
        <w:rPr>
          <w:rFonts w:ascii="Arial" w:hAnsi="Arial" w:cs="Arial"/>
          <w:shd w:val="clear" w:color="auto" w:fill="FFFFFF"/>
        </w:rPr>
        <w:t xml:space="preserve"> decided that D</w:t>
      </w:r>
      <w:r w:rsidR="00F8652E">
        <w:rPr>
          <w:rFonts w:ascii="Arial" w:hAnsi="Arial" w:cs="Arial"/>
          <w:shd w:val="clear" w:color="auto" w:fill="FFFFFF"/>
        </w:rPr>
        <w:t>’</w:t>
      </w:r>
      <w:r>
        <w:rPr>
          <w:rFonts w:ascii="Arial" w:hAnsi="Arial" w:cs="Arial"/>
          <w:shd w:val="clear" w:color="auto" w:fill="FFFFFF"/>
        </w:rPr>
        <w:t xml:space="preserve">s </w:t>
      </w:r>
      <w:r w:rsidRPr="00CA5669">
        <w:rPr>
          <w:rFonts w:ascii="Arial" w:hAnsi="Arial" w:cs="Arial"/>
        </w:rPr>
        <w:t>disability</w:t>
      </w:r>
      <w:r>
        <w:rPr>
          <w:rFonts w:ascii="Arial" w:hAnsi="Arial" w:cs="Arial"/>
          <w:shd w:val="clear" w:color="auto" w:fill="FFFFFF"/>
        </w:rPr>
        <w:t xml:space="preserve"> </w:t>
      </w:r>
      <w:r w:rsidRPr="00FB66AD">
        <w:rPr>
          <w:rFonts w:ascii="Arial" w:hAnsi="Arial" w:cs="Arial"/>
          <w:i/>
          <w:shd w:val="clear" w:color="auto" w:fill="FFFFFF"/>
        </w:rPr>
        <w:t>was</w:t>
      </w:r>
      <w:r>
        <w:rPr>
          <w:rFonts w:ascii="Arial" w:hAnsi="Arial" w:cs="Arial"/>
          <w:shd w:val="clear" w:color="auto" w:fill="FFFFFF"/>
        </w:rPr>
        <w:t xml:space="preserve"> attributable to the reasonable person, being an</w:t>
      </w:r>
      <w:r w:rsidRPr="00952CE0">
        <w:rPr>
          <w:rFonts w:ascii="Arial" w:hAnsi="Arial" w:cs="Arial"/>
        </w:rPr>
        <w:t xml:space="preserve"> </w:t>
      </w:r>
      <w:r w:rsidR="00F8652E">
        <w:rPr>
          <w:rFonts w:ascii="Arial" w:hAnsi="Arial" w:cs="Arial"/>
        </w:rPr>
        <w:t>‘</w:t>
      </w:r>
      <w:r w:rsidRPr="00CA5669">
        <w:rPr>
          <w:rFonts w:ascii="Arial" w:hAnsi="Arial" w:cs="Arial"/>
        </w:rPr>
        <w:t>objectively ascertainable attribute</w:t>
      </w:r>
      <w:r w:rsidR="00F8652E">
        <w:rPr>
          <w:rFonts w:ascii="Arial" w:hAnsi="Arial" w:cs="Arial"/>
        </w:rPr>
        <w:t>’</w:t>
      </w:r>
      <w:r>
        <w:rPr>
          <w:rFonts w:ascii="Arial" w:hAnsi="Arial" w:cs="Arial"/>
        </w:rPr>
        <w:t>, with</w:t>
      </w:r>
      <w:r w:rsidRPr="008C07D5">
        <w:rPr>
          <w:rFonts w:ascii="Arial" w:hAnsi="Arial" w:cs="Arial"/>
        </w:rPr>
        <w:t xml:space="preserve"> </w:t>
      </w:r>
      <w:r w:rsidR="00F8652E">
        <w:rPr>
          <w:rFonts w:ascii="Arial" w:hAnsi="Arial" w:cs="Arial"/>
        </w:rPr>
        <w:t>‘</w:t>
      </w:r>
      <w:r w:rsidRPr="00CA5669">
        <w:rPr>
          <w:rFonts w:ascii="Arial" w:hAnsi="Arial" w:cs="Arial"/>
        </w:rPr>
        <w:t>nothing transient or ephemeral about it</w:t>
      </w:r>
      <w:r w:rsidR="00F8652E">
        <w:rPr>
          <w:rFonts w:ascii="Arial" w:hAnsi="Arial" w:cs="Arial"/>
        </w:rPr>
        <w:t>’</w:t>
      </w:r>
      <w:r w:rsidR="004A1D0A">
        <w:rPr>
          <w:rFonts w:ascii="Arial" w:hAnsi="Arial" w:cs="Arial"/>
        </w:rPr>
        <w:t>.</w:t>
      </w:r>
      <w:r w:rsidR="004A1D0A">
        <w:rPr>
          <w:rStyle w:val="FootnoteReference"/>
          <w:rFonts w:ascii="Arial" w:hAnsi="Arial" w:cs="Arial"/>
        </w:rPr>
        <w:footnoteReference w:id="196"/>
      </w:r>
      <w:r>
        <w:rPr>
          <w:rFonts w:ascii="Arial" w:hAnsi="Arial" w:cs="Arial"/>
        </w:rPr>
        <w:t xml:space="preserve"> </w:t>
      </w:r>
      <w:proofErr w:type="spellStart"/>
      <w:r>
        <w:rPr>
          <w:rFonts w:ascii="Arial" w:hAnsi="Arial" w:cs="Arial"/>
        </w:rPr>
        <w:t>Hulme</w:t>
      </w:r>
      <w:proofErr w:type="spellEnd"/>
      <w:r>
        <w:rPr>
          <w:rFonts w:ascii="Arial" w:hAnsi="Arial" w:cs="Arial"/>
        </w:rPr>
        <w:t xml:space="preserve"> J justified this decision on a similar ground to that used by Bell J in </w:t>
      </w:r>
      <w:r w:rsidRPr="00290BAC">
        <w:rPr>
          <w:rFonts w:ascii="Arial" w:hAnsi="Arial" w:cs="Arial"/>
          <w:i/>
        </w:rPr>
        <w:t>T.Y</w:t>
      </w:r>
      <w:r w:rsidRPr="00290BAC">
        <w:rPr>
          <w:rFonts w:ascii="Arial" w:hAnsi="Arial" w:cs="Arial"/>
          <w:shd w:val="clear" w:color="auto" w:fill="FFFFFF"/>
        </w:rPr>
        <w:t>.</w:t>
      </w:r>
      <w:r w:rsidR="004A1D0A">
        <w:rPr>
          <w:rFonts w:ascii="Arial" w:hAnsi="Arial" w:cs="Arial"/>
          <w:shd w:val="clear" w:color="auto" w:fill="FFFFFF"/>
        </w:rPr>
        <w:t>:</w:t>
      </w:r>
      <w:r w:rsidR="004A1D0A">
        <w:rPr>
          <w:rStyle w:val="FootnoteReference"/>
          <w:rFonts w:ascii="Arial" w:hAnsi="Arial" w:cs="Arial"/>
          <w:shd w:val="clear" w:color="auto" w:fill="FFFFFF"/>
        </w:rPr>
        <w:footnoteReference w:id="197"/>
      </w:r>
    </w:p>
    <w:p w:rsidR="00A5679E" w:rsidRPr="00CA5669" w:rsidRDefault="00A5679E" w:rsidP="00A5679E">
      <w:pPr>
        <w:jc w:val="both"/>
        <w:rPr>
          <w:rFonts w:ascii="Arial" w:hAnsi="Arial" w:cs="Arial"/>
        </w:rPr>
      </w:pPr>
    </w:p>
    <w:p w:rsidR="00A5679E" w:rsidRPr="00CA5669" w:rsidRDefault="00F8652E" w:rsidP="00A5679E">
      <w:pPr>
        <w:ind w:left="567"/>
        <w:jc w:val="both"/>
        <w:rPr>
          <w:rFonts w:ascii="Arial" w:hAnsi="Arial" w:cs="Arial"/>
        </w:rPr>
      </w:pPr>
      <w:r>
        <w:rPr>
          <w:rFonts w:ascii="Arial" w:hAnsi="Arial" w:cs="Arial"/>
        </w:rPr>
        <w:t>‘</w:t>
      </w:r>
      <w:r w:rsidR="00A5679E" w:rsidRPr="00CA5669">
        <w:rPr>
          <w:rFonts w:ascii="Arial" w:hAnsi="Arial" w:cs="Arial"/>
        </w:rPr>
        <w:t>[D</w:t>
      </w:r>
      <w:r>
        <w:rPr>
          <w:rFonts w:ascii="Arial" w:hAnsi="Arial" w:cs="Arial"/>
        </w:rPr>
        <w:t>’</w:t>
      </w:r>
      <w:r w:rsidR="00A5679E" w:rsidRPr="00CA5669">
        <w:rPr>
          <w:rFonts w:ascii="Arial" w:hAnsi="Arial" w:cs="Arial"/>
        </w:rPr>
        <w:t>s] intellectual capacity is so far removed from that of the vast majority of people in the community that it strikes me as patently unfair to require him and his actions to be judged by standards that he could never hope to emulate</w:t>
      </w:r>
      <w:r w:rsidR="00A5679E">
        <w:rPr>
          <w:rFonts w:ascii="Arial" w:hAnsi="Arial" w:cs="Arial"/>
        </w:rPr>
        <w:t>…</w:t>
      </w:r>
      <w:r w:rsidR="00A5679E" w:rsidRPr="00CA5669">
        <w:rPr>
          <w:rFonts w:ascii="Arial" w:hAnsi="Arial" w:cs="Arial"/>
        </w:rPr>
        <w:t xml:space="preserve"> To my mind, to judge the actions of a person who has an intellectual capacity in the bottom 0.1% of the population by the standards of the vast majority of citizens is to widen the gap between moral culpability and legal responsibility to a point that is simply unacceptable.</w:t>
      </w:r>
      <w:r>
        <w:rPr>
          <w:rFonts w:ascii="Arial" w:hAnsi="Arial" w:cs="Arial"/>
        </w:rPr>
        <w:t>’</w:t>
      </w:r>
    </w:p>
    <w:p w:rsidR="00A5679E" w:rsidRDefault="00A5679E" w:rsidP="00A5679E">
      <w:pPr>
        <w:jc w:val="both"/>
        <w:rPr>
          <w:rFonts w:ascii="Arial" w:hAnsi="Arial" w:cs="Arial"/>
        </w:rPr>
      </w:pPr>
    </w:p>
    <w:p w:rsidR="00F244EA" w:rsidRDefault="00F244EA" w:rsidP="00A5679E">
      <w:pPr>
        <w:jc w:val="both"/>
        <w:rPr>
          <w:rFonts w:ascii="Arial" w:hAnsi="Arial" w:cs="Arial"/>
        </w:rPr>
      </w:pPr>
      <w:r>
        <w:rPr>
          <w:rFonts w:ascii="Arial" w:hAnsi="Arial" w:cs="Arial"/>
        </w:rPr>
        <w:t>This begs the question whether English law should follow suit. It is submitted not.</w:t>
      </w:r>
      <w:r w:rsidRPr="00F244EA">
        <w:t xml:space="preserve"> </w:t>
      </w:r>
      <w:r>
        <w:rPr>
          <w:rFonts w:ascii="Arial" w:hAnsi="Arial" w:cs="Arial"/>
        </w:rPr>
        <w:t>The introduction of characteristics into the reasonabl</w:t>
      </w:r>
      <w:r w:rsidR="00C22DF0">
        <w:rPr>
          <w:rFonts w:ascii="Arial" w:hAnsi="Arial" w:cs="Arial"/>
        </w:rPr>
        <w:t>e</w:t>
      </w:r>
      <w:r>
        <w:rPr>
          <w:rFonts w:ascii="Arial" w:hAnsi="Arial" w:cs="Arial"/>
        </w:rPr>
        <w:t xml:space="preserve"> bystander test risks repeating the seemingly endless litigation that eventually proved fatal for the </w:t>
      </w:r>
      <w:proofErr w:type="spellStart"/>
      <w:r>
        <w:rPr>
          <w:rFonts w:ascii="Arial" w:hAnsi="Arial" w:cs="Arial"/>
        </w:rPr>
        <w:t>defence</w:t>
      </w:r>
      <w:proofErr w:type="spellEnd"/>
      <w:r>
        <w:rPr>
          <w:rFonts w:ascii="Arial" w:hAnsi="Arial" w:cs="Arial"/>
        </w:rPr>
        <w:t xml:space="preserve"> of provocation.</w:t>
      </w:r>
      <w:r>
        <w:rPr>
          <w:rStyle w:val="FootnoteReference"/>
          <w:rFonts w:ascii="Arial" w:hAnsi="Arial" w:cs="Arial"/>
        </w:rPr>
        <w:footnoteReference w:id="198"/>
      </w:r>
    </w:p>
    <w:p w:rsidR="004B7D8A" w:rsidRPr="00CA5669" w:rsidRDefault="004B7D8A" w:rsidP="00A5679E">
      <w:pPr>
        <w:jc w:val="both"/>
        <w:rPr>
          <w:rFonts w:ascii="Arial" w:hAnsi="Arial" w:cs="Arial"/>
        </w:rPr>
      </w:pPr>
    </w:p>
    <w:p w:rsidR="008F1A2E" w:rsidRDefault="008F1A2E" w:rsidP="004B7D8A">
      <w:pPr>
        <w:jc w:val="both"/>
        <w:rPr>
          <w:rFonts w:ascii="Arial" w:hAnsi="Arial" w:cs="Arial"/>
          <w:lang w:val="en-GB"/>
        </w:rPr>
      </w:pPr>
    </w:p>
    <w:p w:rsidR="008F1A2E" w:rsidRPr="004B7D8A" w:rsidRDefault="008F1A2E" w:rsidP="008F1A2E">
      <w:pPr>
        <w:pStyle w:val="ListParagraph"/>
        <w:numPr>
          <w:ilvl w:val="0"/>
          <w:numId w:val="2"/>
        </w:numPr>
        <w:jc w:val="both"/>
        <w:rPr>
          <w:rFonts w:ascii="Arial" w:hAnsi="Arial" w:cs="Arial"/>
          <w:b/>
          <w:sz w:val="32"/>
          <w:szCs w:val="32"/>
        </w:rPr>
      </w:pPr>
      <w:r>
        <w:rPr>
          <w:rFonts w:ascii="Arial" w:hAnsi="Arial" w:cs="Arial"/>
          <w:b/>
          <w:sz w:val="32"/>
          <w:szCs w:val="32"/>
        </w:rPr>
        <w:t>Conclusions</w:t>
      </w:r>
    </w:p>
    <w:p w:rsidR="008F1A2E" w:rsidRDefault="008F1A2E" w:rsidP="004B7D8A">
      <w:pPr>
        <w:jc w:val="both"/>
        <w:rPr>
          <w:rFonts w:ascii="Arial" w:hAnsi="Arial" w:cs="Arial"/>
        </w:rPr>
      </w:pPr>
    </w:p>
    <w:p w:rsidR="008F1A2E" w:rsidRDefault="000D1C5D" w:rsidP="004B7D8A">
      <w:pPr>
        <w:jc w:val="both"/>
        <w:rPr>
          <w:rFonts w:ascii="Arial" w:hAnsi="Arial" w:cs="Arial"/>
        </w:rPr>
      </w:pPr>
      <w:r>
        <w:rPr>
          <w:rFonts w:ascii="Arial" w:hAnsi="Arial" w:cs="Arial"/>
        </w:rPr>
        <w:t>This article has compared E</w:t>
      </w:r>
      <w:r w:rsidR="00447AA5">
        <w:rPr>
          <w:rFonts w:ascii="Arial" w:hAnsi="Arial" w:cs="Arial"/>
        </w:rPr>
        <w:t>nglish, Australian and Canadian law</w:t>
      </w:r>
      <w:r>
        <w:rPr>
          <w:rFonts w:ascii="Arial" w:hAnsi="Arial" w:cs="Arial"/>
        </w:rPr>
        <w:t xml:space="preserve"> on unlawful act manslaughter in order to identify similarities and differences and to identify possible reforms for English Law. In all three jurisdictions</w:t>
      </w:r>
      <w:r w:rsidR="00447AA5">
        <w:rPr>
          <w:rFonts w:ascii="Arial" w:hAnsi="Arial" w:cs="Arial"/>
        </w:rPr>
        <w:t xml:space="preserve"> there is consensus that the unlawful act element must be a criminal offence. The offence should be identified by the </w:t>
      </w:r>
      <w:r w:rsidR="00447AA5">
        <w:rPr>
          <w:rFonts w:ascii="Arial" w:hAnsi="Arial" w:cs="Arial"/>
        </w:rPr>
        <w:lastRenderedPageBreak/>
        <w:t>Crown and all the elements therein (</w:t>
      </w:r>
      <w:proofErr w:type="spellStart"/>
      <w:r w:rsidR="00447AA5" w:rsidRPr="00447AA5">
        <w:rPr>
          <w:rFonts w:ascii="Arial" w:hAnsi="Arial" w:cs="Arial"/>
          <w:i/>
        </w:rPr>
        <w:t>actus</w:t>
      </w:r>
      <w:proofErr w:type="spellEnd"/>
      <w:r w:rsidR="00447AA5" w:rsidRPr="00447AA5">
        <w:rPr>
          <w:rFonts w:ascii="Arial" w:hAnsi="Arial" w:cs="Arial"/>
          <w:i/>
        </w:rPr>
        <w:t xml:space="preserve"> </w:t>
      </w:r>
      <w:proofErr w:type="spellStart"/>
      <w:r w:rsidR="00447AA5" w:rsidRPr="00447AA5">
        <w:rPr>
          <w:rFonts w:ascii="Arial" w:hAnsi="Arial" w:cs="Arial"/>
          <w:i/>
        </w:rPr>
        <w:t>reus</w:t>
      </w:r>
      <w:proofErr w:type="spellEnd"/>
      <w:r w:rsidR="00447AA5">
        <w:rPr>
          <w:rFonts w:ascii="Arial" w:hAnsi="Arial" w:cs="Arial"/>
        </w:rPr>
        <w:t xml:space="preserve"> and </w:t>
      </w:r>
      <w:proofErr w:type="spellStart"/>
      <w:r w:rsidR="00447AA5" w:rsidRPr="00447AA5">
        <w:rPr>
          <w:rFonts w:ascii="Arial" w:hAnsi="Arial" w:cs="Arial"/>
          <w:i/>
        </w:rPr>
        <w:t>mens</w:t>
      </w:r>
      <w:proofErr w:type="spellEnd"/>
      <w:r w:rsidR="00447AA5" w:rsidRPr="00447AA5">
        <w:rPr>
          <w:rFonts w:ascii="Arial" w:hAnsi="Arial" w:cs="Arial"/>
          <w:i/>
        </w:rPr>
        <w:t xml:space="preserve"> rea</w:t>
      </w:r>
      <w:r w:rsidR="00447AA5">
        <w:rPr>
          <w:rFonts w:ascii="Arial" w:hAnsi="Arial" w:cs="Arial"/>
        </w:rPr>
        <w:t xml:space="preserve">) proven beyond reasonable doubt. Any valid </w:t>
      </w:r>
      <w:proofErr w:type="spellStart"/>
      <w:r w:rsidR="00447AA5">
        <w:rPr>
          <w:rFonts w:ascii="Arial" w:hAnsi="Arial" w:cs="Arial"/>
        </w:rPr>
        <w:t>defence</w:t>
      </w:r>
      <w:proofErr w:type="spellEnd"/>
      <w:r w:rsidR="00447AA5">
        <w:rPr>
          <w:rFonts w:ascii="Arial" w:hAnsi="Arial" w:cs="Arial"/>
        </w:rPr>
        <w:t>(s) raised should also be disproven. Where the jurisdictions differ is whether the following should be capable of supplying the unlawful act: (</w:t>
      </w:r>
      <w:proofErr w:type="spellStart"/>
      <w:r w:rsidR="00447AA5">
        <w:rPr>
          <w:rFonts w:ascii="Arial" w:hAnsi="Arial" w:cs="Arial"/>
        </w:rPr>
        <w:t>i</w:t>
      </w:r>
      <w:proofErr w:type="spellEnd"/>
      <w:r w:rsidR="00447AA5">
        <w:rPr>
          <w:rFonts w:ascii="Arial" w:hAnsi="Arial" w:cs="Arial"/>
        </w:rPr>
        <w:t xml:space="preserve">) crimes </w:t>
      </w:r>
      <w:r w:rsidR="00E03352">
        <w:rPr>
          <w:rFonts w:ascii="Arial" w:hAnsi="Arial" w:cs="Arial"/>
        </w:rPr>
        <w:t>in which the fault element is satisfied on proof of</w:t>
      </w:r>
      <w:r w:rsidR="00447AA5">
        <w:rPr>
          <w:rFonts w:ascii="Arial" w:hAnsi="Arial" w:cs="Arial"/>
        </w:rPr>
        <w:t xml:space="preserve"> negligence, (ii) strict liability offences, (iii) omissions. Under Australian and English law, none are capable of supplying the unlawful act.</w:t>
      </w:r>
      <w:r>
        <w:rPr>
          <w:rStyle w:val="FootnoteReference"/>
          <w:rFonts w:ascii="Arial" w:hAnsi="Arial" w:cs="Arial"/>
        </w:rPr>
        <w:footnoteReference w:id="199"/>
      </w:r>
      <w:r w:rsidR="00447AA5">
        <w:rPr>
          <w:rFonts w:ascii="Arial" w:hAnsi="Arial" w:cs="Arial"/>
        </w:rPr>
        <w:t xml:space="preserve"> In Canadian law, however, all three are capable of doing so. Should English law follow the Canadian lead? It is submitted the answer should be </w:t>
      </w:r>
      <w:r w:rsidR="00F8652E">
        <w:rPr>
          <w:rFonts w:ascii="Arial" w:hAnsi="Arial" w:cs="Arial"/>
        </w:rPr>
        <w:t>‘</w:t>
      </w:r>
      <w:r w:rsidR="00447AA5">
        <w:rPr>
          <w:rFonts w:ascii="Arial" w:hAnsi="Arial" w:cs="Arial"/>
        </w:rPr>
        <w:t>no</w:t>
      </w:r>
      <w:r w:rsidR="00F8652E">
        <w:rPr>
          <w:rFonts w:ascii="Arial" w:hAnsi="Arial" w:cs="Arial"/>
        </w:rPr>
        <w:t>’</w:t>
      </w:r>
      <w:r w:rsidR="00447AA5">
        <w:rPr>
          <w:rFonts w:ascii="Arial" w:hAnsi="Arial" w:cs="Arial"/>
        </w:rPr>
        <w:t xml:space="preserve"> for crimes of negligence (in order to avoid undermining the offence of gross negligence manslaughter) and for strict liability offences. However, there is a strong case to be made for overruling </w:t>
      </w:r>
      <w:r w:rsidR="00447AA5" w:rsidRPr="00447AA5">
        <w:rPr>
          <w:rFonts w:ascii="Arial" w:hAnsi="Arial" w:cs="Arial"/>
          <w:i/>
        </w:rPr>
        <w:t>Lowe</w:t>
      </w:r>
      <w:r w:rsidRPr="00A14BD9">
        <w:rPr>
          <w:rStyle w:val="FootnoteReference"/>
          <w:rFonts w:ascii="Arial" w:hAnsi="Arial" w:cs="Arial"/>
        </w:rPr>
        <w:footnoteReference w:id="200"/>
      </w:r>
      <w:r w:rsidR="00447AA5">
        <w:rPr>
          <w:rFonts w:ascii="Arial" w:hAnsi="Arial" w:cs="Arial"/>
        </w:rPr>
        <w:t xml:space="preserve"> and following the Canadian precedent of </w:t>
      </w:r>
      <w:r w:rsidR="00447AA5" w:rsidRPr="00447AA5">
        <w:rPr>
          <w:rFonts w:ascii="Arial" w:hAnsi="Arial" w:cs="Arial"/>
          <w:i/>
        </w:rPr>
        <w:t>Turner</w:t>
      </w:r>
      <w:r w:rsidRPr="003D3485">
        <w:rPr>
          <w:rStyle w:val="FootnoteReference"/>
          <w:rFonts w:ascii="Arial" w:hAnsi="Arial" w:cs="Arial"/>
          <w:bCs/>
        </w:rPr>
        <w:footnoteReference w:id="201"/>
      </w:r>
      <w:r w:rsidR="00447AA5">
        <w:rPr>
          <w:rFonts w:ascii="Arial" w:hAnsi="Arial" w:cs="Arial"/>
        </w:rPr>
        <w:t xml:space="preserve"> instead, on the basis that there is no moral difference between an unlawful and dangerous act which kills and an unlawful </w:t>
      </w:r>
      <w:r w:rsidR="00465370">
        <w:rPr>
          <w:rFonts w:ascii="Arial" w:hAnsi="Arial" w:cs="Arial"/>
        </w:rPr>
        <w:t>and dangerous omission which kills.</w:t>
      </w:r>
    </w:p>
    <w:p w:rsidR="000D1C5D" w:rsidRDefault="000D1C5D" w:rsidP="004B7D8A">
      <w:pPr>
        <w:jc w:val="both"/>
        <w:rPr>
          <w:rFonts w:ascii="Arial" w:hAnsi="Arial" w:cs="Arial"/>
        </w:rPr>
      </w:pPr>
    </w:p>
    <w:p w:rsidR="000D1C5D" w:rsidRPr="00F244EA" w:rsidRDefault="000D1C5D" w:rsidP="000D1C5D">
      <w:pPr>
        <w:jc w:val="both"/>
        <w:rPr>
          <w:rFonts w:ascii="Arial" w:hAnsi="Arial" w:cs="Arial"/>
        </w:rPr>
      </w:pPr>
      <w:r>
        <w:rPr>
          <w:rFonts w:ascii="Arial" w:hAnsi="Arial" w:cs="Arial"/>
        </w:rPr>
        <w:t xml:space="preserve">On the dangerousness element, all three jurisdictions impose an objective test involving the appreciation of danger by a reasonable bystander. Beyond that, English and Canadian law is in agreement that the test involves foreseeability by the characterless bystander of </w:t>
      </w:r>
      <w:r w:rsidR="00F8652E">
        <w:rPr>
          <w:rFonts w:ascii="Arial" w:hAnsi="Arial" w:cs="Arial"/>
        </w:rPr>
        <w:t>‘</w:t>
      </w:r>
      <w:r>
        <w:rPr>
          <w:rFonts w:ascii="Arial" w:hAnsi="Arial" w:cs="Arial"/>
        </w:rPr>
        <w:t>some</w:t>
      </w:r>
      <w:r w:rsidR="00F8652E">
        <w:rPr>
          <w:rFonts w:ascii="Arial" w:hAnsi="Arial" w:cs="Arial"/>
        </w:rPr>
        <w:t>’</w:t>
      </w:r>
      <w:r>
        <w:rPr>
          <w:rFonts w:ascii="Arial" w:hAnsi="Arial" w:cs="Arial"/>
        </w:rPr>
        <w:t xml:space="preserve"> harm,</w:t>
      </w:r>
      <w:r w:rsidR="00465370">
        <w:rPr>
          <w:rStyle w:val="FootnoteReference"/>
          <w:rFonts w:ascii="Arial" w:hAnsi="Arial" w:cs="Arial"/>
        </w:rPr>
        <w:footnoteReference w:id="202"/>
      </w:r>
      <w:r>
        <w:rPr>
          <w:rFonts w:ascii="Arial" w:hAnsi="Arial" w:cs="Arial"/>
        </w:rPr>
        <w:t xml:space="preserve"> but Australian law differs in two respects: (</w:t>
      </w:r>
      <w:proofErr w:type="spellStart"/>
      <w:r>
        <w:rPr>
          <w:rFonts w:ascii="Arial" w:hAnsi="Arial" w:cs="Arial"/>
        </w:rPr>
        <w:t>i</w:t>
      </w:r>
      <w:proofErr w:type="spellEnd"/>
      <w:r>
        <w:rPr>
          <w:rFonts w:ascii="Arial" w:hAnsi="Arial" w:cs="Arial"/>
        </w:rPr>
        <w:t xml:space="preserve">) the test there involves foreseeability of </w:t>
      </w:r>
      <w:r w:rsidR="00F8652E">
        <w:rPr>
          <w:rFonts w:ascii="Arial" w:hAnsi="Arial" w:cs="Arial"/>
        </w:rPr>
        <w:t>‘</w:t>
      </w:r>
      <w:r>
        <w:rPr>
          <w:rFonts w:ascii="Arial" w:hAnsi="Arial" w:cs="Arial"/>
        </w:rPr>
        <w:t>serious</w:t>
      </w:r>
      <w:r w:rsidR="00F8652E">
        <w:rPr>
          <w:rFonts w:ascii="Arial" w:hAnsi="Arial" w:cs="Arial"/>
        </w:rPr>
        <w:t>’</w:t>
      </w:r>
      <w:r>
        <w:rPr>
          <w:rFonts w:ascii="Arial" w:hAnsi="Arial" w:cs="Arial"/>
        </w:rPr>
        <w:t xml:space="preserve"> harm,</w:t>
      </w:r>
      <w:r>
        <w:rPr>
          <w:rStyle w:val="FootnoteReference"/>
          <w:rFonts w:ascii="Arial" w:hAnsi="Arial" w:cs="Arial"/>
        </w:rPr>
        <w:footnoteReference w:id="203"/>
      </w:r>
      <w:r>
        <w:rPr>
          <w:rFonts w:ascii="Arial" w:hAnsi="Arial" w:cs="Arial"/>
        </w:rPr>
        <w:t xml:space="preserve"> and the reasonable bystander is invested with the defendant</w:t>
      </w:r>
      <w:r w:rsidR="00F8652E">
        <w:rPr>
          <w:rFonts w:ascii="Arial" w:hAnsi="Arial" w:cs="Arial"/>
        </w:rPr>
        <w:t>’</w:t>
      </w:r>
      <w:r>
        <w:rPr>
          <w:rFonts w:ascii="Arial" w:hAnsi="Arial" w:cs="Arial"/>
        </w:rPr>
        <w:t xml:space="preserve">s age and other </w:t>
      </w:r>
      <w:r w:rsidR="00F8652E">
        <w:rPr>
          <w:rFonts w:ascii="Arial" w:hAnsi="Arial" w:cs="Arial"/>
        </w:rPr>
        <w:t>‘</w:t>
      </w:r>
      <w:r w:rsidRPr="00CA5669">
        <w:rPr>
          <w:rFonts w:ascii="Arial" w:hAnsi="Arial" w:cs="Arial"/>
        </w:rPr>
        <w:t>objectively ascertainable</w:t>
      </w:r>
      <w:r w:rsidR="00F8652E">
        <w:rPr>
          <w:rFonts w:ascii="Arial" w:hAnsi="Arial" w:cs="Arial"/>
        </w:rPr>
        <w:t>’</w:t>
      </w:r>
      <w:r w:rsidRPr="00CA5669">
        <w:rPr>
          <w:rFonts w:ascii="Arial" w:hAnsi="Arial" w:cs="Arial"/>
        </w:rPr>
        <w:t xml:space="preserve"> attribute</w:t>
      </w:r>
      <w:r>
        <w:rPr>
          <w:rFonts w:ascii="Arial" w:hAnsi="Arial" w:cs="Arial"/>
        </w:rPr>
        <w:t>s. Should English law this time follow the Australian lead?</w:t>
      </w:r>
      <w:r w:rsidR="00465370">
        <w:rPr>
          <w:rFonts w:ascii="Arial" w:hAnsi="Arial" w:cs="Arial"/>
        </w:rPr>
        <w:t xml:space="preserve"> It is submitted not. The introduction of characteristics into the reasonably bystander test would risk repeating the seemingly endless litigation that eventually proved fatal for the </w:t>
      </w:r>
      <w:proofErr w:type="spellStart"/>
      <w:r w:rsidR="00465370">
        <w:rPr>
          <w:rFonts w:ascii="Arial" w:hAnsi="Arial" w:cs="Arial"/>
        </w:rPr>
        <w:t>defence</w:t>
      </w:r>
      <w:proofErr w:type="spellEnd"/>
      <w:r w:rsidR="00465370">
        <w:rPr>
          <w:rFonts w:ascii="Arial" w:hAnsi="Arial" w:cs="Arial"/>
        </w:rPr>
        <w:t xml:space="preserve"> of provocation. Finally, the threshold for dangerousness in Anglo-Canadian law may be </w:t>
      </w:r>
      <w:r w:rsidR="00465370" w:rsidRPr="00F244EA">
        <w:rPr>
          <w:rFonts w:ascii="Arial" w:hAnsi="Arial" w:cs="Arial"/>
        </w:rPr>
        <w:t xml:space="preserve">relatively low vis-à-vis Australia but it is not too low and can be justified </w:t>
      </w:r>
      <w:r w:rsidR="00F244EA">
        <w:rPr>
          <w:rFonts w:ascii="Arial" w:hAnsi="Arial" w:cs="Arial"/>
        </w:rPr>
        <w:t>using</w:t>
      </w:r>
      <w:r w:rsidR="00465370" w:rsidRPr="00F244EA">
        <w:rPr>
          <w:rFonts w:ascii="Arial" w:hAnsi="Arial" w:cs="Arial"/>
        </w:rPr>
        <w:t xml:space="preserve"> the reasons given by </w:t>
      </w:r>
      <w:proofErr w:type="spellStart"/>
      <w:r w:rsidR="00465370" w:rsidRPr="00F244EA">
        <w:rPr>
          <w:rFonts w:ascii="Arial" w:hAnsi="Arial" w:cs="Arial"/>
        </w:rPr>
        <w:t>McLachlin</w:t>
      </w:r>
      <w:proofErr w:type="spellEnd"/>
      <w:r w:rsidR="00465370" w:rsidRPr="00F244EA">
        <w:rPr>
          <w:rFonts w:ascii="Arial" w:hAnsi="Arial" w:cs="Arial"/>
        </w:rPr>
        <w:t xml:space="preserve"> J (as she then was) in </w:t>
      </w:r>
      <w:r w:rsidR="00465370" w:rsidRPr="00F244EA">
        <w:rPr>
          <w:rFonts w:ascii="Arial" w:hAnsi="Arial" w:cs="Arial"/>
          <w:i/>
        </w:rPr>
        <w:t>Creighton</w:t>
      </w:r>
      <w:r w:rsidR="00465370" w:rsidRPr="00F244EA">
        <w:rPr>
          <w:rFonts w:ascii="Arial" w:hAnsi="Arial" w:cs="Arial"/>
        </w:rPr>
        <w:t>.</w:t>
      </w:r>
      <w:r w:rsidR="00F244EA" w:rsidRPr="00F244EA">
        <w:rPr>
          <w:rFonts w:ascii="Arial" w:hAnsi="Arial" w:cs="Arial"/>
        </w:rPr>
        <w:t xml:space="preserve"> </w:t>
      </w:r>
      <w:r w:rsidR="00F244EA" w:rsidRPr="00F244EA">
        <w:rPr>
          <w:rFonts w:ascii="Arial" w:hAnsi="Arial" w:cs="Arial"/>
          <w:lang w:val="en-GB"/>
        </w:rPr>
        <w:t xml:space="preserve">The fact that the Victorian legislature have recently </w:t>
      </w:r>
      <w:r w:rsidR="00F244EA">
        <w:rPr>
          <w:rFonts w:ascii="Arial" w:hAnsi="Arial" w:cs="Arial"/>
          <w:lang w:val="en-GB"/>
        </w:rPr>
        <w:t xml:space="preserve">amended </w:t>
      </w:r>
      <w:r w:rsidR="00F244EA" w:rsidRPr="00F244EA">
        <w:rPr>
          <w:rFonts w:ascii="Arial" w:hAnsi="Arial" w:cs="Arial"/>
        </w:rPr>
        <w:t>the Crimes Act 1958,</w:t>
      </w:r>
      <w:r w:rsidR="00F244EA">
        <w:rPr>
          <w:rStyle w:val="FootnoteReference"/>
          <w:rFonts w:ascii="Arial" w:hAnsi="Arial" w:cs="Arial"/>
        </w:rPr>
        <w:footnoteReference w:id="204"/>
      </w:r>
      <w:r w:rsidR="00F244EA" w:rsidRPr="00F244EA">
        <w:rPr>
          <w:rFonts w:ascii="Arial" w:hAnsi="Arial" w:cs="Arial"/>
        </w:rPr>
        <w:t xml:space="preserve"> confirming that the </w:t>
      </w:r>
      <w:r w:rsidR="00F8652E">
        <w:rPr>
          <w:rFonts w:ascii="Arial" w:hAnsi="Arial" w:cs="Arial"/>
        </w:rPr>
        <w:t>‘</w:t>
      </w:r>
      <w:r w:rsidR="00F244EA" w:rsidRPr="00F244EA">
        <w:rPr>
          <w:rFonts w:ascii="Arial" w:hAnsi="Arial" w:cs="Arial"/>
        </w:rPr>
        <w:t>one punch</w:t>
      </w:r>
      <w:r w:rsidR="00F8652E">
        <w:rPr>
          <w:rFonts w:ascii="Arial" w:hAnsi="Arial" w:cs="Arial"/>
        </w:rPr>
        <w:t>’</w:t>
      </w:r>
      <w:r w:rsidR="00F244EA" w:rsidRPr="00F244EA">
        <w:rPr>
          <w:rFonts w:ascii="Arial" w:hAnsi="Arial" w:cs="Arial"/>
        </w:rPr>
        <w:t xml:space="preserve"> killer acts both unlawfully and dangerously, suggests that English law should resist a move in the opposite direction.</w:t>
      </w:r>
    </w:p>
    <w:sectPr w:rsidR="000D1C5D" w:rsidRPr="00F244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2E" w:rsidRDefault="00F8652E" w:rsidP="009B76A1">
      <w:r>
        <w:separator/>
      </w:r>
    </w:p>
  </w:endnote>
  <w:endnote w:type="continuationSeparator" w:id="0">
    <w:p w:rsidR="00F8652E" w:rsidRDefault="00F8652E" w:rsidP="009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2E" w:rsidRDefault="00F8652E" w:rsidP="009B76A1">
      <w:r>
        <w:separator/>
      </w:r>
    </w:p>
  </w:footnote>
  <w:footnote w:type="continuationSeparator" w:id="0">
    <w:p w:rsidR="00F8652E" w:rsidRDefault="00F8652E" w:rsidP="009B76A1">
      <w:r>
        <w:continuationSeparator/>
      </w:r>
    </w:p>
  </w:footnote>
  <w:footnote w:id="1">
    <w:p w:rsidR="00F8652E" w:rsidRPr="00F244EA" w:rsidRDefault="00F8652E" w:rsidP="00E03352">
      <w:pPr>
        <w:pStyle w:val="FootnoteText"/>
        <w:jc w:val="both"/>
        <w:rPr>
          <w:lang w:val="en-GB"/>
        </w:rPr>
      </w:pPr>
      <w:r w:rsidRPr="00F244EA">
        <w:rPr>
          <w:rStyle w:val="FootnoteReference"/>
        </w:rPr>
        <w:footnoteRef/>
      </w:r>
      <w:r w:rsidRPr="00F244EA">
        <w:t xml:space="preserve"> The common law states are New South Wales, South Australia and Victoria</w:t>
      </w:r>
    </w:p>
  </w:footnote>
  <w:footnote w:id="2">
    <w:p w:rsidR="00F8652E" w:rsidRPr="00F244EA" w:rsidRDefault="00F8652E" w:rsidP="00E03352">
      <w:pPr>
        <w:pStyle w:val="FootnoteText"/>
        <w:jc w:val="both"/>
        <w:rPr>
          <w:lang w:val="en-GB"/>
        </w:rPr>
      </w:pPr>
      <w:r w:rsidRPr="00F244EA">
        <w:rPr>
          <w:rStyle w:val="FootnoteReference"/>
        </w:rPr>
        <w:footnoteRef/>
      </w:r>
      <w:r w:rsidRPr="00F244EA">
        <w:t xml:space="preserve"> [1830] 1 Lew CC 179</w:t>
      </w:r>
    </w:p>
  </w:footnote>
  <w:footnote w:id="3">
    <w:p w:rsidR="00F8652E" w:rsidRPr="00F244EA" w:rsidRDefault="00F8652E" w:rsidP="00E03352">
      <w:pPr>
        <w:pStyle w:val="FootnoteText"/>
        <w:jc w:val="both"/>
        <w:rPr>
          <w:lang w:val="en-GB"/>
        </w:rPr>
      </w:pPr>
      <w:r w:rsidRPr="00F244EA">
        <w:rPr>
          <w:rStyle w:val="FootnoteReference"/>
        </w:rPr>
        <w:footnoteRef/>
      </w:r>
      <w:r w:rsidRPr="00F244EA">
        <w:t xml:space="preserve"> (1883) 15 Cox CC 163</w:t>
      </w:r>
    </w:p>
  </w:footnote>
  <w:footnote w:id="4">
    <w:p w:rsidR="00F8652E" w:rsidRPr="00F244EA" w:rsidRDefault="00F8652E" w:rsidP="00E03352">
      <w:pPr>
        <w:pStyle w:val="FootnoteText"/>
        <w:jc w:val="both"/>
      </w:pPr>
      <w:r w:rsidRPr="00F244EA">
        <w:rPr>
          <w:rStyle w:val="FootnoteReference"/>
        </w:rPr>
        <w:footnoteRef/>
      </w:r>
      <w:r w:rsidRPr="00F244EA">
        <w:rPr>
          <w:lang w:val="en-GB"/>
        </w:rPr>
        <w:t xml:space="preserve"> [1967] 2 QB 981</w:t>
      </w:r>
    </w:p>
  </w:footnote>
  <w:footnote w:id="5">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p.988</w:t>
      </w:r>
    </w:p>
  </w:footnote>
  <w:footnote w:id="6">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bCs/>
          <w:lang w:eastAsia="zh-CN"/>
        </w:rPr>
        <w:t>[2012] HCA 35, High Court of Australia</w:t>
      </w:r>
    </w:p>
  </w:footnote>
  <w:footnote w:id="7">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w:t>
      </w:r>
      <w:r w:rsidRPr="00F244EA">
        <w:rPr>
          <w:bCs/>
          <w:lang w:eastAsia="zh-CN"/>
        </w:rPr>
        <w:t>at [8]</w:t>
      </w:r>
    </w:p>
  </w:footnote>
  <w:footnote w:id="8">
    <w:p w:rsidR="003111AB" w:rsidRPr="003111AB" w:rsidRDefault="003111AB" w:rsidP="00E03352">
      <w:pPr>
        <w:pStyle w:val="FootnoteText"/>
        <w:jc w:val="both"/>
      </w:pPr>
      <w:r>
        <w:rPr>
          <w:rStyle w:val="FootnoteReference"/>
        </w:rPr>
        <w:footnoteRef/>
      </w:r>
      <w:r>
        <w:t xml:space="preserve"> See e.g. </w:t>
      </w:r>
      <w:r w:rsidRPr="003111AB">
        <w:rPr>
          <w:i/>
        </w:rPr>
        <w:t>T</w:t>
      </w:r>
      <w:r>
        <w:t xml:space="preserve"> </w:t>
      </w:r>
      <w:r w:rsidRPr="00F244EA">
        <w:rPr>
          <w:lang w:eastAsia="zh-CN"/>
        </w:rPr>
        <w:t>[2006] 7 WWR 102; 199 CCC (3d) 551; 31 CR (6th) 187; 195 Man R (2d) 89, Manitoba Court of Appeal</w:t>
      </w:r>
      <w:r>
        <w:rPr>
          <w:lang w:eastAsia="zh-CN"/>
        </w:rPr>
        <w:t xml:space="preserve"> at [5]</w:t>
      </w:r>
    </w:p>
  </w:footnote>
  <w:footnote w:id="9">
    <w:p w:rsidR="00F8652E" w:rsidRPr="00286798"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iCs/>
        </w:rPr>
        <w:t>Larkin</w:t>
      </w:r>
      <w:r w:rsidRPr="00F244EA">
        <w:rPr>
          <w:lang w:val="en-GB"/>
        </w:rPr>
        <w:t xml:space="preserve"> [</w:t>
      </w:r>
      <w:r w:rsidRPr="00F244EA">
        <w:rPr>
          <w:color w:val="000000"/>
          <w:shd w:val="clear" w:color="auto" w:fill="FFFFFF"/>
        </w:rPr>
        <w:t>1</w:t>
      </w:r>
      <w:r w:rsidRPr="00286798">
        <w:rPr>
          <w:color w:val="000000"/>
          <w:shd w:val="clear" w:color="auto" w:fill="FFFFFF"/>
        </w:rPr>
        <w:t>943] KB 174</w:t>
      </w:r>
      <w:r w:rsidRPr="00286798">
        <w:rPr>
          <w:lang w:val="en-GB"/>
        </w:rPr>
        <w:t xml:space="preserve">; </w:t>
      </w:r>
      <w:r w:rsidRPr="00286798">
        <w:rPr>
          <w:i/>
          <w:iCs/>
        </w:rPr>
        <w:t>Lamb</w:t>
      </w:r>
      <w:r w:rsidRPr="00286798">
        <w:rPr>
          <w:lang w:val="en-GB"/>
        </w:rPr>
        <w:t xml:space="preserve"> [1967] 2 QB 981; </w:t>
      </w:r>
      <w:proofErr w:type="spellStart"/>
      <w:r w:rsidRPr="00286798">
        <w:rPr>
          <w:i/>
        </w:rPr>
        <w:t>Pagett</w:t>
      </w:r>
      <w:proofErr w:type="spellEnd"/>
      <w:r w:rsidRPr="00286798">
        <w:t xml:space="preserve"> (1983) 76 Cr. App. R. 279; </w:t>
      </w:r>
      <w:proofErr w:type="spellStart"/>
      <w:r w:rsidRPr="00286798">
        <w:rPr>
          <w:i/>
        </w:rPr>
        <w:t>Arobieke</w:t>
      </w:r>
      <w:proofErr w:type="spellEnd"/>
      <w:r w:rsidRPr="00286798">
        <w:rPr>
          <w:lang w:val="en-GB"/>
        </w:rPr>
        <w:t xml:space="preserve"> [1988] Crim LR 314; </w:t>
      </w:r>
      <w:r w:rsidRPr="00286798">
        <w:rPr>
          <w:rStyle w:val="documentbody1"/>
          <w:rFonts w:ascii="Times New Roman" w:hAnsi="Times New Roman"/>
          <w:i/>
          <w:sz w:val="20"/>
          <w:szCs w:val="20"/>
        </w:rPr>
        <w:t>Ball</w:t>
      </w:r>
      <w:r w:rsidRPr="00286798">
        <w:rPr>
          <w:rStyle w:val="documentbody1"/>
          <w:rFonts w:ascii="Times New Roman" w:hAnsi="Times New Roman"/>
          <w:sz w:val="20"/>
          <w:szCs w:val="20"/>
        </w:rPr>
        <w:t xml:space="preserve"> [1989] </w:t>
      </w:r>
      <w:proofErr w:type="spellStart"/>
      <w:r w:rsidRPr="00286798">
        <w:rPr>
          <w:rStyle w:val="documentbody1"/>
          <w:rFonts w:ascii="Times New Roman" w:hAnsi="Times New Roman"/>
          <w:sz w:val="20"/>
          <w:szCs w:val="20"/>
        </w:rPr>
        <w:t>Crim</w:t>
      </w:r>
      <w:proofErr w:type="spellEnd"/>
      <w:r w:rsidRPr="00286798">
        <w:rPr>
          <w:rStyle w:val="documentbody1"/>
          <w:rFonts w:ascii="Times New Roman" w:hAnsi="Times New Roman"/>
          <w:sz w:val="20"/>
          <w:szCs w:val="20"/>
        </w:rPr>
        <w:t xml:space="preserve"> LR 730; </w:t>
      </w:r>
      <w:r w:rsidRPr="00286798">
        <w:rPr>
          <w:rStyle w:val="groupheading1"/>
          <w:rFonts w:ascii="Times New Roman" w:hAnsi="Times New Roman"/>
          <w:b w:val="0"/>
          <w:bCs w:val="0"/>
          <w:i/>
          <w:sz w:val="20"/>
          <w:szCs w:val="20"/>
        </w:rPr>
        <w:t>Lewis</w:t>
      </w:r>
      <w:r w:rsidRPr="00286798">
        <w:rPr>
          <w:rStyle w:val="groupheading1"/>
          <w:rFonts w:ascii="Times New Roman" w:hAnsi="Times New Roman"/>
          <w:b w:val="0"/>
          <w:bCs w:val="0"/>
          <w:sz w:val="20"/>
          <w:szCs w:val="20"/>
          <w:lang w:val="en-GB"/>
        </w:rPr>
        <w:t xml:space="preserve"> [</w:t>
      </w:r>
      <w:r w:rsidRPr="00286798">
        <w:rPr>
          <w:lang w:val="en-GB"/>
        </w:rPr>
        <w:t>2010] EWCA Crim151</w:t>
      </w:r>
    </w:p>
  </w:footnote>
  <w:footnote w:id="10">
    <w:p w:rsidR="00F8652E" w:rsidRPr="00286798" w:rsidRDefault="00F8652E" w:rsidP="00E03352">
      <w:pPr>
        <w:pStyle w:val="FootnoteText"/>
        <w:jc w:val="both"/>
        <w:rPr>
          <w:lang w:val="en-GB"/>
        </w:rPr>
      </w:pPr>
      <w:r w:rsidRPr="00286798">
        <w:rPr>
          <w:rStyle w:val="FootnoteReference"/>
        </w:rPr>
        <w:footnoteRef/>
      </w:r>
      <w:r w:rsidRPr="00286798">
        <w:rPr>
          <w:lang w:val="en-GB"/>
        </w:rPr>
        <w:t xml:space="preserve"> </w:t>
      </w:r>
      <w:r w:rsidRPr="00286798">
        <w:rPr>
          <w:i/>
          <w:iCs/>
        </w:rPr>
        <w:t>Church</w:t>
      </w:r>
      <w:r w:rsidRPr="00286798">
        <w:rPr>
          <w:shd w:val="clear" w:color="auto" w:fill="FFFFFF"/>
          <w:lang w:val="en-GB"/>
        </w:rPr>
        <w:t xml:space="preserve"> [1966] 1 QB 59; </w:t>
      </w:r>
      <w:proofErr w:type="spellStart"/>
      <w:r w:rsidRPr="00286798">
        <w:rPr>
          <w:i/>
          <w:lang w:val="en-GB"/>
        </w:rPr>
        <w:t>Lipman</w:t>
      </w:r>
      <w:proofErr w:type="spellEnd"/>
      <w:r w:rsidRPr="00286798">
        <w:rPr>
          <w:i/>
          <w:lang w:val="en-GB"/>
        </w:rPr>
        <w:t xml:space="preserve"> </w:t>
      </w:r>
      <w:r w:rsidRPr="00286798">
        <w:rPr>
          <w:lang w:val="en-GB" w:eastAsia="en-GB"/>
        </w:rPr>
        <w:t>[1970] 1 QB 152</w:t>
      </w:r>
      <w:r w:rsidRPr="00286798">
        <w:rPr>
          <w:color w:val="000000"/>
        </w:rPr>
        <w:t xml:space="preserve">; </w:t>
      </w:r>
      <w:r w:rsidRPr="00286798">
        <w:rPr>
          <w:i/>
          <w:iCs/>
        </w:rPr>
        <w:t xml:space="preserve">Mallet </w:t>
      </w:r>
      <w:r w:rsidRPr="00286798">
        <w:rPr>
          <w:lang w:val="en-GB"/>
        </w:rPr>
        <w:t xml:space="preserve">[1972] Crim LR 260; </w:t>
      </w:r>
      <w:proofErr w:type="spellStart"/>
      <w:r w:rsidRPr="00286798">
        <w:rPr>
          <w:i/>
          <w:lang w:val="en-GB"/>
        </w:rPr>
        <w:t>Pagett</w:t>
      </w:r>
      <w:proofErr w:type="spellEnd"/>
      <w:r w:rsidRPr="00286798">
        <w:rPr>
          <w:lang w:val="en-GB"/>
        </w:rPr>
        <w:t xml:space="preserve">; </w:t>
      </w:r>
      <w:r w:rsidRPr="00286798">
        <w:rPr>
          <w:i/>
          <w:iCs/>
          <w:lang w:val="en-GB"/>
        </w:rPr>
        <w:t xml:space="preserve">Le </w:t>
      </w:r>
      <w:proofErr w:type="spellStart"/>
      <w:r w:rsidRPr="00286798">
        <w:rPr>
          <w:i/>
          <w:iCs/>
          <w:lang w:val="en-GB"/>
        </w:rPr>
        <w:t>Brun</w:t>
      </w:r>
      <w:proofErr w:type="spellEnd"/>
      <w:r w:rsidRPr="00286798">
        <w:rPr>
          <w:lang w:val="en-GB"/>
        </w:rPr>
        <w:t xml:space="preserve"> [1992] QB 61, </w:t>
      </w:r>
      <w:r w:rsidRPr="00286798">
        <w:t xml:space="preserve">[1991] 3 WLR 653; </w:t>
      </w:r>
      <w:r w:rsidRPr="00286798">
        <w:rPr>
          <w:rStyle w:val="groupheading1"/>
          <w:rFonts w:ascii="Times New Roman" w:hAnsi="Times New Roman"/>
          <w:b w:val="0"/>
          <w:bCs w:val="0"/>
          <w:i/>
          <w:sz w:val="20"/>
          <w:szCs w:val="20"/>
          <w:lang w:val="en-GB"/>
        </w:rPr>
        <w:t>Scarlett</w:t>
      </w:r>
      <w:r w:rsidRPr="00286798">
        <w:rPr>
          <w:rStyle w:val="groupheading1"/>
          <w:rFonts w:ascii="Times New Roman" w:hAnsi="Times New Roman"/>
          <w:sz w:val="20"/>
          <w:szCs w:val="20"/>
          <w:lang w:val="en-GB"/>
        </w:rPr>
        <w:t xml:space="preserve"> </w:t>
      </w:r>
      <w:r w:rsidRPr="00286798">
        <w:rPr>
          <w:lang w:val="en-GB"/>
        </w:rPr>
        <w:t xml:space="preserve">[1993] 4 All ER 629; </w:t>
      </w:r>
      <w:r w:rsidRPr="00286798">
        <w:rPr>
          <w:i/>
          <w:color w:val="000000"/>
        </w:rPr>
        <w:t>Coleman</w:t>
      </w:r>
      <w:r w:rsidRPr="00286798">
        <w:rPr>
          <w:color w:val="000000"/>
        </w:rPr>
        <w:t xml:space="preserve"> </w:t>
      </w:r>
      <w:r w:rsidRPr="00286798">
        <w:rPr>
          <w:shd w:val="clear" w:color="auto" w:fill="FFFFFF"/>
        </w:rPr>
        <w:t xml:space="preserve">(1992) 95 Cr App R 159; </w:t>
      </w:r>
      <w:r w:rsidR="00286798" w:rsidRPr="00286798">
        <w:rPr>
          <w:bCs/>
          <w:i/>
        </w:rPr>
        <w:t xml:space="preserve">Attorney-General’s Reference (No.3 of 1994) </w:t>
      </w:r>
      <w:r w:rsidR="00286798" w:rsidRPr="00286798">
        <w:rPr>
          <w:color w:val="000000"/>
        </w:rPr>
        <w:t xml:space="preserve">[1998] AC 245; </w:t>
      </w:r>
      <w:r w:rsidRPr="00286798">
        <w:rPr>
          <w:i/>
          <w:color w:val="000000"/>
        </w:rPr>
        <w:t>Miah</w:t>
      </w:r>
      <w:r w:rsidRPr="00286798">
        <w:rPr>
          <w:color w:val="000000"/>
        </w:rPr>
        <w:t xml:space="preserve"> </w:t>
      </w:r>
      <w:r w:rsidRPr="00286798">
        <w:rPr>
          <w:color w:val="000000"/>
          <w:shd w:val="clear" w:color="auto" w:fill="FFFFFF"/>
        </w:rPr>
        <w:t xml:space="preserve">[2005] EWCA </w:t>
      </w:r>
      <w:proofErr w:type="spellStart"/>
      <w:r w:rsidRPr="00286798">
        <w:rPr>
          <w:color w:val="000000"/>
          <w:shd w:val="clear" w:color="auto" w:fill="FFFFFF"/>
        </w:rPr>
        <w:t>Crim</w:t>
      </w:r>
      <w:proofErr w:type="spellEnd"/>
      <w:r w:rsidRPr="00286798">
        <w:rPr>
          <w:color w:val="000000"/>
          <w:shd w:val="clear" w:color="auto" w:fill="FFFFFF"/>
        </w:rPr>
        <w:t xml:space="preserve"> 1798; </w:t>
      </w:r>
      <w:proofErr w:type="spellStart"/>
      <w:r w:rsidRPr="00286798">
        <w:rPr>
          <w:i/>
          <w:color w:val="000000"/>
        </w:rPr>
        <w:t>Furby</w:t>
      </w:r>
      <w:proofErr w:type="spellEnd"/>
      <w:r w:rsidRPr="00286798">
        <w:rPr>
          <w:color w:val="000000"/>
        </w:rPr>
        <w:t xml:space="preserve"> </w:t>
      </w:r>
      <w:r w:rsidRPr="00286798">
        <w:rPr>
          <w:color w:val="000000"/>
          <w:shd w:val="clear" w:color="auto" w:fill="FFFFFF"/>
        </w:rPr>
        <w:t xml:space="preserve">[2005] EWCA </w:t>
      </w:r>
      <w:proofErr w:type="spellStart"/>
      <w:r w:rsidRPr="00286798">
        <w:rPr>
          <w:color w:val="000000"/>
          <w:shd w:val="clear" w:color="auto" w:fill="FFFFFF"/>
        </w:rPr>
        <w:t>Crim</w:t>
      </w:r>
      <w:proofErr w:type="spellEnd"/>
      <w:r w:rsidRPr="00286798">
        <w:rPr>
          <w:color w:val="000000"/>
          <w:shd w:val="clear" w:color="auto" w:fill="FFFFFF"/>
        </w:rPr>
        <w:t xml:space="preserve"> 3147; </w:t>
      </w:r>
      <w:r w:rsidRPr="00286798">
        <w:rPr>
          <w:i/>
          <w:color w:val="000000"/>
        </w:rPr>
        <w:t>Lynch</w:t>
      </w:r>
      <w:r w:rsidRPr="00286798">
        <w:rPr>
          <w:color w:val="000000"/>
        </w:rPr>
        <w:t xml:space="preserve"> </w:t>
      </w:r>
      <w:r w:rsidRPr="00286798">
        <w:rPr>
          <w:color w:val="000000"/>
          <w:shd w:val="clear" w:color="auto" w:fill="FFFFFF"/>
        </w:rPr>
        <w:t xml:space="preserve">[2015] EWCA </w:t>
      </w:r>
      <w:proofErr w:type="spellStart"/>
      <w:r w:rsidRPr="00286798">
        <w:rPr>
          <w:color w:val="000000"/>
          <w:shd w:val="clear" w:color="auto" w:fill="FFFFFF"/>
        </w:rPr>
        <w:t>Crim</w:t>
      </w:r>
      <w:proofErr w:type="spellEnd"/>
      <w:r w:rsidRPr="00286798">
        <w:rPr>
          <w:color w:val="000000"/>
          <w:shd w:val="clear" w:color="auto" w:fill="FFFFFF"/>
        </w:rPr>
        <w:t xml:space="preserve"> 1130</w:t>
      </w:r>
    </w:p>
  </w:footnote>
  <w:footnote w:id="11">
    <w:p w:rsidR="00F8652E" w:rsidRPr="00286798" w:rsidRDefault="00F8652E" w:rsidP="00E03352">
      <w:pPr>
        <w:pStyle w:val="FootnoteText"/>
        <w:jc w:val="both"/>
        <w:rPr>
          <w:lang w:val="en-GB"/>
        </w:rPr>
      </w:pPr>
      <w:r w:rsidRPr="00286798">
        <w:rPr>
          <w:rStyle w:val="FootnoteReference"/>
        </w:rPr>
        <w:footnoteRef/>
      </w:r>
      <w:r w:rsidRPr="00286798">
        <w:t xml:space="preserve"> </w:t>
      </w:r>
      <w:r w:rsidRPr="00286798">
        <w:rPr>
          <w:i/>
          <w:iCs/>
        </w:rPr>
        <w:t xml:space="preserve">Mitchell </w:t>
      </w:r>
      <w:r w:rsidRPr="00286798">
        <w:rPr>
          <w:lang w:val="en-GB"/>
        </w:rPr>
        <w:t>[1983] QB 741</w:t>
      </w:r>
    </w:p>
  </w:footnote>
  <w:footnote w:id="12">
    <w:p w:rsidR="00F8652E" w:rsidRPr="00F244EA" w:rsidRDefault="00F8652E" w:rsidP="00E03352">
      <w:pPr>
        <w:pStyle w:val="FootnoteText"/>
        <w:jc w:val="both"/>
        <w:rPr>
          <w:rFonts w:eastAsiaTheme="minorEastAsia"/>
          <w:lang w:eastAsia="zh-CN"/>
        </w:rPr>
      </w:pPr>
      <w:r w:rsidRPr="00F244EA">
        <w:rPr>
          <w:rStyle w:val="FootnoteReference"/>
        </w:rPr>
        <w:footnoteRef/>
      </w:r>
      <w:r w:rsidRPr="00F244EA">
        <w:t xml:space="preserve"> Contrary to s </w:t>
      </w:r>
      <w:r w:rsidRPr="00F244EA">
        <w:rPr>
          <w:rFonts w:eastAsiaTheme="minorEastAsia"/>
          <w:lang w:eastAsia="zh-CN"/>
        </w:rPr>
        <w:t>58, Offences Against the Person Act 1861 (hereinafter</w:t>
      </w:r>
      <w:r w:rsidRPr="00F244EA">
        <w:t xml:space="preserve"> OAPA 186</w:t>
      </w:r>
      <w:r w:rsidRPr="00F244EA">
        <w:rPr>
          <w:rFonts w:eastAsiaTheme="minorEastAsia"/>
          <w:lang w:eastAsia="zh-CN"/>
        </w:rPr>
        <w:t xml:space="preserve">1). See </w:t>
      </w:r>
      <w:r w:rsidRPr="00F244EA">
        <w:rPr>
          <w:i/>
          <w:color w:val="000000"/>
        </w:rPr>
        <w:t xml:space="preserve">Buck &amp; Buck </w:t>
      </w:r>
      <w:r w:rsidRPr="00F244EA">
        <w:rPr>
          <w:color w:val="000000"/>
        </w:rPr>
        <w:t>(1960) 44 Cr. App. R. 213</w:t>
      </w:r>
      <w:r w:rsidRPr="00F244EA">
        <w:rPr>
          <w:rFonts w:eastAsiaTheme="minorEastAsia"/>
          <w:color w:val="000000"/>
          <w:lang w:eastAsia="zh-CN"/>
        </w:rPr>
        <w:t xml:space="preserve">; </w:t>
      </w:r>
      <w:r w:rsidRPr="00F244EA">
        <w:rPr>
          <w:i/>
          <w:color w:val="000000"/>
          <w:lang w:val="en-GB"/>
        </w:rPr>
        <w:t xml:space="preserve">Creamer </w:t>
      </w:r>
      <w:r w:rsidRPr="00F244EA">
        <w:rPr>
          <w:color w:val="000000"/>
          <w:lang w:val="en-GB"/>
        </w:rPr>
        <w:t>[1966] 1 QB 72</w:t>
      </w:r>
    </w:p>
  </w:footnote>
  <w:footnote w:id="13">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t xml:space="preserve">Contrary to s 23, OAPA 1861. See </w:t>
      </w:r>
      <w:r w:rsidRPr="00F244EA">
        <w:rPr>
          <w:i/>
          <w:iCs/>
        </w:rPr>
        <w:t>Cato</w:t>
      </w:r>
      <w:r w:rsidRPr="00F244EA">
        <w:rPr>
          <w:lang w:val="en-GB"/>
        </w:rPr>
        <w:t xml:space="preserve"> [1976] 1 All ER 260</w:t>
      </w:r>
    </w:p>
  </w:footnote>
  <w:footnote w:id="14">
    <w:p w:rsidR="00F8652E" w:rsidRPr="00442173"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iCs/>
        </w:rPr>
        <w:t>DPP v Newbury and Jones</w:t>
      </w:r>
      <w:r w:rsidRPr="00F244EA">
        <w:rPr>
          <w:lang w:val="en-GB"/>
        </w:rPr>
        <w:t xml:space="preserve"> [1977] AC 500</w:t>
      </w:r>
      <w:r w:rsidR="00442173">
        <w:rPr>
          <w:lang w:val="en-GB"/>
        </w:rPr>
        <w:t xml:space="preserve">. The House of Lords did not actually identify criminal damage as the unlawful act; rather, “It has been generally assumed that the unlawful act was criminal damage to property” (Reed, A &amp; Fitzpatrick, B, </w:t>
      </w:r>
      <w:r w:rsidR="00442173">
        <w:rPr>
          <w:i/>
          <w:lang w:val="en-GB"/>
        </w:rPr>
        <w:t xml:space="preserve">Criminal Law </w:t>
      </w:r>
      <w:r w:rsidR="00442173">
        <w:rPr>
          <w:lang w:val="en-GB"/>
        </w:rPr>
        <w:t>4</w:t>
      </w:r>
      <w:r w:rsidR="00442173" w:rsidRPr="00442173">
        <w:rPr>
          <w:vertAlign w:val="superscript"/>
          <w:lang w:val="en-GB"/>
        </w:rPr>
        <w:t>th</w:t>
      </w:r>
      <w:r w:rsidR="00442173">
        <w:rPr>
          <w:lang w:val="en-GB"/>
        </w:rPr>
        <w:t xml:space="preserve"> </w:t>
      </w:r>
      <w:proofErr w:type="spellStart"/>
      <w:r w:rsidR="00442173">
        <w:rPr>
          <w:lang w:val="en-GB"/>
        </w:rPr>
        <w:t>ed</w:t>
      </w:r>
      <w:proofErr w:type="spellEnd"/>
      <w:r w:rsidR="00442173">
        <w:rPr>
          <w:lang w:val="en-GB"/>
        </w:rPr>
        <w:t xml:space="preserve"> (2009), Sweet &amp; Maxwell at p.363)</w:t>
      </w:r>
    </w:p>
  </w:footnote>
  <w:footnote w:id="15">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color w:val="000000"/>
        </w:rPr>
        <w:t>O</w:t>
      </w:r>
      <w:r>
        <w:rPr>
          <w:i/>
          <w:color w:val="000000"/>
        </w:rPr>
        <w:t>’</w:t>
      </w:r>
      <w:r w:rsidRPr="00F244EA">
        <w:rPr>
          <w:i/>
          <w:color w:val="000000"/>
        </w:rPr>
        <w:t>Driscoll</w:t>
      </w:r>
      <w:r w:rsidRPr="00F244EA">
        <w:rPr>
          <w:i/>
          <w:iCs/>
        </w:rPr>
        <w:t xml:space="preserve"> </w:t>
      </w:r>
      <w:r w:rsidRPr="00F244EA">
        <w:rPr>
          <w:color w:val="000000"/>
        </w:rPr>
        <w:t xml:space="preserve">(1977) 65 Cr. App. R. 50; </w:t>
      </w:r>
      <w:proofErr w:type="spellStart"/>
      <w:r w:rsidRPr="00F244EA">
        <w:rPr>
          <w:i/>
          <w:iCs/>
        </w:rPr>
        <w:t>Goodfellow</w:t>
      </w:r>
      <w:proofErr w:type="spellEnd"/>
      <w:r w:rsidRPr="00F244EA">
        <w:rPr>
          <w:lang w:val="en-GB"/>
        </w:rPr>
        <w:t xml:space="preserve"> [1986] Crim LR 468; </w:t>
      </w:r>
      <w:r w:rsidRPr="00F244EA">
        <w:rPr>
          <w:i/>
          <w:iCs/>
        </w:rPr>
        <w:t>Willoughby</w:t>
      </w:r>
      <w:r w:rsidRPr="00F244EA">
        <w:rPr>
          <w:lang w:val="en-GB"/>
        </w:rPr>
        <w:t xml:space="preserve"> [2004] EWCA Crim 3365, [2005] 1 WLR 1880; </w:t>
      </w:r>
      <w:r w:rsidRPr="00F244EA">
        <w:rPr>
          <w:i/>
          <w:lang w:val="en-GB" w:eastAsia="zh-CN"/>
        </w:rPr>
        <w:t>F &amp; E</w:t>
      </w:r>
      <w:r w:rsidRPr="00F244EA">
        <w:rPr>
          <w:lang w:val="en-GB" w:eastAsia="zh-CN"/>
        </w:rPr>
        <w:t xml:space="preserve"> [2015] EWCA Crim 351, [2015] 2 Cr App R 5</w:t>
      </w:r>
    </w:p>
  </w:footnote>
  <w:footnote w:id="16">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iCs/>
        </w:rPr>
        <w:t>Dawson</w:t>
      </w:r>
      <w:r w:rsidRPr="00F244EA">
        <w:rPr>
          <w:lang w:val="en-GB"/>
        </w:rPr>
        <w:t xml:space="preserve"> (1985) 81 Cr App R 150</w:t>
      </w:r>
    </w:p>
  </w:footnote>
  <w:footnote w:id="17">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iCs/>
          <w:lang w:val="en-GB"/>
        </w:rPr>
        <w:t>Watson</w:t>
      </w:r>
      <w:r w:rsidRPr="00F244EA">
        <w:rPr>
          <w:lang w:val="en-GB"/>
        </w:rPr>
        <w:t xml:space="preserve"> [1989] 2 All ER 865; </w:t>
      </w:r>
      <w:r w:rsidRPr="00F244EA">
        <w:rPr>
          <w:i/>
          <w:iCs/>
        </w:rPr>
        <w:t>Bristow and others</w:t>
      </w:r>
      <w:r w:rsidRPr="00F244EA">
        <w:rPr>
          <w:lang w:val="en-GB"/>
        </w:rPr>
        <w:t xml:space="preserve"> [2013] EWCA Crim 1540, [2014] Crim LR 457</w:t>
      </w:r>
    </w:p>
  </w:footnote>
  <w:footnote w:id="18">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C</w:t>
      </w:r>
      <w:proofErr w:type="spellStart"/>
      <w:r w:rsidRPr="00F244EA">
        <w:rPr>
          <w:color w:val="000000"/>
          <w:shd w:val="clear" w:color="auto" w:fill="FFFFFF"/>
        </w:rPr>
        <w:t>ontrary</w:t>
      </w:r>
      <w:proofErr w:type="spellEnd"/>
      <w:r w:rsidRPr="00F244EA">
        <w:rPr>
          <w:color w:val="000000"/>
          <w:shd w:val="clear" w:color="auto" w:fill="FFFFFF"/>
        </w:rPr>
        <w:t xml:space="preserve"> to s 1, Prevention of Crimes Act 1953. See </w:t>
      </w:r>
      <w:r w:rsidRPr="00F244EA">
        <w:rPr>
          <w:i/>
          <w:iCs/>
        </w:rPr>
        <w:t>Jennings</w:t>
      </w:r>
      <w:r w:rsidRPr="00F244EA">
        <w:rPr>
          <w:lang w:val="en-GB"/>
        </w:rPr>
        <w:t xml:space="preserve"> [1990] Crim LR 588</w:t>
      </w:r>
    </w:p>
  </w:footnote>
  <w:footnote w:id="19">
    <w:p w:rsidR="00F8652E" w:rsidRPr="00F244EA" w:rsidRDefault="00F8652E" w:rsidP="00E03352">
      <w:pPr>
        <w:pStyle w:val="FootnoteText"/>
        <w:jc w:val="both"/>
      </w:pPr>
      <w:r w:rsidRPr="00F244EA">
        <w:rPr>
          <w:rStyle w:val="FootnoteReference"/>
        </w:rPr>
        <w:footnoteRef/>
      </w:r>
      <w:r w:rsidRPr="00F244EA">
        <w:t xml:space="preserve"> C</w:t>
      </w:r>
      <w:r w:rsidRPr="00F244EA">
        <w:rPr>
          <w:rStyle w:val="documentbody1"/>
          <w:rFonts w:ascii="Times New Roman" w:hAnsi="Times New Roman"/>
          <w:color w:val="000000"/>
          <w:sz w:val="20"/>
          <w:szCs w:val="20"/>
        </w:rPr>
        <w:t xml:space="preserve">ontrary to s 58, Medicines Act 1968. See </w:t>
      </w:r>
      <w:r w:rsidRPr="00F244EA">
        <w:rPr>
          <w:rStyle w:val="groupheading1"/>
          <w:rFonts w:ascii="Times New Roman" w:hAnsi="Times New Roman"/>
          <w:b w:val="0"/>
          <w:bCs w:val="0"/>
          <w:i/>
          <w:sz w:val="20"/>
          <w:szCs w:val="20"/>
        </w:rPr>
        <w:t>Andrews</w:t>
      </w:r>
      <w:r w:rsidRPr="00F244EA">
        <w:rPr>
          <w:rStyle w:val="groupheading1"/>
          <w:rFonts w:ascii="Times New Roman" w:hAnsi="Times New Roman"/>
          <w:b w:val="0"/>
          <w:sz w:val="20"/>
          <w:szCs w:val="20"/>
        </w:rPr>
        <w:t xml:space="preserve"> </w:t>
      </w:r>
      <w:r w:rsidRPr="00F244EA">
        <w:t xml:space="preserve">[2002] EWCA </w:t>
      </w:r>
      <w:proofErr w:type="spellStart"/>
      <w:r w:rsidRPr="00F244EA">
        <w:t>Crim</w:t>
      </w:r>
      <w:proofErr w:type="spellEnd"/>
      <w:r w:rsidRPr="00F244EA">
        <w:t xml:space="preserve"> 3021</w:t>
      </w:r>
    </w:p>
  </w:footnote>
  <w:footnote w:id="20">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iCs/>
        </w:rPr>
        <w:t>Carey and others</w:t>
      </w:r>
      <w:r w:rsidRPr="00F244EA">
        <w:rPr>
          <w:lang w:val="en-GB"/>
        </w:rPr>
        <w:t xml:space="preserve"> [2006] EWCA Crim 17; </w:t>
      </w:r>
      <w:r w:rsidRPr="00F244EA">
        <w:rPr>
          <w:i/>
          <w:iCs/>
        </w:rPr>
        <w:t>M &amp; M</w:t>
      </w:r>
      <w:r w:rsidRPr="00F244EA">
        <w:rPr>
          <w:lang w:val="en-GB"/>
        </w:rPr>
        <w:t xml:space="preserve"> [2012] EWCA Crim 2293, [2013] 1 WLR 1083</w:t>
      </w:r>
    </w:p>
  </w:footnote>
  <w:footnote w:id="21">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C</w:t>
      </w:r>
      <w:proofErr w:type="spellStart"/>
      <w:r w:rsidRPr="00F244EA">
        <w:t>ontrary</w:t>
      </w:r>
      <w:proofErr w:type="spellEnd"/>
      <w:r w:rsidRPr="00F244EA">
        <w:t xml:space="preserve"> to s 1, Children and Young Persons Act 1933. See </w:t>
      </w:r>
      <w:r w:rsidRPr="00F244EA">
        <w:rPr>
          <w:i/>
          <w:iCs/>
        </w:rPr>
        <w:t>Gay</w:t>
      </w:r>
      <w:r w:rsidRPr="00F244EA">
        <w:rPr>
          <w:lang w:val="en-GB"/>
        </w:rPr>
        <w:t xml:space="preserve"> [2006] EWCA Crim 820</w:t>
      </w:r>
    </w:p>
  </w:footnote>
  <w:footnote w:id="22">
    <w:p w:rsidR="00F8652E" w:rsidRPr="00F244EA" w:rsidRDefault="00F8652E" w:rsidP="00E03352">
      <w:pPr>
        <w:pStyle w:val="FootnoteText"/>
        <w:jc w:val="both"/>
      </w:pPr>
      <w:r w:rsidRPr="00F244EA">
        <w:rPr>
          <w:rStyle w:val="FootnoteReference"/>
        </w:rPr>
        <w:footnoteRef/>
      </w:r>
      <w:r w:rsidRPr="00F244EA">
        <w:t xml:space="preserve"> </w:t>
      </w:r>
      <w:r w:rsidRPr="00F244EA">
        <w:rPr>
          <w:i/>
          <w:color w:val="000000"/>
        </w:rPr>
        <w:t>Johnston</w:t>
      </w:r>
      <w:r w:rsidRPr="00F244EA">
        <w:rPr>
          <w:color w:val="000000"/>
        </w:rPr>
        <w:t xml:space="preserve"> [2007] EWCA </w:t>
      </w:r>
      <w:proofErr w:type="spellStart"/>
      <w:r w:rsidRPr="00F244EA">
        <w:rPr>
          <w:color w:val="000000"/>
        </w:rPr>
        <w:t>Crim</w:t>
      </w:r>
      <w:proofErr w:type="spellEnd"/>
      <w:r w:rsidRPr="00F244EA">
        <w:rPr>
          <w:color w:val="000000"/>
        </w:rPr>
        <w:t xml:space="preserve"> 3133</w:t>
      </w:r>
    </w:p>
  </w:footnote>
  <w:footnote w:id="23">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i/>
          <w:iCs/>
        </w:rPr>
        <w:t>Willett</w:t>
      </w:r>
      <w:r w:rsidRPr="00F244EA">
        <w:rPr>
          <w:lang w:val="en-GB"/>
        </w:rPr>
        <w:t xml:space="preserve"> [2010] EWCA Crim 1620, [2011] Crim LR 65</w:t>
      </w:r>
    </w:p>
  </w:footnote>
  <w:footnote w:id="24">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C</w:t>
      </w:r>
      <w:proofErr w:type="spellStart"/>
      <w:r w:rsidRPr="00F244EA">
        <w:t>ontrary</w:t>
      </w:r>
      <w:proofErr w:type="spellEnd"/>
      <w:r w:rsidRPr="00F244EA">
        <w:t xml:space="preserve"> to s 22A(1)(b), Road Traffic Act 1988 (as amended). See </w:t>
      </w:r>
      <w:proofErr w:type="spellStart"/>
      <w:r w:rsidRPr="00F244EA">
        <w:rPr>
          <w:i/>
          <w:iCs/>
        </w:rPr>
        <w:t>Meeking</w:t>
      </w:r>
      <w:proofErr w:type="spellEnd"/>
      <w:r w:rsidRPr="00F244EA">
        <w:rPr>
          <w:lang w:val="en-GB"/>
        </w:rPr>
        <w:t xml:space="preserve"> [2012] EWCA Crim 641, [2012] 1 WLR 3349</w:t>
      </w:r>
    </w:p>
  </w:footnote>
  <w:footnote w:id="25">
    <w:p w:rsidR="00F8652E" w:rsidRPr="00F244EA" w:rsidRDefault="00F8652E" w:rsidP="00E03352">
      <w:pPr>
        <w:jc w:val="both"/>
        <w:rPr>
          <w:rFonts w:eastAsiaTheme="minorEastAsia"/>
          <w:sz w:val="20"/>
          <w:szCs w:val="20"/>
          <w:lang w:val="en-GB" w:eastAsia="zh-CN"/>
        </w:rPr>
      </w:pPr>
      <w:r w:rsidRPr="00F244EA">
        <w:rPr>
          <w:rStyle w:val="FootnoteReference"/>
          <w:sz w:val="20"/>
          <w:szCs w:val="20"/>
        </w:rPr>
        <w:footnoteRef/>
      </w:r>
      <w:r w:rsidRPr="00F244EA">
        <w:rPr>
          <w:sz w:val="20"/>
          <w:szCs w:val="20"/>
        </w:rPr>
        <w:t xml:space="preserve"> </w:t>
      </w:r>
      <w:r w:rsidRPr="00F244EA">
        <w:rPr>
          <w:bCs/>
          <w:i/>
          <w:iCs/>
          <w:sz w:val="20"/>
          <w:szCs w:val="20"/>
        </w:rPr>
        <w:t>Smithers</w:t>
      </w:r>
      <w:r w:rsidRPr="00F244EA">
        <w:rPr>
          <w:bCs/>
          <w:sz w:val="20"/>
          <w:szCs w:val="20"/>
        </w:rPr>
        <w:t xml:space="preserve"> [1978] 1 SCR 506, Supreme Court; </w:t>
      </w:r>
      <w:proofErr w:type="spellStart"/>
      <w:r w:rsidRPr="00F244EA">
        <w:rPr>
          <w:i/>
          <w:sz w:val="20"/>
          <w:szCs w:val="20"/>
        </w:rPr>
        <w:t>LaBerge</w:t>
      </w:r>
      <w:proofErr w:type="spellEnd"/>
      <w:r w:rsidRPr="00F244EA">
        <w:rPr>
          <w:sz w:val="20"/>
          <w:szCs w:val="20"/>
        </w:rPr>
        <w:t xml:space="preserve"> 1995 ABCA 196, Court of Appeal of Alberta</w:t>
      </w:r>
      <w:r w:rsidRPr="00F244EA">
        <w:rPr>
          <w:rFonts w:eastAsiaTheme="minorEastAsia"/>
          <w:sz w:val="20"/>
          <w:szCs w:val="20"/>
          <w:lang w:eastAsia="zh-CN"/>
        </w:rPr>
        <w:t xml:space="preserve">; </w:t>
      </w:r>
      <w:r w:rsidRPr="00F244EA">
        <w:rPr>
          <w:bCs/>
          <w:i/>
          <w:iCs/>
          <w:sz w:val="20"/>
          <w:szCs w:val="20"/>
        </w:rPr>
        <w:t>Shanks</w:t>
      </w:r>
      <w:r w:rsidRPr="00F244EA">
        <w:rPr>
          <w:bCs/>
          <w:sz w:val="20"/>
          <w:szCs w:val="20"/>
        </w:rPr>
        <w:t xml:space="preserve"> (1996) 4 CR (5th) 79, Court of Appeal for Ontario</w:t>
      </w:r>
      <w:r w:rsidRPr="00F244EA">
        <w:rPr>
          <w:sz w:val="20"/>
          <w:szCs w:val="20"/>
          <w:lang w:eastAsia="zh-CN"/>
        </w:rPr>
        <w:t xml:space="preserve">; </w:t>
      </w:r>
      <w:r w:rsidRPr="00F244EA">
        <w:rPr>
          <w:bCs/>
          <w:i/>
          <w:iCs/>
          <w:sz w:val="20"/>
          <w:szCs w:val="20"/>
        </w:rPr>
        <w:t>Gunning</w:t>
      </w:r>
      <w:r w:rsidRPr="00F244EA">
        <w:rPr>
          <w:bCs/>
          <w:sz w:val="20"/>
          <w:szCs w:val="20"/>
        </w:rPr>
        <w:t xml:space="preserve"> [2005] 1 SCR 627, Supreme Court; </w:t>
      </w:r>
      <w:r w:rsidRPr="00F244EA">
        <w:rPr>
          <w:i/>
          <w:sz w:val="20"/>
          <w:szCs w:val="20"/>
          <w:lang w:eastAsia="zh-CN"/>
        </w:rPr>
        <w:t xml:space="preserve">Richer </w:t>
      </w:r>
      <w:r w:rsidRPr="00F244EA">
        <w:rPr>
          <w:sz w:val="20"/>
          <w:szCs w:val="20"/>
          <w:lang w:eastAsia="zh-CN"/>
        </w:rPr>
        <w:t>(2005) 192 CCC (3d) 366, British Columbia Court of Appeal</w:t>
      </w:r>
      <w:r w:rsidRPr="00F244EA">
        <w:rPr>
          <w:rFonts w:eastAsiaTheme="minorEastAsia"/>
          <w:sz w:val="20"/>
          <w:szCs w:val="20"/>
          <w:lang w:eastAsia="zh-CN"/>
        </w:rPr>
        <w:t xml:space="preserve">; </w:t>
      </w:r>
      <w:proofErr w:type="spellStart"/>
      <w:r w:rsidRPr="00F244EA">
        <w:rPr>
          <w:bCs/>
          <w:i/>
          <w:iCs/>
          <w:sz w:val="20"/>
          <w:szCs w:val="20"/>
        </w:rPr>
        <w:t>Couperthwaite</w:t>
      </w:r>
      <w:proofErr w:type="spellEnd"/>
      <w:r w:rsidRPr="00F244EA">
        <w:rPr>
          <w:bCs/>
          <w:sz w:val="20"/>
          <w:szCs w:val="20"/>
        </w:rPr>
        <w:t xml:space="preserve"> (2006) 203 Man R (2d) 261, Court of Queen</w:t>
      </w:r>
      <w:r>
        <w:rPr>
          <w:bCs/>
          <w:sz w:val="20"/>
          <w:szCs w:val="20"/>
        </w:rPr>
        <w:t>’</w:t>
      </w:r>
      <w:r w:rsidRPr="00F244EA">
        <w:rPr>
          <w:bCs/>
          <w:sz w:val="20"/>
          <w:szCs w:val="20"/>
        </w:rPr>
        <w:t>s Bench of Manitoba;</w:t>
      </w:r>
      <w:r w:rsidRPr="00F244EA">
        <w:rPr>
          <w:i/>
          <w:sz w:val="20"/>
          <w:szCs w:val="20"/>
          <w:lang w:eastAsia="zh-CN"/>
        </w:rPr>
        <w:t xml:space="preserve"> </w:t>
      </w:r>
      <w:r w:rsidRPr="00F244EA">
        <w:rPr>
          <w:bCs/>
          <w:i/>
          <w:iCs/>
          <w:sz w:val="20"/>
          <w:szCs w:val="20"/>
        </w:rPr>
        <w:t xml:space="preserve">R v Sinclair </w:t>
      </w:r>
      <w:r w:rsidRPr="00F244EA">
        <w:rPr>
          <w:bCs/>
          <w:iCs/>
          <w:sz w:val="20"/>
          <w:szCs w:val="20"/>
        </w:rPr>
        <w:t xml:space="preserve">(2008) 225 Man R (2d) 167, Manitoba Court of Appeal; </w:t>
      </w:r>
      <w:r w:rsidRPr="00F244EA">
        <w:rPr>
          <w:i/>
          <w:sz w:val="20"/>
          <w:szCs w:val="20"/>
          <w:lang w:eastAsia="zh-CN"/>
        </w:rPr>
        <w:t xml:space="preserve">Holloway </w:t>
      </w:r>
      <w:r w:rsidRPr="00F244EA">
        <w:rPr>
          <w:sz w:val="20"/>
          <w:szCs w:val="20"/>
          <w:lang w:eastAsia="zh-CN"/>
        </w:rPr>
        <w:t>(2014) 308 CCC (3d) 145, Court of Appeal of Alberta</w:t>
      </w:r>
    </w:p>
  </w:footnote>
  <w:footnote w:id="26">
    <w:p w:rsidR="00F8652E" w:rsidRPr="00F244EA" w:rsidRDefault="00F8652E" w:rsidP="00E03352">
      <w:pPr>
        <w:pStyle w:val="FootnoteText"/>
        <w:jc w:val="both"/>
      </w:pPr>
      <w:r w:rsidRPr="00F244EA">
        <w:rPr>
          <w:rStyle w:val="FootnoteReference"/>
        </w:rPr>
        <w:footnoteRef/>
      </w:r>
      <w:r w:rsidRPr="00F244EA">
        <w:t xml:space="preserve"> </w:t>
      </w:r>
      <w:r w:rsidRPr="00F244EA">
        <w:rPr>
          <w:bCs/>
          <w:i/>
          <w:iCs/>
        </w:rPr>
        <w:t>Worrall</w:t>
      </w:r>
      <w:r w:rsidRPr="00F244EA">
        <w:rPr>
          <w:bCs/>
        </w:rPr>
        <w:t xml:space="preserve"> (2004) 189 CCC (3d) 79; 19 CR (6th) 213, Ontario Superior Court of Justice</w:t>
      </w:r>
    </w:p>
  </w:footnote>
  <w:footnote w:id="27">
    <w:p w:rsidR="00C22DF0" w:rsidRPr="00C22DF0" w:rsidRDefault="00C22DF0" w:rsidP="00E03352">
      <w:pPr>
        <w:pStyle w:val="FootnoteText"/>
        <w:jc w:val="both"/>
        <w:rPr>
          <w:lang w:val="en-GB"/>
        </w:rPr>
      </w:pPr>
      <w:r>
        <w:rPr>
          <w:rStyle w:val="FootnoteReference"/>
        </w:rPr>
        <w:footnoteRef/>
      </w:r>
      <w:r>
        <w:t xml:space="preserve"> </w:t>
      </w:r>
      <w:r w:rsidRPr="00C22DF0">
        <w:rPr>
          <w:i/>
          <w:lang w:val="en-GB"/>
        </w:rPr>
        <w:t>Ibid</w:t>
      </w:r>
      <w:r>
        <w:rPr>
          <w:lang w:val="en-GB"/>
        </w:rPr>
        <w:t>. at [9]</w:t>
      </w:r>
    </w:p>
  </w:footnote>
  <w:footnote w:id="28">
    <w:p w:rsidR="00F8652E" w:rsidRPr="00F244EA" w:rsidRDefault="00F8652E" w:rsidP="00E03352">
      <w:pPr>
        <w:pStyle w:val="FootnoteText"/>
        <w:jc w:val="both"/>
      </w:pPr>
      <w:r w:rsidRPr="00F244EA">
        <w:rPr>
          <w:rStyle w:val="FootnoteReference"/>
        </w:rPr>
        <w:footnoteRef/>
      </w:r>
      <w:r w:rsidRPr="00F244EA">
        <w:t xml:space="preserve"> Contrary to s 5(1) of the Controlled Drugs &amp; Substances Act 1996</w:t>
      </w:r>
    </w:p>
  </w:footnote>
  <w:footnote w:id="29">
    <w:p w:rsidR="00F8652E" w:rsidRPr="00F244EA" w:rsidRDefault="00F8652E" w:rsidP="00E03352">
      <w:pPr>
        <w:pStyle w:val="FootnoteText"/>
        <w:jc w:val="both"/>
        <w:rPr>
          <w:lang w:val="en-GB"/>
        </w:rPr>
      </w:pPr>
      <w:r w:rsidRPr="00F244EA">
        <w:rPr>
          <w:rStyle w:val="FootnoteReference"/>
        </w:rPr>
        <w:footnoteRef/>
      </w:r>
      <w:r w:rsidRPr="00F244EA">
        <w:t xml:space="preserve"> [1993] 3 SCR 3; (1993) 105 DLR (4th) 632, Supreme Court of Canada. In that case D was convicted of manslaughter based on the offence of trafficking contrary to </w:t>
      </w:r>
      <w:r w:rsidRPr="00F244EA">
        <w:rPr>
          <w:spacing w:val="-3"/>
        </w:rPr>
        <w:t xml:space="preserve">s 4(1) of the </w:t>
      </w:r>
      <w:r w:rsidRPr="00F244EA">
        <w:rPr>
          <w:iCs/>
          <w:spacing w:val="-3"/>
        </w:rPr>
        <w:t xml:space="preserve">Narcotic Control Act 1961. That statute was repealed and replaced by the </w:t>
      </w:r>
      <w:r w:rsidRPr="00F244EA">
        <w:t>Controlled Drugs &amp; Substances Act 1996.</w:t>
      </w:r>
    </w:p>
  </w:footnote>
  <w:footnote w:id="30">
    <w:p w:rsidR="00F8652E" w:rsidRPr="00F244EA" w:rsidRDefault="00F8652E" w:rsidP="00E03352">
      <w:pPr>
        <w:pStyle w:val="FootnoteText"/>
        <w:jc w:val="both"/>
        <w:rPr>
          <w:lang w:val="en-GB"/>
        </w:rPr>
      </w:pPr>
      <w:r w:rsidRPr="00F244EA">
        <w:rPr>
          <w:rStyle w:val="FootnoteReference"/>
        </w:rPr>
        <w:footnoteRef/>
      </w:r>
      <w:r w:rsidRPr="00F244EA">
        <w:t xml:space="preserve"> Contrary to s 86(1) of the </w:t>
      </w:r>
      <w:r w:rsidRPr="00F244EA">
        <w:rPr>
          <w:i/>
        </w:rPr>
        <w:t>Criminal Code</w:t>
      </w:r>
      <w:r w:rsidRPr="00F244EA">
        <w:t>. See e.g.</w:t>
      </w:r>
      <w:r w:rsidRPr="00F244EA">
        <w:rPr>
          <w:i/>
          <w:lang w:eastAsia="zh-CN"/>
        </w:rPr>
        <w:t xml:space="preserve"> Pettigrew </w:t>
      </w:r>
      <w:r w:rsidRPr="00F244EA">
        <w:rPr>
          <w:lang w:eastAsia="zh-CN"/>
        </w:rPr>
        <w:t>(1990) 56 CCC (3d) 390, British Columbia Court of Appeal</w:t>
      </w:r>
      <w:r w:rsidRPr="00F244EA">
        <w:rPr>
          <w:rFonts w:eastAsiaTheme="minorEastAsia"/>
          <w:lang w:eastAsia="zh-CN"/>
        </w:rPr>
        <w:t>;</w:t>
      </w:r>
      <w:r w:rsidRPr="00F244EA">
        <w:rPr>
          <w:i/>
        </w:rPr>
        <w:t xml:space="preserve"> </w:t>
      </w:r>
      <w:proofErr w:type="spellStart"/>
      <w:r w:rsidRPr="00F244EA">
        <w:rPr>
          <w:i/>
        </w:rPr>
        <w:t>Gosset</w:t>
      </w:r>
      <w:proofErr w:type="spellEnd"/>
      <w:r w:rsidRPr="00F244EA">
        <w:t xml:space="preserve"> [1993] 3 SCR 76, Supreme Court; </w:t>
      </w:r>
      <w:proofErr w:type="spellStart"/>
      <w:r w:rsidRPr="00F244EA">
        <w:rPr>
          <w:i/>
        </w:rPr>
        <w:t>Tataryn</w:t>
      </w:r>
      <w:proofErr w:type="spellEnd"/>
      <w:r w:rsidRPr="00F244EA">
        <w:t xml:space="preserve"> 2001 BCCA 406, British Columbia Court of</w:t>
      </w:r>
      <w:r w:rsidRPr="00F244EA">
        <w:rPr>
          <w:rFonts w:eastAsiaTheme="minorEastAsia"/>
          <w:lang w:eastAsia="zh-CN"/>
        </w:rPr>
        <w:t xml:space="preserve"> Appeal</w:t>
      </w:r>
      <w:r w:rsidRPr="00F244EA">
        <w:t xml:space="preserve">; </w:t>
      </w:r>
      <w:proofErr w:type="spellStart"/>
      <w:r w:rsidRPr="00F244EA">
        <w:rPr>
          <w:i/>
        </w:rPr>
        <w:t>McMath</w:t>
      </w:r>
      <w:proofErr w:type="spellEnd"/>
      <w:r w:rsidRPr="00F244EA">
        <w:rPr>
          <w:i/>
        </w:rPr>
        <w:t xml:space="preserve"> </w:t>
      </w:r>
      <w:r w:rsidRPr="00F244EA">
        <w:t>2013 BCSC 2434, Supreme Court of British Columbia</w:t>
      </w:r>
    </w:p>
  </w:footnote>
  <w:footnote w:id="31">
    <w:p w:rsidR="00F8652E" w:rsidRPr="00F244EA" w:rsidRDefault="00F8652E" w:rsidP="00E03352">
      <w:pPr>
        <w:pStyle w:val="FootnoteText"/>
        <w:jc w:val="both"/>
      </w:pPr>
      <w:r w:rsidRPr="00F244EA">
        <w:rPr>
          <w:rStyle w:val="FootnoteReference"/>
        </w:rPr>
        <w:footnoteRef/>
      </w:r>
      <w:r w:rsidRPr="00F244EA">
        <w:rPr>
          <w:spacing w:val="-3"/>
        </w:rPr>
        <w:t xml:space="preserve">Contrary to s 87 of the </w:t>
      </w:r>
      <w:r w:rsidRPr="00F244EA">
        <w:rPr>
          <w:i/>
          <w:spacing w:val="-3"/>
        </w:rPr>
        <w:t>Criminal Code</w:t>
      </w:r>
      <w:r w:rsidRPr="00F244EA">
        <w:rPr>
          <w:spacing w:val="-3"/>
        </w:rPr>
        <w:t xml:space="preserve">. See e.g. </w:t>
      </w:r>
      <w:r w:rsidRPr="00F244EA">
        <w:rPr>
          <w:i/>
        </w:rPr>
        <w:t xml:space="preserve">Tennant &amp; </w:t>
      </w:r>
      <w:proofErr w:type="spellStart"/>
      <w:r w:rsidRPr="00F244EA">
        <w:rPr>
          <w:i/>
        </w:rPr>
        <w:t>Naccarato</w:t>
      </w:r>
      <w:proofErr w:type="spellEnd"/>
      <w:r w:rsidRPr="00F244EA">
        <w:t xml:space="preserve"> (1975) 23 CCC (2d) 80, Ontario Court of Appeal;</w:t>
      </w:r>
      <w:r w:rsidRPr="00F244EA">
        <w:rPr>
          <w:i/>
          <w:spacing w:val="-3"/>
        </w:rPr>
        <w:t xml:space="preserve"> Adkins</w:t>
      </w:r>
      <w:r w:rsidRPr="00F244EA">
        <w:rPr>
          <w:spacing w:val="-3"/>
        </w:rPr>
        <w:t xml:space="preserve"> (1987) 39 CCC (3d) 346, British Columbia Court of Appeal</w:t>
      </w:r>
    </w:p>
  </w:footnote>
  <w:footnote w:id="32">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t xml:space="preserve">Contrary to </w:t>
      </w:r>
      <w:r w:rsidRPr="00F244EA">
        <w:rPr>
          <w:spacing w:val="-3"/>
        </w:rPr>
        <w:t xml:space="preserve">s 88 of the </w:t>
      </w:r>
      <w:r w:rsidRPr="00F244EA">
        <w:rPr>
          <w:i/>
          <w:spacing w:val="-3"/>
        </w:rPr>
        <w:t>Criminal Code</w:t>
      </w:r>
      <w:r w:rsidRPr="00F244EA">
        <w:rPr>
          <w:spacing w:val="-3"/>
        </w:rPr>
        <w:t xml:space="preserve">. See e.g. </w:t>
      </w:r>
      <w:r w:rsidRPr="00F244EA">
        <w:rPr>
          <w:i/>
          <w:lang w:val="en-GB"/>
        </w:rPr>
        <w:t xml:space="preserve">Tennant &amp; </w:t>
      </w:r>
      <w:proofErr w:type="spellStart"/>
      <w:r w:rsidRPr="00F244EA">
        <w:rPr>
          <w:i/>
          <w:lang w:val="en-GB"/>
        </w:rPr>
        <w:t>Naccarato</w:t>
      </w:r>
      <w:proofErr w:type="spellEnd"/>
      <w:r w:rsidRPr="00F244EA">
        <w:rPr>
          <w:lang w:val="en-GB"/>
        </w:rPr>
        <w:t>;</w:t>
      </w:r>
      <w:r w:rsidRPr="00F244EA">
        <w:rPr>
          <w:i/>
          <w:lang w:val="en-GB"/>
        </w:rPr>
        <w:t xml:space="preserve"> Adkins</w:t>
      </w:r>
    </w:p>
  </w:footnote>
  <w:footnote w:id="33">
    <w:p w:rsidR="00F8652E" w:rsidRPr="00F244EA" w:rsidRDefault="00F8652E" w:rsidP="00E03352">
      <w:pPr>
        <w:pStyle w:val="FootnoteText"/>
        <w:jc w:val="both"/>
      </w:pPr>
      <w:r w:rsidRPr="00F244EA">
        <w:rPr>
          <w:rStyle w:val="FootnoteReference"/>
        </w:rPr>
        <w:footnoteRef/>
      </w:r>
      <w:r w:rsidRPr="00F244EA">
        <w:t xml:space="preserve"> </w:t>
      </w:r>
      <w:r w:rsidRPr="00F244EA">
        <w:rPr>
          <w:lang w:val="en-GB"/>
        </w:rPr>
        <w:t xml:space="preserve">For discussion of causation in the context of unlawful act manslaughter see inter alia </w:t>
      </w:r>
      <w:proofErr w:type="spellStart"/>
      <w:r w:rsidRPr="00F244EA">
        <w:rPr>
          <w:lang w:val="en-GB"/>
        </w:rPr>
        <w:t>Ormerod</w:t>
      </w:r>
      <w:proofErr w:type="spellEnd"/>
      <w:r w:rsidRPr="00F244EA">
        <w:rPr>
          <w:lang w:val="en-GB"/>
        </w:rPr>
        <w:t xml:space="preserve">, D &amp; Fortson, R, </w:t>
      </w:r>
      <w:r w:rsidRPr="00F244EA">
        <w:rPr>
          <w:i/>
          <w:lang w:val="en-GB"/>
        </w:rPr>
        <w:t xml:space="preserve">Drug Suppliers as </w:t>
      </w:r>
      <w:proofErr w:type="spellStart"/>
      <w:r w:rsidRPr="00F244EA">
        <w:rPr>
          <w:i/>
          <w:lang w:val="en-GB"/>
        </w:rPr>
        <w:t>Manslaughterers</w:t>
      </w:r>
      <w:proofErr w:type="spellEnd"/>
      <w:r w:rsidRPr="00F244EA">
        <w:rPr>
          <w:i/>
          <w:lang w:val="en-GB"/>
        </w:rPr>
        <w:t xml:space="preserve"> (Again) </w:t>
      </w:r>
      <w:r w:rsidRPr="00F244EA">
        <w:rPr>
          <w:lang w:val="en-GB"/>
        </w:rPr>
        <w:t>[2005] Crim LR 819; C</w:t>
      </w:r>
      <w:proofErr w:type="spellStart"/>
      <w:r w:rsidRPr="00F244EA">
        <w:t>herkassky</w:t>
      </w:r>
      <w:proofErr w:type="spellEnd"/>
      <w:r w:rsidRPr="00F244EA">
        <w:t xml:space="preserve">, L, </w:t>
      </w:r>
      <w:r w:rsidRPr="00F244EA">
        <w:rPr>
          <w:i/>
        </w:rPr>
        <w:t>Kennedy and Unlawful Act Manslaughter: An Unorthodox Application of the Doctrine of Causation</w:t>
      </w:r>
      <w:r w:rsidRPr="00F244EA">
        <w:t xml:space="preserve"> (2008) 72 J </w:t>
      </w:r>
      <w:proofErr w:type="spellStart"/>
      <w:r w:rsidRPr="00F244EA">
        <w:t>Crim</w:t>
      </w:r>
      <w:proofErr w:type="spellEnd"/>
      <w:r w:rsidRPr="00F244EA">
        <w:t xml:space="preserve"> L 387; Hughes, D, </w:t>
      </w:r>
      <w:r w:rsidRPr="00F244EA">
        <w:rPr>
          <w:i/>
        </w:rPr>
        <w:t xml:space="preserve">Drug Administration: The Reinstatement of Causation Principles </w:t>
      </w:r>
      <w:r w:rsidRPr="00F244EA">
        <w:t xml:space="preserve">(2008) 72 J </w:t>
      </w:r>
      <w:proofErr w:type="spellStart"/>
      <w:r w:rsidRPr="00F244EA">
        <w:t>Crim</w:t>
      </w:r>
      <w:proofErr w:type="spellEnd"/>
      <w:r w:rsidRPr="00F244EA">
        <w:t xml:space="preserve"> L 353; Miles, J, </w:t>
      </w:r>
      <w:r w:rsidRPr="00F244EA">
        <w:rPr>
          <w:i/>
        </w:rPr>
        <w:t>Black Letter Law, With a Hint of Grey</w:t>
      </w:r>
      <w:r w:rsidRPr="00F244EA">
        <w:t xml:space="preserve"> (</w:t>
      </w:r>
      <w:r w:rsidRPr="00F244EA">
        <w:rPr>
          <w:lang w:val="en-GB"/>
        </w:rPr>
        <w:t>2008</w:t>
      </w:r>
      <w:r w:rsidRPr="00F244EA">
        <w:t xml:space="preserve">) </w:t>
      </w:r>
      <w:r w:rsidRPr="00F244EA">
        <w:rPr>
          <w:lang w:val="en-GB"/>
        </w:rPr>
        <w:t>67</w:t>
      </w:r>
      <w:r w:rsidRPr="00F244EA">
        <w:t xml:space="preserve"> </w:t>
      </w:r>
      <w:r w:rsidRPr="00F244EA">
        <w:rPr>
          <w:lang w:val="en-GB"/>
        </w:rPr>
        <w:t xml:space="preserve">CLJ 17; </w:t>
      </w:r>
      <w:proofErr w:type="spellStart"/>
      <w:r w:rsidRPr="00F244EA">
        <w:t>O</w:t>
      </w:r>
      <w:r>
        <w:t>’</w:t>
      </w:r>
      <w:r w:rsidRPr="00F244EA">
        <w:t>Doherty</w:t>
      </w:r>
      <w:proofErr w:type="spellEnd"/>
      <w:r w:rsidRPr="00F244EA">
        <w:t xml:space="preserve">, S, </w:t>
      </w:r>
      <w:r w:rsidRPr="00F244EA">
        <w:rPr>
          <w:i/>
        </w:rPr>
        <w:t>Unlawful Act Manslaughter and Causation</w:t>
      </w:r>
      <w:r w:rsidRPr="00F244EA">
        <w:t xml:space="preserve"> (2010) 174 CL &amp; J 549; </w:t>
      </w:r>
      <w:r w:rsidRPr="00F244EA">
        <w:rPr>
          <w:rStyle w:val="ro1"/>
          <w:rFonts w:eastAsiaTheme="majorEastAsia"/>
          <w:iCs/>
        </w:rPr>
        <w:t xml:space="preserve">Baker, D, </w:t>
      </w:r>
      <w:r w:rsidRPr="00F244EA">
        <w:rPr>
          <w:bCs/>
          <w:i/>
        </w:rPr>
        <w:t xml:space="preserve">Omissions Liability for Homicide Offences: Reconciling R v Kennedy with R v Evans </w:t>
      </w:r>
      <w:r w:rsidRPr="00F244EA">
        <w:rPr>
          <w:bCs/>
        </w:rPr>
        <w:t xml:space="preserve">(2010) 74 J </w:t>
      </w:r>
      <w:proofErr w:type="spellStart"/>
      <w:r w:rsidRPr="00F244EA">
        <w:rPr>
          <w:bCs/>
        </w:rPr>
        <w:t>Crim</w:t>
      </w:r>
      <w:proofErr w:type="spellEnd"/>
      <w:r w:rsidRPr="00F244EA">
        <w:rPr>
          <w:bCs/>
        </w:rPr>
        <w:t xml:space="preserve"> L 310</w:t>
      </w:r>
    </w:p>
  </w:footnote>
  <w:footnote w:id="34">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Commentary on </w:t>
      </w:r>
      <w:r w:rsidRPr="00F244EA">
        <w:rPr>
          <w:i/>
          <w:iCs/>
        </w:rPr>
        <w:t>Jennings</w:t>
      </w:r>
      <w:r w:rsidRPr="00F244EA">
        <w:rPr>
          <w:lang w:val="en-GB"/>
        </w:rPr>
        <w:t xml:space="preserve"> [1990] Crim LR 588 at p.589</w:t>
      </w:r>
      <w:r>
        <w:rPr>
          <w:lang w:val="en-GB"/>
        </w:rPr>
        <w:t>. E</w:t>
      </w:r>
      <w:r w:rsidRPr="00F244EA">
        <w:rPr>
          <w:lang w:val="en-GB"/>
        </w:rPr>
        <w:t>mphasis added</w:t>
      </w:r>
    </w:p>
  </w:footnote>
  <w:footnote w:id="35">
    <w:p w:rsidR="00F8652E" w:rsidRPr="00F244EA" w:rsidRDefault="00F8652E" w:rsidP="00E03352">
      <w:pPr>
        <w:pStyle w:val="FootnoteText"/>
        <w:jc w:val="both"/>
      </w:pPr>
      <w:r w:rsidRPr="00F244EA">
        <w:rPr>
          <w:rStyle w:val="FootnoteReference"/>
        </w:rPr>
        <w:footnoteRef/>
      </w:r>
      <w:r w:rsidRPr="00F244EA">
        <w:t xml:space="preserve"> </w:t>
      </w:r>
      <w:proofErr w:type="spellStart"/>
      <w:r w:rsidRPr="00F244EA">
        <w:rPr>
          <w:i/>
          <w:color w:val="000000"/>
        </w:rPr>
        <w:t>Holzer</w:t>
      </w:r>
      <w:proofErr w:type="spellEnd"/>
      <w:r w:rsidRPr="00F244EA">
        <w:rPr>
          <w:color w:val="000000"/>
        </w:rPr>
        <w:t xml:space="preserve"> [1968] VR 481,</w:t>
      </w:r>
      <w:r w:rsidRPr="00F244EA">
        <w:rPr>
          <w:iCs/>
          <w:color w:val="000000"/>
          <w:shd w:val="clear" w:color="auto" w:fill="FFFFFF"/>
        </w:rPr>
        <w:t xml:space="preserve"> Supreme Court of Victoria</w:t>
      </w:r>
      <w:r w:rsidRPr="00F244EA">
        <w:rPr>
          <w:color w:val="000000"/>
        </w:rPr>
        <w:t xml:space="preserve">; </w:t>
      </w:r>
      <w:r w:rsidRPr="00F244EA">
        <w:rPr>
          <w:i/>
          <w:color w:val="000000"/>
        </w:rPr>
        <w:t>Wilson</w:t>
      </w:r>
      <w:r w:rsidRPr="00F244EA">
        <w:rPr>
          <w:color w:val="000000"/>
        </w:rPr>
        <w:t xml:space="preserve"> (1992) 174 CLR 313, High Court of Australia;</w:t>
      </w:r>
      <w:r w:rsidRPr="00F244EA">
        <w:rPr>
          <w:i/>
          <w:iCs/>
          <w:color w:val="000000"/>
          <w:shd w:val="clear" w:color="auto" w:fill="FFFFFF"/>
        </w:rPr>
        <w:t xml:space="preserve"> </w:t>
      </w:r>
      <w:proofErr w:type="spellStart"/>
      <w:r w:rsidRPr="00F244EA">
        <w:rPr>
          <w:i/>
          <w:iCs/>
          <w:color w:val="000000"/>
          <w:shd w:val="clear" w:color="auto" w:fill="FFFFFF"/>
        </w:rPr>
        <w:t>Besim</w:t>
      </w:r>
      <w:proofErr w:type="spellEnd"/>
      <w:r w:rsidRPr="00F244EA">
        <w:rPr>
          <w:i/>
          <w:iCs/>
          <w:color w:val="000000"/>
          <w:shd w:val="clear" w:color="auto" w:fill="FFFFFF"/>
        </w:rPr>
        <w:t xml:space="preserve"> </w:t>
      </w:r>
      <w:r w:rsidRPr="00F244EA">
        <w:rPr>
          <w:iCs/>
          <w:color w:val="000000"/>
          <w:shd w:val="clear" w:color="auto" w:fill="FFFFFF"/>
        </w:rPr>
        <w:t xml:space="preserve">[2004] VSC 169; (2004) </w:t>
      </w:r>
      <w:r w:rsidRPr="00F244EA">
        <w:rPr>
          <w:color w:val="000000"/>
          <w:shd w:val="clear" w:color="auto" w:fill="FFFFFF"/>
        </w:rPr>
        <w:t xml:space="preserve">148 A </w:t>
      </w:r>
      <w:proofErr w:type="spellStart"/>
      <w:r w:rsidRPr="00F244EA">
        <w:rPr>
          <w:color w:val="000000"/>
          <w:shd w:val="clear" w:color="auto" w:fill="FFFFFF"/>
        </w:rPr>
        <w:t>Crim</w:t>
      </w:r>
      <w:proofErr w:type="spellEnd"/>
      <w:r w:rsidRPr="00F244EA">
        <w:rPr>
          <w:color w:val="000000"/>
          <w:shd w:val="clear" w:color="auto" w:fill="FFFFFF"/>
        </w:rPr>
        <w:t xml:space="preserve"> R 28, </w:t>
      </w:r>
      <w:r w:rsidRPr="00F244EA">
        <w:rPr>
          <w:iCs/>
          <w:color w:val="000000"/>
          <w:shd w:val="clear" w:color="auto" w:fill="FFFFFF"/>
        </w:rPr>
        <w:t>Supreme Court of Victoria</w:t>
      </w:r>
      <w:r w:rsidRPr="00F244EA">
        <w:rPr>
          <w:i/>
        </w:rPr>
        <w:t xml:space="preserve">; </w:t>
      </w:r>
      <w:r w:rsidRPr="00F244EA">
        <w:rPr>
          <w:i/>
          <w:iCs/>
          <w:color w:val="000000"/>
          <w:shd w:val="clear" w:color="auto" w:fill="FFFFFF"/>
        </w:rPr>
        <w:t xml:space="preserve">Cornelissen </w:t>
      </w:r>
      <w:r w:rsidRPr="00F244EA">
        <w:rPr>
          <w:color w:val="000000"/>
          <w:shd w:val="clear" w:color="auto" w:fill="FFFFFF"/>
        </w:rPr>
        <w:t xml:space="preserve">[2004] NSWCCA 449, </w:t>
      </w:r>
      <w:r w:rsidRPr="00F244EA">
        <w:t>New South Wales Court of Criminal Appeal;</w:t>
      </w:r>
      <w:r w:rsidRPr="00F244EA">
        <w:rPr>
          <w:i/>
        </w:rPr>
        <w:t xml:space="preserve"> </w:t>
      </w:r>
      <w:proofErr w:type="spellStart"/>
      <w:r w:rsidRPr="00F244EA">
        <w:rPr>
          <w:i/>
        </w:rPr>
        <w:t>Klamo</w:t>
      </w:r>
      <w:proofErr w:type="spellEnd"/>
      <w:r w:rsidRPr="00F244EA">
        <w:t xml:space="preserve"> (2008) 18 VR 644, [2008] VSCA 75, Court of Appeal of Victoria</w:t>
      </w:r>
      <w:r w:rsidRPr="00F244EA">
        <w:rPr>
          <w:i/>
        </w:rPr>
        <w:t xml:space="preserve">; </w:t>
      </w:r>
      <w:proofErr w:type="spellStart"/>
      <w:r w:rsidRPr="00F244EA">
        <w:rPr>
          <w:i/>
        </w:rPr>
        <w:t>Aidid</w:t>
      </w:r>
      <w:proofErr w:type="spellEnd"/>
      <w:r w:rsidRPr="00F244EA">
        <w:t xml:space="preserve"> (2010) 25 VR 593, Court of Appeal of Victoria; </w:t>
      </w:r>
      <w:r w:rsidRPr="00F244EA">
        <w:rPr>
          <w:i/>
          <w:color w:val="000000"/>
        </w:rPr>
        <w:t>Ford</w:t>
      </w:r>
      <w:r w:rsidRPr="00F244EA">
        <w:rPr>
          <w:color w:val="000000"/>
        </w:rPr>
        <w:t xml:space="preserve"> [2016] SASC 112, </w:t>
      </w:r>
      <w:r w:rsidRPr="00F244EA">
        <w:rPr>
          <w:bCs/>
          <w:color w:val="000000"/>
          <w:shd w:val="clear" w:color="auto" w:fill="FFFFFF"/>
        </w:rPr>
        <w:t>Supreme Court of South Australia</w:t>
      </w:r>
    </w:p>
  </w:footnote>
  <w:footnote w:id="36">
    <w:p w:rsidR="00F8652E" w:rsidRPr="00F244EA" w:rsidRDefault="00F8652E" w:rsidP="00E03352">
      <w:pPr>
        <w:pStyle w:val="FootnoteText"/>
        <w:jc w:val="both"/>
      </w:pPr>
      <w:r w:rsidRPr="00F244EA">
        <w:rPr>
          <w:rStyle w:val="FootnoteReference"/>
        </w:rPr>
        <w:footnoteRef/>
      </w:r>
      <w:r w:rsidRPr="00F244EA">
        <w:t xml:space="preserve"> </w:t>
      </w:r>
      <w:r w:rsidRPr="00F244EA">
        <w:rPr>
          <w:color w:val="000000"/>
        </w:rPr>
        <w:t>[2015] NSWCCA 114</w:t>
      </w:r>
      <w:r w:rsidRPr="00F244EA">
        <w:rPr>
          <w:color w:val="000000"/>
          <w:shd w:val="clear" w:color="auto" w:fill="FFFFFF"/>
        </w:rPr>
        <w:t xml:space="preserve">, </w:t>
      </w:r>
      <w:r w:rsidRPr="00F244EA">
        <w:rPr>
          <w:color w:val="000000"/>
        </w:rPr>
        <w:t>New South Wales Court of Criminal Appeal</w:t>
      </w:r>
    </w:p>
  </w:footnote>
  <w:footnote w:id="37">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color w:val="000000"/>
        </w:rPr>
        <w:t>[2016] NSWCCA 51</w:t>
      </w:r>
      <w:r w:rsidRPr="00F244EA">
        <w:rPr>
          <w:color w:val="000000"/>
          <w:shd w:val="clear" w:color="auto" w:fill="FFFFFF"/>
        </w:rPr>
        <w:t xml:space="preserve">, </w:t>
      </w:r>
      <w:r w:rsidRPr="00F244EA">
        <w:rPr>
          <w:color w:val="000000"/>
        </w:rPr>
        <w:t>New South Wales Court of Criminal Appeal</w:t>
      </w:r>
    </w:p>
  </w:footnote>
  <w:footnote w:id="38">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 xml:space="preserve">In </w:t>
      </w:r>
      <w:r w:rsidRPr="00F244EA">
        <w:rPr>
          <w:i/>
          <w:lang w:val="en-GB"/>
        </w:rPr>
        <w:t>Lin,</w:t>
      </w:r>
      <w:r w:rsidRPr="00F244EA">
        <w:rPr>
          <w:lang w:val="en-GB"/>
        </w:rPr>
        <w:t xml:space="preserve"> where the explosion was allegedly caused by the ignition of a ring burner, Simpson JA said that </w:t>
      </w:r>
      <w:r>
        <w:rPr>
          <w:lang w:val="en-GB"/>
        </w:rPr>
        <w:t>‘</w:t>
      </w:r>
      <w:r w:rsidRPr="00F244EA">
        <w:rPr>
          <w:color w:val="000000"/>
          <w:shd w:val="clear" w:color="auto" w:fill="FFFFFF"/>
        </w:rPr>
        <w:t>the ignition of a ring burner in the course of, or for the preparation of, the manufacture of a prohibited drug, is a criminal act. No argument was advanced to contradict that proposition. It is in accord with the conclusion of this Court in</w:t>
      </w:r>
      <w:r w:rsidRPr="00F244EA">
        <w:rPr>
          <w:rStyle w:val="apple-converted-space"/>
          <w:color w:val="000000"/>
          <w:shd w:val="clear" w:color="auto" w:fill="FFFFFF"/>
        </w:rPr>
        <w:t> </w:t>
      </w:r>
      <w:r w:rsidRPr="00F244EA">
        <w:rPr>
          <w:i/>
          <w:iCs/>
          <w:color w:val="000000"/>
          <w:shd w:val="clear" w:color="auto" w:fill="FFFFFF"/>
        </w:rPr>
        <w:t>D</w:t>
      </w:r>
      <w:r w:rsidRPr="00F244EA">
        <w:rPr>
          <w:shd w:val="clear" w:color="auto" w:fill="FFFFFF"/>
        </w:rPr>
        <w:t>.</w:t>
      </w:r>
      <w:r w:rsidRPr="00F244EA">
        <w:rPr>
          <w:rStyle w:val="apple-converted-space"/>
          <w:color w:val="000000"/>
          <w:shd w:val="clear" w:color="auto" w:fill="FFFFFF"/>
        </w:rPr>
        <w:t> </w:t>
      </w:r>
      <w:r w:rsidRPr="00F244EA">
        <w:rPr>
          <w:color w:val="000000"/>
          <w:shd w:val="clear" w:color="auto" w:fill="FFFFFF"/>
        </w:rPr>
        <w:t>The act of ignition in those circumstances was an unlawful act.</w:t>
      </w:r>
      <w:r>
        <w:rPr>
          <w:lang w:val="en-GB"/>
        </w:rPr>
        <w:t>’</w:t>
      </w:r>
    </w:p>
  </w:footnote>
  <w:footnote w:id="39">
    <w:p w:rsidR="00D907FB" w:rsidRPr="00D907FB" w:rsidRDefault="00D907FB" w:rsidP="00E03352">
      <w:pPr>
        <w:pStyle w:val="FootnoteText"/>
        <w:jc w:val="both"/>
        <w:rPr>
          <w:lang w:val="en-GB"/>
        </w:rPr>
      </w:pPr>
      <w:r>
        <w:rPr>
          <w:rStyle w:val="FootnoteReference"/>
        </w:rPr>
        <w:footnoteRef/>
      </w:r>
      <w:r>
        <w:t xml:space="preserve"> </w:t>
      </w:r>
      <w:r>
        <w:rPr>
          <w:lang w:val="en-GB"/>
        </w:rPr>
        <w:t xml:space="preserve">Wilson, W, </w:t>
      </w:r>
      <w:r>
        <w:rPr>
          <w:i/>
          <w:lang w:val="en-GB"/>
        </w:rPr>
        <w:t xml:space="preserve">Criminal Law </w:t>
      </w:r>
      <w:r>
        <w:rPr>
          <w:lang w:val="en-GB"/>
        </w:rPr>
        <w:t>4</w:t>
      </w:r>
      <w:r w:rsidRPr="00D907FB">
        <w:rPr>
          <w:vertAlign w:val="superscript"/>
          <w:lang w:val="en-GB"/>
        </w:rPr>
        <w:t>th</w:t>
      </w:r>
      <w:r>
        <w:rPr>
          <w:lang w:val="en-GB"/>
        </w:rPr>
        <w:t xml:space="preserve"> </w:t>
      </w:r>
      <w:proofErr w:type="spellStart"/>
      <w:r>
        <w:rPr>
          <w:lang w:val="en-GB"/>
        </w:rPr>
        <w:t>ed</w:t>
      </w:r>
      <w:proofErr w:type="spellEnd"/>
      <w:r>
        <w:rPr>
          <w:lang w:val="en-GB"/>
        </w:rPr>
        <w:t xml:space="preserve"> (2011), Longman, at p.387</w:t>
      </w:r>
    </w:p>
  </w:footnote>
  <w:footnote w:id="40">
    <w:p w:rsidR="009D1AB1" w:rsidRPr="009D1AB1" w:rsidRDefault="009D1AB1" w:rsidP="00E03352">
      <w:pPr>
        <w:pStyle w:val="FootnoteText"/>
        <w:jc w:val="both"/>
        <w:rPr>
          <w:lang w:val="en-GB"/>
        </w:rPr>
      </w:pPr>
      <w:r>
        <w:rPr>
          <w:rStyle w:val="FootnoteReference"/>
        </w:rPr>
        <w:footnoteRef/>
      </w:r>
      <w:r>
        <w:t xml:space="preserve"> </w:t>
      </w:r>
      <w:r w:rsidRPr="009D1AB1">
        <w:rPr>
          <w:color w:val="000000"/>
          <w:lang w:val="en"/>
        </w:rPr>
        <w:t xml:space="preserve">Mitchell, </w:t>
      </w:r>
      <w:r>
        <w:rPr>
          <w:color w:val="000000"/>
          <w:lang w:val="en"/>
        </w:rPr>
        <w:t xml:space="preserve">B, </w:t>
      </w:r>
      <w:r w:rsidRPr="009D1AB1">
        <w:rPr>
          <w:i/>
        </w:rPr>
        <w:t xml:space="preserve">More Thoughts about Unlawful and Dangerous Act Manslaughter and the One-Punch Killer </w:t>
      </w:r>
      <w:r w:rsidRPr="009D1AB1">
        <w:t xml:space="preserve">[2009] </w:t>
      </w:r>
      <w:proofErr w:type="spellStart"/>
      <w:r w:rsidRPr="009D1AB1">
        <w:t>Crim</w:t>
      </w:r>
      <w:proofErr w:type="spellEnd"/>
      <w:r w:rsidRPr="009D1AB1">
        <w:t xml:space="preserve"> LR 502</w:t>
      </w:r>
      <w:r w:rsidR="005A00FC">
        <w:t xml:space="preserve"> at p.504</w:t>
      </w:r>
    </w:p>
  </w:footnote>
  <w:footnote w:id="41">
    <w:p w:rsidR="00F8652E" w:rsidRPr="00F244EA" w:rsidRDefault="00F8652E" w:rsidP="00E03352">
      <w:pPr>
        <w:pStyle w:val="FootnoteText"/>
        <w:jc w:val="both"/>
      </w:pPr>
      <w:r w:rsidRPr="00F244EA">
        <w:rPr>
          <w:rStyle w:val="FootnoteReference"/>
        </w:rPr>
        <w:footnoteRef/>
      </w:r>
      <w:r w:rsidRPr="00F244EA">
        <w:rPr>
          <w:lang w:val="en-GB"/>
        </w:rPr>
        <w:t xml:space="preserve"> [1967] 2 QB 981</w:t>
      </w:r>
    </w:p>
  </w:footnote>
  <w:footnote w:id="42">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p.988</w:t>
      </w:r>
    </w:p>
  </w:footnote>
  <w:footnote w:id="43">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[1988] Crim LR 314</w:t>
      </w:r>
    </w:p>
  </w:footnote>
  <w:footnote w:id="44">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[1990] Crim LR 588</w:t>
      </w:r>
    </w:p>
  </w:footnote>
  <w:footnote w:id="45">
    <w:p w:rsidR="00F8652E" w:rsidRPr="00F244EA" w:rsidRDefault="00F8652E" w:rsidP="00E03352">
      <w:pPr>
        <w:pStyle w:val="FootnoteText"/>
        <w:jc w:val="both"/>
        <w:rPr>
          <w:lang w:val="en-GB"/>
        </w:rPr>
      </w:pPr>
      <w:r w:rsidRPr="00F244EA">
        <w:rPr>
          <w:rStyle w:val="FootnoteReference"/>
        </w:rPr>
        <w:footnoteRef/>
      </w:r>
      <w:r w:rsidRPr="00F244EA">
        <w:t xml:space="preserve"> Contrary to s 1 of the Prevention of Crime Act 1953</w:t>
      </w:r>
    </w:p>
  </w:footnote>
  <w:footnote w:id="46">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[2006] EWCA Crim 1139</w:t>
      </w:r>
    </w:p>
  </w:footnote>
  <w:footnote w:id="47">
    <w:p w:rsidR="00F8652E" w:rsidRPr="00F244EA" w:rsidRDefault="00F8652E" w:rsidP="00E03352">
      <w:pPr>
        <w:pStyle w:val="FootnoteText"/>
        <w:jc w:val="both"/>
      </w:pPr>
      <w:r w:rsidRPr="00F244EA">
        <w:rPr>
          <w:rStyle w:val="FootnoteReference"/>
        </w:rPr>
        <w:footnoteRef/>
      </w:r>
      <w:r w:rsidRPr="00F244EA">
        <w:t xml:space="preserve"> C</w:t>
      </w:r>
      <w:proofErr w:type="spellStart"/>
      <w:r w:rsidRPr="00F244EA">
        <w:rPr>
          <w:lang w:val="en-GB" w:eastAsia="en-GB"/>
        </w:rPr>
        <w:t>ontrary</w:t>
      </w:r>
      <w:proofErr w:type="spellEnd"/>
      <w:r w:rsidRPr="00F244EA">
        <w:rPr>
          <w:lang w:val="en-GB" w:eastAsia="en-GB"/>
        </w:rPr>
        <w:t xml:space="preserve"> to </w:t>
      </w:r>
      <w:proofErr w:type="spellStart"/>
      <w:r w:rsidRPr="00F244EA">
        <w:rPr>
          <w:lang w:val="en-GB" w:eastAsia="en-GB"/>
        </w:rPr>
        <w:t>ss</w:t>
      </w:r>
      <w:proofErr w:type="spellEnd"/>
      <w:r w:rsidRPr="00F244EA">
        <w:rPr>
          <w:lang w:val="en-GB" w:eastAsia="en-GB"/>
        </w:rPr>
        <w:t xml:space="preserve"> 47 and 20, OAPA 1861, respectively</w:t>
      </w:r>
    </w:p>
  </w:footnote>
  <w:footnote w:id="48">
    <w:p w:rsidR="00F8652E" w:rsidRPr="00F244EA" w:rsidRDefault="00F8652E" w:rsidP="00E03352">
      <w:pPr>
        <w:pStyle w:val="FootnoteText"/>
        <w:jc w:val="both"/>
        <w:rPr>
          <w:lang w:val="en-GB"/>
        </w:rPr>
      </w:pPr>
      <w:r w:rsidRPr="00F244EA">
        <w:rPr>
          <w:rStyle w:val="FootnoteReference"/>
        </w:rPr>
        <w:footnoteRef/>
      </w:r>
      <w:r w:rsidRPr="00F244EA">
        <w:t xml:space="preserve"> 1995 ABCA 196, Court of Appeal of Alberta</w:t>
      </w:r>
    </w:p>
  </w:footnote>
  <w:footnote w:id="49">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[12]</w:t>
      </w:r>
    </w:p>
  </w:footnote>
  <w:footnote w:id="50">
    <w:p w:rsidR="00F8652E" w:rsidRPr="00F244EA" w:rsidRDefault="00F8652E" w:rsidP="00E03352">
      <w:pPr>
        <w:pStyle w:val="FootnoteText"/>
        <w:jc w:val="both"/>
        <w:rPr>
          <w:lang w:val="en-GB"/>
        </w:rPr>
      </w:pPr>
      <w:r w:rsidRPr="00F244EA">
        <w:rPr>
          <w:rStyle w:val="FootnoteReference"/>
        </w:rPr>
        <w:footnoteRef/>
      </w:r>
      <w:r w:rsidRPr="00F244EA">
        <w:t xml:space="preserve"> [1993] 3 SCR 3, Supreme Court of Canada</w:t>
      </w:r>
    </w:p>
  </w:footnote>
  <w:footnote w:id="51">
    <w:p w:rsidR="00F8652E" w:rsidRPr="00F244EA" w:rsidRDefault="00F8652E" w:rsidP="00E03352">
      <w:pPr>
        <w:pStyle w:val="FootnoteText"/>
        <w:jc w:val="both"/>
        <w:rPr>
          <w:lang w:val="en-GB"/>
        </w:rPr>
      </w:pPr>
      <w:r w:rsidRPr="00F244EA">
        <w:rPr>
          <w:rStyle w:val="FootnoteReference"/>
        </w:rPr>
        <w:footnoteRef/>
      </w:r>
      <w:r w:rsidRPr="00F244EA">
        <w:t xml:space="preserve"> As she then was</w:t>
      </w:r>
    </w:p>
  </w:footnote>
  <w:footnote w:id="52">
    <w:p w:rsidR="00F8652E" w:rsidRPr="00F244EA" w:rsidRDefault="00F8652E" w:rsidP="00E03352">
      <w:pPr>
        <w:pStyle w:val="FootnoteText"/>
        <w:jc w:val="both"/>
      </w:pPr>
      <w:r w:rsidRPr="00F244EA">
        <w:rPr>
          <w:rStyle w:val="FootnoteReference"/>
        </w:rPr>
        <w:footnoteRef/>
      </w:r>
      <w:r w:rsidRPr="00F244EA">
        <w:t xml:space="preserve"> [1993] 3 SCR 3</w:t>
      </w:r>
      <w:r>
        <w:t>,</w:t>
      </w:r>
      <w:r w:rsidRPr="00F244EA">
        <w:t xml:space="preserve"> at p.42</w:t>
      </w:r>
    </w:p>
  </w:footnote>
  <w:footnote w:id="53">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p.25</w:t>
      </w:r>
    </w:p>
  </w:footnote>
  <w:footnote w:id="54">
    <w:p w:rsidR="00F8652E" w:rsidRPr="00F244EA" w:rsidRDefault="00F8652E" w:rsidP="00E03352">
      <w:pPr>
        <w:jc w:val="both"/>
        <w:rPr>
          <w:sz w:val="20"/>
          <w:szCs w:val="20"/>
        </w:rPr>
      </w:pPr>
      <w:r w:rsidRPr="00F244EA">
        <w:rPr>
          <w:rStyle w:val="FootnoteReference"/>
          <w:sz w:val="20"/>
          <w:szCs w:val="20"/>
        </w:rPr>
        <w:footnoteRef/>
      </w:r>
      <w:r w:rsidRPr="00F244EA">
        <w:rPr>
          <w:sz w:val="20"/>
          <w:szCs w:val="20"/>
        </w:rPr>
        <w:t xml:space="preserve"> </w:t>
      </w:r>
      <w:r w:rsidRPr="00F244EA">
        <w:rPr>
          <w:sz w:val="20"/>
          <w:szCs w:val="20"/>
          <w:lang w:eastAsia="zh-CN"/>
        </w:rPr>
        <w:t>[2006] 7 WWR 102; 199 CCC (3d) 551; 31 CR (6th) 187; 195 Man R (2d) 89, Manitoba Court of Appeal</w:t>
      </w:r>
    </w:p>
  </w:footnote>
  <w:footnote w:id="55">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rPr>
          <w:i/>
        </w:rPr>
        <w:t xml:space="preserve"> </w:t>
      </w:r>
      <w:r w:rsidRPr="00F244EA">
        <w:t>at [19]</w:t>
      </w:r>
    </w:p>
  </w:footnote>
  <w:footnote w:id="56">
    <w:p w:rsidR="00F8652E" w:rsidRPr="00F244EA" w:rsidRDefault="00F8652E" w:rsidP="00E03352">
      <w:pPr>
        <w:pStyle w:val="FootnoteText"/>
        <w:jc w:val="both"/>
      </w:pPr>
      <w:r w:rsidRPr="00F244EA">
        <w:rPr>
          <w:rStyle w:val="FootnoteReference"/>
        </w:rPr>
        <w:footnoteRef/>
      </w:r>
      <w:r w:rsidRPr="00F244EA">
        <w:t xml:space="preserve"> Roberts, G, </w:t>
      </w:r>
      <w:r w:rsidRPr="00F244EA">
        <w:rPr>
          <w:i/>
        </w:rPr>
        <w:t>Unlawful and Dangerous Act Manslaughter: R v Wills</w:t>
      </w:r>
      <w:r w:rsidRPr="00F244EA">
        <w:t xml:space="preserve"> (1984) 10(4) Monash University Law Review 228 at p.228; emphasis added</w:t>
      </w:r>
    </w:p>
  </w:footnote>
  <w:footnote w:id="57">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1971] HCA 20; (1971) 124 CLR 107</w:t>
      </w:r>
      <w:r w:rsidRPr="00F244EA">
        <w:t>, High Court of Australia</w:t>
      </w:r>
    </w:p>
  </w:footnote>
  <w:footnote w:id="58">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[30]</w:t>
      </w:r>
    </w:p>
  </w:footnote>
  <w:footnote w:id="59">
    <w:p w:rsidR="00F8652E" w:rsidRPr="00F244EA" w:rsidRDefault="00F8652E" w:rsidP="00E03352">
      <w:pPr>
        <w:pStyle w:val="FootnoteText"/>
        <w:jc w:val="both"/>
        <w:rPr>
          <w:lang w:val="en-GB"/>
        </w:rPr>
      </w:pPr>
      <w:r w:rsidRPr="00F244EA">
        <w:rPr>
          <w:rStyle w:val="FootnoteReference"/>
        </w:rPr>
        <w:footnoteRef/>
      </w:r>
      <w:r w:rsidRPr="00F244EA">
        <w:t xml:space="preserve"> C</w:t>
      </w:r>
      <w:r w:rsidRPr="00F244EA">
        <w:rPr>
          <w:shd w:val="clear" w:color="auto" w:fill="FFFFFF"/>
        </w:rPr>
        <w:t xml:space="preserve">ontrary to s 75(1A) of the Police &amp; Police Offences Ordinance 1923 of the Northern Territory. </w:t>
      </w:r>
      <w:proofErr w:type="spellStart"/>
      <w:r w:rsidRPr="00F244EA">
        <w:rPr>
          <w:shd w:val="clear" w:color="auto" w:fill="FFFFFF"/>
        </w:rPr>
        <w:t>McTiernan</w:t>
      </w:r>
      <w:proofErr w:type="spellEnd"/>
      <w:r w:rsidRPr="00F244EA">
        <w:rPr>
          <w:shd w:val="clear" w:color="auto" w:fill="FFFFFF"/>
        </w:rPr>
        <w:t xml:space="preserve"> J said that </w:t>
      </w:r>
      <w:r>
        <w:rPr>
          <w:shd w:val="clear" w:color="auto" w:fill="FFFFFF"/>
        </w:rPr>
        <w:t>‘</w:t>
      </w:r>
      <w:r w:rsidRPr="00F244EA">
        <w:rPr>
          <w:color w:val="000000"/>
          <w:shd w:val="clear" w:color="auto" w:fill="FFFFFF"/>
        </w:rPr>
        <w:t>the accused committed an act, resulting in the death of the deceased, which was punishable under this provision of the Ordinance. It was therefore an unlawful act</w:t>
      </w:r>
      <w:r>
        <w:rPr>
          <w:shd w:val="clear" w:color="auto" w:fill="FFFFFF"/>
        </w:rPr>
        <w:t>’</w:t>
      </w:r>
      <w:r w:rsidRPr="00F244EA">
        <w:rPr>
          <w:shd w:val="clear" w:color="auto" w:fill="FFFFFF"/>
        </w:rPr>
        <w:t xml:space="preserve">. </w:t>
      </w:r>
      <w:r>
        <w:rPr>
          <w:i/>
          <w:shd w:val="clear" w:color="auto" w:fill="FFFFFF"/>
        </w:rPr>
        <w:t>Ibid.</w:t>
      </w:r>
      <w:r w:rsidRPr="00F244EA">
        <w:rPr>
          <w:shd w:val="clear" w:color="auto" w:fill="FFFFFF"/>
        </w:rPr>
        <w:t xml:space="preserve"> at [3]</w:t>
      </w:r>
    </w:p>
  </w:footnote>
  <w:footnote w:id="60">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1971] HCA 20</w:t>
      </w:r>
      <w:r>
        <w:rPr>
          <w:lang w:val="en-GB"/>
        </w:rPr>
        <w:t>,</w:t>
      </w:r>
      <w:r w:rsidRPr="00F244EA">
        <w:rPr>
          <w:lang w:val="en-GB"/>
        </w:rPr>
        <w:t xml:space="preserve"> at [17] (Menzies J) and [2] (Owen J)</w:t>
      </w:r>
    </w:p>
  </w:footnote>
  <w:footnote w:id="61">
    <w:p w:rsidR="00F8652E" w:rsidRPr="00F244EA" w:rsidRDefault="00F8652E" w:rsidP="00E03352">
      <w:pPr>
        <w:pStyle w:val="FootnoteText"/>
        <w:jc w:val="both"/>
        <w:rPr>
          <w:lang w:val="en-GB"/>
        </w:rPr>
      </w:pPr>
      <w:r w:rsidRPr="00F244EA">
        <w:rPr>
          <w:rStyle w:val="FootnoteReference"/>
        </w:rPr>
        <w:footnoteRef/>
      </w:r>
      <w:r w:rsidRPr="00F244EA">
        <w:t xml:space="preserve"> </w:t>
      </w:r>
      <w:r>
        <w:rPr>
          <w:lang w:val="en-GB"/>
        </w:rPr>
        <w:t>[1983] 2 VR 201, Supreme Court of Victoria</w:t>
      </w:r>
    </w:p>
  </w:footnote>
  <w:footnote w:id="62">
    <w:p w:rsidR="00F8652E" w:rsidRPr="00F244EA" w:rsidRDefault="00F8652E" w:rsidP="00E03352">
      <w:pPr>
        <w:pStyle w:val="FootnoteText"/>
        <w:jc w:val="both"/>
        <w:rPr>
          <w:lang w:val="en-GB"/>
        </w:rPr>
      </w:pPr>
      <w:r w:rsidRPr="00F244EA">
        <w:rPr>
          <w:rStyle w:val="FootnoteReference"/>
        </w:rPr>
        <w:footnoteRef/>
      </w:r>
      <w:r w:rsidRPr="00F244EA">
        <w:t xml:space="preserve"> Roberts, G, </w:t>
      </w:r>
      <w:r>
        <w:rPr>
          <w:i/>
        </w:rPr>
        <w:t>op. cit.</w:t>
      </w:r>
      <w:r w:rsidRPr="00F244EA">
        <w:t xml:space="preserve"> at p.230</w:t>
      </w:r>
    </w:p>
  </w:footnote>
  <w:footnote w:id="63">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[1993] 4 All ER 629</w:t>
      </w:r>
    </w:p>
  </w:footnote>
  <w:footnote w:id="64">
    <w:p w:rsidR="00E03352" w:rsidRPr="00F244EA" w:rsidRDefault="00E03352" w:rsidP="00E03352">
      <w:pPr>
        <w:pStyle w:val="FootnoteText"/>
        <w:jc w:val="both"/>
      </w:pPr>
      <w:r w:rsidRPr="00F244EA">
        <w:rPr>
          <w:rStyle w:val="FootnoteReference"/>
        </w:rPr>
        <w:footnoteRef/>
      </w:r>
      <w:r w:rsidRPr="00F244EA">
        <w:t xml:space="preserve"> </w:t>
      </w:r>
      <w:r w:rsidRPr="00F244EA">
        <w:rPr>
          <w:bCs/>
        </w:rPr>
        <w:t>[2005] 1 SCR 627, Supreme Court of Canada</w:t>
      </w:r>
    </w:p>
  </w:footnote>
  <w:footnote w:id="65">
    <w:p w:rsidR="00E03352" w:rsidRPr="00F244EA" w:rsidRDefault="00E03352" w:rsidP="00E03352">
      <w:pPr>
        <w:pStyle w:val="FootnoteText"/>
        <w:jc w:val="both"/>
      </w:pPr>
      <w:r w:rsidRPr="00F244EA">
        <w:rPr>
          <w:rStyle w:val="FootnoteReference"/>
        </w:rPr>
        <w:footnoteRef/>
      </w:r>
      <w:r w:rsidRPr="00F244EA">
        <w:t xml:space="preserve"> D had been charged with second degree murder with unlawful act manslaughter as an alternative. He had been convicted of murder but the Supreme Court accepted that the trial judge, by (</w:t>
      </w:r>
      <w:proofErr w:type="spellStart"/>
      <w:r w:rsidRPr="00F244EA">
        <w:t>i</w:t>
      </w:r>
      <w:proofErr w:type="spellEnd"/>
      <w:r w:rsidRPr="00F244EA">
        <w:t>) directing the jury that D</w:t>
      </w:r>
      <w:r>
        <w:t>’</w:t>
      </w:r>
      <w:r w:rsidRPr="00F244EA">
        <w:t xml:space="preserve">s handling of his shotgun was, in law, the offence of careless use a of a firearm and (ii) withdrawing the </w:t>
      </w:r>
      <w:proofErr w:type="spellStart"/>
      <w:r w:rsidRPr="00F244EA">
        <w:t>defence</w:t>
      </w:r>
      <w:proofErr w:type="spellEnd"/>
      <w:r w:rsidRPr="00F244EA">
        <w:t xml:space="preserve"> of property from the jury</w:t>
      </w:r>
      <w:r>
        <w:t>’</w:t>
      </w:r>
      <w:r w:rsidRPr="00F244EA">
        <w:t xml:space="preserve">s consideration, had </w:t>
      </w:r>
      <w:r>
        <w:t>‘</w:t>
      </w:r>
      <w:r w:rsidRPr="00F244EA">
        <w:t>usurped the exclusive domain of the jury</w:t>
      </w:r>
      <w:r>
        <w:t>’</w:t>
      </w:r>
      <w:r w:rsidRPr="00F244EA">
        <w:t xml:space="preserve">. Absent the </w:t>
      </w:r>
      <w:proofErr w:type="spellStart"/>
      <w:r w:rsidRPr="00F244EA">
        <w:t>misdirections</w:t>
      </w:r>
      <w:proofErr w:type="spellEnd"/>
      <w:r w:rsidRPr="00F244EA">
        <w:t>, the jury may have acquitted of murder and convicted of manslaughter instead or they may have acquitted on all counts.</w:t>
      </w:r>
    </w:p>
  </w:footnote>
  <w:footnote w:id="66">
    <w:p w:rsidR="00E03352" w:rsidRPr="00F244EA" w:rsidRDefault="00E03352" w:rsidP="00E03352">
      <w:pPr>
        <w:pStyle w:val="FootnoteText"/>
        <w:jc w:val="both"/>
        <w:rPr>
          <w:lang w:val="en-GB"/>
        </w:rPr>
      </w:pPr>
      <w:r w:rsidRPr="00F244EA">
        <w:rPr>
          <w:rStyle w:val="FootnoteReference"/>
        </w:rPr>
        <w:footnoteRef/>
      </w:r>
      <w:r w:rsidRPr="00F244EA">
        <w:t xml:space="preserve"> [2008] SASC 96, South Australia Court of Criminal Appeal</w:t>
      </w:r>
    </w:p>
  </w:footnote>
  <w:footnote w:id="67">
    <w:p w:rsidR="00E03352" w:rsidRPr="00F244EA" w:rsidRDefault="00E03352" w:rsidP="00E03352">
      <w:pPr>
        <w:pStyle w:val="FootnoteText"/>
        <w:jc w:val="both"/>
        <w:rPr>
          <w:lang w:val="en-GB"/>
        </w:rPr>
      </w:pPr>
      <w:r w:rsidRPr="00F244EA">
        <w:rPr>
          <w:rStyle w:val="FootnoteReference"/>
        </w:rPr>
        <w:footnoteRef/>
      </w:r>
      <w:r w:rsidRPr="00F244EA">
        <w:t xml:space="preserve"> See also </w:t>
      </w:r>
      <w:r w:rsidRPr="00F244EA">
        <w:rPr>
          <w:i/>
          <w:lang w:val="en-GB"/>
        </w:rPr>
        <w:t>Schaffer</w:t>
      </w:r>
      <w:r w:rsidRPr="00F244EA">
        <w:rPr>
          <w:lang w:val="en-GB"/>
        </w:rPr>
        <w:t xml:space="preserve"> (2005) 13 VR 337; (2005) 159 A Crim R 101, </w:t>
      </w:r>
      <w:r w:rsidRPr="00F244EA">
        <w:t>Victoria Court of Appeal, at [88]</w:t>
      </w:r>
    </w:p>
  </w:footnote>
  <w:footnote w:id="68">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[1995] Crim LR 570</w:t>
      </w:r>
    </w:p>
  </w:footnote>
  <w:footnote w:id="69">
    <w:p w:rsidR="00E03352" w:rsidRPr="00F244EA" w:rsidRDefault="00E03352" w:rsidP="00E03352">
      <w:pPr>
        <w:pStyle w:val="FootnoteText"/>
        <w:jc w:val="both"/>
      </w:pPr>
      <w:r w:rsidRPr="00F244EA">
        <w:rPr>
          <w:rStyle w:val="FootnoteReference"/>
        </w:rPr>
        <w:footnoteRef/>
      </w:r>
      <w:r w:rsidRPr="00F244EA">
        <w:t xml:space="preserve"> [1991] 2 SCR 714, Supreme Court of Canada</w:t>
      </w:r>
    </w:p>
  </w:footnote>
  <w:footnote w:id="70">
    <w:p w:rsidR="00E03352" w:rsidRPr="00F244EA" w:rsidRDefault="00E03352" w:rsidP="00E03352">
      <w:pPr>
        <w:pStyle w:val="FootnoteText"/>
        <w:jc w:val="both"/>
      </w:pPr>
      <w:r w:rsidRPr="00F244EA">
        <w:rPr>
          <w:rStyle w:val="FootnoteReference"/>
        </w:rPr>
        <w:footnoteRef/>
      </w:r>
      <w:r w:rsidRPr="00F244EA">
        <w:t xml:space="preserve"> (2010) 25 VR 593, Court of Appeal of Victoria</w:t>
      </w:r>
    </w:p>
  </w:footnote>
  <w:footnote w:id="71">
    <w:p w:rsidR="00E03352" w:rsidRPr="00F244EA" w:rsidRDefault="00E03352" w:rsidP="00E03352">
      <w:pPr>
        <w:pStyle w:val="FootnoteText"/>
        <w:jc w:val="both"/>
      </w:pPr>
      <w:r w:rsidRPr="00F244EA">
        <w:rPr>
          <w:rStyle w:val="FootnoteReference"/>
        </w:rPr>
        <w:footnoteRef/>
      </w:r>
      <w:r w:rsidRPr="00F244EA">
        <w:t xml:space="preserve"> (2007) 18 VR 376, (2007) 179 A </w:t>
      </w:r>
      <w:proofErr w:type="spellStart"/>
      <w:r w:rsidRPr="00F244EA">
        <w:t>Crim</w:t>
      </w:r>
      <w:proofErr w:type="spellEnd"/>
      <w:r w:rsidRPr="00F244EA">
        <w:t xml:space="preserve"> R 360, Court of Appeal of Victoria</w:t>
      </w:r>
    </w:p>
  </w:footnote>
  <w:footnote w:id="72">
    <w:p w:rsidR="00E03352" w:rsidRPr="00F244EA" w:rsidRDefault="00E03352" w:rsidP="00E03352">
      <w:pPr>
        <w:pStyle w:val="FootnoteText"/>
        <w:jc w:val="both"/>
      </w:pPr>
      <w:r w:rsidRPr="00F244EA">
        <w:rPr>
          <w:rStyle w:val="FootnoteReference"/>
        </w:rPr>
        <w:footnoteRef/>
      </w:r>
      <w:r w:rsidRPr="00F244EA">
        <w:t xml:space="preserve"> </w:t>
      </w:r>
      <w:r>
        <w:rPr>
          <w:i/>
        </w:rPr>
        <w:t>Ibid.</w:t>
      </w:r>
      <w:r w:rsidRPr="00F244EA">
        <w:t xml:space="preserve"> at [18]</w:t>
      </w:r>
    </w:p>
  </w:footnote>
  <w:footnote w:id="73">
    <w:p w:rsidR="00E03352" w:rsidRPr="00F244EA" w:rsidRDefault="00E03352" w:rsidP="00E03352">
      <w:pPr>
        <w:pStyle w:val="FootnoteText"/>
        <w:jc w:val="both"/>
      </w:pPr>
      <w:r w:rsidRPr="00F244EA">
        <w:rPr>
          <w:rStyle w:val="FootnoteReference"/>
        </w:rPr>
        <w:footnoteRef/>
      </w:r>
      <w:r w:rsidRPr="00F244EA">
        <w:t xml:space="preserve"> </w:t>
      </w:r>
      <w:r>
        <w:rPr>
          <w:i/>
        </w:rPr>
        <w:t>Ibid.</w:t>
      </w:r>
      <w:r w:rsidRPr="00F244EA">
        <w:t xml:space="preserve"> at [22]. Here the Victoria Court of Appeal relied on </w:t>
      </w:r>
      <w:r w:rsidRPr="00F244EA">
        <w:rPr>
          <w:i/>
        </w:rPr>
        <w:t>Brown</w:t>
      </w:r>
      <w:r w:rsidRPr="00F244EA">
        <w:t xml:space="preserve"> [1994] 1 AC 212 and </w:t>
      </w:r>
      <w:r w:rsidRPr="00F244EA">
        <w:rPr>
          <w:i/>
        </w:rPr>
        <w:t>Emmett</w:t>
      </w:r>
      <w:r w:rsidRPr="00F244EA">
        <w:t xml:space="preserve"> [1999] EWCA </w:t>
      </w:r>
      <w:proofErr w:type="spellStart"/>
      <w:r w:rsidRPr="00F244EA">
        <w:t>Crim</w:t>
      </w:r>
      <w:proofErr w:type="spellEnd"/>
      <w:r w:rsidRPr="00F244EA">
        <w:t xml:space="preserve"> 1710</w:t>
      </w:r>
    </w:p>
  </w:footnote>
  <w:footnote w:id="74">
    <w:p w:rsidR="00E03352" w:rsidRPr="00F244EA" w:rsidRDefault="00E03352" w:rsidP="00E03352">
      <w:pPr>
        <w:pStyle w:val="FootnoteText"/>
        <w:jc w:val="both"/>
        <w:rPr>
          <w:lang w:val="en-GB"/>
        </w:rPr>
      </w:pPr>
      <w:r w:rsidRPr="00F244EA">
        <w:rPr>
          <w:rStyle w:val="FootnoteReference"/>
        </w:rPr>
        <w:footnoteRef/>
      </w:r>
      <w:r w:rsidRPr="00F244EA">
        <w:t xml:space="preserve"> </w:t>
      </w:r>
      <w:r w:rsidRPr="00F244EA">
        <w:rPr>
          <w:bCs/>
          <w:iCs/>
        </w:rPr>
        <w:t>(2008) 225 Man R (2d) 167, Manitoba Court of Appeal</w:t>
      </w:r>
    </w:p>
  </w:footnote>
  <w:footnote w:id="75">
    <w:p w:rsidR="00E03352" w:rsidRPr="00F244EA" w:rsidRDefault="00E03352" w:rsidP="00E03352">
      <w:pPr>
        <w:pStyle w:val="FootnoteText"/>
        <w:jc w:val="both"/>
      </w:pPr>
      <w:r w:rsidRPr="00F244EA">
        <w:rPr>
          <w:rStyle w:val="FootnoteReference"/>
        </w:rPr>
        <w:footnoteRef/>
      </w:r>
      <w:r w:rsidRPr="00F244EA">
        <w:t xml:space="preserve"> </w:t>
      </w:r>
      <w:r>
        <w:rPr>
          <w:i/>
        </w:rPr>
        <w:t>Ibid.</w:t>
      </w:r>
      <w:r w:rsidRPr="00F244EA">
        <w:t xml:space="preserve"> at [33]</w:t>
      </w:r>
    </w:p>
  </w:footnote>
  <w:footnote w:id="76">
    <w:p w:rsidR="00E03352" w:rsidRPr="00F244EA" w:rsidRDefault="00E03352" w:rsidP="00E03352">
      <w:pPr>
        <w:pStyle w:val="FootnoteText"/>
        <w:jc w:val="both"/>
      </w:pPr>
      <w:r w:rsidRPr="00F244EA">
        <w:rPr>
          <w:rStyle w:val="FootnoteReference"/>
        </w:rPr>
        <w:footnoteRef/>
      </w:r>
      <w:r w:rsidRPr="00F244EA">
        <w:t xml:space="preserve"> This dichotomy is recognized in English and Canadian common law but not in Australia</w:t>
      </w:r>
    </w:p>
  </w:footnote>
  <w:footnote w:id="77">
    <w:p w:rsidR="00E03352" w:rsidRPr="00F244EA" w:rsidRDefault="00E03352" w:rsidP="00E03352">
      <w:pPr>
        <w:pStyle w:val="FootnoteText"/>
        <w:jc w:val="both"/>
        <w:rPr>
          <w:lang w:val="en-GB"/>
        </w:rPr>
      </w:pPr>
      <w:r w:rsidRPr="00F244EA">
        <w:rPr>
          <w:rStyle w:val="FootnoteReference"/>
        </w:rPr>
        <w:footnoteRef/>
      </w:r>
      <w:r w:rsidRPr="00F244EA">
        <w:t xml:space="preserve"> </w:t>
      </w:r>
      <w:r w:rsidRPr="00F244EA">
        <w:rPr>
          <w:i/>
          <w:lang w:val="en-GB" w:eastAsia="en-GB"/>
        </w:rPr>
        <w:t>Bratty v Attorney-General for Northern Ireland</w:t>
      </w:r>
      <w:r w:rsidRPr="00F244EA">
        <w:rPr>
          <w:lang w:val="en-GB" w:eastAsia="en-GB"/>
        </w:rPr>
        <w:t xml:space="preserve"> [1963] AC 386; </w:t>
      </w:r>
      <w:r w:rsidRPr="00F244EA">
        <w:rPr>
          <w:i/>
          <w:lang w:val="en-GB" w:eastAsia="en-GB"/>
        </w:rPr>
        <w:t xml:space="preserve">DPP v </w:t>
      </w:r>
      <w:proofErr w:type="spellStart"/>
      <w:r w:rsidRPr="00F244EA">
        <w:rPr>
          <w:i/>
          <w:lang w:val="en-GB" w:eastAsia="en-GB"/>
        </w:rPr>
        <w:t>Majewski</w:t>
      </w:r>
      <w:proofErr w:type="spellEnd"/>
      <w:r w:rsidRPr="00F244EA">
        <w:rPr>
          <w:lang w:val="en-GB" w:eastAsia="en-GB"/>
        </w:rPr>
        <w:t xml:space="preserve"> </w:t>
      </w:r>
      <w:r w:rsidRPr="00F244EA">
        <w:rPr>
          <w:lang w:val="en-GB"/>
        </w:rPr>
        <w:t>[1977] AC 443</w:t>
      </w:r>
    </w:p>
  </w:footnote>
  <w:footnote w:id="78">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w:t>
      </w:r>
      <w:r w:rsidRPr="00F244EA">
        <w:rPr>
          <w:lang w:val="en-GB" w:eastAsia="en-GB"/>
        </w:rPr>
        <w:t>[1970] 1 QB 152; [1969] 3 WLR 819</w:t>
      </w:r>
    </w:p>
  </w:footnote>
  <w:footnote w:id="79">
    <w:p w:rsidR="00E03352" w:rsidRPr="00F244EA" w:rsidRDefault="00E03352" w:rsidP="00E03352">
      <w:pPr>
        <w:pStyle w:val="FootnoteText"/>
        <w:jc w:val="both"/>
      </w:pPr>
      <w:r w:rsidRPr="00F244EA">
        <w:rPr>
          <w:rStyle w:val="FootnoteReference"/>
        </w:rPr>
        <w:footnoteRef/>
      </w:r>
      <w:r w:rsidRPr="00F244EA">
        <w:t xml:space="preserve"> </w:t>
      </w:r>
      <w:r w:rsidRPr="00F244EA">
        <w:rPr>
          <w:color w:val="000000"/>
        </w:rPr>
        <w:t>(1977) 65 Cr. App. R. 50</w:t>
      </w:r>
    </w:p>
  </w:footnote>
  <w:footnote w:id="80">
    <w:p w:rsidR="00E03352" w:rsidRPr="00F244EA" w:rsidRDefault="00E03352" w:rsidP="00E03352">
      <w:pPr>
        <w:pStyle w:val="FootnoteText"/>
        <w:jc w:val="both"/>
      </w:pPr>
      <w:r w:rsidRPr="00F244EA">
        <w:rPr>
          <w:rStyle w:val="FootnoteReference"/>
        </w:rPr>
        <w:footnoteRef/>
      </w:r>
      <w:r w:rsidRPr="00F244EA">
        <w:t xml:space="preserve"> Wilson,  L C, </w:t>
      </w:r>
      <w:r w:rsidRPr="00F244EA">
        <w:rPr>
          <w:i/>
        </w:rPr>
        <w:t>Too Many Manslaughters</w:t>
      </w:r>
      <w:r w:rsidRPr="00F244EA">
        <w:t xml:space="preserve"> (2007) 52  </w:t>
      </w:r>
      <w:proofErr w:type="spellStart"/>
      <w:r w:rsidRPr="00F244EA">
        <w:t>Crim</w:t>
      </w:r>
      <w:proofErr w:type="spellEnd"/>
      <w:r w:rsidRPr="00F244EA">
        <w:t xml:space="preserve"> LQ 433 at pp.458-459</w:t>
      </w:r>
    </w:p>
  </w:footnote>
  <w:footnote w:id="81">
    <w:p w:rsidR="00E03352" w:rsidRPr="00F244EA" w:rsidRDefault="00E03352" w:rsidP="00E03352">
      <w:pPr>
        <w:pStyle w:val="FootnoteText"/>
        <w:jc w:val="both"/>
      </w:pPr>
      <w:r w:rsidRPr="00F244EA">
        <w:rPr>
          <w:rStyle w:val="FootnoteReference"/>
        </w:rPr>
        <w:footnoteRef/>
      </w:r>
      <w:r w:rsidRPr="00F244EA">
        <w:t xml:space="preserve"> Allen, M J, </w:t>
      </w:r>
      <w:r w:rsidR="00653CFD" w:rsidRPr="00F244EA">
        <w:rPr>
          <w:i/>
        </w:rPr>
        <w:t>Textbook on Criminal Law</w:t>
      </w:r>
      <w:r w:rsidR="00653CFD" w:rsidRPr="00F244EA">
        <w:t>, 13</w:t>
      </w:r>
      <w:r w:rsidR="00653CFD" w:rsidRPr="00F244EA">
        <w:rPr>
          <w:vertAlign w:val="superscript"/>
        </w:rPr>
        <w:t>th</w:t>
      </w:r>
      <w:r w:rsidR="00653CFD" w:rsidRPr="00F244EA">
        <w:t xml:space="preserve"> edition (2015), Oxford University Press</w:t>
      </w:r>
      <w:r w:rsidRPr="00F244EA">
        <w:t xml:space="preserve"> at p. 360</w:t>
      </w:r>
    </w:p>
  </w:footnote>
  <w:footnote w:id="82">
    <w:p w:rsidR="00E03352" w:rsidRPr="00F244EA" w:rsidRDefault="00E03352" w:rsidP="00E03352">
      <w:pPr>
        <w:pStyle w:val="FootnoteText"/>
        <w:jc w:val="both"/>
      </w:pPr>
      <w:r w:rsidRPr="00F244EA">
        <w:rPr>
          <w:rStyle w:val="FootnoteReference"/>
        </w:rPr>
        <w:footnoteRef/>
      </w:r>
      <w:r w:rsidRPr="00F244EA">
        <w:t xml:space="preserve"> </w:t>
      </w:r>
      <w:r w:rsidRPr="00F244EA">
        <w:rPr>
          <w:i/>
          <w:iCs/>
          <w:spacing w:val="-3"/>
          <w:lang w:val="en-GB"/>
        </w:rPr>
        <w:t>O</w:t>
      </w:r>
      <w:r>
        <w:rPr>
          <w:i/>
          <w:iCs/>
          <w:spacing w:val="-3"/>
          <w:lang w:val="en-GB"/>
        </w:rPr>
        <w:t>’</w:t>
      </w:r>
      <w:r w:rsidRPr="00F244EA">
        <w:rPr>
          <w:i/>
          <w:iCs/>
          <w:spacing w:val="-3"/>
          <w:lang w:val="en-GB"/>
        </w:rPr>
        <w:t>Connor</w:t>
      </w:r>
      <w:r w:rsidRPr="00F244EA">
        <w:rPr>
          <w:spacing w:val="-3"/>
          <w:lang w:val="en-GB"/>
        </w:rPr>
        <w:t xml:space="preserve"> </w:t>
      </w:r>
      <w:r w:rsidRPr="00F244EA">
        <w:rPr>
          <w:lang w:val="en-GB"/>
        </w:rPr>
        <w:t>[1980] HCA 17</w:t>
      </w:r>
      <w:r w:rsidRPr="00F244EA">
        <w:rPr>
          <w:spacing w:val="-3"/>
          <w:lang w:val="en-GB"/>
        </w:rPr>
        <w:t xml:space="preserve">, </w:t>
      </w:r>
      <w:r w:rsidRPr="00F244EA">
        <w:t xml:space="preserve">(1980) 146 CLR 64, </w:t>
      </w:r>
      <w:r w:rsidRPr="00F244EA">
        <w:rPr>
          <w:spacing w:val="-3"/>
          <w:lang w:val="en-GB"/>
        </w:rPr>
        <w:t xml:space="preserve">High Court of Australia; </w:t>
      </w:r>
      <w:proofErr w:type="spellStart"/>
      <w:r w:rsidRPr="00F244EA">
        <w:rPr>
          <w:i/>
        </w:rPr>
        <w:t>Bedi</w:t>
      </w:r>
      <w:proofErr w:type="spellEnd"/>
      <w:r w:rsidRPr="00F244EA">
        <w:rPr>
          <w:i/>
        </w:rPr>
        <w:t xml:space="preserve"> </w:t>
      </w:r>
      <w:r w:rsidRPr="00F244EA">
        <w:rPr>
          <w:rStyle w:val="pagenumber"/>
        </w:rPr>
        <w:t>(1993) 61 SASR 269, Supreme Court of South Australia</w:t>
      </w:r>
    </w:p>
  </w:footnote>
  <w:footnote w:id="83">
    <w:p w:rsidR="00E03352" w:rsidRPr="00F244EA" w:rsidRDefault="00E03352" w:rsidP="00E03352">
      <w:pPr>
        <w:pStyle w:val="FootnoteText"/>
        <w:jc w:val="both"/>
      </w:pPr>
      <w:r w:rsidRPr="00F244EA">
        <w:rPr>
          <w:rStyle w:val="FootnoteReference"/>
        </w:rPr>
        <w:footnoteRef/>
      </w:r>
      <w:r w:rsidRPr="00F244EA">
        <w:t xml:space="preserve"> </w:t>
      </w:r>
      <w:r w:rsidRPr="00F244EA">
        <w:rPr>
          <w:rStyle w:val="pagenumber"/>
        </w:rPr>
        <w:t xml:space="preserve">The </w:t>
      </w:r>
      <w:r w:rsidRPr="00F244EA">
        <w:rPr>
          <w:rStyle w:val="pagenumber"/>
          <w:i/>
        </w:rPr>
        <w:t>O</w:t>
      </w:r>
      <w:r>
        <w:rPr>
          <w:rStyle w:val="pagenumber"/>
          <w:i/>
        </w:rPr>
        <w:t>’</w:t>
      </w:r>
      <w:r w:rsidRPr="00F244EA">
        <w:rPr>
          <w:rStyle w:val="pagenumber"/>
          <w:i/>
        </w:rPr>
        <w:t>Connor</w:t>
      </w:r>
      <w:r w:rsidRPr="00F244EA">
        <w:rPr>
          <w:rStyle w:val="pagenumber"/>
        </w:rPr>
        <w:t xml:space="preserve"> ruling has, however, been limited by state legislation. Section 428D of the Crimes Act 1900 (New South Wales) (as amended) restores the </w:t>
      </w:r>
      <w:r w:rsidRPr="00F244EA">
        <w:rPr>
          <w:rStyle w:val="pagenumber"/>
          <w:i/>
        </w:rPr>
        <w:t xml:space="preserve">Bratty / </w:t>
      </w:r>
      <w:proofErr w:type="spellStart"/>
      <w:r w:rsidRPr="00F244EA">
        <w:rPr>
          <w:rStyle w:val="pagenumber"/>
          <w:i/>
        </w:rPr>
        <w:t>Majewski</w:t>
      </w:r>
      <w:proofErr w:type="spellEnd"/>
      <w:r w:rsidRPr="00F244EA">
        <w:rPr>
          <w:rStyle w:val="pagenumber"/>
        </w:rPr>
        <w:t xml:space="preserve"> principle in that State. It provides that: </w:t>
      </w:r>
      <w:r>
        <w:rPr>
          <w:rStyle w:val="pagenumber"/>
        </w:rPr>
        <w:t>‘</w:t>
      </w:r>
      <w:r w:rsidRPr="00F244EA">
        <w:rPr>
          <w:rStyle w:val="pagenumber"/>
        </w:rPr>
        <w:t>In determining whether a person had the</w:t>
      </w:r>
      <w:r w:rsidRPr="00F244EA">
        <w:rPr>
          <w:rStyle w:val="pagenumber"/>
          <w:i/>
        </w:rPr>
        <w:t xml:space="preserve"> </w:t>
      </w:r>
      <w:proofErr w:type="spellStart"/>
      <w:r w:rsidRPr="00F244EA">
        <w:rPr>
          <w:rStyle w:val="pagenumber"/>
          <w:i/>
        </w:rPr>
        <w:t>mens</w:t>
      </w:r>
      <w:proofErr w:type="spellEnd"/>
      <w:r w:rsidRPr="00F244EA">
        <w:rPr>
          <w:rStyle w:val="pagenumber"/>
          <w:i/>
        </w:rPr>
        <w:t xml:space="preserve"> rea</w:t>
      </w:r>
      <w:r w:rsidRPr="00F244EA">
        <w:rPr>
          <w:rStyle w:val="pagenumber"/>
        </w:rPr>
        <w:t xml:space="preserve"> for an offence other than an offence of specific intent, evidence that a person was intoxicated at the time of the relevant conduct (a) if the intoxication was self-induced cannot be taken into account</w:t>
      </w:r>
      <w:r>
        <w:rPr>
          <w:rStyle w:val="pagenumber"/>
        </w:rPr>
        <w:t>’</w:t>
      </w:r>
      <w:r w:rsidRPr="00F244EA">
        <w:rPr>
          <w:rStyle w:val="pagenumber"/>
        </w:rPr>
        <w:t xml:space="preserve">. Section 268(2) of the Criminal Law Consolidation Act 1935 (South Australia) (as amended) states that </w:t>
      </w:r>
      <w:r>
        <w:rPr>
          <w:rStyle w:val="pagenumber"/>
        </w:rPr>
        <w:t>‘</w:t>
      </w:r>
      <w:r w:rsidRPr="00F244EA">
        <w:rPr>
          <w:rStyle w:val="apple-converted-space"/>
          <w:color w:val="000000"/>
        </w:rPr>
        <w:t> </w:t>
      </w:r>
      <w:r w:rsidRPr="00F244EA">
        <w:rPr>
          <w:color w:val="000000"/>
        </w:rPr>
        <w:t>If the</w:t>
      </w:r>
      <w:r w:rsidRPr="00F244EA">
        <w:rPr>
          <w:rStyle w:val="apple-converted-space"/>
          <w:color w:val="000000"/>
        </w:rPr>
        <w:t> </w:t>
      </w:r>
      <w:r w:rsidRPr="00F244EA">
        <w:t>objective</w:t>
      </w:r>
      <w:r w:rsidRPr="00F244EA">
        <w:rPr>
          <w:rStyle w:val="apple-converted-space"/>
          <w:color w:val="000000"/>
        </w:rPr>
        <w:t> </w:t>
      </w:r>
      <w:r w:rsidRPr="00F244EA">
        <w:t>elements</w:t>
      </w:r>
      <w:r w:rsidRPr="00F244EA">
        <w:rPr>
          <w:rStyle w:val="apple-converted-space"/>
          <w:color w:val="000000"/>
        </w:rPr>
        <w:t> </w:t>
      </w:r>
      <w:r w:rsidRPr="00F244EA">
        <w:rPr>
          <w:color w:val="000000"/>
        </w:rPr>
        <w:t>of an</w:t>
      </w:r>
      <w:r w:rsidRPr="00F244EA">
        <w:rPr>
          <w:rStyle w:val="apple-converted-space"/>
          <w:color w:val="000000"/>
        </w:rPr>
        <w:t> </w:t>
      </w:r>
      <w:r w:rsidRPr="00F244EA">
        <w:t>alleged offence</w:t>
      </w:r>
      <w:r w:rsidRPr="00F244EA">
        <w:rPr>
          <w:rStyle w:val="apple-converted-space"/>
          <w:color w:val="000000"/>
        </w:rPr>
        <w:t> </w:t>
      </w:r>
      <w:r w:rsidRPr="00F244EA">
        <w:rPr>
          <w:color w:val="000000"/>
        </w:rPr>
        <w:t>are established against [D]</w:t>
      </w:r>
      <w:r w:rsidRPr="00F244EA">
        <w:rPr>
          <w:rStyle w:val="apple-converted-space"/>
          <w:color w:val="000000"/>
        </w:rPr>
        <w:t> </w:t>
      </w:r>
      <w:r w:rsidRPr="00F244EA">
        <w:rPr>
          <w:color w:val="000000"/>
        </w:rPr>
        <w:t>but [D</w:t>
      </w:r>
      <w:r>
        <w:rPr>
          <w:color w:val="000000"/>
        </w:rPr>
        <w:t>’</w:t>
      </w:r>
      <w:r w:rsidRPr="00F244EA">
        <w:rPr>
          <w:color w:val="000000"/>
        </w:rPr>
        <w:t>s]</w:t>
      </w:r>
      <w:r w:rsidRPr="00F244EA">
        <w:rPr>
          <w:rStyle w:val="apple-converted-space"/>
          <w:color w:val="000000"/>
        </w:rPr>
        <w:t> </w:t>
      </w:r>
      <w:r w:rsidRPr="00F244EA">
        <w:t>consciousness</w:t>
      </w:r>
      <w:r w:rsidRPr="00F244EA">
        <w:rPr>
          <w:rStyle w:val="apple-converted-space"/>
          <w:color w:val="000000"/>
        </w:rPr>
        <w:t> </w:t>
      </w:r>
      <w:r w:rsidRPr="00F244EA">
        <w:rPr>
          <w:color w:val="000000"/>
        </w:rPr>
        <w:t>was (or may have been) impaired by</w:t>
      </w:r>
      <w:r w:rsidRPr="00F244EA">
        <w:rPr>
          <w:rStyle w:val="apple-converted-space"/>
          <w:color w:val="000000"/>
        </w:rPr>
        <w:t> </w:t>
      </w:r>
      <w:r w:rsidRPr="00F244EA">
        <w:t>self-induced</w:t>
      </w:r>
      <w:r w:rsidRPr="00F244EA">
        <w:rPr>
          <w:rStyle w:val="apple-converted-space"/>
          <w:color w:val="000000"/>
        </w:rPr>
        <w:t> </w:t>
      </w:r>
      <w:r w:rsidRPr="00F244EA">
        <w:t>intoxication</w:t>
      </w:r>
      <w:r w:rsidRPr="00F244EA">
        <w:rPr>
          <w:rStyle w:val="apple-converted-space"/>
          <w:color w:val="000000"/>
        </w:rPr>
        <w:t> </w:t>
      </w:r>
      <w:r w:rsidRPr="00F244EA">
        <w:rPr>
          <w:color w:val="000000"/>
        </w:rPr>
        <w:t>to the point of criminal irresponsibility at the time of the</w:t>
      </w:r>
      <w:r w:rsidRPr="00F244EA">
        <w:rPr>
          <w:rStyle w:val="apple-converted-space"/>
          <w:color w:val="000000"/>
        </w:rPr>
        <w:t> </w:t>
      </w:r>
      <w:r w:rsidRPr="00F244EA">
        <w:t>alleged offence</w:t>
      </w:r>
      <w:r w:rsidRPr="00F244EA">
        <w:rPr>
          <w:color w:val="000000"/>
        </w:rPr>
        <w:t>, [D]</w:t>
      </w:r>
      <w:r w:rsidRPr="00F244EA">
        <w:rPr>
          <w:rStyle w:val="apple-converted-space"/>
          <w:color w:val="000000"/>
        </w:rPr>
        <w:t> </w:t>
      </w:r>
      <w:r w:rsidRPr="00F244EA">
        <w:rPr>
          <w:color w:val="000000"/>
        </w:rPr>
        <w:t>is nevertheless to be convicted of the offence if [D]</w:t>
      </w:r>
      <w:r w:rsidRPr="00F244EA">
        <w:rPr>
          <w:rStyle w:val="apple-converted-space"/>
          <w:color w:val="000000"/>
        </w:rPr>
        <w:t> </w:t>
      </w:r>
      <w:r w:rsidRPr="00F244EA">
        <w:rPr>
          <w:color w:val="000000"/>
        </w:rPr>
        <w:t>would, if his or her</w:t>
      </w:r>
      <w:r w:rsidRPr="00F244EA">
        <w:rPr>
          <w:rStyle w:val="apple-converted-space"/>
          <w:color w:val="000000"/>
        </w:rPr>
        <w:t> </w:t>
      </w:r>
      <w:r w:rsidRPr="00F244EA">
        <w:t>conduct</w:t>
      </w:r>
      <w:r w:rsidRPr="00F244EA">
        <w:rPr>
          <w:rStyle w:val="apple-converted-space"/>
          <w:color w:val="000000"/>
        </w:rPr>
        <w:t> </w:t>
      </w:r>
      <w:r w:rsidRPr="00F244EA">
        <w:rPr>
          <w:color w:val="000000"/>
        </w:rPr>
        <w:t>had been voluntary and intended, have been guilty of the offence. Example - A, whose</w:t>
      </w:r>
      <w:r w:rsidRPr="00F244EA">
        <w:rPr>
          <w:rStyle w:val="apple-converted-space"/>
          <w:color w:val="000000"/>
        </w:rPr>
        <w:t> </w:t>
      </w:r>
      <w:r w:rsidRPr="00F244EA">
        <w:t>consciousness</w:t>
      </w:r>
      <w:r w:rsidRPr="00F244EA">
        <w:rPr>
          <w:rStyle w:val="apple-converted-space"/>
          <w:color w:val="000000"/>
        </w:rPr>
        <w:t> </w:t>
      </w:r>
      <w:r w:rsidRPr="00F244EA">
        <w:rPr>
          <w:color w:val="000000"/>
        </w:rPr>
        <w:t>is impaired by</w:t>
      </w:r>
      <w:r w:rsidRPr="00F244EA">
        <w:rPr>
          <w:rStyle w:val="apple-converted-space"/>
          <w:color w:val="000000"/>
        </w:rPr>
        <w:t> </w:t>
      </w:r>
      <w:r w:rsidRPr="00F244EA">
        <w:t>self-induced</w:t>
      </w:r>
      <w:r w:rsidRPr="00F244EA">
        <w:rPr>
          <w:rStyle w:val="apple-converted-space"/>
          <w:color w:val="000000"/>
        </w:rPr>
        <w:t> </w:t>
      </w:r>
      <w:r w:rsidRPr="00F244EA">
        <w:t>intoxication</w:t>
      </w:r>
      <w:r w:rsidRPr="00F244EA">
        <w:rPr>
          <w:rStyle w:val="apple-converted-space"/>
          <w:color w:val="000000"/>
        </w:rPr>
        <w:t> </w:t>
      </w:r>
      <w:r w:rsidRPr="00F244EA">
        <w:rPr>
          <w:color w:val="000000"/>
        </w:rPr>
        <w:t>to the point of criminal irresponsibility at the time of the</w:t>
      </w:r>
      <w:r w:rsidRPr="00F244EA">
        <w:rPr>
          <w:rStyle w:val="apple-converted-space"/>
          <w:color w:val="000000"/>
        </w:rPr>
        <w:t> </w:t>
      </w:r>
      <w:r w:rsidRPr="00F244EA">
        <w:t>alleged offence</w:t>
      </w:r>
      <w:r w:rsidRPr="00F244EA">
        <w:rPr>
          <w:color w:val="000000"/>
        </w:rPr>
        <w:t xml:space="preserve">, beats B up and B dies of the injuries. In this case, A could be convicted of manslaughter but not of murder (because A is taken to have intended to do the act that results in death but not the death). </w:t>
      </w:r>
      <w:r>
        <w:rPr>
          <w:rStyle w:val="pagenumber"/>
        </w:rPr>
        <w:t>‘</w:t>
      </w:r>
    </w:p>
  </w:footnote>
  <w:footnote w:id="84">
    <w:p w:rsidR="00E03352" w:rsidRPr="00F244EA" w:rsidRDefault="00E03352" w:rsidP="00E03352">
      <w:pPr>
        <w:pStyle w:val="FootnoteText"/>
        <w:jc w:val="both"/>
      </w:pPr>
      <w:r w:rsidRPr="00F244EA">
        <w:rPr>
          <w:rStyle w:val="FootnoteReference"/>
        </w:rPr>
        <w:footnoteRef/>
      </w:r>
      <w:r w:rsidRPr="00F244EA">
        <w:t xml:space="preserve"> </w:t>
      </w:r>
      <w:r w:rsidRPr="00F244EA">
        <w:rPr>
          <w:bCs/>
          <w:color w:val="000000"/>
          <w:shd w:val="clear" w:color="auto" w:fill="FFFFFF"/>
        </w:rPr>
        <w:t>[2014] SASC 196, Supreme Court of South Australia</w:t>
      </w:r>
    </w:p>
  </w:footnote>
  <w:footnote w:id="85">
    <w:p w:rsidR="00E03352" w:rsidRPr="00F244EA" w:rsidRDefault="00E03352"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[225]</w:t>
      </w:r>
    </w:p>
  </w:footnote>
  <w:footnote w:id="86">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[2002] EWCA Crim 3021; [2003] Crim LR 477</w:t>
      </w:r>
    </w:p>
  </w:footnote>
  <w:footnote w:id="87">
    <w:p w:rsidR="00E03352" w:rsidRPr="00F244EA" w:rsidRDefault="00E03352" w:rsidP="00E03352">
      <w:pPr>
        <w:pStyle w:val="FootnoteText"/>
        <w:jc w:val="both"/>
        <w:rPr>
          <w:lang w:val="en-GB"/>
        </w:rPr>
      </w:pPr>
      <w:r w:rsidRPr="00F244EA">
        <w:rPr>
          <w:rStyle w:val="FootnoteReference"/>
        </w:rPr>
        <w:footnoteRef/>
      </w:r>
      <w:r w:rsidRPr="00F244EA">
        <w:t xml:space="preserve"> C</w:t>
      </w:r>
      <w:r w:rsidRPr="00F244EA">
        <w:rPr>
          <w:bCs/>
          <w:iCs/>
          <w:color w:val="000000"/>
        </w:rPr>
        <w:t xml:space="preserve">ontrary to </w:t>
      </w:r>
      <w:r w:rsidRPr="00F244EA">
        <w:t xml:space="preserve"> s 58(2)(b) of the Medicines Act 1968</w:t>
      </w:r>
    </w:p>
  </w:footnote>
  <w:footnote w:id="88">
    <w:p w:rsidR="00E03352" w:rsidRPr="00F244EA" w:rsidRDefault="00E03352" w:rsidP="00E03352">
      <w:pPr>
        <w:pStyle w:val="FootnoteText"/>
        <w:jc w:val="both"/>
      </w:pPr>
      <w:r w:rsidRPr="00F244EA">
        <w:rPr>
          <w:rStyle w:val="FootnoteReference"/>
        </w:rPr>
        <w:footnoteRef/>
      </w:r>
      <w:r w:rsidRPr="00F244EA">
        <w:t xml:space="preserve"> In Canadian jurisprudence, an </w:t>
      </w:r>
      <w:r>
        <w:t>‘</w:t>
      </w:r>
      <w:r w:rsidRPr="00F244EA">
        <w:t>absolute liability</w:t>
      </w:r>
      <w:r>
        <w:t>’</w:t>
      </w:r>
      <w:r w:rsidRPr="00F244EA">
        <w:t xml:space="preserve"> offence is one for which no </w:t>
      </w:r>
      <w:proofErr w:type="spellStart"/>
      <w:r w:rsidRPr="00F244EA">
        <w:rPr>
          <w:i/>
        </w:rPr>
        <w:t>mens</w:t>
      </w:r>
      <w:proofErr w:type="spellEnd"/>
      <w:r w:rsidRPr="00F244EA">
        <w:rPr>
          <w:i/>
        </w:rPr>
        <w:t xml:space="preserve"> rea</w:t>
      </w:r>
      <w:r w:rsidRPr="00F244EA">
        <w:t xml:space="preserve"> is required to be proven and for which no due diligence or reasonable care </w:t>
      </w:r>
      <w:proofErr w:type="spellStart"/>
      <w:r w:rsidRPr="00F244EA">
        <w:t>defence</w:t>
      </w:r>
      <w:proofErr w:type="spellEnd"/>
      <w:r w:rsidRPr="00F244EA">
        <w:t xml:space="preserve"> is available. A </w:t>
      </w:r>
      <w:r>
        <w:t>‘</w:t>
      </w:r>
      <w:r w:rsidRPr="00F244EA">
        <w:t>strict liability</w:t>
      </w:r>
      <w:r>
        <w:t>’</w:t>
      </w:r>
      <w:r w:rsidRPr="00F244EA">
        <w:t xml:space="preserve"> offence, on the other hand, does not necessarily require proof of </w:t>
      </w:r>
      <w:proofErr w:type="spellStart"/>
      <w:r w:rsidRPr="00F244EA">
        <w:rPr>
          <w:i/>
        </w:rPr>
        <w:t>mens</w:t>
      </w:r>
      <w:proofErr w:type="spellEnd"/>
      <w:r w:rsidRPr="00F244EA">
        <w:rPr>
          <w:i/>
        </w:rPr>
        <w:t xml:space="preserve"> rea</w:t>
      </w:r>
      <w:r w:rsidRPr="00F244EA">
        <w:t xml:space="preserve"> for every element of the </w:t>
      </w:r>
      <w:proofErr w:type="spellStart"/>
      <w:r w:rsidRPr="00F244EA">
        <w:rPr>
          <w:i/>
        </w:rPr>
        <w:t>actus</w:t>
      </w:r>
      <w:proofErr w:type="spellEnd"/>
      <w:r w:rsidRPr="00F244EA">
        <w:rPr>
          <w:i/>
        </w:rPr>
        <w:t xml:space="preserve"> </w:t>
      </w:r>
      <w:proofErr w:type="spellStart"/>
      <w:r w:rsidRPr="00F244EA">
        <w:rPr>
          <w:i/>
        </w:rPr>
        <w:t>reus</w:t>
      </w:r>
      <w:proofErr w:type="spellEnd"/>
      <w:r w:rsidRPr="00F244EA">
        <w:t xml:space="preserve"> and permits a due diligence / reasonable care </w:t>
      </w:r>
      <w:proofErr w:type="spellStart"/>
      <w:r w:rsidRPr="00F244EA">
        <w:t>defence</w:t>
      </w:r>
      <w:proofErr w:type="spellEnd"/>
      <w:r w:rsidRPr="00F244EA">
        <w:t xml:space="preserve"> – see </w:t>
      </w:r>
      <w:r w:rsidRPr="00F244EA">
        <w:rPr>
          <w:bCs/>
          <w:i/>
          <w:color w:val="000000"/>
          <w:lang w:val="en-CA"/>
        </w:rPr>
        <w:t>Sault Ste. Marie</w:t>
      </w:r>
      <w:r w:rsidRPr="00F244EA">
        <w:rPr>
          <w:bCs/>
          <w:color w:val="000000"/>
          <w:lang w:val="en-CA"/>
        </w:rPr>
        <w:t xml:space="preserve"> [1978] 2 SCR 1299, Supreme Court of Canada</w:t>
      </w:r>
    </w:p>
  </w:footnote>
  <w:footnote w:id="89">
    <w:p w:rsidR="00E03352" w:rsidRPr="00F244EA" w:rsidRDefault="00E03352" w:rsidP="00E03352">
      <w:pPr>
        <w:pStyle w:val="FootnoteText"/>
        <w:jc w:val="both"/>
        <w:rPr>
          <w:lang w:val="en-GB"/>
        </w:rPr>
      </w:pPr>
      <w:r w:rsidRPr="00F244EA">
        <w:rPr>
          <w:rStyle w:val="FootnoteReference"/>
        </w:rPr>
        <w:footnoteRef/>
      </w:r>
      <w:r w:rsidRPr="00F244EA">
        <w:t xml:space="preserve"> [1993] 3 SCR 3, Supreme Court of Canada</w:t>
      </w:r>
    </w:p>
  </w:footnote>
  <w:footnote w:id="90">
    <w:p w:rsidR="00E03352" w:rsidRPr="00F244EA" w:rsidRDefault="00E03352" w:rsidP="00E03352">
      <w:pPr>
        <w:pStyle w:val="FootnoteText"/>
        <w:jc w:val="both"/>
        <w:rPr>
          <w:lang w:val="en-GB"/>
        </w:rPr>
      </w:pPr>
      <w:r w:rsidRPr="00F244EA">
        <w:rPr>
          <w:rStyle w:val="FootnoteReference"/>
        </w:rPr>
        <w:footnoteRef/>
      </w:r>
      <w:r w:rsidRPr="00F244EA">
        <w:t xml:space="preserve"> With whom </w:t>
      </w:r>
      <w:proofErr w:type="spellStart"/>
      <w:r w:rsidRPr="00F244EA">
        <w:t>Sopinka</w:t>
      </w:r>
      <w:proofErr w:type="spellEnd"/>
      <w:r w:rsidRPr="00F244EA">
        <w:t xml:space="preserve">, </w:t>
      </w:r>
      <w:proofErr w:type="spellStart"/>
      <w:r w:rsidRPr="00F244EA">
        <w:t>Iacobucci</w:t>
      </w:r>
      <w:proofErr w:type="spellEnd"/>
      <w:r w:rsidRPr="00F244EA">
        <w:t xml:space="preserve"> and Major JJ agreed</w:t>
      </w:r>
    </w:p>
  </w:footnote>
  <w:footnote w:id="91">
    <w:p w:rsidR="00E03352" w:rsidRPr="00F244EA" w:rsidRDefault="00E03352" w:rsidP="00E03352">
      <w:pPr>
        <w:pStyle w:val="FootnoteText"/>
        <w:jc w:val="both"/>
      </w:pPr>
      <w:r w:rsidRPr="00F244EA">
        <w:rPr>
          <w:rStyle w:val="FootnoteReference"/>
        </w:rPr>
        <w:footnoteRef/>
      </w:r>
      <w:r w:rsidRPr="00F244EA">
        <w:t xml:space="preserve"> [1993] 3 SCR 3 at [25]</w:t>
      </w:r>
    </w:p>
  </w:footnote>
  <w:footnote w:id="92">
    <w:p w:rsidR="00E03352" w:rsidRPr="00F244EA" w:rsidRDefault="00E03352" w:rsidP="00E03352">
      <w:pPr>
        <w:pStyle w:val="FootnoteText"/>
        <w:jc w:val="both"/>
        <w:rPr>
          <w:lang w:val="en-GB"/>
        </w:rPr>
      </w:pPr>
      <w:r w:rsidRPr="00F244EA">
        <w:rPr>
          <w:rStyle w:val="FootnoteReference"/>
        </w:rPr>
        <w:footnoteRef/>
      </w:r>
      <w:r w:rsidRPr="00F244EA">
        <w:t xml:space="preserve"> As she then was. </w:t>
      </w:r>
      <w:proofErr w:type="spellStart"/>
      <w:r w:rsidRPr="00F244EA">
        <w:t>L</w:t>
      </w:r>
      <w:r>
        <w:t>’</w:t>
      </w:r>
      <w:r w:rsidRPr="00F244EA">
        <w:t>Heureux-Dubé</w:t>
      </w:r>
      <w:proofErr w:type="spellEnd"/>
      <w:r w:rsidRPr="00F244EA">
        <w:t xml:space="preserve">, </w:t>
      </w:r>
      <w:proofErr w:type="spellStart"/>
      <w:r w:rsidRPr="00F244EA">
        <w:t>Gonthier</w:t>
      </w:r>
      <w:proofErr w:type="spellEnd"/>
      <w:r w:rsidRPr="00F244EA">
        <w:t xml:space="preserve"> and Cory JJ agreed. La Forest J gave a concurring judgment</w:t>
      </w:r>
    </w:p>
  </w:footnote>
  <w:footnote w:id="93">
    <w:p w:rsidR="00E03352" w:rsidRPr="00F244EA" w:rsidRDefault="00E03352" w:rsidP="00E03352">
      <w:pPr>
        <w:pStyle w:val="FootnoteText"/>
        <w:jc w:val="both"/>
        <w:rPr>
          <w:lang w:val="en-GB"/>
        </w:rPr>
      </w:pPr>
      <w:r w:rsidRPr="00F244EA">
        <w:rPr>
          <w:rStyle w:val="FootnoteReference"/>
        </w:rPr>
        <w:footnoteRef/>
      </w:r>
      <w:r w:rsidRPr="00F244EA">
        <w:t xml:space="preserve"> [1993] 3 SCR 3</w:t>
      </w:r>
      <w:r w:rsidRPr="00F244EA">
        <w:rPr>
          <w:i/>
          <w:lang w:val="en-GB"/>
        </w:rPr>
        <w:t xml:space="preserve"> </w:t>
      </w:r>
      <w:r w:rsidRPr="00F244EA">
        <w:rPr>
          <w:lang w:val="en-GB"/>
        </w:rPr>
        <w:t>at [42]</w:t>
      </w:r>
      <w:r>
        <w:rPr>
          <w:lang w:val="en-GB"/>
        </w:rPr>
        <w:t>. Emphasis added</w:t>
      </w:r>
    </w:p>
  </w:footnote>
  <w:footnote w:id="94">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w:t>
      </w:r>
      <w:r w:rsidRPr="00F244EA">
        <w:rPr>
          <w:shd w:val="clear" w:color="auto" w:fill="FFFFFF"/>
          <w:lang w:val="en-GB"/>
        </w:rPr>
        <w:t>[1966] 1 QB 59</w:t>
      </w:r>
    </w:p>
  </w:footnote>
  <w:footnote w:id="95">
    <w:p w:rsidR="00E03352" w:rsidRPr="00F244EA" w:rsidRDefault="00E03352" w:rsidP="00E03352">
      <w:pPr>
        <w:pStyle w:val="FootnoteText"/>
        <w:jc w:val="both"/>
        <w:rPr>
          <w:lang w:val="en-GB"/>
        </w:rPr>
      </w:pPr>
      <w:r w:rsidRPr="00F244EA">
        <w:rPr>
          <w:rStyle w:val="FootnoteReference"/>
        </w:rPr>
        <w:footnoteRef/>
      </w:r>
      <w:r w:rsidRPr="00F244EA">
        <w:t xml:space="preserve"> </w:t>
      </w:r>
      <w:r>
        <w:rPr>
          <w:i/>
        </w:rPr>
        <w:t>Ibid.</w:t>
      </w:r>
      <w:r w:rsidRPr="00F244EA">
        <w:t xml:space="preserve"> at p.70</w:t>
      </w:r>
    </w:p>
  </w:footnote>
  <w:footnote w:id="96">
    <w:p w:rsidR="00E03352" w:rsidRPr="00F244EA" w:rsidRDefault="00E03352" w:rsidP="00E03352">
      <w:pPr>
        <w:pStyle w:val="FootnoteText"/>
        <w:jc w:val="both"/>
      </w:pPr>
      <w:r w:rsidRPr="00F244EA">
        <w:rPr>
          <w:rStyle w:val="FootnoteReference"/>
        </w:rPr>
        <w:footnoteRef/>
      </w:r>
      <w:r w:rsidRPr="00F244EA">
        <w:rPr>
          <w:lang w:val="en-GB"/>
        </w:rPr>
        <w:t xml:space="preserve"> [1967] 2 QB 981</w:t>
      </w:r>
    </w:p>
  </w:footnote>
  <w:footnote w:id="97">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w:t>
      </w:r>
      <w:r>
        <w:rPr>
          <w:i/>
          <w:lang w:val="en-GB"/>
        </w:rPr>
        <w:t>Ibid.</w:t>
      </w:r>
      <w:r w:rsidRPr="00F244EA">
        <w:rPr>
          <w:lang w:val="en-GB"/>
        </w:rPr>
        <w:t xml:space="preserve"> at p.988</w:t>
      </w:r>
    </w:p>
  </w:footnote>
  <w:footnote w:id="98">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[1937 AC 576</w:t>
      </w:r>
    </w:p>
  </w:footnote>
  <w:footnote w:id="99">
    <w:p w:rsidR="00E03352" w:rsidRPr="00F244EA" w:rsidRDefault="00E03352" w:rsidP="00E03352">
      <w:pPr>
        <w:pStyle w:val="FootnoteText"/>
        <w:jc w:val="both"/>
      </w:pPr>
      <w:r w:rsidRPr="00F244EA">
        <w:rPr>
          <w:rStyle w:val="FootnoteReference"/>
        </w:rPr>
        <w:footnoteRef/>
      </w:r>
      <w:r w:rsidRPr="00F244EA">
        <w:t xml:space="preserve"> </w:t>
      </w:r>
      <w:r>
        <w:rPr>
          <w:i/>
        </w:rPr>
        <w:t>Ibid.</w:t>
      </w:r>
      <w:r w:rsidRPr="00F244EA">
        <w:t xml:space="preserve"> at p.585</w:t>
      </w:r>
    </w:p>
  </w:footnote>
  <w:footnote w:id="100">
    <w:p w:rsidR="00E03352" w:rsidRPr="00F244EA" w:rsidRDefault="00E03352" w:rsidP="00E03352">
      <w:pPr>
        <w:pStyle w:val="FootnoteText"/>
        <w:jc w:val="both"/>
      </w:pPr>
      <w:r w:rsidRPr="00F244EA">
        <w:rPr>
          <w:rStyle w:val="FootnoteReference"/>
        </w:rPr>
        <w:footnoteRef/>
      </w:r>
      <w:r w:rsidRPr="00F244EA">
        <w:t xml:space="preserve"> </w:t>
      </w:r>
      <w:proofErr w:type="spellStart"/>
      <w:r w:rsidRPr="00F244EA">
        <w:t>Ormerod</w:t>
      </w:r>
      <w:proofErr w:type="spellEnd"/>
      <w:r w:rsidRPr="00F244EA">
        <w:t xml:space="preserve">, D, </w:t>
      </w:r>
      <w:r w:rsidRPr="00F244EA">
        <w:rPr>
          <w:i/>
        </w:rPr>
        <w:t>Smith &amp; Hogan</w:t>
      </w:r>
      <w:r>
        <w:rPr>
          <w:i/>
        </w:rPr>
        <w:t>’</w:t>
      </w:r>
      <w:r w:rsidRPr="00F244EA">
        <w:rPr>
          <w:i/>
        </w:rPr>
        <w:t>s Criminal Law</w:t>
      </w:r>
      <w:r w:rsidRPr="00F244EA">
        <w:t>, 14</w:t>
      </w:r>
      <w:r w:rsidRPr="00F244EA">
        <w:rPr>
          <w:vertAlign w:val="superscript"/>
        </w:rPr>
        <w:t>th</w:t>
      </w:r>
      <w:r w:rsidRPr="00F244EA">
        <w:t xml:space="preserve"> edition (2015), Oxford University Press, at p.628</w:t>
      </w:r>
    </w:p>
  </w:footnote>
  <w:footnote w:id="101">
    <w:p w:rsidR="00E03352" w:rsidRPr="00F244EA" w:rsidRDefault="00E03352" w:rsidP="00E03352">
      <w:pPr>
        <w:pStyle w:val="FootnoteText"/>
        <w:jc w:val="both"/>
        <w:rPr>
          <w:lang w:val="en-GB"/>
        </w:rPr>
      </w:pPr>
      <w:r w:rsidRPr="00F244EA">
        <w:rPr>
          <w:rStyle w:val="FootnoteReference"/>
        </w:rPr>
        <w:footnoteRef/>
      </w:r>
      <w:r w:rsidRPr="00F244EA">
        <w:t xml:space="preserve"> </w:t>
      </w:r>
      <w:proofErr w:type="spellStart"/>
      <w:r w:rsidRPr="00F244EA">
        <w:t>Simester</w:t>
      </w:r>
      <w:proofErr w:type="spellEnd"/>
      <w:r w:rsidRPr="00F244EA">
        <w:t xml:space="preserve">, A P et al, </w:t>
      </w:r>
      <w:proofErr w:type="spellStart"/>
      <w:r w:rsidR="00653CFD" w:rsidRPr="00F244EA">
        <w:rPr>
          <w:i/>
          <w:lang w:val="en-GB"/>
        </w:rPr>
        <w:t>Simester</w:t>
      </w:r>
      <w:proofErr w:type="spellEnd"/>
      <w:r w:rsidR="00653CFD" w:rsidRPr="00F244EA">
        <w:rPr>
          <w:i/>
          <w:lang w:val="en-GB"/>
        </w:rPr>
        <w:t xml:space="preserve"> &amp; Sullivan</w:t>
      </w:r>
      <w:r w:rsidR="00653CFD">
        <w:rPr>
          <w:i/>
          <w:lang w:val="en-GB"/>
        </w:rPr>
        <w:t>’</w:t>
      </w:r>
      <w:r w:rsidR="00653CFD" w:rsidRPr="00F244EA">
        <w:rPr>
          <w:i/>
          <w:lang w:val="en-GB"/>
        </w:rPr>
        <w:t>s Criminal Law: Theory and Doctrine</w:t>
      </w:r>
      <w:r w:rsidR="00653CFD" w:rsidRPr="00F244EA">
        <w:rPr>
          <w:lang w:val="en-GB"/>
        </w:rPr>
        <w:t>, 6</w:t>
      </w:r>
      <w:r w:rsidR="00653CFD" w:rsidRPr="00F244EA">
        <w:rPr>
          <w:vertAlign w:val="superscript"/>
          <w:lang w:val="en-GB"/>
        </w:rPr>
        <w:t>th</w:t>
      </w:r>
      <w:r w:rsidR="00653CFD" w:rsidRPr="00F244EA">
        <w:rPr>
          <w:lang w:val="en-GB"/>
        </w:rPr>
        <w:t xml:space="preserve"> edition (2016), Hart Publishi</w:t>
      </w:r>
      <w:r w:rsidR="00653CFD" w:rsidRPr="007F1C33">
        <w:rPr>
          <w:lang w:val="en-GB"/>
        </w:rPr>
        <w:t>ng</w:t>
      </w:r>
      <w:r>
        <w:rPr>
          <w:lang w:val="en-GB"/>
        </w:rPr>
        <w:t xml:space="preserve"> at p.411</w:t>
      </w:r>
    </w:p>
  </w:footnote>
  <w:footnote w:id="102">
    <w:p w:rsidR="00E03352" w:rsidRPr="00F244EA" w:rsidRDefault="00E03352" w:rsidP="00E03352">
      <w:pPr>
        <w:pStyle w:val="FootnoteText"/>
        <w:jc w:val="both"/>
        <w:rPr>
          <w:lang w:val="en-GB"/>
        </w:rPr>
      </w:pPr>
      <w:r w:rsidRPr="00F244EA">
        <w:rPr>
          <w:rStyle w:val="FootnoteReference"/>
        </w:rPr>
        <w:footnoteRef/>
      </w:r>
      <w:r w:rsidRPr="00F244EA">
        <w:t xml:space="preserve"> [2012] EWCA </w:t>
      </w:r>
      <w:proofErr w:type="spellStart"/>
      <w:r w:rsidRPr="00F244EA">
        <w:t>Crim</w:t>
      </w:r>
      <w:proofErr w:type="spellEnd"/>
      <w:r w:rsidRPr="00F244EA">
        <w:t xml:space="preserve"> 641, [2012] 1 WLR 3349</w:t>
      </w:r>
    </w:p>
  </w:footnote>
  <w:footnote w:id="103">
    <w:p w:rsidR="00E03352" w:rsidRPr="00F244EA" w:rsidRDefault="00E03352"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[14]</w:t>
      </w:r>
    </w:p>
  </w:footnote>
  <w:footnote w:id="104">
    <w:p w:rsidR="00E03352" w:rsidRPr="00F244EA" w:rsidRDefault="00E03352" w:rsidP="00E03352">
      <w:pPr>
        <w:pStyle w:val="FootnoteText"/>
        <w:jc w:val="both"/>
        <w:rPr>
          <w:lang w:val="en-GB"/>
        </w:rPr>
      </w:pPr>
      <w:r w:rsidRPr="00F244EA">
        <w:rPr>
          <w:rStyle w:val="FootnoteReference"/>
        </w:rPr>
        <w:footnoteRef/>
      </w:r>
      <w:r w:rsidRPr="00F244EA">
        <w:rPr>
          <w:lang w:val="en-GB"/>
        </w:rPr>
        <w:t xml:space="preserve"> </w:t>
      </w:r>
      <w:proofErr w:type="spellStart"/>
      <w:r w:rsidRPr="00F244EA">
        <w:rPr>
          <w:i/>
          <w:lang w:val="en-GB"/>
        </w:rPr>
        <w:t>Loc</w:t>
      </w:r>
      <w:proofErr w:type="spellEnd"/>
      <w:r w:rsidRPr="00F244EA">
        <w:rPr>
          <w:i/>
          <w:lang w:val="en-GB"/>
        </w:rPr>
        <w:t xml:space="preserve"> </w:t>
      </w:r>
      <w:proofErr w:type="spellStart"/>
      <w:r w:rsidRPr="00F244EA">
        <w:rPr>
          <w:i/>
          <w:lang w:val="en-GB"/>
        </w:rPr>
        <w:t>cit</w:t>
      </w:r>
      <w:proofErr w:type="spellEnd"/>
    </w:p>
  </w:footnote>
  <w:footnote w:id="105">
    <w:p w:rsidR="00E03352" w:rsidRPr="00F244EA" w:rsidRDefault="00E03352" w:rsidP="00E03352">
      <w:pPr>
        <w:pStyle w:val="FootnoteText"/>
        <w:jc w:val="both"/>
      </w:pPr>
      <w:r w:rsidRPr="00F244EA">
        <w:rPr>
          <w:rStyle w:val="FootnoteReference"/>
        </w:rPr>
        <w:footnoteRef/>
      </w:r>
      <w:r w:rsidRPr="00F244EA">
        <w:t xml:space="preserve"> </w:t>
      </w:r>
      <w:r w:rsidRPr="00F244EA">
        <w:rPr>
          <w:rStyle w:val="documentbody1"/>
          <w:rFonts w:ascii="Times New Roman" w:hAnsi="Times New Roman"/>
          <w:sz w:val="20"/>
          <w:szCs w:val="20"/>
        </w:rPr>
        <w:t xml:space="preserve">Lloyd, C, </w:t>
      </w:r>
      <w:r w:rsidRPr="00F244EA">
        <w:rPr>
          <w:rStyle w:val="documentbody1"/>
          <w:rFonts w:ascii="Times New Roman" w:hAnsi="Times New Roman"/>
          <w:i/>
          <w:sz w:val="20"/>
          <w:szCs w:val="20"/>
        </w:rPr>
        <w:t>R v Wilson</w:t>
      </w:r>
      <w:r w:rsidRPr="00F244EA">
        <w:rPr>
          <w:rStyle w:val="documentbody1"/>
          <w:rFonts w:ascii="Times New Roman" w:hAnsi="Times New Roman"/>
          <w:sz w:val="20"/>
          <w:szCs w:val="20"/>
        </w:rPr>
        <w:t xml:space="preserve"> (case note) (1993) 15 Adelaide Law Review 123, at p. 127</w:t>
      </w:r>
    </w:p>
  </w:footnote>
  <w:footnote w:id="106">
    <w:p w:rsidR="00E03352" w:rsidRPr="00F244EA" w:rsidRDefault="00E03352" w:rsidP="00E03352">
      <w:pPr>
        <w:pStyle w:val="FootnoteText"/>
        <w:jc w:val="both"/>
        <w:rPr>
          <w:lang w:val="en-GB"/>
        </w:rPr>
      </w:pPr>
      <w:r w:rsidRPr="00F244EA">
        <w:rPr>
          <w:rStyle w:val="FootnoteReference"/>
        </w:rPr>
        <w:footnoteRef/>
      </w:r>
      <w:r w:rsidRPr="00F244EA">
        <w:t xml:space="preserve"> (1991) 25 NSWLR 89; </w:t>
      </w:r>
      <w:r w:rsidRPr="00F244EA">
        <w:rPr>
          <w:color w:val="000000"/>
          <w:shd w:val="clear" w:color="auto" w:fill="FFFFFF"/>
        </w:rPr>
        <w:t xml:space="preserve">(1991) 58 A </w:t>
      </w:r>
      <w:proofErr w:type="spellStart"/>
      <w:r w:rsidRPr="00F244EA">
        <w:rPr>
          <w:color w:val="000000"/>
          <w:shd w:val="clear" w:color="auto" w:fill="FFFFFF"/>
        </w:rPr>
        <w:t>Crim</w:t>
      </w:r>
      <w:proofErr w:type="spellEnd"/>
      <w:r w:rsidRPr="00F244EA">
        <w:rPr>
          <w:color w:val="000000"/>
          <w:shd w:val="clear" w:color="auto" w:fill="FFFFFF"/>
        </w:rPr>
        <w:t xml:space="preserve"> R 222, New South Wales Court of Criminal Appeal</w:t>
      </w:r>
    </w:p>
  </w:footnote>
  <w:footnote w:id="107">
    <w:p w:rsidR="00E03352" w:rsidRPr="00F244EA" w:rsidRDefault="00E03352" w:rsidP="00E03352">
      <w:pPr>
        <w:pStyle w:val="FootnoteText"/>
        <w:jc w:val="both"/>
        <w:rPr>
          <w:lang w:val="en-GB"/>
        </w:rPr>
      </w:pPr>
      <w:r w:rsidRPr="00F244EA">
        <w:rPr>
          <w:rStyle w:val="FootnoteReference"/>
        </w:rPr>
        <w:footnoteRef/>
      </w:r>
      <w:r w:rsidRPr="00F244EA">
        <w:t xml:space="preserve"> </w:t>
      </w:r>
      <w:r w:rsidRPr="00F244EA">
        <w:rPr>
          <w:rStyle w:val="apple-converted-space"/>
          <w:color w:val="000000"/>
          <w:shd w:val="clear" w:color="auto" w:fill="FFFFFF"/>
        </w:rPr>
        <w:t xml:space="preserve">[2009] NSWCCA 102; </w:t>
      </w:r>
      <w:r w:rsidRPr="00F244EA">
        <w:rPr>
          <w:color w:val="000000"/>
          <w:shd w:val="clear" w:color="auto" w:fill="FFFFFF"/>
        </w:rPr>
        <w:t xml:space="preserve">(2009) 195 A </w:t>
      </w:r>
      <w:proofErr w:type="spellStart"/>
      <w:r w:rsidRPr="00F244EA">
        <w:rPr>
          <w:color w:val="000000"/>
          <w:shd w:val="clear" w:color="auto" w:fill="FFFFFF"/>
        </w:rPr>
        <w:t>Crim</w:t>
      </w:r>
      <w:proofErr w:type="spellEnd"/>
      <w:r w:rsidRPr="00F244EA">
        <w:rPr>
          <w:color w:val="000000"/>
          <w:shd w:val="clear" w:color="auto" w:fill="FFFFFF"/>
        </w:rPr>
        <w:t> R 1, New South Wales Court of Criminal Appeal</w:t>
      </w:r>
    </w:p>
  </w:footnote>
  <w:footnote w:id="108">
    <w:p w:rsidR="00E03352" w:rsidRPr="00F244EA" w:rsidRDefault="00E03352" w:rsidP="00E03352">
      <w:pPr>
        <w:pStyle w:val="FootnoteText"/>
        <w:jc w:val="both"/>
      </w:pPr>
      <w:r w:rsidRPr="00F244EA">
        <w:rPr>
          <w:rStyle w:val="FootnoteReference"/>
        </w:rPr>
        <w:footnoteRef/>
      </w:r>
      <w:r w:rsidRPr="00F244EA">
        <w:t xml:space="preserve"> Contrary to s 40(1) of the Road Transport (Safety and Traffic Management) Act 1999 (New South Wales)</w:t>
      </w:r>
    </w:p>
  </w:footnote>
  <w:footnote w:id="109">
    <w:p w:rsidR="00E03352" w:rsidRPr="00F244EA" w:rsidRDefault="00E03352" w:rsidP="00E03352">
      <w:pPr>
        <w:pStyle w:val="FootnoteText"/>
        <w:jc w:val="both"/>
      </w:pPr>
      <w:r w:rsidRPr="00F244EA">
        <w:rPr>
          <w:rStyle w:val="FootnoteReference"/>
        </w:rPr>
        <w:footnoteRef/>
      </w:r>
      <w:r w:rsidRPr="00F244EA">
        <w:t xml:space="preserve"> </w:t>
      </w:r>
      <w:proofErr w:type="spellStart"/>
      <w:r w:rsidRPr="00F244EA">
        <w:rPr>
          <w:i/>
        </w:rPr>
        <w:t>Borkowski</w:t>
      </w:r>
      <w:proofErr w:type="spellEnd"/>
      <w:r w:rsidRPr="00F244EA">
        <w:t xml:space="preserve"> </w:t>
      </w:r>
      <w:r w:rsidRPr="00F244EA">
        <w:rPr>
          <w:rStyle w:val="apple-converted-space"/>
          <w:color w:val="000000"/>
          <w:shd w:val="clear" w:color="auto" w:fill="FFFFFF"/>
        </w:rPr>
        <w:t>[2009] NSWCCA 102 at [57]</w:t>
      </w:r>
    </w:p>
  </w:footnote>
  <w:footnote w:id="110">
    <w:p w:rsidR="00E03352" w:rsidRPr="00F244EA" w:rsidRDefault="00E03352" w:rsidP="00E03352">
      <w:pPr>
        <w:pStyle w:val="FootnoteText"/>
        <w:jc w:val="both"/>
      </w:pPr>
      <w:r w:rsidRPr="00F244EA">
        <w:rPr>
          <w:rStyle w:val="FootnoteReference"/>
        </w:rPr>
        <w:footnoteRef/>
      </w:r>
      <w:r w:rsidRPr="00F244EA">
        <w:t xml:space="preserve"> </w:t>
      </w:r>
      <w:r>
        <w:rPr>
          <w:i/>
        </w:rPr>
        <w:t>Ibid.</w:t>
      </w:r>
      <w:r w:rsidRPr="00F244EA">
        <w:t xml:space="preserve"> at [3]</w:t>
      </w:r>
    </w:p>
  </w:footnote>
  <w:footnote w:id="111">
    <w:p w:rsidR="00E03352" w:rsidRPr="00F244EA" w:rsidRDefault="00E03352" w:rsidP="00E03352">
      <w:pPr>
        <w:pStyle w:val="FootnoteText"/>
        <w:jc w:val="both"/>
      </w:pPr>
      <w:r w:rsidRPr="00F244EA">
        <w:rPr>
          <w:rStyle w:val="FootnoteReference"/>
        </w:rPr>
        <w:footnoteRef/>
      </w:r>
      <w:r w:rsidRPr="00F244EA">
        <w:t xml:space="preserve"> </w:t>
      </w:r>
      <w:proofErr w:type="spellStart"/>
      <w:r w:rsidRPr="00F244EA">
        <w:rPr>
          <w:i/>
        </w:rPr>
        <w:t>Loc</w:t>
      </w:r>
      <w:proofErr w:type="spellEnd"/>
      <w:r w:rsidRPr="00F244EA">
        <w:rPr>
          <w:i/>
        </w:rPr>
        <w:t xml:space="preserve"> </w:t>
      </w:r>
      <w:proofErr w:type="spellStart"/>
      <w:r w:rsidRPr="00F244EA">
        <w:rPr>
          <w:i/>
        </w:rPr>
        <w:t>cit</w:t>
      </w:r>
      <w:proofErr w:type="spellEnd"/>
    </w:p>
  </w:footnote>
  <w:footnote w:id="112">
    <w:p w:rsidR="00E03352" w:rsidRPr="00F244EA" w:rsidRDefault="00E03352" w:rsidP="00E03352">
      <w:pPr>
        <w:pStyle w:val="FootnoteText"/>
        <w:jc w:val="both"/>
        <w:rPr>
          <w:lang w:val="en-GB"/>
        </w:rPr>
      </w:pPr>
      <w:r w:rsidRPr="00F244EA">
        <w:rPr>
          <w:rStyle w:val="FootnoteReference"/>
        </w:rPr>
        <w:footnoteRef/>
      </w:r>
      <w:r w:rsidRPr="00F244EA">
        <w:t xml:space="preserve"> Contrary to s 86(1) of the </w:t>
      </w:r>
      <w:r w:rsidRPr="00F244EA">
        <w:rPr>
          <w:i/>
        </w:rPr>
        <w:t>Criminal Code</w:t>
      </w:r>
      <w:r w:rsidRPr="00F244EA">
        <w:t>. See e.g.</w:t>
      </w:r>
      <w:r w:rsidRPr="00F244EA">
        <w:rPr>
          <w:i/>
          <w:lang w:eastAsia="zh-CN"/>
        </w:rPr>
        <w:t xml:space="preserve"> Pettigrew </w:t>
      </w:r>
      <w:r w:rsidRPr="00F244EA">
        <w:rPr>
          <w:lang w:eastAsia="zh-CN"/>
        </w:rPr>
        <w:t>(1990) 56 CCC (3d) 390, British Columbia Court of Appeal</w:t>
      </w:r>
      <w:r w:rsidRPr="00F244EA">
        <w:rPr>
          <w:rFonts w:eastAsiaTheme="minorEastAsia"/>
          <w:lang w:eastAsia="zh-CN"/>
        </w:rPr>
        <w:t>;</w:t>
      </w:r>
      <w:r w:rsidRPr="00F244EA">
        <w:rPr>
          <w:i/>
        </w:rPr>
        <w:t xml:space="preserve"> </w:t>
      </w:r>
      <w:proofErr w:type="spellStart"/>
      <w:r w:rsidRPr="00F244EA">
        <w:rPr>
          <w:i/>
        </w:rPr>
        <w:t>Gosset</w:t>
      </w:r>
      <w:proofErr w:type="spellEnd"/>
      <w:r w:rsidRPr="00F244EA">
        <w:t xml:space="preserve"> [1993] 3 SCR 76, Supreme Court; </w:t>
      </w:r>
      <w:proofErr w:type="spellStart"/>
      <w:r w:rsidRPr="00F244EA">
        <w:rPr>
          <w:i/>
        </w:rPr>
        <w:t>Tataryn</w:t>
      </w:r>
      <w:proofErr w:type="spellEnd"/>
      <w:r w:rsidRPr="00F244EA">
        <w:t xml:space="preserve"> 2001 BCCA 406, British Columbia Court of</w:t>
      </w:r>
      <w:r w:rsidRPr="00F244EA">
        <w:rPr>
          <w:rFonts w:eastAsiaTheme="minorEastAsia"/>
          <w:lang w:eastAsia="zh-CN"/>
        </w:rPr>
        <w:t xml:space="preserve"> Appeal</w:t>
      </w:r>
      <w:r w:rsidRPr="00F244EA">
        <w:t xml:space="preserve">; </w:t>
      </w:r>
      <w:proofErr w:type="spellStart"/>
      <w:r w:rsidRPr="00F244EA">
        <w:rPr>
          <w:i/>
        </w:rPr>
        <w:t>McMath</w:t>
      </w:r>
      <w:proofErr w:type="spellEnd"/>
      <w:r w:rsidRPr="00F244EA">
        <w:rPr>
          <w:i/>
        </w:rPr>
        <w:t xml:space="preserve"> </w:t>
      </w:r>
      <w:r w:rsidRPr="00F244EA">
        <w:t>2013 BCSC 2434, Supreme Court of British Columbia</w:t>
      </w:r>
    </w:p>
  </w:footnote>
  <w:footnote w:id="113">
    <w:p w:rsidR="00E03352" w:rsidRPr="00F244EA" w:rsidRDefault="00E03352" w:rsidP="00E03352">
      <w:pPr>
        <w:pStyle w:val="FootnoteText"/>
        <w:jc w:val="both"/>
        <w:rPr>
          <w:lang w:val="en-GB"/>
        </w:rPr>
      </w:pPr>
      <w:r w:rsidRPr="00F244EA">
        <w:rPr>
          <w:rStyle w:val="FootnoteReference"/>
        </w:rPr>
        <w:footnoteRef/>
      </w:r>
      <w:r w:rsidRPr="00F244EA">
        <w:t xml:space="preserve"> Yeo, S, </w:t>
      </w:r>
      <w:r w:rsidRPr="00F244EA">
        <w:rPr>
          <w:i/>
          <w:iCs/>
        </w:rPr>
        <w:t xml:space="preserve">The Fault Elements for Involuntary Manslaughter: Some Lessons from </w:t>
      </w:r>
      <w:proofErr w:type="spellStart"/>
      <w:r w:rsidRPr="00F244EA">
        <w:rPr>
          <w:i/>
          <w:iCs/>
        </w:rPr>
        <w:t>Downunder</w:t>
      </w:r>
      <w:proofErr w:type="spellEnd"/>
      <w:r w:rsidRPr="00F244EA">
        <w:rPr>
          <w:i/>
          <w:iCs/>
        </w:rPr>
        <w:t xml:space="preserve"> </w:t>
      </w:r>
      <w:r w:rsidRPr="00F244EA">
        <w:rPr>
          <w:iCs/>
        </w:rPr>
        <w:t xml:space="preserve">(2000) 43 </w:t>
      </w:r>
      <w:proofErr w:type="spellStart"/>
      <w:r w:rsidRPr="00F244EA">
        <w:rPr>
          <w:iCs/>
        </w:rPr>
        <w:t>Crim</w:t>
      </w:r>
      <w:proofErr w:type="spellEnd"/>
      <w:r w:rsidRPr="00F244EA">
        <w:rPr>
          <w:iCs/>
        </w:rPr>
        <w:t xml:space="preserve"> LQ 291, at p.293</w:t>
      </w:r>
    </w:p>
  </w:footnote>
  <w:footnote w:id="114">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[1973] QB 702</w:t>
      </w:r>
    </w:p>
  </w:footnote>
  <w:footnote w:id="115">
    <w:p w:rsidR="00F8652E" w:rsidRPr="00F244EA" w:rsidRDefault="00F8652E" w:rsidP="00E03352">
      <w:pPr>
        <w:pStyle w:val="FootnoteText"/>
        <w:jc w:val="both"/>
        <w:rPr>
          <w:lang w:val="en-GB"/>
        </w:rPr>
      </w:pPr>
      <w:r w:rsidRPr="00F244EA">
        <w:rPr>
          <w:rStyle w:val="FootnoteReference"/>
        </w:rPr>
        <w:footnoteRef/>
      </w:r>
      <w:r w:rsidRPr="00F244EA">
        <w:t xml:space="preserve"> Contrary to s 1(1) of the Children and Young Persons Act 1933</w:t>
      </w:r>
    </w:p>
  </w:footnote>
  <w:footnote w:id="116">
    <w:p w:rsidR="00F8652E" w:rsidRPr="00F244EA" w:rsidRDefault="00F8652E" w:rsidP="00E03352">
      <w:pPr>
        <w:pStyle w:val="FootnoteText"/>
        <w:jc w:val="both"/>
      </w:pPr>
      <w:r w:rsidRPr="00F244EA">
        <w:rPr>
          <w:rStyle w:val="FootnoteReference"/>
        </w:rPr>
        <w:footnoteRef/>
      </w:r>
      <w:r w:rsidRPr="00F244EA">
        <w:t xml:space="preserve"> </w:t>
      </w:r>
      <w:r w:rsidRPr="00F244EA">
        <w:rPr>
          <w:lang w:val="en-GB"/>
        </w:rPr>
        <w:t>[1973] QB 702</w:t>
      </w:r>
      <w:r>
        <w:rPr>
          <w:lang w:val="en-GB"/>
        </w:rPr>
        <w:t>,</w:t>
      </w:r>
      <w:r w:rsidRPr="00F244EA">
        <w:t xml:space="preserve"> at p.709</w:t>
      </w:r>
    </w:p>
  </w:footnote>
  <w:footnote w:id="117">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shd w:val="clear" w:color="auto" w:fill="FFFFFF"/>
          <w:lang w:val="en-GB"/>
        </w:rPr>
        <w:t xml:space="preserve">[2013] NSWCCA 317, </w:t>
      </w:r>
      <w:r w:rsidRPr="00F244EA">
        <w:t>New South Wales Court of Criminal Appeal</w:t>
      </w:r>
    </w:p>
  </w:footnote>
  <w:footnote w:id="118">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At [64]. Emphasis added</w:t>
      </w:r>
    </w:p>
  </w:footnote>
  <w:footnote w:id="119">
    <w:p w:rsidR="00F8652E" w:rsidRPr="00F244EA" w:rsidRDefault="00F8652E" w:rsidP="00E03352">
      <w:pPr>
        <w:pStyle w:val="FootnoteText"/>
        <w:jc w:val="both"/>
        <w:rPr>
          <w:lang w:val="en-GB"/>
        </w:rPr>
      </w:pPr>
      <w:r w:rsidRPr="00F244EA">
        <w:rPr>
          <w:rStyle w:val="FootnoteReference"/>
        </w:rPr>
        <w:footnoteRef/>
      </w:r>
      <w:r w:rsidRPr="00F244EA">
        <w:t xml:space="preserve"> </w:t>
      </w:r>
      <w:proofErr w:type="spellStart"/>
      <w:r w:rsidRPr="00F244EA">
        <w:t>Horder</w:t>
      </w:r>
      <w:proofErr w:type="spellEnd"/>
      <w:r w:rsidRPr="00F244EA">
        <w:t xml:space="preserve">, J, </w:t>
      </w:r>
      <w:r w:rsidRPr="00F244EA">
        <w:rPr>
          <w:i/>
          <w:lang w:val="en-GB"/>
        </w:rPr>
        <w:t>Ashworth</w:t>
      </w:r>
      <w:r>
        <w:rPr>
          <w:i/>
          <w:lang w:val="en-GB"/>
        </w:rPr>
        <w:t>’</w:t>
      </w:r>
      <w:r w:rsidRPr="00F244EA">
        <w:rPr>
          <w:i/>
          <w:lang w:val="en-GB"/>
        </w:rPr>
        <w:t>s Principles of Criminal Law</w:t>
      </w:r>
      <w:r w:rsidRPr="00F244EA">
        <w:rPr>
          <w:lang w:val="en-GB"/>
        </w:rPr>
        <w:t>, 8</w:t>
      </w:r>
      <w:r w:rsidRPr="00F244EA">
        <w:rPr>
          <w:vertAlign w:val="superscript"/>
          <w:lang w:val="en-GB"/>
        </w:rPr>
        <w:t>th</w:t>
      </w:r>
      <w:r w:rsidRPr="00F244EA">
        <w:rPr>
          <w:lang w:val="en-GB"/>
        </w:rPr>
        <w:t xml:space="preserve"> edition (2016), Oxford University Press at p.295</w:t>
      </w:r>
    </w:p>
  </w:footnote>
  <w:footnote w:id="120">
    <w:p w:rsidR="00F8652E" w:rsidRPr="00F244EA" w:rsidRDefault="00F8652E" w:rsidP="00E03352">
      <w:pPr>
        <w:pStyle w:val="FootnoteText"/>
        <w:jc w:val="both"/>
      </w:pPr>
      <w:r w:rsidRPr="00F244EA">
        <w:rPr>
          <w:rStyle w:val="FootnoteReference"/>
        </w:rPr>
        <w:footnoteRef/>
      </w:r>
      <w:r w:rsidRPr="00F244EA">
        <w:t xml:space="preserve"> Allen, M J, </w:t>
      </w:r>
      <w:r w:rsidR="00653CFD" w:rsidRPr="00653CFD">
        <w:rPr>
          <w:i/>
        </w:rPr>
        <w:t>op. cit.</w:t>
      </w:r>
      <w:r w:rsidR="00653CFD">
        <w:t xml:space="preserve"> </w:t>
      </w:r>
      <w:r w:rsidRPr="00F244EA">
        <w:t>at p. 360</w:t>
      </w:r>
    </w:p>
  </w:footnote>
  <w:footnote w:id="121">
    <w:p w:rsidR="00F8652E" w:rsidRPr="007F1C33" w:rsidRDefault="00F8652E" w:rsidP="00653CFD">
      <w:pPr>
        <w:pStyle w:val="FootnoteText"/>
        <w:tabs>
          <w:tab w:val="left" w:pos="426"/>
        </w:tabs>
        <w:jc w:val="both"/>
        <w:rPr>
          <w:lang w:val="en-GB"/>
        </w:rPr>
      </w:pPr>
      <w:r w:rsidRPr="00F244EA">
        <w:rPr>
          <w:rStyle w:val="FootnoteReference"/>
        </w:rPr>
        <w:footnoteRef/>
      </w:r>
      <w:r w:rsidRPr="00F244EA">
        <w:t xml:space="preserve"> </w:t>
      </w:r>
      <w:proofErr w:type="spellStart"/>
      <w:r w:rsidRPr="00F244EA">
        <w:t>Simester</w:t>
      </w:r>
      <w:proofErr w:type="spellEnd"/>
      <w:r w:rsidRPr="00F244EA">
        <w:t xml:space="preserve">, A P et al, </w:t>
      </w:r>
      <w:r w:rsidR="00653CFD" w:rsidRPr="00653CFD">
        <w:rPr>
          <w:i/>
        </w:rPr>
        <w:t>op</w:t>
      </w:r>
      <w:r w:rsidR="00653CFD">
        <w:rPr>
          <w:i/>
        </w:rPr>
        <w:t>.</w:t>
      </w:r>
      <w:r w:rsidR="00653CFD" w:rsidRPr="00653CFD">
        <w:rPr>
          <w:i/>
        </w:rPr>
        <w:t xml:space="preserve"> cit</w:t>
      </w:r>
      <w:r w:rsidR="00653CFD">
        <w:rPr>
          <w:i/>
        </w:rPr>
        <w:t>.</w:t>
      </w:r>
      <w:r w:rsidR="00653CFD">
        <w:t xml:space="preserve"> </w:t>
      </w:r>
      <w:r w:rsidRPr="007F1C33">
        <w:rPr>
          <w:lang w:val="en-GB"/>
        </w:rPr>
        <w:t>at p.410</w:t>
      </w:r>
      <w:r>
        <w:rPr>
          <w:lang w:val="en-GB"/>
        </w:rPr>
        <w:t>. Emphasis in original</w:t>
      </w:r>
    </w:p>
  </w:footnote>
  <w:footnote w:id="122">
    <w:p w:rsidR="00F8652E" w:rsidRPr="00F244EA" w:rsidRDefault="00F8652E" w:rsidP="00E03352">
      <w:pPr>
        <w:jc w:val="both"/>
        <w:rPr>
          <w:sz w:val="20"/>
          <w:szCs w:val="20"/>
        </w:rPr>
      </w:pPr>
      <w:r w:rsidRPr="00F244EA">
        <w:rPr>
          <w:rStyle w:val="FootnoteReference"/>
          <w:sz w:val="20"/>
          <w:szCs w:val="20"/>
        </w:rPr>
        <w:footnoteRef/>
      </w:r>
      <w:r w:rsidRPr="00F244EA">
        <w:rPr>
          <w:sz w:val="20"/>
          <w:szCs w:val="20"/>
        </w:rPr>
        <w:t xml:space="preserve"> </w:t>
      </w:r>
      <w:r w:rsidRPr="00F244EA">
        <w:rPr>
          <w:sz w:val="20"/>
          <w:szCs w:val="20"/>
          <w:lang w:val="en-GB"/>
        </w:rPr>
        <w:t xml:space="preserve">See e.g. </w:t>
      </w:r>
      <w:r w:rsidRPr="00F244EA">
        <w:rPr>
          <w:bCs/>
          <w:i/>
          <w:kern w:val="36"/>
          <w:sz w:val="20"/>
          <w:szCs w:val="20"/>
        </w:rPr>
        <w:t>Reeves</w:t>
      </w:r>
      <w:r w:rsidRPr="00F244EA">
        <w:rPr>
          <w:bCs/>
          <w:kern w:val="36"/>
          <w:sz w:val="20"/>
          <w:szCs w:val="20"/>
        </w:rPr>
        <w:t xml:space="preserve"> </w:t>
      </w:r>
      <w:r w:rsidRPr="00F244EA">
        <w:rPr>
          <w:sz w:val="20"/>
          <w:szCs w:val="20"/>
          <w:lang w:eastAsia="zh-CN"/>
        </w:rPr>
        <w:t xml:space="preserve">[2012] EWCA </w:t>
      </w:r>
      <w:proofErr w:type="spellStart"/>
      <w:r w:rsidRPr="00F244EA">
        <w:rPr>
          <w:sz w:val="20"/>
          <w:szCs w:val="20"/>
          <w:lang w:eastAsia="zh-CN"/>
        </w:rPr>
        <w:t>Crim</w:t>
      </w:r>
      <w:proofErr w:type="spellEnd"/>
      <w:r w:rsidRPr="00F244EA">
        <w:rPr>
          <w:sz w:val="20"/>
          <w:szCs w:val="20"/>
          <w:lang w:eastAsia="zh-CN"/>
        </w:rPr>
        <w:t xml:space="preserve"> 2613, Court of Appeal</w:t>
      </w:r>
    </w:p>
  </w:footnote>
  <w:footnote w:id="123">
    <w:p w:rsidR="00F8652E" w:rsidRPr="00F244EA" w:rsidRDefault="00F8652E" w:rsidP="00E03352">
      <w:pPr>
        <w:pStyle w:val="FootnoteText"/>
        <w:jc w:val="both"/>
        <w:rPr>
          <w:lang w:val="en-GB"/>
        </w:rPr>
      </w:pPr>
      <w:r w:rsidRPr="00F244EA">
        <w:rPr>
          <w:rStyle w:val="FootnoteReference"/>
        </w:rPr>
        <w:footnoteRef/>
      </w:r>
      <w:r w:rsidRPr="00F244EA">
        <w:t xml:space="preserve"> </w:t>
      </w:r>
      <w:proofErr w:type="spellStart"/>
      <w:r w:rsidRPr="00F244EA">
        <w:t>Simester</w:t>
      </w:r>
      <w:proofErr w:type="spellEnd"/>
      <w:r w:rsidRPr="00F244EA">
        <w:t xml:space="preserve">, A P et al, </w:t>
      </w:r>
      <w:r>
        <w:rPr>
          <w:i/>
          <w:lang w:val="en-GB"/>
        </w:rPr>
        <w:t>op. cit.</w:t>
      </w:r>
      <w:r w:rsidRPr="00F244EA">
        <w:rPr>
          <w:lang w:val="en-GB"/>
        </w:rPr>
        <w:t xml:space="preserve"> at p.</w:t>
      </w:r>
      <w:r w:rsidRPr="007F1C33">
        <w:rPr>
          <w:lang w:val="en-GB"/>
        </w:rPr>
        <w:t>410</w:t>
      </w:r>
    </w:p>
  </w:footnote>
  <w:footnote w:id="124">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bCs/>
        </w:rPr>
        <w:t>(1997) 185 NBR (2d) 190, Court of Appeal of New Brunswick</w:t>
      </w:r>
    </w:p>
  </w:footnote>
  <w:footnote w:id="125">
    <w:p w:rsidR="00F8652E" w:rsidRPr="00F244EA" w:rsidRDefault="00F8652E" w:rsidP="00E03352">
      <w:pPr>
        <w:pStyle w:val="FootnoteText"/>
        <w:jc w:val="both"/>
        <w:rPr>
          <w:lang w:val="en-GB"/>
        </w:rPr>
      </w:pPr>
      <w:r w:rsidRPr="00F244EA">
        <w:rPr>
          <w:rStyle w:val="FootnoteReference"/>
        </w:rPr>
        <w:footnoteRef/>
      </w:r>
      <w:r w:rsidRPr="00F244EA">
        <w:t xml:space="preserve"> Contrary to s 215(1)(a) of the </w:t>
      </w:r>
      <w:r w:rsidRPr="00F244EA">
        <w:rPr>
          <w:i/>
          <w:iCs/>
        </w:rPr>
        <w:t>Criminal Code</w:t>
      </w:r>
    </w:p>
  </w:footnote>
  <w:footnote w:id="126">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Emphasis added</w:t>
      </w:r>
    </w:p>
  </w:footnote>
  <w:footnote w:id="127">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color w:val="000000"/>
        </w:rPr>
        <w:t>(1944) 29 Cr. App. R. 18</w:t>
      </w:r>
    </w:p>
  </w:footnote>
  <w:footnote w:id="128">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p.23</w:t>
      </w:r>
    </w:p>
  </w:footnote>
  <w:footnote w:id="129">
    <w:p w:rsidR="00F8652E" w:rsidRPr="00286798"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shd w:val="clear" w:color="auto" w:fill="FFFFFF"/>
          <w:lang w:val="en-GB"/>
        </w:rPr>
        <w:t>[19</w:t>
      </w:r>
      <w:r w:rsidRPr="00286798">
        <w:rPr>
          <w:shd w:val="clear" w:color="auto" w:fill="FFFFFF"/>
          <w:lang w:val="en-GB"/>
        </w:rPr>
        <w:t>66] 1 QB 59</w:t>
      </w:r>
    </w:p>
  </w:footnote>
  <w:footnote w:id="130">
    <w:p w:rsidR="00F8652E" w:rsidRPr="00286798" w:rsidRDefault="00F8652E" w:rsidP="00E03352">
      <w:pPr>
        <w:pStyle w:val="FootnoteText"/>
        <w:jc w:val="both"/>
        <w:rPr>
          <w:lang w:val="en-GB"/>
        </w:rPr>
      </w:pPr>
      <w:r w:rsidRPr="00286798">
        <w:rPr>
          <w:rStyle w:val="FootnoteReference"/>
        </w:rPr>
        <w:footnoteRef/>
      </w:r>
      <w:r w:rsidRPr="00286798">
        <w:t xml:space="preserve"> </w:t>
      </w:r>
      <w:r w:rsidRPr="00286798">
        <w:rPr>
          <w:i/>
          <w:lang w:val="en-GB"/>
        </w:rPr>
        <w:t>Ibid.</w:t>
      </w:r>
      <w:r w:rsidRPr="00286798">
        <w:rPr>
          <w:lang w:val="en-GB"/>
        </w:rPr>
        <w:t xml:space="preserve"> at p.70</w:t>
      </w:r>
    </w:p>
  </w:footnote>
  <w:footnote w:id="131">
    <w:p w:rsidR="00286798" w:rsidRPr="00286798" w:rsidRDefault="00286798" w:rsidP="00E03352">
      <w:pPr>
        <w:pStyle w:val="FootnoteText"/>
        <w:jc w:val="both"/>
      </w:pPr>
      <w:r w:rsidRPr="00286798">
        <w:rPr>
          <w:rStyle w:val="FootnoteReference"/>
        </w:rPr>
        <w:footnoteRef/>
      </w:r>
      <w:r w:rsidRPr="00286798">
        <w:t xml:space="preserve"> </w:t>
      </w:r>
      <w:r w:rsidRPr="00286798">
        <w:rPr>
          <w:color w:val="000000"/>
        </w:rPr>
        <w:t>[1998] AC 245</w:t>
      </w:r>
      <w:r>
        <w:rPr>
          <w:color w:val="000000"/>
        </w:rPr>
        <w:t>.</w:t>
      </w:r>
      <w:r>
        <w:rPr>
          <w:bCs/>
        </w:rPr>
        <w:t>.</w:t>
      </w:r>
    </w:p>
  </w:footnote>
  <w:footnote w:id="132">
    <w:p w:rsidR="00977BBF" w:rsidRPr="00977BBF" w:rsidRDefault="00977BBF" w:rsidP="00E03352">
      <w:pPr>
        <w:pStyle w:val="FootnoteText"/>
        <w:jc w:val="both"/>
        <w:rPr>
          <w:lang w:val="en-GB"/>
        </w:rPr>
      </w:pPr>
      <w:r>
        <w:rPr>
          <w:rStyle w:val="FootnoteReference"/>
        </w:rPr>
        <w:footnoteRef/>
      </w:r>
      <w:r>
        <w:t xml:space="preserve"> ‘</w:t>
      </w:r>
      <w:r w:rsidRPr="00286798">
        <w:rPr>
          <w:color w:val="000000"/>
          <w:shd w:val="clear" w:color="auto" w:fill="FFFFFF"/>
        </w:rPr>
        <w:t>All that it is needed, once causation is established, is an act creating a risk</w:t>
      </w:r>
      <w:r w:rsidRPr="00286798">
        <w:rPr>
          <w:rStyle w:val="apple-converted-space"/>
          <w:color w:val="000000"/>
          <w:shd w:val="clear" w:color="auto" w:fill="FFFFFF"/>
        </w:rPr>
        <w:t> </w:t>
      </w:r>
      <w:r w:rsidRPr="00286798">
        <w:rPr>
          <w:rStyle w:val="Emphasis"/>
          <w:color w:val="000000"/>
          <w:shd w:val="clear" w:color="auto" w:fill="FFFFFF"/>
        </w:rPr>
        <w:t>to anyone</w:t>
      </w:r>
      <w:r>
        <w:rPr>
          <w:rStyle w:val="Emphasis"/>
          <w:color w:val="000000"/>
          <w:shd w:val="clear" w:color="auto" w:fill="FFFFFF"/>
        </w:rPr>
        <w:t>’</w:t>
      </w:r>
      <w:r w:rsidRPr="00286798">
        <w:rPr>
          <w:bCs/>
        </w:rPr>
        <w:t xml:space="preserve">, per Lord </w:t>
      </w:r>
      <w:proofErr w:type="spellStart"/>
      <w:r w:rsidRPr="00286798">
        <w:rPr>
          <w:bCs/>
        </w:rPr>
        <w:t>Mustill</w:t>
      </w:r>
      <w:proofErr w:type="spellEnd"/>
      <w:r>
        <w:rPr>
          <w:bCs/>
        </w:rPr>
        <w:t xml:space="preserve">, </w:t>
      </w:r>
      <w:r w:rsidRPr="00977BBF">
        <w:rPr>
          <w:bCs/>
          <w:i/>
        </w:rPr>
        <w:t>ibid</w:t>
      </w:r>
      <w:r>
        <w:rPr>
          <w:bCs/>
        </w:rPr>
        <w:t>.</w:t>
      </w:r>
      <w:r w:rsidRPr="00286798">
        <w:rPr>
          <w:bCs/>
        </w:rPr>
        <w:t xml:space="preserve"> at p.263</w:t>
      </w:r>
      <w:r>
        <w:rPr>
          <w:bCs/>
        </w:rPr>
        <w:t>. Emphasis in original</w:t>
      </w:r>
    </w:p>
  </w:footnote>
  <w:footnote w:id="133">
    <w:p w:rsidR="00F8652E" w:rsidRPr="00286798" w:rsidRDefault="00F8652E" w:rsidP="00E03352">
      <w:pPr>
        <w:pStyle w:val="FootnoteText"/>
        <w:jc w:val="both"/>
        <w:rPr>
          <w:lang w:val="en-GB"/>
        </w:rPr>
      </w:pPr>
      <w:r w:rsidRPr="00286798">
        <w:rPr>
          <w:rStyle w:val="FootnoteReference"/>
        </w:rPr>
        <w:footnoteRef/>
      </w:r>
      <w:r w:rsidRPr="00286798">
        <w:t xml:space="preserve"> </w:t>
      </w:r>
      <w:r w:rsidRPr="00286798">
        <w:rPr>
          <w:spacing w:val="-3"/>
        </w:rPr>
        <w:t>(1987) 39 CCC (3d) 346, British Columbia Court of Appeal</w:t>
      </w:r>
    </w:p>
  </w:footnote>
  <w:footnote w:id="134">
    <w:p w:rsidR="00F8652E" w:rsidRPr="00286798" w:rsidRDefault="00F8652E" w:rsidP="00E03352">
      <w:pPr>
        <w:pStyle w:val="FootnoteText"/>
        <w:jc w:val="both"/>
      </w:pPr>
      <w:r w:rsidRPr="00286798">
        <w:rPr>
          <w:rStyle w:val="FootnoteReference"/>
        </w:rPr>
        <w:footnoteRef/>
      </w:r>
      <w:r w:rsidRPr="00286798">
        <w:t xml:space="preserve"> </w:t>
      </w:r>
      <w:r w:rsidRPr="00286798">
        <w:rPr>
          <w:i/>
        </w:rPr>
        <w:t>Ibid.</w:t>
      </w:r>
      <w:r w:rsidRPr="00286798">
        <w:t xml:space="preserve"> at [37]</w:t>
      </w:r>
    </w:p>
  </w:footnote>
  <w:footnote w:id="135">
    <w:p w:rsidR="00977BBF" w:rsidRPr="00D907FB" w:rsidRDefault="00977BBF" w:rsidP="00E03352">
      <w:pPr>
        <w:pStyle w:val="FootnoteText"/>
        <w:jc w:val="both"/>
        <w:rPr>
          <w:lang w:val="en-GB"/>
        </w:rPr>
      </w:pPr>
      <w:r>
        <w:rPr>
          <w:rStyle w:val="FootnoteReference"/>
        </w:rPr>
        <w:footnoteRef/>
      </w:r>
      <w:r>
        <w:t xml:space="preserve"> </w:t>
      </w:r>
      <w:r w:rsidRPr="00F244EA">
        <w:rPr>
          <w:lang w:val="en-GB"/>
        </w:rPr>
        <w:t>[19</w:t>
      </w:r>
      <w:r w:rsidRPr="00D907FB">
        <w:rPr>
          <w:lang w:val="en-GB"/>
        </w:rPr>
        <w:t>77] AC 500</w:t>
      </w:r>
    </w:p>
  </w:footnote>
  <w:footnote w:id="136">
    <w:p w:rsidR="00977BBF" w:rsidRPr="00D907FB" w:rsidRDefault="00977BBF" w:rsidP="00E03352">
      <w:pPr>
        <w:pStyle w:val="FootnoteText"/>
        <w:jc w:val="both"/>
        <w:rPr>
          <w:lang w:val="en-GB"/>
        </w:rPr>
      </w:pPr>
      <w:r w:rsidRPr="00D907FB">
        <w:rPr>
          <w:rStyle w:val="FootnoteReference"/>
        </w:rPr>
        <w:footnoteRef/>
      </w:r>
      <w:r w:rsidRPr="00D907FB">
        <w:t xml:space="preserve"> </w:t>
      </w:r>
      <w:r w:rsidRPr="00D907FB">
        <w:rPr>
          <w:i/>
          <w:lang w:val="en-GB"/>
        </w:rPr>
        <w:t>Ibid</w:t>
      </w:r>
      <w:r w:rsidRPr="00D907FB">
        <w:rPr>
          <w:lang w:val="en-GB"/>
        </w:rPr>
        <w:t xml:space="preserve">. at p.507. Lords </w:t>
      </w:r>
      <w:proofErr w:type="spellStart"/>
      <w:r w:rsidRPr="00D907FB">
        <w:rPr>
          <w:lang w:val="en-GB"/>
        </w:rPr>
        <w:t>Diplock</w:t>
      </w:r>
      <w:proofErr w:type="spellEnd"/>
      <w:r w:rsidRPr="00D907FB">
        <w:rPr>
          <w:lang w:val="en-GB"/>
        </w:rPr>
        <w:t xml:space="preserve">, Edmund-Davies, Simon and </w:t>
      </w:r>
      <w:proofErr w:type="spellStart"/>
      <w:r w:rsidRPr="00D907FB">
        <w:rPr>
          <w:lang w:val="en-GB"/>
        </w:rPr>
        <w:t>Kilbrandon</w:t>
      </w:r>
      <w:proofErr w:type="spellEnd"/>
      <w:r w:rsidRPr="00D907FB">
        <w:rPr>
          <w:lang w:val="en-GB"/>
        </w:rPr>
        <w:t xml:space="preserve"> agreed</w:t>
      </w:r>
    </w:p>
  </w:footnote>
  <w:footnote w:id="137">
    <w:p w:rsidR="00D907FB" w:rsidRPr="009D1AB1" w:rsidRDefault="00D907FB" w:rsidP="00E03352">
      <w:pPr>
        <w:pStyle w:val="FootnoteText"/>
        <w:jc w:val="both"/>
        <w:rPr>
          <w:lang w:val="en-GB"/>
        </w:rPr>
      </w:pPr>
      <w:r w:rsidRPr="00D907FB">
        <w:rPr>
          <w:rStyle w:val="FootnoteReference"/>
        </w:rPr>
        <w:footnoteRef/>
      </w:r>
      <w:r w:rsidRPr="00D907FB">
        <w:t xml:space="preserve"> Mitchell, B, </w:t>
      </w:r>
      <w:r w:rsidRPr="00D907FB">
        <w:rPr>
          <w:i/>
        </w:rPr>
        <w:t xml:space="preserve">Minding the Gap in Unlawful and Dangerous Act Manslaughter: A Moral </w:t>
      </w:r>
      <w:proofErr w:type="spellStart"/>
      <w:r w:rsidRPr="00D907FB">
        <w:rPr>
          <w:i/>
        </w:rPr>
        <w:t>Defence</w:t>
      </w:r>
      <w:proofErr w:type="spellEnd"/>
      <w:r w:rsidRPr="00D907FB">
        <w:rPr>
          <w:i/>
        </w:rPr>
        <w:t xml:space="preserve"> of One-punch Killers</w:t>
      </w:r>
      <w:r w:rsidRPr="00D907FB">
        <w:t xml:space="preserve"> (2008) 72 J </w:t>
      </w:r>
      <w:proofErr w:type="spellStart"/>
      <w:r w:rsidRPr="00D907FB">
        <w:t>Crim</w:t>
      </w:r>
      <w:proofErr w:type="spellEnd"/>
      <w:r w:rsidRPr="00D907FB">
        <w:t xml:space="preserve"> L 537</w:t>
      </w:r>
      <w:r>
        <w:t>, at p. 547</w:t>
      </w:r>
      <w:r w:rsidR="009D1AB1">
        <w:t>. See a</w:t>
      </w:r>
      <w:r w:rsidR="009D1AB1" w:rsidRPr="009D1AB1">
        <w:t xml:space="preserve">lso </w:t>
      </w:r>
      <w:r w:rsidR="009D1AB1" w:rsidRPr="009D1AB1">
        <w:rPr>
          <w:color w:val="000000"/>
          <w:lang w:val="en"/>
        </w:rPr>
        <w:t xml:space="preserve">Mitchell, </w:t>
      </w:r>
      <w:r w:rsidR="009D1AB1">
        <w:rPr>
          <w:color w:val="000000"/>
          <w:lang w:val="en"/>
        </w:rPr>
        <w:t xml:space="preserve">B, </w:t>
      </w:r>
      <w:r w:rsidR="009D1AB1" w:rsidRPr="009D1AB1">
        <w:rPr>
          <w:i/>
        </w:rPr>
        <w:t xml:space="preserve">More Thoughts about Unlawful and Dangerous Act Manslaughter and the One-Punch Killer </w:t>
      </w:r>
      <w:r w:rsidR="009D1AB1" w:rsidRPr="009D1AB1">
        <w:t xml:space="preserve">[2009] </w:t>
      </w:r>
      <w:proofErr w:type="spellStart"/>
      <w:r w:rsidR="009D1AB1" w:rsidRPr="009D1AB1">
        <w:t>Crim</w:t>
      </w:r>
      <w:proofErr w:type="spellEnd"/>
      <w:r w:rsidR="009D1AB1" w:rsidRPr="009D1AB1">
        <w:t xml:space="preserve"> LR 502</w:t>
      </w:r>
      <w:r w:rsidR="009D1AB1">
        <w:t xml:space="preserve">: ‘the extraordinarily low level of moral culpability </w:t>
      </w:r>
      <w:proofErr w:type="spellStart"/>
      <w:r w:rsidR="009D1AB1">
        <w:t>whch</w:t>
      </w:r>
      <w:proofErr w:type="spellEnd"/>
      <w:r w:rsidR="009D1AB1">
        <w:t xml:space="preserve"> suffices for unlawful and dangerous act manslaughter’, at p.502</w:t>
      </w:r>
    </w:p>
  </w:footnote>
  <w:footnote w:id="138">
    <w:p w:rsidR="00F8652E" w:rsidRPr="00F244EA" w:rsidRDefault="00F8652E" w:rsidP="00E03352">
      <w:pPr>
        <w:pStyle w:val="FootnoteText"/>
        <w:jc w:val="both"/>
        <w:rPr>
          <w:lang w:val="en-GB"/>
        </w:rPr>
      </w:pPr>
      <w:r w:rsidRPr="00D907FB">
        <w:rPr>
          <w:rStyle w:val="FootnoteReference"/>
        </w:rPr>
        <w:footnoteRef/>
      </w:r>
      <w:r w:rsidRPr="00D907FB">
        <w:t xml:space="preserve"> [1993] 3 SCR</w:t>
      </w:r>
      <w:r w:rsidRPr="00F244EA">
        <w:t xml:space="preserve"> 3, Supreme Court of Canada</w:t>
      </w:r>
    </w:p>
  </w:footnote>
  <w:footnote w:id="139">
    <w:p w:rsidR="00F8652E" w:rsidRPr="00F244EA" w:rsidRDefault="00F8652E" w:rsidP="00E03352">
      <w:pPr>
        <w:pStyle w:val="FootnoteText"/>
        <w:jc w:val="both"/>
        <w:rPr>
          <w:lang w:val="en-GB"/>
        </w:rPr>
      </w:pPr>
      <w:r w:rsidRPr="00F244EA">
        <w:rPr>
          <w:rStyle w:val="FootnoteReference"/>
        </w:rPr>
        <w:footnoteRef/>
      </w:r>
      <w:r w:rsidRPr="00F244EA">
        <w:t xml:space="preserve"> As she then was. </w:t>
      </w:r>
      <w:proofErr w:type="spellStart"/>
      <w:r w:rsidRPr="00F244EA">
        <w:t>L</w:t>
      </w:r>
      <w:r>
        <w:t>’</w:t>
      </w:r>
      <w:r w:rsidRPr="00F244EA">
        <w:t>Heureux-Dubé</w:t>
      </w:r>
      <w:proofErr w:type="spellEnd"/>
      <w:r w:rsidRPr="00F244EA">
        <w:t xml:space="preserve">, </w:t>
      </w:r>
      <w:proofErr w:type="spellStart"/>
      <w:r w:rsidRPr="00F244EA">
        <w:t>Gonthier</w:t>
      </w:r>
      <w:proofErr w:type="spellEnd"/>
      <w:r w:rsidRPr="00F244EA">
        <w:t xml:space="preserve"> and Cory J agreed. La Forest J gave a concurring judgment</w:t>
      </w:r>
    </w:p>
  </w:footnote>
  <w:footnote w:id="140">
    <w:p w:rsidR="00F8652E" w:rsidRPr="00F244EA" w:rsidRDefault="00F8652E" w:rsidP="00E03352">
      <w:pPr>
        <w:pStyle w:val="FootnoteText"/>
        <w:jc w:val="both"/>
      </w:pPr>
      <w:r w:rsidRPr="00F244EA">
        <w:rPr>
          <w:rStyle w:val="FootnoteReference"/>
        </w:rPr>
        <w:footnoteRef/>
      </w:r>
      <w:r w:rsidRPr="00F244EA">
        <w:t xml:space="preserve"> [1993] 3 SCR 3 at p.52</w:t>
      </w:r>
    </w:p>
  </w:footnote>
  <w:footnote w:id="141">
    <w:p w:rsidR="00F8652E" w:rsidRPr="00F244EA" w:rsidRDefault="00F8652E" w:rsidP="00E03352">
      <w:pPr>
        <w:pStyle w:val="FootnoteText"/>
        <w:jc w:val="both"/>
        <w:rPr>
          <w:lang w:val="en-GB"/>
        </w:rPr>
      </w:pPr>
      <w:r w:rsidRPr="00F244EA">
        <w:rPr>
          <w:rStyle w:val="FootnoteReference"/>
        </w:rPr>
        <w:footnoteRef/>
      </w:r>
      <w:r w:rsidRPr="00F244EA">
        <w:t xml:space="preserve"> </w:t>
      </w:r>
      <w:proofErr w:type="spellStart"/>
      <w:r w:rsidRPr="00F244EA">
        <w:rPr>
          <w:i/>
          <w:iCs/>
        </w:rPr>
        <w:t>Sarrazin</w:t>
      </w:r>
      <w:proofErr w:type="spellEnd"/>
      <w:r w:rsidRPr="00F244EA">
        <w:t xml:space="preserve"> 2011 SCC 54; [2011] 3 SCR 505, Supreme Court of Canada, at [18]; </w:t>
      </w:r>
      <w:proofErr w:type="spellStart"/>
      <w:r w:rsidRPr="00F244EA">
        <w:rPr>
          <w:i/>
          <w:iCs/>
        </w:rPr>
        <w:t>Maybin</w:t>
      </w:r>
      <w:proofErr w:type="spellEnd"/>
      <w:r w:rsidRPr="00F244EA">
        <w:rPr>
          <w:i/>
          <w:iCs/>
        </w:rPr>
        <w:t xml:space="preserve"> </w:t>
      </w:r>
      <w:r w:rsidRPr="00F244EA">
        <w:t xml:space="preserve">2012 SCC 24; [2012] 2 SCR 30, Supreme Court of Canada, at [36]; </w:t>
      </w:r>
      <w:r w:rsidRPr="00F244EA">
        <w:rPr>
          <w:i/>
        </w:rPr>
        <w:t>H</w:t>
      </w:r>
      <w:r w:rsidRPr="00F244EA">
        <w:t xml:space="preserve"> 2013 SCC 28, [2013] 2 SCR 269, Supreme Court of Canada, at [91]</w:t>
      </w:r>
    </w:p>
  </w:footnote>
  <w:footnote w:id="142">
    <w:p w:rsidR="00F8652E" w:rsidRPr="00F244EA" w:rsidRDefault="00F8652E" w:rsidP="00E03352">
      <w:pPr>
        <w:pStyle w:val="FootnoteText"/>
        <w:jc w:val="both"/>
      </w:pPr>
      <w:r w:rsidRPr="00F244EA">
        <w:rPr>
          <w:rStyle w:val="FootnoteReference"/>
        </w:rPr>
        <w:footnoteRef/>
      </w:r>
      <w:r w:rsidRPr="00F244EA">
        <w:t xml:space="preserve"> W</w:t>
      </w:r>
      <w:r w:rsidRPr="00F244EA">
        <w:rPr>
          <w:color w:val="000000"/>
          <w:shd w:val="clear" w:color="auto" w:fill="FFFFFF"/>
        </w:rPr>
        <w:t xml:space="preserve">ith whom </w:t>
      </w:r>
      <w:proofErr w:type="spellStart"/>
      <w:r w:rsidRPr="00F244EA">
        <w:rPr>
          <w:color w:val="000000"/>
          <w:shd w:val="clear" w:color="auto" w:fill="FFFFFF"/>
        </w:rPr>
        <w:t>Sopinka</w:t>
      </w:r>
      <w:proofErr w:type="spellEnd"/>
      <w:r w:rsidRPr="00F244EA">
        <w:rPr>
          <w:color w:val="000000"/>
          <w:shd w:val="clear" w:color="auto" w:fill="FFFFFF"/>
        </w:rPr>
        <w:t xml:space="preserve">, </w:t>
      </w:r>
      <w:proofErr w:type="spellStart"/>
      <w:r w:rsidRPr="00F244EA">
        <w:rPr>
          <w:color w:val="000000"/>
          <w:shd w:val="clear" w:color="auto" w:fill="FFFFFF"/>
        </w:rPr>
        <w:t>Iacobucci</w:t>
      </w:r>
      <w:proofErr w:type="spellEnd"/>
      <w:r w:rsidRPr="00F244EA">
        <w:rPr>
          <w:color w:val="000000"/>
          <w:shd w:val="clear" w:color="auto" w:fill="FFFFFF"/>
        </w:rPr>
        <w:t xml:space="preserve"> and Major JJ agreed</w:t>
      </w:r>
    </w:p>
  </w:footnote>
  <w:footnote w:id="143">
    <w:p w:rsidR="00F8652E" w:rsidRPr="00F244EA" w:rsidRDefault="00F8652E" w:rsidP="00E03352">
      <w:pPr>
        <w:pStyle w:val="FootnoteText"/>
        <w:jc w:val="both"/>
      </w:pPr>
      <w:r w:rsidRPr="00F244EA">
        <w:rPr>
          <w:rStyle w:val="FootnoteReference"/>
        </w:rPr>
        <w:footnoteRef/>
      </w:r>
      <w:r w:rsidRPr="00F244EA">
        <w:t xml:space="preserve"> [1993] 3 SCR 3 at p.23</w:t>
      </w:r>
    </w:p>
  </w:footnote>
  <w:footnote w:id="144">
    <w:p w:rsidR="00F8652E" w:rsidRPr="00F244EA" w:rsidRDefault="00F8652E" w:rsidP="00E03352">
      <w:pPr>
        <w:pStyle w:val="FootnoteText"/>
        <w:jc w:val="both"/>
      </w:pPr>
      <w:r w:rsidRPr="00F244EA">
        <w:rPr>
          <w:rStyle w:val="FootnoteReference"/>
        </w:rPr>
        <w:footnoteRef/>
      </w:r>
      <w:r w:rsidRPr="00F244EA">
        <w:t xml:space="preserve"> </w:t>
      </w:r>
      <w:proofErr w:type="spellStart"/>
      <w:r w:rsidRPr="00F244EA">
        <w:t>Khoday</w:t>
      </w:r>
      <w:proofErr w:type="spellEnd"/>
      <w:r w:rsidRPr="00F244EA">
        <w:t xml:space="preserve">, A, </w:t>
      </w:r>
      <w:r w:rsidRPr="00F244EA">
        <w:rPr>
          <w:i/>
        </w:rPr>
        <w:t>R v Creighton Twenty Years Later: Harm versus Death Revisited</w:t>
      </w:r>
      <w:r w:rsidRPr="00F244EA">
        <w:t xml:space="preserve"> (2013) 37 Manitoba Law Journal 167 at pp.174-175</w:t>
      </w:r>
    </w:p>
  </w:footnote>
  <w:footnote w:id="145">
    <w:p w:rsidR="00F8652E" w:rsidRPr="00F244EA" w:rsidRDefault="00F8652E" w:rsidP="00E03352">
      <w:pPr>
        <w:pStyle w:val="FootnoteText"/>
        <w:jc w:val="both"/>
        <w:rPr>
          <w:lang w:val="en-GB"/>
        </w:rPr>
      </w:pPr>
      <w:r w:rsidRPr="00F244EA">
        <w:rPr>
          <w:rStyle w:val="FootnoteReference"/>
        </w:rPr>
        <w:footnoteRef/>
      </w:r>
      <w:r w:rsidRPr="00F244EA">
        <w:t xml:space="preserve"> Yeo, S, </w:t>
      </w:r>
      <w:r w:rsidRPr="00F244EA">
        <w:rPr>
          <w:i/>
          <w:iCs/>
        </w:rPr>
        <w:t xml:space="preserve">The Fault Elements for Involuntary Manslaughter: Some Lessons from </w:t>
      </w:r>
      <w:proofErr w:type="spellStart"/>
      <w:r w:rsidRPr="00F244EA">
        <w:rPr>
          <w:i/>
          <w:iCs/>
        </w:rPr>
        <w:t>Downunder</w:t>
      </w:r>
      <w:proofErr w:type="spellEnd"/>
      <w:r w:rsidRPr="00F244EA">
        <w:rPr>
          <w:i/>
          <w:iCs/>
        </w:rPr>
        <w:t xml:space="preserve"> </w:t>
      </w:r>
      <w:r w:rsidRPr="00F244EA">
        <w:rPr>
          <w:iCs/>
        </w:rPr>
        <w:t xml:space="preserve">(2000) 43 </w:t>
      </w:r>
      <w:proofErr w:type="spellStart"/>
      <w:r w:rsidRPr="00F244EA">
        <w:rPr>
          <w:iCs/>
        </w:rPr>
        <w:t>Crim</w:t>
      </w:r>
      <w:proofErr w:type="spellEnd"/>
      <w:r w:rsidRPr="00F244EA">
        <w:rPr>
          <w:iCs/>
        </w:rPr>
        <w:t xml:space="preserve"> LQ 291, at p.299</w:t>
      </w:r>
    </w:p>
  </w:footnote>
  <w:footnote w:id="146">
    <w:p w:rsidR="00F8652E" w:rsidRPr="00F244EA" w:rsidRDefault="00F8652E" w:rsidP="00E03352">
      <w:pPr>
        <w:pStyle w:val="FootnoteText"/>
        <w:jc w:val="both"/>
      </w:pPr>
      <w:r w:rsidRPr="00F244EA">
        <w:rPr>
          <w:rStyle w:val="FootnoteReference"/>
        </w:rPr>
        <w:footnoteRef/>
      </w:r>
      <w:r w:rsidRPr="00F244EA">
        <w:t xml:space="preserve"> </w:t>
      </w:r>
      <w:proofErr w:type="spellStart"/>
      <w:r w:rsidRPr="00F244EA">
        <w:t>Khoday</w:t>
      </w:r>
      <w:proofErr w:type="spellEnd"/>
      <w:r w:rsidRPr="00F244EA">
        <w:t>, A,</w:t>
      </w:r>
      <w:r>
        <w:t xml:space="preserve"> </w:t>
      </w:r>
      <w:r>
        <w:rPr>
          <w:i/>
        </w:rPr>
        <w:t>op. cit.</w:t>
      </w:r>
      <w:r w:rsidRPr="00F244EA">
        <w:t xml:space="preserve"> at p.175</w:t>
      </w:r>
    </w:p>
  </w:footnote>
  <w:footnote w:id="147">
    <w:p w:rsidR="00F8652E" w:rsidRPr="00F244EA" w:rsidRDefault="00F8652E" w:rsidP="00E03352">
      <w:pPr>
        <w:pStyle w:val="FootnoteText"/>
        <w:jc w:val="both"/>
        <w:rPr>
          <w:lang w:val="en-GB"/>
        </w:rPr>
      </w:pPr>
      <w:r w:rsidRPr="00F244EA">
        <w:rPr>
          <w:rStyle w:val="FootnoteReference"/>
        </w:rPr>
        <w:footnoteRef/>
      </w:r>
      <w:r w:rsidRPr="00F244EA">
        <w:t xml:space="preserve"> [1992] HCA 31; (1992) 174 CLR 313, High Court of Australia</w:t>
      </w:r>
    </w:p>
  </w:footnote>
  <w:footnote w:id="148">
    <w:p w:rsidR="00F8652E" w:rsidRPr="00F244EA" w:rsidRDefault="00F8652E" w:rsidP="00E03352">
      <w:pPr>
        <w:pStyle w:val="FootnoteText"/>
        <w:jc w:val="both"/>
        <w:rPr>
          <w:lang w:val="en-GB"/>
        </w:rPr>
      </w:pPr>
      <w:r w:rsidRPr="00F244EA">
        <w:rPr>
          <w:rStyle w:val="FootnoteReference"/>
        </w:rPr>
        <w:footnoteRef/>
      </w:r>
      <w:r w:rsidRPr="00F244EA">
        <w:t xml:space="preserve"> Mason CJ, </w:t>
      </w:r>
      <w:proofErr w:type="spellStart"/>
      <w:r w:rsidRPr="00F244EA">
        <w:t>Toohey</w:t>
      </w:r>
      <w:proofErr w:type="spellEnd"/>
      <w:r w:rsidRPr="00F244EA">
        <w:t xml:space="preserve">, </w:t>
      </w:r>
      <w:proofErr w:type="spellStart"/>
      <w:r w:rsidRPr="00F244EA">
        <w:t>Gaudron</w:t>
      </w:r>
      <w:proofErr w:type="spellEnd"/>
      <w:r w:rsidRPr="00F244EA">
        <w:t xml:space="preserve"> and McHugh JJ at [49]</w:t>
      </w:r>
    </w:p>
  </w:footnote>
  <w:footnote w:id="149">
    <w:p w:rsidR="00F8652E" w:rsidRPr="00F244EA" w:rsidRDefault="00F8652E" w:rsidP="00E03352">
      <w:pPr>
        <w:pStyle w:val="FootnoteText"/>
        <w:jc w:val="both"/>
        <w:rPr>
          <w:lang w:val="en-GB"/>
        </w:rPr>
      </w:pPr>
      <w:r w:rsidRPr="00F244EA">
        <w:rPr>
          <w:rStyle w:val="FootnoteReference"/>
        </w:rPr>
        <w:footnoteRef/>
      </w:r>
      <w:r w:rsidRPr="00F244EA">
        <w:t xml:space="preserve"> [1968] VR 481, Supreme Court of Victoria</w:t>
      </w:r>
    </w:p>
  </w:footnote>
  <w:footnote w:id="150">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rPr>
        <w:t>Ibid.</w:t>
      </w:r>
      <w:r w:rsidRPr="00F244EA">
        <w:t xml:space="preserve"> at [32]</w:t>
      </w:r>
    </w:p>
  </w:footnote>
  <w:footnote w:id="151">
    <w:p w:rsidR="00F8652E" w:rsidRPr="00F244EA" w:rsidRDefault="00F8652E" w:rsidP="00E03352">
      <w:pPr>
        <w:pStyle w:val="FootnoteText"/>
        <w:jc w:val="both"/>
        <w:rPr>
          <w:lang w:val="en-GB"/>
        </w:rPr>
      </w:pPr>
      <w:r w:rsidRPr="00F244EA">
        <w:rPr>
          <w:rStyle w:val="FootnoteReference"/>
        </w:rPr>
        <w:footnoteRef/>
      </w:r>
      <w:r w:rsidRPr="00F244EA">
        <w:t xml:space="preserve"> [2005] HCA 37; (2005) 222 CLR 67, High Court of Australia (Gleeson CJ, McHugh, </w:t>
      </w:r>
      <w:proofErr w:type="spellStart"/>
      <w:r w:rsidRPr="00F244EA">
        <w:t>Gummow</w:t>
      </w:r>
      <w:proofErr w:type="spellEnd"/>
      <w:r w:rsidRPr="00F244EA">
        <w:t xml:space="preserve"> and Hayne JJ at [128])</w:t>
      </w:r>
    </w:p>
  </w:footnote>
  <w:footnote w:id="152">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bCs/>
          <w:lang w:eastAsia="zh-CN"/>
        </w:rPr>
        <w:t>[2012] HCA 35</w:t>
      </w:r>
    </w:p>
  </w:footnote>
  <w:footnote w:id="153">
    <w:p w:rsidR="00F8652E" w:rsidRPr="00F244EA" w:rsidRDefault="00F8652E" w:rsidP="00E03352">
      <w:pPr>
        <w:pStyle w:val="FootnoteText"/>
        <w:jc w:val="both"/>
      </w:pPr>
      <w:r w:rsidRPr="00F244EA">
        <w:rPr>
          <w:rStyle w:val="FootnoteReference"/>
        </w:rPr>
        <w:footnoteRef/>
      </w:r>
      <w:r w:rsidRPr="00F244EA">
        <w:t xml:space="preserve"> O</w:t>
      </w:r>
      <w:r>
        <w:t>’</w:t>
      </w:r>
      <w:r w:rsidRPr="00F244EA">
        <w:t xml:space="preserve">Reilly, M, </w:t>
      </w:r>
      <w:r w:rsidRPr="00F244EA">
        <w:rPr>
          <w:i/>
        </w:rPr>
        <w:t>The Law of Involuntary Manslaughter: Wilson v R</w:t>
      </w:r>
      <w:r w:rsidRPr="00F244EA">
        <w:t xml:space="preserve"> (1993) 15 Sydney Law Review 357 at p.362</w:t>
      </w:r>
    </w:p>
  </w:footnote>
  <w:footnote w:id="154">
    <w:p w:rsidR="00F8652E" w:rsidRPr="00F244EA" w:rsidRDefault="00F8652E" w:rsidP="00E03352">
      <w:pPr>
        <w:pStyle w:val="FootnoteText"/>
        <w:jc w:val="both"/>
      </w:pPr>
      <w:r w:rsidRPr="00F244EA">
        <w:rPr>
          <w:rStyle w:val="FootnoteReference"/>
        </w:rPr>
        <w:footnoteRef/>
      </w:r>
      <w:r w:rsidRPr="00F244EA">
        <w:t xml:space="preserve"> </w:t>
      </w:r>
      <w:proofErr w:type="spellStart"/>
      <w:r w:rsidRPr="00F244EA">
        <w:rPr>
          <w:i/>
        </w:rPr>
        <w:t>Loc</w:t>
      </w:r>
      <w:proofErr w:type="spellEnd"/>
      <w:r w:rsidRPr="00F244EA">
        <w:rPr>
          <w:i/>
        </w:rPr>
        <w:t xml:space="preserve"> </w:t>
      </w:r>
      <w:proofErr w:type="spellStart"/>
      <w:r w:rsidRPr="00F244EA">
        <w:rPr>
          <w:i/>
        </w:rPr>
        <w:t>cit</w:t>
      </w:r>
      <w:proofErr w:type="spellEnd"/>
    </w:p>
  </w:footnote>
  <w:footnote w:id="155">
    <w:p w:rsidR="00F8652E" w:rsidRPr="00F244EA" w:rsidRDefault="00F8652E" w:rsidP="00E03352">
      <w:pPr>
        <w:pStyle w:val="FootnoteText"/>
        <w:jc w:val="both"/>
        <w:rPr>
          <w:lang w:val="en-GB"/>
        </w:rPr>
      </w:pPr>
      <w:r w:rsidRPr="00F244EA">
        <w:rPr>
          <w:rStyle w:val="FootnoteReference"/>
        </w:rPr>
        <w:footnoteRef/>
      </w:r>
      <w:r w:rsidRPr="00F244EA">
        <w:t xml:space="preserve"> Yeo, S, </w:t>
      </w:r>
      <w:r w:rsidRPr="00F244EA">
        <w:rPr>
          <w:i/>
          <w:iCs/>
        </w:rPr>
        <w:t xml:space="preserve">The Fault Elements for Involuntary Manslaughter: Some Lessons from </w:t>
      </w:r>
      <w:proofErr w:type="spellStart"/>
      <w:r w:rsidRPr="00F244EA">
        <w:rPr>
          <w:i/>
          <w:iCs/>
        </w:rPr>
        <w:t>Downunder</w:t>
      </w:r>
      <w:proofErr w:type="spellEnd"/>
      <w:r w:rsidRPr="00F244EA">
        <w:rPr>
          <w:i/>
          <w:iCs/>
        </w:rPr>
        <w:t xml:space="preserve"> </w:t>
      </w:r>
      <w:r w:rsidRPr="00F244EA">
        <w:rPr>
          <w:iCs/>
        </w:rPr>
        <w:t xml:space="preserve">(2000) 43 </w:t>
      </w:r>
      <w:proofErr w:type="spellStart"/>
      <w:r w:rsidRPr="00F244EA">
        <w:rPr>
          <w:iCs/>
        </w:rPr>
        <w:t>Crim</w:t>
      </w:r>
      <w:proofErr w:type="spellEnd"/>
      <w:r w:rsidRPr="00F244EA">
        <w:rPr>
          <w:iCs/>
        </w:rPr>
        <w:t xml:space="preserve"> LQ 291, at p.294</w:t>
      </w:r>
    </w:p>
  </w:footnote>
  <w:footnote w:id="156">
    <w:p w:rsidR="00F8652E" w:rsidRPr="00F244EA" w:rsidRDefault="00F8652E" w:rsidP="00E03352">
      <w:pPr>
        <w:pStyle w:val="FootnoteText"/>
        <w:jc w:val="both"/>
        <w:rPr>
          <w:lang w:val="en-GB"/>
        </w:rPr>
      </w:pPr>
      <w:r w:rsidRPr="00F244EA">
        <w:rPr>
          <w:rStyle w:val="FootnoteReference"/>
        </w:rPr>
        <w:footnoteRef/>
      </w:r>
      <w:r w:rsidRPr="00F244EA">
        <w:t xml:space="preserve"> [2008] SASC 96, South Australia Court of Criminal Appeal</w:t>
      </w:r>
    </w:p>
  </w:footnote>
  <w:footnote w:id="157">
    <w:p w:rsidR="00C22DF0" w:rsidRPr="00C22DF0" w:rsidRDefault="00C22DF0" w:rsidP="00E03352">
      <w:pPr>
        <w:pStyle w:val="FootnoteText"/>
        <w:jc w:val="both"/>
        <w:rPr>
          <w:lang w:val="en-GB"/>
        </w:rPr>
      </w:pPr>
      <w:r>
        <w:rPr>
          <w:rStyle w:val="FootnoteReference"/>
        </w:rPr>
        <w:footnoteRef/>
      </w:r>
      <w:r>
        <w:t xml:space="preserve"> </w:t>
      </w:r>
      <w:r w:rsidRPr="00C22DF0">
        <w:rPr>
          <w:i/>
          <w:lang w:val="en-GB"/>
        </w:rPr>
        <w:t>Ibid</w:t>
      </w:r>
      <w:r>
        <w:rPr>
          <w:lang w:val="en-GB"/>
        </w:rPr>
        <w:t>. at [90]. Emphasis added</w:t>
      </w:r>
    </w:p>
  </w:footnote>
  <w:footnote w:id="158">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bCs/>
          <w:lang w:eastAsia="zh-CN"/>
        </w:rPr>
        <w:t>[2012] HCA 35</w:t>
      </w:r>
    </w:p>
  </w:footnote>
  <w:footnote w:id="159">
    <w:p w:rsidR="00F8652E" w:rsidRPr="00F244EA" w:rsidRDefault="00F8652E" w:rsidP="00E03352">
      <w:pPr>
        <w:pStyle w:val="FootnoteText"/>
        <w:jc w:val="both"/>
        <w:rPr>
          <w:lang w:val="en-GB"/>
        </w:rPr>
      </w:pPr>
      <w:r w:rsidRPr="00F244EA">
        <w:rPr>
          <w:rStyle w:val="FootnoteReference"/>
        </w:rPr>
        <w:footnoteRef/>
      </w:r>
      <w:r w:rsidRPr="00F244EA">
        <w:t xml:space="preserve"> At [9]</w:t>
      </w:r>
    </w:p>
  </w:footnote>
  <w:footnote w:id="160">
    <w:p w:rsidR="00F8652E" w:rsidRPr="00F244EA" w:rsidRDefault="00F8652E" w:rsidP="00E03352">
      <w:pPr>
        <w:pStyle w:val="FootnoteText"/>
        <w:jc w:val="both"/>
      </w:pPr>
      <w:r w:rsidRPr="00F244EA">
        <w:rPr>
          <w:rStyle w:val="FootnoteReference"/>
        </w:rPr>
        <w:footnoteRef/>
      </w:r>
      <w:r w:rsidRPr="00F244EA">
        <w:t xml:space="preserve"> As amended by the Sentencing Amendment (Coward</w:t>
      </w:r>
      <w:r>
        <w:t>’</w:t>
      </w:r>
      <w:r w:rsidRPr="00F244EA">
        <w:t>s Punch Manslaughter and Other Matters) Act 2014</w:t>
      </w:r>
    </w:p>
  </w:footnote>
  <w:footnote w:id="161">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This provision entered into force on 1</w:t>
      </w:r>
      <w:r w:rsidRPr="00F244EA">
        <w:rPr>
          <w:vertAlign w:val="superscript"/>
          <w:lang w:val="en-GB"/>
        </w:rPr>
        <w:t>st</w:t>
      </w:r>
      <w:r w:rsidRPr="00F244EA">
        <w:rPr>
          <w:lang w:val="en-GB"/>
        </w:rPr>
        <w:t xml:space="preserve"> November 2014</w:t>
      </w:r>
    </w:p>
  </w:footnote>
  <w:footnote w:id="162">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(1985) 81 Cr App R 150</w:t>
      </w:r>
    </w:p>
  </w:footnote>
  <w:footnote w:id="163">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p.155</w:t>
      </w:r>
    </w:p>
  </w:footnote>
  <w:footnote w:id="164">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p.156</w:t>
      </w:r>
    </w:p>
  </w:footnote>
  <w:footnote w:id="165">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[2006] EWCA Crim 17</w:t>
      </w:r>
    </w:p>
  </w:footnote>
  <w:footnote w:id="166">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[37]</w:t>
      </w:r>
    </w:p>
  </w:footnote>
  <w:footnote w:id="167">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[2012] EWCA Crim 2293, [2013] 1 WLR 1083</w:t>
      </w:r>
    </w:p>
  </w:footnote>
  <w:footnote w:id="168">
    <w:p w:rsidR="00F8652E" w:rsidRPr="00F244EA" w:rsidRDefault="00F8652E" w:rsidP="00E03352">
      <w:pPr>
        <w:jc w:val="both"/>
        <w:rPr>
          <w:sz w:val="20"/>
          <w:szCs w:val="20"/>
        </w:rPr>
      </w:pPr>
      <w:r w:rsidRPr="00F244EA">
        <w:rPr>
          <w:rStyle w:val="FootnoteReference"/>
          <w:sz w:val="20"/>
          <w:szCs w:val="20"/>
        </w:rPr>
        <w:footnoteRef/>
      </w:r>
      <w:r w:rsidRPr="00F244EA">
        <w:rPr>
          <w:sz w:val="20"/>
          <w:szCs w:val="20"/>
        </w:rPr>
        <w:t xml:space="preserve"> </w:t>
      </w:r>
      <w:r w:rsidRPr="00F244EA">
        <w:rPr>
          <w:i/>
          <w:sz w:val="20"/>
          <w:szCs w:val="20"/>
          <w:lang w:eastAsia="zh-CN"/>
        </w:rPr>
        <w:t xml:space="preserve">Dewey </w:t>
      </w:r>
      <w:r w:rsidRPr="00F244EA">
        <w:rPr>
          <w:sz w:val="20"/>
          <w:szCs w:val="20"/>
          <w:lang w:eastAsia="zh-CN"/>
        </w:rPr>
        <w:t xml:space="preserve">(1999) 132 CCC (3d) 348; 21 CR (5th) 232, Court of Appeal of Alberta. Picard JA: </w:t>
      </w:r>
      <w:r>
        <w:rPr>
          <w:sz w:val="20"/>
          <w:szCs w:val="20"/>
          <w:lang w:eastAsia="zh-CN"/>
        </w:rPr>
        <w:t>‘</w:t>
      </w:r>
      <w:r w:rsidRPr="00F244EA">
        <w:rPr>
          <w:sz w:val="20"/>
          <w:szCs w:val="20"/>
          <w:lang w:eastAsia="zh-CN"/>
        </w:rPr>
        <w:t>Objective foreseeability is objective foreseeability of the risk of bodily harm in general, not of a specific type of harm</w:t>
      </w:r>
      <w:r>
        <w:rPr>
          <w:sz w:val="20"/>
          <w:szCs w:val="20"/>
          <w:lang w:eastAsia="zh-CN"/>
        </w:rPr>
        <w:t>’</w:t>
      </w:r>
      <w:r w:rsidRPr="00F244EA">
        <w:rPr>
          <w:sz w:val="20"/>
          <w:szCs w:val="20"/>
          <w:lang w:eastAsia="zh-CN"/>
        </w:rPr>
        <w:t xml:space="preserve"> (at [10])</w:t>
      </w:r>
    </w:p>
  </w:footnote>
  <w:footnote w:id="169">
    <w:p w:rsidR="00F8652E" w:rsidRPr="00F244EA" w:rsidRDefault="00F8652E" w:rsidP="00E03352">
      <w:pPr>
        <w:pStyle w:val="FootnoteText"/>
        <w:jc w:val="both"/>
        <w:rPr>
          <w:lang w:val="en-GB"/>
        </w:rPr>
      </w:pPr>
      <w:r w:rsidRPr="00F244EA">
        <w:rPr>
          <w:rStyle w:val="FootnoteReference"/>
        </w:rPr>
        <w:footnoteRef/>
      </w:r>
      <w:r w:rsidRPr="00F244EA">
        <w:t xml:space="preserve"> (2004) </w:t>
      </w:r>
      <w:r w:rsidRPr="00F244EA">
        <w:rPr>
          <w:bCs/>
        </w:rPr>
        <w:t>189 CCC (3d) 79; 19 CR (6th) 213, Ontario Superior Court of Justice</w:t>
      </w:r>
    </w:p>
  </w:footnote>
  <w:footnote w:id="170">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lang w:val="en-GB"/>
        </w:rPr>
        <w:t>Emphasis added</w:t>
      </w:r>
    </w:p>
  </w:footnote>
  <w:footnote w:id="171">
    <w:p w:rsidR="00F8652E" w:rsidRPr="00F244EA" w:rsidRDefault="00F8652E" w:rsidP="00E03352">
      <w:pPr>
        <w:pStyle w:val="FootnoteText"/>
        <w:jc w:val="both"/>
        <w:rPr>
          <w:lang w:val="en-GB"/>
        </w:rPr>
      </w:pPr>
      <w:r w:rsidRPr="00F244EA">
        <w:rPr>
          <w:rStyle w:val="FootnoteReference"/>
        </w:rPr>
        <w:footnoteRef/>
      </w:r>
      <w:r w:rsidRPr="00F244EA">
        <w:t xml:space="preserve"> [1989] </w:t>
      </w:r>
      <w:proofErr w:type="spellStart"/>
      <w:r w:rsidRPr="00F244EA">
        <w:t>Crim</w:t>
      </w:r>
      <w:proofErr w:type="spellEnd"/>
      <w:r w:rsidRPr="00F244EA">
        <w:t xml:space="preserve"> LR 730</w:t>
      </w:r>
    </w:p>
  </w:footnote>
  <w:footnote w:id="172">
    <w:p w:rsidR="00F8652E" w:rsidRPr="00F244EA" w:rsidRDefault="00F8652E" w:rsidP="00E03352">
      <w:pPr>
        <w:pStyle w:val="FootnoteText"/>
        <w:jc w:val="both"/>
        <w:rPr>
          <w:lang w:val="en-GB"/>
        </w:rPr>
      </w:pPr>
      <w:r w:rsidRPr="00F244EA">
        <w:rPr>
          <w:rStyle w:val="FootnoteReference"/>
        </w:rPr>
        <w:footnoteRef/>
      </w:r>
      <w:r w:rsidRPr="00F244EA">
        <w:t xml:space="preserve"> Smith, J, Commentary on</w:t>
      </w:r>
      <w:r w:rsidRPr="00F244EA">
        <w:rPr>
          <w:i/>
        </w:rPr>
        <w:t xml:space="preserve"> Ball</w:t>
      </w:r>
      <w:r w:rsidRPr="00F244EA">
        <w:t xml:space="preserve">, </w:t>
      </w:r>
      <w:r>
        <w:rPr>
          <w:i/>
          <w:lang w:val="en-GB"/>
        </w:rPr>
        <w:t>Ibid.</w:t>
      </w:r>
      <w:r w:rsidRPr="00F244EA">
        <w:rPr>
          <w:lang w:val="en-GB"/>
        </w:rPr>
        <w:t xml:space="preserve"> at p.732</w:t>
      </w:r>
    </w:p>
  </w:footnote>
  <w:footnote w:id="173">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[1989] 1 WLR 684</w:t>
      </w:r>
    </w:p>
  </w:footnote>
  <w:footnote w:id="174">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pp.686-687</w:t>
      </w:r>
    </w:p>
  </w:footnote>
  <w:footnote w:id="175">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[2013] EWCA Crim 1540; [2014] Crim LR 457</w:t>
      </w:r>
    </w:p>
  </w:footnote>
  <w:footnote w:id="176">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[34]</w:t>
      </w:r>
    </w:p>
  </w:footnote>
  <w:footnote w:id="177">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[17]</w:t>
      </w:r>
    </w:p>
  </w:footnote>
  <w:footnote w:id="178">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shd w:val="clear" w:color="auto" w:fill="FFFFFF"/>
        </w:rPr>
        <w:t xml:space="preserve">[2004] NSWCCA 449, </w:t>
      </w:r>
      <w:r w:rsidRPr="00F244EA">
        <w:t>New South Wales Court of Criminal Appeal</w:t>
      </w:r>
    </w:p>
  </w:footnote>
  <w:footnote w:id="179">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[84]</w:t>
      </w:r>
    </w:p>
  </w:footnote>
  <w:footnote w:id="180">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[83] and [138]</w:t>
      </w:r>
    </w:p>
  </w:footnote>
  <w:footnote w:id="181">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(1985) 81 Cr App R 150</w:t>
      </w:r>
    </w:p>
  </w:footnote>
  <w:footnote w:id="182">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[2006] EWCA Crim 17</w:t>
      </w:r>
    </w:p>
  </w:footnote>
  <w:footnote w:id="183">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[53]</w:t>
      </w:r>
    </w:p>
  </w:footnote>
  <w:footnote w:id="184">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[37] and [45]</w:t>
      </w:r>
    </w:p>
  </w:footnote>
  <w:footnote w:id="185">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w:t>
      </w:r>
      <w:r w:rsidRPr="00F244EA">
        <w:rPr>
          <w:lang w:val="en-GB" w:eastAsia="zh-CN"/>
        </w:rPr>
        <w:t>[2015] EWCA Crim 351, [2015] 2 Cr App R 5</w:t>
      </w:r>
    </w:p>
  </w:footnote>
  <w:footnote w:id="186">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[21]</w:t>
      </w:r>
    </w:p>
  </w:footnote>
  <w:footnote w:id="187">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color w:val="000000"/>
          <w:shd w:val="clear" w:color="auto" w:fill="FFFFFF"/>
        </w:rPr>
        <w:t xml:space="preserve">[2006] VSC 494, (2006) 167 A </w:t>
      </w:r>
      <w:proofErr w:type="spellStart"/>
      <w:r w:rsidRPr="00F244EA">
        <w:rPr>
          <w:color w:val="000000"/>
          <w:shd w:val="clear" w:color="auto" w:fill="FFFFFF"/>
        </w:rPr>
        <w:t>Crim</w:t>
      </w:r>
      <w:proofErr w:type="spellEnd"/>
      <w:r w:rsidRPr="00F244EA">
        <w:rPr>
          <w:color w:val="000000"/>
          <w:shd w:val="clear" w:color="auto" w:fill="FFFFFF"/>
        </w:rPr>
        <w:t xml:space="preserve"> R 596, Supreme Court of Victoria</w:t>
      </w:r>
    </w:p>
  </w:footnote>
  <w:footnote w:id="188">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[13]</w:t>
      </w:r>
    </w:p>
  </w:footnote>
  <w:footnote w:id="189">
    <w:p w:rsidR="00F8652E" w:rsidRPr="00F244EA" w:rsidRDefault="00F8652E" w:rsidP="00E03352">
      <w:pPr>
        <w:pStyle w:val="FootnoteText"/>
        <w:jc w:val="both"/>
        <w:rPr>
          <w:lang w:val="en-GB"/>
        </w:rPr>
      </w:pPr>
      <w:r w:rsidRPr="00F244EA">
        <w:rPr>
          <w:rStyle w:val="FootnoteReference"/>
        </w:rPr>
        <w:footnoteRef/>
      </w:r>
      <w:r w:rsidRPr="00F244EA">
        <w:t xml:space="preserve"> [1983] 2 VR 201, Supreme Court of Victoria</w:t>
      </w:r>
    </w:p>
  </w:footnote>
  <w:footnote w:id="190">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p.212</w:t>
      </w:r>
    </w:p>
  </w:footnote>
  <w:footnote w:id="191">
    <w:p w:rsidR="00F8652E" w:rsidRPr="00F244EA" w:rsidRDefault="00F8652E" w:rsidP="00E03352">
      <w:pPr>
        <w:pStyle w:val="FootnoteText"/>
        <w:jc w:val="both"/>
        <w:rPr>
          <w:lang w:val="en-GB"/>
        </w:rPr>
      </w:pPr>
      <w:r w:rsidRPr="00F244EA">
        <w:rPr>
          <w:rStyle w:val="FootnoteReference"/>
        </w:rPr>
        <w:footnoteRef/>
      </w:r>
      <w:r w:rsidRPr="00F244EA">
        <w:t xml:space="preserve"> </w:t>
      </w:r>
      <w:proofErr w:type="spellStart"/>
      <w:r w:rsidRPr="00F244EA">
        <w:rPr>
          <w:i/>
          <w:lang w:val="en-GB"/>
        </w:rPr>
        <w:t>Loc</w:t>
      </w:r>
      <w:proofErr w:type="spellEnd"/>
      <w:r w:rsidRPr="00F244EA">
        <w:rPr>
          <w:i/>
          <w:lang w:val="en-GB"/>
        </w:rPr>
        <w:t xml:space="preserve"> </w:t>
      </w:r>
      <w:proofErr w:type="spellStart"/>
      <w:r w:rsidRPr="00F244EA">
        <w:rPr>
          <w:i/>
          <w:lang w:val="en-GB"/>
        </w:rPr>
        <w:t>cit</w:t>
      </w:r>
      <w:proofErr w:type="spellEnd"/>
    </w:p>
  </w:footnote>
  <w:footnote w:id="192">
    <w:p w:rsidR="00F8652E" w:rsidRPr="00F244EA" w:rsidRDefault="00F8652E" w:rsidP="00E03352">
      <w:pPr>
        <w:pStyle w:val="FootnoteText"/>
        <w:jc w:val="both"/>
      </w:pPr>
      <w:r w:rsidRPr="00F244EA">
        <w:rPr>
          <w:rStyle w:val="FootnoteReference"/>
        </w:rPr>
        <w:footnoteRef/>
      </w:r>
      <w:r w:rsidRPr="00F244EA">
        <w:t xml:space="preserve"> </w:t>
      </w:r>
      <w:r w:rsidRPr="00F244EA">
        <w:rPr>
          <w:color w:val="000000"/>
          <w:shd w:val="clear" w:color="auto" w:fill="FFFFFF"/>
        </w:rPr>
        <w:t>[2006] VSC 494 at [10]</w:t>
      </w:r>
    </w:p>
  </w:footnote>
  <w:footnote w:id="193">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iCs/>
          <w:color w:val="000000"/>
          <w:shd w:val="clear" w:color="auto" w:fill="FFFFFF"/>
        </w:rPr>
        <w:t xml:space="preserve">[2004] VSC 169, (2004) </w:t>
      </w:r>
      <w:r w:rsidRPr="00F244EA">
        <w:rPr>
          <w:color w:val="000000"/>
          <w:shd w:val="clear" w:color="auto" w:fill="FFFFFF"/>
        </w:rPr>
        <w:t xml:space="preserve">148 A </w:t>
      </w:r>
      <w:proofErr w:type="spellStart"/>
      <w:r w:rsidRPr="00F244EA">
        <w:rPr>
          <w:color w:val="000000"/>
          <w:shd w:val="clear" w:color="auto" w:fill="FFFFFF"/>
        </w:rPr>
        <w:t>Crim</w:t>
      </w:r>
      <w:proofErr w:type="spellEnd"/>
      <w:r w:rsidRPr="00F244EA">
        <w:rPr>
          <w:color w:val="000000"/>
          <w:shd w:val="clear" w:color="auto" w:fill="FFFFFF"/>
        </w:rPr>
        <w:t xml:space="preserve"> R 28, </w:t>
      </w:r>
      <w:r w:rsidRPr="00F244EA">
        <w:rPr>
          <w:iCs/>
          <w:color w:val="000000"/>
          <w:shd w:val="clear" w:color="auto" w:fill="FFFFFF"/>
        </w:rPr>
        <w:t>Supreme Court of Victoria</w:t>
      </w:r>
    </w:p>
  </w:footnote>
  <w:footnote w:id="194">
    <w:p w:rsidR="00F8652E" w:rsidRPr="00F244EA" w:rsidRDefault="00F8652E" w:rsidP="00E03352">
      <w:pPr>
        <w:pStyle w:val="FootnoteText"/>
        <w:jc w:val="both"/>
      </w:pPr>
      <w:r w:rsidRPr="00F244EA">
        <w:rPr>
          <w:rStyle w:val="FootnoteReference"/>
        </w:rPr>
        <w:footnoteRef/>
      </w:r>
      <w:r w:rsidRPr="00F244EA">
        <w:t xml:space="preserve"> </w:t>
      </w:r>
      <w:r>
        <w:rPr>
          <w:i/>
        </w:rPr>
        <w:t>Ibid.</w:t>
      </w:r>
      <w:r w:rsidRPr="00F244EA">
        <w:t xml:space="preserve"> at [34] and [38]</w:t>
      </w:r>
    </w:p>
  </w:footnote>
  <w:footnote w:id="195">
    <w:p w:rsidR="00F8652E" w:rsidRPr="00F244EA" w:rsidRDefault="00F8652E" w:rsidP="00E03352">
      <w:pPr>
        <w:pStyle w:val="FootnoteText"/>
        <w:jc w:val="both"/>
      </w:pPr>
      <w:r w:rsidRPr="00F244EA">
        <w:rPr>
          <w:rStyle w:val="FootnoteReference"/>
        </w:rPr>
        <w:footnoteRef/>
      </w:r>
      <w:r w:rsidRPr="00F244EA">
        <w:t xml:space="preserve"> </w:t>
      </w:r>
      <w:r w:rsidRPr="00F244EA">
        <w:rPr>
          <w:shd w:val="clear" w:color="auto" w:fill="FFFFFF"/>
        </w:rPr>
        <w:t>[2015] NSWSC 537, Supreme Court of New South Wales</w:t>
      </w:r>
    </w:p>
  </w:footnote>
  <w:footnote w:id="196">
    <w:p w:rsidR="00F8652E" w:rsidRPr="00F244EA" w:rsidRDefault="00F8652E" w:rsidP="00E03352">
      <w:pPr>
        <w:pStyle w:val="FootnoteText"/>
        <w:jc w:val="both"/>
        <w:rPr>
          <w:lang w:val="en-GB"/>
        </w:rPr>
      </w:pPr>
      <w:r w:rsidRPr="00F244EA">
        <w:rPr>
          <w:rStyle w:val="FootnoteReference"/>
        </w:rPr>
        <w:footnoteRef/>
      </w:r>
      <w:r w:rsidRPr="00F244EA">
        <w:t xml:space="preserve"> </w:t>
      </w:r>
      <w:r>
        <w:rPr>
          <w:i/>
          <w:lang w:val="en-GB"/>
        </w:rPr>
        <w:t>Ibid.</w:t>
      </w:r>
      <w:r w:rsidRPr="00F244EA">
        <w:rPr>
          <w:lang w:val="en-GB"/>
        </w:rPr>
        <w:t xml:space="preserve"> at </w:t>
      </w:r>
      <w:r w:rsidRPr="00F244EA">
        <w:t>[69]</w:t>
      </w:r>
    </w:p>
  </w:footnote>
  <w:footnote w:id="197">
    <w:p w:rsidR="00F8652E" w:rsidRPr="00F244EA" w:rsidRDefault="00F8652E" w:rsidP="00E03352">
      <w:pPr>
        <w:pStyle w:val="FootnoteText"/>
        <w:jc w:val="both"/>
      </w:pPr>
      <w:r w:rsidRPr="00F244EA">
        <w:rPr>
          <w:rStyle w:val="FootnoteReference"/>
        </w:rPr>
        <w:footnoteRef/>
      </w:r>
      <w:r w:rsidRPr="00F244EA">
        <w:t xml:space="preserve"> </w:t>
      </w:r>
      <w:r>
        <w:rPr>
          <w:i/>
          <w:lang w:val="en-GB"/>
        </w:rPr>
        <w:t>Ibid.</w:t>
      </w:r>
      <w:r w:rsidRPr="00F244EA">
        <w:rPr>
          <w:lang w:val="en-GB"/>
        </w:rPr>
        <w:t xml:space="preserve"> at </w:t>
      </w:r>
      <w:r w:rsidRPr="00F244EA">
        <w:t>[69] and [70]</w:t>
      </w:r>
    </w:p>
  </w:footnote>
  <w:footnote w:id="198">
    <w:p w:rsidR="00F8652E" w:rsidRPr="00F244EA" w:rsidRDefault="00F8652E" w:rsidP="00E03352">
      <w:pPr>
        <w:pStyle w:val="FootnoteText"/>
        <w:jc w:val="both"/>
        <w:rPr>
          <w:lang w:val="en-GB"/>
        </w:rPr>
      </w:pPr>
      <w:r w:rsidRPr="00F244EA">
        <w:rPr>
          <w:rStyle w:val="FootnoteReference"/>
        </w:rPr>
        <w:footnoteRef/>
      </w:r>
      <w:r w:rsidRPr="00F244EA">
        <w:t xml:space="preserve"> See e.g. </w:t>
      </w:r>
      <w:proofErr w:type="spellStart"/>
      <w:r w:rsidRPr="00F244EA">
        <w:rPr>
          <w:i/>
        </w:rPr>
        <w:t>Morhall</w:t>
      </w:r>
      <w:proofErr w:type="spellEnd"/>
      <w:r w:rsidRPr="00F244EA">
        <w:t xml:space="preserve"> [1996] 1 AC 90; </w:t>
      </w:r>
      <w:r w:rsidRPr="00F244EA">
        <w:rPr>
          <w:i/>
        </w:rPr>
        <w:t>Morgan Smith</w:t>
      </w:r>
      <w:r w:rsidRPr="00F244EA">
        <w:t xml:space="preserve"> </w:t>
      </w:r>
      <w:r w:rsidRPr="00F244EA">
        <w:rPr>
          <w:color w:val="000000"/>
        </w:rPr>
        <w:t xml:space="preserve">[2001] 1 AC 146, </w:t>
      </w:r>
      <w:r w:rsidRPr="00F244EA">
        <w:t xml:space="preserve">[2000] 3 WLR 654; </w:t>
      </w:r>
      <w:r w:rsidRPr="00F244EA">
        <w:rPr>
          <w:i/>
        </w:rPr>
        <w:t>Attorney-General for Jersey v</w:t>
      </w:r>
      <w:r w:rsidRPr="00F244EA">
        <w:t xml:space="preserve"> </w:t>
      </w:r>
      <w:r w:rsidRPr="00F244EA">
        <w:rPr>
          <w:i/>
        </w:rPr>
        <w:t xml:space="preserve">Holley </w:t>
      </w:r>
      <w:r w:rsidRPr="00F244EA">
        <w:t xml:space="preserve">[2005] UKPC 23, [2005] 2 AC 580, [2005] 3 WLR 29. Provocation was abolished by </w:t>
      </w:r>
      <w:r w:rsidRPr="00F244EA">
        <w:rPr>
          <w:lang w:val="en-GB"/>
        </w:rPr>
        <w:t>s 56, Coroners and Justice Act 2009</w:t>
      </w:r>
    </w:p>
  </w:footnote>
  <w:footnote w:id="199">
    <w:p w:rsidR="00F8652E" w:rsidRPr="00F244EA" w:rsidRDefault="00F8652E" w:rsidP="00E03352">
      <w:pPr>
        <w:pStyle w:val="FootnoteText"/>
        <w:jc w:val="both"/>
        <w:rPr>
          <w:lang w:val="en-GB"/>
        </w:rPr>
      </w:pPr>
      <w:r w:rsidRPr="00F244EA">
        <w:rPr>
          <w:rStyle w:val="FootnoteReference"/>
        </w:rPr>
        <w:footnoteRef/>
      </w:r>
      <w:r w:rsidRPr="00F244EA">
        <w:t xml:space="preserve"> The conviction in </w:t>
      </w:r>
      <w:r w:rsidRPr="00F244EA">
        <w:rPr>
          <w:i/>
        </w:rPr>
        <w:t>Andrews</w:t>
      </w:r>
      <w:r w:rsidRPr="00F244EA">
        <w:t xml:space="preserve"> </w:t>
      </w:r>
      <w:r w:rsidRPr="00F244EA">
        <w:rPr>
          <w:lang w:val="en-GB"/>
        </w:rPr>
        <w:t xml:space="preserve">[2002] EWCA Crim 3021; [2003] Crim LR 477 </w:t>
      </w:r>
      <w:r w:rsidRPr="00F244EA">
        <w:t>should have been quashed on the basis of the lack of an unlawful act with a fault element</w:t>
      </w:r>
    </w:p>
  </w:footnote>
  <w:footnote w:id="200">
    <w:p w:rsidR="00F8652E" w:rsidRPr="00F244EA" w:rsidRDefault="00F8652E" w:rsidP="00E03352">
      <w:pPr>
        <w:pStyle w:val="FootnoteText"/>
        <w:jc w:val="both"/>
        <w:rPr>
          <w:lang w:val="en-GB"/>
        </w:rPr>
      </w:pPr>
      <w:r w:rsidRPr="00F244EA">
        <w:rPr>
          <w:rStyle w:val="FootnoteReference"/>
        </w:rPr>
        <w:footnoteRef/>
      </w:r>
      <w:r w:rsidRPr="00F244EA">
        <w:rPr>
          <w:lang w:val="en-GB"/>
        </w:rPr>
        <w:t xml:space="preserve"> [1973] QB 702</w:t>
      </w:r>
    </w:p>
  </w:footnote>
  <w:footnote w:id="201">
    <w:p w:rsidR="00F8652E" w:rsidRPr="00F244EA" w:rsidRDefault="00F8652E" w:rsidP="00E03352">
      <w:pPr>
        <w:pStyle w:val="FootnoteText"/>
        <w:jc w:val="both"/>
        <w:rPr>
          <w:lang w:val="en-GB"/>
        </w:rPr>
      </w:pPr>
      <w:r w:rsidRPr="00F244EA">
        <w:rPr>
          <w:rStyle w:val="FootnoteReference"/>
        </w:rPr>
        <w:footnoteRef/>
      </w:r>
      <w:r w:rsidRPr="00F244EA">
        <w:t xml:space="preserve"> </w:t>
      </w:r>
      <w:r w:rsidRPr="00F244EA">
        <w:rPr>
          <w:bCs/>
        </w:rPr>
        <w:t>(1997) 185 NBR (2d) 190, Court of Appeal of New Brunswick</w:t>
      </w:r>
    </w:p>
  </w:footnote>
  <w:footnote w:id="202">
    <w:p w:rsidR="00F8652E" w:rsidRPr="00F244EA" w:rsidRDefault="00F8652E" w:rsidP="00E03352">
      <w:pPr>
        <w:pStyle w:val="FootnoteText"/>
        <w:jc w:val="both"/>
      </w:pPr>
      <w:r w:rsidRPr="00F244EA">
        <w:rPr>
          <w:rStyle w:val="FootnoteReference"/>
        </w:rPr>
        <w:footnoteRef/>
      </w:r>
      <w:r w:rsidRPr="00F244EA">
        <w:t xml:space="preserve"> </w:t>
      </w:r>
      <w:r w:rsidRPr="00F244EA">
        <w:rPr>
          <w:i/>
        </w:rPr>
        <w:t>Church</w:t>
      </w:r>
      <w:r w:rsidRPr="00F244EA">
        <w:t xml:space="preserve"> </w:t>
      </w:r>
      <w:r w:rsidRPr="00F244EA">
        <w:rPr>
          <w:shd w:val="clear" w:color="auto" w:fill="FFFFFF"/>
          <w:lang w:val="en-GB"/>
        </w:rPr>
        <w:t xml:space="preserve">[1966] 1 QB 59; </w:t>
      </w:r>
      <w:r w:rsidRPr="00F244EA">
        <w:rPr>
          <w:i/>
          <w:shd w:val="clear" w:color="auto" w:fill="FFFFFF"/>
          <w:lang w:val="en-GB"/>
        </w:rPr>
        <w:t>Creighton</w:t>
      </w:r>
      <w:r w:rsidRPr="00F244EA">
        <w:rPr>
          <w:shd w:val="clear" w:color="auto" w:fill="FFFFFF"/>
          <w:lang w:val="en-GB"/>
        </w:rPr>
        <w:t xml:space="preserve"> </w:t>
      </w:r>
      <w:r w:rsidRPr="00F244EA">
        <w:t>[1993] 3 SCR 3; (1993) 105 DLR (4th) 632, Supreme Court of Canada</w:t>
      </w:r>
    </w:p>
  </w:footnote>
  <w:footnote w:id="203">
    <w:p w:rsidR="00F8652E" w:rsidRPr="00F8652E" w:rsidRDefault="00F8652E" w:rsidP="00E03352">
      <w:pPr>
        <w:pStyle w:val="FootnoteText"/>
        <w:jc w:val="both"/>
      </w:pPr>
      <w:r w:rsidRPr="00F244EA">
        <w:rPr>
          <w:rStyle w:val="FootnoteReference"/>
        </w:rPr>
        <w:footnoteRef/>
      </w:r>
      <w:r w:rsidRPr="00F244EA">
        <w:t xml:space="preserve"> </w:t>
      </w:r>
      <w:r w:rsidRPr="00F244EA">
        <w:rPr>
          <w:i/>
          <w:lang w:val="en-GB"/>
        </w:rPr>
        <w:t>Wilson</w:t>
      </w:r>
      <w:r w:rsidRPr="00F244EA">
        <w:rPr>
          <w:lang w:val="en-GB"/>
        </w:rPr>
        <w:t xml:space="preserve"> </w:t>
      </w:r>
      <w:r w:rsidRPr="00F244EA">
        <w:t>[1992] HCA 31; (1992) 174 CLR 313, High Court of Australia</w:t>
      </w:r>
    </w:p>
  </w:footnote>
  <w:footnote w:id="204">
    <w:p w:rsidR="00F8652E" w:rsidRPr="00F244EA" w:rsidRDefault="00F8652E" w:rsidP="00E03352">
      <w:pPr>
        <w:pStyle w:val="FootnoteText"/>
        <w:jc w:val="both"/>
        <w:rPr>
          <w:lang w:val="en-GB"/>
        </w:rPr>
      </w:pPr>
      <w:r w:rsidRPr="00F244EA">
        <w:rPr>
          <w:rStyle w:val="FootnoteReference"/>
        </w:rPr>
        <w:footnoteRef/>
      </w:r>
      <w:r w:rsidRPr="00F244EA">
        <w:t xml:space="preserve"> Section 4A, as inserted by the Sentencing Amendment (Coward</w:t>
      </w:r>
      <w:r>
        <w:t>’</w:t>
      </w:r>
      <w:r w:rsidRPr="00F244EA">
        <w:t>s Punch Manslaughter and Other Matters) Act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0D966A6A"/>
    <w:multiLevelType w:val="hybridMultilevel"/>
    <w:tmpl w:val="5872A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1BE2E8C"/>
    <w:multiLevelType w:val="hybridMultilevel"/>
    <w:tmpl w:val="D9A2B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27066"/>
    <w:multiLevelType w:val="hybridMultilevel"/>
    <w:tmpl w:val="B2A2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12875"/>
    <w:multiLevelType w:val="hybridMultilevel"/>
    <w:tmpl w:val="6798D1EC"/>
    <w:lvl w:ilvl="0" w:tplc="E0A4B410">
      <w:start w:val="1"/>
      <w:numFmt w:val="bullet"/>
      <w:lvlText w:val=""/>
      <w:lvlJc w:val="left"/>
      <w:pPr>
        <w:ind w:left="927" w:hanging="360"/>
      </w:pPr>
      <w:rPr>
        <w:rFonts w:ascii="Wingdings" w:hAnsi="Wingdings" w:hint="default"/>
        <w:color w:val="FF000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9123384"/>
    <w:multiLevelType w:val="hybridMultilevel"/>
    <w:tmpl w:val="E920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915AE"/>
    <w:multiLevelType w:val="hybridMultilevel"/>
    <w:tmpl w:val="F00A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D1E17"/>
    <w:multiLevelType w:val="hybridMultilevel"/>
    <w:tmpl w:val="7B141D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725AAD"/>
    <w:multiLevelType w:val="hybridMultilevel"/>
    <w:tmpl w:val="CCFC9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4FF5DEA"/>
    <w:multiLevelType w:val="hybridMultilevel"/>
    <w:tmpl w:val="388A625E"/>
    <w:lvl w:ilvl="0" w:tplc="792E359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223302"/>
    <w:multiLevelType w:val="hybridMultilevel"/>
    <w:tmpl w:val="98C8D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
  </w:num>
  <w:num w:numId="6">
    <w:abstractNumId w:val="4"/>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A3"/>
    <w:rsid w:val="00003F33"/>
    <w:rsid w:val="00006F60"/>
    <w:rsid w:val="00012319"/>
    <w:rsid w:val="00012378"/>
    <w:rsid w:val="000309BB"/>
    <w:rsid w:val="00032D99"/>
    <w:rsid w:val="00040C05"/>
    <w:rsid w:val="000428A9"/>
    <w:rsid w:val="00056F5F"/>
    <w:rsid w:val="0007181E"/>
    <w:rsid w:val="00093095"/>
    <w:rsid w:val="000B4E14"/>
    <w:rsid w:val="000C0F3C"/>
    <w:rsid w:val="000D1C5D"/>
    <w:rsid w:val="000D7494"/>
    <w:rsid w:val="000E2696"/>
    <w:rsid w:val="000F6C4A"/>
    <w:rsid w:val="001073E7"/>
    <w:rsid w:val="00113691"/>
    <w:rsid w:val="00114E2B"/>
    <w:rsid w:val="00143046"/>
    <w:rsid w:val="00146009"/>
    <w:rsid w:val="00191406"/>
    <w:rsid w:val="0019675B"/>
    <w:rsid w:val="001B2BD1"/>
    <w:rsid w:val="001C4A39"/>
    <w:rsid w:val="001D06AF"/>
    <w:rsid w:val="001D7457"/>
    <w:rsid w:val="001F7A37"/>
    <w:rsid w:val="0021668D"/>
    <w:rsid w:val="00224226"/>
    <w:rsid w:val="00257572"/>
    <w:rsid w:val="00271DD1"/>
    <w:rsid w:val="00286798"/>
    <w:rsid w:val="002909B8"/>
    <w:rsid w:val="00290BAC"/>
    <w:rsid w:val="002A68DC"/>
    <w:rsid w:val="002B36F5"/>
    <w:rsid w:val="002D5F0F"/>
    <w:rsid w:val="002E6721"/>
    <w:rsid w:val="002E7BCE"/>
    <w:rsid w:val="003111AB"/>
    <w:rsid w:val="003266CE"/>
    <w:rsid w:val="00336935"/>
    <w:rsid w:val="00337AF7"/>
    <w:rsid w:val="003A471F"/>
    <w:rsid w:val="003D3485"/>
    <w:rsid w:val="003F1A8C"/>
    <w:rsid w:val="00407099"/>
    <w:rsid w:val="00442173"/>
    <w:rsid w:val="00447AA5"/>
    <w:rsid w:val="004604FB"/>
    <w:rsid w:val="00463C0E"/>
    <w:rsid w:val="00465370"/>
    <w:rsid w:val="004A1D0A"/>
    <w:rsid w:val="004B7D8A"/>
    <w:rsid w:val="004F5923"/>
    <w:rsid w:val="00512C44"/>
    <w:rsid w:val="00513CD3"/>
    <w:rsid w:val="005301DB"/>
    <w:rsid w:val="0054639D"/>
    <w:rsid w:val="005578D7"/>
    <w:rsid w:val="00560C59"/>
    <w:rsid w:val="0057014B"/>
    <w:rsid w:val="0059547C"/>
    <w:rsid w:val="005A00FC"/>
    <w:rsid w:val="005C1CB8"/>
    <w:rsid w:val="005D0BFC"/>
    <w:rsid w:val="005D0E9F"/>
    <w:rsid w:val="005F0AFE"/>
    <w:rsid w:val="005F3952"/>
    <w:rsid w:val="006014AF"/>
    <w:rsid w:val="00615651"/>
    <w:rsid w:val="00632728"/>
    <w:rsid w:val="00632DD9"/>
    <w:rsid w:val="00653CFD"/>
    <w:rsid w:val="006570C0"/>
    <w:rsid w:val="006601E9"/>
    <w:rsid w:val="00663AA4"/>
    <w:rsid w:val="006706F0"/>
    <w:rsid w:val="00676FBE"/>
    <w:rsid w:val="00682887"/>
    <w:rsid w:val="00696095"/>
    <w:rsid w:val="006C10F8"/>
    <w:rsid w:val="006F3B4D"/>
    <w:rsid w:val="00711EF6"/>
    <w:rsid w:val="007304F5"/>
    <w:rsid w:val="00770414"/>
    <w:rsid w:val="007B4487"/>
    <w:rsid w:val="007C7FAA"/>
    <w:rsid w:val="007F1C33"/>
    <w:rsid w:val="0080712C"/>
    <w:rsid w:val="00851EF2"/>
    <w:rsid w:val="00864048"/>
    <w:rsid w:val="00866C34"/>
    <w:rsid w:val="00873E60"/>
    <w:rsid w:val="008812A7"/>
    <w:rsid w:val="00881F8E"/>
    <w:rsid w:val="0088599F"/>
    <w:rsid w:val="0089230D"/>
    <w:rsid w:val="008B0286"/>
    <w:rsid w:val="008C07D5"/>
    <w:rsid w:val="008F1A2E"/>
    <w:rsid w:val="008F304A"/>
    <w:rsid w:val="008F79A4"/>
    <w:rsid w:val="009276C5"/>
    <w:rsid w:val="00941246"/>
    <w:rsid w:val="009520E6"/>
    <w:rsid w:val="00952CE0"/>
    <w:rsid w:val="00977BBF"/>
    <w:rsid w:val="00994504"/>
    <w:rsid w:val="009A20C3"/>
    <w:rsid w:val="009B4EF0"/>
    <w:rsid w:val="009B69DD"/>
    <w:rsid w:val="009B76A1"/>
    <w:rsid w:val="009C3F88"/>
    <w:rsid w:val="009C5F17"/>
    <w:rsid w:val="009D1AB1"/>
    <w:rsid w:val="009D3E22"/>
    <w:rsid w:val="009E1940"/>
    <w:rsid w:val="00A07640"/>
    <w:rsid w:val="00A14BD9"/>
    <w:rsid w:val="00A2274D"/>
    <w:rsid w:val="00A22D3F"/>
    <w:rsid w:val="00A37E2A"/>
    <w:rsid w:val="00A43FA9"/>
    <w:rsid w:val="00A54ADA"/>
    <w:rsid w:val="00A5679E"/>
    <w:rsid w:val="00A575EB"/>
    <w:rsid w:val="00A75CEA"/>
    <w:rsid w:val="00A76A13"/>
    <w:rsid w:val="00AA17C8"/>
    <w:rsid w:val="00AB24A3"/>
    <w:rsid w:val="00AB58C1"/>
    <w:rsid w:val="00AB5925"/>
    <w:rsid w:val="00AD4D3E"/>
    <w:rsid w:val="00AF26E3"/>
    <w:rsid w:val="00AF7EC5"/>
    <w:rsid w:val="00B36C2D"/>
    <w:rsid w:val="00B52952"/>
    <w:rsid w:val="00B620F6"/>
    <w:rsid w:val="00B648FA"/>
    <w:rsid w:val="00B662D9"/>
    <w:rsid w:val="00BA044C"/>
    <w:rsid w:val="00BB4550"/>
    <w:rsid w:val="00BE23ED"/>
    <w:rsid w:val="00C17B63"/>
    <w:rsid w:val="00C22DF0"/>
    <w:rsid w:val="00C23A4F"/>
    <w:rsid w:val="00C36F7F"/>
    <w:rsid w:val="00C63E95"/>
    <w:rsid w:val="00C760FB"/>
    <w:rsid w:val="00CA5669"/>
    <w:rsid w:val="00CA5794"/>
    <w:rsid w:val="00CB58F2"/>
    <w:rsid w:val="00CC1CA9"/>
    <w:rsid w:val="00CD5914"/>
    <w:rsid w:val="00D05637"/>
    <w:rsid w:val="00D30EEB"/>
    <w:rsid w:val="00D332AC"/>
    <w:rsid w:val="00D5136F"/>
    <w:rsid w:val="00D54DC7"/>
    <w:rsid w:val="00D907FB"/>
    <w:rsid w:val="00DA5B6B"/>
    <w:rsid w:val="00DE387B"/>
    <w:rsid w:val="00E03352"/>
    <w:rsid w:val="00E10485"/>
    <w:rsid w:val="00E10971"/>
    <w:rsid w:val="00E17033"/>
    <w:rsid w:val="00E52B92"/>
    <w:rsid w:val="00E951B6"/>
    <w:rsid w:val="00EB61E8"/>
    <w:rsid w:val="00ED0455"/>
    <w:rsid w:val="00ED157B"/>
    <w:rsid w:val="00EF08AA"/>
    <w:rsid w:val="00EF1211"/>
    <w:rsid w:val="00EF188C"/>
    <w:rsid w:val="00EF1905"/>
    <w:rsid w:val="00F244EA"/>
    <w:rsid w:val="00F279F4"/>
    <w:rsid w:val="00F82F10"/>
    <w:rsid w:val="00F8652E"/>
    <w:rsid w:val="00F96B8A"/>
    <w:rsid w:val="00FB0929"/>
    <w:rsid w:val="00FB66AD"/>
    <w:rsid w:val="00FD591E"/>
    <w:rsid w:val="00FD725B"/>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2FB89F"/>
  <w15:docId w15:val="{FB8070C9-A963-48C7-A4B1-5BB02DE6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A3"/>
    <w:pPr>
      <w:widowControl w:val="0"/>
      <w:kinsoku w:val="0"/>
      <w:overflowPunct w:val="0"/>
      <w:spacing w:after="0" w:line="240" w:lineRule="auto"/>
      <w:textAlignment w:val="baseline"/>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13CD3"/>
    <w:pPr>
      <w:keepNext/>
      <w:widowControl/>
      <w:kinsoku/>
      <w:overflowPunct/>
      <w:spacing w:before="240" w:after="60"/>
      <w:textAlignment w:val="auto"/>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uiPriority w:val="9"/>
    <w:semiHidden/>
    <w:unhideWhenUsed/>
    <w:qFormat/>
    <w:rsid w:val="009D3E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4A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AB24A3"/>
    <w:pPr>
      <w:widowControl/>
      <w:kinsoku/>
      <w:overflowPunct/>
      <w:spacing w:before="100" w:beforeAutospacing="1" w:after="100" w:afterAutospacing="1"/>
      <w:textAlignment w:val="auto"/>
    </w:pPr>
    <w:rPr>
      <w:color w:val="000000"/>
    </w:rPr>
  </w:style>
  <w:style w:type="paragraph" w:styleId="ListParagraph">
    <w:name w:val="List Paragraph"/>
    <w:basedOn w:val="Normal"/>
    <w:uiPriority w:val="34"/>
    <w:qFormat/>
    <w:rsid w:val="00AB24A3"/>
    <w:pPr>
      <w:ind w:left="720"/>
      <w:contextualSpacing/>
    </w:pPr>
  </w:style>
  <w:style w:type="character" w:customStyle="1" w:styleId="groupheading1">
    <w:name w:val="groupheading1"/>
    <w:rsid w:val="00DE387B"/>
    <w:rPr>
      <w:rFonts w:ascii="Verdana" w:hAnsi="Verdana" w:hint="default"/>
      <w:b/>
      <w:bCs/>
      <w:sz w:val="19"/>
      <w:szCs w:val="19"/>
    </w:rPr>
  </w:style>
  <w:style w:type="paragraph" w:styleId="BalloonText">
    <w:name w:val="Balloon Text"/>
    <w:basedOn w:val="Normal"/>
    <w:link w:val="BalloonTextChar"/>
    <w:semiHidden/>
    <w:rsid w:val="00DE387B"/>
    <w:pPr>
      <w:widowControl/>
      <w:kinsoku/>
      <w:overflowPunct/>
      <w:textAlignment w:val="auto"/>
    </w:pPr>
    <w:rPr>
      <w:rFonts w:ascii="Tahoma" w:hAnsi="Tahoma" w:cs="Tahoma"/>
      <w:color w:val="FF0000"/>
      <w:sz w:val="16"/>
      <w:szCs w:val="16"/>
    </w:rPr>
  </w:style>
  <w:style w:type="character" w:customStyle="1" w:styleId="BalloonTextChar">
    <w:name w:val="Balloon Text Char"/>
    <w:basedOn w:val="DefaultParagraphFont"/>
    <w:link w:val="BalloonText"/>
    <w:semiHidden/>
    <w:rsid w:val="00DE387B"/>
    <w:rPr>
      <w:rFonts w:ascii="Tahoma" w:eastAsia="Times New Roman" w:hAnsi="Tahoma" w:cs="Tahoma"/>
      <w:color w:val="FF0000"/>
      <w:sz w:val="16"/>
      <w:szCs w:val="16"/>
      <w:lang w:val="en-US"/>
    </w:rPr>
  </w:style>
  <w:style w:type="paragraph" w:styleId="Footer">
    <w:name w:val="footer"/>
    <w:basedOn w:val="Normal"/>
    <w:link w:val="FooterChar"/>
    <w:uiPriority w:val="99"/>
    <w:rsid w:val="000B4E14"/>
    <w:pPr>
      <w:widowControl/>
      <w:tabs>
        <w:tab w:val="center" w:pos="4153"/>
        <w:tab w:val="right" w:pos="8306"/>
      </w:tabs>
      <w:kinsoku/>
      <w:overflowPunct/>
      <w:textAlignment w:val="auto"/>
    </w:pPr>
    <w:rPr>
      <w:color w:val="FF0000"/>
    </w:rPr>
  </w:style>
  <w:style w:type="character" w:customStyle="1" w:styleId="FooterChar">
    <w:name w:val="Footer Char"/>
    <w:basedOn w:val="DefaultParagraphFont"/>
    <w:link w:val="Footer"/>
    <w:uiPriority w:val="99"/>
    <w:rsid w:val="000B4E14"/>
    <w:rPr>
      <w:rFonts w:ascii="Times New Roman" w:eastAsia="Times New Roman" w:hAnsi="Times New Roman" w:cs="Times New Roman"/>
      <w:color w:val="FF0000"/>
      <w:sz w:val="24"/>
      <w:szCs w:val="24"/>
      <w:lang w:val="en-US"/>
    </w:rPr>
  </w:style>
  <w:style w:type="paragraph" w:styleId="Header">
    <w:name w:val="header"/>
    <w:basedOn w:val="Normal"/>
    <w:link w:val="HeaderChar"/>
    <w:uiPriority w:val="99"/>
    <w:rsid w:val="00AF26E3"/>
    <w:pPr>
      <w:widowControl/>
      <w:tabs>
        <w:tab w:val="center" w:pos="4513"/>
        <w:tab w:val="right" w:pos="9026"/>
      </w:tabs>
      <w:kinsoku/>
      <w:overflowPunct/>
      <w:textAlignment w:val="auto"/>
    </w:pPr>
    <w:rPr>
      <w:lang w:val="en-GB" w:eastAsia="en-GB"/>
    </w:rPr>
  </w:style>
  <w:style w:type="character" w:customStyle="1" w:styleId="HeaderChar">
    <w:name w:val="Header Char"/>
    <w:basedOn w:val="DefaultParagraphFont"/>
    <w:link w:val="Header"/>
    <w:uiPriority w:val="99"/>
    <w:rsid w:val="00AF26E3"/>
    <w:rPr>
      <w:rFonts w:ascii="Times New Roman" w:eastAsia="Times New Roman" w:hAnsi="Times New Roman" w:cs="Times New Roman"/>
      <w:sz w:val="24"/>
      <w:szCs w:val="24"/>
      <w:lang w:eastAsia="en-GB"/>
    </w:rPr>
  </w:style>
  <w:style w:type="character" w:customStyle="1" w:styleId="apple-converted-space">
    <w:name w:val="apple-converted-space"/>
    <w:rsid w:val="00AF26E3"/>
  </w:style>
  <w:style w:type="paragraph" w:styleId="FootnoteText">
    <w:name w:val="footnote text"/>
    <w:basedOn w:val="Normal"/>
    <w:link w:val="FootnoteTextChar"/>
    <w:uiPriority w:val="99"/>
    <w:semiHidden/>
    <w:unhideWhenUsed/>
    <w:rsid w:val="009B76A1"/>
    <w:rPr>
      <w:sz w:val="20"/>
      <w:szCs w:val="20"/>
    </w:rPr>
  </w:style>
  <w:style w:type="character" w:customStyle="1" w:styleId="FootnoteTextChar">
    <w:name w:val="Footnote Text Char"/>
    <w:basedOn w:val="DefaultParagraphFont"/>
    <w:link w:val="FootnoteText"/>
    <w:uiPriority w:val="99"/>
    <w:semiHidden/>
    <w:rsid w:val="009B76A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B76A1"/>
    <w:rPr>
      <w:vertAlign w:val="superscript"/>
    </w:rPr>
  </w:style>
  <w:style w:type="character" w:customStyle="1" w:styleId="documentbody1">
    <w:name w:val="documentbody1"/>
    <w:rsid w:val="005578D7"/>
    <w:rPr>
      <w:rFonts w:ascii="Verdana" w:hAnsi="Verdana" w:hint="default"/>
      <w:sz w:val="19"/>
      <w:szCs w:val="19"/>
    </w:rPr>
  </w:style>
  <w:style w:type="character" w:customStyle="1" w:styleId="Heading1Char">
    <w:name w:val="Heading 1 Char"/>
    <w:basedOn w:val="DefaultParagraphFont"/>
    <w:link w:val="Heading1"/>
    <w:rsid w:val="00513CD3"/>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sid w:val="009D3E22"/>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nhideWhenUsed/>
    <w:rsid w:val="0059547C"/>
    <w:rPr>
      <w:color w:val="0000FF"/>
      <w:u w:val="single"/>
    </w:rPr>
  </w:style>
  <w:style w:type="character" w:customStyle="1" w:styleId="starpage">
    <w:name w:val="starpage"/>
    <w:basedOn w:val="DefaultParagraphFont"/>
    <w:rsid w:val="007B4487"/>
  </w:style>
  <w:style w:type="character" w:customStyle="1" w:styleId="ro1">
    <w:name w:val="ro1"/>
    <w:rsid w:val="00114E2B"/>
    <w:rPr>
      <w:b w:val="0"/>
      <w:bCs w:val="0"/>
    </w:rPr>
  </w:style>
  <w:style w:type="character" w:customStyle="1" w:styleId="verdana">
    <w:name w:val="verdana"/>
    <w:basedOn w:val="DefaultParagraphFont"/>
    <w:rsid w:val="00A575EB"/>
    <w:rPr>
      <w:rFonts w:cs="Times New Roman"/>
    </w:rPr>
  </w:style>
  <w:style w:type="character" w:customStyle="1" w:styleId="pagenumber">
    <w:name w:val="pagenumber"/>
    <w:basedOn w:val="DefaultParagraphFont"/>
    <w:rsid w:val="00A575EB"/>
    <w:rPr>
      <w:rFonts w:cs="Times New Roman"/>
    </w:rPr>
  </w:style>
  <w:style w:type="character" w:styleId="Emphasis">
    <w:name w:val="Emphasis"/>
    <w:basedOn w:val="DefaultParagraphFont"/>
    <w:uiPriority w:val="20"/>
    <w:qFormat/>
    <w:rsid w:val="00286798"/>
    <w:rPr>
      <w:i/>
      <w:iCs/>
    </w:rPr>
  </w:style>
  <w:style w:type="character" w:customStyle="1" w:styleId="solext0">
    <w:name w:val="solext0"/>
    <w:basedOn w:val="DefaultParagraphFont"/>
    <w:rsid w:val="005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57395">
      <w:bodyDiv w:val="1"/>
      <w:marLeft w:val="0"/>
      <w:marRight w:val="0"/>
      <w:marTop w:val="0"/>
      <w:marBottom w:val="0"/>
      <w:divBdr>
        <w:top w:val="none" w:sz="0" w:space="0" w:color="auto"/>
        <w:left w:val="none" w:sz="0" w:space="0" w:color="auto"/>
        <w:bottom w:val="none" w:sz="0" w:space="0" w:color="auto"/>
        <w:right w:val="none" w:sz="0" w:space="0" w:color="auto"/>
      </w:divBdr>
    </w:div>
    <w:div w:id="497423910">
      <w:bodyDiv w:val="1"/>
      <w:marLeft w:val="0"/>
      <w:marRight w:val="0"/>
      <w:marTop w:val="0"/>
      <w:marBottom w:val="0"/>
      <w:divBdr>
        <w:top w:val="none" w:sz="0" w:space="0" w:color="auto"/>
        <w:left w:val="none" w:sz="0" w:space="0" w:color="auto"/>
        <w:bottom w:val="none" w:sz="0" w:space="0" w:color="auto"/>
        <w:right w:val="none" w:sz="0" w:space="0" w:color="auto"/>
      </w:divBdr>
    </w:div>
    <w:div w:id="691155020">
      <w:bodyDiv w:val="1"/>
      <w:marLeft w:val="0"/>
      <w:marRight w:val="0"/>
      <w:marTop w:val="0"/>
      <w:marBottom w:val="0"/>
      <w:divBdr>
        <w:top w:val="none" w:sz="0" w:space="0" w:color="auto"/>
        <w:left w:val="none" w:sz="0" w:space="0" w:color="auto"/>
        <w:bottom w:val="none" w:sz="0" w:space="0" w:color="auto"/>
        <w:right w:val="none" w:sz="0" w:space="0" w:color="auto"/>
      </w:divBdr>
    </w:div>
    <w:div w:id="950941490">
      <w:bodyDiv w:val="1"/>
      <w:marLeft w:val="0"/>
      <w:marRight w:val="0"/>
      <w:marTop w:val="0"/>
      <w:marBottom w:val="0"/>
      <w:divBdr>
        <w:top w:val="none" w:sz="0" w:space="0" w:color="auto"/>
        <w:left w:val="none" w:sz="0" w:space="0" w:color="auto"/>
        <w:bottom w:val="none" w:sz="0" w:space="0" w:color="auto"/>
        <w:right w:val="none" w:sz="0" w:space="0" w:color="auto"/>
      </w:divBdr>
    </w:div>
    <w:div w:id="1013384542">
      <w:bodyDiv w:val="1"/>
      <w:marLeft w:val="0"/>
      <w:marRight w:val="0"/>
      <w:marTop w:val="0"/>
      <w:marBottom w:val="0"/>
      <w:divBdr>
        <w:top w:val="none" w:sz="0" w:space="0" w:color="auto"/>
        <w:left w:val="none" w:sz="0" w:space="0" w:color="auto"/>
        <w:bottom w:val="none" w:sz="0" w:space="0" w:color="auto"/>
        <w:right w:val="none" w:sz="0" w:space="0" w:color="auto"/>
      </w:divBdr>
    </w:div>
    <w:div w:id="1155802370">
      <w:bodyDiv w:val="1"/>
      <w:marLeft w:val="0"/>
      <w:marRight w:val="0"/>
      <w:marTop w:val="0"/>
      <w:marBottom w:val="0"/>
      <w:divBdr>
        <w:top w:val="none" w:sz="0" w:space="0" w:color="auto"/>
        <w:left w:val="none" w:sz="0" w:space="0" w:color="auto"/>
        <w:bottom w:val="none" w:sz="0" w:space="0" w:color="auto"/>
        <w:right w:val="none" w:sz="0" w:space="0" w:color="auto"/>
      </w:divBdr>
    </w:div>
    <w:div w:id="1276786000">
      <w:bodyDiv w:val="1"/>
      <w:marLeft w:val="0"/>
      <w:marRight w:val="0"/>
      <w:marTop w:val="0"/>
      <w:marBottom w:val="0"/>
      <w:divBdr>
        <w:top w:val="none" w:sz="0" w:space="0" w:color="auto"/>
        <w:left w:val="none" w:sz="0" w:space="0" w:color="auto"/>
        <w:bottom w:val="none" w:sz="0" w:space="0" w:color="auto"/>
        <w:right w:val="none" w:sz="0" w:space="0" w:color="auto"/>
      </w:divBdr>
    </w:div>
    <w:div w:id="1519584945">
      <w:bodyDiv w:val="1"/>
      <w:marLeft w:val="0"/>
      <w:marRight w:val="0"/>
      <w:marTop w:val="0"/>
      <w:marBottom w:val="0"/>
      <w:divBdr>
        <w:top w:val="none" w:sz="0" w:space="0" w:color="auto"/>
        <w:left w:val="none" w:sz="0" w:space="0" w:color="auto"/>
        <w:bottom w:val="none" w:sz="0" w:space="0" w:color="auto"/>
        <w:right w:val="none" w:sz="0" w:space="0" w:color="auto"/>
      </w:divBdr>
    </w:div>
    <w:div w:id="1746217294">
      <w:bodyDiv w:val="1"/>
      <w:marLeft w:val="0"/>
      <w:marRight w:val="0"/>
      <w:marTop w:val="0"/>
      <w:marBottom w:val="0"/>
      <w:divBdr>
        <w:top w:val="none" w:sz="0" w:space="0" w:color="auto"/>
        <w:left w:val="none" w:sz="0" w:space="0" w:color="auto"/>
        <w:bottom w:val="none" w:sz="0" w:space="0" w:color="auto"/>
        <w:right w:val="none" w:sz="0" w:space="0" w:color="auto"/>
      </w:divBdr>
    </w:div>
    <w:div w:id="1800875023">
      <w:bodyDiv w:val="1"/>
      <w:marLeft w:val="0"/>
      <w:marRight w:val="0"/>
      <w:marTop w:val="0"/>
      <w:marBottom w:val="0"/>
      <w:divBdr>
        <w:top w:val="none" w:sz="0" w:space="0" w:color="auto"/>
        <w:left w:val="none" w:sz="0" w:space="0" w:color="auto"/>
        <w:bottom w:val="none" w:sz="0" w:space="0" w:color="auto"/>
        <w:right w:val="none" w:sz="0" w:space="0" w:color="auto"/>
      </w:divBdr>
    </w:div>
    <w:div w:id="1801798803">
      <w:bodyDiv w:val="1"/>
      <w:marLeft w:val="0"/>
      <w:marRight w:val="0"/>
      <w:marTop w:val="0"/>
      <w:marBottom w:val="0"/>
      <w:divBdr>
        <w:top w:val="none" w:sz="0" w:space="0" w:color="auto"/>
        <w:left w:val="none" w:sz="0" w:space="0" w:color="auto"/>
        <w:bottom w:val="none" w:sz="0" w:space="0" w:color="auto"/>
        <w:right w:val="none" w:sz="0" w:space="0" w:color="auto"/>
      </w:divBdr>
    </w:div>
    <w:div w:id="1850825595">
      <w:bodyDiv w:val="1"/>
      <w:marLeft w:val="0"/>
      <w:marRight w:val="0"/>
      <w:marTop w:val="0"/>
      <w:marBottom w:val="0"/>
      <w:divBdr>
        <w:top w:val="none" w:sz="0" w:space="0" w:color="auto"/>
        <w:left w:val="none" w:sz="0" w:space="0" w:color="auto"/>
        <w:bottom w:val="none" w:sz="0" w:space="0" w:color="auto"/>
        <w:right w:val="none" w:sz="0" w:space="0" w:color="auto"/>
      </w:divBdr>
    </w:div>
    <w:div w:id="19181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7269-B032-49F9-BF61-C818C97C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21</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Storey</dc:creator>
  <cp:keywords/>
  <dc:description/>
  <cp:lastModifiedBy>Tony Storey</cp:lastModifiedBy>
  <cp:revision>32</cp:revision>
  <dcterms:created xsi:type="dcterms:W3CDTF">2016-12-24T04:53:00Z</dcterms:created>
  <dcterms:modified xsi:type="dcterms:W3CDTF">2017-02-20T15:38:00Z</dcterms:modified>
</cp:coreProperties>
</file>