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commentsExtended.xml" ContentType="application/vnd.openxmlformats-officedocument.wordprocessingml.commentsExtended+xml"/>
  <Override PartName="/word/people.xml" ContentType="application/vnd.openxmlformats-officedocument.wordprocessingml.people+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C6C79" w14:textId="77777777" w:rsidR="00610897" w:rsidRPr="002669DC" w:rsidRDefault="00610897" w:rsidP="00610897">
      <w:pPr>
        <w:spacing w:after="0" w:line="360" w:lineRule="auto"/>
        <w:rPr>
          <w:rFonts w:eastAsia="Times New Roman"/>
          <w:b/>
          <w:bCs/>
          <w:sz w:val="24"/>
          <w:szCs w:val="24"/>
          <w:lang w:eastAsia="en-GB"/>
        </w:rPr>
      </w:pPr>
      <w:bookmarkStart w:id="0" w:name="_Toc295169997"/>
      <w:r>
        <w:rPr>
          <w:rFonts w:eastAsia="Times New Roman"/>
          <w:sz w:val="24"/>
          <w:szCs w:val="24"/>
          <w:lang w:eastAsia="en-GB"/>
        </w:rPr>
        <w:tab/>
      </w:r>
      <w:r>
        <w:rPr>
          <w:rFonts w:eastAsia="Times New Roman"/>
          <w:b/>
          <w:bCs/>
          <w:sz w:val="24"/>
          <w:szCs w:val="24"/>
          <w:lang w:eastAsia="en-GB"/>
        </w:rPr>
        <w:t>Risk r</w:t>
      </w:r>
      <w:r w:rsidRPr="002669DC">
        <w:rPr>
          <w:rFonts w:eastAsia="Times New Roman"/>
          <w:b/>
          <w:bCs/>
          <w:sz w:val="24"/>
          <w:szCs w:val="24"/>
          <w:lang w:eastAsia="en-GB"/>
        </w:rPr>
        <w:t>eporting: A review of the literature and implications for future research*</w:t>
      </w:r>
    </w:p>
    <w:p w14:paraId="78DA15C7" w14:textId="77777777" w:rsidR="00610897" w:rsidRPr="002669DC" w:rsidRDefault="00610897" w:rsidP="00610897">
      <w:pPr>
        <w:spacing w:after="0" w:line="360" w:lineRule="auto"/>
        <w:jc w:val="center"/>
        <w:rPr>
          <w:rFonts w:eastAsia="Times New Roman"/>
          <w:b/>
          <w:bCs/>
          <w:sz w:val="24"/>
          <w:szCs w:val="24"/>
          <w:lang w:eastAsia="en-GB"/>
        </w:rPr>
      </w:pPr>
      <w:r w:rsidRPr="002669DC">
        <w:rPr>
          <w:rFonts w:eastAsia="Times New Roman"/>
          <w:b/>
          <w:bCs/>
          <w:sz w:val="24"/>
          <w:szCs w:val="24"/>
          <w:lang w:eastAsia="en-GB"/>
        </w:rPr>
        <w:t xml:space="preserve">  </w:t>
      </w:r>
    </w:p>
    <w:p w14:paraId="6182597E" w14:textId="4460D640" w:rsidR="00610897" w:rsidRDefault="00610897" w:rsidP="00610897">
      <w:pPr>
        <w:tabs>
          <w:tab w:val="left" w:pos="615"/>
        </w:tabs>
        <w:spacing w:after="0" w:line="360" w:lineRule="auto"/>
        <w:jc w:val="center"/>
        <w:rPr>
          <w:rFonts w:eastAsia="Times New Roman"/>
          <w:b/>
          <w:bCs/>
          <w:sz w:val="24"/>
          <w:szCs w:val="24"/>
          <w:lang w:eastAsia="en-GB"/>
        </w:rPr>
      </w:pPr>
      <w:r>
        <w:rPr>
          <w:rFonts w:eastAsia="Times New Roman"/>
          <w:b/>
          <w:bCs/>
          <w:sz w:val="24"/>
          <w:szCs w:val="24"/>
          <w:lang w:eastAsia="en-GB"/>
        </w:rPr>
        <w:t>Journal of Accounting Literature, Forthcoming</w:t>
      </w:r>
    </w:p>
    <w:p w14:paraId="6DFA55AB" w14:textId="77777777" w:rsidR="00610897" w:rsidRPr="002669DC" w:rsidRDefault="00610897" w:rsidP="00610897">
      <w:pPr>
        <w:tabs>
          <w:tab w:val="left" w:pos="615"/>
        </w:tabs>
        <w:spacing w:after="0" w:line="360" w:lineRule="auto"/>
        <w:rPr>
          <w:rFonts w:eastAsia="Times New Roman"/>
          <w:b/>
          <w:bCs/>
          <w:sz w:val="24"/>
          <w:szCs w:val="24"/>
          <w:lang w:eastAsia="en-GB"/>
        </w:rPr>
      </w:pPr>
    </w:p>
    <w:p w14:paraId="60B02DAF" w14:textId="77777777" w:rsidR="00610897" w:rsidRPr="002669DC" w:rsidRDefault="00610897" w:rsidP="00610897">
      <w:pPr>
        <w:spacing w:after="0" w:line="360" w:lineRule="auto"/>
        <w:jc w:val="center"/>
        <w:rPr>
          <w:rFonts w:eastAsia="Times New Roman"/>
          <w:b/>
          <w:bCs/>
          <w:sz w:val="24"/>
          <w:szCs w:val="24"/>
          <w:lang w:eastAsia="en-GB"/>
        </w:rPr>
      </w:pPr>
      <w:r w:rsidRPr="002669DC">
        <w:rPr>
          <w:rFonts w:eastAsia="Times New Roman"/>
          <w:b/>
          <w:bCs/>
          <w:sz w:val="24"/>
          <w:szCs w:val="24"/>
          <w:lang w:eastAsia="en-GB"/>
        </w:rPr>
        <w:t>Tamer Elshandidy**</w:t>
      </w:r>
    </w:p>
    <w:p w14:paraId="61D57687" w14:textId="77777777" w:rsidR="00610897" w:rsidRPr="002669DC" w:rsidRDefault="00610897" w:rsidP="00610897">
      <w:pPr>
        <w:spacing w:after="0" w:line="360" w:lineRule="auto"/>
        <w:jc w:val="center"/>
        <w:rPr>
          <w:rFonts w:eastAsia="Times New Roman"/>
          <w:b/>
          <w:bCs/>
          <w:sz w:val="24"/>
          <w:szCs w:val="24"/>
          <w:lang w:eastAsia="en-GB"/>
        </w:rPr>
      </w:pPr>
      <w:r>
        <w:rPr>
          <w:rFonts w:eastAsia="Times New Roman"/>
          <w:b/>
          <w:bCs/>
          <w:sz w:val="24"/>
          <w:szCs w:val="24"/>
          <w:lang w:eastAsia="en-GB"/>
        </w:rPr>
        <w:t>University of Bradford</w:t>
      </w:r>
    </w:p>
    <w:p w14:paraId="5530FEB8" w14:textId="77777777" w:rsidR="00610897" w:rsidRPr="002669DC" w:rsidRDefault="00610897" w:rsidP="00610897">
      <w:pPr>
        <w:spacing w:after="0" w:line="360" w:lineRule="auto"/>
        <w:jc w:val="center"/>
        <w:rPr>
          <w:rFonts w:eastAsia="Times New Roman"/>
          <w:b/>
          <w:bCs/>
          <w:sz w:val="24"/>
          <w:szCs w:val="24"/>
          <w:lang w:eastAsia="en-GB"/>
        </w:rPr>
      </w:pPr>
      <w:r w:rsidRPr="008D1129">
        <w:rPr>
          <w:rFonts w:eastAsia="Times New Roman"/>
          <w:color w:val="0000FF"/>
          <w:sz w:val="24"/>
          <w:szCs w:val="24"/>
          <w:u w:val="single"/>
          <w:lang w:eastAsia="en-GB"/>
        </w:rPr>
        <w:t>T.Elshandidy@bradford.ac.uk</w:t>
      </w:r>
    </w:p>
    <w:p w14:paraId="53A8C557" w14:textId="77777777" w:rsidR="00610897" w:rsidRPr="002669DC" w:rsidRDefault="00610897" w:rsidP="00610897">
      <w:pPr>
        <w:spacing w:after="0" w:line="360" w:lineRule="auto"/>
        <w:jc w:val="center"/>
        <w:rPr>
          <w:rFonts w:eastAsia="Times New Roman"/>
          <w:b/>
          <w:bCs/>
          <w:sz w:val="24"/>
          <w:szCs w:val="24"/>
          <w:lang w:eastAsia="en-GB"/>
        </w:rPr>
      </w:pPr>
      <w:r w:rsidRPr="002669DC">
        <w:rPr>
          <w:rFonts w:eastAsia="Times New Roman"/>
          <w:b/>
          <w:bCs/>
          <w:sz w:val="24"/>
          <w:szCs w:val="24"/>
          <w:lang w:eastAsia="en-GB"/>
        </w:rPr>
        <w:t>Philip J. Shrives</w:t>
      </w:r>
    </w:p>
    <w:p w14:paraId="0CA7750C" w14:textId="77777777" w:rsidR="00610897" w:rsidRPr="002669DC" w:rsidRDefault="00610897" w:rsidP="00610897">
      <w:pPr>
        <w:spacing w:after="0" w:line="360" w:lineRule="auto"/>
        <w:jc w:val="center"/>
        <w:rPr>
          <w:rFonts w:eastAsia="Times New Roman"/>
          <w:b/>
          <w:bCs/>
          <w:sz w:val="24"/>
          <w:szCs w:val="24"/>
          <w:lang w:eastAsia="en-GB"/>
        </w:rPr>
      </w:pPr>
      <w:r w:rsidRPr="002669DC">
        <w:rPr>
          <w:rFonts w:eastAsia="Times New Roman"/>
          <w:b/>
          <w:bCs/>
          <w:sz w:val="24"/>
          <w:szCs w:val="24"/>
          <w:lang w:eastAsia="en-GB"/>
        </w:rPr>
        <w:t>Northumbria University</w:t>
      </w:r>
    </w:p>
    <w:p w14:paraId="0F420A0E" w14:textId="77777777" w:rsidR="00610897" w:rsidRPr="002669DC" w:rsidRDefault="00610897" w:rsidP="00610897">
      <w:pPr>
        <w:spacing w:after="0" w:line="360" w:lineRule="auto"/>
        <w:jc w:val="center"/>
        <w:rPr>
          <w:rFonts w:eastAsia="Times New Roman"/>
          <w:bCs/>
          <w:sz w:val="24"/>
          <w:szCs w:val="24"/>
          <w:lang w:eastAsia="en-GB"/>
        </w:rPr>
      </w:pPr>
      <w:hyperlink r:id="rId9" w:history="1">
        <w:r w:rsidRPr="002669DC">
          <w:rPr>
            <w:rFonts w:eastAsia="Times New Roman"/>
            <w:color w:val="0000FF"/>
            <w:u w:val="single"/>
            <w:lang w:eastAsia="en-GB"/>
          </w:rPr>
          <w:t>Philip.Shrives@northumbria.ac.uk</w:t>
        </w:r>
      </w:hyperlink>
    </w:p>
    <w:p w14:paraId="73887381" w14:textId="77777777" w:rsidR="00610897" w:rsidRPr="002669DC" w:rsidRDefault="00610897" w:rsidP="00610897">
      <w:pPr>
        <w:spacing w:after="0" w:line="360" w:lineRule="auto"/>
        <w:rPr>
          <w:rFonts w:eastAsia="Times New Roman"/>
          <w:b/>
          <w:bCs/>
          <w:sz w:val="24"/>
          <w:szCs w:val="24"/>
          <w:lang w:eastAsia="en-GB"/>
        </w:rPr>
      </w:pPr>
    </w:p>
    <w:p w14:paraId="54C41373" w14:textId="77777777" w:rsidR="00610897" w:rsidRPr="002669DC" w:rsidRDefault="00610897" w:rsidP="00610897">
      <w:pPr>
        <w:spacing w:after="0" w:line="360" w:lineRule="auto"/>
        <w:jc w:val="center"/>
        <w:rPr>
          <w:rFonts w:eastAsia="Times New Roman"/>
          <w:b/>
          <w:bCs/>
          <w:sz w:val="24"/>
          <w:szCs w:val="24"/>
          <w:lang w:eastAsia="en-GB"/>
        </w:rPr>
      </w:pPr>
      <w:r w:rsidRPr="002669DC">
        <w:rPr>
          <w:rFonts w:eastAsia="Times New Roman"/>
          <w:b/>
          <w:bCs/>
          <w:sz w:val="24"/>
          <w:szCs w:val="24"/>
          <w:lang w:eastAsia="en-GB"/>
        </w:rPr>
        <w:t xml:space="preserve">Matt </w:t>
      </w:r>
      <w:proofErr w:type="spellStart"/>
      <w:r w:rsidRPr="002669DC">
        <w:rPr>
          <w:rFonts w:eastAsia="Times New Roman"/>
          <w:b/>
          <w:bCs/>
          <w:sz w:val="24"/>
          <w:szCs w:val="24"/>
          <w:lang w:eastAsia="en-GB"/>
        </w:rPr>
        <w:t>Bamber</w:t>
      </w:r>
      <w:proofErr w:type="spellEnd"/>
    </w:p>
    <w:p w14:paraId="012AF8B9" w14:textId="77777777" w:rsidR="00610897" w:rsidRPr="002669DC" w:rsidRDefault="00610897" w:rsidP="00610897">
      <w:pPr>
        <w:tabs>
          <w:tab w:val="center" w:pos="4513"/>
          <w:tab w:val="left" w:pos="8020"/>
        </w:tabs>
        <w:spacing w:after="0" w:line="360" w:lineRule="auto"/>
        <w:rPr>
          <w:rFonts w:eastAsia="Times New Roman"/>
          <w:b/>
          <w:bCs/>
          <w:sz w:val="24"/>
          <w:szCs w:val="24"/>
          <w:lang w:eastAsia="en-GB"/>
        </w:rPr>
      </w:pPr>
      <w:r w:rsidRPr="002669DC">
        <w:rPr>
          <w:rFonts w:eastAsia="Times New Roman"/>
          <w:b/>
          <w:bCs/>
          <w:sz w:val="24"/>
          <w:szCs w:val="24"/>
          <w:lang w:eastAsia="en-GB"/>
        </w:rPr>
        <w:tab/>
        <w:t>University of Toronto</w:t>
      </w:r>
      <w:r w:rsidRPr="002669DC">
        <w:rPr>
          <w:rFonts w:eastAsia="Times New Roman"/>
          <w:b/>
          <w:bCs/>
          <w:sz w:val="24"/>
          <w:szCs w:val="24"/>
          <w:lang w:eastAsia="en-GB"/>
        </w:rPr>
        <w:tab/>
      </w:r>
    </w:p>
    <w:p w14:paraId="689491CB" w14:textId="77777777" w:rsidR="00610897" w:rsidRPr="002669DC" w:rsidRDefault="00610897" w:rsidP="00610897">
      <w:pPr>
        <w:spacing w:after="0" w:line="360" w:lineRule="auto"/>
        <w:jc w:val="center"/>
        <w:rPr>
          <w:sz w:val="24"/>
          <w:szCs w:val="24"/>
        </w:rPr>
      </w:pPr>
      <w:hyperlink r:id="rId10" w:history="1">
        <w:r w:rsidRPr="002669DC">
          <w:rPr>
            <w:color w:val="0000FF"/>
            <w:u w:val="single"/>
          </w:rPr>
          <w:t>matt.bamber@rotman.utoronto.ca</w:t>
        </w:r>
      </w:hyperlink>
    </w:p>
    <w:p w14:paraId="26AA089E" w14:textId="77777777" w:rsidR="00610897" w:rsidRPr="002669DC" w:rsidRDefault="00610897" w:rsidP="00610897">
      <w:pPr>
        <w:spacing w:after="0" w:line="360" w:lineRule="auto"/>
        <w:jc w:val="center"/>
        <w:rPr>
          <w:rFonts w:eastAsia="Times New Roman"/>
          <w:bCs/>
          <w:sz w:val="24"/>
          <w:szCs w:val="24"/>
          <w:lang w:eastAsia="en-GB"/>
        </w:rPr>
      </w:pPr>
    </w:p>
    <w:p w14:paraId="64195B9B" w14:textId="77777777" w:rsidR="00610897" w:rsidRPr="002669DC" w:rsidRDefault="00610897" w:rsidP="00610897">
      <w:pPr>
        <w:tabs>
          <w:tab w:val="left" w:pos="6587"/>
        </w:tabs>
        <w:spacing w:after="0" w:line="360" w:lineRule="auto"/>
        <w:rPr>
          <w:rFonts w:eastAsia="Times New Roman"/>
          <w:b/>
          <w:bCs/>
          <w:sz w:val="24"/>
          <w:szCs w:val="24"/>
          <w:lang w:eastAsia="en-GB"/>
        </w:rPr>
      </w:pPr>
      <w:r w:rsidRPr="002669DC">
        <w:rPr>
          <w:rFonts w:eastAsia="Times New Roman"/>
          <w:b/>
          <w:bCs/>
          <w:sz w:val="24"/>
          <w:szCs w:val="24"/>
          <w:lang w:eastAsia="en-GB"/>
        </w:rPr>
        <w:tab/>
      </w:r>
    </w:p>
    <w:p w14:paraId="3BDC2AB7" w14:textId="77777777" w:rsidR="00610897" w:rsidRPr="002669DC" w:rsidRDefault="00610897" w:rsidP="00610897">
      <w:pPr>
        <w:spacing w:after="0" w:line="360" w:lineRule="auto"/>
        <w:jc w:val="center"/>
        <w:rPr>
          <w:rFonts w:eastAsia="Times New Roman"/>
          <w:b/>
          <w:bCs/>
          <w:sz w:val="24"/>
          <w:szCs w:val="24"/>
          <w:lang w:eastAsia="en-GB"/>
        </w:rPr>
      </w:pPr>
      <w:r w:rsidRPr="002669DC">
        <w:rPr>
          <w:rFonts w:eastAsia="Times New Roman"/>
          <w:b/>
          <w:bCs/>
          <w:sz w:val="24"/>
          <w:szCs w:val="24"/>
          <w:lang w:eastAsia="en-GB"/>
        </w:rPr>
        <w:t>Santhosh Abraham</w:t>
      </w:r>
    </w:p>
    <w:p w14:paraId="085F8D6B" w14:textId="77777777" w:rsidR="00610897" w:rsidRPr="002669DC" w:rsidRDefault="00610897" w:rsidP="00610897">
      <w:pPr>
        <w:spacing w:after="0" w:line="360" w:lineRule="auto"/>
        <w:jc w:val="center"/>
        <w:rPr>
          <w:rFonts w:eastAsia="Times New Roman"/>
          <w:b/>
          <w:bCs/>
          <w:sz w:val="24"/>
          <w:szCs w:val="24"/>
          <w:lang w:eastAsia="en-GB"/>
        </w:rPr>
      </w:pPr>
      <w:r w:rsidRPr="002669DC">
        <w:rPr>
          <w:rFonts w:eastAsia="Times New Roman"/>
          <w:b/>
          <w:bCs/>
          <w:sz w:val="24"/>
          <w:szCs w:val="24"/>
          <w:lang w:eastAsia="en-GB"/>
        </w:rPr>
        <w:t>Excelsior College</w:t>
      </w:r>
    </w:p>
    <w:p w14:paraId="54C0FAAA" w14:textId="77777777" w:rsidR="00610897" w:rsidRPr="002669DC" w:rsidRDefault="00610897" w:rsidP="00610897">
      <w:pPr>
        <w:spacing w:after="0" w:line="360" w:lineRule="auto"/>
        <w:jc w:val="center"/>
      </w:pPr>
      <w:hyperlink r:id="rId11" w:history="1">
        <w:r w:rsidRPr="002669DC">
          <w:rPr>
            <w:color w:val="0000FF"/>
            <w:u w:val="single"/>
          </w:rPr>
          <w:t>SAbraham1@excelsior.edu</w:t>
        </w:r>
      </w:hyperlink>
    </w:p>
    <w:p w14:paraId="0A5D3FD3" w14:textId="77777777" w:rsidR="00610897" w:rsidRPr="002669DC" w:rsidRDefault="00610897" w:rsidP="00610897">
      <w:pPr>
        <w:spacing w:after="0" w:line="360" w:lineRule="auto"/>
        <w:jc w:val="center"/>
        <w:rPr>
          <w:rFonts w:eastAsia="Times New Roman"/>
          <w:b/>
          <w:bCs/>
          <w:sz w:val="24"/>
          <w:szCs w:val="24"/>
          <w:lang w:eastAsia="en-GB"/>
        </w:rPr>
      </w:pPr>
    </w:p>
    <w:p w14:paraId="366642FE" w14:textId="77777777" w:rsidR="00610897" w:rsidRPr="002669DC" w:rsidRDefault="00610897" w:rsidP="00610897">
      <w:pPr>
        <w:spacing w:after="0" w:line="360" w:lineRule="auto"/>
        <w:rPr>
          <w:rFonts w:eastAsia="Times New Roman"/>
          <w:b/>
          <w:bCs/>
          <w:sz w:val="24"/>
          <w:szCs w:val="24"/>
          <w:lang w:eastAsia="en-GB"/>
        </w:rPr>
      </w:pPr>
    </w:p>
    <w:p w14:paraId="0C24CCBD" w14:textId="77777777" w:rsidR="00610897" w:rsidRPr="002669DC" w:rsidRDefault="00610897" w:rsidP="00610897">
      <w:pPr>
        <w:spacing w:after="0" w:line="240" w:lineRule="auto"/>
        <w:jc w:val="both"/>
        <w:rPr>
          <w:rFonts w:eastAsia="Times New Roman"/>
          <w:b/>
          <w:bCs/>
          <w:sz w:val="24"/>
          <w:szCs w:val="24"/>
          <w:lang w:eastAsia="en-GB"/>
        </w:rPr>
      </w:pPr>
    </w:p>
    <w:p w14:paraId="7ACF268E" w14:textId="77777777" w:rsidR="00610897" w:rsidRPr="002669DC" w:rsidRDefault="00610897" w:rsidP="00610897">
      <w:pPr>
        <w:spacing w:after="0" w:line="240" w:lineRule="auto"/>
        <w:jc w:val="both"/>
        <w:rPr>
          <w:rFonts w:eastAsia="Times New Roman"/>
          <w:sz w:val="24"/>
          <w:szCs w:val="24"/>
          <w:lang w:eastAsia="en-GB"/>
        </w:rPr>
      </w:pPr>
      <w:r w:rsidRPr="002669DC">
        <w:rPr>
          <w:rFonts w:eastAsia="Times New Roman"/>
          <w:sz w:val="24"/>
          <w:szCs w:val="24"/>
          <w:lang w:eastAsia="en-GB"/>
        </w:rPr>
        <w:t xml:space="preserve">*We thank the Associate Editor, Michael </w:t>
      </w:r>
      <w:proofErr w:type="spellStart"/>
      <w:r w:rsidRPr="002669DC">
        <w:rPr>
          <w:rFonts w:eastAsia="Times New Roman"/>
          <w:sz w:val="24"/>
          <w:szCs w:val="24"/>
          <w:lang w:eastAsia="en-GB"/>
        </w:rPr>
        <w:t>Willenborg</w:t>
      </w:r>
      <w:proofErr w:type="spellEnd"/>
      <w:r w:rsidRPr="002669DC">
        <w:rPr>
          <w:rFonts w:eastAsia="Times New Roman"/>
          <w:sz w:val="24"/>
          <w:szCs w:val="24"/>
          <w:lang w:eastAsia="en-GB"/>
        </w:rPr>
        <w:t xml:space="preserve">, and two anonymous referees for their constructive and helpful comments. This paper has benefited from comments and suggestions from participants at the 18th Annual Conference of the Financial Reporting and Business Communication Research Unit (University of Bristol, 2014) and the British Accounting and Finance Association Conference, South West Area Group (Cardiff Business School, 2014). We thank Chris Chapman, Mark </w:t>
      </w:r>
      <w:proofErr w:type="spellStart"/>
      <w:r w:rsidRPr="002669DC">
        <w:rPr>
          <w:rFonts w:eastAsia="Times New Roman"/>
          <w:sz w:val="24"/>
          <w:szCs w:val="24"/>
          <w:lang w:eastAsia="en-GB"/>
        </w:rPr>
        <w:t>Clatworthy</w:t>
      </w:r>
      <w:proofErr w:type="spellEnd"/>
      <w:r w:rsidRPr="002669DC">
        <w:rPr>
          <w:rFonts w:eastAsia="Times New Roman"/>
          <w:sz w:val="24"/>
          <w:szCs w:val="24"/>
          <w:lang w:eastAsia="en-GB"/>
        </w:rPr>
        <w:t xml:space="preserve">, Stuart Cooper, Mike Jones, Kevin Holland and Steven Young for their helpful suggestions. </w:t>
      </w:r>
    </w:p>
    <w:p w14:paraId="780702C1" w14:textId="77777777" w:rsidR="00610897" w:rsidRPr="002669DC" w:rsidRDefault="00610897" w:rsidP="00610897">
      <w:pPr>
        <w:spacing w:after="0" w:line="240" w:lineRule="auto"/>
        <w:jc w:val="both"/>
        <w:rPr>
          <w:rFonts w:eastAsia="Times New Roman"/>
          <w:sz w:val="24"/>
          <w:szCs w:val="24"/>
          <w:lang w:eastAsia="en-GB"/>
        </w:rPr>
      </w:pPr>
    </w:p>
    <w:p w14:paraId="400198FB" w14:textId="77777777" w:rsidR="00610897" w:rsidRPr="002669DC" w:rsidRDefault="00610897" w:rsidP="00610897">
      <w:pPr>
        <w:spacing w:after="0" w:line="240" w:lineRule="auto"/>
        <w:jc w:val="both"/>
        <w:rPr>
          <w:rFonts w:eastAsia="Times New Roman"/>
          <w:sz w:val="24"/>
          <w:szCs w:val="24"/>
          <w:lang w:eastAsia="en-GB"/>
        </w:rPr>
      </w:pPr>
      <w:r w:rsidRPr="002669DC">
        <w:rPr>
          <w:rFonts w:eastAsia="Times New Roman"/>
          <w:sz w:val="24"/>
          <w:szCs w:val="24"/>
          <w:lang w:eastAsia="en-GB"/>
        </w:rPr>
        <w:t>**Correspondence should be addressed to Tamer Elshandidy,</w:t>
      </w:r>
      <w:r>
        <w:rPr>
          <w:rFonts w:eastAsia="Times New Roman"/>
          <w:sz w:val="24"/>
          <w:szCs w:val="24"/>
          <w:lang w:eastAsia="en-GB"/>
        </w:rPr>
        <w:t xml:space="preserve"> Bradford University School of Management, the University of Bradford,</w:t>
      </w:r>
      <w:r w:rsidRPr="00343355">
        <w:t xml:space="preserve"> </w:t>
      </w:r>
      <w:proofErr w:type="spellStart"/>
      <w:proofErr w:type="gramStart"/>
      <w:r>
        <w:rPr>
          <w:rFonts w:eastAsia="Times New Roman"/>
          <w:sz w:val="24"/>
          <w:szCs w:val="24"/>
          <w:lang w:eastAsia="en-GB"/>
        </w:rPr>
        <w:t>Emm</w:t>
      </w:r>
      <w:proofErr w:type="spellEnd"/>
      <w:proofErr w:type="gramEnd"/>
      <w:r>
        <w:rPr>
          <w:rFonts w:eastAsia="Times New Roman"/>
          <w:sz w:val="24"/>
          <w:szCs w:val="24"/>
          <w:lang w:eastAsia="en-GB"/>
        </w:rPr>
        <w:t xml:space="preserve"> Lane, Bradford, BD9 4JL.</w:t>
      </w:r>
      <w:r w:rsidRPr="002669DC">
        <w:rPr>
          <w:rFonts w:eastAsia="Times New Roman"/>
          <w:sz w:val="24"/>
          <w:szCs w:val="24"/>
          <w:lang w:eastAsia="en-GB"/>
        </w:rPr>
        <w:t xml:space="preserve"> Email: </w:t>
      </w:r>
      <w:hyperlink r:id="rId12" w:history="1">
        <w:r w:rsidRPr="00571C14">
          <w:rPr>
            <w:rStyle w:val="Hyperlink"/>
            <w:rFonts w:eastAsia="Times New Roman"/>
            <w:lang w:eastAsia="en-GB"/>
          </w:rPr>
          <w:t>T.Elshandidy@bradford.ac.uk</w:t>
        </w:r>
      </w:hyperlink>
    </w:p>
    <w:p w14:paraId="18569A32" w14:textId="77777777" w:rsidR="00610897" w:rsidRPr="002669DC" w:rsidRDefault="00610897" w:rsidP="00610897">
      <w:pPr>
        <w:spacing w:after="0" w:line="240" w:lineRule="auto"/>
        <w:rPr>
          <w:rFonts w:eastAsia="Times New Roman"/>
          <w:b/>
          <w:bCs/>
          <w:sz w:val="24"/>
          <w:szCs w:val="24"/>
          <w:lang w:eastAsia="en-GB"/>
        </w:rPr>
      </w:pPr>
    </w:p>
    <w:p w14:paraId="4D662ECE" w14:textId="77777777" w:rsidR="00610897" w:rsidRPr="002669DC" w:rsidRDefault="00610897" w:rsidP="00610897">
      <w:pPr>
        <w:spacing w:after="0" w:line="240" w:lineRule="auto"/>
        <w:rPr>
          <w:rFonts w:eastAsia="Times New Roman"/>
          <w:b/>
          <w:bCs/>
          <w:sz w:val="24"/>
          <w:szCs w:val="24"/>
          <w:lang w:eastAsia="en-GB"/>
        </w:rPr>
      </w:pPr>
    </w:p>
    <w:p w14:paraId="641E68FB" w14:textId="77777777" w:rsidR="00610897" w:rsidRPr="002669DC" w:rsidRDefault="00610897" w:rsidP="00610897">
      <w:pPr>
        <w:spacing w:after="0" w:line="240" w:lineRule="auto"/>
        <w:jc w:val="center"/>
        <w:rPr>
          <w:rFonts w:eastAsia="Times New Roman"/>
          <w:b/>
          <w:bCs/>
          <w:sz w:val="24"/>
          <w:szCs w:val="24"/>
          <w:lang w:eastAsia="en-GB"/>
        </w:rPr>
      </w:pPr>
    </w:p>
    <w:p w14:paraId="7DAE3E58" w14:textId="77777777" w:rsidR="00610897" w:rsidRDefault="00610897" w:rsidP="0046703C">
      <w:pPr>
        <w:spacing w:line="254" w:lineRule="auto"/>
        <w:rPr>
          <w:rFonts w:eastAsia="Times New Roman"/>
          <w:b/>
          <w:bCs/>
          <w:color w:val="auto"/>
          <w:sz w:val="24"/>
          <w:szCs w:val="24"/>
          <w:lang w:eastAsia="en-GB"/>
        </w:rPr>
      </w:pPr>
    </w:p>
    <w:p w14:paraId="209ABC05" w14:textId="77777777" w:rsidR="00610897" w:rsidRDefault="00610897" w:rsidP="0046703C">
      <w:pPr>
        <w:spacing w:line="254" w:lineRule="auto"/>
        <w:rPr>
          <w:rFonts w:eastAsia="Times New Roman"/>
          <w:b/>
          <w:bCs/>
          <w:color w:val="auto"/>
          <w:sz w:val="24"/>
          <w:szCs w:val="24"/>
          <w:lang w:eastAsia="en-GB"/>
        </w:rPr>
      </w:pPr>
    </w:p>
    <w:p w14:paraId="6B2BBDA4" w14:textId="77777777" w:rsidR="00610897" w:rsidRDefault="00610897" w:rsidP="0046703C">
      <w:pPr>
        <w:spacing w:line="254" w:lineRule="auto"/>
        <w:rPr>
          <w:rFonts w:eastAsia="Times New Roman"/>
          <w:b/>
          <w:bCs/>
          <w:color w:val="auto"/>
          <w:sz w:val="24"/>
          <w:szCs w:val="24"/>
          <w:lang w:eastAsia="en-GB"/>
        </w:rPr>
      </w:pPr>
    </w:p>
    <w:p w14:paraId="081734C4" w14:textId="77777777" w:rsidR="00610897" w:rsidRDefault="00610897" w:rsidP="0046703C">
      <w:pPr>
        <w:spacing w:line="254" w:lineRule="auto"/>
        <w:rPr>
          <w:rFonts w:eastAsia="Times New Roman"/>
          <w:b/>
          <w:bCs/>
          <w:color w:val="auto"/>
          <w:sz w:val="24"/>
          <w:szCs w:val="24"/>
          <w:lang w:eastAsia="en-GB"/>
        </w:rPr>
      </w:pPr>
    </w:p>
    <w:p w14:paraId="7D50042A" w14:textId="77777777" w:rsidR="00610897" w:rsidRDefault="00610897" w:rsidP="0046703C">
      <w:pPr>
        <w:spacing w:line="254" w:lineRule="auto"/>
        <w:rPr>
          <w:rFonts w:eastAsia="Times New Roman"/>
          <w:b/>
          <w:bCs/>
          <w:color w:val="auto"/>
          <w:sz w:val="24"/>
          <w:szCs w:val="24"/>
          <w:lang w:eastAsia="en-GB"/>
        </w:rPr>
      </w:pPr>
    </w:p>
    <w:p w14:paraId="2F0E8EF0" w14:textId="77777777" w:rsidR="0046703C" w:rsidRPr="003813C9" w:rsidRDefault="0046703C" w:rsidP="0046703C">
      <w:pPr>
        <w:spacing w:line="254" w:lineRule="auto"/>
        <w:rPr>
          <w:rFonts w:eastAsia="Calibri"/>
          <w:b/>
          <w:color w:val="auto"/>
          <w:sz w:val="24"/>
          <w:szCs w:val="24"/>
        </w:rPr>
      </w:pPr>
      <w:r w:rsidRPr="003813C9">
        <w:rPr>
          <w:rFonts w:eastAsia="Times New Roman"/>
          <w:b/>
          <w:bCs/>
          <w:color w:val="auto"/>
          <w:sz w:val="24"/>
          <w:szCs w:val="24"/>
          <w:lang w:eastAsia="en-GB"/>
        </w:rPr>
        <w:t>Risk reporting: A review of the literature and implications for future research</w:t>
      </w:r>
    </w:p>
    <w:p w14:paraId="5C8E6454" w14:textId="77777777" w:rsidR="0046703C" w:rsidRPr="003813C9" w:rsidRDefault="0046703C" w:rsidP="0046703C">
      <w:pPr>
        <w:spacing w:line="254" w:lineRule="auto"/>
        <w:rPr>
          <w:rFonts w:eastAsia="Calibri"/>
          <w:b/>
          <w:color w:val="auto"/>
          <w:sz w:val="24"/>
          <w:szCs w:val="24"/>
        </w:rPr>
      </w:pPr>
    </w:p>
    <w:p w14:paraId="5DABCDDE" w14:textId="77777777" w:rsidR="0046703C" w:rsidRPr="003813C9" w:rsidRDefault="0046703C" w:rsidP="0046703C">
      <w:pPr>
        <w:tabs>
          <w:tab w:val="left" w:pos="720"/>
          <w:tab w:val="left" w:pos="1440"/>
          <w:tab w:val="left" w:pos="5895"/>
        </w:tabs>
        <w:spacing w:line="254" w:lineRule="auto"/>
        <w:rPr>
          <w:rFonts w:eastAsia="Calibri"/>
          <w:b/>
          <w:color w:val="auto"/>
          <w:sz w:val="24"/>
          <w:szCs w:val="24"/>
        </w:rPr>
      </w:pPr>
      <w:r w:rsidRPr="003813C9">
        <w:rPr>
          <w:rFonts w:eastAsia="Times New Roman,Calibri"/>
          <w:b/>
          <w:bCs/>
          <w:color w:val="auto"/>
          <w:sz w:val="24"/>
          <w:szCs w:val="24"/>
        </w:rPr>
        <w:t>Abstract:</w:t>
      </w:r>
      <w:r w:rsidRPr="003813C9">
        <w:rPr>
          <w:rFonts w:eastAsia="Calibri"/>
          <w:color w:val="auto"/>
          <w:sz w:val="24"/>
          <w:szCs w:val="24"/>
          <w:lang w:val="fr-FR"/>
        </w:rPr>
        <w:tab/>
      </w:r>
      <w:r w:rsidRPr="003813C9">
        <w:rPr>
          <w:rFonts w:eastAsia="Calibri"/>
          <w:color w:val="auto"/>
          <w:sz w:val="24"/>
          <w:szCs w:val="24"/>
          <w:lang w:val="fr-FR"/>
        </w:rPr>
        <w:tab/>
      </w:r>
    </w:p>
    <w:p w14:paraId="2305B84F" w14:textId="4A4B2028" w:rsidR="0046703C" w:rsidRPr="003813C9" w:rsidRDefault="0046703C" w:rsidP="0046703C">
      <w:pPr>
        <w:tabs>
          <w:tab w:val="left" w:pos="6760"/>
        </w:tabs>
        <w:spacing w:line="254" w:lineRule="auto"/>
        <w:jc w:val="both"/>
        <w:rPr>
          <w:rFonts w:eastAsia="Calibri"/>
          <w:color w:val="auto"/>
          <w:sz w:val="24"/>
          <w:szCs w:val="24"/>
          <w:lang w:val="fr-FR"/>
        </w:rPr>
      </w:pPr>
      <w:r w:rsidRPr="003813C9">
        <w:rPr>
          <w:rFonts w:eastAsia="Times New Roman"/>
          <w:color w:val="auto"/>
          <w:sz w:val="24"/>
          <w:szCs w:val="24"/>
          <w:lang w:eastAsia="en-GB"/>
        </w:rPr>
        <w:t>This paper provides a wide-ranging and up-to-date (1997-2016) review of the archival empir</w:t>
      </w:r>
      <w:r w:rsidR="00975F95" w:rsidRPr="003813C9">
        <w:rPr>
          <w:rFonts w:eastAsia="Times New Roman"/>
          <w:color w:val="auto"/>
          <w:sz w:val="24"/>
          <w:szCs w:val="24"/>
          <w:lang w:eastAsia="en-GB"/>
        </w:rPr>
        <w:t xml:space="preserve">ical risk-reporting literature. </w:t>
      </w:r>
      <w:r w:rsidRPr="003813C9">
        <w:rPr>
          <w:rFonts w:eastAsia="Times New Roman"/>
          <w:color w:val="auto"/>
          <w:sz w:val="24"/>
          <w:szCs w:val="24"/>
          <w:lang w:eastAsia="en-GB"/>
        </w:rPr>
        <w:t xml:space="preserve">The reviewed papers are classified into two principal themes: the incentives for and/or </w:t>
      </w:r>
      <w:proofErr w:type="spellStart"/>
      <w:r w:rsidRPr="003813C9">
        <w:rPr>
          <w:rFonts w:eastAsia="Times New Roman"/>
          <w:color w:val="auto"/>
          <w:sz w:val="24"/>
          <w:szCs w:val="24"/>
          <w:lang w:eastAsia="en-GB"/>
        </w:rPr>
        <w:t>inf</w:t>
      </w:r>
      <w:r w:rsidR="00975F95" w:rsidRPr="003813C9">
        <w:rPr>
          <w:rFonts w:eastAsia="Times New Roman"/>
          <w:color w:val="auto"/>
          <w:sz w:val="24"/>
          <w:szCs w:val="24"/>
          <w:lang w:eastAsia="en-GB"/>
        </w:rPr>
        <w:t>ormativeness</w:t>
      </w:r>
      <w:proofErr w:type="spellEnd"/>
      <w:r w:rsidR="00975F95" w:rsidRPr="003813C9">
        <w:rPr>
          <w:rFonts w:eastAsia="Times New Roman"/>
          <w:color w:val="auto"/>
          <w:sz w:val="24"/>
          <w:szCs w:val="24"/>
          <w:lang w:eastAsia="en-GB"/>
        </w:rPr>
        <w:t xml:space="preserve"> of risk reporting. </w:t>
      </w:r>
      <w:r w:rsidRPr="003813C9">
        <w:rPr>
          <w:rFonts w:eastAsia="Times New Roman"/>
          <w:color w:val="auto"/>
          <w:sz w:val="24"/>
          <w:szCs w:val="24"/>
          <w:lang w:eastAsia="en-GB"/>
        </w:rPr>
        <w:t>Our review demonstrates areas of significant divergence in the literature specifically: mandatory versus voluntary risk reporting, manual versus automated content analysis, within-country versus cross-country variations in risk reporting, and risk reporting in financial versus non-financial firms</w:t>
      </w:r>
      <w:r w:rsidR="00CF29A9" w:rsidRPr="003813C9">
        <w:rPr>
          <w:rFonts w:eastAsia="Times New Roman"/>
          <w:color w:val="auto"/>
          <w:sz w:val="24"/>
          <w:szCs w:val="24"/>
          <w:lang w:eastAsia="en-GB"/>
        </w:rPr>
        <w:t xml:space="preserve">. </w:t>
      </w:r>
      <w:r w:rsidRPr="003813C9">
        <w:rPr>
          <w:rFonts w:eastAsia="Times New Roman"/>
          <w:color w:val="auto"/>
          <w:sz w:val="24"/>
          <w:szCs w:val="24"/>
          <w:lang w:eastAsia="en-GB"/>
        </w:rPr>
        <w:t xml:space="preserve">Our paper identifies a number of issues which require further research. In particular we draw attention to two: first, a lack of clarity and consistency around the conceptualization of risk; and second, the potential costs and benefits of standard-setters’ involvement. </w:t>
      </w:r>
      <w:r w:rsidRPr="003813C9">
        <w:rPr>
          <w:rFonts w:eastAsia="Calibri"/>
          <w:color w:val="auto"/>
          <w:sz w:val="24"/>
          <w:szCs w:val="24"/>
          <w:lang w:val="fr-FR"/>
        </w:rPr>
        <w:tab/>
      </w:r>
    </w:p>
    <w:p w14:paraId="2D7C6F70" w14:textId="77777777" w:rsidR="0046703C" w:rsidRPr="003813C9" w:rsidRDefault="0046703C" w:rsidP="0046703C">
      <w:pPr>
        <w:tabs>
          <w:tab w:val="left" w:pos="2923"/>
        </w:tabs>
        <w:spacing w:after="0" w:line="240" w:lineRule="auto"/>
        <w:jc w:val="both"/>
        <w:rPr>
          <w:rFonts w:eastAsia="Calibri"/>
          <w:i/>
          <w:iCs/>
          <w:color w:val="auto"/>
          <w:sz w:val="24"/>
          <w:szCs w:val="24"/>
          <w:lang w:val="fr-FR"/>
        </w:rPr>
      </w:pPr>
      <w:r w:rsidRPr="003813C9">
        <w:rPr>
          <w:rFonts w:eastAsia="Calibri"/>
          <w:i/>
          <w:iCs/>
          <w:color w:val="auto"/>
          <w:sz w:val="24"/>
          <w:szCs w:val="24"/>
          <w:lang w:val="fr-FR"/>
        </w:rPr>
        <w:tab/>
      </w:r>
    </w:p>
    <w:p w14:paraId="19CBF322" w14:textId="77777777" w:rsidR="0046703C" w:rsidRPr="003813C9" w:rsidRDefault="0046703C" w:rsidP="0046703C">
      <w:pPr>
        <w:tabs>
          <w:tab w:val="left" w:pos="5475"/>
        </w:tabs>
        <w:spacing w:after="0" w:line="240" w:lineRule="auto"/>
        <w:jc w:val="both"/>
        <w:rPr>
          <w:rFonts w:eastAsia="Times New Roman"/>
          <w:color w:val="auto"/>
          <w:sz w:val="24"/>
          <w:szCs w:val="24"/>
          <w:lang w:val="fr-FR" w:eastAsia="en-GB"/>
        </w:rPr>
      </w:pPr>
      <w:r w:rsidRPr="003813C9">
        <w:rPr>
          <w:rFonts w:eastAsia="Times New Roman,Calibri"/>
          <w:b/>
          <w:bCs/>
          <w:i/>
          <w:iCs/>
          <w:color w:val="auto"/>
          <w:sz w:val="24"/>
          <w:szCs w:val="24"/>
          <w:lang w:val="fr-FR"/>
        </w:rPr>
        <w:t>JEL Classifications</w:t>
      </w:r>
      <w:r w:rsidRPr="003813C9">
        <w:rPr>
          <w:rFonts w:eastAsia="Times New Roman,Calibri"/>
          <w:iCs/>
          <w:color w:val="auto"/>
          <w:sz w:val="24"/>
          <w:szCs w:val="24"/>
          <w:lang w:val="fr-FR"/>
        </w:rPr>
        <w:t>:</w:t>
      </w:r>
      <w:r w:rsidRPr="003813C9">
        <w:rPr>
          <w:rFonts w:eastAsia="Times New Roman,Calibri"/>
          <w:i/>
          <w:iCs/>
          <w:color w:val="auto"/>
          <w:sz w:val="24"/>
          <w:szCs w:val="24"/>
          <w:lang w:val="fr-FR"/>
        </w:rPr>
        <w:t xml:space="preserve"> </w:t>
      </w:r>
      <w:r w:rsidRPr="003813C9">
        <w:rPr>
          <w:rFonts w:eastAsia="Times New Roman,Calibri"/>
          <w:color w:val="auto"/>
          <w:sz w:val="24"/>
          <w:szCs w:val="24"/>
          <w:lang w:val="fr-FR"/>
        </w:rPr>
        <w:t>D82 ; G14 ; G18 ; M41 ; M42</w:t>
      </w:r>
      <w:r w:rsidRPr="003813C9">
        <w:rPr>
          <w:rFonts w:eastAsia="Times New Roman,Calibri"/>
          <w:color w:val="auto"/>
          <w:sz w:val="24"/>
          <w:szCs w:val="24"/>
          <w:lang w:val="fr-FR"/>
        </w:rPr>
        <w:tab/>
      </w:r>
    </w:p>
    <w:p w14:paraId="403B11DB" w14:textId="77777777" w:rsidR="0046703C" w:rsidRPr="003813C9" w:rsidRDefault="0046703C" w:rsidP="0046703C">
      <w:pPr>
        <w:spacing w:line="254" w:lineRule="auto"/>
        <w:rPr>
          <w:rFonts w:eastAsia="Calibri"/>
          <w:color w:val="auto"/>
          <w:sz w:val="24"/>
          <w:szCs w:val="24"/>
        </w:rPr>
      </w:pPr>
      <w:r w:rsidRPr="003813C9">
        <w:rPr>
          <w:rFonts w:eastAsia="Times New Roman,Calibri"/>
          <w:b/>
          <w:bCs/>
          <w:i/>
          <w:iCs/>
          <w:color w:val="auto"/>
          <w:sz w:val="24"/>
          <w:szCs w:val="24"/>
        </w:rPr>
        <w:t>Keywords</w:t>
      </w:r>
      <w:r w:rsidRPr="003813C9">
        <w:rPr>
          <w:rFonts w:eastAsia="Times New Roman,Calibri"/>
          <w:color w:val="auto"/>
          <w:sz w:val="24"/>
          <w:szCs w:val="24"/>
        </w:rPr>
        <w:t xml:space="preserve">: Risk-reporting incentives and </w:t>
      </w:r>
      <w:proofErr w:type="spellStart"/>
      <w:r w:rsidRPr="003813C9">
        <w:rPr>
          <w:rFonts w:eastAsia="Times New Roman,Calibri"/>
          <w:color w:val="auto"/>
          <w:sz w:val="24"/>
          <w:szCs w:val="24"/>
        </w:rPr>
        <w:t>informativeness</w:t>
      </w:r>
      <w:proofErr w:type="spellEnd"/>
      <w:r w:rsidRPr="003813C9">
        <w:rPr>
          <w:rFonts w:eastAsia="Times New Roman,Calibri"/>
          <w:color w:val="auto"/>
          <w:sz w:val="24"/>
          <w:szCs w:val="24"/>
        </w:rPr>
        <w:t>; mandatory and voluntary risk reporting; manual and automated content analysis</w:t>
      </w:r>
    </w:p>
    <w:p w14:paraId="3528C25F" w14:textId="77777777" w:rsidR="0046703C" w:rsidRPr="003813C9" w:rsidRDefault="0046703C" w:rsidP="0046703C">
      <w:pPr>
        <w:spacing w:line="254" w:lineRule="auto"/>
        <w:rPr>
          <w:rFonts w:eastAsia="Calibri"/>
          <w:color w:val="auto"/>
          <w:sz w:val="24"/>
          <w:szCs w:val="24"/>
        </w:rPr>
      </w:pPr>
    </w:p>
    <w:p w14:paraId="77B578BF" w14:textId="77777777" w:rsidR="0046703C" w:rsidRPr="003813C9" w:rsidRDefault="0046703C" w:rsidP="0046703C">
      <w:pPr>
        <w:spacing w:line="254" w:lineRule="auto"/>
        <w:rPr>
          <w:rFonts w:eastAsia="Calibri"/>
          <w:color w:val="auto"/>
          <w:sz w:val="24"/>
          <w:szCs w:val="24"/>
        </w:rPr>
      </w:pPr>
    </w:p>
    <w:p w14:paraId="07E6271C" w14:textId="77777777" w:rsidR="0046703C" w:rsidRPr="003813C9" w:rsidRDefault="0046703C" w:rsidP="0046703C">
      <w:pPr>
        <w:spacing w:line="254" w:lineRule="auto"/>
        <w:rPr>
          <w:rFonts w:eastAsia="Calibri"/>
          <w:color w:val="auto"/>
          <w:sz w:val="24"/>
          <w:szCs w:val="24"/>
        </w:rPr>
      </w:pPr>
    </w:p>
    <w:p w14:paraId="23770A0E" w14:textId="77777777" w:rsidR="0046703C" w:rsidRPr="003813C9" w:rsidRDefault="0046703C" w:rsidP="0046703C">
      <w:pPr>
        <w:spacing w:line="254" w:lineRule="auto"/>
        <w:rPr>
          <w:rFonts w:eastAsia="Calibri"/>
          <w:color w:val="auto"/>
          <w:sz w:val="24"/>
          <w:szCs w:val="24"/>
        </w:rPr>
      </w:pPr>
    </w:p>
    <w:p w14:paraId="28C98D5C" w14:textId="77777777" w:rsidR="0046703C" w:rsidRPr="003813C9" w:rsidRDefault="0046703C" w:rsidP="0046703C">
      <w:pPr>
        <w:spacing w:line="254" w:lineRule="auto"/>
        <w:rPr>
          <w:rFonts w:eastAsia="Calibri"/>
          <w:color w:val="auto"/>
          <w:sz w:val="24"/>
          <w:szCs w:val="24"/>
        </w:rPr>
      </w:pPr>
    </w:p>
    <w:p w14:paraId="5740C6D5" w14:textId="77777777" w:rsidR="0046703C" w:rsidRPr="003813C9" w:rsidRDefault="0046703C" w:rsidP="0046703C">
      <w:pPr>
        <w:spacing w:line="254" w:lineRule="auto"/>
        <w:rPr>
          <w:rFonts w:eastAsia="Calibri"/>
          <w:color w:val="auto"/>
          <w:sz w:val="24"/>
          <w:szCs w:val="24"/>
        </w:rPr>
      </w:pPr>
    </w:p>
    <w:p w14:paraId="6B18ACFF" w14:textId="77777777" w:rsidR="0046703C" w:rsidRPr="003813C9" w:rsidRDefault="0046703C" w:rsidP="0046703C">
      <w:pPr>
        <w:spacing w:line="254" w:lineRule="auto"/>
        <w:rPr>
          <w:rFonts w:eastAsia="Calibri"/>
          <w:color w:val="auto"/>
          <w:sz w:val="24"/>
          <w:szCs w:val="24"/>
        </w:rPr>
      </w:pPr>
    </w:p>
    <w:p w14:paraId="2CB1A7C0" w14:textId="77777777" w:rsidR="0046703C" w:rsidRPr="003813C9" w:rsidRDefault="0046703C" w:rsidP="0046703C">
      <w:pPr>
        <w:spacing w:line="254" w:lineRule="auto"/>
        <w:rPr>
          <w:rFonts w:eastAsia="Calibri"/>
          <w:color w:val="auto"/>
          <w:sz w:val="24"/>
          <w:szCs w:val="24"/>
        </w:rPr>
      </w:pPr>
    </w:p>
    <w:p w14:paraId="367D46FE" w14:textId="77777777" w:rsidR="0046703C" w:rsidRPr="003813C9" w:rsidRDefault="0046703C" w:rsidP="0046703C">
      <w:pPr>
        <w:spacing w:line="254" w:lineRule="auto"/>
        <w:rPr>
          <w:rFonts w:eastAsia="Calibri"/>
          <w:color w:val="auto"/>
          <w:sz w:val="24"/>
          <w:szCs w:val="24"/>
        </w:rPr>
      </w:pPr>
    </w:p>
    <w:p w14:paraId="7F195ABB" w14:textId="77777777" w:rsidR="0046703C" w:rsidRPr="003813C9" w:rsidRDefault="0046703C" w:rsidP="0046703C">
      <w:pPr>
        <w:spacing w:line="254" w:lineRule="auto"/>
        <w:rPr>
          <w:rFonts w:eastAsia="Calibri"/>
          <w:color w:val="auto"/>
          <w:sz w:val="24"/>
          <w:szCs w:val="24"/>
        </w:rPr>
      </w:pPr>
    </w:p>
    <w:p w14:paraId="0ABABDAF" w14:textId="77777777" w:rsidR="0046703C" w:rsidRPr="003813C9" w:rsidRDefault="0046703C" w:rsidP="0046703C">
      <w:pPr>
        <w:spacing w:line="254" w:lineRule="auto"/>
        <w:rPr>
          <w:rFonts w:eastAsia="Calibri"/>
          <w:color w:val="auto"/>
          <w:sz w:val="24"/>
          <w:szCs w:val="24"/>
        </w:rPr>
      </w:pPr>
    </w:p>
    <w:p w14:paraId="390B9EE4" w14:textId="77777777" w:rsidR="0046703C" w:rsidRPr="003813C9" w:rsidRDefault="0046703C" w:rsidP="0046703C">
      <w:pPr>
        <w:spacing w:line="254" w:lineRule="auto"/>
        <w:rPr>
          <w:rFonts w:eastAsia="Calibri"/>
          <w:color w:val="auto"/>
          <w:sz w:val="24"/>
          <w:szCs w:val="24"/>
        </w:rPr>
      </w:pPr>
    </w:p>
    <w:p w14:paraId="0DDB7323" w14:textId="77777777" w:rsidR="0046703C" w:rsidRPr="003813C9" w:rsidRDefault="0046703C" w:rsidP="0046703C">
      <w:pPr>
        <w:spacing w:line="254" w:lineRule="auto"/>
        <w:rPr>
          <w:rFonts w:eastAsia="Times New Roman"/>
          <w:b/>
          <w:bCs/>
          <w:color w:val="auto"/>
          <w:sz w:val="24"/>
          <w:szCs w:val="24"/>
          <w:lang w:val="fr-FR" w:eastAsia="en-GB"/>
        </w:rPr>
      </w:pPr>
    </w:p>
    <w:p w14:paraId="36DCC52E" w14:textId="77777777" w:rsidR="0046703C" w:rsidRPr="003813C9" w:rsidRDefault="0046703C" w:rsidP="0046703C">
      <w:pPr>
        <w:spacing w:line="254" w:lineRule="auto"/>
        <w:rPr>
          <w:rFonts w:eastAsia="Times New Roman"/>
          <w:b/>
          <w:bCs/>
          <w:color w:val="auto"/>
          <w:sz w:val="24"/>
          <w:szCs w:val="24"/>
          <w:lang w:val="fr-FR" w:eastAsia="en-GB"/>
        </w:rPr>
      </w:pPr>
    </w:p>
    <w:p w14:paraId="4E8549C8" w14:textId="77777777" w:rsidR="0046703C" w:rsidRPr="003813C9" w:rsidRDefault="0046703C" w:rsidP="0046703C">
      <w:pPr>
        <w:spacing w:line="254" w:lineRule="auto"/>
        <w:rPr>
          <w:rFonts w:eastAsia="Times New Roman"/>
          <w:b/>
          <w:bCs/>
          <w:color w:val="auto"/>
          <w:sz w:val="24"/>
          <w:szCs w:val="24"/>
          <w:lang w:val="fr-FR" w:eastAsia="en-GB"/>
        </w:rPr>
      </w:pPr>
    </w:p>
    <w:p w14:paraId="6A6C4FDA" w14:textId="77777777" w:rsidR="0046703C" w:rsidRPr="003813C9" w:rsidRDefault="0046703C" w:rsidP="0046703C">
      <w:pPr>
        <w:spacing w:line="254" w:lineRule="auto"/>
        <w:rPr>
          <w:rFonts w:eastAsia="Times New Roman"/>
          <w:b/>
          <w:bCs/>
          <w:color w:val="auto"/>
          <w:sz w:val="24"/>
          <w:szCs w:val="24"/>
          <w:lang w:val="fr-FR" w:eastAsia="en-GB"/>
        </w:rPr>
      </w:pPr>
    </w:p>
    <w:p w14:paraId="58404200" w14:textId="77777777" w:rsidR="0046703C" w:rsidRPr="003813C9" w:rsidRDefault="0046703C" w:rsidP="0046703C">
      <w:pPr>
        <w:spacing w:line="254" w:lineRule="auto"/>
        <w:rPr>
          <w:rFonts w:eastAsia="Times New Roman"/>
          <w:b/>
          <w:bCs/>
          <w:color w:val="auto"/>
          <w:sz w:val="24"/>
          <w:szCs w:val="24"/>
          <w:lang w:val="fr-FR" w:eastAsia="en-GB"/>
        </w:rPr>
      </w:pPr>
    </w:p>
    <w:p w14:paraId="3430D1BE" w14:textId="77777777" w:rsidR="0046703C" w:rsidRPr="003813C9" w:rsidRDefault="0046703C" w:rsidP="0046703C">
      <w:pPr>
        <w:spacing w:line="254" w:lineRule="auto"/>
        <w:rPr>
          <w:rFonts w:eastAsia="Times New Roman"/>
          <w:b/>
          <w:bCs/>
          <w:color w:val="auto"/>
          <w:sz w:val="24"/>
          <w:szCs w:val="24"/>
          <w:lang w:val="fr-FR" w:eastAsia="en-GB"/>
        </w:rPr>
      </w:pPr>
    </w:p>
    <w:p w14:paraId="4FEB3466" w14:textId="77777777" w:rsidR="0046703C" w:rsidRPr="003813C9" w:rsidRDefault="0046703C" w:rsidP="0046703C">
      <w:pPr>
        <w:spacing w:line="254" w:lineRule="auto"/>
        <w:rPr>
          <w:rFonts w:eastAsia="Times New Roman"/>
          <w:b/>
          <w:bCs/>
          <w:color w:val="auto"/>
          <w:sz w:val="24"/>
          <w:szCs w:val="24"/>
          <w:lang w:val="fr-FR" w:eastAsia="en-GB"/>
        </w:rPr>
      </w:pPr>
    </w:p>
    <w:p w14:paraId="0D4606BF" w14:textId="77777777" w:rsidR="0046703C" w:rsidRPr="003813C9" w:rsidRDefault="0046703C" w:rsidP="0046703C">
      <w:pPr>
        <w:spacing w:line="254" w:lineRule="auto"/>
        <w:rPr>
          <w:rFonts w:eastAsia="Times New Roman"/>
          <w:color w:val="auto"/>
          <w:sz w:val="24"/>
          <w:szCs w:val="24"/>
          <w:lang w:eastAsia="en-GB"/>
        </w:rPr>
      </w:pPr>
      <w:r w:rsidRPr="003813C9">
        <w:rPr>
          <w:rFonts w:eastAsia="Times New Roman"/>
          <w:b/>
          <w:bCs/>
          <w:color w:val="auto"/>
          <w:sz w:val="24"/>
          <w:szCs w:val="24"/>
          <w:lang w:eastAsia="en-GB"/>
        </w:rPr>
        <w:t>1.</w:t>
      </w:r>
      <w:r w:rsidRPr="003813C9">
        <w:rPr>
          <w:rFonts w:eastAsia="Times New Roman"/>
          <w:b/>
          <w:bCs/>
          <w:color w:val="auto"/>
          <w:sz w:val="24"/>
          <w:szCs w:val="24"/>
        </w:rPr>
        <w:t xml:space="preserve"> Introduction </w:t>
      </w:r>
    </w:p>
    <w:p w14:paraId="527D911F" w14:textId="5E778BA7" w:rsidR="0046703C" w:rsidRPr="003813C9" w:rsidRDefault="0046703C" w:rsidP="0046703C">
      <w:pPr>
        <w:spacing w:after="0" w:line="480" w:lineRule="auto"/>
        <w:jc w:val="both"/>
        <w:rPr>
          <w:rFonts w:eastAsia="Times New Roman"/>
          <w:bCs/>
          <w:color w:val="auto"/>
          <w:sz w:val="24"/>
          <w:szCs w:val="24"/>
          <w:lang w:eastAsia="en-GB"/>
        </w:rPr>
      </w:pPr>
      <w:r w:rsidRPr="003813C9">
        <w:rPr>
          <w:rFonts w:eastAsia="Times New Roman"/>
          <w:color w:val="auto"/>
          <w:sz w:val="24"/>
          <w:szCs w:val="24"/>
          <w:lang w:eastAsia="en-GB"/>
        </w:rPr>
        <w:t xml:space="preserve">A substantial body of risk-reporting regulations (e.g., ICAEW, 1997, 2011; SEC, 1997, 2010) has emerged demanding greater quantity and quality in firms’ risk reporting. A series of accounting scandals and the recent financial crisis have emphasized the importance of this topic. Hence, there has been a great deal of scrutiny of firms’ risk-reporting practices (e.g., </w:t>
      </w:r>
      <w:proofErr w:type="spellStart"/>
      <w:r w:rsidRPr="003813C9">
        <w:rPr>
          <w:rFonts w:eastAsia="Times New Roman"/>
          <w:color w:val="auto"/>
          <w:sz w:val="24"/>
          <w:szCs w:val="24"/>
          <w:lang w:eastAsia="en-GB"/>
        </w:rPr>
        <w:t>P</w:t>
      </w:r>
      <w:r w:rsidRPr="003813C9">
        <w:rPr>
          <w:rFonts w:eastAsia="Times New Roman,Calibri"/>
          <w:color w:val="auto"/>
          <w:sz w:val="24"/>
          <w:szCs w:val="24"/>
        </w:rPr>
        <w:t>é</w:t>
      </w:r>
      <w:r w:rsidRPr="003813C9">
        <w:rPr>
          <w:rFonts w:eastAsia="Times New Roman"/>
          <w:color w:val="auto"/>
          <w:sz w:val="24"/>
          <w:szCs w:val="24"/>
          <w:lang w:eastAsia="en-GB"/>
        </w:rPr>
        <w:t>rignon</w:t>
      </w:r>
      <w:proofErr w:type="spellEnd"/>
      <w:r w:rsidRPr="003813C9">
        <w:rPr>
          <w:rFonts w:eastAsia="Times New Roman"/>
          <w:color w:val="auto"/>
          <w:sz w:val="24"/>
          <w:szCs w:val="24"/>
          <w:lang w:eastAsia="en-GB"/>
        </w:rPr>
        <w:t xml:space="preserve"> &amp; Smith, 2010;</w:t>
      </w:r>
      <w:r w:rsidRPr="003813C9">
        <w:rPr>
          <w:rFonts w:eastAsia="Calibri"/>
          <w:color w:val="auto"/>
        </w:rPr>
        <w:t xml:space="preserve"> </w:t>
      </w:r>
      <w:r w:rsidRPr="003813C9">
        <w:rPr>
          <w:rFonts w:eastAsia="Times New Roman"/>
          <w:color w:val="auto"/>
          <w:sz w:val="24"/>
          <w:szCs w:val="24"/>
          <w:lang w:eastAsia="en-GB"/>
        </w:rPr>
        <w:t>Singleton</w:t>
      </w:r>
      <w:r w:rsidRPr="003813C9">
        <w:rPr>
          <w:rFonts w:ascii="Cambria Math" w:eastAsia="Cambria Math,Times New Roman" w:hAnsi="Cambria Math" w:cs="Cambria Math"/>
          <w:color w:val="auto"/>
          <w:sz w:val="24"/>
          <w:szCs w:val="24"/>
          <w:lang w:eastAsia="en-GB"/>
        </w:rPr>
        <w:t>‐</w:t>
      </w:r>
      <w:r w:rsidR="00C50A30" w:rsidRPr="003813C9">
        <w:rPr>
          <w:rFonts w:eastAsia="Times New Roman"/>
          <w:color w:val="auto"/>
          <w:sz w:val="24"/>
          <w:szCs w:val="24"/>
          <w:lang w:eastAsia="en-GB"/>
        </w:rPr>
        <w:t xml:space="preserve">Green, 2012). </w:t>
      </w:r>
      <w:r w:rsidRPr="003813C9">
        <w:rPr>
          <w:rFonts w:eastAsia="Times New Roman"/>
          <w:color w:val="auto"/>
          <w:sz w:val="24"/>
          <w:szCs w:val="24"/>
          <w:lang w:eastAsia="en-GB"/>
        </w:rPr>
        <w:t>Various groups of stakeholders have urged regulators to act to ensure that users of financial statements are protected from material levels of information asymmetry (</w:t>
      </w:r>
      <w:proofErr w:type="spellStart"/>
      <w:r w:rsidRPr="003813C9">
        <w:rPr>
          <w:rFonts w:eastAsia="Times New Roman"/>
          <w:color w:val="auto"/>
          <w:sz w:val="24"/>
          <w:szCs w:val="24"/>
          <w:lang w:eastAsia="en-GB"/>
        </w:rPr>
        <w:t>Bamber</w:t>
      </w:r>
      <w:proofErr w:type="spellEnd"/>
      <w:r w:rsidRPr="003813C9">
        <w:rPr>
          <w:rFonts w:eastAsia="Times New Roman"/>
          <w:color w:val="auto"/>
          <w:sz w:val="24"/>
          <w:szCs w:val="24"/>
          <w:lang w:eastAsia="en-GB"/>
        </w:rPr>
        <w:t xml:space="preserve"> &amp; </w:t>
      </w:r>
      <w:proofErr w:type="spellStart"/>
      <w:r w:rsidRPr="003813C9">
        <w:rPr>
          <w:rFonts w:eastAsia="Times New Roman"/>
          <w:color w:val="auto"/>
          <w:sz w:val="24"/>
          <w:szCs w:val="24"/>
          <w:lang w:eastAsia="en-GB"/>
        </w:rPr>
        <w:t>McMeeking</w:t>
      </w:r>
      <w:proofErr w:type="spellEnd"/>
      <w:r w:rsidRPr="003813C9">
        <w:rPr>
          <w:rFonts w:eastAsia="Times New Roman"/>
          <w:color w:val="auto"/>
          <w:sz w:val="24"/>
          <w:szCs w:val="24"/>
          <w:lang w:eastAsia="en-GB"/>
        </w:rPr>
        <w:t xml:space="preserve">, 2015). The complexities and </w:t>
      </w:r>
      <w:proofErr w:type="spellStart"/>
      <w:r w:rsidRPr="003813C9">
        <w:rPr>
          <w:rFonts w:eastAsia="Times New Roman"/>
          <w:color w:val="auto"/>
          <w:sz w:val="24"/>
          <w:szCs w:val="24"/>
          <w:lang w:eastAsia="en-GB"/>
        </w:rPr>
        <w:t>controversiality</w:t>
      </w:r>
      <w:proofErr w:type="spellEnd"/>
      <w:r w:rsidRPr="003813C9">
        <w:rPr>
          <w:rFonts w:eastAsia="Times New Roman"/>
          <w:color w:val="auto"/>
          <w:sz w:val="24"/>
          <w:szCs w:val="24"/>
          <w:lang w:eastAsia="en-GB"/>
        </w:rPr>
        <w:t xml:space="preserve"> of regulating risk-reporting practices, as well as the regulations themselves, have played a major role in the emergence of a large and growing risk-reporting literature.</w:t>
      </w:r>
    </w:p>
    <w:p w14:paraId="363533E5" w14:textId="77777777" w:rsidR="0046703C" w:rsidRPr="003813C9" w:rsidRDefault="0046703C" w:rsidP="0046703C">
      <w:pPr>
        <w:spacing w:after="0" w:line="480" w:lineRule="auto"/>
        <w:ind w:firstLine="567"/>
        <w:jc w:val="both"/>
        <w:rPr>
          <w:rFonts w:eastAsia="Times New Roman"/>
          <w:color w:val="auto"/>
          <w:sz w:val="24"/>
          <w:szCs w:val="24"/>
          <w:lang w:eastAsia="en-GB"/>
        </w:rPr>
      </w:pPr>
      <w:r w:rsidRPr="003813C9">
        <w:rPr>
          <w:rFonts w:eastAsia="Times New Roman"/>
          <w:color w:val="auto"/>
          <w:sz w:val="24"/>
          <w:szCs w:val="24"/>
          <w:lang w:eastAsia="en-GB"/>
        </w:rPr>
        <w:t xml:space="preserve">This study collates and critically discusses the recent risk-reporting research, highlights trends and patterns, and suggests opportunities for future research. The following aspects of this article are noteworthy: it focuses on archival empirical studies of external risk reporting; it is a wide-ranging review of recent literature (1997-2016); and it complements and extends previous reviews (i.e., Ryan, 1997, 2012a). </w:t>
      </w:r>
    </w:p>
    <w:p w14:paraId="3214A5AB" w14:textId="77F63623" w:rsidR="0046703C" w:rsidRPr="003813C9" w:rsidRDefault="0046703C" w:rsidP="0046703C">
      <w:pPr>
        <w:spacing w:after="0" w:line="480" w:lineRule="auto"/>
        <w:ind w:firstLine="567"/>
        <w:jc w:val="both"/>
        <w:rPr>
          <w:rFonts w:eastAsia="Times New Roman"/>
          <w:color w:val="auto"/>
          <w:sz w:val="24"/>
          <w:szCs w:val="24"/>
          <w:lang w:eastAsia="en-GB"/>
        </w:rPr>
      </w:pPr>
      <w:r w:rsidRPr="003813C9">
        <w:rPr>
          <w:rFonts w:eastAsia="Times New Roman"/>
          <w:color w:val="auto"/>
          <w:sz w:val="24"/>
          <w:szCs w:val="24"/>
          <w:lang w:eastAsia="en-GB"/>
        </w:rPr>
        <w:t xml:space="preserve">Our review considers literature that deals with external risk reporting as part of a firm’s disclosure strategy, which we organize around two themes: (i) the underlying drivers and determinants (the main incentives) that motivate firms to provide risk information; and (ii) whether externally reported risk information is informative, by observing its impact on market indicators (e.g., the stock price, </w:t>
      </w:r>
      <w:r w:rsidR="000740E6" w:rsidRPr="003813C9">
        <w:rPr>
          <w:rFonts w:eastAsia="Times New Roman"/>
          <w:color w:val="auto"/>
          <w:sz w:val="24"/>
          <w:szCs w:val="24"/>
          <w:lang w:eastAsia="en-GB"/>
        </w:rPr>
        <w:t>investor-perceived risk</w:t>
      </w:r>
      <w:r w:rsidRPr="003813C9">
        <w:rPr>
          <w:rFonts w:eastAsia="Times New Roman"/>
          <w:color w:val="auto"/>
          <w:sz w:val="24"/>
          <w:szCs w:val="24"/>
          <w:lang w:eastAsia="en-GB"/>
        </w:rPr>
        <w:t>, market liquidity). This focus allows us to build on the recent trend in the literature for examining the narrative sections of firms’ annual reports (for a review</w:t>
      </w:r>
      <w:r w:rsidR="00FC6D6B" w:rsidRPr="003813C9">
        <w:rPr>
          <w:rFonts w:eastAsia="Times New Roman"/>
          <w:color w:val="auto"/>
          <w:sz w:val="24"/>
          <w:szCs w:val="24"/>
          <w:lang w:eastAsia="en-GB"/>
        </w:rPr>
        <w:t xml:space="preserve"> see,</w:t>
      </w:r>
      <w:r w:rsidRPr="003813C9">
        <w:rPr>
          <w:rFonts w:eastAsia="Times New Roman"/>
          <w:color w:val="auto"/>
          <w:sz w:val="24"/>
          <w:szCs w:val="24"/>
          <w:lang w:eastAsia="en-GB"/>
        </w:rPr>
        <w:t xml:space="preserve"> Beattie, 2014). The study of </w:t>
      </w:r>
      <w:r w:rsidR="00F801AC" w:rsidRPr="003813C9">
        <w:rPr>
          <w:rFonts w:eastAsia="Times New Roman"/>
          <w:color w:val="auto"/>
          <w:sz w:val="24"/>
          <w:szCs w:val="24"/>
          <w:lang w:eastAsia="en-GB"/>
        </w:rPr>
        <w:t xml:space="preserve">risk reporting </w:t>
      </w:r>
      <w:r w:rsidRPr="003813C9">
        <w:rPr>
          <w:rFonts w:eastAsia="Times New Roman"/>
          <w:color w:val="auto"/>
          <w:sz w:val="24"/>
          <w:szCs w:val="24"/>
          <w:lang w:eastAsia="en-GB"/>
        </w:rPr>
        <w:t xml:space="preserve">has been facilitated by the availability of machine-readable data and the </w:t>
      </w:r>
      <w:proofErr w:type="gramStart"/>
      <w:r w:rsidRPr="003813C9">
        <w:rPr>
          <w:rFonts w:eastAsia="Times New Roman"/>
          <w:color w:val="auto"/>
          <w:sz w:val="24"/>
          <w:szCs w:val="24"/>
          <w:lang w:eastAsia="en-GB"/>
        </w:rPr>
        <w:t>increas</w:t>
      </w:r>
      <w:r w:rsidR="00F801AC" w:rsidRPr="003813C9">
        <w:rPr>
          <w:rFonts w:eastAsia="Times New Roman"/>
          <w:color w:val="auto"/>
          <w:sz w:val="24"/>
          <w:szCs w:val="24"/>
          <w:lang w:eastAsia="en-GB"/>
        </w:rPr>
        <w:t>ed(</w:t>
      </w:r>
      <w:proofErr w:type="gramEnd"/>
      <w:r w:rsidR="00F801AC" w:rsidRPr="003813C9">
        <w:rPr>
          <w:rFonts w:eastAsia="Times New Roman"/>
          <w:color w:val="auto"/>
          <w:sz w:val="24"/>
          <w:szCs w:val="24"/>
          <w:lang w:eastAsia="en-GB"/>
        </w:rPr>
        <w:t>-</w:t>
      </w:r>
      <w:proofErr w:type="spellStart"/>
      <w:r w:rsidRPr="003813C9">
        <w:rPr>
          <w:rFonts w:eastAsia="Times New Roman"/>
          <w:color w:val="auto"/>
          <w:sz w:val="24"/>
          <w:szCs w:val="24"/>
          <w:lang w:eastAsia="en-GB"/>
        </w:rPr>
        <w:t>ing</w:t>
      </w:r>
      <w:proofErr w:type="spellEnd"/>
      <w:r w:rsidR="00F801AC" w:rsidRPr="003813C9">
        <w:rPr>
          <w:rFonts w:eastAsia="Times New Roman"/>
          <w:color w:val="auto"/>
          <w:sz w:val="24"/>
          <w:szCs w:val="24"/>
          <w:lang w:eastAsia="en-GB"/>
        </w:rPr>
        <w:t>)</w:t>
      </w:r>
      <w:r w:rsidRPr="003813C9">
        <w:rPr>
          <w:rFonts w:eastAsia="Times New Roman"/>
          <w:color w:val="auto"/>
          <w:sz w:val="24"/>
          <w:szCs w:val="24"/>
          <w:lang w:eastAsia="en-GB"/>
        </w:rPr>
        <w:t xml:space="preserve"> sophistication of automated content analysis software, methodologie</w:t>
      </w:r>
      <w:r w:rsidR="00FC6D6B" w:rsidRPr="003813C9">
        <w:rPr>
          <w:rFonts w:eastAsia="Times New Roman"/>
          <w:color w:val="auto"/>
          <w:sz w:val="24"/>
          <w:szCs w:val="24"/>
          <w:lang w:eastAsia="en-GB"/>
        </w:rPr>
        <w:t>s, and techniques (for a review see,</w:t>
      </w:r>
      <w:r w:rsidRPr="003813C9">
        <w:rPr>
          <w:rFonts w:eastAsia="Times New Roman"/>
          <w:color w:val="auto"/>
          <w:sz w:val="24"/>
          <w:szCs w:val="24"/>
          <w:lang w:eastAsia="en-GB"/>
        </w:rPr>
        <w:t xml:space="preserve"> Li, 2010; </w:t>
      </w:r>
      <w:proofErr w:type="spellStart"/>
      <w:r w:rsidRPr="003813C9">
        <w:rPr>
          <w:rFonts w:eastAsia="Times New Roman"/>
          <w:color w:val="auto"/>
          <w:sz w:val="24"/>
          <w:szCs w:val="24"/>
          <w:lang w:eastAsia="en-GB"/>
        </w:rPr>
        <w:t>Loughran</w:t>
      </w:r>
      <w:proofErr w:type="spellEnd"/>
      <w:r w:rsidRPr="003813C9">
        <w:rPr>
          <w:rFonts w:eastAsia="Times New Roman"/>
          <w:color w:val="auto"/>
          <w:sz w:val="24"/>
          <w:szCs w:val="24"/>
          <w:lang w:eastAsia="en-GB"/>
        </w:rPr>
        <w:t xml:space="preserve"> &amp; </w:t>
      </w:r>
      <w:r w:rsidRPr="003813C9">
        <w:rPr>
          <w:rFonts w:eastAsia="Times New Roman"/>
          <w:color w:val="auto"/>
          <w:sz w:val="24"/>
          <w:szCs w:val="24"/>
          <w:lang w:eastAsia="en-GB"/>
        </w:rPr>
        <w:lastRenderedPageBreak/>
        <w:t xml:space="preserve">McDonald, 2016). Thus, our paper also supplements these recent reviews of narrative disclosures and content analysis with a practical focus on risk reporting. </w:t>
      </w:r>
    </w:p>
    <w:p w14:paraId="5D2463EA" w14:textId="77777777" w:rsidR="0046703C" w:rsidRPr="003813C9" w:rsidRDefault="0046703C" w:rsidP="0046703C">
      <w:pPr>
        <w:spacing w:after="0" w:line="480" w:lineRule="auto"/>
        <w:ind w:firstLine="567"/>
        <w:jc w:val="both"/>
        <w:rPr>
          <w:rFonts w:eastAsia="Times New Roman"/>
          <w:bCs/>
          <w:color w:val="auto"/>
          <w:sz w:val="24"/>
          <w:szCs w:val="24"/>
          <w:lang w:eastAsia="en-GB"/>
        </w:rPr>
      </w:pPr>
      <w:r w:rsidRPr="003813C9">
        <w:rPr>
          <w:rFonts w:eastAsia="Times New Roman"/>
          <w:color w:val="auto"/>
          <w:sz w:val="24"/>
          <w:szCs w:val="24"/>
          <w:lang w:eastAsia="en-GB"/>
        </w:rPr>
        <w:t>Our article provides a wide-ranging review of the recent literature. We cover papers published between 1997, the year of the last published similarly wide-ranging survey of Ryan (1997), and 2016 that have appeared in an internationally recognized peer-reviewed journal. We define such journals according to the UK’s Association of Business Schools (ABS) journal quality ranking guide (i.e., those termed 3 star and 4 star journals), the Australian Business Deans’ Council, ABDC, (i.e., those termed A or A star journals), or the Financial Times 50 journals (FT50), which are compiled based on the Business School research rank in America and Canada. We review 3</w:t>
      </w:r>
      <w:r w:rsidR="00C236C7" w:rsidRPr="003813C9">
        <w:rPr>
          <w:rFonts w:eastAsia="Times New Roman"/>
          <w:color w:val="auto"/>
          <w:sz w:val="24"/>
          <w:szCs w:val="24"/>
          <w:lang w:eastAsia="en-GB"/>
        </w:rPr>
        <w:t>2</w:t>
      </w:r>
      <w:r w:rsidRPr="003813C9">
        <w:rPr>
          <w:rFonts w:eastAsia="Times New Roman"/>
          <w:color w:val="auto"/>
          <w:sz w:val="24"/>
          <w:szCs w:val="24"/>
          <w:lang w:eastAsia="en-GB"/>
        </w:rPr>
        <w:t xml:space="preserve"> papers. Table 1 provides details of these, categorizing each according to their primary theme (i.e., incentives, </w:t>
      </w:r>
      <w:proofErr w:type="spellStart"/>
      <w:r w:rsidRPr="003813C9">
        <w:rPr>
          <w:rFonts w:eastAsia="Times New Roman"/>
          <w:color w:val="auto"/>
          <w:sz w:val="24"/>
          <w:szCs w:val="24"/>
          <w:lang w:eastAsia="en-GB"/>
        </w:rPr>
        <w:t>informativeness</w:t>
      </w:r>
      <w:proofErr w:type="spellEnd"/>
      <w:r w:rsidRPr="003813C9">
        <w:rPr>
          <w:rFonts w:eastAsia="Times New Roman"/>
          <w:color w:val="auto"/>
          <w:sz w:val="24"/>
          <w:szCs w:val="24"/>
          <w:lang w:eastAsia="en-GB"/>
        </w:rPr>
        <w:t xml:space="preserve">, or both). </w:t>
      </w:r>
    </w:p>
    <w:p w14:paraId="5819FD32" w14:textId="77777777" w:rsidR="0046703C" w:rsidRPr="003813C9" w:rsidRDefault="0046703C" w:rsidP="0046703C">
      <w:pPr>
        <w:tabs>
          <w:tab w:val="center" w:pos="4796"/>
          <w:tab w:val="left" w:pos="6945"/>
        </w:tabs>
        <w:spacing w:after="0" w:line="480" w:lineRule="auto"/>
        <w:ind w:firstLine="567"/>
        <w:rPr>
          <w:rFonts w:eastAsia="Times New Roman"/>
          <w:bCs/>
          <w:color w:val="auto"/>
          <w:lang w:eastAsia="en-GB"/>
        </w:rPr>
      </w:pPr>
      <w:r w:rsidRPr="003813C9">
        <w:rPr>
          <w:rFonts w:eastAsia="Times New Roman"/>
          <w:b/>
          <w:bCs/>
          <w:color w:val="auto"/>
          <w:lang w:eastAsia="en-GB"/>
        </w:rPr>
        <w:tab/>
        <w:t>[Insert Table 1 about here]</w:t>
      </w:r>
      <w:r w:rsidRPr="003813C9">
        <w:rPr>
          <w:rFonts w:eastAsia="Times New Roman"/>
          <w:b/>
          <w:bCs/>
          <w:color w:val="auto"/>
          <w:lang w:eastAsia="en-GB"/>
        </w:rPr>
        <w:tab/>
      </w:r>
    </w:p>
    <w:p w14:paraId="7813444C" w14:textId="77777777" w:rsidR="0046703C" w:rsidRPr="003813C9" w:rsidRDefault="0046703C" w:rsidP="0046703C">
      <w:pPr>
        <w:spacing w:after="0" w:line="480" w:lineRule="auto"/>
        <w:ind w:firstLine="567"/>
        <w:jc w:val="both"/>
        <w:rPr>
          <w:rFonts w:eastAsia="Times New Roman"/>
          <w:color w:val="auto"/>
          <w:sz w:val="24"/>
          <w:szCs w:val="24"/>
          <w:lang w:eastAsia="en-GB"/>
        </w:rPr>
      </w:pPr>
      <w:r w:rsidRPr="003813C9">
        <w:rPr>
          <w:rFonts w:eastAsia="Times New Roman"/>
          <w:color w:val="auto"/>
          <w:sz w:val="24"/>
          <w:szCs w:val="24"/>
          <w:lang w:eastAsia="en-GB"/>
        </w:rPr>
        <w:t xml:space="preserve">Our article complements Ryan (1997) and extends Ryan (2012a). Our </w:t>
      </w:r>
      <w:r w:rsidR="00F801AC" w:rsidRPr="003813C9">
        <w:rPr>
          <w:rFonts w:eastAsia="Times New Roman"/>
          <w:color w:val="auto"/>
          <w:sz w:val="24"/>
          <w:szCs w:val="24"/>
          <w:lang w:eastAsia="en-GB"/>
        </w:rPr>
        <w:t xml:space="preserve">survey </w:t>
      </w:r>
      <w:r w:rsidRPr="003813C9">
        <w:rPr>
          <w:rFonts w:eastAsia="Times New Roman"/>
          <w:color w:val="auto"/>
          <w:sz w:val="24"/>
          <w:szCs w:val="24"/>
          <w:lang w:eastAsia="en-GB"/>
        </w:rPr>
        <w:t xml:space="preserve">reviews </w:t>
      </w:r>
      <w:r w:rsidR="00F801AC" w:rsidRPr="003813C9">
        <w:rPr>
          <w:rFonts w:eastAsia="Times New Roman"/>
          <w:color w:val="auto"/>
          <w:sz w:val="24"/>
          <w:szCs w:val="24"/>
          <w:lang w:eastAsia="en-GB"/>
        </w:rPr>
        <w:t xml:space="preserve">work on </w:t>
      </w:r>
      <w:r w:rsidRPr="003813C9">
        <w:rPr>
          <w:rFonts w:eastAsia="Times New Roman"/>
          <w:color w:val="auto"/>
          <w:sz w:val="24"/>
          <w:szCs w:val="24"/>
          <w:lang w:eastAsia="en-GB"/>
        </w:rPr>
        <w:t xml:space="preserve">risk disclosure that </w:t>
      </w:r>
      <w:r w:rsidR="00F801AC" w:rsidRPr="003813C9">
        <w:rPr>
          <w:rFonts w:eastAsia="Times New Roman"/>
          <w:color w:val="auto"/>
          <w:sz w:val="24"/>
          <w:szCs w:val="24"/>
          <w:lang w:eastAsia="en-GB"/>
        </w:rPr>
        <w:t xml:space="preserve">has </w:t>
      </w:r>
      <w:r w:rsidRPr="003813C9">
        <w:rPr>
          <w:rFonts w:eastAsia="Times New Roman"/>
          <w:color w:val="auto"/>
          <w:sz w:val="24"/>
          <w:szCs w:val="24"/>
          <w:lang w:eastAsia="en-GB"/>
        </w:rPr>
        <w:t xml:space="preserve">been published after Ryan (1997) and synthesizes </w:t>
      </w:r>
      <w:r w:rsidR="00F801AC" w:rsidRPr="003813C9">
        <w:rPr>
          <w:rFonts w:eastAsia="Times New Roman"/>
          <w:color w:val="auto"/>
          <w:sz w:val="24"/>
          <w:szCs w:val="24"/>
          <w:lang w:eastAsia="en-GB"/>
        </w:rPr>
        <w:t xml:space="preserve">its </w:t>
      </w:r>
      <w:r w:rsidRPr="003813C9">
        <w:rPr>
          <w:rFonts w:eastAsia="Times New Roman"/>
          <w:color w:val="auto"/>
          <w:sz w:val="24"/>
          <w:szCs w:val="24"/>
          <w:lang w:eastAsia="en-GB"/>
        </w:rPr>
        <w:t xml:space="preserve">principal themes into incentives for risk disclosure and/or </w:t>
      </w:r>
      <w:proofErr w:type="spellStart"/>
      <w:r w:rsidR="009F5801" w:rsidRPr="003813C9">
        <w:rPr>
          <w:rFonts w:eastAsia="Times New Roman"/>
          <w:color w:val="auto"/>
          <w:sz w:val="24"/>
          <w:szCs w:val="24"/>
          <w:lang w:eastAsia="en-GB"/>
        </w:rPr>
        <w:t>informativeness</w:t>
      </w:r>
      <w:proofErr w:type="spellEnd"/>
      <w:r w:rsidRPr="003813C9">
        <w:rPr>
          <w:rFonts w:eastAsia="Times New Roman"/>
          <w:color w:val="auto"/>
          <w:sz w:val="24"/>
          <w:szCs w:val="24"/>
          <w:lang w:eastAsia="en-GB"/>
        </w:rPr>
        <w:t xml:space="preserve"> of risk information.</w:t>
      </w:r>
      <w:r w:rsidR="00C6603F" w:rsidRPr="003813C9">
        <w:rPr>
          <w:rFonts w:eastAsia="Times New Roman"/>
          <w:color w:val="auto"/>
          <w:sz w:val="24"/>
          <w:szCs w:val="24"/>
          <w:lang w:eastAsia="en-GB"/>
        </w:rPr>
        <w:t xml:space="preserve"> </w:t>
      </w:r>
      <w:r w:rsidRPr="003813C9">
        <w:rPr>
          <w:rFonts w:eastAsia="Times New Roman"/>
          <w:color w:val="auto"/>
          <w:sz w:val="24"/>
          <w:szCs w:val="24"/>
          <w:lang w:eastAsia="en-GB"/>
        </w:rPr>
        <w:t>Ryan (1997) concludes that disclosure</w:t>
      </w:r>
      <w:r w:rsidRPr="003813C9">
        <w:rPr>
          <w:rFonts w:eastAsia="Calibri"/>
          <w:color w:val="auto"/>
        </w:rPr>
        <w:t xml:space="preserve"> </w:t>
      </w:r>
      <w:r w:rsidRPr="003813C9">
        <w:rPr>
          <w:rFonts w:eastAsia="Times New Roman"/>
          <w:color w:val="auto"/>
          <w:sz w:val="24"/>
          <w:szCs w:val="24"/>
          <w:lang w:eastAsia="en-GB"/>
        </w:rPr>
        <w:t xml:space="preserve">guidelines should concentrate on providing useful decision-making information to help investors identify sources of risk. This information should enable investors to determine both the </w:t>
      </w:r>
      <w:r w:rsidRPr="003813C9">
        <w:rPr>
          <w:rFonts w:eastAsia="Times New Roman"/>
          <w:i/>
          <w:color w:val="auto"/>
          <w:sz w:val="24"/>
          <w:szCs w:val="24"/>
          <w:lang w:eastAsia="en-GB"/>
        </w:rPr>
        <w:t>ex</w:t>
      </w:r>
      <w:r w:rsidR="009F5801" w:rsidRPr="003813C9">
        <w:rPr>
          <w:rFonts w:eastAsia="Times New Roman"/>
          <w:i/>
          <w:color w:val="auto"/>
          <w:sz w:val="24"/>
          <w:szCs w:val="24"/>
          <w:lang w:eastAsia="en-GB"/>
        </w:rPr>
        <w:t>-</w:t>
      </w:r>
      <w:r w:rsidRPr="003813C9">
        <w:rPr>
          <w:rFonts w:eastAsia="Times New Roman"/>
          <w:i/>
          <w:color w:val="auto"/>
          <w:sz w:val="24"/>
          <w:szCs w:val="24"/>
          <w:lang w:eastAsia="en-GB"/>
        </w:rPr>
        <w:t>ante</w:t>
      </w:r>
      <w:r w:rsidRPr="003813C9">
        <w:rPr>
          <w:rFonts w:eastAsia="Times New Roman"/>
          <w:color w:val="auto"/>
          <w:sz w:val="24"/>
          <w:szCs w:val="24"/>
          <w:lang w:eastAsia="en-GB"/>
        </w:rPr>
        <w:t xml:space="preserve"> exposure to risk and the </w:t>
      </w:r>
      <w:r w:rsidRPr="003813C9">
        <w:rPr>
          <w:rFonts w:eastAsia="Times New Roman"/>
          <w:i/>
          <w:color w:val="auto"/>
          <w:sz w:val="24"/>
          <w:szCs w:val="24"/>
          <w:lang w:eastAsia="en-GB"/>
        </w:rPr>
        <w:t>ex post</w:t>
      </w:r>
      <w:r w:rsidRPr="003813C9">
        <w:rPr>
          <w:rFonts w:eastAsia="Times New Roman"/>
          <w:color w:val="auto"/>
          <w:sz w:val="24"/>
          <w:szCs w:val="24"/>
          <w:lang w:eastAsia="en-GB"/>
        </w:rPr>
        <w:t xml:space="preserve"> realization of risk. Ryan (2012a) focuses mostly on the potential opportunities offered by risk information and concludes that firms do not appear to estimate – and auditors, analysts, and others do not appear to evaluate – fair values with as much effort if these values are </w:t>
      </w:r>
      <w:r w:rsidRPr="003813C9">
        <w:rPr>
          <w:rFonts w:eastAsia="Times New Roman"/>
          <w:i/>
          <w:iCs/>
          <w:color w:val="auto"/>
          <w:sz w:val="24"/>
          <w:szCs w:val="24"/>
          <w:lang w:eastAsia="en-GB"/>
        </w:rPr>
        <w:t>disclosed</w:t>
      </w:r>
      <w:r w:rsidRPr="003813C9">
        <w:rPr>
          <w:rFonts w:eastAsia="Times New Roman"/>
          <w:color w:val="auto"/>
          <w:sz w:val="24"/>
          <w:szCs w:val="24"/>
          <w:lang w:eastAsia="en-GB"/>
        </w:rPr>
        <w:t xml:space="preserve"> rather than </w:t>
      </w:r>
      <w:r w:rsidRPr="003813C9">
        <w:rPr>
          <w:rFonts w:eastAsia="Times New Roman"/>
          <w:i/>
          <w:iCs/>
          <w:color w:val="auto"/>
          <w:sz w:val="24"/>
          <w:szCs w:val="24"/>
          <w:lang w:eastAsia="en-GB"/>
        </w:rPr>
        <w:t>recognized</w:t>
      </w:r>
      <w:r w:rsidRPr="003813C9">
        <w:rPr>
          <w:rFonts w:eastAsia="Times New Roman"/>
          <w:color w:val="auto"/>
          <w:sz w:val="24"/>
          <w:szCs w:val="24"/>
          <w:lang w:eastAsia="en-GB"/>
        </w:rPr>
        <w:t xml:space="preserve">. </w:t>
      </w:r>
    </w:p>
    <w:p w14:paraId="16300F59" w14:textId="77777777" w:rsidR="0046703C" w:rsidRPr="003813C9" w:rsidRDefault="0046703C" w:rsidP="0046703C">
      <w:pPr>
        <w:spacing w:after="0" w:line="480" w:lineRule="auto"/>
        <w:ind w:firstLine="567"/>
        <w:jc w:val="both"/>
        <w:rPr>
          <w:rFonts w:eastAsia="Times New Roman"/>
          <w:color w:val="auto"/>
          <w:sz w:val="24"/>
          <w:szCs w:val="24"/>
          <w:lang w:eastAsia="en-GB"/>
        </w:rPr>
      </w:pPr>
      <w:r w:rsidRPr="003813C9">
        <w:rPr>
          <w:rFonts w:eastAsia="Times New Roman"/>
          <w:color w:val="auto"/>
          <w:sz w:val="24"/>
          <w:szCs w:val="24"/>
          <w:lang w:eastAsia="en-GB"/>
        </w:rPr>
        <w:t xml:space="preserve">Our review differs significantly from Ryan’s (2012a) highly-selective and primarily policy-oriented risk-reporting survey. For example, our paper discusses the distinctions between, and implications of, research on (i) mandatory versus voluntary disclosures, emphasizing differences between the incentives for, and </w:t>
      </w:r>
      <w:proofErr w:type="spellStart"/>
      <w:r w:rsidRPr="003813C9">
        <w:rPr>
          <w:rFonts w:eastAsia="Times New Roman"/>
          <w:color w:val="auto"/>
          <w:sz w:val="24"/>
          <w:szCs w:val="24"/>
          <w:lang w:eastAsia="en-GB"/>
        </w:rPr>
        <w:t>informativeness</w:t>
      </w:r>
      <w:proofErr w:type="spellEnd"/>
      <w:r w:rsidRPr="003813C9">
        <w:rPr>
          <w:rFonts w:eastAsia="Times New Roman"/>
          <w:color w:val="auto"/>
          <w:sz w:val="24"/>
          <w:szCs w:val="24"/>
          <w:lang w:eastAsia="en-GB"/>
        </w:rPr>
        <w:t xml:space="preserve"> of, risk reporting; (ii) quantitative versus qualitative disclosures; and (iii) risk reporting in the US versus international settings. </w:t>
      </w:r>
    </w:p>
    <w:p w14:paraId="4CC986FF" w14:textId="1A5107DF" w:rsidR="0046703C" w:rsidRPr="003813C9" w:rsidRDefault="0046703C" w:rsidP="0046703C">
      <w:pPr>
        <w:spacing w:after="0" w:line="480" w:lineRule="auto"/>
        <w:ind w:firstLine="567"/>
        <w:jc w:val="both"/>
        <w:rPr>
          <w:rFonts w:eastAsia="Times New Roman"/>
          <w:bCs/>
          <w:color w:val="auto"/>
          <w:sz w:val="24"/>
          <w:szCs w:val="24"/>
          <w:lang w:eastAsia="en-GB"/>
        </w:rPr>
      </w:pPr>
      <w:r w:rsidRPr="003813C9">
        <w:rPr>
          <w:rFonts w:eastAsia="Times New Roman"/>
          <w:color w:val="auto"/>
          <w:sz w:val="24"/>
          <w:szCs w:val="24"/>
          <w:lang w:eastAsia="en-GB"/>
        </w:rPr>
        <w:lastRenderedPageBreak/>
        <w:t>Our paper makes three important contributions to knowledge. First, we provide an up-to-date review of the re</w:t>
      </w:r>
      <w:r w:rsidR="00601770" w:rsidRPr="003813C9">
        <w:rPr>
          <w:rFonts w:eastAsia="Times New Roman"/>
          <w:color w:val="auto"/>
          <w:sz w:val="24"/>
          <w:szCs w:val="24"/>
          <w:lang w:eastAsia="en-GB"/>
        </w:rPr>
        <w:t>cent risk-reporting literature.</w:t>
      </w:r>
      <w:r w:rsidR="00301E3E" w:rsidRPr="003813C9">
        <w:rPr>
          <w:rFonts w:eastAsia="Times New Roman"/>
          <w:color w:val="auto"/>
          <w:sz w:val="24"/>
          <w:szCs w:val="24"/>
          <w:lang w:eastAsia="en-GB"/>
        </w:rPr>
        <w:t xml:space="preserve"> </w:t>
      </w:r>
      <w:r w:rsidRPr="003813C9">
        <w:rPr>
          <w:rFonts w:eastAsia="Times New Roman"/>
          <w:color w:val="auto"/>
          <w:sz w:val="24"/>
          <w:szCs w:val="24"/>
          <w:lang w:eastAsia="en-GB"/>
        </w:rPr>
        <w:t xml:space="preserve">We identify existing gaps and provide suggestions as to how future research might fill them. Second, this paper exposes the significant areas of divergence in the literature in relation to key risk-reporting themes. Highlighting and discussing these areas provides the opportunity to offer suggestions for future research, collaboration, and reconciliation, particularly across countries. Finally, given that the international standard-setters are reassessing their stance on disclosure requirements while at the same time developing a risk-reporting </w:t>
      </w:r>
      <w:proofErr w:type="gramStart"/>
      <w:r w:rsidRPr="003813C9">
        <w:rPr>
          <w:rFonts w:eastAsia="Times New Roman"/>
          <w:color w:val="auto"/>
          <w:sz w:val="24"/>
          <w:szCs w:val="24"/>
          <w:lang w:eastAsia="en-GB"/>
        </w:rPr>
        <w:t>framework,</w:t>
      </w:r>
      <w:proofErr w:type="gramEnd"/>
      <w:r w:rsidRPr="003813C9">
        <w:rPr>
          <w:rFonts w:eastAsia="Times New Roman"/>
          <w:color w:val="auto"/>
          <w:sz w:val="24"/>
          <w:szCs w:val="24"/>
          <w:lang w:eastAsia="en-GB"/>
        </w:rPr>
        <w:t xml:space="preserve"> our study provides guidance on the various differences bet</w:t>
      </w:r>
      <w:r w:rsidR="002720DA" w:rsidRPr="003813C9">
        <w:rPr>
          <w:rFonts w:eastAsia="Times New Roman"/>
          <w:color w:val="auto"/>
          <w:sz w:val="24"/>
          <w:szCs w:val="24"/>
          <w:lang w:eastAsia="en-GB"/>
        </w:rPr>
        <w:t xml:space="preserve">ween risk-reporting approaches. </w:t>
      </w:r>
      <w:r w:rsidRPr="003813C9">
        <w:rPr>
          <w:rFonts w:eastAsia="Times New Roman"/>
          <w:color w:val="auto"/>
          <w:sz w:val="24"/>
          <w:szCs w:val="24"/>
          <w:lang w:eastAsia="en-GB"/>
        </w:rPr>
        <w:t>Specifically, our paper identifies important areas of divergence between the US-based and EU/Australasian (AUS)-based research on risk reporting and, in so doing, establishes a wider understanding of the debate on international convergence. These areas include the following: (i) the majority of EU/AUS research focuses on why firms might reveal risk information while the majority of US research is concerned with how the market reacts to risk information that is principally provided under</w:t>
      </w:r>
      <w:r w:rsidRPr="003813C9">
        <w:rPr>
          <w:rFonts w:eastAsia="Calibri"/>
          <w:color w:val="auto"/>
        </w:rPr>
        <w:t xml:space="preserve"> </w:t>
      </w:r>
      <w:r w:rsidRPr="003813C9">
        <w:rPr>
          <w:rFonts w:eastAsia="Calibri"/>
          <w:color w:val="auto"/>
          <w:sz w:val="24"/>
          <w:szCs w:val="24"/>
        </w:rPr>
        <w:t>Securities and Exchange Commission</w:t>
      </w:r>
      <w:r w:rsidRPr="003813C9">
        <w:rPr>
          <w:rFonts w:eastAsia="Calibri"/>
          <w:color w:val="auto"/>
        </w:rPr>
        <w:t xml:space="preserve"> (</w:t>
      </w:r>
      <w:r w:rsidRPr="003813C9">
        <w:rPr>
          <w:rFonts w:eastAsia="Times New Roman"/>
          <w:color w:val="auto"/>
          <w:sz w:val="24"/>
          <w:szCs w:val="24"/>
          <w:lang w:eastAsia="en-GB"/>
        </w:rPr>
        <w:t xml:space="preserve">SEC) requirements; (ii) US-based research predominantly focuses on mandatory disclosure while the EU/AUS work considers voluntary, quasi-voluntary or quasi-mandatory, and mandatory disclosure; and (iii) the methodological approach varies with EU/AUS-based research generally employing manual data collection and analysis, and focusing on shorter time periods (normally one year), while recent US-based research </w:t>
      </w:r>
      <w:r w:rsidR="00F801AC" w:rsidRPr="003813C9">
        <w:rPr>
          <w:rFonts w:eastAsia="Times New Roman"/>
          <w:color w:val="auto"/>
          <w:sz w:val="24"/>
          <w:szCs w:val="24"/>
          <w:lang w:eastAsia="en-GB"/>
        </w:rPr>
        <w:t>shows a preference towards</w:t>
      </w:r>
      <w:r w:rsidRPr="003813C9">
        <w:rPr>
          <w:rFonts w:eastAsia="Times New Roman"/>
          <w:color w:val="auto"/>
          <w:sz w:val="24"/>
          <w:szCs w:val="24"/>
          <w:lang w:eastAsia="en-GB"/>
        </w:rPr>
        <w:t xml:space="preserve"> computerized </w:t>
      </w:r>
      <w:r w:rsidR="00F801AC" w:rsidRPr="003813C9">
        <w:rPr>
          <w:rFonts w:eastAsia="Times New Roman"/>
          <w:color w:val="auto"/>
          <w:sz w:val="24"/>
          <w:szCs w:val="24"/>
          <w:lang w:eastAsia="en-GB"/>
        </w:rPr>
        <w:t xml:space="preserve">content analysis </w:t>
      </w:r>
      <w:r w:rsidRPr="003813C9">
        <w:rPr>
          <w:rFonts w:eastAsia="Times New Roman"/>
          <w:color w:val="auto"/>
          <w:sz w:val="24"/>
          <w:szCs w:val="24"/>
          <w:lang w:eastAsia="en-GB"/>
        </w:rPr>
        <w:t xml:space="preserve">approaches that allow the gathering of extensive datasets over longer time periods. Figure 1 summarizes the criteria for paper selection, identifies the main themes, and provides details of those divergent features. </w:t>
      </w:r>
    </w:p>
    <w:p w14:paraId="6A4CD148" w14:textId="77777777" w:rsidR="0046703C" w:rsidRPr="003813C9" w:rsidRDefault="0046703C" w:rsidP="0046703C">
      <w:pPr>
        <w:tabs>
          <w:tab w:val="left" w:pos="720"/>
          <w:tab w:val="left" w:pos="2955"/>
          <w:tab w:val="left" w:pos="3360"/>
          <w:tab w:val="center" w:pos="4796"/>
        </w:tabs>
        <w:spacing w:after="0" w:line="480" w:lineRule="auto"/>
        <w:ind w:firstLine="567"/>
        <w:rPr>
          <w:rFonts w:eastAsia="Times New Roman"/>
          <w:b/>
          <w:bCs/>
          <w:color w:val="auto"/>
          <w:sz w:val="24"/>
          <w:szCs w:val="24"/>
          <w:lang w:eastAsia="en-GB"/>
        </w:rPr>
      </w:pPr>
      <w:r w:rsidRPr="003813C9">
        <w:rPr>
          <w:rFonts w:eastAsia="Times New Roman"/>
          <w:b/>
          <w:bCs/>
          <w:color w:val="auto"/>
          <w:lang w:eastAsia="en-GB"/>
        </w:rPr>
        <w:tab/>
      </w:r>
      <w:r w:rsidRPr="003813C9">
        <w:rPr>
          <w:rFonts w:eastAsia="Times New Roman"/>
          <w:b/>
          <w:bCs/>
          <w:color w:val="auto"/>
          <w:lang w:eastAsia="en-GB"/>
        </w:rPr>
        <w:tab/>
      </w:r>
      <w:r w:rsidRPr="003813C9">
        <w:rPr>
          <w:rFonts w:eastAsia="Times New Roman"/>
          <w:b/>
          <w:bCs/>
          <w:color w:val="auto"/>
          <w:lang w:eastAsia="en-GB"/>
        </w:rPr>
        <w:tab/>
      </w:r>
      <w:r w:rsidRPr="003813C9">
        <w:rPr>
          <w:rFonts w:eastAsia="Times New Roman"/>
          <w:b/>
          <w:bCs/>
          <w:color w:val="auto"/>
          <w:lang w:eastAsia="en-GB"/>
        </w:rPr>
        <w:tab/>
        <w:t>[Insert Figure 1 about here]</w:t>
      </w:r>
    </w:p>
    <w:p w14:paraId="20059F89" w14:textId="77777777" w:rsidR="0046703C" w:rsidRPr="003813C9" w:rsidRDefault="0046703C" w:rsidP="00D179CE">
      <w:pPr>
        <w:spacing w:after="0" w:line="480" w:lineRule="auto"/>
        <w:ind w:firstLine="567"/>
        <w:jc w:val="both"/>
        <w:rPr>
          <w:rFonts w:eastAsia="Times New Roman"/>
          <w:color w:val="auto"/>
          <w:sz w:val="24"/>
          <w:szCs w:val="24"/>
          <w:lang w:eastAsia="en-GB"/>
        </w:rPr>
      </w:pPr>
      <w:r w:rsidRPr="003813C9">
        <w:rPr>
          <w:rFonts w:eastAsia="Times New Roman"/>
          <w:color w:val="auto"/>
          <w:sz w:val="24"/>
          <w:szCs w:val="24"/>
          <w:lang w:eastAsia="en-GB"/>
        </w:rPr>
        <w:t xml:space="preserve">This paper proceeds as follows: Sections 2, 3 and 4 critique the recent archival empirical research on the incentives for, and </w:t>
      </w:r>
      <w:proofErr w:type="spellStart"/>
      <w:r w:rsidRPr="003813C9">
        <w:rPr>
          <w:rFonts w:eastAsia="Times New Roman"/>
          <w:color w:val="auto"/>
          <w:sz w:val="24"/>
          <w:szCs w:val="24"/>
          <w:lang w:eastAsia="en-GB"/>
        </w:rPr>
        <w:t>informativeness</w:t>
      </w:r>
      <w:proofErr w:type="spellEnd"/>
      <w:r w:rsidRPr="003813C9">
        <w:rPr>
          <w:rFonts w:eastAsia="Times New Roman"/>
          <w:color w:val="auto"/>
          <w:sz w:val="24"/>
          <w:szCs w:val="24"/>
          <w:lang w:eastAsia="en-GB"/>
        </w:rPr>
        <w:t xml:space="preserve"> of, risk reporting. Section 5 identifies the key </w:t>
      </w:r>
      <w:r w:rsidRPr="003813C9">
        <w:rPr>
          <w:rFonts w:eastAsia="Times New Roman"/>
          <w:color w:val="auto"/>
          <w:sz w:val="24"/>
          <w:szCs w:val="24"/>
          <w:lang w:eastAsia="en-GB"/>
        </w:rPr>
        <w:lastRenderedPageBreak/>
        <w:t xml:space="preserve">areas of divergence between these studies, draws conclusions, and proposes a number of avenues for future research.  </w:t>
      </w:r>
    </w:p>
    <w:p w14:paraId="12C5FF39" w14:textId="77777777" w:rsidR="00D179CE" w:rsidRPr="003813C9" w:rsidRDefault="00D179CE" w:rsidP="00D179CE">
      <w:pPr>
        <w:spacing w:after="0" w:line="480" w:lineRule="auto"/>
        <w:ind w:firstLine="567"/>
        <w:jc w:val="both"/>
        <w:rPr>
          <w:rFonts w:eastAsia="Times New Roman"/>
          <w:color w:val="auto"/>
          <w:sz w:val="24"/>
          <w:szCs w:val="24"/>
          <w:lang w:eastAsia="en-GB"/>
        </w:rPr>
      </w:pPr>
    </w:p>
    <w:p w14:paraId="50DCE6E0" w14:textId="77777777" w:rsidR="0046703C" w:rsidRPr="003813C9" w:rsidRDefault="0046703C" w:rsidP="0046703C">
      <w:pPr>
        <w:spacing w:after="0" w:line="480" w:lineRule="auto"/>
        <w:jc w:val="both"/>
        <w:rPr>
          <w:rFonts w:eastAsia="Times New Roman,Calibri"/>
          <w:b/>
          <w:bCs/>
          <w:color w:val="auto"/>
          <w:kern w:val="32"/>
          <w:sz w:val="24"/>
          <w:szCs w:val="24"/>
        </w:rPr>
      </w:pPr>
      <w:r w:rsidRPr="003813C9">
        <w:rPr>
          <w:rFonts w:eastAsia="Times New Roman,Calibri"/>
          <w:b/>
          <w:bCs/>
          <w:color w:val="auto"/>
          <w:kern w:val="32"/>
          <w:sz w:val="24"/>
          <w:szCs w:val="24"/>
        </w:rPr>
        <w:t>2. Empirical research on the incentives for risk reporting</w:t>
      </w:r>
    </w:p>
    <w:p w14:paraId="45920FEB" w14:textId="511D29F4" w:rsidR="0046703C" w:rsidRPr="003813C9" w:rsidRDefault="0046703C" w:rsidP="0046703C">
      <w:pPr>
        <w:spacing w:after="0" w:line="480" w:lineRule="auto"/>
        <w:jc w:val="both"/>
        <w:rPr>
          <w:rFonts w:eastAsia="Times New Roman"/>
          <w:color w:val="auto"/>
          <w:sz w:val="24"/>
          <w:szCs w:val="24"/>
          <w:lang w:eastAsia="en-GB"/>
        </w:rPr>
      </w:pPr>
      <w:r w:rsidRPr="003813C9">
        <w:rPr>
          <w:rFonts w:eastAsia="Times New Roman,Times New Roman"/>
          <w:color w:val="auto"/>
          <w:sz w:val="24"/>
          <w:szCs w:val="24"/>
          <w:lang w:eastAsia="en-GB"/>
        </w:rPr>
        <w:t>This section discusses studies that examine</w:t>
      </w:r>
      <w:r w:rsidRPr="003813C9">
        <w:rPr>
          <w:rFonts w:eastAsia="Times New Roman"/>
          <w:color w:val="auto"/>
          <w:sz w:val="24"/>
          <w:szCs w:val="24"/>
          <w:lang w:eastAsia="en-GB"/>
        </w:rPr>
        <w:t xml:space="preserve"> why firms reveal different quantities and qualities of risk information. Three main methodological approaches have been adopted to address the ‘incentives’ question. The most common is that of manual and/or automated content analysis using either number of sentences or words, or both. Among the 16 studies that focus on incentives, five adopt a manual approach, and three utilize an automated approach. Six studies adopt some form of disclosure index and two use questionnaires. Given that the two questionnaire-based studies preceded the others, we begin our discussion there. We then </w:t>
      </w:r>
      <w:proofErr w:type="gramStart"/>
      <w:r w:rsidRPr="003813C9">
        <w:rPr>
          <w:rFonts w:eastAsia="Times New Roman"/>
          <w:color w:val="auto"/>
          <w:sz w:val="24"/>
          <w:szCs w:val="24"/>
          <w:lang w:eastAsia="en-GB"/>
        </w:rPr>
        <w:t>proceed</w:t>
      </w:r>
      <w:proofErr w:type="gramEnd"/>
      <w:r w:rsidRPr="003813C9">
        <w:rPr>
          <w:rFonts w:eastAsia="Times New Roman"/>
          <w:color w:val="auto"/>
          <w:sz w:val="24"/>
          <w:szCs w:val="24"/>
          <w:lang w:eastAsia="en-GB"/>
        </w:rPr>
        <w:t xml:space="preserve"> to the content analysis studies</w:t>
      </w:r>
      <w:r w:rsidR="00A40AD6" w:rsidRPr="003813C9">
        <w:rPr>
          <w:rFonts w:eastAsia="Times New Roman"/>
          <w:color w:val="auto"/>
          <w:sz w:val="24"/>
          <w:szCs w:val="24"/>
          <w:lang w:eastAsia="en-GB"/>
        </w:rPr>
        <w:t xml:space="preserve">, leading to those that </w:t>
      </w:r>
      <w:r w:rsidRPr="003813C9">
        <w:rPr>
          <w:rFonts w:eastAsia="Times New Roman"/>
          <w:color w:val="auto"/>
          <w:sz w:val="24"/>
          <w:szCs w:val="24"/>
          <w:lang w:eastAsia="en-GB"/>
        </w:rPr>
        <w:t>specifically employed disclosure indices.  Additional related details are provided in Table 2 (jurisdiction, sample, findings, theory, and limitations).</w:t>
      </w:r>
    </w:p>
    <w:p w14:paraId="0F797D78" w14:textId="77777777" w:rsidR="0046703C" w:rsidRPr="003813C9" w:rsidRDefault="0046703C" w:rsidP="0046703C">
      <w:pPr>
        <w:spacing w:after="0" w:line="480" w:lineRule="auto"/>
        <w:ind w:firstLine="567"/>
        <w:jc w:val="center"/>
        <w:rPr>
          <w:rFonts w:eastAsia="Calibri"/>
          <w:color w:val="auto"/>
        </w:rPr>
      </w:pPr>
      <w:r w:rsidRPr="003813C9">
        <w:rPr>
          <w:rFonts w:eastAsia="Times New Roman"/>
          <w:b/>
          <w:bCs/>
          <w:color w:val="auto"/>
          <w:lang w:eastAsia="en-GB"/>
        </w:rPr>
        <w:t>[Insert Table 2 about here]</w:t>
      </w:r>
    </w:p>
    <w:p w14:paraId="42CF28EE" w14:textId="77777777" w:rsidR="0046703C" w:rsidRPr="003813C9" w:rsidRDefault="0046703C" w:rsidP="0046703C">
      <w:pPr>
        <w:spacing w:after="0" w:line="480" w:lineRule="auto"/>
        <w:jc w:val="both"/>
        <w:rPr>
          <w:rFonts w:eastAsia="Times New Roman"/>
          <w:i/>
          <w:color w:val="auto"/>
          <w:sz w:val="24"/>
          <w:szCs w:val="24"/>
          <w:lang w:eastAsia="en-GB"/>
        </w:rPr>
      </w:pPr>
      <w:r w:rsidRPr="003813C9">
        <w:rPr>
          <w:rFonts w:eastAsia="Times New Roman"/>
          <w:i/>
          <w:color w:val="auto"/>
          <w:sz w:val="24"/>
          <w:szCs w:val="24"/>
          <w:lang w:eastAsia="en-GB"/>
        </w:rPr>
        <w:t>2.1 Questionnaires</w:t>
      </w:r>
    </w:p>
    <w:p w14:paraId="2061FF1D" w14:textId="4CA29879" w:rsidR="0046703C" w:rsidRPr="003813C9" w:rsidRDefault="0046703C" w:rsidP="000D38DE">
      <w:pPr>
        <w:spacing w:after="0" w:line="480" w:lineRule="auto"/>
        <w:jc w:val="both"/>
        <w:rPr>
          <w:rFonts w:eastAsia="Times New Roman"/>
          <w:color w:val="auto"/>
          <w:sz w:val="24"/>
          <w:szCs w:val="24"/>
        </w:rPr>
      </w:pPr>
      <w:r w:rsidRPr="003813C9">
        <w:rPr>
          <w:rFonts w:eastAsia="Times New Roman"/>
          <w:color w:val="auto"/>
          <w:sz w:val="24"/>
          <w:szCs w:val="24"/>
        </w:rPr>
        <w:t xml:space="preserve">We identified two studies utilizing a questionnaire approach. </w:t>
      </w:r>
      <w:r w:rsidRPr="003813C9">
        <w:rPr>
          <w:rFonts w:eastAsia="Times New Roman"/>
          <w:color w:val="auto"/>
          <w:sz w:val="24"/>
          <w:szCs w:val="24"/>
          <w:lang w:eastAsia="en-GB"/>
        </w:rPr>
        <w:t>Solomon (1999) survey</w:t>
      </w:r>
      <w:r w:rsidR="00F801AC" w:rsidRPr="003813C9">
        <w:rPr>
          <w:rFonts w:eastAsia="Times New Roman"/>
          <w:color w:val="auto"/>
          <w:sz w:val="24"/>
          <w:szCs w:val="24"/>
          <w:lang w:eastAsia="en-GB"/>
        </w:rPr>
        <w:t>s</w:t>
      </w:r>
      <w:r w:rsidRPr="003813C9">
        <w:rPr>
          <w:rFonts w:eastAsia="Times New Roman"/>
          <w:color w:val="auto"/>
          <w:sz w:val="24"/>
          <w:szCs w:val="24"/>
          <w:lang w:eastAsia="en-GB"/>
        </w:rPr>
        <w:t xml:space="preserve"> 40 UK-based institutional investors to investigate the extent to which UK investment institutions are likely to adopt a single</w:t>
      </w:r>
      <w:r w:rsidR="00A40AD6" w:rsidRPr="003813C9">
        <w:rPr>
          <w:rFonts w:eastAsia="Times New Roman"/>
          <w:color w:val="auto"/>
          <w:sz w:val="24"/>
          <w:szCs w:val="24"/>
          <w:lang w:eastAsia="en-GB"/>
        </w:rPr>
        <w:t xml:space="preserve"> </w:t>
      </w:r>
      <w:r w:rsidRPr="003813C9">
        <w:rPr>
          <w:rFonts w:eastAsia="Times New Roman"/>
          <w:color w:val="auto"/>
          <w:sz w:val="24"/>
          <w:szCs w:val="24"/>
          <w:lang w:eastAsia="en-GB"/>
        </w:rPr>
        <w:t xml:space="preserve">(managing the foreign exchange risk of their own portfolios) or a dual (also encouraging their investee firms to engage in a hedging relationship) </w:t>
      </w:r>
      <w:r w:rsidR="00C37018" w:rsidRPr="003813C9">
        <w:rPr>
          <w:rFonts w:eastAsia="Times New Roman"/>
          <w:color w:val="auto"/>
          <w:sz w:val="24"/>
          <w:szCs w:val="24"/>
          <w:lang w:eastAsia="en-GB"/>
        </w:rPr>
        <w:t xml:space="preserve">strategy </w:t>
      </w:r>
      <w:r w:rsidRPr="003813C9">
        <w:rPr>
          <w:rFonts w:eastAsia="Times New Roman"/>
          <w:color w:val="auto"/>
          <w:sz w:val="24"/>
          <w:szCs w:val="24"/>
          <w:lang w:eastAsia="en-GB"/>
        </w:rPr>
        <w:t xml:space="preserve">to reduce expected losses related to foreign exchange risk. She finds an increased awareness of the importance of managing foreign exchange risk. Institutional investors are likely to pay attention not only to their own portfolios but also to those of their investee firms. She also finds that UK institutional investors demanded more information </w:t>
      </w:r>
      <w:r w:rsidR="00A40AD6" w:rsidRPr="003813C9">
        <w:rPr>
          <w:rFonts w:eastAsia="Times New Roman"/>
          <w:color w:val="auto"/>
          <w:sz w:val="24"/>
          <w:szCs w:val="24"/>
          <w:lang w:eastAsia="en-GB"/>
        </w:rPr>
        <w:t xml:space="preserve">on </w:t>
      </w:r>
      <w:r w:rsidRPr="003813C9">
        <w:rPr>
          <w:rFonts w:eastAsia="Times New Roman"/>
          <w:color w:val="auto"/>
          <w:sz w:val="24"/>
          <w:szCs w:val="24"/>
          <w:lang w:eastAsia="en-GB"/>
        </w:rPr>
        <w:t xml:space="preserve">how firms manage their risks than currently was being disclosed. </w:t>
      </w:r>
    </w:p>
    <w:p w14:paraId="6A84CE67" w14:textId="4E5582EE" w:rsidR="0046703C" w:rsidRPr="003813C9" w:rsidRDefault="0046703C" w:rsidP="0046703C">
      <w:pPr>
        <w:spacing w:after="0" w:line="480" w:lineRule="auto"/>
        <w:ind w:firstLine="567"/>
        <w:jc w:val="both"/>
        <w:rPr>
          <w:rFonts w:eastAsia="Times New Roman"/>
          <w:color w:val="auto"/>
          <w:sz w:val="24"/>
          <w:szCs w:val="24"/>
          <w:lang w:eastAsia="en-GB"/>
        </w:rPr>
      </w:pPr>
      <w:r w:rsidRPr="003813C9">
        <w:rPr>
          <w:rFonts w:eastAsia="Times New Roman"/>
          <w:color w:val="auto"/>
          <w:sz w:val="24"/>
          <w:szCs w:val="24"/>
          <w:lang w:eastAsia="en-GB"/>
        </w:rPr>
        <w:lastRenderedPageBreak/>
        <w:t xml:space="preserve">Based on 97 questionnaires, Solomon et al. (2000) find UK institutional investors generally do not </w:t>
      </w:r>
      <w:proofErr w:type="spellStart"/>
      <w:r w:rsidRPr="003813C9">
        <w:rPr>
          <w:rFonts w:eastAsia="Times New Roman"/>
          <w:color w:val="auto"/>
          <w:sz w:val="24"/>
          <w:szCs w:val="24"/>
          <w:lang w:eastAsia="en-GB"/>
        </w:rPr>
        <w:t>favor</w:t>
      </w:r>
      <w:proofErr w:type="spellEnd"/>
      <w:r w:rsidRPr="003813C9">
        <w:rPr>
          <w:rFonts w:eastAsia="Times New Roman"/>
          <w:color w:val="auto"/>
          <w:sz w:val="24"/>
          <w:szCs w:val="24"/>
          <w:lang w:eastAsia="en-GB"/>
        </w:rPr>
        <w:t xml:space="preserve"> a regulated corporate risk disclosure environment or a general statement of business risk. Respondents indicated that ri</w:t>
      </w:r>
      <w:r w:rsidR="00A40AD6" w:rsidRPr="003813C9">
        <w:rPr>
          <w:rFonts w:eastAsia="Times New Roman"/>
          <w:color w:val="auto"/>
          <w:sz w:val="24"/>
          <w:szCs w:val="24"/>
          <w:lang w:eastAsia="en-GB"/>
        </w:rPr>
        <w:t xml:space="preserve">sk disclosures were informative in relation to </w:t>
      </w:r>
      <w:r w:rsidRPr="003813C9">
        <w:rPr>
          <w:rFonts w:eastAsia="Times New Roman"/>
          <w:color w:val="auto"/>
          <w:sz w:val="24"/>
          <w:szCs w:val="24"/>
          <w:lang w:eastAsia="en-GB"/>
        </w:rPr>
        <w:t>their portfolio investment decisions but were neutral in attitude towards other aspects. The variations in attitudes towards risk disclosures among UK institutional investors seem to be driven by the type of fund managed and their investment horizons. Solomon et al. (2000) also</w:t>
      </w:r>
      <w:r w:rsidRPr="003813C9">
        <w:rPr>
          <w:rFonts w:eastAsia="Times New Roman"/>
          <w:i/>
          <w:iCs/>
          <w:color w:val="auto"/>
          <w:sz w:val="24"/>
          <w:szCs w:val="24"/>
          <w:lang w:eastAsia="en-GB"/>
        </w:rPr>
        <w:t xml:space="preserve"> </w:t>
      </w:r>
      <w:r w:rsidRPr="003813C9">
        <w:rPr>
          <w:rFonts w:eastAsia="Times New Roman"/>
          <w:color w:val="auto"/>
          <w:sz w:val="24"/>
          <w:szCs w:val="24"/>
          <w:lang w:eastAsia="en-GB"/>
        </w:rPr>
        <w:t xml:space="preserve">develop a framework portraying how various stages </w:t>
      </w:r>
      <w:r w:rsidR="001D08DA" w:rsidRPr="003813C9">
        <w:rPr>
          <w:rFonts w:eastAsia="Times New Roman"/>
          <w:color w:val="auto"/>
          <w:sz w:val="24"/>
          <w:szCs w:val="24"/>
          <w:lang w:eastAsia="en-GB"/>
        </w:rPr>
        <w:t>(e.g.,</w:t>
      </w:r>
      <w:r w:rsidR="00252D04" w:rsidRPr="003813C9">
        <w:rPr>
          <w:rFonts w:eastAsia="Times New Roman"/>
          <w:color w:val="auto"/>
          <w:sz w:val="24"/>
          <w:szCs w:val="24"/>
          <w:lang w:eastAsia="en-GB"/>
        </w:rPr>
        <w:t xml:space="preserve"> identification, </w:t>
      </w:r>
      <w:r w:rsidR="001D08DA" w:rsidRPr="003813C9">
        <w:rPr>
          <w:rFonts w:eastAsia="Times New Roman"/>
          <w:color w:val="auto"/>
          <w:sz w:val="24"/>
          <w:szCs w:val="24"/>
          <w:lang w:eastAsia="en-GB"/>
        </w:rPr>
        <w:t>estimation</w:t>
      </w:r>
      <w:r w:rsidR="00252D04" w:rsidRPr="003813C9">
        <w:rPr>
          <w:rFonts w:eastAsia="Times New Roman"/>
          <w:color w:val="auto"/>
          <w:sz w:val="24"/>
          <w:szCs w:val="24"/>
          <w:lang w:eastAsia="en-GB"/>
        </w:rPr>
        <w:t xml:space="preserve"> and disclosure of risk</w:t>
      </w:r>
      <w:r w:rsidR="001D08DA" w:rsidRPr="003813C9">
        <w:rPr>
          <w:rFonts w:eastAsia="Times New Roman"/>
          <w:color w:val="auto"/>
          <w:sz w:val="24"/>
          <w:szCs w:val="24"/>
          <w:lang w:eastAsia="en-GB"/>
        </w:rPr>
        <w:t>)</w:t>
      </w:r>
      <w:r w:rsidR="00252D04" w:rsidRPr="003813C9">
        <w:rPr>
          <w:rFonts w:eastAsia="Times New Roman"/>
          <w:color w:val="auto"/>
          <w:sz w:val="24"/>
          <w:szCs w:val="24"/>
          <w:lang w:eastAsia="en-GB"/>
        </w:rPr>
        <w:t xml:space="preserve"> </w:t>
      </w:r>
      <w:r w:rsidRPr="003813C9">
        <w:rPr>
          <w:rFonts w:eastAsia="Times New Roman"/>
          <w:color w:val="auto"/>
          <w:sz w:val="24"/>
          <w:szCs w:val="24"/>
          <w:lang w:eastAsia="en-GB"/>
        </w:rPr>
        <w:t xml:space="preserve">are required to achieve better reporting of firms’ riskiness. Concentrating on the reporting of information about firms’ riskiness, they find UK institutional investors rely on corporate reports as a key source of risk information, preferring the voluntary format. </w:t>
      </w:r>
    </w:p>
    <w:p w14:paraId="03EF4194" w14:textId="418CBEAD" w:rsidR="0046703C" w:rsidRPr="003813C9" w:rsidRDefault="0046703C" w:rsidP="0046703C">
      <w:pPr>
        <w:spacing w:after="0" w:line="480" w:lineRule="auto"/>
        <w:ind w:firstLine="567"/>
        <w:jc w:val="both"/>
        <w:rPr>
          <w:rFonts w:eastAsia="Times New Roman"/>
          <w:b/>
          <w:color w:val="auto"/>
          <w:sz w:val="24"/>
          <w:szCs w:val="24"/>
          <w:lang w:eastAsia="en-GB"/>
        </w:rPr>
      </w:pPr>
      <w:r w:rsidRPr="003813C9">
        <w:rPr>
          <w:rFonts w:eastAsia="Times New Roman"/>
          <w:color w:val="auto"/>
          <w:sz w:val="24"/>
          <w:szCs w:val="24"/>
          <w:lang w:eastAsia="en-GB"/>
        </w:rPr>
        <w:t xml:space="preserve">In this first group, the two studies emphasize some important aspects which are repeated in the next two groups of studies. They claim that risk information in annual reports is useful and </w:t>
      </w:r>
      <w:r w:rsidR="00A40AD6" w:rsidRPr="003813C9">
        <w:rPr>
          <w:rFonts w:eastAsia="Times New Roman"/>
          <w:color w:val="auto"/>
          <w:sz w:val="24"/>
          <w:szCs w:val="24"/>
          <w:lang w:eastAsia="en-GB"/>
        </w:rPr>
        <w:t xml:space="preserve">that </w:t>
      </w:r>
      <w:r w:rsidRPr="003813C9">
        <w:rPr>
          <w:rFonts w:eastAsia="Times New Roman"/>
          <w:color w:val="auto"/>
          <w:sz w:val="24"/>
          <w:szCs w:val="24"/>
          <w:lang w:eastAsia="en-GB"/>
        </w:rPr>
        <w:t>mandatory requirements can encourage additional discretionary risk reporting.</w:t>
      </w:r>
      <w:r w:rsidRPr="003813C9">
        <w:rPr>
          <w:rFonts w:eastAsia="Times New Roman"/>
          <w:color w:val="auto"/>
          <w:sz w:val="24"/>
          <w:szCs w:val="24"/>
        </w:rPr>
        <w:t xml:space="preserve"> </w:t>
      </w:r>
    </w:p>
    <w:p w14:paraId="0CB37D6C" w14:textId="77777777" w:rsidR="0046703C" w:rsidRPr="003813C9" w:rsidRDefault="0046703C" w:rsidP="0046703C">
      <w:pPr>
        <w:spacing w:after="0" w:line="480" w:lineRule="auto"/>
        <w:jc w:val="both"/>
        <w:rPr>
          <w:rFonts w:eastAsia="Times New Roman"/>
          <w:i/>
          <w:color w:val="auto"/>
          <w:sz w:val="24"/>
          <w:szCs w:val="24"/>
          <w:lang w:eastAsia="en-GB"/>
        </w:rPr>
      </w:pPr>
      <w:r w:rsidRPr="003813C9">
        <w:rPr>
          <w:rFonts w:eastAsia="Times New Roman"/>
          <w:i/>
          <w:color w:val="auto"/>
          <w:sz w:val="24"/>
          <w:szCs w:val="24"/>
          <w:lang w:eastAsia="en-GB"/>
        </w:rPr>
        <w:t>2.2 Content analysis</w:t>
      </w:r>
    </w:p>
    <w:p w14:paraId="5CDF439E" w14:textId="0E10DB69" w:rsidR="0046703C" w:rsidRPr="003813C9" w:rsidRDefault="0046703C" w:rsidP="000D38DE">
      <w:pPr>
        <w:spacing w:after="0" w:line="480" w:lineRule="auto"/>
        <w:jc w:val="both"/>
        <w:rPr>
          <w:rFonts w:eastAsia="Times New Roman"/>
          <w:color w:val="auto"/>
          <w:sz w:val="24"/>
          <w:szCs w:val="24"/>
          <w:lang w:eastAsia="en-GB"/>
        </w:rPr>
      </w:pPr>
      <w:r w:rsidRPr="003813C9">
        <w:rPr>
          <w:rFonts w:eastAsia="Times New Roman"/>
          <w:color w:val="auto"/>
          <w:sz w:val="24"/>
          <w:szCs w:val="24"/>
          <w:lang w:eastAsia="en-GB"/>
        </w:rPr>
        <w:t xml:space="preserve">The second group uses manual or automated content analysis. First, we examine those using the manual approach. One of the most influential, arguably, is Beretta and </w:t>
      </w:r>
      <w:proofErr w:type="spellStart"/>
      <w:r w:rsidRPr="003813C9">
        <w:rPr>
          <w:rFonts w:eastAsia="Times New Roman"/>
          <w:color w:val="auto"/>
          <w:sz w:val="24"/>
          <w:szCs w:val="24"/>
          <w:lang w:eastAsia="en-GB"/>
        </w:rPr>
        <w:t>Bozzolan</w:t>
      </w:r>
      <w:proofErr w:type="spellEnd"/>
      <w:r w:rsidRPr="003813C9">
        <w:rPr>
          <w:rFonts w:eastAsia="Times New Roman"/>
          <w:color w:val="auto"/>
          <w:sz w:val="24"/>
          <w:szCs w:val="24"/>
          <w:lang w:eastAsia="en-GB"/>
        </w:rPr>
        <w:t xml:space="preserve"> (2004). </w:t>
      </w:r>
      <w:proofErr w:type="spellStart"/>
      <w:r w:rsidRPr="003813C9">
        <w:rPr>
          <w:rFonts w:eastAsia="Times New Roman"/>
          <w:color w:val="auto"/>
          <w:sz w:val="24"/>
          <w:szCs w:val="24"/>
          <w:lang w:eastAsia="en-GB"/>
        </w:rPr>
        <w:t>Shevlin</w:t>
      </w:r>
      <w:proofErr w:type="spellEnd"/>
      <w:r w:rsidRPr="003813C9">
        <w:rPr>
          <w:rFonts w:eastAsia="Times New Roman"/>
          <w:color w:val="auto"/>
          <w:sz w:val="24"/>
          <w:szCs w:val="24"/>
          <w:lang w:eastAsia="en-GB"/>
        </w:rPr>
        <w:t xml:space="preserve"> (2004) claims their work signifies a step forward in the construction of a measure suitable for voluntary disclosure research. They propose a framework, compr</w:t>
      </w:r>
      <w:r w:rsidR="00191D23" w:rsidRPr="003813C9">
        <w:rPr>
          <w:rFonts w:eastAsia="Times New Roman"/>
          <w:color w:val="auto"/>
          <w:sz w:val="24"/>
          <w:szCs w:val="24"/>
          <w:lang w:eastAsia="en-GB"/>
        </w:rPr>
        <w:t xml:space="preserve">ising four dimensions, to </w:t>
      </w:r>
      <w:proofErr w:type="spellStart"/>
      <w:r w:rsidR="00191D23" w:rsidRPr="003813C9">
        <w:rPr>
          <w:rFonts w:eastAsia="Times New Roman"/>
          <w:color w:val="auto"/>
          <w:sz w:val="24"/>
          <w:szCs w:val="24"/>
          <w:lang w:eastAsia="en-GB"/>
        </w:rPr>
        <w:t>analyz</w:t>
      </w:r>
      <w:r w:rsidRPr="003813C9">
        <w:rPr>
          <w:rFonts w:eastAsia="Times New Roman"/>
          <w:color w:val="auto"/>
          <w:sz w:val="24"/>
          <w:szCs w:val="24"/>
          <w:lang w:eastAsia="en-GB"/>
        </w:rPr>
        <w:t>e</w:t>
      </w:r>
      <w:proofErr w:type="spellEnd"/>
      <w:r w:rsidRPr="003813C9">
        <w:rPr>
          <w:rFonts w:eastAsia="Times New Roman"/>
          <w:color w:val="auto"/>
          <w:sz w:val="24"/>
          <w:szCs w:val="24"/>
          <w:lang w:eastAsia="en-GB"/>
        </w:rPr>
        <w:t xml:space="preserve"> firms’ risk disclosures, namely: </w:t>
      </w:r>
      <w:r w:rsidRPr="003813C9">
        <w:rPr>
          <w:rFonts w:eastAsia="Times New Roman"/>
          <w:i/>
          <w:color w:val="auto"/>
          <w:sz w:val="24"/>
          <w:szCs w:val="24"/>
          <w:lang w:eastAsia="en-GB"/>
        </w:rPr>
        <w:t>quantity, density, depth, and outlook profile</w:t>
      </w:r>
      <w:r w:rsidRPr="003813C9">
        <w:rPr>
          <w:rFonts w:eastAsia="Times New Roman"/>
          <w:color w:val="auto"/>
          <w:sz w:val="24"/>
          <w:szCs w:val="24"/>
          <w:lang w:eastAsia="en-GB"/>
        </w:rPr>
        <w:t>.</w:t>
      </w:r>
      <w:r w:rsidRPr="003813C9">
        <w:rPr>
          <w:rFonts w:eastAsia="Times New Roman"/>
          <w:color w:val="auto"/>
          <w:sz w:val="24"/>
          <w:szCs w:val="24"/>
          <w:vertAlign w:val="superscript"/>
          <w:lang w:eastAsia="en-GB"/>
        </w:rPr>
        <w:footnoteReference w:id="1"/>
      </w:r>
      <w:r w:rsidRPr="003813C9">
        <w:rPr>
          <w:rFonts w:eastAsia="Times New Roman"/>
          <w:color w:val="auto"/>
          <w:sz w:val="24"/>
          <w:szCs w:val="24"/>
          <w:lang w:eastAsia="en-GB"/>
        </w:rPr>
        <w:t xml:space="preserve"> They argue that attention must be paid not only to the volume of disclosure but also to the questions of what is disclosed and </w:t>
      </w:r>
      <w:r w:rsidRPr="003813C9">
        <w:rPr>
          <w:rFonts w:eastAsia="Times New Roman"/>
          <w:iCs/>
          <w:color w:val="auto"/>
          <w:sz w:val="24"/>
          <w:szCs w:val="24"/>
          <w:lang w:eastAsia="en-GB"/>
        </w:rPr>
        <w:t>how</w:t>
      </w:r>
      <w:r w:rsidRPr="003813C9">
        <w:rPr>
          <w:rFonts w:eastAsia="Times New Roman"/>
          <w:i/>
          <w:iCs/>
          <w:color w:val="auto"/>
          <w:sz w:val="24"/>
          <w:szCs w:val="24"/>
          <w:lang w:eastAsia="en-GB"/>
        </w:rPr>
        <w:t xml:space="preserve">. </w:t>
      </w:r>
      <w:r w:rsidRPr="003813C9">
        <w:rPr>
          <w:rFonts w:eastAsia="Times New Roman"/>
          <w:color w:val="auto"/>
          <w:sz w:val="24"/>
          <w:szCs w:val="24"/>
          <w:lang w:eastAsia="en-GB"/>
        </w:rPr>
        <w:t>They find that the quantity of risk disclosure for their sample of</w:t>
      </w:r>
      <w:r w:rsidRPr="003813C9">
        <w:rPr>
          <w:rFonts w:eastAsia="Calibri"/>
          <w:color w:val="auto"/>
        </w:rPr>
        <w:t xml:space="preserve"> </w:t>
      </w:r>
      <w:r w:rsidRPr="003813C9">
        <w:rPr>
          <w:rFonts w:eastAsia="Times New Roman"/>
          <w:color w:val="auto"/>
          <w:sz w:val="24"/>
          <w:szCs w:val="24"/>
          <w:lang w:eastAsia="en-GB"/>
        </w:rPr>
        <w:t xml:space="preserve">Italian firms is mainly driven by firm size as opposed to industry type. Interestingly, however, the results for </w:t>
      </w:r>
      <w:r w:rsidRPr="003813C9">
        <w:rPr>
          <w:rFonts w:eastAsia="Times New Roman"/>
          <w:color w:val="auto"/>
          <w:sz w:val="24"/>
          <w:szCs w:val="24"/>
          <w:lang w:eastAsia="en-GB"/>
        </w:rPr>
        <w:lastRenderedPageBreak/>
        <w:t>the overall quality of risk disclosure suggest that neither size nor industry dominate</w:t>
      </w:r>
      <w:r w:rsidR="00A40AD6" w:rsidRPr="003813C9">
        <w:rPr>
          <w:rFonts w:eastAsia="Times New Roman"/>
          <w:color w:val="auto"/>
          <w:sz w:val="24"/>
          <w:szCs w:val="24"/>
          <w:lang w:eastAsia="en-GB"/>
        </w:rPr>
        <w:t>s</w:t>
      </w:r>
      <w:r w:rsidRPr="003813C9">
        <w:rPr>
          <w:rFonts w:eastAsia="Times New Roman"/>
          <w:color w:val="auto"/>
          <w:sz w:val="24"/>
          <w:szCs w:val="24"/>
          <w:lang w:eastAsia="en-GB"/>
        </w:rPr>
        <w:t xml:space="preserve"> the managerial risk disclosure decision, but rather the influ</w:t>
      </w:r>
      <w:r w:rsidR="00A40AD6" w:rsidRPr="003813C9">
        <w:rPr>
          <w:rFonts w:eastAsia="Times New Roman"/>
          <w:color w:val="auto"/>
          <w:sz w:val="24"/>
          <w:szCs w:val="24"/>
          <w:lang w:eastAsia="en-GB"/>
        </w:rPr>
        <w:t>ence of these two factors varies</w:t>
      </w:r>
      <w:r w:rsidRPr="003813C9">
        <w:rPr>
          <w:rFonts w:eastAsia="Times New Roman"/>
          <w:color w:val="auto"/>
          <w:sz w:val="24"/>
          <w:szCs w:val="24"/>
          <w:lang w:eastAsia="en-GB"/>
        </w:rPr>
        <w:t xml:space="preserve"> across the four dimensions. Beretta and </w:t>
      </w:r>
      <w:proofErr w:type="spellStart"/>
      <w:r w:rsidRPr="003813C9">
        <w:rPr>
          <w:rFonts w:eastAsia="Times New Roman"/>
          <w:color w:val="auto"/>
          <w:sz w:val="24"/>
          <w:szCs w:val="24"/>
          <w:lang w:eastAsia="en-GB"/>
        </w:rPr>
        <w:t>Bozzolan</w:t>
      </w:r>
      <w:proofErr w:type="spellEnd"/>
      <w:r w:rsidRPr="003813C9">
        <w:rPr>
          <w:rFonts w:eastAsia="Times New Roman"/>
          <w:color w:val="auto"/>
          <w:sz w:val="24"/>
          <w:szCs w:val="24"/>
          <w:lang w:eastAsia="en-GB"/>
        </w:rPr>
        <w:t xml:space="preserve"> (2004: 265) conclude with the claim that their proposed synthetic measure of risk reporting “can be used to rank the quality of the disclosure of risks.”</w:t>
      </w:r>
    </w:p>
    <w:p w14:paraId="7C31E4C1" w14:textId="61F1CED3" w:rsidR="0046703C" w:rsidRPr="003813C9" w:rsidRDefault="0046703C" w:rsidP="0046703C">
      <w:pPr>
        <w:spacing w:after="0" w:line="480" w:lineRule="auto"/>
        <w:ind w:firstLine="567"/>
        <w:jc w:val="both"/>
        <w:rPr>
          <w:rFonts w:eastAsia="Times New Roman"/>
          <w:color w:val="auto"/>
          <w:sz w:val="24"/>
          <w:szCs w:val="24"/>
          <w:lang w:eastAsia="en-GB"/>
        </w:rPr>
      </w:pPr>
      <w:r w:rsidRPr="003813C9">
        <w:rPr>
          <w:rFonts w:eastAsia="Times New Roman"/>
          <w:color w:val="auto"/>
          <w:sz w:val="24"/>
          <w:szCs w:val="24"/>
          <w:lang w:eastAsia="en-GB"/>
        </w:rPr>
        <w:t xml:space="preserve">Although Beretta and </w:t>
      </w:r>
      <w:proofErr w:type="spellStart"/>
      <w:r w:rsidRPr="003813C9">
        <w:rPr>
          <w:rFonts w:eastAsia="Times New Roman"/>
          <w:color w:val="auto"/>
          <w:sz w:val="24"/>
          <w:szCs w:val="24"/>
          <w:lang w:eastAsia="en-GB"/>
        </w:rPr>
        <w:t>Bozzolan’s</w:t>
      </w:r>
      <w:proofErr w:type="spellEnd"/>
      <w:r w:rsidRPr="003813C9">
        <w:rPr>
          <w:rFonts w:eastAsia="Times New Roman"/>
          <w:color w:val="auto"/>
          <w:sz w:val="24"/>
          <w:szCs w:val="24"/>
          <w:lang w:eastAsia="en-GB"/>
        </w:rPr>
        <w:t xml:space="preserve"> (2004) study has been influential, </w:t>
      </w:r>
      <w:proofErr w:type="spellStart"/>
      <w:r w:rsidRPr="003813C9">
        <w:rPr>
          <w:rFonts w:eastAsia="Times New Roman"/>
          <w:color w:val="auto"/>
          <w:sz w:val="24"/>
          <w:szCs w:val="24"/>
          <w:lang w:eastAsia="en-GB"/>
        </w:rPr>
        <w:t>Shevlin</w:t>
      </w:r>
      <w:proofErr w:type="spellEnd"/>
      <w:r w:rsidRPr="003813C9">
        <w:rPr>
          <w:rFonts w:eastAsia="Times New Roman"/>
          <w:color w:val="auto"/>
          <w:sz w:val="24"/>
          <w:szCs w:val="24"/>
          <w:lang w:eastAsia="en-GB"/>
        </w:rPr>
        <w:t xml:space="preserve"> (2004) and </w:t>
      </w:r>
      <w:proofErr w:type="spellStart"/>
      <w:r w:rsidRPr="003813C9">
        <w:rPr>
          <w:rFonts w:eastAsia="Times New Roman"/>
          <w:color w:val="auto"/>
          <w:sz w:val="24"/>
          <w:szCs w:val="24"/>
          <w:lang w:eastAsia="en-GB"/>
        </w:rPr>
        <w:t>Botosan</w:t>
      </w:r>
      <w:proofErr w:type="spellEnd"/>
      <w:r w:rsidRPr="003813C9">
        <w:rPr>
          <w:rFonts w:eastAsia="Times New Roman"/>
          <w:color w:val="auto"/>
          <w:sz w:val="24"/>
          <w:szCs w:val="24"/>
          <w:lang w:eastAsia="en-GB"/>
        </w:rPr>
        <w:t xml:space="preserve"> (2004) assert that it is difficult to apply the proposed methodology as it requires an intensive manual data collection period and involves substantial subjectivity</w:t>
      </w:r>
      <w:r w:rsidR="00B84F41" w:rsidRPr="003813C9">
        <w:rPr>
          <w:rFonts w:eastAsia="Times New Roman"/>
          <w:color w:val="auto"/>
          <w:sz w:val="24"/>
          <w:szCs w:val="24"/>
          <w:lang w:eastAsia="en-GB"/>
        </w:rPr>
        <w:t xml:space="preserve"> in its application</w:t>
      </w:r>
      <w:r w:rsidRPr="003813C9">
        <w:rPr>
          <w:rFonts w:eastAsia="Times New Roman"/>
          <w:color w:val="auto"/>
          <w:sz w:val="24"/>
          <w:szCs w:val="24"/>
          <w:lang w:eastAsia="en-GB"/>
        </w:rPr>
        <w:t xml:space="preserve">. </w:t>
      </w:r>
      <w:proofErr w:type="spellStart"/>
      <w:r w:rsidR="00B84F41" w:rsidRPr="003813C9">
        <w:rPr>
          <w:rFonts w:eastAsia="Times New Roman"/>
          <w:color w:val="auto"/>
          <w:sz w:val="24"/>
          <w:szCs w:val="24"/>
          <w:lang w:eastAsia="en-GB"/>
        </w:rPr>
        <w:t>Shevlin</w:t>
      </w:r>
      <w:proofErr w:type="spellEnd"/>
      <w:r w:rsidR="00B84F41" w:rsidRPr="003813C9">
        <w:rPr>
          <w:rFonts w:eastAsia="Times New Roman"/>
          <w:color w:val="auto"/>
          <w:sz w:val="24"/>
          <w:szCs w:val="24"/>
          <w:lang w:eastAsia="en-GB"/>
        </w:rPr>
        <w:t xml:space="preserve"> (2004) </w:t>
      </w:r>
      <w:r w:rsidRPr="003813C9">
        <w:rPr>
          <w:rFonts w:eastAsia="Times New Roman"/>
          <w:color w:val="auto"/>
          <w:sz w:val="24"/>
          <w:szCs w:val="24"/>
          <w:lang w:eastAsia="en-GB"/>
        </w:rPr>
        <w:t xml:space="preserve">also raises questions about the gap between the dimensions of the proposed framework and their underlying theoretical development. Despite this, he proposes two areas of extension: First, developing and testing predictions about the cross-sectional variation in the synthetic risk disclosure measure developed by Beretta and </w:t>
      </w:r>
      <w:proofErr w:type="spellStart"/>
      <w:r w:rsidRPr="003813C9">
        <w:rPr>
          <w:rFonts w:eastAsia="Times New Roman"/>
          <w:color w:val="auto"/>
          <w:sz w:val="24"/>
          <w:szCs w:val="24"/>
          <w:lang w:eastAsia="en-GB"/>
        </w:rPr>
        <w:t>Bozzolan</w:t>
      </w:r>
      <w:proofErr w:type="spellEnd"/>
      <w:r w:rsidRPr="003813C9">
        <w:rPr>
          <w:rFonts w:eastAsia="Times New Roman"/>
          <w:color w:val="auto"/>
          <w:sz w:val="24"/>
          <w:szCs w:val="24"/>
          <w:lang w:eastAsia="en-GB"/>
        </w:rPr>
        <w:t xml:space="preserve"> (2004; described above) would help to explain firms’ choices over the voluntary risk disclosure level. Second, examining whether this measure is associated with firms’ equity and debt cost of capital</w:t>
      </w:r>
      <w:r w:rsidR="00A40AD6" w:rsidRPr="003813C9">
        <w:rPr>
          <w:rFonts w:eastAsia="Times New Roman"/>
          <w:color w:val="auto"/>
          <w:sz w:val="24"/>
          <w:szCs w:val="24"/>
          <w:lang w:eastAsia="en-GB"/>
        </w:rPr>
        <w:t xml:space="preserve"> would shed light </w:t>
      </w:r>
      <w:proofErr w:type="gramStart"/>
      <w:r w:rsidR="00A40AD6" w:rsidRPr="003813C9">
        <w:rPr>
          <w:rFonts w:eastAsia="Times New Roman"/>
          <w:color w:val="auto"/>
          <w:sz w:val="24"/>
          <w:szCs w:val="24"/>
          <w:lang w:eastAsia="en-GB"/>
        </w:rPr>
        <w:t xml:space="preserve">on </w:t>
      </w:r>
      <w:r w:rsidRPr="003813C9">
        <w:rPr>
          <w:rFonts w:eastAsia="Times New Roman"/>
          <w:color w:val="auto"/>
          <w:sz w:val="24"/>
          <w:szCs w:val="24"/>
          <w:lang w:eastAsia="en-GB"/>
        </w:rPr>
        <w:t xml:space="preserve"> usefulness</w:t>
      </w:r>
      <w:proofErr w:type="gramEnd"/>
      <w:r w:rsidRPr="003813C9">
        <w:rPr>
          <w:rFonts w:eastAsia="Times New Roman"/>
          <w:color w:val="auto"/>
          <w:sz w:val="24"/>
          <w:szCs w:val="24"/>
          <w:lang w:eastAsia="en-GB"/>
        </w:rPr>
        <w:t xml:space="preserve"> – in a conventional economic sense – of risk information. In her discussion of Beretta and </w:t>
      </w:r>
      <w:proofErr w:type="spellStart"/>
      <w:r w:rsidRPr="003813C9">
        <w:rPr>
          <w:rFonts w:eastAsia="Times New Roman"/>
          <w:color w:val="auto"/>
          <w:sz w:val="24"/>
          <w:szCs w:val="24"/>
          <w:lang w:eastAsia="en-GB"/>
        </w:rPr>
        <w:t>Bozzolan</w:t>
      </w:r>
      <w:proofErr w:type="spellEnd"/>
      <w:r w:rsidRPr="003813C9">
        <w:rPr>
          <w:rFonts w:eastAsia="Times New Roman"/>
          <w:color w:val="auto"/>
          <w:sz w:val="24"/>
          <w:szCs w:val="24"/>
          <w:lang w:eastAsia="en-GB"/>
        </w:rPr>
        <w:t xml:space="preserve"> (2004), </w:t>
      </w:r>
      <w:proofErr w:type="spellStart"/>
      <w:r w:rsidRPr="003813C9">
        <w:rPr>
          <w:rFonts w:eastAsia="Times New Roman"/>
          <w:color w:val="auto"/>
          <w:sz w:val="24"/>
          <w:szCs w:val="24"/>
          <w:lang w:eastAsia="en-GB"/>
        </w:rPr>
        <w:t>Botosan</w:t>
      </w:r>
      <w:proofErr w:type="spellEnd"/>
      <w:r w:rsidRPr="003813C9">
        <w:rPr>
          <w:rFonts w:eastAsia="Times New Roman"/>
          <w:color w:val="auto"/>
          <w:sz w:val="24"/>
          <w:szCs w:val="24"/>
          <w:lang w:eastAsia="en-GB"/>
        </w:rPr>
        <w:t xml:space="preserve"> (2004) provides an alternative method for measuring the quality of a firm’s risk disclosure. She draws on the definition of quality of information from the </w:t>
      </w:r>
      <w:r w:rsidR="00B84F41" w:rsidRPr="003813C9">
        <w:rPr>
          <w:rFonts w:eastAsia="Times New Roman"/>
          <w:color w:val="auto"/>
          <w:sz w:val="24"/>
          <w:szCs w:val="24"/>
          <w:lang w:eastAsia="en-GB"/>
        </w:rPr>
        <w:t xml:space="preserve">extant </w:t>
      </w:r>
      <w:r w:rsidRPr="003813C9">
        <w:rPr>
          <w:rFonts w:eastAsia="Times New Roman"/>
          <w:color w:val="auto"/>
          <w:sz w:val="24"/>
          <w:szCs w:val="24"/>
          <w:lang w:eastAsia="en-GB"/>
        </w:rPr>
        <w:t>International Accounting Standards Board’s (IASB) conceptual framework</w:t>
      </w:r>
      <w:r w:rsidR="00B84F41" w:rsidRPr="003813C9">
        <w:rPr>
          <w:rFonts w:eastAsia="Times New Roman"/>
          <w:color w:val="auto"/>
          <w:sz w:val="24"/>
          <w:szCs w:val="24"/>
          <w:lang w:eastAsia="en-GB"/>
        </w:rPr>
        <w:t xml:space="preserve"> i.e.</w:t>
      </w:r>
      <w:r w:rsidR="00E04A90" w:rsidRPr="003813C9">
        <w:rPr>
          <w:rFonts w:eastAsia="Times New Roman"/>
          <w:color w:val="auto"/>
          <w:sz w:val="24"/>
          <w:szCs w:val="24"/>
          <w:lang w:eastAsia="en-GB"/>
        </w:rPr>
        <w:t>,</w:t>
      </w:r>
      <w:r w:rsidR="00B84F41" w:rsidRPr="003813C9">
        <w:rPr>
          <w:rFonts w:eastAsia="Times New Roman"/>
          <w:color w:val="auto"/>
          <w:sz w:val="24"/>
          <w:szCs w:val="24"/>
          <w:lang w:eastAsia="en-GB"/>
        </w:rPr>
        <w:t xml:space="preserve"> quality is a function of relevance, reliability, </w:t>
      </w:r>
      <w:proofErr w:type="spellStart"/>
      <w:r w:rsidR="00B84F41" w:rsidRPr="003813C9">
        <w:rPr>
          <w:rFonts w:eastAsia="Times New Roman"/>
          <w:color w:val="auto"/>
          <w:sz w:val="24"/>
          <w:szCs w:val="24"/>
          <w:lang w:eastAsia="en-GB"/>
        </w:rPr>
        <w:t>understandability</w:t>
      </w:r>
      <w:proofErr w:type="spellEnd"/>
      <w:r w:rsidR="00B84F41" w:rsidRPr="003813C9">
        <w:rPr>
          <w:rFonts w:eastAsia="Times New Roman"/>
          <w:color w:val="auto"/>
          <w:sz w:val="24"/>
          <w:szCs w:val="24"/>
          <w:lang w:eastAsia="en-GB"/>
        </w:rPr>
        <w:t xml:space="preserve"> and comparability</w:t>
      </w:r>
      <w:r w:rsidRPr="003813C9">
        <w:rPr>
          <w:rFonts w:eastAsia="Times New Roman"/>
          <w:color w:val="auto"/>
          <w:sz w:val="24"/>
          <w:szCs w:val="24"/>
          <w:lang w:eastAsia="en-GB"/>
        </w:rPr>
        <w:t xml:space="preserve">. </w:t>
      </w:r>
    </w:p>
    <w:p w14:paraId="2121B095" w14:textId="454CE147" w:rsidR="0046703C" w:rsidRPr="003813C9" w:rsidRDefault="0046703C" w:rsidP="0046703C">
      <w:pPr>
        <w:spacing w:after="0" w:line="480" w:lineRule="auto"/>
        <w:ind w:firstLine="567"/>
        <w:jc w:val="both"/>
        <w:rPr>
          <w:rFonts w:eastAsia="Times New Roman"/>
          <w:color w:val="auto"/>
          <w:sz w:val="24"/>
          <w:szCs w:val="24"/>
        </w:rPr>
      </w:pPr>
      <w:r w:rsidRPr="003813C9">
        <w:rPr>
          <w:rFonts w:eastAsia="Times New Roman"/>
          <w:color w:val="auto"/>
          <w:sz w:val="24"/>
          <w:szCs w:val="24"/>
        </w:rPr>
        <w:t xml:space="preserve">Also addressing this issue of the quantity and quality of risk reporting, </w:t>
      </w:r>
      <w:proofErr w:type="spellStart"/>
      <w:r w:rsidRPr="003813C9">
        <w:rPr>
          <w:rFonts w:eastAsia="Times New Roman"/>
          <w:color w:val="auto"/>
          <w:sz w:val="24"/>
          <w:szCs w:val="24"/>
        </w:rPr>
        <w:t>Miihkinen</w:t>
      </w:r>
      <w:proofErr w:type="spellEnd"/>
      <w:r w:rsidRPr="003813C9">
        <w:rPr>
          <w:rFonts w:eastAsia="Times New Roman"/>
          <w:color w:val="auto"/>
          <w:sz w:val="24"/>
          <w:szCs w:val="24"/>
        </w:rPr>
        <w:t xml:space="preserve"> (2012) investigates the impact of the implementation of a detailed Finnish risk-reporting standard on firms’ overall risk disclosure. To obtain quantity and quality scores, he uses manual content analysis based on both the number of words </w:t>
      </w:r>
      <w:r w:rsidRPr="003813C9">
        <w:rPr>
          <w:rFonts w:eastAsia="Times New Roman"/>
          <w:iCs/>
          <w:color w:val="auto"/>
          <w:sz w:val="24"/>
          <w:szCs w:val="24"/>
        </w:rPr>
        <w:t>and</w:t>
      </w:r>
      <w:r w:rsidRPr="003813C9">
        <w:rPr>
          <w:rFonts w:eastAsia="Times New Roman"/>
          <w:color w:val="auto"/>
          <w:sz w:val="24"/>
          <w:szCs w:val="24"/>
        </w:rPr>
        <w:t xml:space="preserve"> sentences (see Table 2, content analysis </w:t>
      </w:r>
      <w:r w:rsidR="00B84F41" w:rsidRPr="003813C9">
        <w:rPr>
          <w:rFonts w:eastAsia="Times New Roman"/>
          <w:color w:val="auto"/>
          <w:sz w:val="24"/>
          <w:szCs w:val="24"/>
        </w:rPr>
        <w:t>[</w:t>
      </w:r>
      <w:r w:rsidRPr="003813C9">
        <w:rPr>
          <w:rFonts w:eastAsia="Times New Roman"/>
          <w:color w:val="auto"/>
          <w:sz w:val="24"/>
          <w:szCs w:val="24"/>
        </w:rPr>
        <w:t>code unit</w:t>
      </w:r>
      <w:r w:rsidR="00B84F41" w:rsidRPr="003813C9">
        <w:rPr>
          <w:rFonts w:eastAsia="Times New Roman"/>
          <w:color w:val="auto"/>
          <w:sz w:val="24"/>
          <w:szCs w:val="24"/>
        </w:rPr>
        <w:t xml:space="preserve">]) </w:t>
      </w:r>
      <w:r w:rsidRPr="003813C9">
        <w:rPr>
          <w:rFonts w:eastAsia="Times New Roman"/>
          <w:color w:val="auto"/>
          <w:sz w:val="24"/>
          <w:szCs w:val="24"/>
        </w:rPr>
        <w:t xml:space="preserve">a firm discloses in </w:t>
      </w:r>
      <w:r w:rsidR="00A40AD6" w:rsidRPr="003813C9">
        <w:rPr>
          <w:rFonts w:eastAsia="Times New Roman"/>
          <w:color w:val="auto"/>
          <w:sz w:val="24"/>
          <w:szCs w:val="24"/>
        </w:rPr>
        <w:t>its</w:t>
      </w:r>
      <w:r w:rsidRPr="003813C9">
        <w:rPr>
          <w:rFonts w:eastAsia="Times New Roman"/>
          <w:color w:val="auto"/>
          <w:sz w:val="24"/>
          <w:szCs w:val="24"/>
        </w:rPr>
        <w:t xml:space="preserve"> annual report’s risk review section. Quality scores are calculated using the principal component of three proxies, namely: </w:t>
      </w:r>
      <w:r w:rsidRPr="003813C9">
        <w:rPr>
          <w:rFonts w:eastAsia="Times New Roman"/>
          <w:i/>
          <w:color w:val="auto"/>
          <w:sz w:val="24"/>
          <w:szCs w:val="24"/>
        </w:rPr>
        <w:t>quantity of disclosure</w:t>
      </w:r>
      <w:r w:rsidRPr="003813C9">
        <w:rPr>
          <w:rFonts w:eastAsia="Times New Roman"/>
          <w:color w:val="auto"/>
          <w:sz w:val="24"/>
          <w:szCs w:val="24"/>
        </w:rPr>
        <w:t xml:space="preserve"> (number of words), </w:t>
      </w:r>
      <w:r w:rsidRPr="003813C9">
        <w:rPr>
          <w:rFonts w:eastAsia="Times New Roman"/>
          <w:i/>
          <w:color w:val="auto"/>
          <w:sz w:val="24"/>
          <w:szCs w:val="24"/>
        </w:rPr>
        <w:t>coverage of disclosure</w:t>
      </w:r>
      <w:r w:rsidRPr="003813C9">
        <w:rPr>
          <w:rFonts w:eastAsia="Times New Roman"/>
          <w:color w:val="auto"/>
          <w:sz w:val="24"/>
          <w:szCs w:val="24"/>
        </w:rPr>
        <w:t xml:space="preserve"> (concentration of disclosure topic among five types), and </w:t>
      </w:r>
      <w:r w:rsidRPr="003813C9">
        <w:rPr>
          <w:rFonts w:eastAsia="Times New Roman"/>
          <w:i/>
          <w:color w:val="auto"/>
          <w:sz w:val="24"/>
          <w:szCs w:val="24"/>
        </w:rPr>
        <w:t>the semantic properties of the disclosure</w:t>
      </w:r>
      <w:r w:rsidRPr="003813C9">
        <w:rPr>
          <w:rFonts w:eastAsia="Times New Roman"/>
          <w:color w:val="auto"/>
          <w:sz w:val="24"/>
          <w:szCs w:val="24"/>
        </w:rPr>
        <w:t xml:space="preserve"> (contains two dimensions, </w:t>
      </w:r>
      <w:r w:rsidRPr="003813C9">
        <w:rPr>
          <w:rFonts w:eastAsia="Times New Roman"/>
          <w:i/>
          <w:color w:val="auto"/>
          <w:sz w:val="24"/>
          <w:szCs w:val="24"/>
        </w:rPr>
        <w:t xml:space="preserve">depth </w:t>
      </w:r>
      <w:r w:rsidRPr="003813C9">
        <w:rPr>
          <w:rFonts w:eastAsia="Times New Roman"/>
          <w:color w:val="auto"/>
          <w:sz w:val="24"/>
          <w:szCs w:val="24"/>
        </w:rPr>
        <w:t xml:space="preserve">and </w:t>
      </w:r>
      <w:r w:rsidRPr="003813C9">
        <w:rPr>
          <w:rFonts w:eastAsia="Times New Roman"/>
          <w:i/>
          <w:color w:val="auto"/>
          <w:sz w:val="24"/>
          <w:szCs w:val="24"/>
        </w:rPr>
        <w:t>outlook</w:t>
      </w:r>
      <w:r w:rsidRPr="003813C9">
        <w:rPr>
          <w:rFonts w:eastAsia="Times New Roman"/>
          <w:color w:val="auto"/>
          <w:sz w:val="24"/>
          <w:szCs w:val="24"/>
        </w:rPr>
        <w:t xml:space="preserve">, the former looking at both quantitative and </w:t>
      </w:r>
      <w:r w:rsidRPr="003813C9">
        <w:rPr>
          <w:rFonts w:eastAsia="Times New Roman"/>
          <w:color w:val="auto"/>
          <w:sz w:val="24"/>
          <w:szCs w:val="24"/>
        </w:rPr>
        <w:lastRenderedPageBreak/>
        <w:t xml:space="preserve">qualitative effects of risk disclosure, the latter </w:t>
      </w:r>
      <w:r w:rsidR="00C236C7" w:rsidRPr="003813C9">
        <w:rPr>
          <w:rFonts w:eastAsia="Times New Roman"/>
          <w:color w:val="auto"/>
          <w:sz w:val="24"/>
          <w:szCs w:val="24"/>
        </w:rPr>
        <w:t xml:space="preserve">looking </w:t>
      </w:r>
      <w:r w:rsidRPr="003813C9">
        <w:rPr>
          <w:rFonts w:eastAsia="Times New Roman"/>
          <w:color w:val="auto"/>
          <w:sz w:val="24"/>
          <w:szCs w:val="24"/>
        </w:rPr>
        <w:t xml:space="preserve">at action taken and/or programs planned to reduce risk). He finds that both quantity and quality increase as a result of the implementation of this new Finnish standard; although it should be noted that the level of quantitative disclosure was not found to increase significantly which could mean that this more comprehensive information is symbolic in nature, rather than substantive. </w:t>
      </w:r>
      <w:r w:rsidR="00614712" w:rsidRPr="003813C9">
        <w:rPr>
          <w:rFonts w:eastAsia="Times New Roman"/>
          <w:color w:val="auto"/>
          <w:sz w:val="24"/>
          <w:szCs w:val="24"/>
        </w:rPr>
        <w:t>This conclusion is consistent with Abraham and Shrives’ (2014) findings, a</w:t>
      </w:r>
      <w:r w:rsidR="00F654BE" w:rsidRPr="003813C9">
        <w:rPr>
          <w:rFonts w:eastAsia="Times New Roman"/>
          <w:color w:val="auto"/>
          <w:sz w:val="24"/>
          <w:szCs w:val="24"/>
        </w:rPr>
        <w:t xml:space="preserve">lbeit </w:t>
      </w:r>
      <w:r w:rsidR="00614712" w:rsidRPr="003813C9">
        <w:rPr>
          <w:rFonts w:eastAsia="Times New Roman"/>
          <w:color w:val="auto"/>
          <w:sz w:val="24"/>
          <w:szCs w:val="24"/>
        </w:rPr>
        <w:t>in a</w:t>
      </w:r>
      <w:r w:rsidR="008D2EE7" w:rsidRPr="003813C9">
        <w:rPr>
          <w:rFonts w:eastAsia="Times New Roman"/>
          <w:color w:val="auto"/>
          <w:sz w:val="24"/>
          <w:szCs w:val="24"/>
        </w:rPr>
        <w:t xml:space="preserve"> different </w:t>
      </w:r>
      <w:r w:rsidR="00A77AAC" w:rsidRPr="003813C9">
        <w:rPr>
          <w:rFonts w:eastAsia="Times New Roman"/>
          <w:color w:val="auto"/>
          <w:sz w:val="24"/>
          <w:szCs w:val="24"/>
        </w:rPr>
        <w:t xml:space="preserve">jurisdiction </w:t>
      </w:r>
      <w:r w:rsidR="00614712" w:rsidRPr="003813C9">
        <w:rPr>
          <w:rFonts w:eastAsia="Times New Roman"/>
          <w:color w:val="auto"/>
          <w:sz w:val="24"/>
          <w:szCs w:val="24"/>
        </w:rPr>
        <w:t xml:space="preserve">(i.e., </w:t>
      </w:r>
      <w:r w:rsidR="00EE5357" w:rsidRPr="003813C9">
        <w:rPr>
          <w:rFonts w:eastAsia="Times New Roman"/>
          <w:color w:val="auto"/>
          <w:sz w:val="24"/>
          <w:szCs w:val="24"/>
        </w:rPr>
        <w:t xml:space="preserve">the </w:t>
      </w:r>
      <w:r w:rsidR="00614712" w:rsidRPr="003813C9">
        <w:rPr>
          <w:rFonts w:eastAsia="Times New Roman"/>
          <w:color w:val="auto"/>
          <w:sz w:val="24"/>
          <w:szCs w:val="24"/>
        </w:rPr>
        <w:t>UK)</w:t>
      </w:r>
      <w:r w:rsidRPr="003813C9">
        <w:rPr>
          <w:rFonts w:eastAsia="Times New Roman"/>
          <w:color w:val="auto"/>
          <w:sz w:val="24"/>
          <w:szCs w:val="24"/>
        </w:rPr>
        <w:t xml:space="preserve">. </w:t>
      </w:r>
      <w:proofErr w:type="spellStart"/>
      <w:r w:rsidRPr="003813C9">
        <w:rPr>
          <w:rFonts w:eastAsia="Times New Roman"/>
          <w:color w:val="auto"/>
          <w:sz w:val="24"/>
          <w:szCs w:val="24"/>
        </w:rPr>
        <w:t>Miihkinen’s</w:t>
      </w:r>
      <w:proofErr w:type="spellEnd"/>
      <w:r w:rsidRPr="003813C9">
        <w:rPr>
          <w:rFonts w:eastAsia="Times New Roman"/>
          <w:color w:val="auto"/>
          <w:sz w:val="24"/>
          <w:szCs w:val="24"/>
        </w:rPr>
        <w:t xml:space="preserve"> (2</w:t>
      </w:r>
      <w:r w:rsidR="00C077EA" w:rsidRPr="003813C9">
        <w:rPr>
          <w:rFonts w:eastAsia="Times New Roman"/>
          <w:color w:val="auto"/>
          <w:sz w:val="24"/>
          <w:szCs w:val="24"/>
        </w:rPr>
        <w:t>012) findings indicate that the</w:t>
      </w:r>
      <w:r w:rsidRPr="003813C9">
        <w:rPr>
          <w:rFonts w:eastAsia="Times New Roman"/>
          <w:color w:val="auto"/>
          <w:sz w:val="24"/>
          <w:szCs w:val="24"/>
        </w:rPr>
        <w:t xml:space="preserve"> quali</w:t>
      </w:r>
      <w:r w:rsidR="00C077EA" w:rsidRPr="003813C9">
        <w:rPr>
          <w:rFonts w:eastAsia="Times New Roman"/>
          <w:color w:val="auto"/>
          <w:sz w:val="24"/>
          <w:szCs w:val="24"/>
        </w:rPr>
        <w:t>ty of risk disclosure</w:t>
      </w:r>
      <w:r w:rsidRPr="003813C9">
        <w:rPr>
          <w:rFonts w:eastAsia="Times New Roman"/>
          <w:color w:val="auto"/>
          <w:sz w:val="24"/>
          <w:szCs w:val="24"/>
        </w:rPr>
        <w:t xml:space="preserve"> is associated with</w:t>
      </w:r>
      <w:r w:rsidR="00A63EB7" w:rsidRPr="003813C9">
        <w:rPr>
          <w:rFonts w:eastAsia="Times New Roman"/>
          <w:color w:val="auto"/>
          <w:sz w:val="24"/>
          <w:szCs w:val="24"/>
        </w:rPr>
        <w:t xml:space="preserve"> </w:t>
      </w:r>
      <w:r w:rsidRPr="003813C9">
        <w:rPr>
          <w:rFonts w:eastAsia="Times New Roman"/>
          <w:color w:val="auto"/>
          <w:sz w:val="24"/>
          <w:szCs w:val="24"/>
        </w:rPr>
        <w:t>size, profitability, listing status, risk, growth, and foreign ownership. In further analyses, he finds that the observed impact of the risk standard, and other incentives, are more pronounced among los</w:t>
      </w:r>
      <w:r w:rsidR="00EE5357" w:rsidRPr="003813C9">
        <w:rPr>
          <w:rFonts w:eastAsia="Times New Roman"/>
          <w:color w:val="auto"/>
          <w:sz w:val="24"/>
          <w:szCs w:val="24"/>
        </w:rPr>
        <w:t>s-making firms, and that poorly-</w:t>
      </w:r>
      <w:r w:rsidRPr="003813C9">
        <w:rPr>
          <w:rFonts w:eastAsia="Times New Roman"/>
          <w:color w:val="auto"/>
          <w:sz w:val="24"/>
          <w:szCs w:val="24"/>
        </w:rPr>
        <w:t xml:space="preserve">performing firms are likely to face more pressure from investors to provide high-quality risk information as a response to their business risk. </w:t>
      </w:r>
    </w:p>
    <w:p w14:paraId="5FFF5C4D" w14:textId="2D03DB9D" w:rsidR="0046703C" w:rsidRPr="003813C9" w:rsidRDefault="0046703C" w:rsidP="0046703C">
      <w:pPr>
        <w:spacing w:after="0" w:line="480" w:lineRule="auto"/>
        <w:ind w:firstLine="567"/>
        <w:jc w:val="both"/>
        <w:rPr>
          <w:rFonts w:eastAsia="Times New Roman"/>
          <w:color w:val="auto"/>
          <w:sz w:val="24"/>
          <w:szCs w:val="24"/>
        </w:rPr>
      </w:pPr>
      <w:r w:rsidRPr="003813C9">
        <w:rPr>
          <w:rFonts w:eastAsia="Times New Roman"/>
          <w:color w:val="auto"/>
          <w:sz w:val="24"/>
          <w:szCs w:val="24"/>
          <w:lang w:eastAsia="en-GB"/>
        </w:rPr>
        <w:t xml:space="preserve">Another study adopting manual content analysis is the frequently cited </w:t>
      </w:r>
      <w:proofErr w:type="spellStart"/>
      <w:r w:rsidRPr="003813C9">
        <w:rPr>
          <w:rFonts w:eastAsia="Times New Roman"/>
          <w:color w:val="auto"/>
          <w:sz w:val="24"/>
          <w:szCs w:val="24"/>
          <w:lang w:eastAsia="en-GB"/>
        </w:rPr>
        <w:t>Linsley</w:t>
      </w:r>
      <w:proofErr w:type="spellEnd"/>
      <w:r w:rsidRPr="003813C9">
        <w:rPr>
          <w:rFonts w:eastAsia="Times New Roman"/>
          <w:color w:val="auto"/>
          <w:sz w:val="24"/>
          <w:szCs w:val="24"/>
          <w:lang w:eastAsia="en-GB"/>
        </w:rPr>
        <w:t xml:space="preserve"> and Shrives (2006). It seeks to identify the main drivers of the quantity of aggregate risk disclosure by classifying each sentence into the following categories: financial/non-financial,</w:t>
      </w:r>
      <w:r w:rsidRPr="003813C9">
        <w:rPr>
          <w:rFonts w:eastAsia="Times New Roman"/>
          <w:color w:val="auto"/>
          <w:sz w:val="24"/>
          <w:szCs w:val="24"/>
        </w:rPr>
        <w:t xml:space="preserve"> </w:t>
      </w:r>
      <w:r w:rsidRPr="003813C9">
        <w:rPr>
          <w:rFonts w:eastAsia="Times New Roman"/>
          <w:color w:val="auto"/>
          <w:sz w:val="24"/>
          <w:szCs w:val="24"/>
          <w:lang w:eastAsia="en-GB"/>
        </w:rPr>
        <w:t>monetary/non-monetary, good news/bad news, and forward-looking/historic. The</w:t>
      </w:r>
      <w:r w:rsidRPr="003813C9">
        <w:rPr>
          <w:rFonts w:eastAsia="Times New Roman"/>
          <w:color w:val="auto"/>
          <w:sz w:val="24"/>
          <w:szCs w:val="24"/>
        </w:rPr>
        <w:t xml:space="preserve"> findings show</w:t>
      </w:r>
      <w:r w:rsidR="00670A0A" w:rsidRPr="003813C9">
        <w:rPr>
          <w:rFonts w:eastAsia="Times New Roman"/>
          <w:color w:val="auto"/>
          <w:sz w:val="24"/>
          <w:szCs w:val="24"/>
        </w:rPr>
        <w:t xml:space="preserve"> that </w:t>
      </w:r>
      <w:r w:rsidRPr="003813C9">
        <w:rPr>
          <w:rFonts w:eastAsia="Times New Roman"/>
          <w:color w:val="auto"/>
          <w:sz w:val="24"/>
          <w:szCs w:val="24"/>
        </w:rPr>
        <w:t xml:space="preserve">firm size, and to a lesser </w:t>
      </w:r>
      <w:r w:rsidR="00FC2DD1" w:rsidRPr="003813C9">
        <w:rPr>
          <w:rFonts w:eastAsia="Times New Roman"/>
          <w:color w:val="auto"/>
          <w:sz w:val="24"/>
          <w:szCs w:val="24"/>
        </w:rPr>
        <w:t xml:space="preserve">extent environmental </w:t>
      </w:r>
      <w:r w:rsidR="00F873F3" w:rsidRPr="003813C9">
        <w:rPr>
          <w:rFonts w:eastAsia="Times New Roman"/>
          <w:color w:val="auto"/>
          <w:sz w:val="24"/>
          <w:szCs w:val="24"/>
        </w:rPr>
        <w:t xml:space="preserve">risk </w:t>
      </w:r>
      <w:r w:rsidR="008D2EE7" w:rsidRPr="003813C9">
        <w:rPr>
          <w:rFonts w:eastAsia="Times New Roman"/>
          <w:color w:val="auto"/>
          <w:sz w:val="24"/>
          <w:szCs w:val="24"/>
        </w:rPr>
        <w:t>are statistically associated with risk disclosure</w:t>
      </w:r>
      <w:r w:rsidRPr="003813C9">
        <w:rPr>
          <w:rFonts w:eastAsia="Times New Roman"/>
          <w:color w:val="auto"/>
          <w:sz w:val="24"/>
          <w:szCs w:val="24"/>
        </w:rPr>
        <w:t xml:space="preserve">, whereas gearing, asset cover, and other measures of risk (i.e., beta and the book-to-market value of equity) are not. Abraham and Cox (2007) adopt a similar approach – manual content analysis – to investigate the impact of corporate governance factors on risk disclosure. They identify and subsequently classify risk disclosure sentences into one of the following four categories of risk: total, business, financial, and internal control. Following this, they count the number of words within each sentence. They also consider the location of the risk disclosure within the annual report. This is potentially an important issue, as the location of risk disclosure can detract from its usefulness (Ryan, 2012a). Using data from a UK context, they find that the number of executive directors and the number of independent non-executive directors is significantly positively related to higher levels of aggregated risk reporting. Other factors which are also </w:t>
      </w:r>
      <w:r w:rsidRPr="003813C9">
        <w:rPr>
          <w:rFonts w:eastAsia="Times New Roman"/>
          <w:color w:val="auto"/>
          <w:sz w:val="24"/>
          <w:szCs w:val="24"/>
        </w:rPr>
        <w:lastRenderedPageBreak/>
        <w:t>positively and significantly related include lower institutional ownership and dual-listing (UK/US). These results are consistent across three o</w:t>
      </w:r>
      <w:r w:rsidR="000C1BF2" w:rsidRPr="003813C9">
        <w:rPr>
          <w:rFonts w:eastAsia="Times New Roman"/>
          <w:color w:val="auto"/>
          <w:sz w:val="24"/>
          <w:szCs w:val="24"/>
        </w:rPr>
        <w:t>f the four categories</w:t>
      </w:r>
      <w:r w:rsidRPr="003813C9">
        <w:rPr>
          <w:rFonts w:eastAsia="Times New Roman"/>
          <w:color w:val="auto"/>
          <w:sz w:val="24"/>
          <w:szCs w:val="24"/>
        </w:rPr>
        <w:t>, namely: total, business, and financial. However, the results related to the levels of internal control risk reporting are mixed.</w:t>
      </w:r>
    </w:p>
    <w:p w14:paraId="6284E47D" w14:textId="77777777" w:rsidR="0046703C" w:rsidRPr="003813C9" w:rsidRDefault="0046703C" w:rsidP="0046703C">
      <w:pPr>
        <w:spacing w:after="0" w:line="480" w:lineRule="auto"/>
        <w:ind w:firstLine="567"/>
        <w:jc w:val="both"/>
        <w:rPr>
          <w:rFonts w:eastAsia="Times New Roman"/>
          <w:color w:val="auto"/>
          <w:sz w:val="24"/>
          <w:szCs w:val="24"/>
        </w:rPr>
      </w:pPr>
      <w:r w:rsidRPr="003813C9">
        <w:rPr>
          <w:rFonts w:eastAsia="Times New Roman"/>
          <w:color w:val="auto"/>
          <w:sz w:val="24"/>
          <w:szCs w:val="24"/>
        </w:rPr>
        <w:t xml:space="preserve">Lastly in this series of papers adopting a manual approach, Ntim et al. (2013) examine the effect of corporate governance on the quality and extent of risk disclosure in South African companies. In this case, they count risk-related sentences and employ a self-developed 50-item index to measure </w:t>
      </w:r>
      <w:r w:rsidR="00A63EB7" w:rsidRPr="003813C9">
        <w:rPr>
          <w:rFonts w:eastAsia="Times New Roman"/>
          <w:color w:val="auto"/>
          <w:sz w:val="24"/>
          <w:szCs w:val="24"/>
        </w:rPr>
        <w:t xml:space="preserve">the quality of this disclosure. </w:t>
      </w:r>
      <w:bookmarkStart w:id="1" w:name="_Hlk492540256"/>
      <w:r w:rsidR="006857AB" w:rsidRPr="003813C9">
        <w:rPr>
          <w:rFonts w:eastAsia="Times New Roman"/>
          <w:color w:val="auto"/>
          <w:sz w:val="24"/>
          <w:szCs w:val="24"/>
        </w:rPr>
        <w:t>T</w:t>
      </w:r>
      <w:r w:rsidRPr="003813C9">
        <w:rPr>
          <w:rFonts w:eastAsia="Times New Roman"/>
          <w:color w:val="auto"/>
          <w:sz w:val="24"/>
          <w:szCs w:val="24"/>
        </w:rPr>
        <w:t>hey find risk disclosure to be largely non-financial, historical, qualitative</w:t>
      </w:r>
      <w:r w:rsidR="00CB346F" w:rsidRPr="003813C9">
        <w:rPr>
          <w:rFonts w:eastAsia="Times New Roman"/>
          <w:color w:val="auto"/>
          <w:sz w:val="24"/>
          <w:szCs w:val="24"/>
        </w:rPr>
        <w:t xml:space="preserve"> </w:t>
      </w:r>
      <w:r w:rsidR="00C23205" w:rsidRPr="003813C9">
        <w:rPr>
          <w:rFonts w:eastAsia="Times New Roman"/>
          <w:color w:val="auto"/>
          <w:sz w:val="24"/>
          <w:szCs w:val="24"/>
        </w:rPr>
        <w:t xml:space="preserve">(non-monetary) </w:t>
      </w:r>
      <w:r w:rsidRPr="003813C9">
        <w:rPr>
          <w:rFonts w:eastAsia="Times New Roman"/>
          <w:color w:val="auto"/>
          <w:sz w:val="24"/>
          <w:szCs w:val="24"/>
        </w:rPr>
        <w:t>in natur</w:t>
      </w:r>
      <w:r w:rsidR="00CB346F" w:rsidRPr="003813C9">
        <w:rPr>
          <w:rFonts w:eastAsia="Times New Roman"/>
          <w:color w:val="auto"/>
          <w:sz w:val="24"/>
          <w:szCs w:val="24"/>
        </w:rPr>
        <w:t>e, and consisting of good news</w:t>
      </w:r>
      <w:bookmarkEnd w:id="1"/>
      <w:r w:rsidR="00CB346F" w:rsidRPr="003813C9">
        <w:rPr>
          <w:rFonts w:eastAsia="Times New Roman"/>
          <w:color w:val="auto"/>
          <w:sz w:val="24"/>
          <w:szCs w:val="24"/>
        </w:rPr>
        <w:t xml:space="preserve">. </w:t>
      </w:r>
      <w:r w:rsidRPr="003813C9">
        <w:rPr>
          <w:rFonts w:eastAsia="Times New Roman"/>
          <w:color w:val="auto"/>
          <w:sz w:val="24"/>
          <w:szCs w:val="24"/>
        </w:rPr>
        <w:t xml:space="preserve">They </w:t>
      </w:r>
      <w:r w:rsidR="006857AB" w:rsidRPr="003813C9">
        <w:rPr>
          <w:rFonts w:eastAsia="Times New Roman"/>
          <w:color w:val="auto"/>
          <w:sz w:val="24"/>
          <w:szCs w:val="24"/>
        </w:rPr>
        <w:t xml:space="preserve">also </w:t>
      </w:r>
      <w:r w:rsidRPr="003813C9">
        <w:rPr>
          <w:rFonts w:eastAsia="Times New Roman"/>
          <w:color w:val="auto"/>
          <w:sz w:val="24"/>
          <w:szCs w:val="24"/>
        </w:rPr>
        <w:t xml:space="preserve">find corporate risk disclosure is negatively related to block ownership and institutional ownership and positively related to board diversity, board size, and the number of independent non-executive directors. </w:t>
      </w:r>
    </w:p>
    <w:p w14:paraId="1F3E8C8B" w14:textId="61A86AC4" w:rsidR="0046703C" w:rsidRPr="003813C9" w:rsidRDefault="0046703C" w:rsidP="0046703C">
      <w:pPr>
        <w:spacing w:after="0" w:line="480" w:lineRule="auto"/>
        <w:ind w:firstLine="567"/>
        <w:jc w:val="both"/>
        <w:rPr>
          <w:rFonts w:eastAsia="Times New Roman"/>
          <w:color w:val="auto"/>
          <w:sz w:val="24"/>
          <w:szCs w:val="24"/>
        </w:rPr>
      </w:pPr>
      <w:r w:rsidRPr="003813C9">
        <w:rPr>
          <w:rFonts w:eastAsia="Times New Roman"/>
          <w:color w:val="auto"/>
          <w:sz w:val="24"/>
          <w:szCs w:val="24"/>
        </w:rPr>
        <w:t xml:space="preserve">Recently, accounting research has shifted towards </w:t>
      </w:r>
      <w:r w:rsidRPr="003813C9">
        <w:rPr>
          <w:rFonts w:eastAsia="Times New Roman"/>
          <w:iCs/>
          <w:color w:val="auto"/>
          <w:sz w:val="24"/>
          <w:szCs w:val="24"/>
        </w:rPr>
        <w:t>automated</w:t>
      </w:r>
      <w:r w:rsidRPr="003813C9">
        <w:rPr>
          <w:rFonts w:eastAsia="Times New Roman"/>
          <w:color w:val="auto"/>
          <w:sz w:val="24"/>
          <w:szCs w:val="24"/>
        </w:rPr>
        <w:t xml:space="preserve"> approaches for content analysis, and to</w:t>
      </w:r>
      <w:r w:rsidR="00EE5357" w:rsidRPr="003813C9">
        <w:rPr>
          <w:rFonts w:eastAsia="Times New Roman"/>
          <w:color w:val="auto"/>
          <w:sz w:val="24"/>
          <w:szCs w:val="24"/>
        </w:rPr>
        <w:t xml:space="preserve"> this end, our review identifies</w:t>
      </w:r>
      <w:r w:rsidRPr="003813C9">
        <w:rPr>
          <w:rFonts w:eastAsia="Times New Roman"/>
          <w:color w:val="auto"/>
          <w:sz w:val="24"/>
          <w:szCs w:val="24"/>
        </w:rPr>
        <w:t xml:space="preserve"> three papers employing this approach in the field of risk reporting. Elshandidy et al. (2013) investigate the impact of corporate risk levels on aggregated, voluntary, and mandatory risk disclosure in annual report narratives. Utilizing a list of risk-related words (e.g.,</w:t>
      </w:r>
      <w:r w:rsidRPr="003813C9">
        <w:rPr>
          <w:rFonts w:eastAsia="Calibri"/>
          <w:color w:val="auto"/>
        </w:rPr>
        <w:t xml:space="preserve"> </w:t>
      </w:r>
      <w:r w:rsidRPr="003813C9">
        <w:rPr>
          <w:rFonts w:eastAsia="Times New Roman"/>
          <w:color w:val="auto"/>
          <w:sz w:val="24"/>
          <w:szCs w:val="24"/>
        </w:rPr>
        <w:t xml:space="preserve">risk, shortage, threat, </w:t>
      </w:r>
      <w:r w:rsidR="00206926" w:rsidRPr="003813C9">
        <w:rPr>
          <w:rFonts w:eastAsia="Times New Roman"/>
          <w:color w:val="auto"/>
          <w:sz w:val="24"/>
          <w:szCs w:val="24"/>
        </w:rPr>
        <w:t xml:space="preserve">and </w:t>
      </w:r>
      <w:r w:rsidRPr="003813C9">
        <w:rPr>
          <w:rFonts w:eastAsia="Times New Roman"/>
          <w:color w:val="auto"/>
          <w:sz w:val="24"/>
          <w:szCs w:val="24"/>
        </w:rPr>
        <w:t xml:space="preserve">uncertain), they produce aggregated risk scores. Selecting words to be included in lists, such as this, is a non-trivial </w:t>
      </w:r>
      <w:proofErr w:type="spellStart"/>
      <w:r w:rsidRPr="003813C9">
        <w:rPr>
          <w:rFonts w:eastAsia="Times New Roman"/>
          <w:color w:val="auto"/>
          <w:sz w:val="24"/>
          <w:szCs w:val="24"/>
        </w:rPr>
        <w:t>endeavor</w:t>
      </w:r>
      <w:proofErr w:type="spellEnd"/>
      <w:r w:rsidRPr="003813C9">
        <w:rPr>
          <w:rFonts w:eastAsia="Times New Roman"/>
          <w:color w:val="auto"/>
          <w:sz w:val="24"/>
          <w:szCs w:val="24"/>
        </w:rPr>
        <w:t>. To help mitigate this problem</w:t>
      </w:r>
      <w:r w:rsidR="00EE5357" w:rsidRPr="003813C9">
        <w:rPr>
          <w:rFonts w:eastAsia="Times New Roman"/>
          <w:color w:val="auto"/>
          <w:sz w:val="24"/>
          <w:szCs w:val="24"/>
        </w:rPr>
        <w:t>,</w:t>
      </w:r>
      <w:r w:rsidRPr="003813C9">
        <w:rPr>
          <w:rFonts w:eastAsia="Times New Roman"/>
          <w:color w:val="auto"/>
          <w:sz w:val="24"/>
          <w:szCs w:val="24"/>
        </w:rPr>
        <w:t xml:space="preserve"> Elshandidy et al. (2013: 324) draw on three sources of information: prior academic and professional research on risk concepts, Roget's Thesaurus, and other words indicative of risk, identified by reviewing the annual report narratives. They identify mandatory risk scores by developing a list of six themes or topics that reflect the mandatory requirements of the Accounting Standards Board (ASB) and the IASB. These are: contingencies, segment reporting, foreign exchange transactions, substance of transactions or investments, related-party disclosures, and derivatives. They subtract the mandatory risk score from the aggregate risk scores to obtain voluntary risk scores. They note that </w:t>
      </w:r>
      <w:r w:rsidR="00C23205" w:rsidRPr="003813C9">
        <w:rPr>
          <w:rFonts w:eastAsia="Times New Roman"/>
          <w:color w:val="auto"/>
          <w:sz w:val="24"/>
          <w:szCs w:val="24"/>
        </w:rPr>
        <w:t xml:space="preserve">while </w:t>
      </w:r>
      <w:r w:rsidRPr="003813C9">
        <w:rPr>
          <w:rFonts w:eastAsia="Times New Roman"/>
          <w:color w:val="auto"/>
          <w:sz w:val="24"/>
          <w:szCs w:val="24"/>
        </w:rPr>
        <w:t xml:space="preserve">the aggregated risk scores </w:t>
      </w:r>
      <w:r w:rsidR="00C23205" w:rsidRPr="003813C9">
        <w:rPr>
          <w:rFonts w:eastAsia="Times New Roman"/>
          <w:color w:val="auto"/>
          <w:sz w:val="24"/>
          <w:szCs w:val="24"/>
        </w:rPr>
        <w:t xml:space="preserve">are </w:t>
      </w:r>
      <w:r w:rsidR="00C23205" w:rsidRPr="003813C9">
        <w:rPr>
          <w:rFonts w:eastAsia="Times New Roman"/>
          <w:color w:val="auto"/>
          <w:sz w:val="24"/>
          <w:szCs w:val="24"/>
        </w:rPr>
        <w:lastRenderedPageBreak/>
        <w:t xml:space="preserve">consistent with the voluntary risk scores </w:t>
      </w:r>
      <w:r w:rsidRPr="003813C9">
        <w:rPr>
          <w:rFonts w:eastAsia="Times New Roman"/>
          <w:color w:val="auto"/>
          <w:sz w:val="24"/>
          <w:szCs w:val="24"/>
        </w:rPr>
        <w:t xml:space="preserve">in </w:t>
      </w:r>
      <w:r w:rsidR="00C23205" w:rsidRPr="003813C9">
        <w:rPr>
          <w:rFonts w:eastAsia="Times New Roman"/>
          <w:color w:val="auto"/>
          <w:sz w:val="24"/>
          <w:szCs w:val="24"/>
        </w:rPr>
        <w:t>relation to risk levels</w:t>
      </w:r>
      <w:r w:rsidRPr="003813C9">
        <w:rPr>
          <w:rFonts w:eastAsia="Times New Roman"/>
          <w:color w:val="auto"/>
          <w:sz w:val="24"/>
          <w:szCs w:val="24"/>
        </w:rPr>
        <w:t xml:space="preserve">, </w:t>
      </w:r>
      <w:r w:rsidR="00C23205" w:rsidRPr="003813C9">
        <w:rPr>
          <w:rFonts w:eastAsia="Times New Roman"/>
          <w:color w:val="auto"/>
          <w:sz w:val="24"/>
          <w:szCs w:val="24"/>
        </w:rPr>
        <w:t>those scores, however, are inconsistent w</w:t>
      </w:r>
      <w:r w:rsidR="00415C04" w:rsidRPr="003813C9">
        <w:rPr>
          <w:rFonts w:eastAsia="Times New Roman"/>
          <w:color w:val="auto"/>
          <w:sz w:val="24"/>
          <w:szCs w:val="24"/>
        </w:rPr>
        <w:t>ith the man</w:t>
      </w:r>
      <w:r w:rsidR="00C23205" w:rsidRPr="003813C9">
        <w:rPr>
          <w:rFonts w:eastAsia="Times New Roman"/>
          <w:color w:val="auto"/>
          <w:sz w:val="24"/>
          <w:szCs w:val="24"/>
        </w:rPr>
        <w:t>d</w:t>
      </w:r>
      <w:r w:rsidR="00415C04" w:rsidRPr="003813C9">
        <w:rPr>
          <w:rFonts w:eastAsia="Times New Roman"/>
          <w:color w:val="auto"/>
          <w:sz w:val="24"/>
          <w:szCs w:val="24"/>
        </w:rPr>
        <w:t>ato</w:t>
      </w:r>
      <w:r w:rsidR="00C23205" w:rsidRPr="003813C9">
        <w:rPr>
          <w:rFonts w:eastAsia="Times New Roman"/>
          <w:color w:val="auto"/>
          <w:sz w:val="24"/>
          <w:szCs w:val="24"/>
        </w:rPr>
        <w:t>ry scores in relation to risk levels</w:t>
      </w:r>
      <w:r w:rsidR="009B1753" w:rsidRPr="003813C9">
        <w:rPr>
          <w:rFonts w:eastAsia="Times New Roman"/>
          <w:color w:val="auto"/>
          <w:sz w:val="24"/>
          <w:szCs w:val="24"/>
        </w:rPr>
        <w:t xml:space="preserve">. </w:t>
      </w:r>
      <w:r w:rsidRPr="003813C9">
        <w:rPr>
          <w:rFonts w:eastAsia="Times New Roman"/>
          <w:color w:val="auto"/>
          <w:sz w:val="24"/>
          <w:szCs w:val="24"/>
        </w:rPr>
        <w:t>This suggests that each disclosure type (i.e.</w:t>
      </w:r>
      <w:r w:rsidR="00C236C7" w:rsidRPr="003813C9">
        <w:rPr>
          <w:rFonts w:eastAsia="Times New Roman"/>
          <w:color w:val="auto"/>
          <w:sz w:val="24"/>
          <w:szCs w:val="24"/>
        </w:rPr>
        <w:t xml:space="preserve">, </w:t>
      </w:r>
      <w:r w:rsidRPr="003813C9">
        <w:rPr>
          <w:rFonts w:eastAsia="Times New Roman"/>
          <w:color w:val="auto"/>
          <w:sz w:val="24"/>
          <w:szCs w:val="24"/>
        </w:rPr>
        <w:t>mandatory and voluntary) has a different set of drivers. After discriminating between high- and low-risk firms based on their betas, they find that high-risk firms are more likely to disclose both mandatory and voluntary risk information in response to their corporate risk levels.</w:t>
      </w:r>
    </w:p>
    <w:p w14:paraId="3DA27103" w14:textId="77777777" w:rsidR="0046703C" w:rsidRPr="003813C9" w:rsidRDefault="0046703C" w:rsidP="0046703C">
      <w:pPr>
        <w:spacing w:after="0" w:line="480" w:lineRule="auto"/>
        <w:ind w:firstLine="567"/>
        <w:jc w:val="both"/>
        <w:rPr>
          <w:rFonts w:eastAsia="Calibri"/>
          <w:color w:val="auto"/>
          <w:sz w:val="24"/>
          <w:szCs w:val="24"/>
        </w:rPr>
      </w:pPr>
      <w:r w:rsidRPr="003813C9">
        <w:rPr>
          <w:rFonts w:eastAsia="Times New Roman"/>
          <w:color w:val="auto"/>
          <w:sz w:val="24"/>
          <w:szCs w:val="24"/>
        </w:rPr>
        <w:t>Adopting a similar approach but on a larger scale, Elshandidy et al</w:t>
      </w:r>
      <w:r w:rsidRPr="003813C9">
        <w:rPr>
          <w:rFonts w:eastAsia="Times New Roman"/>
          <w:i/>
          <w:iCs/>
          <w:color w:val="auto"/>
          <w:sz w:val="24"/>
          <w:szCs w:val="24"/>
        </w:rPr>
        <w:t>.</w:t>
      </w:r>
      <w:r w:rsidRPr="003813C9">
        <w:rPr>
          <w:rFonts w:eastAsia="Times New Roman"/>
          <w:color w:val="auto"/>
          <w:sz w:val="24"/>
          <w:szCs w:val="24"/>
        </w:rPr>
        <w:t xml:space="preserve"> (2015) explore whether, and if so to what extent</w:t>
      </w:r>
      <w:r w:rsidR="00B84F41" w:rsidRPr="003813C9">
        <w:rPr>
          <w:rFonts w:eastAsia="Times New Roman"/>
          <w:color w:val="auto"/>
          <w:sz w:val="24"/>
          <w:szCs w:val="24"/>
        </w:rPr>
        <w:t>,</w:t>
      </w:r>
      <w:r w:rsidRPr="003813C9">
        <w:rPr>
          <w:rFonts w:eastAsia="Times New Roman"/>
          <w:color w:val="auto"/>
          <w:sz w:val="24"/>
          <w:szCs w:val="24"/>
        </w:rPr>
        <w:t xml:space="preserve"> firm and country characteristics influence variations in mandatory and voluntary disclosure. They draw on data from non-financial firms across three countries. This </w:t>
      </w:r>
      <w:r w:rsidRPr="003813C9">
        <w:rPr>
          <w:rFonts w:eastAsia="Times New Roman"/>
          <w:iCs/>
          <w:color w:val="auto"/>
          <w:sz w:val="24"/>
          <w:szCs w:val="24"/>
        </w:rPr>
        <w:t>jurisdictional analysis shows</w:t>
      </w:r>
      <w:r w:rsidRPr="003813C9">
        <w:rPr>
          <w:rFonts w:eastAsia="Times New Roman"/>
          <w:color w:val="auto"/>
          <w:sz w:val="24"/>
          <w:szCs w:val="24"/>
        </w:rPr>
        <w:t xml:space="preserve"> that UK and German firms tend to use voluntary risk reporting to complement mandatory risk reporting, whereas US firms use voluntary risk reporting to substitute mandatory risk reporting. Their results document that variations in mandatory and voluntary risk reporting are influenced by systematic risk, the legal system, and cultural values. They also find that the legal system and cultural values have high explanatory power for mandatory risk reporting variations over time, but are less important in explaining variations in voluntary risk reporting between firms in different countries.</w:t>
      </w:r>
    </w:p>
    <w:p w14:paraId="1BD642A1" w14:textId="0CCA5725" w:rsidR="0046703C" w:rsidRPr="003813C9" w:rsidRDefault="0046703C" w:rsidP="0046703C">
      <w:pPr>
        <w:spacing w:after="0" w:line="480" w:lineRule="auto"/>
        <w:ind w:firstLine="567"/>
        <w:jc w:val="both"/>
        <w:rPr>
          <w:rFonts w:eastAsia="Times New Roman"/>
          <w:color w:val="auto"/>
          <w:sz w:val="24"/>
          <w:szCs w:val="24"/>
        </w:rPr>
      </w:pPr>
      <w:r w:rsidRPr="003813C9">
        <w:rPr>
          <w:rFonts w:eastAsia="Times New Roman"/>
          <w:color w:val="auto"/>
          <w:sz w:val="24"/>
          <w:szCs w:val="24"/>
        </w:rPr>
        <w:t xml:space="preserve">Finally, considering quality and quantity of information, </w:t>
      </w:r>
      <w:proofErr w:type="spellStart"/>
      <w:r w:rsidRPr="003813C9">
        <w:rPr>
          <w:rFonts w:eastAsia="Times New Roman"/>
          <w:color w:val="auto"/>
          <w:sz w:val="24"/>
          <w:szCs w:val="24"/>
        </w:rPr>
        <w:t>Malafronte</w:t>
      </w:r>
      <w:proofErr w:type="spellEnd"/>
      <w:r w:rsidRPr="003813C9">
        <w:rPr>
          <w:rFonts w:eastAsia="Times New Roman"/>
          <w:color w:val="auto"/>
          <w:sz w:val="24"/>
          <w:szCs w:val="24"/>
        </w:rPr>
        <w:t xml:space="preserve"> et al. (2016) adopt an automated content analysis approach to study the incentives for risk reporting in insurance firms. The results show that European insurers focus on quantity rather than quality of risk information. The amount of risk information provided in an annual report is associated with size and technical provision</w:t>
      </w:r>
      <w:r w:rsidRPr="003813C9">
        <w:rPr>
          <w:rFonts w:eastAsia="Times New Roman"/>
          <w:color w:val="auto"/>
          <w:sz w:val="24"/>
          <w:szCs w:val="24"/>
          <w:vertAlign w:val="superscript"/>
        </w:rPr>
        <w:footnoteReference w:id="2"/>
      </w:r>
      <w:r w:rsidRPr="003813C9">
        <w:rPr>
          <w:rFonts w:eastAsia="Times New Roman"/>
          <w:color w:val="auto"/>
          <w:sz w:val="24"/>
          <w:szCs w:val="24"/>
        </w:rPr>
        <w:t>, and country-level characteristics. Interestingly, they also find that managers provide more risk information to highlight their independence f</w:t>
      </w:r>
      <w:r w:rsidR="00EE5357" w:rsidRPr="003813C9">
        <w:rPr>
          <w:rFonts w:eastAsia="Times New Roman"/>
          <w:color w:val="auto"/>
          <w:sz w:val="24"/>
          <w:szCs w:val="24"/>
        </w:rPr>
        <w:t>rom the global financial crisis. F</w:t>
      </w:r>
      <w:r w:rsidRPr="003813C9">
        <w:rPr>
          <w:rFonts w:eastAsia="Times New Roman"/>
          <w:color w:val="auto"/>
          <w:sz w:val="24"/>
          <w:szCs w:val="24"/>
        </w:rPr>
        <w:t xml:space="preserve">or example, they find that the CEO’s letter to shareholders often describes and discusses how the firm has faced and/or overcome the crisis. Indeed, they find that most </w:t>
      </w:r>
      <w:r w:rsidRPr="003813C9">
        <w:rPr>
          <w:rFonts w:eastAsia="Times New Roman"/>
          <w:color w:val="auto"/>
          <w:sz w:val="24"/>
          <w:szCs w:val="24"/>
        </w:rPr>
        <w:lastRenderedPageBreak/>
        <w:t>companies in their sample use their risk disclosure to talk about the financial crisis, as opposed to ignor</w:t>
      </w:r>
      <w:r w:rsidR="00273B50" w:rsidRPr="003813C9">
        <w:rPr>
          <w:rFonts w:eastAsia="Times New Roman"/>
          <w:color w:val="auto"/>
          <w:sz w:val="24"/>
          <w:szCs w:val="24"/>
        </w:rPr>
        <w:t>ing</w:t>
      </w:r>
      <w:r w:rsidRPr="003813C9">
        <w:rPr>
          <w:rFonts w:eastAsia="Times New Roman"/>
          <w:color w:val="auto"/>
          <w:sz w:val="24"/>
          <w:szCs w:val="24"/>
        </w:rPr>
        <w:t xml:space="preserve"> it, and to explain how they are – or how they enacted strategies to make themselves appear – independent from it. </w:t>
      </w:r>
    </w:p>
    <w:p w14:paraId="05C6D95B" w14:textId="77777777" w:rsidR="0046703C" w:rsidRPr="003813C9" w:rsidRDefault="0046703C" w:rsidP="0046703C">
      <w:pPr>
        <w:spacing w:after="0" w:line="480" w:lineRule="auto"/>
        <w:ind w:firstLine="567"/>
        <w:jc w:val="both"/>
        <w:rPr>
          <w:rFonts w:eastAsia="Calibri"/>
          <w:color w:val="auto"/>
          <w:sz w:val="24"/>
          <w:szCs w:val="24"/>
        </w:rPr>
      </w:pPr>
      <w:r w:rsidRPr="003813C9">
        <w:rPr>
          <w:rFonts w:eastAsia="Times New Roman"/>
          <w:color w:val="auto"/>
          <w:sz w:val="24"/>
          <w:szCs w:val="24"/>
        </w:rPr>
        <w:t xml:space="preserve">Summarizing this second group, inevitably, different studies produce different results because they use different methods and samples, from different times, and examine different countries. However, a clear implication is that size is </w:t>
      </w:r>
      <w:r w:rsidR="00B54515" w:rsidRPr="003813C9">
        <w:rPr>
          <w:rFonts w:eastAsia="Times New Roman"/>
          <w:color w:val="auto"/>
          <w:sz w:val="24"/>
          <w:szCs w:val="24"/>
        </w:rPr>
        <w:t xml:space="preserve">positively </w:t>
      </w:r>
      <w:r w:rsidRPr="003813C9">
        <w:rPr>
          <w:rFonts w:eastAsia="Times New Roman"/>
          <w:color w:val="auto"/>
          <w:sz w:val="24"/>
          <w:szCs w:val="24"/>
        </w:rPr>
        <w:t xml:space="preserve">associated with </w:t>
      </w:r>
      <w:r w:rsidR="00273B50" w:rsidRPr="003813C9">
        <w:rPr>
          <w:rFonts w:eastAsia="Times New Roman"/>
          <w:color w:val="auto"/>
          <w:sz w:val="24"/>
          <w:szCs w:val="24"/>
        </w:rPr>
        <w:t>increased</w:t>
      </w:r>
      <w:r w:rsidRPr="003813C9">
        <w:rPr>
          <w:rFonts w:eastAsia="Times New Roman"/>
          <w:color w:val="auto"/>
          <w:sz w:val="24"/>
          <w:szCs w:val="24"/>
        </w:rPr>
        <w:t xml:space="preserve"> disclosure, and another is that regulation can lead to more voluntary reporting, such that mandatory and voluntary reporting are often complements rather than substitutes. In addition, risk reporting tends to be more non-financial than financial, historic rather than future orientated, good news rather than bad, and qualitative rather than quantitative.</w:t>
      </w:r>
    </w:p>
    <w:p w14:paraId="388D3ABF" w14:textId="77777777" w:rsidR="0046703C" w:rsidRPr="003813C9" w:rsidRDefault="0046703C" w:rsidP="0046703C">
      <w:pPr>
        <w:spacing w:after="0" w:line="480" w:lineRule="auto"/>
        <w:jc w:val="both"/>
        <w:rPr>
          <w:rFonts w:eastAsia="Times New Roman"/>
          <w:i/>
          <w:color w:val="auto"/>
          <w:sz w:val="24"/>
          <w:szCs w:val="24"/>
        </w:rPr>
      </w:pPr>
      <w:r w:rsidRPr="003813C9">
        <w:rPr>
          <w:rFonts w:eastAsia="Times New Roman"/>
          <w:i/>
          <w:color w:val="auto"/>
          <w:sz w:val="24"/>
          <w:szCs w:val="24"/>
        </w:rPr>
        <w:t>2.3 Disclosure indices</w:t>
      </w:r>
    </w:p>
    <w:p w14:paraId="1D137E31" w14:textId="75EABF1E" w:rsidR="0046703C" w:rsidRPr="003813C9" w:rsidRDefault="0046703C" w:rsidP="000D38DE">
      <w:pPr>
        <w:spacing w:after="0" w:line="480" w:lineRule="auto"/>
        <w:jc w:val="both"/>
        <w:rPr>
          <w:rFonts w:eastAsia="Times New Roman"/>
          <w:color w:val="auto"/>
          <w:sz w:val="24"/>
          <w:szCs w:val="24"/>
          <w:lang w:eastAsia="en-GB"/>
        </w:rPr>
      </w:pPr>
      <w:r w:rsidRPr="003813C9">
        <w:rPr>
          <w:rFonts w:eastAsia="Times New Roman"/>
          <w:color w:val="auto"/>
          <w:sz w:val="24"/>
          <w:szCs w:val="24"/>
        </w:rPr>
        <w:t>The third group we identify employs a topic that has a long history in accounting – the disclosure inde</w:t>
      </w:r>
      <w:r w:rsidR="00C236C7" w:rsidRPr="003813C9">
        <w:rPr>
          <w:rFonts w:eastAsia="Times New Roman"/>
          <w:color w:val="auto"/>
          <w:sz w:val="24"/>
          <w:szCs w:val="24"/>
        </w:rPr>
        <w:t xml:space="preserve">x. Indeed, there is a comprehensive </w:t>
      </w:r>
      <w:r w:rsidRPr="003813C9">
        <w:rPr>
          <w:rFonts w:eastAsia="Times New Roman"/>
          <w:color w:val="auto"/>
          <w:sz w:val="24"/>
          <w:szCs w:val="24"/>
        </w:rPr>
        <w:t xml:space="preserve">review of the early papers in this field which </w:t>
      </w:r>
      <w:r w:rsidR="00191D23" w:rsidRPr="003813C9">
        <w:rPr>
          <w:rFonts w:eastAsia="Times New Roman"/>
          <w:color w:val="auto"/>
          <w:sz w:val="24"/>
          <w:szCs w:val="24"/>
        </w:rPr>
        <w:t xml:space="preserve">dates back to 1991 (Marston &amp; </w:t>
      </w:r>
      <w:r w:rsidRPr="003813C9">
        <w:rPr>
          <w:rFonts w:eastAsia="Times New Roman"/>
          <w:color w:val="auto"/>
          <w:sz w:val="24"/>
          <w:szCs w:val="24"/>
        </w:rPr>
        <w:t>Shrives</w:t>
      </w:r>
      <w:r w:rsidR="00191D23" w:rsidRPr="003813C9">
        <w:rPr>
          <w:rFonts w:eastAsia="Times New Roman"/>
          <w:color w:val="auto"/>
          <w:sz w:val="24"/>
          <w:szCs w:val="24"/>
        </w:rPr>
        <w:t>, 1991</w:t>
      </w:r>
      <w:r w:rsidRPr="003813C9">
        <w:rPr>
          <w:rFonts w:eastAsia="Times New Roman"/>
          <w:color w:val="auto"/>
          <w:sz w:val="24"/>
          <w:szCs w:val="24"/>
        </w:rPr>
        <w:t>). Our review starts somewhat later</w:t>
      </w:r>
      <w:r w:rsidR="00AD6EB4" w:rsidRPr="003813C9">
        <w:rPr>
          <w:rFonts w:eastAsia="Times New Roman"/>
          <w:color w:val="auto"/>
          <w:sz w:val="24"/>
          <w:szCs w:val="24"/>
        </w:rPr>
        <w:t>,</w:t>
      </w:r>
      <w:r w:rsidRPr="003813C9">
        <w:rPr>
          <w:rFonts w:eastAsia="Times New Roman"/>
          <w:color w:val="auto"/>
          <w:sz w:val="24"/>
          <w:szCs w:val="24"/>
        </w:rPr>
        <w:t xml:space="preserve"> with </w:t>
      </w:r>
      <w:r w:rsidRPr="003813C9">
        <w:rPr>
          <w:rFonts w:eastAsia="Times New Roman"/>
          <w:color w:val="auto"/>
          <w:sz w:val="24"/>
          <w:szCs w:val="24"/>
          <w:lang w:eastAsia="en-GB"/>
        </w:rPr>
        <w:t xml:space="preserve">Marshall and </w:t>
      </w:r>
      <w:proofErr w:type="spellStart"/>
      <w:r w:rsidRPr="003813C9">
        <w:rPr>
          <w:rFonts w:eastAsia="Times New Roman"/>
          <w:color w:val="auto"/>
          <w:sz w:val="24"/>
          <w:szCs w:val="24"/>
          <w:lang w:eastAsia="en-GB"/>
        </w:rPr>
        <w:t>Weetman</w:t>
      </w:r>
      <w:proofErr w:type="spellEnd"/>
      <w:r w:rsidRPr="003813C9">
        <w:rPr>
          <w:rFonts w:eastAsia="Times New Roman"/>
          <w:color w:val="auto"/>
          <w:sz w:val="24"/>
          <w:szCs w:val="24"/>
          <w:lang w:eastAsia="en-GB"/>
        </w:rPr>
        <w:t xml:space="preserve"> (2007), who examine the risk information asymmetry gap by comparing UK and US non-financial firms’ external risk reporting against the managerial information set; determining the former by way of a disclosure index and the latter by way of a survey. The index is constructed around the themes covered by the survey. In other words, they do not measure compliance with UK or US accounting standards </w:t>
      </w:r>
      <w:r w:rsidRPr="003813C9">
        <w:rPr>
          <w:rFonts w:eastAsia="Times New Roman"/>
          <w:i/>
          <w:iCs/>
          <w:color w:val="auto"/>
          <w:sz w:val="24"/>
          <w:szCs w:val="24"/>
          <w:lang w:eastAsia="en-GB"/>
        </w:rPr>
        <w:t>per se</w:t>
      </w:r>
      <w:r w:rsidRPr="003813C9">
        <w:rPr>
          <w:rFonts w:eastAsia="Times New Roman"/>
          <w:color w:val="auto"/>
          <w:sz w:val="24"/>
          <w:szCs w:val="24"/>
          <w:lang w:eastAsia="en-GB"/>
        </w:rPr>
        <w:t>, but focus on issues that they expect to be disclosed based on responses to their survey. Ultimately, this covers the key theme of foreign exchange risk disclosure. They find that disclosures provided by firms in both jurisdictions are incomplete. They show the information gap to be lower in the US</w:t>
      </w:r>
      <w:r w:rsidR="00AD6EB4" w:rsidRPr="003813C9">
        <w:rPr>
          <w:rFonts w:eastAsia="Times New Roman"/>
          <w:color w:val="auto"/>
          <w:sz w:val="24"/>
          <w:szCs w:val="24"/>
          <w:lang w:eastAsia="en-GB"/>
        </w:rPr>
        <w:t>A</w:t>
      </w:r>
      <w:r w:rsidRPr="003813C9">
        <w:rPr>
          <w:rFonts w:eastAsia="Times New Roman"/>
          <w:color w:val="auto"/>
          <w:sz w:val="24"/>
          <w:szCs w:val="24"/>
          <w:lang w:eastAsia="en-GB"/>
        </w:rPr>
        <w:t xml:space="preserve"> – where firms have higher levels of financial risk – and the gap is greatest for firms operating in competitive product markets. In contrast, the UK evidence suggests that the information gap is narrowest when financial risk is higher. They argue that regulators should be given flexibility to determine risk disclosure requirements according to jurisdiction-specific management disclosure practices. </w:t>
      </w:r>
    </w:p>
    <w:p w14:paraId="0FDCD840" w14:textId="223381B6" w:rsidR="0046703C" w:rsidRPr="003813C9" w:rsidRDefault="0046703C" w:rsidP="0046703C">
      <w:pPr>
        <w:spacing w:after="0" w:line="480" w:lineRule="auto"/>
        <w:ind w:firstLine="567"/>
        <w:jc w:val="both"/>
        <w:rPr>
          <w:rFonts w:eastAsia="Times New Roman"/>
          <w:color w:val="auto"/>
          <w:sz w:val="24"/>
          <w:szCs w:val="24"/>
        </w:rPr>
      </w:pPr>
      <w:proofErr w:type="spellStart"/>
      <w:r w:rsidRPr="003813C9">
        <w:rPr>
          <w:rFonts w:eastAsia="Times New Roman"/>
          <w:color w:val="auto"/>
          <w:sz w:val="24"/>
          <w:szCs w:val="24"/>
        </w:rPr>
        <w:lastRenderedPageBreak/>
        <w:t>Deumes</w:t>
      </w:r>
      <w:proofErr w:type="spellEnd"/>
      <w:r w:rsidRPr="003813C9">
        <w:rPr>
          <w:rFonts w:eastAsia="Times New Roman"/>
          <w:color w:val="auto"/>
          <w:sz w:val="24"/>
          <w:szCs w:val="24"/>
        </w:rPr>
        <w:t xml:space="preserve"> and </w:t>
      </w:r>
      <w:proofErr w:type="spellStart"/>
      <w:r w:rsidRPr="003813C9">
        <w:rPr>
          <w:rFonts w:eastAsia="Times New Roman"/>
          <w:color w:val="auto"/>
          <w:sz w:val="24"/>
          <w:szCs w:val="24"/>
        </w:rPr>
        <w:t>Knechel</w:t>
      </w:r>
      <w:proofErr w:type="spellEnd"/>
      <w:r w:rsidRPr="003813C9">
        <w:rPr>
          <w:rFonts w:eastAsia="Times New Roman"/>
          <w:color w:val="auto"/>
          <w:sz w:val="24"/>
          <w:szCs w:val="24"/>
        </w:rPr>
        <w:t xml:space="preserve"> (2008) employ a </w:t>
      </w:r>
      <w:r w:rsidRPr="003813C9">
        <w:rPr>
          <w:rFonts w:eastAsia="Times New Roman"/>
          <w:color w:val="auto"/>
          <w:sz w:val="24"/>
          <w:szCs w:val="24"/>
          <w:lang w:eastAsia="en-GB"/>
        </w:rPr>
        <w:t>risk reporting disclosure index – based on six separately identifi</w:t>
      </w:r>
      <w:r w:rsidR="00AD6EB4" w:rsidRPr="003813C9">
        <w:rPr>
          <w:rFonts w:eastAsia="Times New Roman"/>
          <w:color w:val="auto"/>
          <w:sz w:val="24"/>
          <w:szCs w:val="24"/>
          <w:lang w:eastAsia="en-GB"/>
        </w:rPr>
        <w:t xml:space="preserve">able internal control factors, </w:t>
      </w:r>
      <w:r w:rsidRPr="003813C9">
        <w:rPr>
          <w:rFonts w:eastAsia="Times New Roman"/>
          <w:color w:val="auto"/>
          <w:sz w:val="24"/>
          <w:szCs w:val="24"/>
          <w:lang w:eastAsia="en-GB"/>
        </w:rPr>
        <w:t xml:space="preserve">to </w:t>
      </w:r>
      <w:r w:rsidRPr="003813C9">
        <w:rPr>
          <w:rFonts w:eastAsia="Times New Roman"/>
          <w:color w:val="auto"/>
          <w:sz w:val="24"/>
          <w:szCs w:val="24"/>
        </w:rPr>
        <w:t xml:space="preserve">investigate whether, and if so to what degree, the legal regulatory environment and the existence of agency conflicts incentivize the voluntary provision of risk information. They find that economic incentives for voluntary internal control reporting exist in a low-regulation context, </w:t>
      </w:r>
      <w:r w:rsidR="00345DEE" w:rsidRPr="003813C9">
        <w:rPr>
          <w:rFonts w:eastAsia="Times New Roman"/>
          <w:color w:val="auto"/>
          <w:sz w:val="24"/>
          <w:szCs w:val="24"/>
        </w:rPr>
        <w:t xml:space="preserve">as </w:t>
      </w:r>
      <w:r w:rsidRPr="003813C9">
        <w:rPr>
          <w:rFonts w:eastAsia="Times New Roman"/>
          <w:color w:val="auto"/>
          <w:sz w:val="24"/>
          <w:szCs w:val="24"/>
        </w:rPr>
        <w:t xml:space="preserve">in the Netherlands. Additionally, they find a negative relationship between the extent of internal control disclosure and management and block holder ownership, as well as a positive relationship between the extent of such disclosure and financial leverage. They suggest that regulators might wish to allow firms flexibility in their risk-related internal control reporting choices. </w:t>
      </w:r>
    </w:p>
    <w:p w14:paraId="2660B670" w14:textId="77777777" w:rsidR="0046703C" w:rsidRPr="003813C9" w:rsidRDefault="0046703C" w:rsidP="0046703C">
      <w:pPr>
        <w:spacing w:after="0" w:line="480" w:lineRule="auto"/>
        <w:ind w:firstLine="567"/>
        <w:jc w:val="both"/>
        <w:rPr>
          <w:rFonts w:eastAsia="Times New Roman"/>
          <w:color w:val="auto"/>
          <w:sz w:val="24"/>
          <w:szCs w:val="24"/>
        </w:rPr>
      </w:pPr>
      <w:r w:rsidRPr="003813C9">
        <w:rPr>
          <w:rFonts w:eastAsia="Times New Roman"/>
          <w:color w:val="auto"/>
          <w:sz w:val="24"/>
          <w:szCs w:val="24"/>
        </w:rPr>
        <w:t>Looking at initial public offerings (IPOs)</w:t>
      </w:r>
      <w:r w:rsidR="00BD478C" w:rsidRPr="003813C9">
        <w:rPr>
          <w:rFonts w:eastAsia="Times New Roman"/>
          <w:color w:val="auto"/>
          <w:sz w:val="24"/>
          <w:szCs w:val="24"/>
        </w:rPr>
        <w:t xml:space="preserve"> on the London Stock Exchange</w:t>
      </w:r>
      <w:r w:rsidRPr="003813C9">
        <w:rPr>
          <w:rFonts w:eastAsia="Times New Roman"/>
          <w:color w:val="auto"/>
          <w:sz w:val="24"/>
          <w:szCs w:val="24"/>
        </w:rPr>
        <w:t xml:space="preserve">, Hill and Short (2009) undertake </w:t>
      </w:r>
      <w:r w:rsidR="00273B50" w:rsidRPr="003813C9">
        <w:rPr>
          <w:rFonts w:eastAsia="Times New Roman"/>
          <w:color w:val="auto"/>
          <w:sz w:val="24"/>
          <w:szCs w:val="24"/>
        </w:rPr>
        <w:t xml:space="preserve">a </w:t>
      </w:r>
      <w:r w:rsidRPr="003813C9">
        <w:rPr>
          <w:rFonts w:eastAsia="Times New Roman"/>
          <w:color w:val="auto"/>
          <w:sz w:val="24"/>
          <w:szCs w:val="24"/>
        </w:rPr>
        <w:t>manual content analysis of firms</w:t>
      </w:r>
      <w:r w:rsidR="00BD478C" w:rsidRPr="003813C9">
        <w:rPr>
          <w:rFonts w:eastAsia="Times New Roman"/>
          <w:color w:val="auto"/>
          <w:sz w:val="24"/>
          <w:szCs w:val="24"/>
        </w:rPr>
        <w:t>’</w:t>
      </w:r>
      <w:r w:rsidRPr="003813C9">
        <w:rPr>
          <w:rFonts w:eastAsia="Times New Roman"/>
          <w:color w:val="auto"/>
          <w:sz w:val="24"/>
          <w:szCs w:val="24"/>
        </w:rPr>
        <w:t xml:space="preserve"> risk warning statement</w:t>
      </w:r>
      <w:r w:rsidR="00BD478C" w:rsidRPr="003813C9">
        <w:rPr>
          <w:rFonts w:eastAsia="Times New Roman"/>
          <w:color w:val="auto"/>
          <w:sz w:val="24"/>
          <w:szCs w:val="24"/>
        </w:rPr>
        <w:t>s</w:t>
      </w:r>
      <w:r w:rsidRPr="003813C9">
        <w:rPr>
          <w:rFonts w:eastAsia="Times New Roman"/>
          <w:color w:val="auto"/>
          <w:sz w:val="24"/>
          <w:szCs w:val="24"/>
        </w:rPr>
        <w:t xml:space="preserve"> and IPO prospectus</w:t>
      </w:r>
      <w:r w:rsidR="00BD478C" w:rsidRPr="003813C9">
        <w:rPr>
          <w:rFonts w:eastAsia="Times New Roman"/>
          <w:color w:val="auto"/>
          <w:sz w:val="24"/>
          <w:szCs w:val="24"/>
        </w:rPr>
        <w:t>es</w:t>
      </w:r>
      <w:r w:rsidR="00345DEE" w:rsidRPr="003813C9">
        <w:rPr>
          <w:rFonts w:eastAsia="Times New Roman"/>
          <w:color w:val="auto"/>
          <w:sz w:val="24"/>
          <w:szCs w:val="24"/>
        </w:rPr>
        <w:t xml:space="preserve"> </w:t>
      </w:r>
      <w:r w:rsidRPr="003813C9">
        <w:rPr>
          <w:rFonts w:eastAsia="Times New Roman"/>
          <w:color w:val="auto"/>
          <w:sz w:val="24"/>
          <w:szCs w:val="24"/>
        </w:rPr>
        <w:t xml:space="preserve">to develop an index based upon the existence of risk warning disclosures. </w:t>
      </w:r>
      <w:r w:rsidR="00191D23" w:rsidRPr="003813C9">
        <w:rPr>
          <w:rFonts w:eastAsia="Times New Roman"/>
          <w:color w:val="auto"/>
          <w:sz w:val="24"/>
          <w:szCs w:val="24"/>
          <w:lang w:val="en-CA"/>
        </w:rPr>
        <w:t>They analyz</w:t>
      </w:r>
      <w:r w:rsidRPr="003813C9">
        <w:rPr>
          <w:rFonts w:eastAsia="Times New Roman"/>
          <w:color w:val="auto"/>
          <w:sz w:val="24"/>
          <w:szCs w:val="24"/>
          <w:lang w:val="en-CA"/>
        </w:rPr>
        <w:t>e risk topics into the following seven categories: (i) internal risks; (ii) external risks; and (iii) corporate development; (iv) third-party risks; (v) information risks; (vi) ongoing claims and disputes; and (vii) ‘boiler plate’ disclosures.</w:t>
      </w:r>
      <w:r w:rsidRPr="003813C9">
        <w:rPr>
          <w:rFonts w:eastAsia="Times New Roman"/>
          <w:color w:val="auto"/>
          <w:sz w:val="24"/>
          <w:szCs w:val="24"/>
        </w:rPr>
        <w:t xml:space="preserve"> Following this coding exercise, they draw on frameworks developed in prior work – namely, </w:t>
      </w:r>
      <w:r w:rsidRPr="003813C9">
        <w:rPr>
          <w:rFonts w:eastAsia="Times New Roman"/>
          <w:color w:val="auto"/>
          <w:sz w:val="24"/>
          <w:szCs w:val="24"/>
          <w:lang w:val="en-CA"/>
        </w:rPr>
        <w:t>Beattie,</w:t>
      </w:r>
      <w:r w:rsidRPr="003813C9">
        <w:rPr>
          <w:rFonts w:eastAsia="Times New Roman"/>
          <w:color w:val="auto"/>
          <w:sz w:val="24"/>
          <w:szCs w:val="24"/>
          <w:lang w:eastAsia="en-GB"/>
        </w:rPr>
        <w:t xml:space="preserve"> </w:t>
      </w:r>
      <w:proofErr w:type="spellStart"/>
      <w:r w:rsidRPr="003813C9">
        <w:rPr>
          <w:rFonts w:eastAsia="Times New Roman"/>
          <w:color w:val="auto"/>
          <w:sz w:val="24"/>
          <w:szCs w:val="24"/>
          <w:lang w:eastAsia="en-GB"/>
        </w:rPr>
        <w:t>McInnes</w:t>
      </w:r>
      <w:proofErr w:type="spellEnd"/>
      <w:r w:rsidRPr="003813C9">
        <w:rPr>
          <w:rFonts w:eastAsia="Times New Roman"/>
          <w:color w:val="auto"/>
          <w:sz w:val="24"/>
          <w:szCs w:val="24"/>
          <w:lang w:eastAsia="en-GB"/>
        </w:rPr>
        <w:t xml:space="preserve"> and </w:t>
      </w:r>
      <w:proofErr w:type="spellStart"/>
      <w:r w:rsidRPr="003813C9">
        <w:rPr>
          <w:rFonts w:eastAsia="Times New Roman"/>
          <w:color w:val="auto"/>
          <w:sz w:val="24"/>
          <w:szCs w:val="24"/>
          <w:lang w:eastAsia="en-GB"/>
        </w:rPr>
        <w:t>Fearnley</w:t>
      </w:r>
      <w:proofErr w:type="spellEnd"/>
      <w:r w:rsidRPr="003813C9">
        <w:rPr>
          <w:rFonts w:eastAsia="Times New Roman"/>
          <w:color w:val="auto"/>
          <w:sz w:val="24"/>
          <w:szCs w:val="24"/>
          <w:lang w:val="en-CA"/>
        </w:rPr>
        <w:t xml:space="preserve"> (2004), Beretta and </w:t>
      </w:r>
      <w:proofErr w:type="spellStart"/>
      <w:r w:rsidRPr="003813C9">
        <w:rPr>
          <w:rFonts w:eastAsia="Times New Roman"/>
          <w:color w:val="auto"/>
          <w:sz w:val="24"/>
          <w:szCs w:val="24"/>
          <w:lang w:val="en-CA"/>
        </w:rPr>
        <w:t>Bozzolan</w:t>
      </w:r>
      <w:proofErr w:type="spellEnd"/>
      <w:r w:rsidRPr="003813C9">
        <w:rPr>
          <w:rFonts w:eastAsia="Times New Roman"/>
          <w:color w:val="auto"/>
          <w:sz w:val="24"/>
          <w:szCs w:val="24"/>
          <w:lang w:val="en-CA"/>
        </w:rPr>
        <w:t xml:space="preserve"> (2004), and </w:t>
      </w:r>
      <w:proofErr w:type="spellStart"/>
      <w:r w:rsidRPr="003813C9">
        <w:rPr>
          <w:rFonts w:eastAsia="Times New Roman"/>
          <w:color w:val="auto"/>
          <w:sz w:val="24"/>
          <w:szCs w:val="24"/>
          <w:lang w:val="en-CA"/>
        </w:rPr>
        <w:t>Linsley</w:t>
      </w:r>
      <w:proofErr w:type="spellEnd"/>
      <w:r w:rsidRPr="003813C9">
        <w:rPr>
          <w:rFonts w:eastAsia="Times New Roman"/>
          <w:color w:val="auto"/>
          <w:sz w:val="24"/>
          <w:szCs w:val="24"/>
          <w:lang w:val="en-CA"/>
        </w:rPr>
        <w:t xml:space="preserve"> and Shrives (2006) – to </w:t>
      </w:r>
      <w:r w:rsidRPr="003813C9">
        <w:rPr>
          <w:rFonts w:eastAsia="Times New Roman"/>
          <w:color w:val="auto"/>
          <w:sz w:val="24"/>
          <w:szCs w:val="24"/>
        </w:rPr>
        <w:t>assess the quality of risk disclosure over time (1991-2003). They</w:t>
      </w:r>
      <w:r w:rsidR="00191D23" w:rsidRPr="003813C9">
        <w:rPr>
          <w:rFonts w:eastAsia="Times New Roman"/>
          <w:color w:val="auto"/>
          <w:sz w:val="24"/>
          <w:szCs w:val="24"/>
          <w:lang w:val="en-CA"/>
        </w:rPr>
        <w:t xml:space="preserve"> analyz</w:t>
      </w:r>
      <w:r w:rsidRPr="003813C9">
        <w:rPr>
          <w:rFonts w:eastAsia="Times New Roman"/>
          <w:color w:val="auto"/>
          <w:sz w:val="24"/>
          <w:szCs w:val="24"/>
          <w:lang w:val="en-CA"/>
        </w:rPr>
        <w:t>e the types of disclosure along the following dimensions: (i) time orientation; (ii) ﬁnancial/non-ﬁnancial; (iii) quantitative/qualitative; (</w:t>
      </w:r>
      <w:proofErr w:type="gramStart"/>
      <w:r w:rsidRPr="003813C9">
        <w:rPr>
          <w:rFonts w:eastAsia="Times New Roman"/>
          <w:color w:val="auto"/>
          <w:sz w:val="24"/>
          <w:szCs w:val="24"/>
          <w:lang w:val="en-CA"/>
        </w:rPr>
        <w:t>iv</w:t>
      </w:r>
      <w:proofErr w:type="gramEnd"/>
      <w:r w:rsidRPr="003813C9">
        <w:rPr>
          <w:rFonts w:eastAsia="Times New Roman"/>
          <w:color w:val="auto"/>
          <w:sz w:val="24"/>
          <w:szCs w:val="24"/>
          <w:lang w:val="en-CA"/>
        </w:rPr>
        <w:t xml:space="preserve">) economic sign; and (v) risk management strategies. </w:t>
      </w:r>
      <w:r w:rsidRPr="003813C9">
        <w:rPr>
          <w:rFonts w:eastAsia="Times New Roman"/>
          <w:color w:val="auto"/>
          <w:sz w:val="24"/>
          <w:szCs w:val="24"/>
        </w:rPr>
        <w:t xml:space="preserve">They find that while firms tend to reveal a high proportion of forward-looking information, they tend to reveal a low proportion of information on internal controls and risk management. The results also document that managerial ownership is negatively associated with risk disclosure. </w:t>
      </w:r>
    </w:p>
    <w:p w14:paraId="6743C073" w14:textId="77777777" w:rsidR="0046703C" w:rsidRPr="003813C9" w:rsidRDefault="0046703C" w:rsidP="0046703C">
      <w:pPr>
        <w:spacing w:after="0" w:line="480" w:lineRule="auto"/>
        <w:ind w:firstLine="567"/>
        <w:jc w:val="both"/>
        <w:rPr>
          <w:rFonts w:eastAsia="Times New Roman"/>
          <w:b/>
          <w:color w:val="auto"/>
          <w:sz w:val="36"/>
          <w:szCs w:val="24"/>
        </w:rPr>
      </w:pPr>
      <w:r w:rsidRPr="003813C9">
        <w:rPr>
          <w:rFonts w:eastAsia="Times New Roman"/>
          <w:color w:val="auto"/>
          <w:sz w:val="24"/>
          <w:szCs w:val="24"/>
        </w:rPr>
        <w:t xml:space="preserve">Taylor et al. (2010) find that levels of corporate governance and the need to raise capital are positively related to the ‘extent’ of Australian firms’ mandatory and discretionary financial risk disclosure; where extent is measured using an index comprising 27 financial risk </w:t>
      </w:r>
      <w:r w:rsidRPr="003813C9">
        <w:rPr>
          <w:rFonts w:eastAsia="Times New Roman"/>
          <w:color w:val="auto"/>
          <w:sz w:val="24"/>
          <w:szCs w:val="24"/>
        </w:rPr>
        <w:lastRenderedPageBreak/>
        <w:t xml:space="preserve">management disclosure items consisting of 13 mandatory items and 14 discretionary ones. The results also indicate that an overseas exchange listing </w:t>
      </w:r>
      <w:r w:rsidR="000C1BF2" w:rsidRPr="003813C9">
        <w:rPr>
          <w:rFonts w:eastAsia="Times New Roman"/>
          <w:color w:val="auto"/>
          <w:sz w:val="24"/>
          <w:szCs w:val="24"/>
        </w:rPr>
        <w:t xml:space="preserve">is </w:t>
      </w:r>
      <w:r w:rsidRPr="003813C9">
        <w:rPr>
          <w:rFonts w:eastAsia="Times New Roman"/>
          <w:color w:val="auto"/>
          <w:sz w:val="24"/>
          <w:szCs w:val="24"/>
        </w:rPr>
        <w:t xml:space="preserve">negatively </w:t>
      </w:r>
      <w:r w:rsidR="000C1BF2" w:rsidRPr="003813C9">
        <w:rPr>
          <w:rFonts w:eastAsia="Times New Roman"/>
          <w:color w:val="auto"/>
          <w:sz w:val="24"/>
          <w:szCs w:val="24"/>
        </w:rPr>
        <w:t xml:space="preserve">associated with </w:t>
      </w:r>
      <w:r w:rsidRPr="003813C9">
        <w:rPr>
          <w:rFonts w:eastAsia="Times New Roman"/>
          <w:color w:val="auto"/>
          <w:sz w:val="24"/>
          <w:szCs w:val="24"/>
        </w:rPr>
        <w:t xml:space="preserve">these firms’ financial risk disclosures. Interestingly, being cross-listed also has a negative impact on the quantity of both mandatory and voluntary risk information. Taylor et al. (2010) also note significant </w:t>
      </w:r>
      <w:r w:rsidR="00B54515" w:rsidRPr="003813C9">
        <w:rPr>
          <w:rFonts w:eastAsia="Times New Roman"/>
          <w:color w:val="auto"/>
          <w:sz w:val="24"/>
          <w:szCs w:val="24"/>
        </w:rPr>
        <w:t xml:space="preserve">positive </w:t>
      </w:r>
      <w:r w:rsidRPr="003813C9">
        <w:rPr>
          <w:rFonts w:eastAsia="Times New Roman"/>
          <w:color w:val="auto"/>
          <w:sz w:val="24"/>
          <w:szCs w:val="24"/>
        </w:rPr>
        <w:t xml:space="preserve">impact </w:t>
      </w:r>
      <w:proofErr w:type="gramStart"/>
      <w:r w:rsidRPr="003813C9">
        <w:rPr>
          <w:rFonts w:eastAsia="Times New Roman"/>
          <w:color w:val="auto"/>
          <w:sz w:val="24"/>
          <w:szCs w:val="24"/>
        </w:rPr>
        <w:t>of</w:t>
      </w:r>
      <w:r w:rsidR="000E01FB" w:rsidRPr="003813C9">
        <w:rPr>
          <w:color w:val="auto"/>
        </w:rPr>
        <w:t xml:space="preserve">  </w:t>
      </w:r>
      <w:r w:rsidR="000E01FB" w:rsidRPr="003813C9">
        <w:rPr>
          <w:rFonts w:eastAsia="Times New Roman"/>
          <w:color w:val="auto"/>
          <w:sz w:val="24"/>
          <w:szCs w:val="24"/>
        </w:rPr>
        <w:t>International</w:t>
      </w:r>
      <w:proofErr w:type="gramEnd"/>
      <w:r w:rsidR="000E01FB" w:rsidRPr="003813C9">
        <w:rPr>
          <w:rFonts w:eastAsia="Times New Roman"/>
          <w:color w:val="auto"/>
          <w:sz w:val="24"/>
          <w:szCs w:val="24"/>
        </w:rPr>
        <w:t xml:space="preserve"> Financial Reporting Standards</w:t>
      </w:r>
      <w:r w:rsidRPr="003813C9">
        <w:rPr>
          <w:rFonts w:eastAsia="Times New Roman"/>
          <w:color w:val="auto"/>
          <w:sz w:val="24"/>
          <w:szCs w:val="24"/>
        </w:rPr>
        <w:t xml:space="preserve"> </w:t>
      </w:r>
      <w:r w:rsidR="000E01FB" w:rsidRPr="003813C9">
        <w:rPr>
          <w:rFonts w:eastAsia="Times New Roman"/>
          <w:color w:val="auto"/>
          <w:sz w:val="24"/>
          <w:szCs w:val="24"/>
        </w:rPr>
        <w:t>(</w:t>
      </w:r>
      <w:r w:rsidRPr="003813C9">
        <w:rPr>
          <w:rFonts w:eastAsia="Times New Roman"/>
          <w:color w:val="auto"/>
          <w:sz w:val="24"/>
          <w:szCs w:val="24"/>
        </w:rPr>
        <w:t>IFRS</w:t>
      </w:r>
      <w:r w:rsidR="000E01FB" w:rsidRPr="003813C9">
        <w:rPr>
          <w:rFonts w:eastAsia="Times New Roman"/>
          <w:color w:val="auto"/>
          <w:sz w:val="24"/>
          <w:szCs w:val="24"/>
        </w:rPr>
        <w:t>)</w:t>
      </w:r>
      <w:r w:rsidRPr="003813C9">
        <w:rPr>
          <w:rFonts w:eastAsia="Times New Roman"/>
          <w:color w:val="auto"/>
          <w:sz w:val="24"/>
          <w:szCs w:val="24"/>
        </w:rPr>
        <w:t xml:space="preserve"> adoption on that information being revealed. Finally, they find that larger and highly leveraged firms tend to provide more risk information. </w:t>
      </w:r>
    </w:p>
    <w:p w14:paraId="2D3AECD8" w14:textId="77777777" w:rsidR="0046703C" w:rsidRPr="003813C9" w:rsidRDefault="0046703C" w:rsidP="0046703C">
      <w:pPr>
        <w:spacing w:after="0" w:line="480" w:lineRule="auto"/>
        <w:ind w:firstLine="567"/>
        <w:jc w:val="both"/>
        <w:rPr>
          <w:rFonts w:eastAsia="Times New Roman"/>
          <w:color w:val="auto"/>
          <w:sz w:val="24"/>
          <w:szCs w:val="24"/>
        </w:rPr>
      </w:pPr>
      <w:r w:rsidRPr="003813C9">
        <w:rPr>
          <w:rFonts w:eastAsia="Times New Roman"/>
          <w:color w:val="auto"/>
          <w:sz w:val="24"/>
          <w:szCs w:val="24"/>
        </w:rPr>
        <w:t xml:space="preserve">Using the disclosures of European banks (85 banks from 20 EU countries) as their context, </w:t>
      </w:r>
      <w:proofErr w:type="spellStart"/>
      <w:r w:rsidRPr="003813C9">
        <w:rPr>
          <w:rFonts w:eastAsia="Times New Roman"/>
          <w:color w:val="auto"/>
          <w:sz w:val="24"/>
          <w:szCs w:val="24"/>
        </w:rPr>
        <w:t>Barakat</w:t>
      </w:r>
      <w:proofErr w:type="spellEnd"/>
      <w:r w:rsidRPr="003813C9">
        <w:rPr>
          <w:rFonts w:eastAsia="Times New Roman"/>
          <w:color w:val="auto"/>
          <w:sz w:val="24"/>
          <w:szCs w:val="24"/>
        </w:rPr>
        <w:t xml:space="preserve"> and Hussainey (2013) investigate the direct and joint effects of governance, regulation, and supervision on the quality of operational risk disclosure. They define direct effects as firm-level managerial risk disclosure decisions, and joint effects as a function of contagion, driven by a combination of availability of information through other sources and mandatory requirements of accounting standards. They use a self-constructed disclosure index to measure operational risk disclosure, composed of 14 main themes</w:t>
      </w:r>
      <w:r w:rsidRPr="003813C9">
        <w:rPr>
          <w:rFonts w:eastAsia="Times New Roman"/>
          <w:color w:val="auto"/>
          <w:sz w:val="24"/>
          <w:szCs w:val="24"/>
          <w:vertAlign w:val="superscript"/>
        </w:rPr>
        <w:footnoteReference w:id="3"/>
      </w:r>
      <w:r w:rsidRPr="003813C9">
        <w:rPr>
          <w:rFonts w:eastAsia="Times New Roman"/>
          <w:color w:val="auto"/>
          <w:sz w:val="24"/>
          <w:szCs w:val="24"/>
        </w:rPr>
        <w:t>, and comprising 4 sub-items per theme</w:t>
      </w:r>
      <w:r w:rsidRPr="003813C9">
        <w:rPr>
          <w:rFonts w:eastAsia="Times New Roman"/>
          <w:color w:val="auto"/>
          <w:sz w:val="24"/>
          <w:szCs w:val="24"/>
          <w:vertAlign w:val="superscript"/>
        </w:rPr>
        <w:footnoteReference w:id="4"/>
      </w:r>
      <w:r w:rsidRPr="003813C9">
        <w:rPr>
          <w:rFonts w:eastAsia="Times New Roman"/>
          <w:color w:val="auto"/>
          <w:sz w:val="24"/>
          <w:szCs w:val="24"/>
        </w:rPr>
        <w:t xml:space="preserve"> (binary-coded, maximum score 56 points). They find that bank governance has a significant </w:t>
      </w:r>
      <w:r w:rsidR="00B54515" w:rsidRPr="003813C9">
        <w:rPr>
          <w:rFonts w:eastAsia="Times New Roman"/>
          <w:color w:val="auto"/>
          <w:sz w:val="24"/>
          <w:szCs w:val="24"/>
        </w:rPr>
        <w:t xml:space="preserve">positive </w:t>
      </w:r>
      <w:r w:rsidRPr="003813C9">
        <w:rPr>
          <w:rFonts w:eastAsia="Times New Roman"/>
          <w:color w:val="auto"/>
          <w:sz w:val="24"/>
          <w:szCs w:val="24"/>
        </w:rPr>
        <w:t xml:space="preserve">impact on operational risk disclosure, and that supervision is an essential element of that impact. </w:t>
      </w:r>
    </w:p>
    <w:p w14:paraId="489CF7FB" w14:textId="5165D4EA" w:rsidR="0046703C" w:rsidRPr="003813C9" w:rsidRDefault="0046703C" w:rsidP="0046703C">
      <w:pPr>
        <w:spacing w:after="0" w:line="480" w:lineRule="auto"/>
        <w:ind w:firstLine="567"/>
        <w:jc w:val="both"/>
        <w:rPr>
          <w:rFonts w:eastAsia="Times New Roman"/>
          <w:color w:val="auto"/>
          <w:sz w:val="24"/>
          <w:szCs w:val="24"/>
        </w:rPr>
      </w:pPr>
      <w:r w:rsidRPr="003813C9">
        <w:rPr>
          <w:rFonts w:eastAsia="Times New Roman"/>
          <w:color w:val="auto"/>
          <w:sz w:val="24"/>
          <w:szCs w:val="24"/>
        </w:rPr>
        <w:t>Also using banks’ risk reporting as their context, Al-</w:t>
      </w:r>
      <w:proofErr w:type="spellStart"/>
      <w:r w:rsidRPr="003813C9">
        <w:rPr>
          <w:rFonts w:eastAsia="Times New Roman"/>
          <w:color w:val="auto"/>
          <w:sz w:val="24"/>
          <w:szCs w:val="24"/>
        </w:rPr>
        <w:t>Hadi</w:t>
      </w:r>
      <w:proofErr w:type="spellEnd"/>
      <w:r w:rsidRPr="003813C9">
        <w:rPr>
          <w:rFonts w:eastAsia="Times New Roman"/>
          <w:color w:val="auto"/>
          <w:sz w:val="24"/>
          <w:szCs w:val="24"/>
        </w:rPr>
        <w:t xml:space="preserve"> et al. (2016) investigate the impact of a risk committee and its characteristics on market risk disclosure. Interestingly, they examine banks’ disclosures in a less developed market, namely in the Gulf Cooperation Council (GCC) region. The GCC</w:t>
      </w:r>
      <w:r w:rsidR="00546CE6" w:rsidRPr="003813C9">
        <w:rPr>
          <w:rFonts w:eastAsia="Times New Roman"/>
          <w:color w:val="auto"/>
          <w:sz w:val="24"/>
          <w:szCs w:val="24"/>
        </w:rPr>
        <w:t xml:space="preserve"> is a regional political organiz</w:t>
      </w:r>
      <w:r w:rsidRPr="003813C9">
        <w:rPr>
          <w:rFonts w:eastAsia="Times New Roman"/>
          <w:color w:val="auto"/>
          <w:sz w:val="24"/>
          <w:szCs w:val="24"/>
        </w:rPr>
        <w:t xml:space="preserve">ation comprising the energy rich Gulf </w:t>
      </w:r>
      <w:r w:rsidRPr="003813C9">
        <w:rPr>
          <w:rFonts w:eastAsia="Times New Roman"/>
          <w:color w:val="auto"/>
          <w:sz w:val="24"/>
          <w:szCs w:val="24"/>
        </w:rPr>
        <w:lastRenderedPageBreak/>
        <w:t>monarchies, namely Bahrain, Kuwait, Oman, Qatar, Saudi Arabia, and the United Arab Emirates. They find that banks with a separate risk committee provide more market risk disclosure. These banks’ decisions regarding the disclosure of risk information are also influenced by risk committee characteristics including size and the qualification status of the members. The results are more pronounced for more mature banks.</w:t>
      </w:r>
    </w:p>
    <w:p w14:paraId="48E22609" w14:textId="77777777" w:rsidR="0046703C" w:rsidRPr="003813C9" w:rsidRDefault="0046703C" w:rsidP="0046703C">
      <w:pPr>
        <w:spacing w:after="0" w:line="480" w:lineRule="auto"/>
        <w:ind w:firstLine="567"/>
        <w:jc w:val="both"/>
        <w:rPr>
          <w:rFonts w:eastAsia="Calibri"/>
          <w:color w:val="auto"/>
          <w:sz w:val="24"/>
          <w:szCs w:val="24"/>
        </w:rPr>
      </w:pPr>
      <w:r w:rsidRPr="003813C9">
        <w:rPr>
          <w:rFonts w:eastAsia="Times New Roman"/>
          <w:color w:val="auto"/>
          <w:sz w:val="24"/>
          <w:szCs w:val="24"/>
        </w:rPr>
        <w:t>To summarize, this third group of studies shows that risk disclosures are often more extensive in larger companies or companies with superior corporate governance. Several of these studies advise regulators to allow some flexibility regarding disclosure so that companies can follow the spirit of risk reporting, without the constraints on the flow of information which might arise from over-regulation (</w:t>
      </w:r>
      <w:proofErr w:type="spellStart"/>
      <w:r w:rsidRPr="003813C9">
        <w:rPr>
          <w:rFonts w:eastAsia="Times New Roman"/>
          <w:color w:val="auto"/>
          <w:sz w:val="24"/>
          <w:szCs w:val="24"/>
        </w:rPr>
        <w:t>Deumes</w:t>
      </w:r>
      <w:proofErr w:type="spellEnd"/>
      <w:r w:rsidRPr="003813C9">
        <w:rPr>
          <w:rFonts w:eastAsia="Times New Roman"/>
          <w:color w:val="auto"/>
          <w:sz w:val="24"/>
          <w:szCs w:val="24"/>
        </w:rPr>
        <w:t xml:space="preserve"> &amp; </w:t>
      </w:r>
      <w:proofErr w:type="spellStart"/>
      <w:r w:rsidRPr="003813C9">
        <w:rPr>
          <w:rFonts w:eastAsia="Times New Roman"/>
          <w:color w:val="auto"/>
          <w:sz w:val="24"/>
          <w:szCs w:val="24"/>
        </w:rPr>
        <w:t>Knechel</w:t>
      </w:r>
      <w:proofErr w:type="spellEnd"/>
      <w:r w:rsidRPr="003813C9">
        <w:rPr>
          <w:rFonts w:eastAsia="Times New Roman"/>
          <w:color w:val="auto"/>
          <w:sz w:val="24"/>
          <w:szCs w:val="24"/>
        </w:rPr>
        <w:t>, 2008;</w:t>
      </w:r>
      <w:r w:rsidRPr="003813C9">
        <w:rPr>
          <w:rFonts w:eastAsia="Times New Roman"/>
          <w:color w:val="auto"/>
          <w:sz w:val="24"/>
          <w:szCs w:val="24"/>
          <w:lang w:eastAsia="en-GB"/>
        </w:rPr>
        <w:t xml:space="preserve"> </w:t>
      </w:r>
      <w:proofErr w:type="gramStart"/>
      <w:r w:rsidRPr="003813C9">
        <w:rPr>
          <w:rFonts w:eastAsia="Times New Roman"/>
          <w:color w:val="auto"/>
          <w:sz w:val="24"/>
          <w:szCs w:val="24"/>
          <w:lang w:eastAsia="en-GB"/>
        </w:rPr>
        <w:t>Marshall &amp;</w:t>
      </w:r>
      <w:proofErr w:type="gramEnd"/>
      <w:r w:rsidRPr="003813C9">
        <w:rPr>
          <w:rFonts w:eastAsia="Times New Roman"/>
          <w:color w:val="auto"/>
          <w:sz w:val="24"/>
          <w:szCs w:val="24"/>
          <w:lang w:eastAsia="en-GB"/>
        </w:rPr>
        <w:t xml:space="preserve"> </w:t>
      </w:r>
      <w:proofErr w:type="spellStart"/>
      <w:r w:rsidRPr="003813C9">
        <w:rPr>
          <w:rFonts w:eastAsia="Times New Roman"/>
          <w:color w:val="auto"/>
          <w:sz w:val="24"/>
          <w:szCs w:val="24"/>
          <w:lang w:eastAsia="en-GB"/>
        </w:rPr>
        <w:t>Weetman</w:t>
      </w:r>
      <w:proofErr w:type="spellEnd"/>
      <w:r w:rsidRPr="003813C9">
        <w:rPr>
          <w:rFonts w:eastAsia="Times New Roman"/>
          <w:color w:val="auto"/>
          <w:sz w:val="24"/>
          <w:szCs w:val="24"/>
          <w:lang w:eastAsia="en-GB"/>
        </w:rPr>
        <w:t xml:space="preserve">, 2007). This is consistent with the </w:t>
      </w:r>
      <w:r w:rsidR="00191D23" w:rsidRPr="003813C9">
        <w:rPr>
          <w:rFonts w:eastAsia="Times New Roman"/>
          <w:color w:val="auto"/>
          <w:sz w:val="24"/>
          <w:szCs w:val="24"/>
          <w:lang w:eastAsia="en-GB"/>
        </w:rPr>
        <w:t xml:space="preserve">recommendation </w:t>
      </w:r>
      <w:r w:rsidRPr="003813C9">
        <w:rPr>
          <w:rFonts w:eastAsia="Times New Roman"/>
          <w:color w:val="auto"/>
          <w:sz w:val="24"/>
          <w:szCs w:val="24"/>
          <w:lang w:eastAsia="en-GB"/>
        </w:rPr>
        <w:t xml:space="preserve">from the second group of studies (using content analysis) that flexible regulation can encourage more voluntary reporting. The ‘comply or explain’ approach used in corporate governance may be the way to encourage better reporting. The </w:t>
      </w:r>
      <w:r w:rsidR="009F5801" w:rsidRPr="003813C9">
        <w:rPr>
          <w:rFonts w:eastAsia="Times New Roman"/>
          <w:color w:val="auto"/>
          <w:sz w:val="24"/>
          <w:szCs w:val="24"/>
          <w:lang w:eastAsia="en-GB"/>
        </w:rPr>
        <w:t>rationale</w:t>
      </w:r>
      <w:r w:rsidR="00513D33" w:rsidRPr="003813C9">
        <w:rPr>
          <w:rFonts w:eastAsia="Times New Roman"/>
          <w:color w:val="auto"/>
          <w:sz w:val="24"/>
          <w:szCs w:val="24"/>
          <w:lang w:eastAsia="en-GB"/>
        </w:rPr>
        <w:t xml:space="preserve"> </w:t>
      </w:r>
      <w:r w:rsidRPr="003813C9">
        <w:rPr>
          <w:rFonts w:eastAsia="Times New Roman"/>
          <w:color w:val="auto"/>
          <w:sz w:val="24"/>
          <w:szCs w:val="24"/>
          <w:lang w:eastAsia="en-GB"/>
        </w:rPr>
        <w:t>behind ‘comply or explain’ is that it allows the market to decide what is (</w:t>
      </w:r>
      <w:proofErr w:type="spellStart"/>
      <w:r w:rsidRPr="003813C9">
        <w:rPr>
          <w:rFonts w:eastAsia="Times New Roman"/>
          <w:color w:val="auto"/>
          <w:sz w:val="24"/>
          <w:szCs w:val="24"/>
          <w:lang w:eastAsia="en-GB"/>
        </w:rPr>
        <w:t>ir</w:t>
      </w:r>
      <w:proofErr w:type="spellEnd"/>
      <w:proofErr w:type="gramStart"/>
      <w:r w:rsidRPr="003813C9">
        <w:rPr>
          <w:rFonts w:eastAsia="Times New Roman"/>
          <w:color w:val="auto"/>
          <w:sz w:val="24"/>
          <w:szCs w:val="24"/>
          <w:lang w:eastAsia="en-GB"/>
        </w:rPr>
        <w:t>)relevant</w:t>
      </w:r>
      <w:proofErr w:type="gramEnd"/>
      <w:r w:rsidRPr="003813C9">
        <w:rPr>
          <w:rFonts w:eastAsia="Times New Roman"/>
          <w:color w:val="auto"/>
          <w:sz w:val="24"/>
          <w:szCs w:val="24"/>
          <w:lang w:eastAsia="en-GB"/>
        </w:rPr>
        <w:t>. Under this system, regulators set out a code which listed companies may either comply with, or if they do not comply, explain publicly why they do not. </w:t>
      </w:r>
    </w:p>
    <w:p w14:paraId="26D9F68C" w14:textId="77777777" w:rsidR="0046703C" w:rsidRPr="003813C9" w:rsidRDefault="0046703C" w:rsidP="0046703C">
      <w:pPr>
        <w:spacing w:after="0" w:line="480" w:lineRule="auto"/>
        <w:ind w:firstLine="567"/>
        <w:jc w:val="both"/>
        <w:rPr>
          <w:rFonts w:eastAsia="Calibri"/>
          <w:color w:val="auto"/>
          <w:sz w:val="24"/>
          <w:szCs w:val="24"/>
        </w:rPr>
      </w:pPr>
      <w:r w:rsidRPr="003813C9">
        <w:rPr>
          <w:rFonts w:eastAsia="Times New Roman"/>
          <w:color w:val="auto"/>
          <w:sz w:val="24"/>
          <w:szCs w:val="24"/>
        </w:rPr>
        <w:t>Overall, research in this area examines factors (at firm and country levels) that motivate firms to provide information about their risks in their annual reports. Table 3 lists these 16 articles on incentives for risk reporting, identifies areas of divergence (based on method and context), thereby suggesting a way forward for future research (see Section 5).</w:t>
      </w:r>
    </w:p>
    <w:p w14:paraId="12D41315" w14:textId="77777777" w:rsidR="0046703C" w:rsidRPr="003813C9" w:rsidRDefault="0046703C" w:rsidP="0046703C">
      <w:pPr>
        <w:tabs>
          <w:tab w:val="center" w:pos="4796"/>
        </w:tabs>
        <w:spacing w:after="0" w:line="480" w:lineRule="auto"/>
        <w:ind w:firstLine="567"/>
        <w:rPr>
          <w:rFonts w:eastAsia="Calibri"/>
          <w:color w:val="auto"/>
        </w:rPr>
      </w:pPr>
      <w:r w:rsidRPr="003813C9">
        <w:rPr>
          <w:rFonts w:eastAsia="Times New Roman"/>
          <w:b/>
          <w:bCs/>
          <w:color w:val="auto"/>
          <w:lang w:eastAsia="en-GB"/>
        </w:rPr>
        <w:tab/>
        <w:t>[Insert Table 3 about here]</w:t>
      </w:r>
    </w:p>
    <w:p w14:paraId="6CECC546" w14:textId="77777777" w:rsidR="0046703C" w:rsidRPr="003813C9" w:rsidRDefault="0046703C" w:rsidP="0046703C">
      <w:pPr>
        <w:keepNext/>
        <w:spacing w:before="240" w:after="60" w:line="480" w:lineRule="auto"/>
        <w:outlineLvl w:val="0"/>
        <w:rPr>
          <w:rFonts w:eastAsia="Calibri"/>
          <w:b/>
          <w:bCs/>
          <w:color w:val="auto"/>
          <w:kern w:val="32"/>
          <w:sz w:val="24"/>
          <w:szCs w:val="24"/>
        </w:rPr>
      </w:pPr>
      <w:r w:rsidRPr="003813C9">
        <w:rPr>
          <w:rFonts w:eastAsia="Times New Roman,Calibri"/>
          <w:b/>
          <w:bCs/>
          <w:color w:val="auto"/>
          <w:kern w:val="32"/>
          <w:sz w:val="24"/>
          <w:szCs w:val="24"/>
        </w:rPr>
        <w:t xml:space="preserve">3. Empirical research on the </w:t>
      </w:r>
      <w:proofErr w:type="spellStart"/>
      <w:r w:rsidRPr="003813C9">
        <w:rPr>
          <w:rFonts w:eastAsia="Times New Roman,Calibri"/>
          <w:b/>
          <w:bCs/>
          <w:color w:val="auto"/>
          <w:kern w:val="32"/>
          <w:sz w:val="24"/>
          <w:szCs w:val="24"/>
        </w:rPr>
        <w:t>informativeness</w:t>
      </w:r>
      <w:proofErr w:type="spellEnd"/>
      <w:r w:rsidRPr="003813C9">
        <w:rPr>
          <w:rFonts w:eastAsia="Times New Roman,Calibri"/>
          <w:b/>
          <w:bCs/>
          <w:color w:val="auto"/>
          <w:kern w:val="32"/>
          <w:sz w:val="24"/>
          <w:szCs w:val="24"/>
        </w:rPr>
        <w:t xml:space="preserve"> of risk reporting </w:t>
      </w:r>
    </w:p>
    <w:p w14:paraId="5258F48E" w14:textId="77777777" w:rsidR="0046703C" w:rsidRPr="003813C9" w:rsidRDefault="0046703C" w:rsidP="0046703C">
      <w:pPr>
        <w:spacing w:after="0" w:line="480" w:lineRule="auto"/>
        <w:jc w:val="both"/>
        <w:rPr>
          <w:rFonts w:eastAsia="Times New Roman"/>
          <w:color w:val="auto"/>
          <w:sz w:val="24"/>
          <w:szCs w:val="24"/>
          <w:lang w:eastAsia="en-GB"/>
        </w:rPr>
      </w:pPr>
      <w:r w:rsidRPr="003813C9">
        <w:rPr>
          <w:rFonts w:eastAsia="Times New Roman,Times New Roman"/>
          <w:color w:val="auto"/>
          <w:sz w:val="24"/>
          <w:szCs w:val="24"/>
          <w:lang w:eastAsia="en-GB"/>
        </w:rPr>
        <w:t xml:space="preserve">This section discusses studies examining </w:t>
      </w:r>
      <w:r w:rsidRPr="003813C9">
        <w:rPr>
          <w:rFonts w:eastAsia="Times New Roman"/>
          <w:color w:val="auto"/>
          <w:sz w:val="24"/>
          <w:szCs w:val="24"/>
          <w:lang w:eastAsia="en-GB"/>
        </w:rPr>
        <w:t xml:space="preserve">whether risk information is informative for shareholders, reviewing 12 papers that can be broadly classified based on their datasets and the methods used to measure risk disclosure and </w:t>
      </w:r>
      <w:proofErr w:type="spellStart"/>
      <w:r w:rsidRPr="003813C9">
        <w:rPr>
          <w:rFonts w:eastAsia="Times New Roman"/>
          <w:color w:val="auto"/>
          <w:sz w:val="24"/>
          <w:szCs w:val="24"/>
          <w:lang w:eastAsia="en-GB"/>
        </w:rPr>
        <w:t>informativeness</w:t>
      </w:r>
      <w:proofErr w:type="spellEnd"/>
      <w:r w:rsidRPr="003813C9">
        <w:rPr>
          <w:rFonts w:eastAsia="Times New Roman"/>
          <w:color w:val="auto"/>
          <w:sz w:val="24"/>
          <w:szCs w:val="24"/>
          <w:lang w:eastAsia="en-GB"/>
        </w:rPr>
        <w:t xml:space="preserve">. Table 4 provides more details on </w:t>
      </w:r>
      <w:r w:rsidRPr="003813C9">
        <w:rPr>
          <w:rFonts w:eastAsia="Times New Roman"/>
          <w:color w:val="auto"/>
          <w:sz w:val="24"/>
          <w:szCs w:val="24"/>
          <w:lang w:eastAsia="en-GB"/>
        </w:rPr>
        <w:lastRenderedPageBreak/>
        <w:t xml:space="preserve">these papers, summarizes their findings, and provides insights into potential extensions and/or limitations. </w:t>
      </w:r>
    </w:p>
    <w:p w14:paraId="39AADB9B" w14:textId="77777777" w:rsidR="0046703C" w:rsidRPr="003813C9" w:rsidRDefault="0046703C" w:rsidP="0046703C">
      <w:pPr>
        <w:spacing w:after="0" w:line="480" w:lineRule="auto"/>
        <w:ind w:firstLine="567"/>
        <w:jc w:val="center"/>
        <w:rPr>
          <w:rFonts w:eastAsia="Calibri"/>
          <w:color w:val="auto"/>
        </w:rPr>
      </w:pPr>
      <w:r w:rsidRPr="003813C9">
        <w:rPr>
          <w:rFonts w:eastAsia="Times New Roman"/>
          <w:b/>
          <w:bCs/>
          <w:color w:val="auto"/>
          <w:lang w:eastAsia="en-GB"/>
        </w:rPr>
        <w:t>[Insert Table 4 about here]</w:t>
      </w:r>
    </w:p>
    <w:p w14:paraId="6AB791FD" w14:textId="2ED0309B" w:rsidR="0046703C" w:rsidRPr="003813C9" w:rsidRDefault="0046703C" w:rsidP="0046703C">
      <w:pPr>
        <w:spacing w:after="0" w:line="480" w:lineRule="auto"/>
        <w:ind w:firstLine="720"/>
        <w:jc w:val="both"/>
        <w:rPr>
          <w:rFonts w:eastAsia="Times New Roman"/>
          <w:color w:val="auto"/>
          <w:sz w:val="24"/>
          <w:szCs w:val="24"/>
          <w:lang w:eastAsia="en-GB"/>
        </w:rPr>
      </w:pPr>
      <w:r w:rsidRPr="003813C9">
        <w:rPr>
          <w:rFonts w:eastAsia="Times New Roman"/>
          <w:color w:val="auto"/>
          <w:sz w:val="24"/>
          <w:szCs w:val="24"/>
          <w:lang w:eastAsia="en-GB"/>
        </w:rPr>
        <w:t xml:space="preserve">Much of the work related to the </w:t>
      </w:r>
      <w:proofErr w:type="spellStart"/>
      <w:r w:rsidRPr="003813C9">
        <w:rPr>
          <w:rFonts w:eastAsia="Times New Roman"/>
          <w:color w:val="auto"/>
          <w:sz w:val="24"/>
          <w:szCs w:val="24"/>
          <w:lang w:eastAsia="en-GB"/>
        </w:rPr>
        <w:t>informativeness</w:t>
      </w:r>
      <w:proofErr w:type="spellEnd"/>
      <w:r w:rsidRPr="003813C9">
        <w:rPr>
          <w:rFonts w:eastAsia="Times New Roman"/>
          <w:color w:val="auto"/>
          <w:sz w:val="24"/>
          <w:szCs w:val="24"/>
          <w:lang w:eastAsia="en-GB"/>
        </w:rPr>
        <w:t xml:space="preserve"> of risk disclosure is based on US companies (</w:t>
      </w:r>
      <w:r w:rsidR="00546CE6" w:rsidRPr="003813C9">
        <w:rPr>
          <w:rFonts w:eastAsia="Times New Roman"/>
          <w:color w:val="auto"/>
          <w:sz w:val="24"/>
          <w:szCs w:val="24"/>
          <w:lang w:eastAsia="en-GB"/>
        </w:rPr>
        <w:t>nine</w:t>
      </w:r>
      <w:r w:rsidRPr="003813C9">
        <w:rPr>
          <w:rFonts w:eastAsia="Times New Roman"/>
          <w:color w:val="auto"/>
          <w:sz w:val="24"/>
          <w:szCs w:val="24"/>
          <w:lang w:eastAsia="en-GB"/>
        </w:rPr>
        <w:t xml:space="preserve"> articles out of 12). Further, the majority of studies rely on either a manual or an automated content analysis technique, utilizing sentence and/or word as a unit of coding to quantify risk information that is then examined for statistical associations with various stock market indicators. Our discussion below is divided into two broad themes based on US and non-US research that examines the </w:t>
      </w:r>
      <w:proofErr w:type="spellStart"/>
      <w:r w:rsidRPr="003813C9">
        <w:rPr>
          <w:rFonts w:eastAsia="Times New Roman"/>
          <w:color w:val="auto"/>
          <w:sz w:val="24"/>
          <w:szCs w:val="24"/>
          <w:lang w:eastAsia="en-GB"/>
        </w:rPr>
        <w:t>informativeness</w:t>
      </w:r>
      <w:proofErr w:type="spellEnd"/>
      <w:r w:rsidRPr="003813C9">
        <w:rPr>
          <w:rFonts w:eastAsia="Times New Roman"/>
          <w:color w:val="auto"/>
          <w:sz w:val="24"/>
          <w:szCs w:val="24"/>
          <w:lang w:eastAsia="en-GB"/>
        </w:rPr>
        <w:t xml:space="preserve"> of risk disclosure. Within each theme, we highlight variations in the methods employed to measure risk disclosure </w:t>
      </w:r>
      <w:proofErr w:type="spellStart"/>
      <w:r w:rsidRPr="003813C9">
        <w:rPr>
          <w:rFonts w:eastAsia="Times New Roman"/>
          <w:color w:val="auto"/>
          <w:sz w:val="24"/>
          <w:szCs w:val="24"/>
          <w:lang w:eastAsia="en-GB"/>
        </w:rPr>
        <w:t>informativeness</w:t>
      </w:r>
      <w:proofErr w:type="spellEnd"/>
      <w:r w:rsidRPr="003813C9">
        <w:rPr>
          <w:rFonts w:eastAsia="Times New Roman"/>
          <w:color w:val="auto"/>
          <w:sz w:val="24"/>
          <w:szCs w:val="24"/>
          <w:lang w:eastAsia="en-GB"/>
        </w:rPr>
        <w:t>.</w:t>
      </w:r>
    </w:p>
    <w:p w14:paraId="1F687818" w14:textId="77777777" w:rsidR="0046703C" w:rsidRPr="003813C9" w:rsidRDefault="0046703C" w:rsidP="0046703C">
      <w:pPr>
        <w:spacing w:after="0" w:line="480" w:lineRule="auto"/>
        <w:jc w:val="both"/>
        <w:rPr>
          <w:rFonts w:eastAsia="Times New Roman"/>
          <w:i/>
          <w:color w:val="auto"/>
          <w:sz w:val="24"/>
          <w:szCs w:val="24"/>
          <w:lang w:eastAsia="en-GB"/>
        </w:rPr>
      </w:pPr>
      <w:r w:rsidRPr="003813C9">
        <w:rPr>
          <w:rFonts w:eastAsia="Times New Roman"/>
          <w:i/>
          <w:color w:val="auto"/>
          <w:sz w:val="24"/>
          <w:szCs w:val="24"/>
          <w:lang w:eastAsia="en-GB"/>
        </w:rPr>
        <w:t>3.1 Risk reporting: US Evidence</w:t>
      </w:r>
    </w:p>
    <w:p w14:paraId="05D3FAC0" w14:textId="77777777" w:rsidR="0046703C" w:rsidRPr="003813C9" w:rsidRDefault="0046703C" w:rsidP="000D38DE">
      <w:pPr>
        <w:spacing w:after="0" w:line="480" w:lineRule="auto"/>
        <w:jc w:val="both"/>
        <w:rPr>
          <w:rFonts w:eastAsia="Times New Roman"/>
          <w:color w:val="auto"/>
          <w:sz w:val="24"/>
          <w:szCs w:val="24"/>
          <w:lang w:eastAsia="en-GB"/>
        </w:rPr>
      </w:pPr>
      <w:r w:rsidRPr="003813C9">
        <w:rPr>
          <w:rFonts w:eastAsia="Times New Roman"/>
          <w:color w:val="auto"/>
          <w:sz w:val="24"/>
          <w:szCs w:val="24"/>
          <w:lang w:eastAsia="en-GB"/>
        </w:rPr>
        <w:t xml:space="preserve">Among the nine papers that use US datasets, the early evidence (i.e., </w:t>
      </w:r>
      <w:proofErr w:type="spellStart"/>
      <w:r w:rsidRPr="003813C9">
        <w:rPr>
          <w:rFonts w:eastAsia="Times New Roman"/>
          <w:color w:val="auto"/>
          <w:sz w:val="24"/>
          <w:szCs w:val="24"/>
          <w:lang w:eastAsia="en-GB"/>
        </w:rPr>
        <w:t>Akhigbe</w:t>
      </w:r>
      <w:proofErr w:type="spellEnd"/>
      <w:r w:rsidRPr="003813C9">
        <w:rPr>
          <w:rFonts w:eastAsia="Times New Roman"/>
          <w:color w:val="auto"/>
          <w:sz w:val="24"/>
          <w:szCs w:val="24"/>
          <w:lang w:eastAsia="en-GB"/>
        </w:rPr>
        <w:t xml:space="preserve"> &amp; Martin, 2008; Hodder &amp; </w:t>
      </w:r>
      <w:proofErr w:type="spellStart"/>
      <w:r w:rsidRPr="003813C9">
        <w:rPr>
          <w:rFonts w:eastAsia="Times New Roman"/>
          <w:color w:val="auto"/>
          <w:sz w:val="24"/>
          <w:szCs w:val="24"/>
          <w:lang w:eastAsia="en-GB"/>
        </w:rPr>
        <w:t>McAnally</w:t>
      </w:r>
      <w:proofErr w:type="spellEnd"/>
      <w:r w:rsidRPr="003813C9">
        <w:rPr>
          <w:rFonts w:eastAsia="Times New Roman"/>
          <w:color w:val="auto"/>
          <w:sz w:val="24"/>
          <w:szCs w:val="24"/>
          <w:lang w:eastAsia="en-GB"/>
        </w:rPr>
        <w:t xml:space="preserve">, 2001; </w:t>
      </w:r>
      <w:proofErr w:type="spellStart"/>
      <w:r w:rsidRPr="003813C9">
        <w:rPr>
          <w:rFonts w:eastAsia="Times New Roman"/>
          <w:color w:val="auto"/>
          <w:sz w:val="24"/>
          <w:szCs w:val="24"/>
          <w:lang w:eastAsia="en-GB"/>
        </w:rPr>
        <w:t>Jorion</w:t>
      </w:r>
      <w:proofErr w:type="spellEnd"/>
      <w:r w:rsidRPr="003813C9">
        <w:rPr>
          <w:rFonts w:eastAsia="Times New Roman"/>
          <w:color w:val="auto"/>
          <w:sz w:val="24"/>
          <w:szCs w:val="24"/>
          <w:lang w:eastAsia="en-GB"/>
        </w:rPr>
        <w:t xml:space="preserve">, 2002; </w:t>
      </w:r>
      <w:proofErr w:type="spellStart"/>
      <w:r w:rsidRPr="003813C9">
        <w:rPr>
          <w:rFonts w:eastAsia="Times New Roman"/>
          <w:color w:val="auto"/>
          <w:sz w:val="24"/>
          <w:szCs w:val="24"/>
          <w:lang w:eastAsia="en-GB"/>
        </w:rPr>
        <w:t>Rajgopal</w:t>
      </w:r>
      <w:proofErr w:type="spellEnd"/>
      <w:r w:rsidRPr="003813C9">
        <w:rPr>
          <w:rFonts w:eastAsia="Times New Roman"/>
          <w:color w:val="auto"/>
          <w:sz w:val="24"/>
          <w:szCs w:val="24"/>
          <w:lang w:eastAsia="en-GB"/>
        </w:rPr>
        <w:t xml:space="preserve">, 1999; </w:t>
      </w:r>
      <w:proofErr w:type="spellStart"/>
      <w:r w:rsidRPr="003813C9">
        <w:rPr>
          <w:rFonts w:eastAsia="Times New Roman"/>
          <w:color w:val="auto"/>
          <w:sz w:val="24"/>
          <w:szCs w:val="24"/>
          <w:lang w:eastAsia="en-GB"/>
        </w:rPr>
        <w:t>Roulstone</w:t>
      </w:r>
      <w:proofErr w:type="spellEnd"/>
      <w:r w:rsidRPr="003813C9">
        <w:rPr>
          <w:rFonts w:eastAsia="Times New Roman"/>
          <w:color w:val="auto"/>
          <w:sz w:val="24"/>
          <w:szCs w:val="24"/>
          <w:lang w:eastAsia="en-GB"/>
        </w:rPr>
        <w:t xml:space="preserve">, 1999) is based on small sample sizes that are industry-orientated (oil and gas, non-financial firms, and financial firms). However, the recent US-based research (i.e., </w:t>
      </w:r>
      <w:proofErr w:type="spellStart"/>
      <w:r w:rsidRPr="003813C9">
        <w:rPr>
          <w:rFonts w:eastAsia="Times New Roman"/>
          <w:color w:val="auto"/>
          <w:sz w:val="24"/>
          <w:szCs w:val="24"/>
          <w:lang w:eastAsia="en-GB"/>
        </w:rPr>
        <w:t>Bao</w:t>
      </w:r>
      <w:proofErr w:type="spellEnd"/>
      <w:r w:rsidRPr="003813C9">
        <w:rPr>
          <w:rFonts w:eastAsia="Times New Roman"/>
          <w:color w:val="auto"/>
          <w:sz w:val="24"/>
          <w:szCs w:val="24"/>
          <w:lang w:eastAsia="en-GB"/>
        </w:rPr>
        <w:t xml:space="preserve"> &amp; </w:t>
      </w:r>
      <w:proofErr w:type="spellStart"/>
      <w:r w:rsidRPr="003813C9">
        <w:rPr>
          <w:rFonts w:eastAsia="Times New Roman"/>
          <w:color w:val="auto"/>
          <w:sz w:val="24"/>
          <w:szCs w:val="24"/>
          <w:lang w:eastAsia="en-GB"/>
        </w:rPr>
        <w:t>Datta</w:t>
      </w:r>
      <w:proofErr w:type="spellEnd"/>
      <w:r w:rsidRPr="003813C9">
        <w:rPr>
          <w:rFonts w:eastAsia="Times New Roman"/>
          <w:color w:val="auto"/>
          <w:sz w:val="24"/>
          <w:szCs w:val="24"/>
          <w:lang w:eastAsia="en-GB"/>
        </w:rPr>
        <w:t xml:space="preserve">, 2014; </w:t>
      </w:r>
      <w:proofErr w:type="spellStart"/>
      <w:r w:rsidRPr="003813C9">
        <w:rPr>
          <w:rFonts w:eastAsia="Times New Roman"/>
          <w:color w:val="auto"/>
          <w:sz w:val="24"/>
          <w:szCs w:val="24"/>
          <w:lang w:eastAsia="en-GB"/>
        </w:rPr>
        <w:t>Filzen</w:t>
      </w:r>
      <w:proofErr w:type="spellEnd"/>
      <w:r w:rsidRPr="003813C9">
        <w:rPr>
          <w:rFonts w:eastAsia="Times New Roman"/>
          <w:color w:val="auto"/>
          <w:sz w:val="24"/>
          <w:szCs w:val="24"/>
          <w:lang w:eastAsia="en-GB"/>
        </w:rPr>
        <w:t xml:space="preserve">, 2015; Hope et al., 2016; </w:t>
      </w:r>
      <w:proofErr w:type="spellStart"/>
      <w:r w:rsidRPr="003813C9">
        <w:rPr>
          <w:rFonts w:eastAsia="Times New Roman"/>
          <w:color w:val="auto"/>
          <w:sz w:val="24"/>
          <w:szCs w:val="24"/>
          <w:lang w:eastAsia="en-GB"/>
        </w:rPr>
        <w:t>Kravet</w:t>
      </w:r>
      <w:proofErr w:type="spellEnd"/>
      <w:r w:rsidRPr="003813C9">
        <w:rPr>
          <w:rFonts w:eastAsia="Times New Roman"/>
          <w:color w:val="auto"/>
          <w:sz w:val="24"/>
          <w:szCs w:val="24"/>
          <w:lang w:eastAsia="en-GB"/>
        </w:rPr>
        <w:t xml:space="preserve"> &amp; </w:t>
      </w:r>
      <w:proofErr w:type="spellStart"/>
      <w:r w:rsidRPr="003813C9">
        <w:rPr>
          <w:rFonts w:eastAsia="Times New Roman"/>
          <w:color w:val="auto"/>
          <w:sz w:val="24"/>
          <w:szCs w:val="24"/>
          <w:lang w:eastAsia="en-GB"/>
        </w:rPr>
        <w:t>Muslu</w:t>
      </w:r>
      <w:proofErr w:type="spellEnd"/>
      <w:r w:rsidRPr="003813C9">
        <w:rPr>
          <w:rFonts w:eastAsia="Times New Roman"/>
          <w:color w:val="auto"/>
          <w:sz w:val="24"/>
          <w:szCs w:val="24"/>
          <w:lang w:eastAsia="en-GB"/>
        </w:rPr>
        <w:t xml:space="preserve">, 2013) makes use of much larger datasets, of structured filings (i.e., 10-Ks) that are publicly available, and advances in machine-learning based techniques which make quantification-based measures more straightforward to perform.  </w:t>
      </w:r>
    </w:p>
    <w:p w14:paraId="30475CE9" w14:textId="77777777" w:rsidR="0046703C" w:rsidRPr="003813C9" w:rsidRDefault="0046703C" w:rsidP="0046703C">
      <w:pPr>
        <w:spacing w:after="0" w:line="480" w:lineRule="auto"/>
        <w:ind w:firstLine="567"/>
        <w:jc w:val="both"/>
        <w:rPr>
          <w:rFonts w:eastAsia="Times New Roman"/>
          <w:color w:val="auto"/>
          <w:sz w:val="24"/>
          <w:szCs w:val="24"/>
          <w:lang w:eastAsia="en-GB"/>
        </w:rPr>
      </w:pPr>
      <w:proofErr w:type="spellStart"/>
      <w:r w:rsidRPr="003813C9">
        <w:rPr>
          <w:rFonts w:eastAsia="Times New Roman"/>
          <w:color w:val="auto"/>
          <w:sz w:val="24"/>
          <w:szCs w:val="24"/>
          <w:lang w:eastAsia="en-GB"/>
        </w:rPr>
        <w:t>Rajgopal</w:t>
      </w:r>
      <w:proofErr w:type="spellEnd"/>
      <w:r w:rsidRPr="003813C9">
        <w:rPr>
          <w:rFonts w:eastAsia="Times New Roman"/>
          <w:color w:val="auto"/>
          <w:sz w:val="24"/>
          <w:szCs w:val="24"/>
          <w:lang w:eastAsia="en-GB"/>
        </w:rPr>
        <w:t xml:space="preserve"> (1999) is among the early studies examining the </w:t>
      </w:r>
      <w:proofErr w:type="spellStart"/>
      <w:r w:rsidRPr="003813C9">
        <w:rPr>
          <w:rFonts w:eastAsia="Times New Roman"/>
          <w:color w:val="auto"/>
          <w:sz w:val="24"/>
          <w:szCs w:val="24"/>
          <w:lang w:eastAsia="en-GB"/>
        </w:rPr>
        <w:t>informativeness</w:t>
      </w:r>
      <w:proofErr w:type="spellEnd"/>
      <w:r w:rsidRPr="003813C9">
        <w:rPr>
          <w:rFonts w:eastAsia="Times New Roman"/>
          <w:color w:val="auto"/>
          <w:sz w:val="24"/>
          <w:szCs w:val="24"/>
          <w:lang w:eastAsia="en-GB"/>
        </w:rPr>
        <w:t xml:space="preserve"> of FRR No. 48 disclosures</w:t>
      </w:r>
      <w:r w:rsidR="00D17DCF" w:rsidRPr="003813C9">
        <w:rPr>
          <w:rFonts w:eastAsia="Times New Roman"/>
          <w:color w:val="auto"/>
          <w:sz w:val="24"/>
          <w:szCs w:val="24"/>
          <w:lang w:eastAsia="en-GB"/>
        </w:rPr>
        <w:t>.</w:t>
      </w:r>
      <w:r w:rsidR="00D17DCF" w:rsidRPr="003813C9">
        <w:rPr>
          <w:rFonts w:eastAsia="Times New Roman"/>
          <w:color w:val="auto"/>
          <w:sz w:val="24"/>
          <w:szCs w:val="24"/>
          <w:vertAlign w:val="superscript"/>
          <w:lang w:eastAsia="en-GB"/>
        </w:rPr>
        <w:t xml:space="preserve"> </w:t>
      </w:r>
      <w:r w:rsidR="00D17DCF" w:rsidRPr="003813C9">
        <w:rPr>
          <w:rFonts w:eastAsia="Times New Roman"/>
          <w:color w:val="auto"/>
          <w:sz w:val="24"/>
          <w:szCs w:val="24"/>
          <w:vertAlign w:val="superscript"/>
          <w:lang w:eastAsia="en-GB"/>
        </w:rPr>
        <w:footnoteReference w:id="5"/>
      </w:r>
      <w:r w:rsidR="00D17DCF" w:rsidRPr="003813C9">
        <w:rPr>
          <w:rFonts w:eastAsia="Times New Roman"/>
          <w:color w:val="auto"/>
          <w:sz w:val="24"/>
          <w:szCs w:val="24"/>
          <w:lang w:eastAsia="en-GB"/>
        </w:rPr>
        <w:t xml:space="preserve"> He uses</w:t>
      </w:r>
      <w:r w:rsidRPr="003813C9">
        <w:rPr>
          <w:rFonts w:eastAsia="Times New Roman"/>
          <w:color w:val="auto"/>
          <w:sz w:val="24"/>
          <w:szCs w:val="24"/>
          <w:lang w:eastAsia="en-GB"/>
        </w:rPr>
        <w:t xml:space="preserve"> US oil and gas firms</w:t>
      </w:r>
      <w:r w:rsidR="00D17DCF" w:rsidRPr="003813C9">
        <w:rPr>
          <w:rFonts w:eastAsia="Times New Roman"/>
          <w:color w:val="auto"/>
          <w:sz w:val="24"/>
          <w:szCs w:val="24"/>
          <w:lang w:eastAsia="en-GB"/>
        </w:rPr>
        <w:t xml:space="preserve"> as the context to his study</w:t>
      </w:r>
      <w:r w:rsidRPr="003813C9">
        <w:rPr>
          <w:rFonts w:eastAsia="Times New Roman"/>
          <w:color w:val="auto"/>
          <w:sz w:val="24"/>
          <w:szCs w:val="24"/>
          <w:lang w:eastAsia="en-GB"/>
        </w:rPr>
        <w:t xml:space="preserve">. He finds that market risk disclosure is </w:t>
      </w:r>
      <w:r w:rsidR="00B54515" w:rsidRPr="003813C9">
        <w:rPr>
          <w:rFonts w:eastAsia="Times New Roman"/>
          <w:color w:val="auto"/>
          <w:sz w:val="24"/>
          <w:szCs w:val="24"/>
          <w:lang w:eastAsia="en-GB"/>
        </w:rPr>
        <w:t xml:space="preserve">positively </w:t>
      </w:r>
      <w:r w:rsidRPr="003813C9">
        <w:rPr>
          <w:rFonts w:eastAsia="Times New Roman"/>
          <w:color w:val="auto"/>
          <w:sz w:val="24"/>
          <w:szCs w:val="24"/>
          <w:lang w:eastAsia="en-GB"/>
        </w:rPr>
        <w:t xml:space="preserve">associated with equity return sensitivity to oil and gas price changes, suggesting that such disclosure is informative. His findings also show that investors are sensitive to the various formats in which information is presented, in this case, tabular and sensitivity </w:t>
      </w:r>
      <w:r w:rsidRPr="003813C9">
        <w:rPr>
          <w:rFonts w:eastAsia="Times New Roman"/>
          <w:color w:val="auto"/>
          <w:sz w:val="24"/>
          <w:szCs w:val="24"/>
          <w:lang w:eastAsia="en-GB"/>
        </w:rPr>
        <w:lastRenderedPageBreak/>
        <w:t>analysis.</w:t>
      </w:r>
      <w:r w:rsidRPr="003813C9">
        <w:rPr>
          <w:rFonts w:eastAsia="Times New Roman"/>
          <w:color w:val="auto"/>
          <w:sz w:val="24"/>
          <w:szCs w:val="24"/>
          <w:vertAlign w:val="superscript"/>
          <w:lang w:eastAsia="en-GB"/>
        </w:rPr>
        <w:footnoteReference w:id="6"/>
      </w:r>
      <w:r w:rsidRPr="003813C9">
        <w:rPr>
          <w:rFonts w:eastAsia="Times New Roman"/>
          <w:color w:val="auto"/>
          <w:sz w:val="24"/>
          <w:szCs w:val="24"/>
          <w:lang w:eastAsia="en-GB"/>
        </w:rPr>
        <w:t xml:space="preserve"> The results suggest that these formats provide different information, each is incrementally valuable, and they are not substitutes for each other. </w:t>
      </w:r>
    </w:p>
    <w:p w14:paraId="3CC42339" w14:textId="77777777" w:rsidR="0046703C" w:rsidRPr="003813C9" w:rsidRDefault="0046703C" w:rsidP="0046703C">
      <w:pPr>
        <w:spacing w:after="0" w:line="480" w:lineRule="auto"/>
        <w:ind w:firstLine="567"/>
        <w:jc w:val="both"/>
        <w:rPr>
          <w:rFonts w:eastAsia="Times New Roman"/>
          <w:color w:val="auto"/>
          <w:sz w:val="24"/>
          <w:szCs w:val="24"/>
          <w:lang w:eastAsia="en-GB"/>
        </w:rPr>
      </w:pPr>
      <w:r w:rsidRPr="003813C9">
        <w:rPr>
          <w:rFonts w:eastAsia="Times New Roman"/>
          <w:color w:val="auto"/>
          <w:sz w:val="24"/>
          <w:szCs w:val="24"/>
          <w:lang w:eastAsia="en-GB"/>
        </w:rPr>
        <w:t xml:space="preserve">In contrast to </w:t>
      </w:r>
      <w:proofErr w:type="spellStart"/>
      <w:r w:rsidRPr="003813C9">
        <w:rPr>
          <w:rFonts w:eastAsia="Times New Roman"/>
          <w:color w:val="auto"/>
          <w:sz w:val="24"/>
          <w:szCs w:val="24"/>
          <w:lang w:eastAsia="en-GB"/>
        </w:rPr>
        <w:t>Rajgopal’s</w:t>
      </w:r>
      <w:proofErr w:type="spellEnd"/>
      <w:r w:rsidRPr="003813C9">
        <w:rPr>
          <w:rFonts w:eastAsia="Times New Roman"/>
          <w:color w:val="auto"/>
          <w:sz w:val="24"/>
          <w:szCs w:val="24"/>
          <w:lang w:eastAsia="en-GB"/>
        </w:rPr>
        <w:t xml:space="preserve"> (1999) conclusion that the different disclosure formats are incrementally informative, Hodder and </w:t>
      </w:r>
      <w:proofErr w:type="spellStart"/>
      <w:r w:rsidRPr="003813C9">
        <w:rPr>
          <w:rFonts w:eastAsia="Times New Roman"/>
          <w:color w:val="auto"/>
          <w:sz w:val="24"/>
          <w:szCs w:val="24"/>
          <w:lang w:eastAsia="en-GB"/>
        </w:rPr>
        <w:t>McAnally</w:t>
      </w:r>
      <w:proofErr w:type="spellEnd"/>
      <w:r w:rsidRPr="003813C9">
        <w:rPr>
          <w:rFonts w:eastAsia="Times New Roman"/>
          <w:color w:val="auto"/>
          <w:sz w:val="24"/>
          <w:szCs w:val="24"/>
          <w:lang w:eastAsia="en-GB"/>
        </w:rPr>
        <w:t xml:space="preserve"> (2001) suggest that FRR No. 48 disclosures hamper investors’ comparisons of companies because of the flexibility over disclosure formats and measurement basis. Furthermore, they claim that FRR No. 48 requirements related to the disclosure of quantitative information are not sufficiently informative to enable investors to evaluate market risk exposure fully. They propose a methodology for converting the quantitative information content of market risk disclosures under the tabular format to sensitivity measures (pp.67-71), and also from the tabular format to Value</w:t>
      </w:r>
      <w:r w:rsidR="00273B50" w:rsidRPr="003813C9">
        <w:rPr>
          <w:rFonts w:eastAsia="Times New Roman"/>
          <w:color w:val="auto"/>
          <w:sz w:val="24"/>
          <w:szCs w:val="24"/>
          <w:lang w:eastAsia="en-GB"/>
        </w:rPr>
        <w:t xml:space="preserve"> </w:t>
      </w:r>
      <w:r w:rsidRPr="003813C9">
        <w:rPr>
          <w:rFonts w:eastAsia="Times New Roman"/>
          <w:color w:val="auto"/>
          <w:sz w:val="24"/>
          <w:szCs w:val="24"/>
          <w:lang w:eastAsia="en-GB"/>
        </w:rPr>
        <w:t>at</w:t>
      </w:r>
      <w:r w:rsidR="00273B50" w:rsidRPr="003813C9">
        <w:rPr>
          <w:rFonts w:eastAsia="Times New Roman"/>
          <w:color w:val="auto"/>
          <w:sz w:val="24"/>
          <w:szCs w:val="24"/>
          <w:lang w:eastAsia="en-GB"/>
        </w:rPr>
        <w:t xml:space="preserve"> </w:t>
      </w:r>
      <w:r w:rsidRPr="003813C9">
        <w:rPr>
          <w:rFonts w:eastAsia="Times New Roman"/>
          <w:color w:val="auto"/>
          <w:sz w:val="24"/>
          <w:szCs w:val="24"/>
          <w:lang w:eastAsia="en-GB"/>
        </w:rPr>
        <w:t xml:space="preserve">Risk (pp.71-74). </w:t>
      </w:r>
    </w:p>
    <w:p w14:paraId="4B880D9C" w14:textId="0FA7585A" w:rsidR="0046703C" w:rsidRPr="003813C9" w:rsidRDefault="0046703C" w:rsidP="0046703C">
      <w:pPr>
        <w:spacing w:after="0" w:line="480" w:lineRule="auto"/>
        <w:ind w:firstLine="567"/>
        <w:jc w:val="both"/>
        <w:rPr>
          <w:rFonts w:eastAsia="Calibri"/>
          <w:color w:val="auto"/>
        </w:rPr>
      </w:pPr>
      <w:r w:rsidRPr="003813C9">
        <w:rPr>
          <w:rFonts w:eastAsia="Times New Roman"/>
          <w:color w:val="auto"/>
          <w:sz w:val="24"/>
          <w:szCs w:val="24"/>
          <w:lang w:eastAsia="en-GB"/>
        </w:rPr>
        <w:t xml:space="preserve">On the same theme, </w:t>
      </w:r>
      <w:proofErr w:type="spellStart"/>
      <w:r w:rsidRPr="003813C9">
        <w:rPr>
          <w:rFonts w:eastAsia="Times New Roman"/>
          <w:color w:val="auto"/>
          <w:sz w:val="24"/>
          <w:szCs w:val="24"/>
          <w:lang w:eastAsia="en-GB"/>
        </w:rPr>
        <w:t>Roulstone</w:t>
      </w:r>
      <w:proofErr w:type="spellEnd"/>
      <w:r w:rsidRPr="003813C9">
        <w:rPr>
          <w:rFonts w:eastAsia="Times New Roman"/>
          <w:color w:val="auto"/>
          <w:sz w:val="24"/>
          <w:szCs w:val="24"/>
          <w:lang w:eastAsia="en-GB"/>
        </w:rPr>
        <w:t xml:space="preserve"> (1999) finds that whilst there is evidence of an increase in the amount of financial risk disclosure following the release of FRR No. 48, there is variation across firms, a lack of detail regarding the assumptions and limitations in sensitivity and </w:t>
      </w:r>
      <w:proofErr w:type="spellStart"/>
      <w:r w:rsidRPr="003813C9">
        <w:rPr>
          <w:rFonts w:eastAsia="Times New Roman"/>
          <w:color w:val="auto"/>
          <w:sz w:val="24"/>
          <w:szCs w:val="24"/>
          <w:lang w:eastAsia="en-GB"/>
        </w:rPr>
        <w:t>VaR</w:t>
      </w:r>
      <w:proofErr w:type="spellEnd"/>
      <w:r w:rsidRPr="003813C9">
        <w:rPr>
          <w:rFonts w:eastAsia="Times New Roman"/>
          <w:color w:val="auto"/>
          <w:sz w:val="24"/>
          <w:szCs w:val="24"/>
          <w:lang w:eastAsia="en-GB"/>
        </w:rPr>
        <w:t xml:space="preserve"> disclosures, and a lack of firm-specific information. In a similar vein, but focusing on financial firms, </w:t>
      </w:r>
      <w:proofErr w:type="spellStart"/>
      <w:r w:rsidRPr="003813C9">
        <w:rPr>
          <w:rFonts w:eastAsia="Times New Roman"/>
          <w:color w:val="auto"/>
          <w:sz w:val="24"/>
          <w:szCs w:val="24"/>
          <w:lang w:eastAsia="en-GB"/>
        </w:rPr>
        <w:t>Jorion’s</w:t>
      </w:r>
      <w:proofErr w:type="spellEnd"/>
      <w:r w:rsidRPr="003813C9">
        <w:rPr>
          <w:rFonts w:eastAsia="Times New Roman"/>
          <w:color w:val="auto"/>
          <w:sz w:val="24"/>
          <w:szCs w:val="24"/>
          <w:lang w:eastAsia="en-GB"/>
        </w:rPr>
        <w:t xml:space="preserve"> (2002) investigation of the relation between </w:t>
      </w:r>
      <w:proofErr w:type="spellStart"/>
      <w:r w:rsidRPr="003813C9">
        <w:rPr>
          <w:rFonts w:eastAsia="Times New Roman"/>
          <w:color w:val="auto"/>
          <w:sz w:val="24"/>
          <w:szCs w:val="24"/>
          <w:lang w:eastAsia="en-GB"/>
        </w:rPr>
        <w:t>VaR</w:t>
      </w:r>
      <w:proofErr w:type="spellEnd"/>
      <w:r w:rsidRPr="003813C9">
        <w:rPr>
          <w:rFonts w:eastAsia="Times New Roman"/>
          <w:color w:val="auto"/>
          <w:sz w:val="24"/>
          <w:szCs w:val="24"/>
          <w:lang w:eastAsia="en-GB"/>
        </w:rPr>
        <w:t xml:space="preserve"> disclosures and the subsequent variability of banks’ unexpected trading revenues, finds </w:t>
      </w:r>
      <w:proofErr w:type="spellStart"/>
      <w:r w:rsidRPr="003813C9">
        <w:rPr>
          <w:rFonts w:eastAsia="Times New Roman"/>
          <w:color w:val="auto"/>
          <w:sz w:val="24"/>
          <w:szCs w:val="24"/>
          <w:lang w:eastAsia="en-GB"/>
        </w:rPr>
        <w:t>VaR</w:t>
      </w:r>
      <w:proofErr w:type="spellEnd"/>
      <w:r w:rsidRPr="003813C9">
        <w:rPr>
          <w:rFonts w:eastAsia="Times New Roman"/>
          <w:color w:val="auto"/>
          <w:sz w:val="24"/>
          <w:szCs w:val="24"/>
          <w:lang w:eastAsia="en-GB"/>
        </w:rPr>
        <w:t xml:space="preserve"> disclosures useful in predicting trading revenue in the banking sector, for a sample of eight banks. </w:t>
      </w:r>
      <w:r w:rsidR="00FF64E6" w:rsidRPr="003813C9">
        <w:rPr>
          <w:rFonts w:eastAsia="Times New Roman"/>
          <w:color w:val="auto"/>
          <w:sz w:val="24"/>
          <w:szCs w:val="24"/>
          <w:lang w:eastAsia="en-GB"/>
        </w:rPr>
        <w:t>Using a self-constr</w:t>
      </w:r>
      <w:r w:rsidR="00E9497B" w:rsidRPr="003813C9">
        <w:rPr>
          <w:rFonts w:eastAsia="Times New Roman"/>
          <w:color w:val="auto"/>
          <w:sz w:val="24"/>
          <w:szCs w:val="24"/>
          <w:lang w:eastAsia="en-GB"/>
        </w:rPr>
        <w:t>u</w:t>
      </w:r>
      <w:r w:rsidR="00FF64E6" w:rsidRPr="003813C9">
        <w:rPr>
          <w:rFonts w:eastAsia="Times New Roman"/>
          <w:color w:val="auto"/>
          <w:sz w:val="24"/>
          <w:szCs w:val="24"/>
          <w:lang w:eastAsia="en-GB"/>
        </w:rPr>
        <w:t xml:space="preserve">cted disclosure index to measure the </w:t>
      </w:r>
      <w:proofErr w:type="spellStart"/>
      <w:r w:rsidR="00FF64E6" w:rsidRPr="003813C9">
        <w:rPr>
          <w:rFonts w:eastAsia="Times New Roman"/>
          <w:color w:val="auto"/>
          <w:sz w:val="24"/>
          <w:szCs w:val="24"/>
          <w:lang w:eastAsia="en-GB"/>
        </w:rPr>
        <w:t>VaR</w:t>
      </w:r>
      <w:proofErr w:type="spellEnd"/>
      <w:r w:rsidR="00FF64E6" w:rsidRPr="003813C9">
        <w:rPr>
          <w:rFonts w:eastAsia="Times New Roman"/>
          <w:color w:val="auto"/>
          <w:sz w:val="24"/>
          <w:szCs w:val="24"/>
          <w:lang w:eastAsia="en-GB"/>
        </w:rPr>
        <w:t xml:space="preserve"> disclosure for the largest 10 US banks from 1996 to 2005, </w:t>
      </w:r>
      <w:proofErr w:type="spellStart"/>
      <w:r w:rsidR="00FF64E6" w:rsidRPr="003813C9">
        <w:rPr>
          <w:rFonts w:eastAsia="Times New Roman"/>
          <w:color w:val="auto"/>
          <w:sz w:val="24"/>
          <w:szCs w:val="24"/>
          <w:lang w:eastAsia="en-GB"/>
        </w:rPr>
        <w:t>Pérignon</w:t>
      </w:r>
      <w:proofErr w:type="spellEnd"/>
      <w:r w:rsidR="00FF64E6" w:rsidRPr="003813C9">
        <w:rPr>
          <w:rFonts w:eastAsia="Times New Roman"/>
          <w:color w:val="auto"/>
          <w:sz w:val="24"/>
          <w:szCs w:val="24"/>
          <w:lang w:eastAsia="en-GB"/>
        </w:rPr>
        <w:t xml:space="preserve"> and Smith (2010) find that there is </w:t>
      </w:r>
      <w:r w:rsidR="00273B50" w:rsidRPr="003813C9">
        <w:rPr>
          <w:rFonts w:eastAsia="Times New Roman"/>
          <w:color w:val="auto"/>
          <w:sz w:val="24"/>
          <w:szCs w:val="24"/>
          <w:lang w:eastAsia="en-GB"/>
        </w:rPr>
        <w:t xml:space="preserve">an </w:t>
      </w:r>
      <w:r w:rsidR="00FF64E6" w:rsidRPr="003813C9">
        <w:rPr>
          <w:rFonts w:eastAsia="Times New Roman"/>
          <w:color w:val="auto"/>
          <w:sz w:val="24"/>
          <w:szCs w:val="24"/>
          <w:lang w:eastAsia="en-GB"/>
        </w:rPr>
        <w:t xml:space="preserve">upward trend in the quantity of </w:t>
      </w:r>
      <w:proofErr w:type="spellStart"/>
      <w:r w:rsidR="00FF64E6" w:rsidRPr="003813C9">
        <w:rPr>
          <w:rFonts w:eastAsia="Times New Roman"/>
          <w:color w:val="auto"/>
          <w:sz w:val="24"/>
          <w:szCs w:val="24"/>
          <w:lang w:eastAsia="en-GB"/>
        </w:rPr>
        <w:t>VaR</w:t>
      </w:r>
      <w:proofErr w:type="spellEnd"/>
      <w:r w:rsidR="00FF64E6" w:rsidRPr="003813C9">
        <w:rPr>
          <w:rFonts w:eastAsia="Times New Roman"/>
          <w:color w:val="auto"/>
          <w:sz w:val="24"/>
          <w:szCs w:val="24"/>
          <w:lang w:eastAsia="en-GB"/>
        </w:rPr>
        <w:t xml:space="preserve"> disclosure and historical simulation is by far the most common method </w:t>
      </w:r>
      <w:r w:rsidR="00273B50" w:rsidRPr="003813C9">
        <w:rPr>
          <w:rFonts w:eastAsia="Times New Roman"/>
          <w:color w:val="auto"/>
          <w:sz w:val="24"/>
          <w:szCs w:val="24"/>
          <w:lang w:eastAsia="en-GB"/>
        </w:rPr>
        <w:t xml:space="preserve">used </w:t>
      </w:r>
      <w:r w:rsidR="00FF64E6" w:rsidRPr="003813C9">
        <w:rPr>
          <w:rFonts w:eastAsia="Times New Roman"/>
          <w:color w:val="auto"/>
          <w:sz w:val="24"/>
          <w:szCs w:val="24"/>
          <w:lang w:eastAsia="en-GB"/>
        </w:rPr>
        <w:t xml:space="preserve">in calculating </w:t>
      </w:r>
      <w:proofErr w:type="spellStart"/>
      <w:r w:rsidR="00FF64E6" w:rsidRPr="003813C9">
        <w:rPr>
          <w:rFonts w:eastAsia="Times New Roman"/>
          <w:color w:val="auto"/>
          <w:sz w:val="24"/>
          <w:szCs w:val="24"/>
          <w:lang w:eastAsia="en-GB"/>
        </w:rPr>
        <w:t>VaR.</w:t>
      </w:r>
      <w:proofErr w:type="spellEnd"/>
      <w:r w:rsidR="00FF64E6" w:rsidRPr="003813C9">
        <w:rPr>
          <w:rStyle w:val="FootnoteReference"/>
          <w:rFonts w:eastAsia="Times New Roman"/>
          <w:color w:val="auto"/>
          <w:sz w:val="24"/>
          <w:szCs w:val="24"/>
          <w:lang w:eastAsia="en-GB"/>
        </w:rPr>
        <w:footnoteReference w:id="7"/>
      </w:r>
      <w:r w:rsidR="00FF64E6" w:rsidRPr="003813C9">
        <w:rPr>
          <w:rFonts w:eastAsia="Times New Roman"/>
          <w:color w:val="auto"/>
          <w:sz w:val="24"/>
          <w:szCs w:val="24"/>
          <w:lang w:eastAsia="en-GB"/>
        </w:rPr>
        <w:t xml:space="preserve"> They also find that </w:t>
      </w:r>
      <w:proofErr w:type="spellStart"/>
      <w:r w:rsidR="00FF64E6" w:rsidRPr="003813C9">
        <w:rPr>
          <w:rFonts w:eastAsia="Times New Roman"/>
          <w:color w:val="auto"/>
          <w:sz w:val="24"/>
          <w:szCs w:val="24"/>
          <w:lang w:eastAsia="en-GB"/>
        </w:rPr>
        <w:t>VaR</w:t>
      </w:r>
      <w:proofErr w:type="spellEnd"/>
      <w:r w:rsidR="00FF64E6" w:rsidRPr="003813C9">
        <w:rPr>
          <w:rFonts w:eastAsia="Times New Roman"/>
          <w:color w:val="auto"/>
          <w:sz w:val="24"/>
          <w:szCs w:val="24"/>
          <w:lang w:eastAsia="en-GB"/>
        </w:rPr>
        <w:t xml:space="preserve"> disclosure </w:t>
      </w:r>
      <w:r w:rsidR="00273B50" w:rsidRPr="003813C9">
        <w:rPr>
          <w:rFonts w:eastAsia="Times New Roman"/>
          <w:color w:val="auto"/>
          <w:sz w:val="24"/>
          <w:szCs w:val="24"/>
          <w:lang w:eastAsia="en-GB"/>
        </w:rPr>
        <w:t xml:space="preserve">is </w:t>
      </w:r>
      <w:r w:rsidR="009A561B" w:rsidRPr="003813C9">
        <w:rPr>
          <w:rFonts w:eastAsia="Times New Roman"/>
          <w:color w:val="auto"/>
          <w:sz w:val="24"/>
          <w:szCs w:val="24"/>
          <w:lang w:eastAsia="en-GB"/>
        </w:rPr>
        <w:t>not</w:t>
      </w:r>
      <w:r w:rsidR="00FF64E6" w:rsidRPr="003813C9">
        <w:rPr>
          <w:rFonts w:eastAsia="Times New Roman"/>
          <w:color w:val="auto"/>
          <w:sz w:val="24"/>
          <w:szCs w:val="24"/>
          <w:lang w:eastAsia="en-GB"/>
        </w:rPr>
        <w:t xml:space="preserve"> informative as it does not impact the future volatility</w:t>
      </w:r>
      <w:r w:rsidR="00273B50" w:rsidRPr="003813C9">
        <w:rPr>
          <w:rFonts w:eastAsia="Times New Roman"/>
          <w:color w:val="auto"/>
          <w:sz w:val="24"/>
          <w:szCs w:val="24"/>
          <w:lang w:eastAsia="en-GB"/>
        </w:rPr>
        <w:t xml:space="preserve"> </w:t>
      </w:r>
      <w:r w:rsidR="0004267E" w:rsidRPr="003813C9">
        <w:rPr>
          <w:rFonts w:eastAsia="Times New Roman"/>
          <w:color w:val="auto"/>
          <w:sz w:val="24"/>
          <w:szCs w:val="24"/>
          <w:lang w:eastAsia="en-GB"/>
        </w:rPr>
        <w:t>of trading revenues</w:t>
      </w:r>
      <w:r w:rsidR="00FF64E6" w:rsidRPr="003813C9">
        <w:rPr>
          <w:rFonts w:eastAsia="Times New Roman"/>
          <w:color w:val="auto"/>
          <w:sz w:val="24"/>
          <w:szCs w:val="24"/>
          <w:lang w:eastAsia="en-GB"/>
        </w:rPr>
        <w:t>.</w:t>
      </w:r>
    </w:p>
    <w:p w14:paraId="3D7EF396" w14:textId="77777777" w:rsidR="0046703C" w:rsidRPr="003813C9" w:rsidRDefault="00A63EB7" w:rsidP="00191D23">
      <w:pPr>
        <w:spacing w:after="0" w:line="480" w:lineRule="auto"/>
        <w:ind w:firstLine="567"/>
        <w:jc w:val="both"/>
        <w:rPr>
          <w:rFonts w:eastAsia="Times New Roman"/>
          <w:color w:val="auto"/>
          <w:sz w:val="24"/>
          <w:szCs w:val="24"/>
          <w:lang w:eastAsia="en-GB"/>
        </w:rPr>
      </w:pPr>
      <w:r w:rsidRPr="003813C9">
        <w:rPr>
          <w:rFonts w:eastAsia="Times New Roman"/>
          <w:color w:val="auto"/>
          <w:sz w:val="24"/>
          <w:szCs w:val="24"/>
          <w:lang w:eastAsia="en-GB"/>
        </w:rPr>
        <w:lastRenderedPageBreak/>
        <w:t xml:space="preserve">The </w:t>
      </w:r>
      <w:proofErr w:type="gramStart"/>
      <w:r w:rsidRPr="003813C9">
        <w:rPr>
          <w:rFonts w:eastAsia="Times New Roman"/>
          <w:color w:val="auto"/>
          <w:sz w:val="24"/>
          <w:szCs w:val="24"/>
          <w:lang w:eastAsia="en-GB"/>
        </w:rPr>
        <w:t xml:space="preserve">five </w:t>
      </w:r>
      <w:r w:rsidR="0046703C" w:rsidRPr="003813C9">
        <w:rPr>
          <w:rFonts w:eastAsia="Times New Roman"/>
          <w:color w:val="auto"/>
          <w:sz w:val="24"/>
          <w:szCs w:val="24"/>
          <w:lang w:eastAsia="en-GB"/>
        </w:rPr>
        <w:t xml:space="preserve"> above</w:t>
      </w:r>
      <w:proofErr w:type="gramEnd"/>
      <w:r w:rsidR="0046703C" w:rsidRPr="003813C9">
        <w:rPr>
          <w:rFonts w:eastAsia="Times New Roman"/>
          <w:color w:val="auto"/>
          <w:sz w:val="24"/>
          <w:szCs w:val="24"/>
          <w:lang w:eastAsia="en-GB"/>
        </w:rPr>
        <w:t xml:space="preserve">-mentioned papers focus principally on the impact of risk regulations (i.e., SEC requirements) on market indicators. A further important consideration which can affect managerial disclosure decision-making is the level of corporate governance. </w:t>
      </w:r>
      <w:proofErr w:type="spellStart"/>
      <w:r w:rsidR="0046703C" w:rsidRPr="003813C9">
        <w:rPr>
          <w:rFonts w:eastAsia="Times New Roman"/>
          <w:color w:val="auto"/>
          <w:sz w:val="24"/>
          <w:szCs w:val="24"/>
          <w:lang w:eastAsia="en-GB"/>
        </w:rPr>
        <w:t>Akhigbe</w:t>
      </w:r>
      <w:proofErr w:type="spellEnd"/>
      <w:r w:rsidR="0046703C" w:rsidRPr="003813C9">
        <w:rPr>
          <w:rFonts w:eastAsia="Times New Roman"/>
          <w:color w:val="auto"/>
          <w:sz w:val="24"/>
          <w:szCs w:val="24"/>
          <w:lang w:eastAsia="en-GB"/>
        </w:rPr>
        <w:t xml:space="preserve"> and Martin (2008) test the effects of corporate governance and disclosure on firms’ risk</w:t>
      </w:r>
      <w:r w:rsidR="00D17DCF" w:rsidRPr="003813C9">
        <w:rPr>
          <w:rFonts w:eastAsia="Times New Roman"/>
          <w:color w:val="auto"/>
          <w:sz w:val="24"/>
          <w:szCs w:val="24"/>
          <w:lang w:eastAsia="en-GB"/>
        </w:rPr>
        <w:t xml:space="preserve"> </w:t>
      </w:r>
      <w:r w:rsidR="0046703C" w:rsidRPr="003813C9">
        <w:rPr>
          <w:rFonts w:eastAsia="Times New Roman"/>
          <w:color w:val="auto"/>
          <w:sz w:val="24"/>
          <w:szCs w:val="24"/>
          <w:lang w:eastAsia="en-GB"/>
        </w:rPr>
        <w:t xml:space="preserve">after </w:t>
      </w:r>
      <w:r w:rsidR="0046703C" w:rsidRPr="003813C9">
        <w:rPr>
          <w:rFonts w:eastAsia="Times New Roman"/>
          <w:color w:val="auto"/>
          <w:sz w:val="24"/>
          <w:szCs w:val="24"/>
        </w:rPr>
        <w:t>SOX (2002).</w:t>
      </w:r>
      <w:r w:rsidR="0046703C" w:rsidRPr="003813C9">
        <w:rPr>
          <w:rFonts w:eastAsia="Times New Roman"/>
          <w:color w:val="auto"/>
          <w:sz w:val="24"/>
          <w:szCs w:val="24"/>
          <w:vertAlign w:val="superscript"/>
          <w:lang w:eastAsia="en-GB"/>
        </w:rPr>
        <w:footnoteReference w:id="8"/>
      </w:r>
      <w:r w:rsidR="0046703C" w:rsidRPr="003813C9">
        <w:rPr>
          <w:rFonts w:eastAsia="Times New Roman"/>
          <w:color w:val="auto"/>
          <w:sz w:val="24"/>
          <w:szCs w:val="24"/>
          <w:lang w:eastAsia="en-GB"/>
        </w:rPr>
        <w:t xml:space="preserve"> </w:t>
      </w:r>
      <w:r w:rsidR="00191D23" w:rsidRPr="003813C9">
        <w:rPr>
          <w:rFonts w:eastAsia="Times New Roman"/>
          <w:color w:val="auto"/>
          <w:sz w:val="24"/>
          <w:szCs w:val="24"/>
          <w:lang w:eastAsia="en-GB"/>
        </w:rPr>
        <w:t>Their testing is based on estimated changes in capital market measures of total risk, idiosyncratic risk, and systematic risk that occur between the pre-SOX period and the post-SOX period.</w:t>
      </w:r>
      <w:r w:rsidR="00191D23" w:rsidRPr="003813C9">
        <w:rPr>
          <w:rFonts w:eastAsia="Times New Roman"/>
          <w:color w:val="auto"/>
          <w:sz w:val="24"/>
          <w:szCs w:val="24"/>
        </w:rPr>
        <w:t xml:space="preserve"> </w:t>
      </w:r>
      <w:r w:rsidR="0046703C" w:rsidRPr="003813C9">
        <w:rPr>
          <w:rFonts w:eastAsia="Times New Roman"/>
          <w:color w:val="auto"/>
          <w:sz w:val="24"/>
          <w:szCs w:val="24"/>
          <w:lang w:eastAsia="en-GB"/>
        </w:rPr>
        <w:t>Their prediction of increased levels of risk disclosure was based on the idea that SOX should provide higher levels of assurance.</w:t>
      </w:r>
      <w:r w:rsidR="0046703C" w:rsidRPr="003813C9">
        <w:rPr>
          <w:rFonts w:eastAsia="Times New Roman"/>
          <w:color w:val="auto"/>
          <w:sz w:val="24"/>
          <w:szCs w:val="24"/>
        </w:rPr>
        <w:t xml:space="preserve"> They </w:t>
      </w:r>
      <w:r w:rsidR="0046703C" w:rsidRPr="003813C9">
        <w:rPr>
          <w:rFonts w:eastAsia="Times New Roman"/>
          <w:color w:val="auto"/>
          <w:sz w:val="24"/>
          <w:szCs w:val="24"/>
          <w:lang w:eastAsia="en-GB"/>
        </w:rPr>
        <w:t xml:space="preserve">find that financial </w:t>
      </w:r>
      <w:r w:rsidR="00513D33" w:rsidRPr="003813C9">
        <w:rPr>
          <w:rFonts w:eastAsia="Times New Roman"/>
          <w:color w:val="auto"/>
          <w:sz w:val="24"/>
          <w:szCs w:val="24"/>
          <w:lang w:eastAsia="en-GB"/>
        </w:rPr>
        <w:t xml:space="preserve">firms </w:t>
      </w:r>
      <w:r w:rsidR="0046703C" w:rsidRPr="003813C9">
        <w:rPr>
          <w:rFonts w:eastAsia="Times New Roman"/>
          <w:color w:val="auto"/>
          <w:sz w:val="24"/>
          <w:szCs w:val="24"/>
          <w:lang w:eastAsia="en-GB"/>
        </w:rPr>
        <w:t xml:space="preserve">were rewarded (punished) for stronger (weaker) disclosure and stronger (weaker) governance. </w:t>
      </w:r>
    </w:p>
    <w:p w14:paraId="4A539A22" w14:textId="613628ED" w:rsidR="0046703C" w:rsidRPr="003813C9" w:rsidRDefault="0046703C" w:rsidP="0046703C">
      <w:pPr>
        <w:spacing w:after="0" w:line="480" w:lineRule="auto"/>
        <w:ind w:firstLine="567"/>
        <w:jc w:val="both"/>
        <w:rPr>
          <w:rFonts w:eastAsia="Times New Roman"/>
          <w:color w:val="auto"/>
          <w:sz w:val="24"/>
          <w:szCs w:val="24"/>
          <w:lang w:eastAsia="en-GB"/>
        </w:rPr>
      </w:pPr>
      <w:r w:rsidRPr="003813C9">
        <w:rPr>
          <w:rFonts w:eastAsia="Times New Roman"/>
          <w:color w:val="auto"/>
          <w:sz w:val="24"/>
          <w:szCs w:val="24"/>
          <w:lang w:eastAsia="en-GB"/>
        </w:rPr>
        <w:t xml:space="preserve">Unlike early US-based research on the </w:t>
      </w:r>
      <w:proofErr w:type="spellStart"/>
      <w:r w:rsidRPr="003813C9">
        <w:rPr>
          <w:rFonts w:eastAsia="Times New Roman"/>
          <w:color w:val="auto"/>
          <w:sz w:val="24"/>
          <w:szCs w:val="24"/>
          <w:lang w:eastAsia="en-GB"/>
        </w:rPr>
        <w:t>informativeness</w:t>
      </w:r>
      <w:proofErr w:type="spellEnd"/>
      <w:r w:rsidRPr="003813C9">
        <w:rPr>
          <w:rFonts w:eastAsia="Times New Roman"/>
          <w:color w:val="auto"/>
          <w:sz w:val="24"/>
          <w:szCs w:val="24"/>
          <w:lang w:eastAsia="en-GB"/>
        </w:rPr>
        <w:t xml:space="preserve"> of FRR No.</w:t>
      </w:r>
      <w:r w:rsidR="009A561B" w:rsidRPr="003813C9">
        <w:rPr>
          <w:rFonts w:eastAsia="Times New Roman"/>
          <w:color w:val="auto"/>
          <w:sz w:val="24"/>
          <w:szCs w:val="24"/>
          <w:lang w:eastAsia="en-GB"/>
        </w:rPr>
        <w:t xml:space="preserve"> 48, recent US-based research (three</w:t>
      </w:r>
      <w:r w:rsidRPr="003813C9">
        <w:rPr>
          <w:rFonts w:eastAsia="Times New Roman"/>
          <w:color w:val="auto"/>
          <w:sz w:val="24"/>
          <w:szCs w:val="24"/>
          <w:lang w:eastAsia="en-GB"/>
        </w:rPr>
        <w:t xml:space="preserve"> out of the 12 papers) focuses on the </w:t>
      </w:r>
      <w:proofErr w:type="spellStart"/>
      <w:r w:rsidRPr="003813C9">
        <w:rPr>
          <w:rFonts w:eastAsia="Times New Roman"/>
          <w:color w:val="auto"/>
          <w:sz w:val="24"/>
          <w:szCs w:val="24"/>
          <w:lang w:eastAsia="en-GB"/>
        </w:rPr>
        <w:t>informativeness</w:t>
      </w:r>
      <w:proofErr w:type="spellEnd"/>
      <w:r w:rsidRPr="003813C9">
        <w:rPr>
          <w:rFonts w:eastAsia="Times New Roman"/>
          <w:color w:val="auto"/>
          <w:sz w:val="24"/>
          <w:szCs w:val="24"/>
          <w:lang w:eastAsia="en-GB"/>
        </w:rPr>
        <w:t xml:space="preserve"> of item 1A, Risk Factors, of the 10-K filing, mandated in 2005. This US-based research is aided by advanced qualitative data analysis tools that permit more customized data gathering across a larger s</w:t>
      </w:r>
      <w:r w:rsidR="009A561B" w:rsidRPr="003813C9">
        <w:rPr>
          <w:rFonts w:eastAsia="Times New Roman"/>
          <w:color w:val="auto"/>
          <w:sz w:val="24"/>
          <w:szCs w:val="24"/>
          <w:lang w:eastAsia="en-GB"/>
        </w:rPr>
        <w:t>ample of firms and have attracted</w:t>
      </w:r>
      <w:r w:rsidRPr="003813C9">
        <w:rPr>
          <w:rFonts w:eastAsia="Times New Roman"/>
          <w:color w:val="auto"/>
          <w:sz w:val="24"/>
          <w:szCs w:val="24"/>
          <w:lang w:eastAsia="en-GB"/>
        </w:rPr>
        <w:t xml:space="preserve"> much interest from researchers in examining the </w:t>
      </w:r>
      <w:proofErr w:type="spellStart"/>
      <w:r w:rsidRPr="003813C9">
        <w:rPr>
          <w:rFonts w:eastAsia="Times New Roman"/>
          <w:color w:val="auto"/>
          <w:sz w:val="24"/>
          <w:szCs w:val="24"/>
          <w:lang w:eastAsia="en-GB"/>
        </w:rPr>
        <w:t>informativeness</w:t>
      </w:r>
      <w:proofErr w:type="spellEnd"/>
      <w:r w:rsidRPr="003813C9">
        <w:rPr>
          <w:rFonts w:eastAsia="Times New Roman"/>
          <w:color w:val="auto"/>
          <w:sz w:val="24"/>
          <w:szCs w:val="24"/>
          <w:lang w:eastAsia="en-GB"/>
        </w:rPr>
        <w:t xml:space="preserve"> of the risk information.</w:t>
      </w:r>
    </w:p>
    <w:p w14:paraId="044CDFA0" w14:textId="0B09FE52" w:rsidR="0046703C" w:rsidRPr="003813C9" w:rsidRDefault="0046703C" w:rsidP="0046703C">
      <w:pPr>
        <w:spacing w:after="0" w:line="480" w:lineRule="auto"/>
        <w:ind w:firstLine="567"/>
        <w:jc w:val="both"/>
        <w:rPr>
          <w:rFonts w:eastAsia="Times New Roman"/>
          <w:color w:val="auto"/>
          <w:sz w:val="24"/>
          <w:szCs w:val="24"/>
          <w:lang w:eastAsia="en-GB"/>
        </w:rPr>
      </w:pPr>
      <w:proofErr w:type="spellStart"/>
      <w:r w:rsidRPr="003813C9">
        <w:rPr>
          <w:rFonts w:eastAsia="Times New Roman"/>
          <w:color w:val="auto"/>
          <w:sz w:val="24"/>
          <w:szCs w:val="24"/>
          <w:lang w:eastAsia="en-GB"/>
        </w:rPr>
        <w:t>Kravet</w:t>
      </w:r>
      <w:proofErr w:type="spellEnd"/>
      <w:r w:rsidRPr="003813C9">
        <w:rPr>
          <w:rFonts w:eastAsia="Times New Roman"/>
          <w:color w:val="auto"/>
          <w:sz w:val="24"/>
          <w:szCs w:val="24"/>
          <w:lang w:eastAsia="en-GB"/>
        </w:rPr>
        <w:t xml:space="preserve"> and </w:t>
      </w:r>
      <w:proofErr w:type="spellStart"/>
      <w:r w:rsidRPr="003813C9">
        <w:rPr>
          <w:rFonts w:eastAsia="Times New Roman"/>
          <w:color w:val="auto"/>
          <w:sz w:val="24"/>
          <w:szCs w:val="24"/>
          <w:lang w:eastAsia="en-GB"/>
        </w:rPr>
        <w:t>Muslu</w:t>
      </w:r>
      <w:r w:rsidR="009A561B" w:rsidRPr="003813C9">
        <w:rPr>
          <w:rFonts w:eastAsia="Times New Roman"/>
          <w:color w:val="auto"/>
          <w:sz w:val="24"/>
          <w:szCs w:val="24"/>
          <w:lang w:eastAsia="en-GB"/>
        </w:rPr>
        <w:t>’s</w:t>
      </w:r>
      <w:proofErr w:type="spellEnd"/>
      <w:r w:rsidRPr="003813C9">
        <w:rPr>
          <w:rFonts w:eastAsia="Times New Roman"/>
          <w:color w:val="auto"/>
          <w:sz w:val="24"/>
          <w:szCs w:val="24"/>
          <w:lang w:eastAsia="en-GB"/>
        </w:rPr>
        <w:t xml:space="preserve"> (2013) </w:t>
      </w:r>
      <w:proofErr w:type="gramStart"/>
      <w:r w:rsidRPr="003813C9">
        <w:rPr>
          <w:rFonts w:eastAsia="Times New Roman"/>
          <w:color w:val="auto"/>
          <w:sz w:val="24"/>
          <w:szCs w:val="24"/>
          <w:lang w:eastAsia="en-GB"/>
        </w:rPr>
        <w:t>is</w:t>
      </w:r>
      <w:proofErr w:type="gramEnd"/>
      <w:r w:rsidRPr="003813C9">
        <w:rPr>
          <w:rFonts w:eastAsia="Times New Roman"/>
          <w:color w:val="auto"/>
          <w:sz w:val="24"/>
          <w:szCs w:val="24"/>
          <w:lang w:eastAsia="en-GB"/>
        </w:rPr>
        <w:t xml:space="preserve"> among the first to test for the </w:t>
      </w:r>
      <w:proofErr w:type="spellStart"/>
      <w:r w:rsidRPr="003813C9">
        <w:rPr>
          <w:rFonts w:eastAsia="Times New Roman"/>
          <w:color w:val="auto"/>
          <w:sz w:val="24"/>
          <w:szCs w:val="24"/>
          <w:lang w:eastAsia="en-GB"/>
        </w:rPr>
        <w:t>informativeness</w:t>
      </w:r>
      <w:proofErr w:type="spellEnd"/>
      <w:r w:rsidRPr="003813C9">
        <w:rPr>
          <w:rFonts w:eastAsia="Times New Roman"/>
          <w:color w:val="auto"/>
          <w:sz w:val="24"/>
          <w:szCs w:val="24"/>
          <w:lang w:eastAsia="en-GB"/>
        </w:rPr>
        <w:t xml:space="preserve"> of narrative risk disclosures. Their study employed a machine-learning content analysis approach, which involved designing a Practical Extraction and Report Language (PERL) code to parse the annual report into sentences. The code then tagged a sentence as risk-related if it included at least one risk-related keyword (self-developed ‘bag-of-words’ based on reading 100 randomly selected annual reports).</w:t>
      </w:r>
      <w:r w:rsidRPr="003813C9">
        <w:rPr>
          <w:rFonts w:eastAsia="Times New Roman"/>
          <w:color w:val="auto"/>
          <w:sz w:val="24"/>
          <w:szCs w:val="24"/>
          <w:vertAlign w:val="superscript"/>
          <w:lang w:eastAsia="en-GB"/>
        </w:rPr>
        <w:footnoteReference w:id="9"/>
      </w:r>
      <w:r w:rsidRPr="003813C9">
        <w:rPr>
          <w:rFonts w:eastAsia="Times New Roman"/>
          <w:color w:val="auto"/>
          <w:sz w:val="24"/>
          <w:szCs w:val="24"/>
          <w:lang w:eastAsia="en-GB"/>
        </w:rPr>
        <w:t xml:space="preserve"> They use a sample of 28,110 firm-year observations from 1994 to 2007 to investigate how changes in risk disclosures are related to changes in investor and analyst activities before and after 10-K filings. To that end, they suggest three arguments. The first is </w:t>
      </w:r>
      <w:r w:rsidRPr="003813C9">
        <w:rPr>
          <w:rFonts w:eastAsia="Times New Roman"/>
          <w:i/>
          <w:color w:val="auto"/>
          <w:sz w:val="24"/>
          <w:szCs w:val="24"/>
          <w:lang w:eastAsia="en-GB"/>
        </w:rPr>
        <w:t xml:space="preserve">the null </w:t>
      </w:r>
      <w:r w:rsidRPr="003813C9">
        <w:rPr>
          <w:rFonts w:eastAsia="Times New Roman"/>
          <w:i/>
          <w:color w:val="auto"/>
          <w:sz w:val="24"/>
          <w:szCs w:val="24"/>
          <w:lang w:eastAsia="en-GB"/>
        </w:rPr>
        <w:lastRenderedPageBreak/>
        <w:t>argument</w:t>
      </w:r>
      <w:r w:rsidR="00191D23" w:rsidRPr="003813C9">
        <w:rPr>
          <w:rFonts w:eastAsia="Times New Roman"/>
          <w:color w:val="auto"/>
          <w:sz w:val="24"/>
          <w:szCs w:val="24"/>
          <w:lang w:eastAsia="en-GB"/>
        </w:rPr>
        <w:t xml:space="preserve">, which </w:t>
      </w:r>
      <w:r w:rsidRPr="003813C9">
        <w:rPr>
          <w:rFonts w:eastAsia="Times New Roman"/>
          <w:color w:val="auto"/>
          <w:sz w:val="24"/>
          <w:szCs w:val="24"/>
          <w:lang w:eastAsia="en-GB"/>
        </w:rPr>
        <w:t xml:space="preserve">predicts that analysts will not revise their forecasts differently if they assess risk disclosures to be uninformative. </w:t>
      </w:r>
      <w:proofErr w:type="spellStart"/>
      <w:r w:rsidRPr="003813C9">
        <w:rPr>
          <w:rFonts w:eastAsia="Times New Roman"/>
          <w:color w:val="auto"/>
          <w:sz w:val="24"/>
          <w:szCs w:val="24"/>
          <w:lang w:eastAsia="en-GB"/>
        </w:rPr>
        <w:t>Kravet</w:t>
      </w:r>
      <w:proofErr w:type="spellEnd"/>
      <w:r w:rsidRPr="003813C9">
        <w:rPr>
          <w:rFonts w:eastAsia="Times New Roman"/>
          <w:color w:val="auto"/>
          <w:sz w:val="24"/>
          <w:szCs w:val="24"/>
          <w:lang w:eastAsia="en-GB"/>
        </w:rPr>
        <w:t xml:space="preserve"> and </w:t>
      </w:r>
      <w:proofErr w:type="spellStart"/>
      <w:r w:rsidRPr="003813C9">
        <w:rPr>
          <w:rFonts w:eastAsia="Times New Roman"/>
          <w:color w:val="auto"/>
          <w:sz w:val="24"/>
          <w:szCs w:val="24"/>
          <w:lang w:eastAsia="en-GB"/>
        </w:rPr>
        <w:t>Muslu</w:t>
      </w:r>
      <w:proofErr w:type="spellEnd"/>
      <w:r w:rsidRPr="003813C9">
        <w:rPr>
          <w:rFonts w:eastAsia="Times New Roman"/>
          <w:color w:val="auto"/>
          <w:sz w:val="24"/>
          <w:szCs w:val="24"/>
          <w:lang w:eastAsia="en-GB"/>
        </w:rPr>
        <w:t xml:space="preserve"> (2013) define these uninformative disclosures as boiler-plate, which would mean that the risk disclosure is overly generalized and therefore does not affect users’ perceptions of risk. The second argument, a </w:t>
      </w:r>
      <w:r w:rsidRPr="003813C9">
        <w:rPr>
          <w:rFonts w:eastAsia="Times New Roman"/>
          <w:i/>
          <w:color w:val="auto"/>
          <w:sz w:val="24"/>
          <w:szCs w:val="24"/>
          <w:lang w:eastAsia="en-GB"/>
        </w:rPr>
        <w:t>divergence</w:t>
      </w:r>
      <w:r w:rsidRPr="003813C9">
        <w:rPr>
          <w:rFonts w:eastAsia="Times New Roman"/>
          <w:color w:val="auto"/>
          <w:sz w:val="24"/>
          <w:szCs w:val="24"/>
          <w:lang w:eastAsia="en-GB"/>
        </w:rPr>
        <w:t xml:space="preserve"> argument, states that risk disclosure increases users’ risk perceptions by revealing previously unknown risk factors. The third argument, a </w:t>
      </w:r>
      <w:r w:rsidRPr="003813C9">
        <w:rPr>
          <w:rFonts w:eastAsia="Times New Roman"/>
          <w:i/>
          <w:color w:val="auto"/>
          <w:sz w:val="24"/>
          <w:szCs w:val="24"/>
          <w:lang w:eastAsia="en-GB"/>
        </w:rPr>
        <w:t xml:space="preserve">convergence </w:t>
      </w:r>
      <w:r w:rsidRPr="003813C9">
        <w:rPr>
          <w:rFonts w:eastAsia="Times New Roman"/>
          <w:color w:val="auto"/>
          <w:sz w:val="24"/>
          <w:szCs w:val="24"/>
          <w:lang w:eastAsia="en-GB"/>
        </w:rPr>
        <w:t xml:space="preserve">argument, states that risk disclosure decreases users’ risk perceptions by confirming a company’s known risk factors. Generally, their findings support the divergence argument, implying that risk disclosure is informative. However, </w:t>
      </w:r>
      <w:r w:rsidRPr="003813C9">
        <w:rPr>
          <w:rFonts w:eastAsia="Times New Roman"/>
          <w:color w:val="auto"/>
          <w:sz w:val="24"/>
          <w:szCs w:val="24"/>
        </w:rPr>
        <w:t>they find stronger relations between industry-level risk disclosure and investors’ perceptions of risk</w:t>
      </w:r>
      <w:r w:rsidR="00F52FAB" w:rsidRPr="003813C9">
        <w:rPr>
          <w:rFonts w:eastAsia="Times New Roman"/>
          <w:color w:val="auto"/>
          <w:sz w:val="24"/>
          <w:szCs w:val="24"/>
        </w:rPr>
        <w:t xml:space="preserve"> than for firm-level </w:t>
      </w:r>
      <w:r w:rsidR="001F45A2" w:rsidRPr="003813C9">
        <w:rPr>
          <w:rFonts w:eastAsia="Times New Roman"/>
          <w:color w:val="auto"/>
          <w:sz w:val="24"/>
          <w:szCs w:val="24"/>
        </w:rPr>
        <w:t>disclosure. This</w:t>
      </w:r>
      <w:r w:rsidR="00F52FAB" w:rsidRPr="003813C9">
        <w:rPr>
          <w:rFonts w:eastAsia="Times New Roman"/>
          <w:color w:val="auto"/>
          <w:sz w:val="24"/>
          <w:szCs w:val="24"/>
        </w:rPr>
        <w:t xml:space="preserve"> finding </w:t>
      </w:r>
      <w:r w:rsidRPr="003813C9">
        <w:rPr>
          <w:rFonts w:eastAsia="Times New Roman"/>
          <w:color w:val="auto"/>
          <w:sz w:val="24"/>
          <w:szCs w:val="24"/>
        </w:rPr>
        <w:t>supports criticism in prior work that company-specific risk information is lacking in annual reports (e.g.</w:t>
      </w:r>
      <w:r w:rsidR="00A8425B" w:rsidRPr="003813C9">
        <w:rPr>
          <w:rFonts w:eastAsia="Times New Roman"/>
          <w:color w:val="auto"/>
          <w:sz w:val="24"/>
          <w:szCs w:val="24"/>
        </w:rPr>
        <w:t>,</w:t>
      </w:r>
      <w:r w:rsidRPr="003813C9">
        <w:rPr>
          <w:rFonts w:eastAsia="Times New Roman"/>
          <w:color w:val="auto"/>
          <w:sz w:val="24"/>
          <w:szCs w:val="24"/>
        </w:rPr>
        <w:t xml:space="preserve"> </w:t>
      </w:r>
      <w:proofErr w:type="spellStart"/>
      <w:r w:rsidRPr="003813C9">
        <w:rPr>
          <w:rFonts w:eastAsia="Times New Roman"/>
          <w:color w:val="auto"/>
          <w:sz w:val="24"/>
          <w:szCs w:val="24"/>
        </w:rPr>
        <w:t>Schrand</w:t>
      </w:r>
      <w:proofErr w:type="spellEnd"/>
      <w:r w:rsidRPr="003813C9">
        <w:rPr>
          <w:rFonts w:eastAsia="Times New Roman"/>
          <w:color w:val="auto"/>
          <w:sz w:val="24"/>
          <w:szCs w:val="24"/>
        </w:rPr>
        <w:t xml:space="preserve"> </w:t>
      </w:r>
      <w:r w:rsidR="00F52FAB" w:rsidRPr="003813C9">
        <w:rPr>
          <w:rFonts w:eastAsia="Times New Roman"/>
          <w:color w:val="auto"/>
          <w:sz w:val="24"/>
          <w:szCs w:val="24"/>
        </w:rPr>
        <w:t xml:space="preserve">&amp; </w:t>
      </w:r>
      <w:r w:rsidRPr="003813C9">
        <w:rPr>
          <w:rFonts w:eastAsia="Times New Roman"/>
          <w:color w:val="auto"/>
          <w:sz w:val="24"/>
          <w:szCs w:val="24"/>
        </w:rPr>
        <w:t>Elliott, 1998; Kaplan, 2011).</w:t>
      </w:r>
      <w:r w:rsidRPr="003813C9">
        <w:rPr>
          <w:rFonts w:eastAsia="Times New Roman"/>
          <w:color w:val="auto"/>
          <w:sz w:val="24"/>
          <w:szCs w:val="24"/>
          <w:lang w:eastAsia="en-GB"/>
        </w:rPr>
        <w:t xml:space="preserve"> </w:t>
      </w:r>
    </w:p>
    <w:p w14:paraId="142BA55D" w14:textId="77777777" w:rsidR="0046703C" w:rsidRPr="003813C9" w:rsidRDefault="0046703C" w:rsidP="0046703C">
      <w:pPr>
        <w:spacing w:after="0" w:line="480" w:lineRule="auto"/>
        <w:ind w:firstLine="567"/>
        <w:jc w:val="both"/>
        <w:rPr>
          <w:rFonts w:eastAsia="Times New Roman"/>
          <w:color w:val="auto"/>
          <w:sz w:val="24"/>
          <w:szCs w:val="24"/>
        </w:rPr>
      </w:pPr>
      <w:r w:rsidRPr="003813C9">
        <w:rPr>
          <w:rFonts w:eastAsia="Times New Roman"/>
          <w:color w:val="auto"/>
          <w:sz w:val="24"/>
          <w:szCs w:val="24"/>
          <w:lang w:eastAsia="en-GB"/>
        </w:rPr>
        <w:t xml:space="preserve">Re-examining the three competing arguments put forward by </w:t>
      </w:r>
      <w:proofErr w:type="spellStart"/>
      <w:r w:rsidRPr="003813C9">
        <w:rPr>
          <w:rFonts w:eastAsia="Times New Roman"/>
          <w:color w:val="auto"/>
          <w:sz w:val="24"/>
          <w:szCs w:val="24"/>
          <w:lang w:eastAsia="en-GB"/>
        </w:rPr>
        <w:t>Kravet</w:t>
      </w:r>
      <w:proofErr w:type="spellEnd"/>
      <w:r w:rsidRPr="003813C9">
        <w:rPr>
          <w:rFonts w:eastAsia="Times New Roman"/>
          <w:color w:val="auto"/>
          <w:sz w:val="24"/>
          <w:szCs w:val="24"/>
          <w:lang w:eastAsia="en-GB"/>
        </w:rPr>
        <w:t xml:space="preserve"> and </w:t>
      </w:r>
      <w:proofErr w:type="spellStart"/>
      <w:r w:rsidRPr="003813C9">
        <w:rPr>
          <w:rFonts w:eastAsia="Times New Roman"/>
          <w:color w:val="auto"/>
          <w:sz w:val="24"/>
          <w:szCs w:val="24"/>
          <w:lang w:eastAsia="en-GB"/>
        </w:rPr>
        <w:t>Muslu</w:t>
      </w:r>
      <w:proofErr w:type="spellEnd"/>
      <w:r w:rsidRPr="003813C9">
        <w:rPr>
          <w:rFonts w:eastAsia="Times New Roman"/>
          <w:color w:val="auto"/>
          <w:sz w:val="24"/>
          <w:szCs w:val="24"/>
          <w:lang w:eastAsia="en-GB"/>
        </w:rPr>
        <w:t xml:space="preserve"> (2013), </w:t>
      </w:r>
      <w:proofErr w:type="spellStart"/>
      <w:r w:rsidRPr="003813C9">
        <w:rPr>
          <w:rFonts w:eastAsia="Times New Roman"/>
          <w:color w:val="auto"/>
          <w:sz w:val="24"/>
          <w:szCs w:val="24"/>
        </w:rPr>
        <w:t>Bao</w:t>
      </w:r>
      <w:proofErr w:type="spellEnd"/>
      <w:r w:rsidRPr="003813C9">
        <w:rPr>
          <w:rFonts w:eastAsia="Times New Roman"/>
          <w:color w:val="auto"/>
          <w:sz w:val="24"/>
          <w:szCs w:val="24"/>
        </w:rPr>
        <w:t xml:space="preserve"> and </w:t>
      </w:r>
      <w:proofErr w:type="spellStart"/>
      <w:r w:rsidRPr="003813C9">
        <w:rPr>
          <w:rFonts w:eastAsia="Times New Roman"/>
          <w:color w:val="auto"/>
          <w:sz w:val="24"/>
          <w:szCs w:val="24"/>
        </w:rPr>
        <w:t>Datta</w:t>
      </w:r>
      <w:proofErr w:type="spellEnd"/>
      <w:r w:rsidRPr="003813C9">
        <w:rPr>
          <w:rFonts w:eastAsia="Times New Roman"/>
          <w:color w:val="auto"/>
          <w:sz w:val="24"/>
          <w:szCs w:val="24"/>
        </w:rPr>
        <w:t xml:space="preserve"> (2014)</w:t>
      </w:r>
      <w:r w:rsidRPr="003813C9">
        <w:rPr>
          <w:rFonts w:eastAsia="Times New Roman"/>
          <w:color w:val="auto"/>
          <w:sz w:val="24"/>
          <w:szCs w:val="24"/>
          <w:lang w:eastAsia="en-GB"/>
        </w:rPr>
        <w:t xml:space="preserve"> examine a sample of</w:t>
      </w:r>
      <w:r w:rsidRPr="003813C9">
        <w:rPr>
          <w:rFonts w:eastAsia="Times New Roman"/>
          <w:color w:val="auto"/>
          <w:sz w:val="24"/>
          <w:szCs w:val="24"/>
        </w:rPr>
        <w:t xml:space="preserve"> 7,679 US firm-year observations from 2006 to 2010. In contrast to prior work which employed a pre-determined set of key words or sentences to detect risk information, instead they use the Latent </w:t>
      </w:r>
      <w:proofErr w:type="spellStart"/>
      <w:r w:rsidRPr="003813C9">
        <w:rPr>
          <w:rFonts w:eastAsia="Times New Roman"/>
          <w:color w:val="auto"/>
          <w:sz w:val="24"/>
          <w:szCs w:val="24"/>
        </w:rPr>
        <w:t>Dirichlet</w:t>
      </w:r>
      <w:proofErr w:type="spellEnd"/>
      <w:r w:rsidRPr="003813C9">
        <w:rPr>
          <w:rFonts w:eastAsia="Times New Roman"/>
          <w:color w:val="auto"/>
          <w:sz w:val="24"/>
          <w:szCs w:val="24"/>
        </w:rPr>
        <w:t xml:space="preserve"> Allocation topic model (LDA) to classify and quantify risk information in the narrative sections of 10-Ks.</w:t>
      </w:r>
      <w:r w:rsidRPr="003813C9">
        <w:rPr>
          <w:rFonts w:eastAsia="Times New Roman"/>
          <w:color w:val="auto"/>
          <w:sz w:val="24"/>
          <w:szCs w:val="24"/>
          <w:vertAlign w:val="superscript"/>
        </w:rPr>
        <w:footnoteReference w:id="10"/>
      </w:r>
      <w:r w:rsidRPr="003813C9">
        <w:rPr>
          <w:rFonts w:eastAsia="Times New Roman"/>
          <w:color w:val="auto"/>
          <w:sz w:val="24"/>
          <w:szCs w:val="24"/>
        </w:rPr>
        <w:t xml:space="preserve"> This work is, to date, the most comprehensive categorization of the content of risk disclosure within 10-Ks. They identify 30 types of risk disclosure and examine the impact of each type on the volatility of the stock return.</w:t>
      </w:r>
      <w:r w:rsidR="006A1A3E" w:rsidRPr="003813C9">
        <w:rPr>
          <w:rStyle w:val="FootnoteReference"/>
          <w:rFonts w:eastAsia="Times New Roman"/>
          <w:color w:val="auto"/>
          <w:sz w:val="24"/>
          <w:szCs w:val="24"/>
        </w:rPr>
        <w:footnoteReference w:id="11"/>
      </w:r>
      <w:r w:rsidRPr="003813C9">
        <w:rPr>
          <w:rFonts w:eastAsia="Times New Roman"/>
          <w:color w:val="auto"/>
          <w:sz w:val="24"/>
          <w:szCs w:val="24"/>
        </w:rPr>
        <w:t xml:space="preserve"> They identify different </w:t>
      </w:r>
      <w:proofErr w:type="spellStart"/>
      <w:r w:rsidRPr="003813C9">
        <w:rPr>
          <w:rFonts w:eastAsia="Times New Roman"/>
          <w:color w:val="auto"/>
          <w:sz w:val="24"/>
          <w:szCs w:val="24"/>
        </w:rPr>
        <w:t>informativeness</w:t>
      </w:r>
      <w:proofErr w:type="spellEnd"/>
      <w:r w:rsidRPr="003813C9">
        <w:rPr>
          <w:rFonts w:eastAsia="Times New Roman"/>
          <w:color w:val="auto"/>
          <w:sz w:val="24"/>
          <w:szCs w:val="24"/>
        </w:rPr>
        <w:t xml:space="preserve"> patterns. Specifically, they find that, while 22 types are non-significant (supporting the null argument),</w:t>
      </w:r>
      <w:r w:rsidR="001479BE" w:rsidRPr="003813C9">
        <w:rPr>
          <w:rFonts w:eastAsia="Times New Roman"/>
          <w:color w:val="auto"/>
          <w:sz w:val="24"/>
          <w:szCs w:val="24"/>
        </w:rPr>
        <w:t xml:space="preserve"> three types of risk disclosure </w:t>
      </w:r>
      <w:r w:rsidR="00E85311" w:rsidRPr="003813C9">
        <w:rPr>
          <w:rFonts w:eastAsia="Times New Roman"/>
          <w:color w:val="auto"/>
          <w:sz w:val="24"/>
          <w:szCs w:val="24"/>
        </w:rPr>
        <w:t xml:space="preserve">(funding, </w:t>
      </w:r>
      <w:r w:rsidR="0068275C" w:rsidRPr="003813C9">
        <w:rPr>
          <w:rFonts w:eastAsia="Times New Roman"/>
          <w:color w:val="auto"/>
          <w:sz w:val="24"/>
          <w:szCs w:val="24"/>
        </w:rPr>
        <w:t>macroeconomic cyclical industry</w:t>
      </w:r>
      <w:r w:rsidR="00E85311" w:rsidRPr="003813C9">
        <w:rPr>
          <w:rFonts w:eastAsia="Times New Roman"/>
          <w:color w:val="auto"/>
          <w:sz w:val="24"/>
          <w:szCs w:val="24"/>
        </w:rPr>
        <w:t>, and credit risks</w:t>
      </w:r>
      <w:r w:rsidR="0068275C" w:rsidRPr="003813C9">
        <w:rPr>
          <w:rFonts w:eastAsia="Times New Roman"/>
          <w:color w:val="auto"/>
          <w:sz w:val="24"/>
          <w:szCs w:val="24"/>
        </w:rPr>
        <w:t xml:space="preserve">) </w:t>
      </w:r>
      <w:r w:rsidRPr="003813C9">
        <w:rPr>
          <w:rFonts w:eastAsia="Times New Roman"/>
          <w:color w:val="auto"/>
          <w:sz w:val="24"/>
          <w:szCs w:val="24"/>
        </w:rPr>
        <w:t>are positively related to investor-perceived risk (supporting the divergence argument), and the other five types</w:t>
      </w:r>
      <w:r w:rsidR="0068275C" w:rsidRPr="003813C9">
        <w:rPr>
          <w:rFonts w:eastAsia="Times New Roman"/>
          <w:color w:val="auto"/>
          <w:sz w:val="24"/>
          <w:szCs w:val="24"/>
        </w:rPr>
        <w:t xml:space="preserve"> (h</w:t>
      </w:r>
      <w:r w:rsidR="00E85311" w:rsidRPr="003813C9">
        <w:rPr>
          <w:rFonts w:eastAsia="Times New Roman"/>
          <w:color w:val="auto"/>
          <w:sz w:val="24"/>
          <w:szCs w:val="24"/>
        </w:rPr>
        <w:t>uman resources</w:t>
      </w:r>
      <w:r w:rsidR="0068275C" w:rsidRPr="003813C9">
        <w:rPr>
          <w:rFonts w:eastAsia="Times New Roman"/>
          <w:color w:val="auto"/>
          <w:sz w:val="24"/>
          <w:szCs w:val="24"/>
        </w:rPr>
        <w:t>, regu</w:t>
      </w:r>
      <w:r w:rsidR="00F873F3" w:rsidRPr="003813C9">
        <w:rPr>
          <w:rFonts w:eastAsia="Times New Roman"/>
          <w:color w:val="auto"/>
          <w:sz w:val="24"/>
          <w:szCs w:val="24"/>
        </w:rPr>
        <w:t xml:space="preserve">lation changes, infrastructure, </w:t>
      </w:r>
      <w:r w:rsidR="006A1A3E" w:rsidRPr="003813C9">
        <w:rPr>
          <w:rFonts w:eastAsia="Times New Roman"/>
          <w:color w:val="auto"/>
          <w:sz w:val="24"/>
          <w:szCs w:val="24"/>
        </w:rPr>
        <w:t>operation disruption</w:t>
      </w:r>
      <w:r w:rsidR="00E85311" w:rsidRPr="003813C9">
        <w:rPr>
          <w:rFonts w:eastAsia="Times New Roman"/>
          <w:color w:val="auto"/>
          <w:sz w:val="24"/>
          <w:szCs w:val="24"/>
        </w:rPr>
        <w:t>, and debt risks</w:t>
      </w:r>
      <w:r w:rsidR="006A1A3E" w:rsidRPr="003813C9">
        <w:rPr>
          <w:rFonts w:eastAsia="Times New Roman"/>
          <w:color w:val="auto"/>
          <w:sz w:val="24"/>
          <w:szCs w:val="24"/>
        </w:rPr>
        <w:t>)</w:t>
      </w:r>
      <w:r w:rsidRPr="003813C9">
        <w:rPr>
          <w:rFonts w:eastAsia="Times New Roman"/>
          <w:color w:val="auto"/>
          <w:sz w:val="24"/>
          <w:szCs w:val="24"/>
        </w:rPr>
        <w:t xml:space="preserve"> are negatively related to it (supporting the convergence argument).  </w:t>
      </w:r>
    </w:p>
    <w:p w14:paraId="6973A904" w14:textId="77777777" w:rsidR="0046703C" w:rsidRPr="003813C9" w:rsidRDefault="0046703C" w:rsidP="0046703C">
      <w:pPr>
        <w:spacing w:after="0" w:line="480" w:lineRule="auto"/>
        <w:ind w:firstLine="567"/>
        <w:jc w:val="both"/>
        <w:rPr>
          <w:rFonts w:eastAsia="Times New Roman"/>
          <w:color w:val="auto"/>
          <w:sz w:val="24"/>
          <w:szCs w:val="24"/>
        </w:rPr>
      </w:pPr>
      <w:r w:rsidRPr="003813C9">
        <w:rPr>
          <w:rFonts w:eastAsia="Times New Roman"/>
          <w:color w:val="auto"/>
          <w:sz w:val="24"/>
          <w:szCs w:val="24"/>
          <w:lang w:eastAsia="en-GB"/>
        </w:rPr>
        <w:lastRenderedPageBreak/>
        <w:t xml:space="preserve">Using a different source and approach to quantifying risk information, </w:t>
      </w:r>
      <w:proofErr w:type="spellStart"/>
      <w:r w:rsidRPr="003813C9">
        <w:rPr>
          <w:rFonts w:eastAsia="Times New Roman"/>
          <w:color w:val="auto"/>
          <w:sz w:val="24"/>
          <w:szCs w:val="24"/>
          <w:lang w:eastAsia="en-GB"/>
        </w:rPr>
        <w:t>Filzen</w:t>
      </w:r>
      <w:proofErr w:type="spellEnd"/>
      <w:r w:rsidRPr="003813C9">
        <w:rPr>
          <w:rFonts w:eastAsia="Times New Roman"/>
          <w:color w:val="auto"/>
          <w:sz w:val="24"/>
          <w:szCs w:val="24"/>
          <w:lang w:eastAsia="en-GB"/>
        </w:rPr>
        <w:t xml:space="preserve"> (2015) examines the </w:t>
      </w:r>
      <w:proofErr w:type="spellStart"/>
      <w:r w:rsidRPr="003813C9">
        <w:rPr>
          <w:rFonts w:eastAsia="Times New Roman"/>
          <w:color w:val="auto"/>
          <w:sz w:val="24"/>
          <w:szCs w:val="24"/>
          <w:lang w:eastAsia="en-GB"/>
        </w:rPr>
        <w:t>informativeness</w:t>
      </w:r>
      <w:proofErr w:type="spellEnd"/>
      <w:r w:rsidRPr="003813C9">
        <w:rPr>
          <w:rFonts w:eastAsia="Times New Roman"/>
          <w:color w:val="auto"/>
          <w:sz w:val="24"/>
          <w:szCs w:val="24"/>
          <w:lang w:eastAsia="en-GB"/>
        </w:rPr>
        <w:t xml:space="preserve"> of risk disclosure by focusing on updates within the risk factor statements in quarterly reports, using a sample of 13,165 firm-quarters. The findings support </w:t>
      </w:r>
      <w:proofErr w:type="spellStart"/>
      <w:r w:rsidRPr="003813C9">
        <w:rPr>
          <w:rFonts w:eastAsia="Times New Roman"/>
          <w:color w:val="auto"/>
          <w:sz w:val="24"/>
          <w:szCs w:val="24"/>
          <w:lang w:eastAsia="en-GB"/>
        </w:rPr>
        <w:t>Kravet</w:t>
      </w:r>
      <w:proofErr w:type="spellEnd"/>
      <w:r w:rsidRPr="003813C9">
        <w:rPr>
          <w:rFonts w:eastAsia="Times New Roman"/>
          <w:color w:val="auto"/>
          <w:sz w:val="24"/>
          <w:szCs w:val="24"/>
          <w:lang w:eastAsia="en-GB"/>
        </w:rPr>
        <w:t xml:space="preserve"> and </w:t>
      </w:r>
      <w:proofErr w:type="spellStart"/>
      <w:r w:rsidRPr="003813C9">
        <w:rPr>
          <w:rFonts w:eastAsia="Times New Roman"/>
          <w:color w:val="auto"/>
          <w:sz w:val="24"/>
          <w:szCs w:val="24"/>
          <w:lang w:eastAsia="en-GB"/>
        </w:rPr>
        <w:t>Muslu’s</w:t>
      </w:r>
      <w:proofErr w:type="spellEnd"/>
      <w:r w:rsidRPr="003813C9">
        <w:rPr>
          <w:rFonts w:eastAsia="Times New Roman"/>
          <w:color w:val="auto"/>
          <w:sz w:val="24"/>
          <w:szCs w:val="24"/>
          <w:lang w:eastAsia="en-GB"/>
        </w:rPr>
        <w:t xml:space="preserve"> (2013) </w:t>
      </w:r>
      <w:r w:rsidRPr="003813C9">
        <w:rPr>
          <w:rFonts w:eastAsia="Times New Roman"/>
          <w:i/>
          <w:color w:val="auto"/>
          <w:sz w:val="24"/>
          <w:szCs w:val="24"/>
        </w:rPr>
        <w:t>divergence</w:t>
      </w:r>
      <w:r w:rsidRPr="003813C9">
        <w:rPr>
          <w:rFonts w:eastAsia="Times New Roman"/>
          <w:color w:val="auto"/>
          <w:sz w:val="24"/>
          <w:szCs w:val="24"/>
        </w:rPr>
        <w:t xml:space="preserve"> argument regarding </w:t>
      </w:r>
      <w:proofErr w:type="spellStart"/>
      <w:r w:rsidRPr="003813C9">
        <w:rPr>
          <w:rFonts w:eastAsia="Times New Roman"/>
          <w:color w:val="auto"/>
          <w:sz w:val="24"/>
          <w:szCs w:val="24"/>
          <w:lang w:eastAsia="en-GB"/>
        </w:rPr>
        <w:t>informativeness</w:t>
      </w:r>
      <w:proofErr w:type="spellEnd"/>
      <w:r w:rsidRPr="003813C9">
        <w:rPr>
          <w:rFonts w:eastAsia="Times New Roman"/>
          <w:color w:val="auto"/>
          <w:sz w:val="24"/>
          <w:szCs w:val="24"/>
          <w:lang w:eastAsia="en-GB"/>
        </w:rPr>
        <w:t xml:space="preserve">. </w:t>
      </w:r>
      <w:proofErr w:type="spellStart"/>
      <w:r w:rsidRPr="003813C9">
        <w:rPr>
          <w:rFonts w:eastAsia="Times New Roman"/>
          <w:color w:val="auto"/>
          <w:sz w:val="24"/>
          <w:szCs w:val="24"/>
          <w:lang w:eastAsia="en-GB"/>
        </w:rPr>
        <w:t>Filzen</w:t>
      </w:r>
      <w:proofErr w:type="spellEnd"/>
      <w:r w:rsidRPr="003813C9">
        <w:rPr>
          <w:rFonts w:eastAsia="Times New Roman"/>
          <w:color w:val="auto"/>
          <w:sz w:val="24"/>
          <w:szCs w:val="24"/>
          <w:lang w:eastAsia="en-GB"/>
        </w:rPr>
        <w:t xml:space="preserve"> (2015) shows that risk factor updates are associated with adverse outcomes as measured by abnormal returns and negative earnings revelations. </w:t>
      </w:r>
    </w:p>
    <w:p w14:paraId="1527DC31" w14:textId="77777777" w:rsidR="0046703C" w:rsidRPr="003813C9" w:rsidRDefault="0046703C" w:rsidP="0046703C">
      <w:pPr>
        <w:spacing w:after="0" w:line="480" w:lineRule="auto"/>
        <w:jc w:val="both"/>
        <w:rPr>
          <w:rFonts w:eastAsia="Times New Roman"/>
          <w:i/>
          <w:color w:val="auto"/>
          <w:sz w:val="24"/>
          <w:szCs w:val="24"/>
        </w:rPr>
      </w:pPr>
      <w:r w:rsidRPr="003813C9">
        <w:rPr>
          <w:rFonts w:eastAsia="Times New Roman"/>
          <w:i/>
          <w:color w:val="auto"/>
          <w:sz w:val="24"/>
          <w:szCs w:val="24"/>
        </w:rPr>
        <w:t xml:space="preserve">3.2 Risk reporting: Non-US evidence </w:t>
      </w:r>
    </w:p>
    <w:p w14:paraId="35370032" w14:textId="383C60AD" w:rsidR="0046703C" w:rsidRPr="003813C9" w:rsidRDefault="0046703C" w:rsidP="000D38DE">
      <w:pPr>
        <w:spacing w:after="0" w:line="480" w:lineRule="auto"/>
        <w:jc w:val="both"/>
        <w:rPr>
          <w:rFonts w:eastAsia="Times New Roman"/>
          <w:color w:val="auto"/>
          <w:sz w:val="24"/>
          <w:szCs w:val="24"/>
        </w:rPr>
      </w:pPr>
      <w:r w:rsidRPr="003813C9">
        <w:rPr>
          <w:rFonts w:eastAsia="Times New Roman"/>
          <w:color w:val="auto"/>
          <w:sz w:val="24"/>
          <w:szCs w:val="24"/>
        </w:rPr>
        <w:t xml:space="preserve">A second stream of research examining the </w:t>
      </w:r>
      <w:proofErr w:type="spellStart"/>
      <w:r w:rsidRPr="003813C9">
        <w:rPr>
          <w:rFonts w:eastAsia="Times New Roman"/>
          <w:color w:val="auto"/>
          <w:sz w:val="24"/>
          <w:szCs w:val="24"/>
        </w:rPr>
        <w:t>informativeness</w:t>
      </w:r>
      <w:proofErr w:type="spellEnd"/>
      <w:r w:rsidRPr="003813C9">
        <w:rPr>
          <w:rFonts w:eastAsia="Times New Roman"/>
          <w:color w:val="auto"/>
          <w:sz w:val="24"/>
          <w:szCs w:val="24"/>
        </w:rPr>
        <w:t xml:space="preserve"> of risk disclosure is non-US-based (</w:t>
      </w:r>
      <w:r w:rsidR="00273B50" w:rsidRPr="003813C9">
        <w:rPr>
          <w:rFonts w:eastAsia="Times New Roman"/>
          <w:color w:val="auto"/>
          <w:sz w:val="24"/>
          <w:szCs w:val="24"/>
        </w:rPr>
        <w:t>three</w:t>
      </w:r>
      <w:r w:rsidRPr="003813C9">
        <w:rPr>
          <w:rFonts w:eastAsia="Times New Roman"/>
          <w:color w:val="auto"/>
          <w:sz w:val="24"/>
          <w:szCs w:val="24"/>
        </w:rPr>
        <w:t xml:space="preserve"> out of 12 papers: two within the UK and one within Egypt). Relying on </w:t>
      </w:r>
      <w:r w:rsidRPr="003813C9">
        <w:rPr>
          <w:rFonts w:eastAsia="Times New Roman"/>
          <w:color w:val="auto"/>
          <w:sz w:val="24"/>
          <w:szCs w:val="24"/>
          <w:lang w:eastAsia="en-GB"/>
        </w:rPr>
        <w:t xml:space="preserve">four FTSE100-listed Food Producers and Processors companies between 2002 and 2007, </w:t>
      </w:r>
      <w:r w:rsidRPr="003813C9">
        <w:rPr>
          <w:rFonts w:eastAsia="Times New Roman"/>
          <w:color w:val="auto"/>
          <w:sz w:val="24"/>
          <w:szCs w:val="24"/>
        </w:rPr>
        <w:t xml:space="preserve">Abraham and Shrives (2014) measure the quality of risk disclosure </w:t>
      </w:r>
      <w:proofErr w:type="spellStart"/>
      <w:r w:rsidRPr="003813C9">
        <w:rPr>
          <w:rFonts w:eastAsia="Times New Roman"/>
          <w:color w:val="auto"/>
          <w:sz w:val="24"/>
          <w:szCs w:val="24"/>
        </w:rPr>
        <w:t>informativeness</w:t>
      </w:r>
      <w:proofErr w:type="spellEnd"/>
      <w:r w:rsidRPr="003813C9">
        <w:rPr>
          <w:rFonts w:eastAsia="Times New Roman"/>
          <w:color w:val="auto"/>
          <w:sz w:val="24"/>
          <w:szCs w:val="24"/>
        </w:rPr>
        <w:t xml:space="preserve"> as a function of three themes, namely (i) that risk factor disclosure should be specific to the company, (ii) that managers evaluate their risk disclosures on a regular basis, identifying significant events</w:t>
      </w:r>
      <w:r w:rsidRPr="003813C9">
        <w:rPr>
          <w:rFonts w:eastAsia="Times New Roman"/>
          <w:color w:val="auto"/>
          <w:sz w:val="24"/>
          <w:szCs w:val="24"/>
          <w:vertAlign w:val="superscript"/>
        </w:rPr>
        <w:footnoteReference w:id="12"/>
      </w:r>
      <w:r w:rsidRPr="003813C9">
        <w:rPr>
          <w:rFonts w:eastAsia="Times New Roman"/>
          <w:color w:val="auto"/>
          <w:sz w:val="24"/>
          <w:szCs w:val="24"/>
        </w:rPr>
        <w:t xml:space="preserve"> </w:t>
      </w:r>
      <w:r w:rsidRPr="003813C9">
        <w:rPr>
          <w:rFonts w:eastAsia="Times New Roman"/>
          <w:i/>
          <w:color w:val="auto"/>
          <w:sz w:val="24"/>
          <w:szCs w:val="24"/>
        </w:rPr>
        <w:t>ex ante</w:t>
      </w:r>
      <w:r w:rsidRPr="003813C9">
        <w:rPr>
          <w:rFonts w:eastAsia="Times New Roman"/>
          <w:color w:val="auto"/>
          <w:sz w:val="24"/>
          <w:szCs w:val="24"/>
        </w:rPr>
        <w:t xml:space="preserve"> to avoid repetitious annual reporting; and (iii) that actual risk experiences are discussed in the risk-factor statements. An innovative and distinguishing feature of their content analysis approach is the use of </w:t>
      </w:r>
      <w:r w:rsidRPr="003813C9">
        <w:rPr>
          <w:rFonts w:eastAsia="Times New Roman"/>
          <w:color w:val="auto"/>
          <w:sz w:val="24"/>
          <w:szCs w:val="24"/>
          <w:lang w:eastAsia="en-GB"/>
        </w:rPr>
        <w:t xml:space="preserve">plagiarism detection software (Ferret) to check for similarities in risk sentences over time. In line with prior work (e.g., </w:t>
      </w:r>
      <w:proofErr w:type="spellStart"/>
      <w:r w:rsidRPr="003813C9">
        <w:rPr>
          <w:rFonts w:eastAsia="Times New Roman"/>
          <w:color w:val="auto"/>
          <w:sz w:val="24"/>
          <w:szCs w:val="24"/>
          <w:lang w:eastAsia="en-GB"/>
        </w:rPr>
        <w:t>Linsley</w:t>
      </w:r>
      <w:proofErr w:type="spellEnd"/>
      <w:r w:rsidRPr="003813C9">
        <w:rPr>
          <w:rFonts w:eastAsia="Times New Roman"/>
          <w:color w:val="auto"/>
          <w:sz w:val="24"/>
          <w:szCs w:val="24"/>
          <w:lang w:eastAsia="en-GB"/>
        </w:rPr>
        <w:t xml:space="preserve"> </w:t>
      </w:r>
      <w:r w:rsidR="00F52FAB" w:rsidRPr="003813C9">
        <w:rPr>
          <w:rFonts w:eastAsia="Times New Roman"/>
          <w:color w:val="auto"/>
          <w:sz w:val="24"/>
          <w:szCs w:val="24"/>
          <w:lang w:eastAsia="en-GB"/>
        </w:rPr>
        <w:t xml:space="preserve">&amp; </w:t>
      </w:r>
      <w:r w:rsidRPr="003813C9">
        <w:rPr>
          <w:rFonts w:eastAsia="Times New Roman"/>
          <w:color w:val="auto"/>
          <w:sz w:val="24"/>
          <w:szCs w:val="24"/>
          <w:lang w:eastAsia="en-GB"/>
        </w:rPr>
        <w:t xml:space="preserve">Shrives, 2006; </w:t>
      </w:r>
      <w:proofErr w:type="spellStart"/>
      <w:r w:rsidRPr="003813C9">
        <w:rPr>
          <w:rFonts w:eastAsia="Times New Roman"/>
          <w:color w:val="auto"/>
          <w:sz w:val="24"/>
          <w:szCs w:val="24"/>
          <w:lang w:eastAsia="en-GB"/>
        </w:rPr>
        <w:t>Kravet</w:t>
      </w:r>
      <w:proofErr w:type="spellEnd"/>
      <w:r w:rsidR="00F52FAB" w:rsidRPr="003813C9">
        <w:rPr>
          <w:rFonts w:eastAsia="Times New Roman"/>
          <w:color w:val="auto"/>
          <w:sz w:val="24"/>
          <w:szCs w:val="24"/>
          <w:lang w:eastAsia="en-GB"/>
        </w:rPr>
        <w:t xml:space="preserve"> &amp; </w:t>
      </w:r>
      <w:proofErr w:type="spellStart"/>
      <w:r w:rsidRPr="003813C9">
        <w:rPr>
          <w:rFonts w:eastAsia="Times New Roman"/>
          <w:color w:val="auto"/>
          <w:sz w:val="24"/>
          <w:szCs w:val="24"/>
          <w:lang w:eastAsia="en-GB"/>
        </w:rPr>
        <w:t>Muslu</w:t>
      </w:r>
      <w:proofErr w:type="spellEnd"/>
      <w:r w:rsidRPr="003813C9">
        <w:rPr>
          <w:rFonts w:eastAsia="Times New Roman"/>
          <w:color w:val="auto"/>
          <w:sz w:val="24"/>
          <w:szCs w:val="24"/>
          <w:lang w:eastAsia="en-GB"/>
        </w:rPr>
        <w:t xml:space="preserve">, 2013), the authors query whether non-specific (boilerplate) risk disclosure limit its usefulness. This provides a similarity measure (continuous) ranging from 0 (no copying detected) to 1 (everything copied). Combined with their content analysis, the authors categorise disclosure into substantive and symbolic; where the former describes company specific disclosure whilst the latter describes information that is general in nature and which might apply to any business or any business within the industry. They find that companies provide a large amount of risk disclosure which is general rather than specific, and where the substance of the risk-factor discussion remains the same over </w:t>
      </w:r>
      <w:r w:rsidRPr="003813C9">
        <w:rPr>
          <w:rFonts w:eastAsia="Times New Roman"/>
          <w:color w:val="auto"/>
          <w:sz w:val="24"/>
          <w:szCs w:val="24"/>
          <w:lang w:eastAsia="en-GB"/>
        </w:rPr>
        <w:lastRenderedPageBreak/>
        <w:t>time (Cadbury: 71%; Tate and Lyle: 100%; Associated British Foods: 57%; Unilever: 60%). Thus, they conclude that firms provide more symbolic disclosure than substantive.</w:t>
      </w:r>
      <w:r w:rsidRPr="003813C9">
        <w:rPr>
          <w:rFonts w:eastAsia="Times New Roman"/>
          <w:color w:val="auto"/>
          <w:sz w:val="24"/>
          <w:szCs w:val="24"/>
          <w:vertAlign w:val="superscript"/>
          <w:lang w:eastAsia="en-GB"/>
        </w:rPr>
        <w:footnoteReference w:id="13"/>
      </w:r>
      <w:r w:rsidRPr="003813C9">
        <w:rPr>
          <w:rFonts w:eastAsia="Times New Roman"/>
          <w:color w:val="auto"/>
          <w:sz w:val="24"/>
          <w:szCs w:val="24"/>
          <w:lang w:eastAsia="en-GB"/>
        </w:rPr>
        <w:t xml:space="preserve"> </w:t>
      </w:r>
    </w:p>
    <w:p w14:paraId="1A0F4114" w14:textId="77777777" w:rsidR="0046703C" w:rsidRPr="003813C9" w:rsidRDefault="0046703C" w:rsidP="0046703C">
      <w:pPr>
        <w:spacing w:after="0" w:line="480" w:lineRule="auto"/>
        <w:ind w:firstLine="567"/>
        <w:jc w:val="both"/>
        <w:rPr>
          <w:rFonts w:eastAsia="Times New Roman"/>
          <w:color w:val="auto"/>
          <w:sz w:val="24"/>
          <w:szCs w:val="24"/>
          <w:lang w:eastAsia="en-GB"/>
        </w:rPr>
      </w:pPr>
      <w:proofErr w:type="spellStart"/>
      <w:r w:rsidRPr="003813C9">
        <w:rPr>
          <w:rFonts w:eastAsia="Times New Roman"/>
          <w:color w:val="auto"/>
          <w:sz w:val="24"/>
          <w:szCs w:val="24"/>
          <w:lang w:eastAsia="en-GB"/>
        </w:rPr>
        <w:t>Linsley</w:t>
      </w:r>
      <w:proofErr w:type="spellEnd"/>
      <w:r w:rsidRPr="003813C9">
        <w:rPr>
          <w:rFonts w:eastAsia="Times New Roman"/>
          <w:color w:val="auto"/>
          <w:sz w:val="24"/>
          <w:szCs w:val="24"/>
          <w:lang w:eastAsia="en-GB"/>
        </w:rPr>
        <w:t xml:space="preserve"> and Lawrence (2007) take a different perspective on </w:t>
      </w:r>
      <w:proofErr w:type="spellStart"/>
      <w:r w:rsidRPr="003813C9">
        <w:rPr>
          <w:rFonts w:eastAsia="Times New Roman"/>
          <w:color w:val="auto"/>
          <w:sz w:val="24"/>
          <w:szCs w:val="24"/>
          <w:lang w:eastAsia="en-GB"/>
        </w:rPr>
        <w:t>informativeness</w:t>
      </w:r>
      <w:proofErr w:type="spellEnd"/>
      <w:r w:rsidRPr="003813C9">
        <w:rPr>
          <w:rFonts w:eastAsia="Times New Roman"/>
          <w:color w:val="auto"/>
          <w:sz w:val="24"/>
          <w:szCs w:val="24"/>
          <w:lang w:eastAsia="en-GB"/>
        </w:rPr>
        <w:t xml:space="preserve"> by examining levels of readability and obfuscation of the risk disclosure, rather than stock market indicators. They use the </w:t>
      </w:r>
      <w:proofErr w:type="spellStart"/>
      <w:r w:rsidRPr="003813C9">
        <w:rPr>
          <w:rFonts w:eastAsia="Times New Roman"/>
          <w:color w:val="auto"/>
          <w:sz w:val="24"/>
          <w:szCs w:val="24"/>
          <w:lang w:eastAsia="en-GB"/>
        </w:rPr>
        <w:t>Flesch</w:t>
      </w:r>
      <w:proofErr w:type="spellEnd"/>
      <w:r w:rsidRPr="003813C9">
        <w:rPr>
          <w:rFonts w:eastAsia="Times New Roman"/>
          <w:color w:val="auto"/>
          <w:sz w:val="24"/>
          <w:szCs w:val="24"/>
          <w:lang w:eastAsia="en-GB"/>
        </w:rPr>
        <w:t xml:space="preserve"> Reading Ease formula to measure the readability of the risk disclosure, and coefficients of variation are used to measure obfuscation. Their study finds that the mean readability scores for the risk disclosure of the 25 largest non-financial firms on the UK FTSE 100 are all below 50, signifying ‘difficult’ or ‘very difficult’ to read. However, they find no evidence to suggest that directors are deliberately obfuscating or concealing bad risk news through their writing style. They conclude that, despite suggestions that companies provide greater amounts of risk information (e.g., ICAEW, 1997)</w:t>
      </w:r>
      <w:proofErr w:type="gramStart"/>
      <w:r w:rsidRPr="003813C9">
        <w:rPr>
          <w:rFonts w:eastAsia="Times New Roman"/>
          <w:color w:val="auto"/>
          <w:sz w:val="24"/>
          <w:szCs w:val="24"/>
          <w:lang w:eastAsia="en-GB"/>
        </w:rPr>
        <w:t>,</w:t>
      </w:r>
      <w:proofErr w:type="gramEnd"/>
      <w:r w:rsidRPr="003813C9">
        <w:rPr>
          <w:rFonts w:eastAsia="Times New Roman"/>
          <w:color w:val="auto"/>
          <w:sz w:val="24"/>
          <w:szCs w:val="24"/>
          <w:lang w:eastAsia="en-GB"/>
        </w:rPr>
        <w:t xml:space="preserve"> this will not necessarily lead to improved risk communication unless directo</w:t>
      </w:r>
      <w:r w:rsidR="00DA0468" w:rsidRPr="003813C9">
        <w:rPr>
          <w:rFonts w:eastAsia="Times New Roman"/>
          <w:color w:val="auto"/>
          <w:sz w:val="24"/>
          <w:szCs w:val="24"/>
          <w:lang w:eastAsia="en-GB"/>
        </w:rPr>
        <w:t xml:space="preserve">rs write with greater clarity. </w:t>
      </w:r>
      <w:r w:rsidRPr="003813C9">
        <w:rPr>
          <w:rFonts w:eastAsia="Times New Roman"/>
          <w:color w:val="auto"/>
          <w:sz w:val="24"/>
          <w:szCs w:val="24"/>
          <w:lang w:eastAsia="en-GB"/>
        </w:rPr>
        <w:t xml:space="preserve"> </w:t>
      </w:r>
    </w:p>
    <w:p w14:paraId="5640579C" w14:textId="77777777" w:rsidR="0046703C" w:rsidRPr="003813C9" w:rsidRDefault="0046703C" w:rsidP="0046703C">
      <w:pPr>
        <w:spacing w:after="0" w:line="480" w:lineRule="auto"/>
        <w:ind w:firstLine="567"/>
        <w:jc w:val="both"/>
        <w:rPr>
          <w:rFonts w:eastAsia="Times New Roman"/>
          <w:color w:val="auto"/>
          <w:sz w:val="24"/>
          <w:szCs w:val="24"/>
          <w:lang w:eastAsia="en-GB"/>
        </w:rPr>
      </w:pPr>
      <w:proofErr w:type="spellStart"/>
      <w:r w:rsidRPr="003813C9">
        <w:rPr>
          <w:rFonts w:eastAsia="Times New Roman"/>
          <w:color w:val="auto"/>
          <w:sz w:val="24"/>
          <w:szCs w:val="24"/>
          <w:lang w:eastAsia="en-GB"/>
        </w:rPr>
        <w:t>Elbannan</w:t>
      </w:r>
      <w:proofErr w:type="spellEnd"/>
      <w:r w:rsidRPr="003813C9">
        <w:rPr>
          <w:rFonts w:eastAsia="Times New Roman"/>
          <w:color w:val="auto"/>
          <w:sz w:val="24"/>
          <w:szCs w:val="24"/>
          <w:lang w:eastAsia="en-GB"/>
        </w:rPr>
        <w:t xml:space="preserve"> and </w:t>
      </w:r>
      <w:proofErr w:type="spellStart"/>
      <w:r w:rsidRPr="003813C9">
        <w:rPr>
          <w:rFonts w:eastAsia="Times New Roman"/>
          <w:color w:val="auto"/>
          <w:sz w:val="24"/>
          <w:szCs w:val="24"/>
          <w:lang w:eastAsia="en-GB"/>
        </w:rPr>
        <w:t>Elbannan</w:t>
      </w:r>
      <w:proofErr w:type="spellEnd"/>
      <w:r w:rsidRPr="003813C9">
        <w:rPr>
          <w:rFonts w:eastAsia="Times New Roman"/>
          <w:color w:val="auto"/>
          <w:sz w:val="24"/>
          <w:szCs w:val="24"/>
          <w:lang w:eastAsia="en-GB"/>
        </w:rPr>
        <w:t xml:space="preserve"> (2015) examines</w:t>
      </w:r>
      <w:r w:rsidR="007E6D6F" w:rsidRPr="003813C9">
        <w:rPr>
          <w:rFonts w:eastAsia="Times New Roman"/>
          <w:color w:val="auto"/>
          <w:sz w:val="24"/>
          <w:szCs w:val="24"/>
          <w:lang w:eastAsia="en-GB"/>
        </w:rPr>
        <w:t xml:space="preserve"> </w:t>
      </w:r>
      <w:r w:rsidRPr="003813C9">
        <w:rPr>
          <w:rFonts w:eastAsia="Times New Roman"/>
          <w:color w:val="auto"/>
          <w:sz w:val="24"/>
          <w:szCs w:val="24"/>
          <w:lang w:eastAsia="en-GB"/>
        </w:rPr>
        <w:t>whether bank risk disclosures are associated with operating performance and market valuation</w:t>
      </w:r>
      <w:r w:rsidR="007E6D6F" w:rsidRPr="003813C9">
        <w:rPr>
          <w:rFonts w:eastAsia="Times New Roman"/>
          <w:color w:val="auto"/>
          <w:sz w:val="24"/>
          <w:szCs w:val="24"/>
          <w:lang w:eastAsia="en-GB"/>
        </w:rPr>
        <w:t xml:space="preserve"> within the E</w:t>
      </w:r>
      <w:r w:rsidR="00BD478C" w:rsidRPr="003813C9">
        <w:rPr>
          <w:rFonts w:eastAsia="Times New Roman"/>
          <w:color w:val="auto"/>
          <w:sz w:val="24"/>
          <w:szCs w:val="24"/>
          <w:lang w:eastAsia="en-GB"/>
        </w:rPr>
        <w:t>g</w:t>
      </w:r>
      <w:r w:rsidR="007E6D6F" w:rsidRPr="003813C9">
        <w:rPr>
          <w:rFonts w:eastAsia="Times New Roman"/>
          <w:color w:val="auto"/>
          <w:sz w:val="24"/>
          <w:szCs w:val="24"/>
          <w:lang w:eastAsia="en-GB"/>
        </w:rPr>
        <w:t>yptian context</w:t>
      </w:r>
      <w:r w:rsidRPr="003813C9">
        <w:rPr>
          <w:rFonts w:eastAsia="Times New Roman"/>
          <w:color w:val="auto"/>
          <w:sz w:val="24"/>
          <w:szCs w:val="24"/>
          <w:lang w:eastAsia="en-GB"/>
        </w:rPr>
        <w:t>. This paper examines the impact of risk disclosure on various operating performance measures, based on the balanced scorecard and stock market performance.</w:t>
      </w:r>
      <w:r w:rsidR="007E6D6F" w:rsidRPr="003813C9">
        <w:rPr>
          <w:rStyle w:val="FootnoteReference"/>
          <w:rFonts w:eastAsia="Times New Roman"/>
          <w:color w:val="auto"/>
          <w:sz w:val="24"/>
          <w:szCs w:val="24"/>
          <w:lang w:eastAsia="en-GB"/>
        </w:rPr>
        <w:footnoteReference w:id="14"/>
      </w:r>
      <w:r w:rsidRPr="003813C9">
        <w:rPr>
          <w:rFonts w:eastAsia="Times New Roman"/>
          <w:color w:val="auto"/>
          <w:sz w:val="24"/>
          <w:szCs w:val="24"/>
          <w:lang w:eastAsia="en-GB"/>
        </w:rPr>
        <w:t xml:space="preserve"> They find risk disclosure to be positively associated with operating performance and market indicators</w:t>
      </w:r>
      <w:r w:rsidR="00CD63BE" w:rsidRPr="003813C9">
        <w:rPr>
          <w:rFonts w:eastAsia="Times New Roman"/>
          <w:color w:val="auto"/>
          <w:sz w:val="24"/>
          <w:szCs w:val="24"/>
          <w:lang w:eastAsia="en-GB"/>
        </w:rPr>
        <w:t xml:space="preserve"> during the non-financial </w:t>
      </w:r>
      <w:r w:rsidR="007E6D6F" w:rsidRPr="003813C9">
        <w:rPr>
          <w:rFonts w:eastAsia="Times New Roman"/>
          <w:color w:val="auto"/>
          <w:sz w:val="24"/>
          <w:szCs w:val="24"/>
          <w:lang w:eastAsia="en-GB"/>
        </w:rPr>
        <w:t>crisis period</w:t>
      </w:r>
      <w:r w:rsidR="00CD63BE" w:rsidRPr="003813C9">
        <w:rPr>
          <w:rFonts w:eastAsia="Times New Roman"/>
          <w:color w:val="auto"/>
          <w:sz w:val="24"/>
          <w:szCs w:val="24"/>
          <w:lang w:eastAsia="en-GB"/>
        </w:rPr>
        <w:t xml:space="preserve"> (2002-2008)</w:t>
      </w:r>
      <w:r w:rsidRPr="003813C9">
        <w:rPr>
          <w:rFonts w:eastAsia="Times New Roman"/>
          <w:color w:val="auto"/>
          <w:sz w:val="24"/>
          <w:szCs w:val="24"/>
          <w:lang w:eastAsia="en-GB"/>
        </w:rPr>
        <w:t xml:space="preserve">, but the association </w:t>
      </w:r>
      <w:r w:rsidR="009F0B25" w:rsidRPr="003813C9">
        <w:rPr>
          <w:rFonts w:eastAsia="Times New Roman"/>
          <w:color w:val="auto"/>
          <w:sz w:val="24"/>
          <w:szCs w:val="24"/>
          <w:lang w:eastAsia="en-GB"/>
        </w:rPr>
        <w:t>is</w:t>
      </w:r>
      <w:r w:rsidRPr="003813C9">
        <w:rPr>
          <w:rFonts w:eastAsia="Times New Roman"/>
          <w:color w:val="auto"/>
          <w:sz w:val="24"/>
          <w:szCs w:val="24"/>
          <w:lang w:eastAsia="en-GB"/>
        </w:rPr>
        <w:t xml:space="preserve"> weaker during the financial crisis</w:t>
      </w:r>
      <w:r w:rsidR="00CD63BE" w:rsidRPr="003813C9">
        <w:rPr>
          <w:rFonts w:eastAsia="Times New Roman"/>
          <w:color w:val="auto"/>
          <w:sz w:val="24"/>
          <w:szCs w:val="24"/>
          <w:lang w:eastAsia="en-GB"/>
        </w:rPr>
        <w:t xml:space="preserve"> (2009-2011)</w:t>
      </w:r>
      <w:r w:rsidRPr="003813C9">
        <w:rPr>
          <w:rFonts w:eastAsia="Times New Roman"/>
          <w:color w:val="auto"/>
          <w:sz w:val="24"/>
          <w:szCs w:val="24"/>
          <w:lang w:eastAsia="en-GB"/>
        </w:rPr>
        <w:t xml:space="preserve">. They also find that </w:t>
      </w:r>
      <w:proofErr w:type="spellStart"/>
      <w:r w:rsidRPr="003813C9">
        <w:rPr>
          <w:rFonts w:eastAsia="Times New Roman"/>
          <w:color w:val="auto"/>
          <w:sz w:val="24"/>
          <w:szCs w:val="24"/>
          <w:lang w:eastAsia="en-GB"/>
        </w:rPr>
        <w:t>informativeness</w:t>
      </w:r>
      <w:proofErr w:type="spellEnd"/>
      <w:r w:rsidRPr="003813C9">
        <w:rPr>
          <w:rFonts w:eastAsia="Times New Roman"/>
          <w:color w:val="auto"/>
          <w:sz w:val="24"/>
          <w:szCs w:val="24"/>
          <w:lang w:eastAsia="en-GB"/>
        </w:rPr>
        <w:t xml:space="preserve"> is conditional on the risk disclosure area i.e.</w:t>
      </w:r>
      <w:r w:rsidR="00DA0468" w:rsidRPr="003813C9">
        <w:rPr>
          <w:rFonts w:eastAsia="Times New Roman"/>
          <w:color w:val="auto"/>
          <w:sz w:val="24"/>
          <w:szCs w:val="24"/>
          <w:lang w:eastAsia="en-GB"/>
        </w:rPr>
        <w:t>,</w:t>
      </w:r>
      <w:r w:rsidRPr="003813C9">
        <w:rPr>
          <w:rFonts w:eastAsia="Times New Roman"/>
          <w:color w:val="auto"/>
          <w:sz w:val="24"/>
          <w:szCs w:val="24"/>
          <w:lang w:eastAsia="en-GB"/>
        </w:rPr>
        <w:t xml:space="preserve"> credit, liquidity, market, or interest rate risk.</w:t>
      </w:r>
    </w:p>
    <w:p w14:paraId="7D6DD01D" w14:textId="051A5973" w:rsidR="0046703C" w:rsidRPr="003813C9" w:rsidRDefault="0046703C" w:rsidP="0046703C">
      <w:pPr>
        <w:spacing w:after="0" w:line="480" w:lineRule="auto"/>
        <w:ind w:firstLine="567"/>
        <w:jc w:val="both"/>
        <w:rPr>
          <w:rFonts w:eastAsia="Times New Roman"/>
          <w:color w:val="auto"/>
          <w:sz w:val="24"/>
          <w:szCs w:val="24"/>
        </w:rPr>
      </w:pPr>
      <w:r w:rsidRPr="003813C9">
        <w:rPr>
          <w:rFonts w:eastAsia="Calibri"/>
          <w:color w:val="auto"/>
          <w:sz w:val="24"/>
          <w:szCs w:val="24"/>
        </w:rPr>
        <w:t>To summarize, a few common themes emerge across this body of</w:t>
      </w:r>
      <w:r w:rsidR="00F52FAB" w:rsidRPr="003813C9">
        <w:rPr>
          <w:rFonts w:eastAsia="Calibri"/>
          <w:color w:val="auto"/>
          <w:sz w:val="24"/>
          <w:szCs w:val="24"/>
        </w:rPr>
        <w:t xml:space="preserve"> work. Studies suggest that in</w:t>
      </w:r>
      <w:r w:rsidRPr="003813C9">
        <w:rPr>
          <w:rFonts w:eastAsia="Calibri"/>
          <w:color w:val="auto"/>
          <w:sz w:val="24"/>
          <w:szCs w:val="24"/>
        </w:rPr>
        <w:t xml:space="preserve"> US and Egyptian context</w:t>
      </w:r>
      <w:r w:rsidR="00F52FAB" w:rsidRPr="003813C9">
        <w:rPr>
          <w:rFonts w:eastAsia="Calibri"/>
          <w:color w:val="auto"/>
          <w:sz w:val="24"/>
          <w:szCs w:val="24"/>
        </w:rPr>
        <w:t>s,</w:t>
      </w:r>
      <w:r w:rsidRPr="003813C9">
        <w:rPr>
          <w:rFonts w:eastAsia="Calibri"/>
          <w:color w:val="auto"/>
          <w:sz w:val="24"/>
          <w:szCs w:val="24"/>
        </w:rPr>
        <w:t xml:space="preserve"> risk disclosures may influence capital market participants, whereas in the UK there is limited evidence of this</w:t>
      </w:r>
      <w:r w:rsidR="00383349" w:rsidRPr="003813C9">
        <w:rPr>
          <w:rFonts w:eastAsia="Calibri"/>
          <w:color w:val="auto"/>
          <w:sz w:val="24"/>
          <w:szCs w:val="24"/>
        </w:rPr>
        <w:t xml:space="preserve"> </w:t>
      </w:r>
      <w:r w:rsidR="00780FC2" w:rsidRPr="003813C9">
        <w:rPr>
          <w:rFonts w:eastAsia="Calibri"/>
          <w:color w:val="auto"/>
          <w:sz w:val="24"/>
          <w:szCs w:val="24"/>
        </w:rPr>
        <w:t>(e.g., Abr</w:t>
      </w:r>
      <w:r w:rsidR="00BD478C" w:rsidRPr="003813C9">
        <w:rPr>
          <w:rFonts w:eastAsia="Calibri"/>
          <w:color w:val="auto"/>
          <w:sz w:val="24"/>
          <w:szCs w:val="24"/>
        </w:rPr>
        <w:t>a</w:t>
      </w:r>
      <w:r w:rsidR="00780FC2" w:rsidRPr="003813C9">
        <w:rPr>
          <w:rFonts w:eastAsia="Calibri"/>
          <w:color w:val="auto"/>
          <w:sz w:val="24"/>
          <w:szCs w:val="24"/>
        </w:rPr>
        <w:t>ham &amp; Cox, 2007; Els</w:t>
      </w:r>
      <w:r w:rsidR="00383349" w:rsidRPr="003813C9">
        <w:rPr>
          <w:rFonts w:eastAsia="Calibri"/>
          <w:color w:val="auto"/>
          <w:sz w:val="24"/>
          <w:szCs w:val="24"/>
        </w:rPr>
        <w:t xml:space="preserve">handidy et </w:t>
      </w:r>
      <w:r w:rsidR="00383349" w:rsidRPr="003813C9">
        <w:rPr>
          <w:rFonts w:eastAsia="Calibri"/>
          <w:color w:val="auto"/>
          <w:sz w:val="24"/>
          <w:szCs w:val="24"/>
        </w:rPr>
        <w:lastRenderedPageBreak/>
        <w:t>al., 2013</w:t>
      </w:r>
      <w:r w:rsidR="00DA0468" w:rsidRPr="003813C9">
        <w:rPr>
          <w:rFonts w:eastAsia="Calibri"/>
          <w:color w:val="auto"/>
          <w:sz w:val="24"/>
          <w:szCs w:val="24"/>
        </w:rPr>
        <w:t xml:space="preserve">; </w:t>
      </w:r>
      <w:proofErr w:type="spellStart"/>
      <w:r w:rsidR="00DA0468" w:rsidRPr="003813C9">
        <w:rPr>
          <w:rFonts w:eastAsia="Calibri"/>
          <w:color w:val="auto"/>
          <w:sz w:val="24"/>
          <w:szCs w:val="24"/>
        </w:rPr>
        <w:t>Linsley</w:t>
      </w:r>
      <w:proofErr w:type="spellEnd"/>
      <w:r w:rsidR="00DA0468" w:rsidRPr="003813C9">
        <w:rPr>
          <w:rFonts w:eastAsia="Calibri"/>
          <w:color w:val="auto"/>
          <w:sz w:val="24"/>
          <w:szCs w:val="24"/>
        </w:rPr>
        <w:t xml:space="preserve"> &amp; Shrives, 2006</w:t>
      </w:r>
      <w:r w:rsidR="00383349" w:rsidRPr="003813C9">
        <w:rPr>
          <w:rFonts w:eastAsia="Calibri"/>
          <w:color w:val="auto"/>
          <w:sz w:val="24"/>
          <w:szCs w:val="24"/>
        </w:rPr>
        <w:t>)</w:t>
      </w:r>
      <w:r w:rsidRPr="003813C9">
        <w:rPr>
          <w:rFonts w:eastAsia="Calibri"/>
          <w:color w:val="auto"/>
          <w:sz w:val="24"/>
          <w:szCs w:val="24"/>
        </w:rPr>
        <w:t xml:space="preserve">. Meanwhile, the observed </w:t>
      </w:r>
      <w:proofErr w:type="spellStart"/>
      <w:r w:rsidRPr="003813C9">
        <w:rPr>
          <w:rFonts w:eastAsia="Calibri"/>
          <w:color w:val="auto"/>
          <w:sz w:val="24"/>
          <w:szCs w:val="24"/>
        </w:rPr>
        <w:t>informativeness</w:t>
      </w:r>
      <w:proofErr w:type="spellEnd"/>
      <w:r w:rsidRPr="003813C9">
        <w:rPr>
          <w:rFonts w:eastAsia="Calibri"/>
          <w:color w:val="auto"/>
          <w:sz w:val="24"/>
          <w:szCs w:val="24"/>
        </w:rPr>
        <w:t xml:space="preserve"> varies across companies and risk areas. </w:t>
      </w:r>
      <w:r w:rsidRPr="003813C9">
        <w:rPr>
          <w:rFonts w:eastAsia="Times New Roman"/>
          <w:color w:val="auto"/>
          <w:sz w:val="24"/>
          <w:szCs w:val="24"/>
        </w:rPr>
        <w:t xml:space="preserve">Table 5 presents the reviewed papers that study </w:t>
      </w:r>
      <w:proofErr w:type="spellStart"/>
      <w:r w:rsidRPr="003813C9">
        <w:rPr>
          <w:rFonts w:eastAsia="Times New Roman"/>
          <w:color w:val="auto"/>
          <w:sz w:val="24"/>
          <w:szCs w:val="24"/>
        </w:rPr>
        <w:t>informativeness</w:t>
      </w:r>
      <w:proofErr w:type="spellEnd"/>
      <w:r w:rsidRPr="003813C9">
        <w:rPr>
          <w:rFonts w:eastAsia="Times New Roman"/>
          <w:color w:val="auto"/>
          <w:sz w:val="24"/>
          <w:szCs w:val="24"/>
        </w:rPr>
        <w:t xml:space="preserve"> of risk disclosure, identifies areas of divergence (based on method and context), thereby suggesting a way forward for future research (See Section 5).</w:t>
      </w:r>
    </w:p>
    <w:p w14:paraId="78D5DD92" w14:textId="77777777" w:rsidR="0046703C" w:rsidRPr="003813C9" w:rsidRDefault="0046703C" w:rsidP="0046703C">
      <w:pPr>
        <w:spacing w:after="0" w:line="480" w:lineRule="auto"/>
        <w:ind w:firstLine="567"/>
        <w:jc w:val="center"/>
        <w:rPr>
          <w:rFonts w:eastAsia="Times New Roman"/>
          <w:b/>
          <w:bCs/>
          <w:color w:val="auto"/>
          <w:lang w:eastAsia="en-GB"/>
        </w:rPr>
      </w:pPr>
      <w:r w:rsidRPr="003813C9">
        <w:rPr>
          <w:rFonts w:eastAsia="Times New Roman"/>
          <w:b/>
          <w:bCs/>
          <w:color w:val="auto"/>
          <w:lang w:eastAsia="en-GB"/>
        </w:rPr>
        <w:t>[Insert Table 5 about here]</w:t>
      </w:r>
    </w:p>
    <w:p w14:paraId="3FA21FC0" w14:textId="77777777" w:rsidR="0046703C" w:rsidRPr="003813C9" w:rsidRDefault="0046703C" w:rsidP="0046703C">
      <w:pPr>
        <w:spacing w:after="0" w:line="480" w:lineRule="auto"/>
        <w:rPr>
          <w:rFonts w:eastAsia="Calibri"/>
          <w:b/>
          <w:bCs/>
          <w:color w:val="auto"/>
          <w:kern w:val="32"/>
          <w:sz w:val="24"/>
          <w:szCs w:val="24"/>
        </w:rPr>
      </w:pPr>
      <w:r w:rsidRPr="003813C9">
        <w:rPr>
          <w:rFonts w:eastAsia="Times New Roman"/>
          <w:b/>
          <w:bCs/>
          <w:color w:val="auto"/>
          <w:sz w:val="24"/>
          <w:szCs w:val="24"/>
          <w:lang w:eastAsia="en-GB"/>
        </w:rPr>
        <w:t xml:space="preserve">4. </w:t>
      </w:r>
      <w:r w:rsidRPr="003813C9">
        <w:rPr>
          <w:rFonts w:eastAsia="Times New Roman,Calibri"/>
          <w:b/>
          <w:bCs/>
          <w:color w:val="auto"/>
          <w:kern w:val="32"/>
          <w:sz w:val="24"/>
          <w:szCs w:val="24"/>
        </w:rPr>
        <w:t xml:space="preserve">Empirical research investigating incentives </w:t>
      </w:r>
      <w:r w:rsidRPr="003813C9">
        <w:rPr>
          <w:rFonts w:eastAsia="Times New Roman,Calibri"/>
          <w:b/>
          <w:bCs/>
          <w:iCs/>
          <w:color w:val="auto"/>
          <w:kern w:val="32"/>
          <w:sz w:val="24"/>
          <w:szCs w:val="24"/>
        </w:rPr>
        <w:t>and</w:t>
      </w:r>
      <w:r w:rsidRPr="003813C9">
        <w:rPr>
          <w:rFonts w:eastAsia="Times New Roman,Calibri"/>
          <w:b/>
          <w:bCs/>
          <w:color w:val="auto"/>
          <w:kern w:val="32"/>
          <w:sz w:val="24"/>
          <w:szCs w:val="24"/>
        </w:rPr>
        <w:t xml:space="preserve"> </w:t>
      </w:r>
      <w:proofErr w:type="spellStart"/>
      <w:r w:rsidRPr="003813C9">
        <w:rPr>
          <w:rFonts w:eastAsia="Times New Roman,Calibri"/>
          <w:b/>
          <w:bCs/>
          <w:color w:val="auto"/>
          <w:kern w:val="32"/>
          <w:sz w:val="24"/>
          <w:szCs w:val="24"/>
        </w:rPr>
        <w:t>informativeness</w:t>
      </w:r>
      <w:proofErr w:type="spellEnd"/>
      <w:r w:rsidRPr="003813C9">
        <w:rPr>
          <w:rFonts w:eastAsia="Times New Roman,Calibri"/>
          <w:b/>
          <w:bCs/>
          <w:color w:val="auto"/>
          <w:kern w:val="32"/>
          <w:sz w:val="24"/>
          <w:szCs w:val="24"/>
        </w:rPr>
        <w:t xml:space="preserve">  </w:t>
      </w:r>
    </w:p>
    <w:p w14:paraId="49A8F060" w14:textId="77777777" w:rsidR="0046703C" w:rsidRPr="003813C9" w:rsidRDefault="0046703C" w:rsidP="0046703C">
      <w:pPr>
        <w:spacing w:after="0" w:line="480" w:lineRule="auto"/>
        <w:jc w:val="both"/>
        <w:rPr>
          <w:rFonts w:eastAsia="Times New Roman"/>
          <w:bCs/>
          <w:color w:val="auto"/>
          <w:sz w:val="24"/>
          <w:szCs w:val="24"/>
          <w:lang w:eastAsia="en-GB"/>
        </w:rPr>
      </w:pPr>
      <w:r w:rsidRPr="003813C9">
        <w:rPr>
          <w:rFonts w:eastAsia="Calibri"/>
          <w:color w:val="auto"/>
          <w:sz w:val="24"/>
          <w:szCs w:val="24"/>
        </w:rPr>
        <w:t>In his review</w:t>
      </w:r>
      <w:r w:rsidRPr="003813C9">
        <w:rPr>
          <w:rFonts w:eastAsia="Times New Roman"/>
          <w:color w:val="auto"/>
          <w:sz w:val="24"/>
          <w:szCs w:val="24"/>
          <w:lang w:eastAsia="en-GB"/>
        </w:rPr>
        <w:t xml:space="preserve"> of textual analysis of corporate disclosures, Li (2010) highlights the importance of examining </w:t>
      </w:r>
      <w:proofErr w:type="spellStart"/>
      <w:r w:rsidRPr="003813C9">
        <w:rPr>
          <w:rFonts w:eastAsia="Times New Roman"/>
          <w:color w:val="auto"/>
          <w:sz w:val="24"/>
          <w:szCs w:val="24"/>
          <w:lang w:eastAsia="en-GB"/>
        </w:rPr>
        <w:t>informativeness</w:t>
      </w:r>
      <w:proofErr w:type="spellEnd"/>
      <w:r w:rsidRPr="003813C9">
        <w:rPr>
          <w:rFonts w:eastAsia="Times New Roman"/>
          <w:color w:val="auto"/>
          <w:sz w:val="24"/>
          <w:szCs w:val="24"/>
          <w:lang w:eastAsia="en-GB"/>
        </w:rPr>
        <w:t xml:space="preserve"> in combination with managerial incentives.</w:t>
      </w:r>
      <w:r w:rsidR="00DA0468" w:rsidRPr="003813C9">
        <w:rPr>
          <w:rFonts w:eastAsia="Times New Roman"/>
          <w:color w:val="auto"/>
          <w:sz w:val="24"/>
          <w:szCs w:val="24"/>
          <w:lang w:eastAsia="en-GB"/>
        </w:rPr>
        <w:t xml:space="preserve"> This combination was highlighted as one area for future research on risk reporting by </w:t>
      </w:r>
      <w:proofErr w:type="spellStart"/>
      <w:r w:rsidR="00DA0468" w:rsidRPr="003813C9">
        <w:rPr>
          <w:rFonts w:eastAsia="Times New Roman"/>
          <w:color w:val="auto"/>
          <w:sz w:val="24"/>
          <w:szCs w:val="24"/>
          <w:lang w:eastAsia="en-GB"/>
        </w:rPr>
        <w:t>Kravet</w:t>
      </w:r>
      <w:proofErr w:type="spellEnd"/>
      <w:r w:rsidR="00DA0468" w:rsidRPr="003813C9">
        <w:rPr>
          <w:rFonts w:eastAsia="Times New Roman"/>
          <w:color w:val="auto"/>
          <w:sz w:val="24"/>
          <w:szCs w:val="24"/>
          <w:lang w:eastAsia="en-GB"/>
        </w:rPr>
        <w:t xml:space="preserve"> and </w:t>
      </w:r>
      <w:proofErr w:type="spellStart"/>
      <w:r w:rsidR="00DA0468" w:rsidRPr="003813C9">
        <w:rPr>
          <w:rFonts w:eastAsia="Times New Roman"/>
          <w:color w:val="auto"/>
          <w:sz w:val="24"/>
          <w:szCs w:val="24"/>
          <w:lang w:eastAsia="en-GB"/>
        </w:rPr>
        <w:t>Muslu</w:t>
      </w:r>
      <w:proofErr w:type="spellEnd"/>
      <w:r w:rsidR="00DA0468" w:rsidRPr="003813C9">
        <w:rPr>
          <w:rFonts w:eastAsia="Times New Roman"/>
          <w:color w:val="auto"/>
          <w:sz w:val="24"/>
          <w:szCs w:val="24"/>
          <w:lang w:eastAsia="en-GB"/>
        </w:rPr>
        <w:t xml:space="preserve"> (2013).  </w:t>
      </w:r>
      <w:r w:rsidRPr="003813C9">
        <w:rPr>
          <w:rFonts w:eastAsia="Times New Roman"/>
          <w:color w:val="auto"/>
          <w:sz w:val="24"/>
          <w:szCs w:val="24"/>
          <w:lang w:eastAsia="en-GB"/>
        </w:rPr>
        <w:t>Although</w:t>
      </w:r>
      <w:r w:rsidRPr="003813C9">
        <w:rPr>
          <w:rFonts w:eastAsia="Times New Roman"/>
          <w:bCs/>
          <w:color w:val="auto"/>
          <w:sz w:val="24"/>
          <w:szCs w:val="24"/>
          <w:lang w:eastAsia="en-GB"/>
        </w:rPr>
        <w:t xml:space="preserve"> </w:t>
      </w:r>
      <w:r w:rsidRPr="003813C9">
        <w:rPr>
          <w:rFonts w:eastAsia="Times New Roman"/>
          <w:color w:val="auto"/>
          <w:sz w:val="24"/>
          <w:szCs w:val="24"/>
          <w:lang w:eastAsia="en-GB"/>
        </w:rPr>
        <w:t xml:space="preserve">studies investigating both incentives and </w:t>
      </w:r>
      <w:proofErr w:type="spellStart"/>
      <w:r w:rsidRPr="003813C9">
        <w:rPr>
          <w:rFonts w:eastAsia="Times New Roman"/>
          <w:color w:val="auto"/>
          <w:sz w:val="24"/>
          <w:szCs w:val="24"/>
          <w:lang w:eastAsia="en-GB"/>
        </w:rPr>
        <w:t>informativeness</w:t>
      </w:r>
      <w:proofErr w:type="spellEnd"/>
      <w:r w:rsidRPr="003813C9">
        <w:rPr>
          <w:rFonts w:eastAsia="Times New Roman"/>
          <w:color w:val="auto"/>
          <w:sz w:val="24"/>
          <w:szCs w:val="24"/>
          <w:lang w:eastAsia="en-GB"/>
        </w:rPr>
        <w:t xml:space="preserve"> are relatively uncommon, we have identified four recent papers that do so, as detailed in Table 6. </w:t>
      </w:r>
    </w:p>
    <w:p w14:paraId="711A74BB" w14:textId="77777777" w:rsidR="0046703C" w:rsidRPr="003813C9" w:rsidRDefault="0046703C" w:rsidP="0046703C">
      <w:pPr>
        <w:spacing w:after="0" w:line="480" w:lineRule="auto"/>
        <w:ind w:firstLine="567"/>
        <w:jc w:val="center"/>
        <w:rPr>
          <w:rFonts w:eastAsia="Times New Roman"/>
          <w:b/>
          <w:bCs/>
          <w:color w:val="auto"/>
          <w:lang w:eastAsia="en-GB"/>
        </w:rPr>
      </w:pPr>
      <w:r w:rsidRPr="003813C9">
        <w:rPr>
          <w:rFonts w:eastAsia="Times New Roman"/>
          <w:b/>
          <w:bCs/>
          <w:color w:val="auto"/>
          <w:lang w:eastAsia="en-GB"/>
        </w:rPr>
        <w:t>[Insert Table 6 about here]</w:t>
      </w:r>
    </w:p>
    <w:p w14:paraId="1EFD0C51" w14:textId="77777777" w:rsidR="0046703C" w:rsidRPr="003813C9" w:rsidRDefault="0046703C" w:rsidP="0046703C">
      <w:pPr>
        <w:spacing w:after="0" w:line="480" w:lineRule="auto"/>
        <w:ind w:firstLine="720"/>
        <w:jc w:val="both"/>
        <w:rPr>
          <w:rFonts w:eastAsia="Calibri"/>
          <w:color w:val="auto"/>
        </w:rPr>
      </w:pPr>
      <w:r w:rsidRPr="003813C9">
        <w:rPr>
          <w:rFonts w:eastAsia="Times New Roman"/>
          <w:color w:val="auto"/>
          <w:sz w:val="24"/>
          <w:szCs w:val="24"/>
          <w:lang w:eastAsia="en-GB"/>
        </w:rPr>
        <w:t xml:space="preserve">The first paper is Campbell et al. (2014), which examines 9,076 firm-year observations from 2005 to 2008. </w:t>
      </w:r>
      <w:r w:rsidRPr="003813C9">
        <w:rPr>
          <w:rFonts w:eastAsia="Times New Roman"/>
          <w:color w:val="auto"/>
          <w:sz w:val="24"/>
          <w:szCs w:val="24"/>
        </w:rPr>
        <w:t xml:space="preserve">It examines whether the content of </w:t>
      </w:r>
      <w:r w:rsidRPr="003813C9">
        <w:rPr>
          <w:rFonts w:eastAsia="Times New Roman"/>
          <w:color w:val="auto"/>
          <w:sz w:val="24"/>
          <w:szCs w:val="24"/>
          <w:lang w:eastAsia="en-GB"/>
        </w:rPr>
        <w:t xml:space="preserve">item 1A–Risk Factors is reflective of the firm’s risk level and whether risk information is associated with systematic risk, idiosyncratic risk, information asymmetry, and firm value. In line with other studies (e.g., Elshandidy et al., 2013, 2015; </w:t>
      </w:r>
      <w:proofErr w:type="spellStart"/>
      <w:r w:rsidRPr="003813C9">
        <w:rPr>
          <w:rFonts w:eastAsia="Times New Roman"/>
          <w:color w:val="auto"/>
          <w:sz w:val="24"/>
          <w:szCs w:val="24"/>
          <w:lang w:eastAsia="en-GB"/>
        </w:rPr>
        <w:t>Kravet</w:t>
      </w:r>
      <w:proofErr w:type="spellEnd"/>
      <w:r w:rsidRPr="003813C9">
        <w:rPr>
          <w:rFonts w:eastAsia="Times New Roman"/>
          <w:color w:val="auto"/>
          <w:sz w:val="24"/>
          <w:szCs w:val="24"/>
          <w:lang w:eastAsia="en-GB"/>
        </w:rPr>
        <w:t xml:space="preserve"> &amp; </w:t>
      </w:r>
      <w:proofErr w:type="spellStart"/>
      <w:r w:rsidRPr="003813C9">
        <w:rPr>
          <w:rFonts w:eastAsia="Times New Roman"/>
          <w:color w:val="auto"/>
          <w:sz w:val="24"/>
          <w:szCs w:val="24"/>
          <w:lang w:eastAsia="en-GB"/>
        </w:rPr>
        <w:t>Muslu</w:t>
      </w:r>
      <w:proofErr w:type="spellEnd"/>
      <w:r w:rsidRPr="003813C9">
        <w:rPr>
          <w:rFonts w:eastAsia="Times New Roman"/>
          <w:color w:val="auto"/>
          <w:sz w:val="24"/>
          <w:szCs w:val="24"/>
          <w:lang w:eastAsia="en-GB"/>
        </w:rPr>
        <w:t>, 2013), the authors employ an extensive word list</w:t>
      </w:r>
      <w:r w:rsidRPr="003813C9">
        <w:rPr>
          <w:rFonts w:eastAsia="Times New Roman"/>
          <w:color w:val="auto"/>
          <w:sz w:val="24"/>
          <w:szCs w:val="24"/>
          <w:vertAlign w:val="superscript"/>
          <w:lang w:eastAsia="en-GB"/>
        </w:rPr>
        <w:footnoteReference w:id="15"/>
      </w:r>
      <w:r w:rsidRPr="003813C9">
        <w:rPr>
          <w:rFonts w:eastAsia="Times New Roman"/>
          <w:color w:val="auto"/>
          <w:sz w:val="24"/>
          <w:szCs w:val="24"/>
          <w:lang w:eastAsia="en-GB"/>
        </w:rPr>
        <w:t xml:space="preserve"> to identify risk information. This enables them to classify risk-related statements into one of the following groups: financial, systematic, idiosyncratic, legal and regulatory, or tax. They find a positive association between risk factor disclosure and pre-disclosure levels of firm risk, and that the types of risks a firm faces are associated with the types of risks disclosed in the risk-factor section. In contrast to Abraham and Shrives (2014), this suggests that, within these broad categories, firms are disclosing substantive company-specific risk information rather than symbolic, generic risk information. In other words, managers provide risk information which is meaningful according to the specific risks that their firm faces. In relation to </w:t>
      </w:r>
      <w:proofErr w:type="spellStart"/>
      <w:r w:rsidRPr="003813C9">
        <w:rPr>
          <w:rFonts w:eastAsia="Times New Roman"/>
          <w:color w:val="auto"/>
          <w:sz w:val="24"/>
          <w:szCs w:val="24"/>
          <w:lang w:eastAsia="en-GB"/>
        </w:rPr>
        <w:t>informativeness</w:t>
      </w:r>
      <w:proofErr w:type="spellEnd"/>
      <w:r w:rsidRPr="003813C9">
        <w:rPr>
          <w:rFonts w:eastAsia="Times New Roman"/>
          <w:color w:val="auto"/>
          <w:sz w:val="24"/>
          <w:szCs w:val="24"/>
          <w:lang w:eastAsia="en-GB"/>
        </w:rPr>
        <w:t xml:space="preserve">, </w:t>
      </w:r>
      <w:r w:rsidRPr="003813C9">
        <w:rPr>
          <w:rFonts w:eastAsia="Times New Roman"/>
          <w:color w:val="auto"/>
          <w:sz w:val="24"/>
          <w:szCs w:val="24"/>
          <w:lang w:eastAsia="en-GB"/>
        </w:rPr>
        <w:lastRenderedPageBreak/>
        <w:t xml:space="preserve">they find </w:t>
      </w:r>
      <w:r w:rsidR="00273B50" w:rsidRPr="003813C9">
        <w:rPr>
          <w:rFonts w:eastAsia="Times New Roman"/>
          <w:color w:val="auto"/>
          <w:sz w:val="24"/>
          <w:szCs w:val="24"/>
          <w:lang w:eastAsia="en-GB"/>
        </w:rPr>
        <w:t xml:space="preserve">that </w:t>
      </w:r>
      <w:r w:rsidRPr="003813C9">
        <w:rPr>
          <w:rFonts w:eastAsia="Times New Roman"/>
          <w:color w:val="auto"/>
          <w:sz w:val="24"/>
          <w:szCs w:val="24"/>
          <w:lang w:eastAsia="en-GB"/>
        </w:rPr>
        <w:t xml:space="preserve">changes in risk disclosure (unexpected risk disclosure) influence investors’ assessments of firm risk and value, in support of the </w:t>
      </w:r>
      <w:r w:rsidRPr="003813C9">
        <w:rPr>
          <w:rFonts w:eastAsia="Times New Roman"/>
          <w:i/>
          <w:color w:val="auto"/>
          <w:sz w:val="24"/>
          <w:szCs w:val="24"/>
          <w:lang w:eastAsia="en-GB"/>
        </w:rPr>
        <w:t>divergence</w:t>
      </w:r>
      <w:r w:rsidR="00DA0468" w:rsidRPr="003813C9">
        <w:rPr>
          <w:rFonts w:eastAsia="Times New Roman"/>
          <w:color w:val="auto"/>
          <w:sz w:val="24"/>
          <w:szCs w:val="24"/>
          <w:lang w:eastAsia="en-GB"/>
        </w:rPr>
        <w:t xml:space="preserve"> argument (</w:t>
      </w:r>
      <w:proofErr w:type="spellStart"/>
      <w:r w:rsidRPr="003813C9">
        <w:rPr>
          <w:rFonts w:eastAsia="Times New Roman"/>
          <w:color w:val="auto"/>
          <w:sz w:val="24"/>
          <w:szCs w:val="24"/>
          <w:lang w:eastAsia="en-GB"/>
        </w:rPr>
        <w:t>Kravet</w:t>
      </w:r>
      <w:proofErr w:type="spellEnd"/>
      <w:r w:rsidRPr="003813C9">
        <w:rPr>
          <w:rFonts w:eastAsia="Times New Roman"/>
          <w:color w:val="auto"/>
          <w:sz w:val="24"/>
          <w:szCs w:val="24"/>
          <w:lang w:eastAsia="en-GB"/>
        </w:rPr>
        <w:t xml:space="preserve"> </w:t>
      </w:r>
      <w:r w:rsidR="00DA0468" w:rsidRPr="003813C9">
        <w:rPr>
          <w:rFonts w:eastAsia="Times New Roman"/>
          <w:color w:val="auto"/>
          <w:sz w:val="24"/>
          <w:szCs w:val="24"/>
          <w:lang w:eastAsia="en-GB"/>
        </w:rPr>
        <w:t>&amp;</w:t>
      </w:r>
      <w:r w:rsidRPr="003813C9">
        <w:rPr>
          <w:rFonts w:eastAsia="Times New Roman"/>
          <w:color w:val="auto"/>
          <w:sz w:val="24"/>
          <w:szCs w:val="24"/>
          <w:lang w:eastAsia="en-GB"/>
        </w:rPr>
        <w:t xml:space="preserve"> </w:t>
      </w:r>
      <w:proofErr w:type="spellStart"/>
      <w:r w:rsidRPr="003813C9">
        <w:rPr>
          <w:rFonts w:eastAsia="Times New Roman"/>
          <w:color w:val="auto"/>
          <w:sz w:val="24"/>
          <w:szCs w:val="24"/>
          <w:lang w:eastAsia="en-GB"/>
        </w:rPr>
        <w:t>Muslu</w:t>
      </w:r>
      <w:proofErr w:type="spellEnd"/>
      <w:r w:rsidRPr="003813C9">
        <w:rPr>
          <w:rFonts w:eastAsia="Times New Roman"/>
          <w:color w:val="auto"/>
          <w:sz w:val="24"/>
          <w:szCs w:val="24"/>
          <w:lang w:eastAsia="en-GB"/>
        </w:rPr>
        <w:t xml:space="preserve">, 2013). </w:t>
      </w:r>
    </w:p>
    <w:p w14:paraId="6CCE45EE" w14:textId="77777777" w:rsidR="0046703C" w:rsidRPr="003813C9" w:rsidRDefault="0046703C" w:rsidP="0046703C">
      <w:pPr>
        <w:spacing w:after="0" w:line="480" w:lineRule="auto"/>
        <w:ind w:firstLine="567"/>
        <w:jc w:val="both"/>
        <w:rPr>
          <w:rFonts w:eastAsia="Calibri"/>
          <w:color w:val="auto"/>
        </w:rPr>
      </w:pPr>
      <w:r w:rsidRPr="003813C9">
        <w:rPr>
          <w:rFonts w:eastAsia="Times New Roman"/>
          <w:color w:val="auto"/>
          <w:sz w:val="24"/>
          <w:szCs w:val="24"/>
          <w:lang w:eastAsia="en-GB"/>
        </w:rPr>
        <w:t xml:space="preserve">Second, Elshandidy and Shrives (2016) examine whether </w:t>
      </w:r>
      <w:r w:rsidRPr="003813C9">
        <w:rPr>
          <w:rFonts w:eastAsia="Times New Roman"/>
          <w:color w:val="auto"/>
          <w:sz w:val="24"/>
          <w:szCs w:val="24"/>
        </w:rPr>
        <w:t>risk, ownership structure, capital structure, external equity financing, and borrowing are associated with risk disclosure and whether the tone of risk disclosure affects investors’ risk perceptions</w:t>
      </w:r>
      <w:r w:rsidRPr="003813C9">
        <w:rPr>
          <w:rFonts w:eastAsia="Times New Roman"/>
          <w:color w:val="auto"/>
          <w:sz w:val="24"/>
          <w:szCs w:val="24"/>
          <w:lang w:eastAsia="en-GB"/>
        </w:rPr>
        <w:t xml:space="preserve"> for a sample of German </w:t>
      </w:r>
      <w:r w:rsidR="006C3E2C" w:rsidRPr="003813C9">
        <w:rPr>
          <w:rFonts w:eastAsia="Times New Roman"/>
          <w:color w:val="auto"/>
          <w:sz w:val="24"/>
          <w:szCs w:val="24"/>
          <w:lang w:eastAsia="en-GB"/>
        </w:rPr>
        <w:t xml:space="preserve">non-financial </w:t>
      </w:r>
      <w:r w:rsidRPr="003813C9">
        <w:rPr>
          <w:rFonts w:eastAsia="Times New Roman"/>
          <w:color w:val="auto"/>
          <w:sz w:val="24"/>
          <w:szCs w:val="24"/>
          <w:lang w:eastAsia="en-GB"/>
        </w:rPr>
        <w:t>firms</w:t>
      </w:r>
      <w:r w:rsidRPr="003813C9">
        <w:rPr>
          <w:rFonts w:eastAsia="Times New Roman"/>
          <w:color w:val="auto"/>
          <w:sz w:val="24"/>
          <w:szCs w:val="24"/>
        </w:rPr>
        <w:t xml:space="preserve">. In line with Campbell et al. (2014), </w:t>
      </w:r>
      <w:r w:rsidRPr="003813C9">
        <w:rPr>
          <w:rFonts w:eastAsia="Times New Roman"/>
          <w:color w:val="auto"/>
          <w:sz w:val="24"/>
          <w:szCs w:val="24"/>
          <w:lang w:eastAsia="en-GB"/>
        </w:rPr>
        <w:t xml:space="preserve">they find that risk disclosure is more significantly associated with the underlying risk of a firm (i.e., market beta) than other incentives (i.e., ownership structure, capital structure, external equity finance, and borrowing). In relation to </w:t>
      </w:r>
      <w:proofErr w:type="spellStart"/>
      <w:r w:rsidRPr="003813C9">
        <w:rPr>
          <w:rFonts w:eastAsia="Times New Roman"/>
          <w:color w:val="auto"/>
          <w:sz w:val="24"/>
          <w:szCs w:val="24"/>
          <w:lang w:eastAsia="en-GB"/>
        </w:rPr>
        <w:t>informativeness</w:t>
      </w:r>
      <w:proofErr w:type="spellEnd"/>
      <w:r w:rsidRPr="003813C9">
        <w:rPr>
          <w:rFonts w:eastAsia="Times New Roman"/>
          <w:color w:val="auto"/>
          <w:sz w:val="24"/>
          <w:szCs w:val="24"/>
          <w:lang w:eastAsia="en-GB"/>
        </w:rPr>
        <w:t xml:space="preserve">, they find </w:t>
      </w:r>
      <w:r w:rsidR="00273B50" w:rsidRPr="003813C9">
        <w:rPr>
          <w:rFonts w:eastAsia="Times New Roman"/>
          <w:color w:val="auto"/>
          <w:sz w:val="24"/>
          <w:szCs w:val="24"/>
          <w:lang w:eastAsia="en-GB"/>
        </w:rPr>
        <w:t xml:space="preserve">that </w:t>
      </w:r>
      <w:r w:rsidRPr="003813C9">
        <w:rPr>
          <w:rFonts w:eastAsia="Times New Roman"/>
          <w:color w:val="auto"/>
          <w:sz w:val="24"/>
          <w:szCs w:val="24"/>
          <w:lang w:eastAsia="en-GB"/>
        </w:rPr>
        <w:t xml:space="preserve">the tone of risk disclosure </w:t>
      </w:r>
      <w:r w:rsidR="0033312B" w:rsidRPr="003813C9">
        <w:rPr>
          <w:rFonts w:eastAsia="Times New Roman"/>
          <w:color w:val="auto"/>
          <w:sz w:val="24"/>
          <w:szCs w:val="24"/>
          <w:lang w:eastAsia="en-GB"/>
        </w:rPr>
        <w:t xml:space="preserve">is associated with </w:t>
      </w:r>
      <w:r w:rsidRPr="003813C9">
        <w:rPr>
          <w:rFonts w:eastAsia="Times New Roman"/>
          <w:color w:val="auto"/>
          <w:sz w:val="24"/>
          <w:szCs w:val="24"/>
          <w:lang w:eastAsia="en-GB"/>
        </w:rPr>
        <w:t>investors’ risk perception. Specifically, the German market tends to positively (negatively) price good (bad) news about risk, either by improving (worsening) market liquidity by mitigating (exacerbating) information asymmetries, or by decreasing (increasing) investor-perceived risk.</w:t>
      </w:r>
    </w:p>
    <w:p w14:paraId="405DB8BE" w14:textId="77777777" w:rsidR="0046703C" w:rsidRPr="003813C9" w:rsidRDefault="0046703C" w:rsidP="0046703C">
      <w:pPr>
        <w:spacing w:after="0" w:line="480" w:lineRule="auto"/>
        <w:ind w:firstLine="720"/>
        <w:jc w:val="both"/>
        <w:rPr>
          <w:rFonts w:eastAsia="Times New Roman"/>
          <w:color w:val="auto"/>
          <w:sz w:val="24"/>
          <w:szCs w:val="24"/>
          <w:lang w:eastAsia="en-GB"/>
        </w:rPr>
      </w:pPr>
      <w:r w:rsidRPr="003813C9">
        <w:rPr>
          <w:rFonts w:eastAsia="Times New Roman"/>
          <w:color w:val="auto"/>
          <w:sz w:val="24"/>
          <w:szCs w:val="24"/>
          <w:lang w:eastAsia="en-GB"/>
        </w:rPr>
        <w:t xml:space="preserve">Elshandidy and Neri (2015) study a sample of non-financial firms in the UK and Italy and examine how </w:t>
      </w:r>
      <w:r w:rsidRPr="003813C9">
        <w:rPr>
          <w:rFonts w:eastAsia="Times New Roman"/>
          <w:color w:val="auto"/>
          <w:sz w:val="24"/>
          <w:szCs w:val="24"/>
        </w:rPr>
        <w:t>corporate governance</w:t>
      </w:r>
      <w:r w:rsidRPr="003813C9">
        <w:rPr>
          <w:rFonts w:eastAsia="Times New Roman"/>
          <w:color w:val="auto"/>
          <w:sz w:val="24"/>
          <w:szCs w:val="24"/>
          <w:lang w:eastAsia="en-GB"/>
        </w:rPr>
        <w:t xml:space="preserve"> influences firms’ decision</w:t>
      </w:r>
      <w:r w:rsidR="00273B50" w:rsidRPr="003813C9">
        <w:rPr>
          <w:rFonts w:eastAsia="Times New Roman"/>
          <w:color w:val="auto"/>
          <w:sz w:val="24"/>
          <w:szCs w:val="24"/>
          <w:lang w:eastAsia="en-GB"/>
        </w:rPr>
        <w:t>s</w:t>
      </w:r>
      <w:r w:rsidRPr="003813C9">
        <w:rPr>
          <w:rFonts w:eastAsia="Times New Roman"/>
          <w:color w:val="auto"/>
          <w:sz w:val="24"/>
          <w:szCs w:val="24"/>
          <w:lang w:eastAsia="en-GB"/>
        </w:rPr>
        <w:t xml:space="preserve"> to reveal risk information mandatorily and/or voluntarily, and then study the impact of observed risk reporting on market liquidity. They find </w:t>
      </w:r>
      <w:r w:rsidRPr="003813C9">
        <w:rPr>
          <w:rFonts w:eastAsia="Times New Roman"/>
          <w:color w:val="auto"/>
          <w:sz w:val="24"/>
          <w:szCs w:val="24"/>
        </w:rPr>
        <w:t>corporate governance</w:t>
      </w:r>
      <w:r w:rsidRPr="003813C9">
        <w:rPr>
          <w:rFonts w:eastAsia="Times New Roman"/>
          <w:color w:val="auto"/>
          <w:sz w:val="24"/>
          <w:szCs w:val="24"/>
          <w:lang w:eastAsia="en-GB"/>
        </w:rPr>
        <w:t xml:space="preserve"> factors to be associated with risk disclosure in both countries, but more strongly with voluntary disclosure among UK firms and mandatory disclosure among Italian firms. In both countries, risk disclosure is positively associated with market liquidity, but voluntary disclosure is found to have a stronger association than mandatory disclosure.</w:t>
      </w:r>
    </w:p>
    <w:p w14:paraId="66851F79" w14:textId="77777777" w:rsidR="0046703C" w:rsidRPr="003813C9" w:rsidRDefault="0046703C" w:rsidP="0046703C">
      <w:pPr>
        <w:spacing w:after="0" w:line="480" w:lineRule="auto"/>
        <w:ind w:firstLine="567"/>
        <w:jc w:val="both"/>
        <w:rPr>
          <w:rFonts w:eastAsia="Times New Roman"/>
          <w:color w:val="auto"/>
          <w:sz w:val="24"/>
          <w:szCs w:val="24"/>
        </w:rPr>
      </w:pPr>
      <w:r w:rsidRPr="003813C9">
        <w:rPr>
          <w:rFonts w:eastAsia="Times New Roman"/>
          <w:color w:val="auto"/>
          <w:sz w:val="24"/>
          <w:szCs w:val="24"/>
        </w:rPr>
        <w:t xml:space="preserve">Finally, Hope et al. (2016) examine the </w:t>
      </w:r>
      <w:proofErr w:type="spellStart"/>
      <w:r w:rsidRPr="003813C9">
        <w:rPr>
          <w:rFonts w:eastAsia="Times New Roman"/>
          <w:color w:val="auto"/>
          <w:sz w:val="24"/>
          <w:szCs w:val="24"/>
        </w:rPr>
        <w:t>informativeness</w:t>
      </w:r>
      <w:proofErr w:type="spellEnd"/>
      <w:r w:rsidRPr="003813C9">
        <w:rPr>
          <w:rFonts w:eastAsia="Times New Roman"/>
          <w:color w:val="auto"/>
          <w:sz w:val="24"/>
          <w:szCs w:val="24"/>
        </w:rPr>
        <w:t xml:space="preserve"> of risk information using a computing algorithm to quantify firms’ levels of ‘specificity’. The scoring system identifies the inclusion of specific items in firms’ qualitative risk-factor disclosures. For example a firm will score higher where risk-factor disclosures include: the names of persons, locations, and organizations; quantifications of risk, such as values in percentages and money values in dollars; and chronological information, such as times and </w:t>
      </w:r>
      <w:r w:rsidR="00A126DB" w:rsidRPr="003813C9">
        <w:rPr>
          <w:rFonts w:eastAsia="Times New Roman"/>
          <w:color w:val="auto"/>
          <w:sz w:val="24"/>
          <w:szCs w:val="24"/>
        </w:rPr>
        <w:t xml:space="preserve">dates. They scale the volume of </w:t>
      </w:r>
      <w:r w:rsidR="0033312B" w:rsidRPr="003813C9">
        <w:rPr>
          <w:rFonts w:eastAsia="Times New Roman"/>
          <w:color w:val="auto"/>
          <w:sz w:val="24"/>
          <w:szCs w:val="24"/>
        </w:rPr>
        <w:t xml:space="preserve">such </w:t>
      </w:r>
      <w:r w:rsidRPr="003813C9">
        <w:rPr>
          <w:rFonts w:eastAsia="Times New Roman"/>
          <w:color w:val="auto"/>
          <w:sz w:val="24"/>
          <w:szCs w:val="24"/>
        </w:rPr>
        <w:lastRenderedPageBreak/>
        <w:t xml:space="preserve">disclosure by the total number of words in the risk-factor disclosure section. The higher the ‘specificity’ score, the more specific the risk disclosures are. They find that the overall proportion of specific risk disclosure is low (5% of total disclosures). However, they also find a strong positive association between specificity and both short-term price reactions and trading volumes, subsequent to the 10-K filing. Thereby, they suggest that more specific risk-factor disclosures benefit users of financial statements. </w:t>
      </w:r>
      <w:r w:rsidR="00523B3C" w:rsidRPr="003813C9">
        <w:rPr>
          <w:rFonts w:eastAsia="Times New Roman"/>
          <w:color w:val="auto"/>
          <w:sz w:val="24"/>
          <w:szCs w:val="24"/>
        </w:rPr>
        <w:t>C</w:t>
      </w:r>
      <w:r w:rsidRPr="003813C9">
        <w:rPr>
          <w:rFonts w:eastAsia="Times New Roman"/>
          <w:color w:val="auto"/>
          <w:sz w:val="24"/>
          <w:szCs w:val="24"/>
        </w:rPr>
        <w:t>oncern</w:t>
      </w:r>
      <w:r w:rsidR="00523B3C" w:rsidRPr="003813C9">
        <w:rPr>
          <w:rFonts w:eastAsia="Times New Roman"/>
          <w:color w:val="auto"/>
          <w:sz w:val="24"/>
          <w:szCs w:val="24"/>
        </w:rPr>
        <w:t xml:space="preserve">ing </w:t>
      </w:r>
      <w:r w:rsidRPr="003813C9">
        <w:rPr>
          <w:rFonts w:eastAsia="Times New Roman"/>
          <w:color w:val="auto"/>
          <w:sz w:val="24"/>
          <w:szCs w:val="24"/>
        </w:rPr>
        <w:t xml:space="preserve">the </w:t>
      </w:r>
      <w:proofErr w:type="spellStart"/>
      <w:r w:rsidRPr="003813C9">
        <w:rPr>
          <w:rFonts w:eastAsia="Times New Roman"/>
          <w:color w:val="auto"/>
          <w:sz w:val="24"/>
          <w:szCs w:val="24"/>
        </w:rPr>
        <w:t>informativeness</w:t>
      </w:r>
      <w:proofErr w:type="spellEnd"/>
      <w:r w:rsidRPr="003813C9">
        <w:rPr>
          <w:rFonts w:eastAsia="Times New Roman"/>
          <w:color w:val="auto"/>
          <w:sz w:val="24"/>
          <w:szCs w:val="24"/>
        </w:rPr>
        <w:t xml:space="preserve"> of risk disclosure, the study also shows that companies with higher proprietary costs provide less specific risk information. </w:t>
      </w:r>
    </w:p>
    <w:p w14:paraId="1C15459E" w14:textId="77777777" w:rsidR="0046703C" w:rsidRPr="003813C9" w:rsidRDefault="0046703C" w:rsidP="0046703C">
      <w:pPr>
        <w:spacing w:after="0" w:line="480" w:lineRule="auto"/>
        <w:ind w:firstLine="567"/>
        <w:jc w:val="both"/>
        <w:rPr>
          <w:rFonts w:eastAsia="Calibri"/>
          <w:color w:val="auto"/>
          <w:sz w:val="24"/>
          <w:szCs w:val="24"/>
        </w:rPr>
      </w:pPr>
      <w:r w:rsidRPr="003813C9">
        <w:rPr>
          <w:rFonts w:eastAsia="Times New Roman"/>
          <w:color w:val="auto"/>
          <w:sz w:val="24"/>
          <w:szCs w:val="24"/>
        </w:rPr>
        <w:t xml:space="preserve">Table 7 presents the reviewed papers that deal with both incentives and </w:t>
      </w:r>
      <w:proofErr w:type="spellStart"/>
      <w:r w:rsidRPr="003813C9">
        <w:rPr>
          <w:rFonts w:eastAsia="Times New Roman"/>
          <w:color w:val="auto"/>
          <w:sz w:val="24"/>
          <w:szCs w:val="24"/>
        </w:rPr>
        <w:t>informativeness</w:t>
      </w:r>
      <w:proofErr w:type="spellEnd"/>
      <w:r w:rsidRPr="003813C9">
        <w:rPr>
          <w:rFonts w:eastAsia="Times New Roman"/>
          <w:color w:val="auto"/>
          <w:sz w:val="24"/>
          <w:szCs w:val="24"/>
        </w:rPr>
        <w:t>, identifies areas of divergence (based on method and context), thereby suggesting a way forward for future research (see Section 5).</w:t>
      </w:r>
    </w:p>
    <w:p w14:paraId="771C7E02" w14:textId="77777777" w:rsidR="0046703C" w:rsidRPr="003813C9" w:rsidRDefault="0046703C" w:rsidP="0046703C">
      <w:pPr>
        <w:spacing w:after="0" w:line="480" w:lineRule="auto"/>
        <w:ind w:firstLine="567"/>
        <w:jc w:val="center"/>
        <w:rPr>
          <w:rFonts w:eastAsia="Times New Roman"/>
          <w:b/>
          <w:bCs/>
          <w:color w:val="auto"/>
          <w:lang w:eastAsia="en-GB"/>
        </w:rPr>
      </w:pPr>
      <w:r w:rsidRPr="003813C9">
        <w:rPr>
          <w:rFonts w:eastAsia="Times New Roman"/>
          <w:b/>
          <w:bCs/>
          <w:color w:val="auto"/>
          <w:lang w:eastAsia="en-GB"/>
        </w:rPr>
        <w:t>[Insert Table 7 about here]</w:t>
      </w:r>
    </w:p>
    <w:p w14:paraId="1B1B1B19" w14:textId="77777777" w:rsidR="0046703C" w:rsidRPr="003813C9" w:rsidRDefault="0046703C" w:rsidP="0046703C">
      <w:pPr>
        <w:spacing w:after="0" w:line="480" w:lineRule="auto"/>
        <w:jc w:val="both"/>
        <w:rPr>
          <w:rFonts w:eastAsia="Times New Roman"/>
          <w:b/>
          <w:color w:val="auto"/>
          <w:sz w:val="24"/>
          <w:szCs w:val="24"/>
          <w:lang w:eastAsia="en-GB"/>
        </w:rPr>
      </w:pPr>
      <w:r w:rsidRPr="003813C9">
        <w:rPr>
          <w:rFonts w:eastAsia="Times New Roman"/>
          <w:b/>
          <w:bCs/>
          <w:color w:val="auto"/>
          <w:sz w:val="24"/>
          <w:szCs w:val="24"/>
          <w:lang w:eastAsia="en-GB"/>
        </w:rPr>
        <w:t xml:space="preserve">5. Discussion, challenges, and directions for future research </w:t>
      </w:r>
    </w:p>
    <w:p w14:paraId="79EB5808" w14:textId="21FD2F03" w:rsidR="0046703C" w:rsidRPr="003813C9" w:rsidRDefault="0046703C" w:rsidP="0046703C">
      <w:pPr>
        <w:spacing w:after="0" w:line="480" w:lineRule="auto"/>
        <w:jc w:val="both"/>
        <w:rPr>
          <w:rFonts w:eastAsia="Times New Roman"/>
          <w:color w:val="auto"/>
          <w:sz w:val="24"/>
          <w:szCs w:val="24"/>
          <w:lang w:eastAsia="en-GB"/>
        </w:rPr>
      </w:pPr>
      <w:r w:rsidRPr="003813C9">
        <w:rPr>
          <w:rFonts w:eastAsia="Times New Roman"/>
          <w:color w:val="auto"/>
          <w:sz w:val="24"/>
          <w:szCs w:val="24"/>
          <w:lang w:eastAsia="en-GB"/>
        </w:rPr>
        <w:t xml:space="preserve">A number of key themes emerge from the prior literature. In the following sub-sections, we collate these themes, discuss the limitations of the prior work, and identify gaps in the literature. We begin by identifying the following issues that </w:t>
      </w:r>
      <w:r w:rsidR="0033312B" w:rsidRPr="003813C9">
        <w:rPr>
          <w:rFonts w:eastAsia="Times New Roman"/>
          <w:color w:val="auto"/>
          <w:sz w:val="24"/>
          <w:szCs w:val="24"/>
          <w:lang w:eastAsia="en-GB"/>
        </w:rPr>
        <w:t xml:space="preserve">primarily </w:t>
      </w:r>
      <w:r w:rsidRPr="003813C9">
        <w:rPr>
          <w:rFonts w:eastAsia="Times New Roman"/>
          <w:color w:val="auto"/>
          <w:sz w:val="24"/>
          <w:szCs w:val="24"/>
          <w:lang w:eastAsia="en-GB"/>
        </w:rPr>
        <w:t xml:space="preserve">divide the literature: (1) incentives versus </w:t>
      </w:r>
      <w:proofErr w:type="spellStart"/>
      <w:r w:rsidRPr="003813C9">
        <w:rPr>
          <w:rFonts w:eastAsia="Times New Roman"/>
          <w:color w:val="auto"/>
          <w:sz w:val="24"/>
          <w:szCs w:val="24"/>
          <w:lang w:eastAsia="en-GB"/>
        </w:rPr>
        <w:t>informativeness</w:t>
      </w:r>
      <w:proofErr w:type="spellEnd"/>
      <w:r w:rsidRPr="003813C9">
        <w:rPr>
          <w:rFonts w:eastAsia="Times New Roman"/>
          <w:color w:val="auto"/>
          <w:sz w:val="24"/>
          <w:szCs w:val="24"/>
          <w:lang w:eastAsia="en-GB"/>
        </w:rPr>
        <w:t xml:space="preserve">; (2) type of disclosure (i.e., voluntary versus mandatory); (3) type of content analysis (i.e., automated versus manual); (4) type of analysis (i.e., within-country versus cross-country variations); and (5) type of sector (i.e., financial versus non-financial). For each issue, we highlight and suggest how researchers might approach inherent problems. These issues are the five design decisions that must be considered by researchers undertaking risk-reporting research. </w:t>
      </w:r>
      <w:r w:rsidR="00F52FAB" w:rsidRPr="003813C9">
        <w:rPr>
          <w:rFonts w:eastAsia="Times New Roman"/>
          <w:color w:val="auto"/>
          <w:sz w:val="24"/>
          <w:szCs w:val="24"/>
          <w:lang w:eastAsia="en-GB"/>
        </w:rPr>
        <w:t>Further limitations exist</w:t>
      </w:r>
      <w:r w:rsidRPr="003813C9">
        <w:rPr>
          <w:rFonts w:eastAsia="Times New Roman"/>
          <w:color w:val="auto"/>
          <w:sz w:val="24"/>
          <w:szCs w:val="24"/>
          <w:lang w:eastAsia="en-GB"/>
        </w:rPr>
        <w:t>, including risk-related conceptual aspects (i.e., concept, types, and measurement), and the potential role of the standard-setters in developing and improving risk reporting.</w:t>
      </w:r>
    </w:p>
    <w:p w14:paraId="549D35D3" w14:textId="77777777" w:rsidR="0046703C" w:rsidRPr="003813C9" w:rsidRDefault="0046703C" w:rsidP="0046703C">
      <w:pPr>
        <w:spacing w:after="0" w:line="480" w:lineRule="auto"/>
        <w:jc w:val="both"/>
        <w:rPr>
          <w:rFonts w:eastAsia="Times New Roman"/>
          <w:i/>
          <w:color w:val="auto"/>
          <w:sz w:val="24"/>
          <w:szCs w:val="24"/>
          <w:lang w:eastAsia="en-GB"/>
        </w:rPr>
      </w:pPr>
      <w:r w:rsidRPr="003813C9">
        <w:rPr>
          <w:rFonts w:eastAsia="Times New Roman"/>
          <w:i/>
          <w:iCs/>
          <w:color w:val="auto"/>
          <w:sz w:val="24"/>
          <w:szCs w:val="24"/>
          <w:lang w:eastAsia="en-GB"/>
        </w:rPr>
        <w:t>5.1. Grouping previous literature</w:t>
      </w:r>
    </w:p>
    <w:p w14:paraId="2E26B080" w14:textId="77777777" w:rsidR="0046703C" w:rsidRPr="003813C9" w:rsidRDefault="0046703C" w:rsidP="0046703C">
      <w:pPr>
        <w:spacing w:after="0" w:line="480" w:lineRule="auto"/>
        <w:jc w:val="both"/>
        <w:rPr>
          <w:rFonts w:eastAsia="Times New Roman"/>
          <w:i/>
          <w:color w:val="auto"/>
          <w:sz w:val="24"/>
          <w:szCs w:val="24"/>
          <w:lang w:eastAsia="en-GB"/>
        </w:rPr>
      </w:pPr>
      <w:r w:rsidRPr="003813C9">
        <w:rPr>
          <w:rFonts w:eastAsia="Times New Roman"/>
          <w:i/>
          <w:iCs/>
          <w:color w:val="auto"/>
          <w:sz w:val="24"/>
          <w:szCs w:val="24"/>
          <w:lang w:eastAsia="en-GB"/>
        </w:rPr>
        <w:t xml:space="preserve">5.1.1. Incentives versus </w:t>
      </w:r>
      <w:proofErr w:type="spellStart"/>
      <w:r w:rsidRPr="003813C9">
        <w:rPr>
          <w:rFonts w:eastAsia="Times New Roman"/>
          <w:i/>
          <w:iCs/>
          <w:color w:val="auto"/>
          <w:sz w:val="24"/>
          <w:szCs w:val="24"/>
          <w:lang w:eastAsia="en-GB"/>
        </w:rPr>
        <w:t>informativeness</w:t>
      </w:r>
      <w:proofErr w:type="spellEnd"/>
      <w:r w:rsidRPr="003813C9">
        <w:rPr>
          <w:rFonts w:eastAsia="Times New Roman"/>
          <w:i/>
          <w:iCs/>
          <w:color w:val="auto"/>
          <w:sz w:val="24"/>
          <w:szCs w:val="24"/>
          <w:lang w:eastAsia="en-GB"/>
        </w:rPr>
        <w:t>: Divergence</w:t>
      </w:r>
    </w:p>
    <w:p w14:paraId="1D4DF7F8" w14:textId="0901584A" w:rsidR="0046703C" w:rsidRPr="003813C9" w:rsidRDefault="0046703C" w:rsidP="0046703C">
      <w:pPr>
        <w:spacing w:after="0" w:line="480" w:lineRule="auto"/>
        <w:jc w:val="both"/>
        <w:rPr>
          <w:rFonts w:eastAsia="Times New Roman"/>
          <w:color w:val="auto"/>
          <w:sz w:val="24"/>
          <w:szCs w:val="24"/>
          <w:lang w:eastAsia="en-GB"/>
        </w:rPr>
      </w:pPr>
      <w:r w:rsidRPr="003813C9">
        <w:rPr>
          <w:rFonts w:eastAsia="Times New Roman"/>
          <w:color w:val="auto"/>
          <w:sz w:val="24"/>
          <w:szCs w:val="24"/>
          <w:lang w:eastAsia="en-GB"/>
        </w:rPr>
        <w:lastRenderedPageBreak/>
        <w:t>This issue is the first of five that divide the EU/AUS and US risk-reporting literatures. The heavily regulated risk-reporting environment in the US</w:t>
      </w:r>
      <w:r w:rsidR="00F52FAB" w:rsidRPr="003813C9">
        <w:rPr>
          <w:rFonts w:eastAsia="Times New Roman"/>
          <w:color w:val="auto"/>
          <w:sz w:val="24"/>
          <w:szCs w:val="24"/>
          <w:lang w:eastAsia="en-GB"/>
        </w:rPr>
        <w:t>A</w:t>
      </w:r>
      <w:r w:rsidRPr="003813C9">
        <w:rPr>
          <w:rFonts w:eastAsia="Times New Roman"/>
          <w:color w:val="auto"/>
          <w:sz w:val="24"/>
          <w:szCs w:val="24"/>
          <w:lang w:eastAsia="en-GB"/>
        </w:rPr>
        <w:t xml:space="preserve"> has encouraged research in that jurisdiction towards investigations of the </w:t>
      </w:r>
      <w:proofErr w:type="spellStart"/>
      <w:r w:rsidRPr="003813C9">
        <w:rPr>
          <w:rFonts w:eastAsia="Times New Roman"/>
          <w:color w:val="auto"/>
          <w:sz w:val="24"/>
          <w:szCs w:val="24"/>
          <w:lang w:eastAsia="en-GB"/>
        </w:rPr>
        <w:t>informativeness</w:t>
      </w:r>
      <w:proofErr w:type="spellEnd"/>
      <w:r w:rsidRPr="003813C9">
        <w:rPr>
          <w:rFonts w:eastAsia="Times New Roman"/>
          <w:color w:val="auto"/>
          <w:sz w:val="24"/>
          <w:szCs w:val="24"/>
          <w:lang w:eastAsia="en-GB"/>
        </w:rPr>
        <w:t xml:space="preserve"> of the mandated risk disclosures. Meanwhile, research in the EU/AUS – where disclosure of risk has traditionally been voluntary – has broadly focused on the incentives question.</w:t>
      </w:r>
      <w:r w:rsidRPr="003813C9">
        <w:rPr>
          <w:rFonts w:eastAsia="Times New Roman"/>
          <w:color w:val="auto"/>
          <w:sz w:val="24"/>
          <w:szCs w:val="24"/>
          <w:vertAlign w:val="superscript"/>
          <w:lang w:eastAsia="en-GB"/>
        </w:rPr>
        <w:footnoteReference w:id="16"/>
      </w:r>
      <w:r w:rsidRPr="003813C9">
        <w:rPr>
          <w:rFonts w:eastAsia="Times New Roman"/>
          <w:color w:val="auto"/>
          <w:sz w:val="24"/>
          <w:szCs w:val="24"/>
          <w:lang w:eastAsia="en-GB"/>
        </w:rPr>
        <w:t xml:space="preserve"> The SEC highlights and actively seeks to address the issue of whether the disclosed risk information is actually informative for investors and companies, and not simply compliant with the regulations. Academic research has picked up this </w:t>
      </w:r>
      <w:proofErr w:type="gramStart"/>
      <w:r w:rsidRPr="003813C9">
        <w:rPr>
          <w:rFonts w:eastAsia="Times New Roman"/>
          <w:color w:val="auto"/>
          <w:sz w:val="24"/>
          <w:szCs w:val="24"/>
          <w:lang w:eastAsia="en-GB"/>
        </w:rPr>
        <w:t>baton,</w:t>
      </w:r>
      <w:proofErr w:type="gramEnd"/>
      <w:r w:rsidRPr="003813C9">
        <w:rPr>
          <w:rFonts w:eastAsia="Times New Roman"/>
          <w:color w:val="auto"/>
          <w:sz w:val="24"/>
          <w:szCs w:val="24"/>
          <w:lang w:eastAsia="en-GB"/>
        </w:rPr>
        <w:t xml:space="preserve"> and the issues of </w:t>
      </w:r>
      <w:r w:rsidRPr="003813C9">
        <w:rPr>
          <w:rFonts w:eastAsia="Times New Roman"/>
          <w:i/>
          <w:color w:val="auto"/>
          <w:sz w:val="24"/>
          <w:szCs w:val="24"/>
          <w:lang w:eastAsia="en-GB"/>
        </w:rPr>
        <w:t>de jure</w:t>
      </w:r>
      <w:r w:rsidRPr="003813C9">
        <w:rPr>
          <w:rFonts w:eastAsia="Times New Roman"/>
          <w:color w:val="auto"/>
          <w:sz w:val="24"/>
          <w:szCs w:val="24"/>
          <w:lang w:eastAsia="en-GB"/>
        </w:rPr>
        <w:t xml:space="preserve"> compliance, boiler-plate disclosures and substantive versus symbolic disclosures is a common theme throughout this risk reporting review. </w:t>
      </w:r>
    </w:p>
    <w:p w14:paraId="532E93EC" w14:textId="343F63E5" w:rsidR="0046703C" w:rsidRPr="003813C9" w:rsidRDefault="0046703C" w:rsidP="0046703C">
      <w:pPr>
        <w:spacing w:after="0" w:line="480" w:lineRule="auto"/>
        <w:ind w:firstLine="720"/>
        <w:jc w:val="both"/>
        <w:rPr>
          <w:rFonts w:eastAsia="Times New Roman"/>
          <w:color w:val="auto"/>
          <w:sz w:val="24"/>
          <w:szCs w:val="24"/>
        </w:rPr>
      </w:pPr>
      <w:r w:rsidRPr="003813C9">
        <w:rPr>
          <w:rFonts w:eastAsia="Times New Roman"/>
          <w:color w:val="auto"/>
          <w:sz w:val="24"/>
          <w:szCs w:val="24"/>
          <w:lang w:eastAsia="en-GB"/>
        </w:rPr>
        <w:t>There are a handful of</w:t>
      </w:r>
      <w:r w:rsidRPr="003813C9">
        <w:rPr>
          <w:rFonts w:eastAsia="Times New Roman"/>
          <w:color w:val="auto"/>
          <w:sz w:val="24"/>
          <w:szCs w:val="24"/>
        </w:rPr>
        <w:t xml:space="preserve"> papers that defy this </w:t>
      </w:r>
      <w:r w:rsidRPr="003813C9">
        <w:rPr>
          <w:rFonts w:eastAsia="Times New Roman"/>
          <w:color w:val="auto"/>
          <w:sz w:val="24"/>
          <w:szCs w:val="24"/>
          <w:lang w:eastAsia="en-GB"/>
        </w:rPr>
        <w:t xml:space="preserve">discernible </w:t>
      </w:r>
      <w:r w:rsidRPr="003813C9">
        <w:rPr>
          <w:rFonts w:eastAsia="Times New Roman"/>
          <w:color w:val="auto"/>
          <w:sz w:val="24"/>
          <w:szCs w:val="24"/>
        </w:rPr>
        <w:t>trend</w:t>
      </w:r>
      <w:r w:rsidR="00F52FAB" w:rsidRPr="003813C9">
        <w:rPr>
          <w:rFonts w:eastAsia="Times New Roman"/>
          <w:color w:val="auto"/>
          <w:sz w:val="24"/>
          <w:szCs w:val="24"/>
        </w:rPr>
        <w:t>,</w:t>
      </w:r>
      <w:r w:rsidRPr="003813C9">
        <w:rPr>
          <w:rFonts w:eastAsia="Times New Roman"/>
          <w:color w:val="auto"/>
          <w:sz w:val="24"/>
          <w:szCs w:val="24"/>
        </w:rPr>
        <w:t xml:space="preserve"> i.e., </w:t>
      </w:r>
      <w:proofErr w:type="spellStart"/>
      <w:r w:rsidRPr="003813C9">
        <w:rPr>
          <w:rFonts w:eastAsia="Times New Roman"/>
          <w:color w:val="auto"/>
          <w:sz w:val="24"/>
          <w:szCs w:val="24"/>
        </w:rPr>
        <w:t>informativeness</w:t>
      </w:r>
      <w:proofErr w:type="spellEnd"/>
      <w:r w:rsidRPr="003813C9">
        <w:rPr>
          <w:rFonts w:eastAsia="Times New Roman"/>
          <w:color w:val="auto"/>
          <w:sz w:val="24"/>
          <w:szCs w:val="24"/>
        </w:rPr>
        <w:t xml:space="preserve"> in EU/AUS-based research and incentives in US-based. </w:t>
      </w:r>
      <w:bookmarkStart w:id="2" w:name="_Hlk480712354"/>
      <w:proofErr w:type="spellStart"/>
      <w:r w:rsidRPr="003813C9">
        <w:rPr>
          <w:rFonts w:eastAsia="Times New Roman"/>
          <w:color w:val="auto"/>
          <w:sz w:val="24"/>
          <w:szCs w:val="24"/>
        </w:rPr>
        <w:t>Dobler</w:t>
      </w:r>
      <w:proofErr w:type="spellEnd"/>
      <w:r w:rsidRPr="003813C9">
        <w:rPr>
          <w:rFonts w:eastAsia="Times New Roman"/>
          <w:color w:val="auto"/>
          <w:sz w:val="24"/>
          <w:szCs w:val="24"/>
        </w:rPr>
        <w:t xml:space="preserve"> (2008) and </w:t>
      </w:r>
      <w:proofErr w:type="spellStart"/>
      <w:r w:rsidRPr="003813C9">
        <w:rPr>
          <w:rFonts w:eastAsia="Times New Roman"/>
          <w:color w:val="auto"/>
          <w:sz w:val="24"/>
          <w:szCs w:val="24"/>
        </w:rPr>
        <w:t>Kravet</w:t>
      </w:r>
      <w:proofErr w:type="spellEnd"/>
      <w:r w:rsidRPr="003813C9">
        <w:rPr>
          <w:rFonts w:eastAsia="Times New Roman"/>
          <w:color w:val="auto"/>
          <w:sz w:val="24"/>
          <w:szCs w:val="24"/>
        </w:rPr>
        <w:t xml:space="preserve"> and </w:t>
      </w:r>
      <w:proofErr w:type="spellStart"/>
      <w:r w:rsidRPr="003813C9">
        <w:rPr>
          <w:rFonts w:eastAsia="Times New Roman"/>
          <w:color w:val="auto"/>
          <w:sz w:val="24"/>
          <w:szCs w:val="24"/>
        </w:rPr>
        <w:t>Muslu</w:t>
      </w:r>
      <w:proofErr w:type="spellEnd"/>
      <w:r w:rsidRPr="003813C9">
        <w:rPr>
          <w:rFonts w:eastAsia="Times New Roman"/>
          <w:color w:val="auto"/>
          <w:sz w:val="24"/>
          <w:szCs w:val="24"/>
        </w:rPr>
        <w:t xml:space="preserve"> (2013), for example, note that the incentives to disclose is an important issue in both high and low-regulated environments, and these incentives have been empirically examined in the US</w:t>
      </w:r>
      <w:r w:rsidR="00F52FAB" w:rsidRPr="003813C9">
        <w:rPr>
          <w:rFonts w:eastAsia="Times New Roman"/>
          <w:color w:val="auto"/>
          <w:sz w:val="24"/>
          <w:szCs w:val="24"/>
        </w:rPr>
        <w:t>A</w:t>
      </w:r>
      <w:r w:rsidRPr="003813C9">
        <w:rPr>
          <w:rFonts w:eastAsia="Times New Roman"/>
          <w:color w:val="auto"/>
          <w:sz w:val="24"/>
          <w:szCs w:val="24"/>
        </w:rPr>
        <w:t xml:space="preserve"> (Campbell et al., 2014</w:t>
      </w:r>
      <w:r w:rsidR="001D4617" w:rsidRPr="003813C9">
        <w:rPr>
          <w:rFonts w:eastAsia="Times New Roman"/>
          <w:color w:val="auto"/>
          <w:sz w:val="24"/>
          <w:szCs w:val="24"/>
        </w:rPr>
        <w:t>; Hope et al., 2016</w:t>
      </w:r>
      <w:r w:rsidRPr="003813C9">
        <w:rPr>
          <w:rFonts w:eastAsia="Times New Roman"/>
          <w:color w:val="auto"/>
          <w:sz w:val="24"/>
          <w:szCs w:val="24"/>
        </w:rPr>
        <w:t>), Finland (</w:t>
      </w:r>
      <w:proofErr w:type="spellStart"/>
      <w:r w:rsidRPr="003813C9">
        <w:rPr>
          <w:rFonts w:eastAsia="Times New Roman"/>
          <w:color w:val="auto"/>
          <w:sz w:val="24"/>
          <w:szCs w:val="24"/>
        </w:rPr>
        <w:t>Miihkinen</w:t>
      </w:r>
      <w:proofErr w:type="spellEnd"/>
      <w:r w:rsidRPr="003813C9">
        <w:rPr>
          <w:rFonts w:eastAsia="Times New Roman"/>
          <w:color w:val="auto"/>
          <w:sz w:val="24"/>
          <w:szCs w:val="24"/>
        </w:rPr>
        <w:t xml:space="preserve">, 2012, 2013), and Germany (Elshandidy &amp; Shrives, 2016). </w:t>
      </w:r>
    </w:p>
    <w:p w14:paraId="3CEDB2BB" w14:textId="77777777" w:rsidR="0046703C" w:rsidRPr="003813C9" w:rsidRDefault="001D4617" w:rsidP="0046703C">
      <w:pPr>
        <w:spacing w:after="0" w:line="480" w:lineRule="auto"/>
        <w:ind w:firstLine="720"/>
        <w:jc w:val="both"/>
        <w:rPr>
          <w:rFonts w:eastAsia="Times New Roman"/>
          <w:color w:val="auto"/>
          <w:sz w:val="24"/>
          <w:szCs w:val="24"/>
          <w:lang w:eastAsia="en-GB"/>
        </w:rPr>
      </w:pPr>
      <w:r w:rsidRPr="003813C9">
        <w:rPr>
          <w:rFonts w:eastAsia="Times New Roman"/>
          <w:color w:val="auto"/>
          <w:sz w:val="24"/>
          <w:szCs w:val="24"/>
        </w:rPr>
        <w:t xml:space="preserve">Until recently, </w:t>
      </w:r>
      <w:r w:rsidR="0046703C" w:rsidRPr="003813C9">
        <w:rPr>
          <w:rFonts w:eastAsia="Times New Roman"/>
          <w:color w:val="auto"/>
          <w:sz w:val="24"/>
          <w:szCs w:val="24"/>
        </w:rPr>
        <w:t>in Europe and Australasia, risk information was provided largely voluntarily</w:t>
      </w:r>
      <w:r w:rsidRPr="003813C9">
        <w:rPr>
          <w:rFonts w:eastAsia="Times New Roman"/>
          <w:color w:val="auto"/>
          <w:sz w:val="24"/>
          <w:szCs w:val="24"/>
        </w:rPr>
        <w:t xml:space="preserve"> (e.g., </w:t>
      </w:r>
      <w:proofErr w:type="spellStart"/>
      <w:r w:rsidRPr="003813C9">
        <w:rPr>
          <w:rFonts w:eastAsia="Times New Roman"/>
          <w:color w:val="auto"/>
          <w:sz w:val="24"/>
          <w:szCs w:val="24"/>
          <w:lang w:eastAsia="en-GB"/>
        </w:rPr>
        <w:t>Buckby</w:t>
      </w:r>
      <w:proofErr w:type="spellEnd"/>
      <w:r w:rsidRPr="003813C9">
        <w:rPr>
          <w:rFonts w:eastAsia="Times New Roman"/>
          <w:color w:val="auto"/>
          <w:sz w:val="24"/>
          <w:szCs w:val="24"/>
          <w:lang w:eastAsia="en-GB"/>
        </w:rPr>
        <w:t xml:space="preserve">, Gallery, &amp; Ma, 2015; </w:t>
      </w:r>
      <w:proofErr w:type="spellStart"/>
      <w:r w:rsidRPr="003813C9">
        <w:rPr>
          <w:rFonts w:eastAsia="Times New Roman"/>
          <w:color w:val="auto"/>
          <w:sz w:val="24"/>
          <w:szCs w:val="24"/>
        </w:rPr>
        <w:t>Dobler</w:t>
      </w:r>
      <w:proofErr w:type="spellEnd"/>
      <w:r w:rsidRPr="003813C9">
        <w:rPr>
          <w:rFonts w:eastAsia="Times New Roman"/>
          <w:color w:val="auto"/>
          <w:sz w:val="24"/>
          <w:szCs w:val="24"/>
        </w:rPr>
        <w:t xml:space="preserve">, 2008; </w:t>
      </w:r>
      <w:r w:rsidRPr="003813C9">
        <w:rPr>
          <w:rFonts w:eastAsia="Times New Roman"/>
          <w:color w:val="auto"/>
          <w:sz w:val="24"/>
          <w:szCs w:val="24"/>
          <w:lang w:eastAsia="en-GB"/>
        </w:rPr>
        <w:t>ICAEW, 1997, 2011</w:t>
      </w:r>
      <w:r w:rsidRPr="003813C9">
        <w:rPr>
          <w:rFonts w:eastAsia="Times New Roman"/>
          <w:color w:val="auto"/>
          <w:sz w:val="24"/>
          <w:szCs w:val="24"/>
        </w:rPr>
        <w:t xml:space="preserve">; </w:t>
      </w:r>
      <w:proofErr w:type="spellStart"/>
      <w:r w:rsidRPr="003813C9">
        <w:rPr>
          <w:rFonts w:eastAsia="Times New Roman"/>
          <w:color w:val="auto"/>
          <w:sz w:val="24"/>
          <w:szCs w:val="24"/>
        </w:rPr>
        <w:t>Miihkinen</w:t>
      </w:r>
      <w:proofErr w:type="spellEnd"/>
      <w:r w:rsidRPr="003813C9">
        <w:rPr>
          <w:rFonts w:eastAsia="Times New Roman"/>
          <w:color w:val="auto"/>
          <w:sz w:val="24"/>
          <w:szCs w:val="24"/>
        </w:rPr>
        <w:t>, 2012)</w:t>
      </w:r>
      <w:r w:rsidR="0046703C" w:rsidRPr="003813C9">
        <w:rPr>
          <w:rFonts w:eastAsia="Times New Roman"/>
          <w:color w:val="auto"/>
          <w:sz w:val="24"/>
          <w:szCs w:val="24"/>
        </w:rPr>
        <w:t xml:space="preserve">. </w:t>
      </w:r>
      <w:bookmarkEnd w:id="2"/>
      <w:r w:rsidR="0046703C" w:rsidRPr="003813C9">
        <w:rPr>
          <w:rFonts w:eastAsia="Times New Roman"/>
          <w:color w:val="auto"/>
          <w:sz w:val="24"/>
          <w:szCs w:val="24"/>
        </w:rPr>
        <w:t xml:space="preserve">Therefore, the questions of why, and to what extent, firms disclose risk information have taken precedence. However, the </w:t>
      </w:r>
      <w:proofErr w:type="spellStart"/>
      <w:r w:rsidR="0046703C" w:rsidRPr="003813C9">
        <w:rPr>
          <w:rFonts w:eastAsia="Times New Roman"/>
          <w:color w:val="auto"/>
          <w:sz w:val="24"/>
          <w:szCs w:val="24"/>
        </w:rPr>
        <w:t>informativeness</w:t>
      </w:r>
      <w:proofErr w:type="spellEnd"/>
      <w:r w:rsidR="0046703C" w:rsidRPr="003813C9">
        <w:rPr>
          <w:rFonts w:eastAsia="Times New Roman"/>
          <w:color w:val="auto"/>
          <w:sz w:val="24"/>
          <w:szCs w:val="24"/>
        </w:rPr>
        <w:t xml:space="preserve"> issue has started to be addressed in the EU/AUS context</w:t>
      </w:r>
      <w:r w:rsidR="0033312B" w:rsidRPr="003813C9">
        <w:rPr>
          <w:rFonts w:eastAsia="Times New Roman"/>
          <w:color w:val="auto"/>
          <w:sz w:val="24"/>
          <w:szCs w:val="24"/>
        </w:rPr>
        <w:t xml:space="preserve"> (e.g., Elshandidy </w:t>
      </w:r>
      <w:r w:rsidR="00DB37B5" w:rsidRPr="003813C9">
        <w:rPr>
          <w:rFonts w:eastAsia="Times New Roman"/>
          <w:color w:val="auto"/>
          <w:sz w:val="24"/>
          <w:szCs w:val="24"/>
        </w:rPr>
        <w:t xml:space="preserve">&amp; Neri, 2015; </w:t>
      </w:r>
      <w:r w:rsidR="00DB37B5" w:rsidRPr="003813C9">
        <w:rPr>
          <w:rFonts w:eastAsia="Times New Roman"/>
          <w:color w:val="auto"/>
          <w:sz w:val="24"/>
          <w:szCs w:val="24"/>
          <w:lang w:eastAsia="en-GB"/>
        </w:rPr>
        <w:t>Elshandidy &amp; Shrives, 2016;</w:t>
      </w:r>
      <w:r w:rsidR="00DB37B5" w:rsidRPr="003813C9">
        <w:rPr>
          <w:rFonts w:eastAsia="Times New Roman"/>
          <w:color w:val="auto"/>
          <w:sz w:val="24"/>
          <w:szCs w:val="24"/>
        </w:rPr>
        <w:t xml:space="preserve"> </w:t>
      </w:r>
      <w:proofErr w:type="spellStart"/>
      <w:r w:rsidR="00DB37B5" w:rsidRPr="003813C9">
        <w:rPr>
          <w:rFonts w:eastAsia="Times New Roman"/>
          <w:color w:val="auto"/>
          <w:sz w:val="24"/>
          <w:szCs w:val="24"/>
        </w:rPr>
        <w:t>Miihkinen</w:t>
      </w:r>
      <w:proofErr w:type="spellEnd"/>
      <w:r w:rsidR="00DB37B5" w:rsidRPr="003813C9">
        <w:rPr>
          <w:rFonts w:eastAsia="Times New Roman"/>
          <w:color w:val="auto"/>
          <w:sz w:val="24"/>
          <w:szCs w:val="24"/>
        </w:rPr>
        <w:t>, 2013)</w:t>
      </w:r>
      <w:r w:rsidR="0046703C" w:rsidRPr="003813C9">
        <w:rPr>
          <w:rFonts w:eastAsia="Times New Roman"/>
          <w:color w:val="auto"/>
          <w:sz w:val="24"/>
          <w:szCs w:val="24"/>
        </w:rPr>
        <w:t xml:space="preserve">. This may be due to increased pressure from professional bodies (e.g., ICAEW, 2011). It may also be because data availability and more sophisticated </w:t>
      </w:r>
      <w:r w:rsidR="0046703C" w:rsidRPr="003813C9">
        <w:rPr>
          <w:rFonts w:eastAsia="Times New Roman"/>
          <w:color w:val="auto"/>
          <w:sz w:val="24"/>
          <w:szCs w:val="24"/>
          <w:lang w:eastAsia="en-GB"/>
        </w:rPr>
        <w:t xml:space="preserve">content analysis techniques have helped to improve the accuracy of the mandatory/voluntary risk disclosure identification and analysis </w:t>
      </w:r>
      <w:r w:rsidR="0046703C" w:rsidRPr="003813C9">
        <w:rPr>
          <w:rFonts w:eastAsia="Times New Roman"/>
          <w:color w:val="auto"/>
          <w:sz w:val="24"/>
          <w:szCs w:val="24"/>
          <w:lang w:eastAsia="en-GB"/>
        </w:rPr>
        <w:lastRenderedPageBreak/>
        <w:t xml:space="preserve">process. In turn, this has enabled more straightforward investigations of the associations between variations in risk disclosure and market indicators. </w:t>
      </w:r>
    </w:p>
    <w:p w14:paraId="05EE7C4A" w14:textId="77777777" w:rsidR="0046703C" w:rsidRPr="003813C9" w:rsidRDefault="0046703C" w:rsidP="0046703C">
      <w:pPr>
        <w:spacing w:after="0" w:line="480" w:lineRule="auto"/>
        <w:jc w:val="both"/>
        <w:rPr>
          <w:rFonts w:eastAsia="Times New Roman"/>
          <w:i/>
          <w:color w:val="auto"/>
          <w:sz w:val="24"/>
          <w:szCs w:val="24"/>
          <w:lang w:eastAsia="en-GB"/>
        </w:rPr>
      </w:pPr>
      <w:r w:rsidRPr="003813C9">
        <w:rPr>
          <w:rFonts w:eastAsia="Times New Roman"/>
          <w:i/>
          <w:iCs/>
          <w:color w:val="auto"/>
          <w:sz w:val="24"/>
          <w:szCs w:val="24"/>
          <w:lang w:eastAsia="en-GB"/>
        </w:rPr>
        <w:t xml:space="preserve">5.1.2. Incentives versus </w:t>
      </w:r>
      <w:proofErr w:type="spellStart"/>
      <w:r w:rsidRPr="003813C9">
        <w:rPr>
          <w:rFonts w:eastAsia="Times New Roman"/>
          <w:i/>
          <w:iCs/>
          <w:color w:val="auto"/>
          <w:sz w:val="24"/>
          <w:szCs w:val="24"/>
          <w:lang w:eastAsia="en-GB"/>
        </w:rPr>
        <w:t>informativeness</w:t>
      </w:r>
      <w:proofErr w:type="spellEnd"/>
      <w:r w:rsidRPr="003813C9">
        <w:rPr>
          <w:rFonts w:eastAsia="Times New Roman"/>
          <w:i/>
          <w:iCs/>
          <w:color w:val="auto"/>
          <w:sz w:val="24"/>
          <w:szCs w:val="24"/>
          <w:lang w:eastAsia="en-GB"/>
        </w:rPr>
        <w:t>: Limitations and future work</w:t>
      </w:r>
    </w:p>
    <w:p w14:paraId="2922D9E2" w14:textId="59DB4E5E" w:rsidR="0046703C" w:rsidRPr="003813C9" w:rsidRDefault="00026EFC" w:rsidP="0046703C">
      <w:pPr>
        <w:spacing w:after="0" w:line="480" w:lineRule="auto"/>
        <w:jc w:val="both"/>
        <w:rPr>
          <w:rFonts w:eastAsia="Times New Roman"/>
          <w:color w:val="auto"/>
          <w:sz w:val="24"/>
          <w:szCs w:val="24"/>
          <w:lang w:eastAsia="en-GB"/>
        </w:rPr>
      </w:pPr>
      <w:r w:rsidRPr="003813C9">
        <w:rPr>
          <w:rFonts w:eastAsia="Times New Roman"/>
          <w:color w:val="auto"/>
          <w:sz w:val="24"/>
          <w:szCs w:val="24"/>
          <w:lang w:eastAsia="en-GB"/>
        </w:rPr>
        <w:t xml:space="preserve">The ways in which </w:t>
      </w:r>
      <w:r w:rsidR="0046703C" w:rsidRPr="003813C9">
        <w:rPr>
          <w:rFonts w:eastAsia="Times New Roman"/>
          <w:color w:val="auto"/>
          <w:sz w:val="24"/>
          <w:szCs w:val="24"/>
          <w:lang w:eastAsia="en-GB"/>
        </w:rPr>
        <w:t xml:space="preserve">internal governance factors (e.g., management, directors, and employees) interact with external (e.g., law and regulation, ownership structure, governance rating and voting, and external auditing), and whether they motivate managerial </w:t>
      </w:r>
      <w:r w:rsidR="006E3BDD" w:rsidRPr="003813C9">
        <w:rPr>
          <w:rFonts w:eastAsia="Times New Roman"/>
          <w:color w:val="auto"/>
          <w:sz w:val="24"/>
          <w:szCs w:val="24"/>
          <w:lang w:eastAsia="en-GB"/>
        </w:rPr>
        <w:t xml:space="preserve">risk </w:t>
      </w:r>
      <w:r w:rsidR="0046703C" w:rsidRPr="003813C9">
        <w:rPr>
          <w:rFonts w:eastAsia="Times New Roman"/>
          <w:color w:val="auto"/>
          <w:sz w:val="24"/>
          <w:szCs w:val="24"/>
          <w:lang w:eastAsia="en-GB"/>
        </w:rPr>
        <w:t>disclosure decisions,</w:t>
      </w:r>
      <w:r w:rsidR="00C1579E" w:rsidRPr="003813C9">
        <w:rPr>
          <w:rFonts w:eastAsia="Times New Roman"/>
          <w:color w:val="auto"/>
          <w:sz w:val="24"/>
          <w:szCs w:val="24"/>
          <w:lang w:eastAsia="en-GB"/>
        </w:rPr>
        <w:t xml:space="preserve"> remain unanswered </w:t>
      </w:r>
      <w:r w:rsidR="0046703C" w:rsidRPr="003813C9">
        <w:rPr>
          <w:rFonts w:eastAsia="Times New Roman"/>
          <w:color w:val="auto"/>
          <w:sz w:val="24"/>
          <w:szCs w:val="24"/>
          <w:lang w:eastAsia="en-GB"/>
        </w:rPr>
        <w:t>(for a review of these factors</w:t>
      </w:r>
      <w:r w:rsidR="00FC6D6B" w:rsidRPr="003813C9">
        <w:rPr>
          <w:rFonts w:eastAsia="Times New Roman"/>
          <w:color w:val="auto"/>
          <w:sz w:val="24"/>
          <w:szCs w:val="24"/>
          <w:lang w:eastAsia="en-GB"/>
        </w:rPr>
        <w:t xml:space="preserve"> see,</w:t>
      </w:r>
      <w:r w:rsidR="0046703C" w:rsidRPr="003813C9">
        <w:rPr>
          <w:rFonts w:eastAsia="Times New Roman"/>
          <w:color w:val="auto"/>
          <w:sz w:val="24"/>
          <w:szCs w:val="24"/>
          <w:lang w:eastAsia="en-GB"/>
        </w:rPr>
        <w:t xml:space="preserve"> </w:t>
      </w:r>
      <w:proofErr w:type="spellStart"/>
      <w:r w:rsidR="0046703C" w:rsidRPr="003813C9">
        <w:rPr>
          <w:rFonts w:eastAsia="Times New Roman"/>
          <w:color w:val="auto"/>
          <w:sz w:val="24"/>
          <w:szCs w:val="24"/>
          <w:lang w:eastAsia="en-GB"/>
        </w:rPr>
        <w:t>Gillan</w:t>
      </w:r>
      <w:proofErr w:type="spellEnd"/>
      <w:r w:rsidR="0046703C" w:rsidRPr="003813C9">
        <w:rPr>
          <w:rFonts w:eastAsia="Times New Roman"/>
          <w:color w:val="auto"/>
          <w:sz w:val="24"/>
          <w:szCs w:val="24"/>
          <w:lang w:eastAsia="en-GB"/>
        </w:rPr>
        <w:t xml:space="preserve">, 2006: 384). External governance factors can facilitate or discourage active stakeholder participation in the management process, as external governance concerns the role of direct shareholder oversight and thus incorporates the market for corporate control (Baber, Liang, &amp; Zhu, 2012). Internal governance factors relate to the interaction between or among firm insiders. Another area of research requiring attention is how internal control affects firms’ efficiency in externally reporting their risks. </w:t>
      </w:r>
    </w:p>
    <w:p w14:paraId="390D7304" w14:textId="77777777" w:rsidR="0046703C" w:rsidRPr="003813C9" w:rsidRDefault="0046703C" w:rsidP="0046703C">
      <w:pPr>
        <w:spacing w:after="0" w:line="480" w:lineRule="auto"/>
        <w:ind w:firstLine="567"/>
        <w:jc w:val="both"/>
        <w:rPr>
          <w:rFonts w:eastAsia="Times New Roman"/>
          <w:color w:val="auto"/>
          <w:sz w:val="24"/>
          <w:szCs w:val="24"/>
          <w:lang w:eastAsia="en-GB"/>
        </w:rPr>
      </w:pPr>
      <w:r w:rsidRPr="003813C9">
        <w:rPr>
          <w:rFonts w:eastAsia="Times New Roman"/>
          <w:color w:val="auto"/>
          <w:sz w:val="24"/>
          <w:szCs w:val="24"/>
          <w:lang w:eastAsia="en-GB"/>
        </w:rPr>
        <w:t xml:space="preserve">All of the previous studies are concerned with equity markets, with no study yet addressing risk reporting in debt markets. Such studies are required to identify how firms’ risk disclosure strategies affect the following: (i) debt providers’ decisions; (ii) credit ratings; and (iii) predicting distress, default, and bankruptcy risks. Other areas that warrant examination include: (iv) how firms manage their risks in relation to what they report on their risks; and (v) the determinants of higher (lower) levels of hedge accounting, the implications of hedge accounting as a risk management strategy, and the extent to which the markets react to variations in hedge accounting approaches. Finally, while the majority of the prior literature concentrates on risk reporting in annual reports, considering other outlets such as conference calls, earnings press releases, and media coverage might provide a clearer picture of how managers change their risk-reporting message to suit their audience (Kothari, Li, &amp; Short, 2009; Li, 2010). </w:t>
      </w:r>
    </w:p>
    <w:p w14:paraId="540237F8" w14:textId="77777777" w:rsidR="0046703C" w:rsidRPr="003813C9" w:rsidRDefault="0046703C" w:rsidP="0046703C">
      <w:pPr>
        <w:spacing w:after="0" w:line="480" w:lineRule="auto"/>
        <w:jc w:val="both"/>
        <w:rPr>
          <w:rFonts w:eastAsia="Times New Roman"/>
          <w:i/>
          <w:color w:val="auto"/>
          <w:sz w:val="24"/>
          <w:szCs w:val="24"/>
          <w:lang w:eastAsia="en-GB"/>
        </w:rPr>
      </w:pPr>
      <w:r w:rsidRPr="003813C9">
        <w:rPr>
          <w:rFonts w:eastAsia="Times New Roman"/>
          <w:i/>
          <w:iCs/>
          <w:color w:val="auto"/>
          <w:sz w:val="24"/>
          <w:szCs w:val="24"/>
          <w:lang w:eastAsia="en-GB"/>
        </w:rPr>
        <w:t xml:space="preserve">5.1.3. Voluntary versus mandatory risk reporting: Divergence </w:t>
      </w:r>
    </w:p>
    <w:p w14:paraId="742A04ED" w14:textId="230DBC87" w:rsidR="0046703C" w:rsidRPr="003813C9" w:rsidRDefault="0046703C" w:rsidP="0046703C">
      <w:pPr>
        <w:spacing w:after="0" w:line="480" w:lineRule="auto"/>
        <w:jc w:val="both"/>
        <w:rPr>
          <w:rFonts w:eastAsia="Times New Roman"/>
          <w:color w:val="auto"/>
          <w:sz w:val="24"/>
          <w:szCs w:val="24"/>
          <w:lang w:eastAsia="en-GB"/>
        </w:rPr>
      </w:pPr>
      <w:r w:rsidRPr="003813C9">
        <w:rPr>
          <w:rFonts w:eastAsia="Times New Roman"/>
          <w:color w:val="auto"/>
          <w:sz w:val="24"/>
          <w:szCs w:val="24"/>
          <w:lang w:eastAsia="en-GB"/>
        </w:rPr>
        <w:t>An unintended consequence of the SEC’s development of FRR No. 48 was that it focused US research on mandatory reporting, while the reluctance of the IASB and other domestic standard-</w:t>
      </w:r>
      <w:r w:rsidR="00FB5022" w:rsidRPr="003813C9">
        <w:rPr>
          <w:rFonts w:eastAsia="Times New Roman"/>
          <w:color w:val="auto"/>
          <w:sz w:val="24"/>
          <w:szCs w:val="24"/>
          <w:lang w:eastAsia="en-GB"/>
        </w:rPr>
        <w:lastRenderedPageBreak/>
        <w:t xml:space="preserve">setters </w:t>
      </w:r>
      <w:r w:rsidRPr="003813C9">
        <w:rPr>
          <w:rFonts w:eastAsia="Times New Roman"/>
          <w:color w:val="auto"/>
          <w:sz w:val="24"/>
          <w:szCs w:val="24"/>
          <w:lang w:eastAsia="en-GB"/>
        </w:rPr>
        <w:t>to provide similar risk disclosure regulations in the rest of the world has driven researchers working in that context to focus on the voluntary reporting.</w:t>
      </w:r>
      <w:r w:rsidR="001D3FB3" w:rsidRPr="003813C9">
        <w:rPr>
          <w:rFonts w:eastAsia="Times New Roman"/>
          <w:color w:val="auto"/>
          <w:sz w:val="24"/>
          <w:szCs w:val="24"/>
          <w:lang w:eastAsia="en-GB"/>
        </w:rPr>
        <w:t xml:space="preserve"> There is evidence (Elshandidy et al., 2015) that voluntary and mandatory risk disclosure may complement each other, confirming Bagnoli and Watts’ (2007) and </w:t>
      </w:r>
      <w:proofErr w:type="spellStart"/>
      <w:r w:rsidR="001D3FB3" w:rsidRPr="003813C9">
        <w:rPr>
          <w:rFonts w:eastAsia="Times New Roman"/>
          <w:color w:val="auto"/>
          <w:sz w:val="24"/>
          <w:szCs w:val="24"/>
          <w:lang w:eastAsia="en-GB"/>
        </w:rPr>
        <w:t>Einhorn’s</w:t>
      </w:r>
      <w:proofErr w:type="spellEnd"/>
      <w:r w:rsidR="001D3FB3" w:rsidRPr="003813C9">
        <w:rPr>
          <w:rFonts w:eastAsia="Times New Roman"/>
          <w:color w:val="auto"/>
          <w:sz w:val="24"/>
          <w:szCs w:val="24"/>
          <w:lang w:eastAsia="en-GB"/>
        </w:rPr>
        <w:t xml:space="preserve"> (2005) findings to that effect. </w:t>
      </w:r>
      <w:r w:rsidR="00681ADC" w:rsidRPr="003813C9">
        <w:rPr>
          <w:rFonts w:eastAsia="Times New Roman"/>
          <w:color w:val="auto"/>
          <w:sz w:val="24"/>
          <w:szCs w:val="24"/>
          <w:lang w:eastAsia="en-GB"/>
        </w:rPr>
        <w:t xml:space="preserve"> However</w:t>
      </w:r>
      <w:r w:rsidR="001D3FB3" w:rsidRPr="003813C9">
        <w:rPr>
          <w:rFonts w:eastAsia="Times New Roman"/>
          <w:color w:val="auto"/>
          <w:sz w:val="24"/>
          <w:szCs w:val="24"/>
          <w:lang w:eastAsia="en-GB"/>
        </w:rPr>
        <w:t>, there is a second strand of research which supports a substitut</w:t>
      </w:r>
      <w:r w:rsidR="00FA77D9" w:rsidRPr="003813C9">
        <w:rPr>
          <w:rFonts w:eastAsia="Times New Roman"/>
          <w:color w:val="auto"/>
          <w:sz w:val="24"/>
          <w:szCs w:val="24"/>
          <w:lang w:eastAsia="en-GB"/>
        </w:rPr>
        <w:t xml:space="preserve">ive </w:t>
      </w:r>
      <w:r w:rsidR="001D3FB3" w:rsidRPr="003813C9">
        <w:rPr>
          <w:rFonts w:eastAsia="Times New Roman"/>
          <w:color w:val="auto"/>
          <w:sz w:val="24"/>
          <w:szCs w:val="24"/>
          <w:lang w:eastAsia="en-GB"/>
        </w:rPr>
        <w:t xml:space="preserve">effect. </w:t>
      </w:r>
      <w:bookmarkStart w:id="3" w:name="_Hlk492560439"/>
      <w:proofErr w:type="spellStart"/>
      <w:r w:rsidR="00CB03CE" w:rsidRPr="003813C9">
        <w:rPr>
          <w:rFonts w:eastAsia="Times New Roman"/>
          <w:color w:val="auto"/>
          <w:sz w:val="24"/>
          <w:szCs w:val="24"/>
          <w:lang w:eastAsia="en-GB"/>
        </w:rPr>
        <w:t>Gigler</w:t>
      </w:r>
      <w:proofErr w:type="spellEnd"/>
      <w:r w:rsidR="00CB03CE" w:rsidRPr="003813C9">
        <w:rPr>
          <w:rFonts w:eastAsia="Times New Roman"/>
          <w:color w:val="auto"/>
          <w:sz w:val="24"/>
          <w:szCs w:val="24"/>
          <w:lang w:eastAsia="en-GB"/>
        </w:rPr>
        <w:t xml:space="preserve"> and Hemmer (2001), for example, argue that mandatory disclosure requirements has a negative effect on voluntary disclosure levels and in line with this view Butler, Kraft and Weiss (2007) find mandatory disclosure to be a substitute for voluntary disclosure. </w:t>
      </w:r>
      <w:bookmarkEnd w:id="3"/>
      <w:r w:rsidR="001D3FB3" w:rsidRPr="003813C9">
        <w:rPr>
          <w:rFonts w:eastAsia="Times New Roman"/>
          <w:color w:val="auto"/>
          <w:sz w:val="24"/>
          <w:szCs w:val="24"/>
          <w:lang w:eastAsia="en-GB"/>
        </w:rPr>
        <w:t>This supports Dye’s (1985) proposition that making disclosure mandatory may not necessarily benefit the audience, as voluntary disclosure may be lost.</w:t>
      </w:r>
    </w:p>
    <w:p w14:paraId="0B0BDE27" w14:textId="77777777" w:rsidR="0046703C" w:rsidRPr="003813C9" w:rsidRDefault="0046703C" w:rsidP="0046703C">
      <w:pPr>
        <w:spacing w:after="0" w:line="480" w:lineRule="auto"/>
        <w:jc w:val="both"/>
        <w:rPr>
          <w:rFonts w:eastAsia="Times New Roman"/>
          <w:i/>
          <w:color w:val="auto"/>
          <w:sz w:val="24"/>
          <w:szCs w:val="24"/>
          <w:lang w:eastAsia="en-GB"/>
        </w:rPr>
      </w:pPr>
      <w:r w:rsidRPr="003813C9">
        <w:rPr>
          <w:rFonts w:eastAsia="Times New Roman"/>
          <w:i/>
          <w:iCs/>
          <w:color w:val="auto"/>
          <w:sz w:val="24"/>
          <w:szCs w:val="24"/>
          <w:lang w:eastAsia="en-GB"/>
        </w:rPr>
        <w:t>5.1.4. Voluntary versus mandatory risk reporting: Limitations and future work</w:t>
      </w:r>
    </w:p>
    <w:p w14:paraId="615640ED" w14:textId="76E6626D" w:rsidR="0046703C" w:rsidRPr="003813C9" w:rsidRDefault="0046703C" w:rsidP="0046703C">
      <w:pPr>
        <w:spacing w:after="0" w:line="480" w:lineRule="auto"/>
        <w:jc w:val="both"/>
        <w:rPr>
          <w:rFonts w:eastAsia="Times New Roman,Calibri"/>
          <w:color w:val="auto"/>
          <w:sz w:val="24"/>
          <w:szCs w:val="24"/>
        </w:rPr>
      </w:pPr>
      <w:r w:rsidRPr="003813C9">
        <w:rPr>
          <w:rFonts w:eastAsia="Times New Roman,Calibri"/>
          <w:color w:val="auto"/>
          <w:sz w:val="24"/>
          <w:szCs w:val="24"/>
        </w:rPr>
        <w:t>This divergence raises an important question: should standard-setters forge ahead with stand-alone risk-reporting regulation?</w:t>
      </w:r>
      <w:r w:rsidRPr="003813C9">
        <w:rPr>
          <w:rFonts w:eastAsia="Times New Roman,Calibri"/>
          <w:color w:val="auto"/>
          <w:sz w:val="24"/>
          <w:szCs w:val="24"/>
          <w:vertAlign w:val="superscript"/>
        </w:rPr>
        <w:footnoteReference w:id="17"/>
      </w:r>
      <w:r w:rsidR="00D971C7" w:rsidRPr="003813C9">
        <w:rPr>
          <w:rFonts w:eastAsia="Times New Roman,Calibri"/>
          <w:color w:val="auto"/>
          <w:sz w:val="24"/>
          <w:szCs w:val="24"/>
        </w:rPr>
        <w:t xml:space="preserve"> Our review suggests </w:t>
      </w:r>
      <w:r w:rsidRPr="003813C9">
        <w:rPr>
          <w:rFonts w:eastAsia="Times New Roman,Calibri"/>
          <w:color w:val="auto"/>
          <w:sz w:val="24"/>
          <w:szCs w:val="24"/>
        </w:rPr>
        <w:t>that there could be certain practical advantages to making</w:t>
      </w:r>
      <w:r w:rsidRPr="003813C9">
        <w:rPr>
          <w:rFonts w:eastAsia="Times New Roman"/>
          <w:color w:val="auto"/>
          <w:sz w:val="24"/>
          <w:szCs w:val="24"/>
          <w:lang w:eastAsia="en-GB"/>
        </w:rPr>
        <w:t xml:space="preserve"> </w:t>
      </w:r>
      <w:r w:rsidR="00333A18" w:rsidRPr="003813C9">
        <w:rPr>
          <w:rFonts w:eastAsia="Times New Roman"/>
          <w:color w:val="auto"/>
          <w:sz w:val="24"/>
          <w:szCs w:val="24"/>
          <w:lang w:eastAsia="en-GB"/>
        </w:rPr>
        <w:t xml:space="preserve">risk </w:t>
      </w:r>
      <w:r w:rsidRPr="003813C9">
        <w:rPr>
          <w:rFonts w:eastAsia="Times New Roman"/>
          <w:color w:val="auto"/>
          <w:sz w:val="24"/>
          <w:szCs w:val="24"/>
          <w:lang w:eastAsia="en-GB"/>
        </w:rPr>
        <w:t>disclosure ma</w:t>
      </w:r>
      <w:r w:rsidR="00D971C7" w:rsidRPr="003813C9">
        <w:rPr>
          <w:rFonts w:eastAsia="Times New Roman"/>
          <w:color w:val="auto"/>
          <w:sz w:val="24"/>
          <w:szCs w:val="24"/>
          <w:lang w:eastAsia="en-GB"/>
        </w:rPr>
        <w:t>ndatory, including (i) providing</w:t>
      </w:r>
      <w:r w:rsidRPr="003813C9">
        <w:rPr>
          <w:rFonts w:eastAsia="Times New Roman"/>
          <w:color w:val="auto"/>
          <w:sz w:val="24"/>
          <w:szCs w:val="24"/>
          <w:lang w:eastAsia="en-GB"/>
        </w:rPr>
        <w:t xml:space="preserve"> stakeholders, especially investors and analysts,</w:t>
      </w:r>
      <w:r w:rsidR="00D971C7" w:rsidRPr="003813C9">
        <w:rPr>
          <w:rFonts w:eastAsia="Times New Roman"/>
          <w:color w:val="auto"/>
          <w:sz w:val="24"/>
          <w:szCs w:val="24"/>
          <w:lang w:eastAsia="en-GB"/>
        </w:rPr>
        <w:t xml:space="preserve"> with information to aid them to </w:t>
      </w:r>
      <w:r w:rsidRPr="003813C9">
        <w:rPr>
          <w:rFonts w:eastAsia="Times New Roman"/>
          <w:color w:val="auto"/>
          <w:sz w:val="24"/>
          <w:szCs w:val="24"/>
          <w:lang w:eastAsia="en-GB"/>
        </w:rPr>
        <w:t xml:space="preserve"> enforce management’s fiduciary duties and thus cont</w:t>
      </w:r>
      <w:r w:rsidR="00D971C7" w:rsidRPr="003813C9">
        <w:rPr>
          <w:rFonts w:eastAsia="Times New Roman"/>
          <w:color w:val="auto"/>
          <w:sz w:val="24"/>
          <w:szCs w:val="24"/>
          <w:lang w:eastAsia="en-GB"/>
        </w:rPr>
        <w:t>ribute to the alleviation of</w:t>
      </w:r>
      <w:r w:rsidRPr="003813C9">
        <w:rPr>
          <w:rFonts w:eastAsia="Times New Roman"/>
          <w:color w:val="auto"/>
          <w:sz w:val="24"/>
          <w:szCs w:val="24"/>
          <w:lang w:eastAsia="en-GB"/>
        </w:rPr>
        <w:t xml:space="preserve"> agency problem</w:t>
      </w:r>
      <w:r w:rsidR="00D971C7" w:rsidRPr="003813C9">
        <w:rPr>
          <w:rFonts w:eastAsia="Times New Roman"/>
          <w:color w:val="auto"/>
          <w:sz w:val="24"/>
          <w:szCs w:val="24"/>
          <w:lang w:eastAsia="en-GB"/>
        </w:rPr>
        <w:t>s</w:t>
      </w:r>
      <w:r w:rsidRPr="003813C9">
        <w:rPr>
          <w:rFonts w:eastAsia="Times New Roman"/>
          <w:color w:val="auto"/>
          <w:sz w:val="24"/>
          <w:szCs w:val="24"/>
          <w:lang w:eastAsia="en-GB"/>
        </w:rPr>
        <w:t>, (ii) providing a level of public accountability and/or enforceability that would increase the credibility of disclosure, (iii</w:t>
      </w:r>
      <w:r w:rsidRPr="003813C9">
        <w:rPr>
          <w:rFonts w:eastAsia="Times New Roman,Calibri"/>
          <w:color w:val="auto"/>
          <w:sz w:val="24"/>
          <w:szCs w:val="24"/>
        </w:rPr>
        <w:t xml:space="preserve">) </w:t>
      </w:r>
      <w:r w:rsidR="00D971C7" w:rsidRPr="003813C9">
        <w:rPr>
          <w:rFonts w:eastAsia="Times New Roman"/>
          <w:color w:val="auto"/>
          <w:sz w:val="24"/>
          <w:szCs w:val="24"/>
          <w:lang w:eastAsia="en-GB"/>
        </w:rPr>
        <w:t xml:space="preserve">helping </w:t>
      </w:r>
      <w:r w:rsidRPr="003813C9">
        <w:rPr>
          <w:rFonts w:eastAsia="Times New Roman"/>
          <w:color w:val="auto"/>
          <w:sz w:val="24"/>
          <w:szCs w:val="24"/>
          <w:lang w:eastAsia="en-GB"/>
        </w:rPr>
        <w:t xml:space="preserve">ease information asymmetry, and (iv) </w:t>
      </w:r>
      <w:r w:rsidR="00D971C7" w:rsidRPr="003813C9">
        <w:rPr>
          <w:rFonts w:eastAsia="Times New Roman"/>
          <w:color w:val="auto"/>
          <w:sz w:val="24"/>
          <w:szCs w:val="24"/>
          <w:lang w:eastAsia="en-GB"/>
        </w:rPr>
        <w:t xml:space="preserve">enhancing </w:t>
      </w:r>
      <w:r w:rsidRPr="003813C9">
        <w:rPr>
          <w:rFonts w:eastAsia="Times New Roman"/>
          <w:color w:val="auto"/>
          <w:sz w:val="24"/>
          <w:szCs w:val="24"/>
          <w:lang w:eastAsia="en-GB"/>
        </w:rPr>
        <w:t xml:space="preserve">transparency, and in turn more difficult for controlling insiders to consume private benefits. However, making </w:t>
      </w:r>
      <w:r w:rsidR="00333A18" w:rsidRPr="003813C9">
        <w:rPr>
          <w:rFonts w:eastAsia="Times New Roman"/>
          <w:color w:val="auto"/>
          <w:sz w:val="24"/>
          <w:szCs w:val="24"/>
          <w:lang w:eastAsia="en-GB"/>
        </w:rPr>
        <w:t xml:space="preserve">risk </w:t>
      </w:r>
      <w:r w:rsidRPr="003813C9">
        <w:rPr>
          <w:rFonts w:eastAsia="Times New Roman"/>
          <w:color w:val="auto"/>
          <w:sz w:val="24"/>
          <w:szCs w:val="24"/>
          <w:lang w:eastAsia="en-GB"/>
        </w:rPr>
        <w:t xml:space="preserve">disclosure mandatory also carries potential costs, including, but not limited to, (i) </w:t>
      </w:r>
      <w:r w:rsidR="007A34FA" w:rsidRPr="003813C9">
        <w:rPr>
          <w:rFonts w:eastAsia="Times New Roman"/>
          <w:color w:val="auto"/>
          <w:sz w:val="24"/>
          <w:szCs w:val="24"/>
          <w:lang w:eastAsia="en-GB"/>
        </w:rPr>
        <w:t>engendering competitive disadvantages as companies are forced to release sensitive information</w:t>
      </w:r>
      <w:r w:rsidRPr="003813C9">
        <w:rPr>
          <w:rFonts w:eastAsia="Times New Roman"/>
          <w:color w:val="auto"/>
          <w:sz w:val="24"/>
          <w:szCs w:val="24"/>
          <w:lang w:eastAsia="en-GB"/>
        </w:rPr>
        <w:t>, (ii)</w:t>
      </w:r>
      <w:r w:rsidR="007A34FA" w:rsidRPr="003813C9">
        <w:rPr>
          <w:rFonts w:eastAsia="Times New Roman"/>
          <w:color w:val="auto"/>
          <w:sz w:val="24"/>
          <w:szCs w:val="24"/>
          <w:lang w:eastAsia="en-GB"/>
        </w:rPr>
        <w:t xml:space="preserve"> the loss of potentially</w:t>
      </w:r>
      <w:r w:rsidR="007A34FA" w:rsidRPr="003813C9">
        <w:rPr>
          <w:rFonts w:eastAsia="Times New Roman"/>
          <w:color w:val="auto"/>
          <w:lang w:eastAsia="en-GB"/>
        </w:rPr>
        <w:t xml:space="preserve"> </w:t>
      </w:r>
      <w:r w:rsidR="007A34FA" w:rsidRPr="003813C9">
        <w:rPr>
          <w:rFonts w:eastAsia="Times New Roman"/>
          <w:color w:val="auto"/>
          <w:sz w:val="24"/>
          <w:szCs w:val="24"/>
          <w:lang w:eastAsia="en-GB"/>
        </w:rPr>
        <w:t>useful voluntarily disclosed information</w:t>
      </w:r>
      <w:r w:rsidRPr="003813C9">
        <w:rPr>
          <w:rFonts w:eastAsia="Times New Roman"/>
          <w:color w:val="auto"/>
          <w:sz w:val="24"/>
          <w:szCs w:val="24"/>
          <w:lang w:eastAsia="en-GB"/>
        </w:rPr>
        <w:t xml:space="preserve">, </w:t>
      </w:r>
      <w:r w:rsidR="007A34FA" w:rsidRPr="003813C9">
        <w:rPr>
          <w:rFonts w:eastAsia="Times New Roman"/>
          <w:color w:val="auto"/>
          <w:sz w:val="24"/>
          <w:szCs w:val="24"/>
          <w:lang w:eastAsia="en-GB"/>
        </w:rPr>
        <w:t xml:space="preserve">and </w:t>
      </w:r>
      <w:r w:rsidRPr="003813C9">
        <w:rPr>
          <w:rFonts w:eastAsia="Times New Roman"/>
          <w:color w:val="auto"/>
          <w:sz w:val="24"/>
          <w:szCs w:val="24"/>
          <w:lang w:eastAsia="en-GB"/>
        </w:rPr>
        <w:t xml:space="preserve">(iii) the </w:t>
      </w:r>
      <w:r w:rsidR="00D971C7" w:rsidRPr="003813C9">
        <w:rPr>
          <w:rFonts w:eastAsia="Times New Roman"/>
          <w:color w:val="auto"/>
          <w:sz w:val="24"/>
          <w:szCs w:val="24"/>
          <w:lang w:eastAsia="en-GB"/>
        </w:rPr>
        <w:t xml:space="preserve">potential </w:t>
      </w:r>
      <w:r w:rsidRPr="003813C9">
        <w:rPr>
          <w:rFonts w:eastAsia="Times New Roman"/>
          <w:color w:val="auto"/>
          <w:sz w:val="24"/>
          <w:szCs w:val="24"/>
          <w:lang w:eastAsia="en-GB"/>
        </w:rPr>
        <w:t>loss of meaning due to the production of boilerplate information.</w:t>
      </w:r>
    </w:p>
    <w:p w14:paraId="4505BE3B" w14:textId="77777777" w:rsidR="0046703C" w:rsidRPr="003813C9" w:rsidRDefault="0046703C" w:rsidP="0046703C">
      <w:pPr>
        <w:spacing w:after="0" w:line="480" w:lineRule="auto"/>
        <w:ind w:firstLine="567"/>
        <w:jc w:val="both"/>
        <w:rPr>
          <w:rFonts w:eastAsia="Times New Roman"/>
          <w:color w:val="auto"/>
          <w:sz w:val="24"/>
          <w:szCs w:val="24"/>
          <w:lang w:eastAsia="en-GB"/>
        </w:rPr>
      </w:pPr>
      <w:r w:rsidRPr="003813C9">
        <w:rPr>
          <w:rFonts w:eastAsia="Times New Roman"/>
          <w:color w:val="auto"/>
          <w:sz w:val="24"/>
          <w:szCs w:val="24"/>
          <w:lang w:eastAsia="en-GB"/>
        </w:rPr>
        <w:lastRenderedPageBreak/>
        <w:t xml:space="preserve">Maintaining a system of informative voluntary disclosure also has benefits and costs. Potential benefits include, but are not limited to, (i) enhanced credibility and improved investor relations, (ii) access to more liquid markets, (iii) improved pricing and decision-making capabilities, </w:t>
      </w:r>
      <w:proofErr w:type="gramStart"/>
      <w:r w:rsidRPr="003813C9">
        <w:rPr>
          <w:rFonts w:eastAsia="Times New Roman"/>
          <w:color w:val="auto"/>
          <w:sz w:val="24"/>
          <w:szCs w:val="24"/>
          <w:lang w:eastAsia="en-GB"/>
        </w:rPr>
        <w:t>(iv) a</w:t>
      </w:r>
      <w:proofErr w:type="gramEnd"/>
      <w:r w:rsidRPr="003813C9">
        <w:rPr>
          <w:rFonts w:eastAsia="Times New Roman"/>
          <w:color w:val="auto"/>
          <w:sz w:val="24"/>
          <w:szCs w:val="24"/>
          <w:lang w:eastAsia="en-GB"/>
        </w:rPr>
        <w:t xml:space="preserve"> reduction in perceived risk, increased reputations, and a lower cost of capital, and (v) reduced litigation risk. Potential costs might include (i) competitive disadvantage if sensitive information is disclosed, (ii) bargaining weaknesses related to stakeholders, (iii) increased litigation risk, and </w:t>
      </w:r>
      <w:proofErr w:type="gramStart"/>
      <w:r w:rsidRPr="003813C9">
        <w:rPr>
          <w:rFonts w:eastAsia="Times New Roman"/>
          <w:color w:val="auto"/>
          <w:sz w:val="24"/>
          <w:szCs w:val="24"/>
          <w:lang w:eastAsia="en-GB"/>
        </w:rPr>
        <w:t>(iv) preparation</w:t>
      </w:r>
      <w:proofErr w:type="gramEnd"/>
      <w:r w:rsidRPr="003813C9">
        <w:rPr>
          <w:rFonts w:eastAsia="Times New Roman"/>
          <w:color w:val="auto"/>
          <w:sz w:val="24"/>
          <w:szCs w:val="24"/>
          <w:lang w:eastAsia="en-GB"/>
        </w:rPr>
        <w:t xml:space="preserve"> and audit costs. </w:t>
      </w:r>
    </w:p>
    <w:p w14:paraId="085FBA20" w14:textId="77777777" w:rsidR="0046703C" w:rsidRPr="003813C9" w:rsidRDefault="0046703C" w:rsidP="0046703C">
      <w:pPr>
        <w:spacing w:after="0" w:line="480" w:lineRule="auto"/>
        <w:ind w:firstLine="567"/>
        <w:jc w:val="both"/>
        <w:rPr>
          <w:rFonts w:eastAsia="Times New Roman"/>
          <w:color w:val="auto"/>
          <w:sz w:val="24"/>
          <w:szCs w:val="24"/>
          <w:lang w:eastAsia="en-GB"/>
        </w:rPr>
      </w:pPr>
      <w:r w:rsidRPr="003813C9">
        <w:rPr>
          <w:rFonts w:eastAsia="Times New Roman"/>
          <w:color w:val="auto"/>
          <w:sz w:val="24"/>
          <w:szCs w:val="24"/>
          <w:lang w:eastAsia="en-GB"/>
        </w:rPr>
        <w:t>Judged collectively, the evidence from risk-reporting research seems to suggest that regulation can be informative in certain circumstances – e.g., for oil and gas firms (</w:t>
      </w:r>
      <w:proofErr w:type="spellStart"/>
      <w:r w:rsidRPr="003813C9">
        <w:rPr>
          <w:rFonts w:eastAsia="Times New Roman"/>
          <w:color w:val="auto"/>
          <w:sz w:val="24"/>
          <w:szCs w:val="24"/>
          <w:lang w:eastAsia="en-GB"/>
        </w:rPr>
        <w:t>Roulstone</w:t>
      </w:r>
      <w:proofErr w:type="spellEnd"/>
      <w:r w:rsidRPr="003813C9">
        <w:rPr>
          <w:rFonts w:eastAsia="Times New Roman"/>
          <w:color w:val="auto"/>
          <w:sz w:val="24"/>
          <w:szCs w:val="24"/>
          <w:lang w:eastAsia="en-GB"/>
        </w:rPr>
        <w:t>, 1999), or, more generally, for non-financial firms (</w:t>
      </w:r>
      <w:proofErr w:type="spellStart"/>
      <w:r w:rsidRPr="003813C9">
        <w:rPr>
          <w:rFonts w:eastAsia="Times New Roman"/>
          <w:color w:val="auto"/>
          <w:sz w:val="24"/>
          <w:szCs w:val="24"/>
          <w:lang w:eastAsia="en-GB"/>
        </w:rPr>
        <w:t>Miihkinen</w:t>
      </w:r>
      <w:proofErr w:type="spellEnd"/>
      <w:r w:rsidRPr="003813C9">
        <w:rPr>
          <w:rFonts w:eastAsia="Times New Roman"/>
          <w:color w:val="auto"/>
          <w:sz w:val="24"/>
          <w:szCs w:val="24"/>
          <w:lang w:eastAsia="en-GB"/>
        </w:rPr>
        <w:t xml:space="preserve">, 2012) – but less so in more complex cases e.g., interest rate risk (Hodder et al., 2002). However, mandating disclosure encourages higher levels of it when there is no other incentive to disclose and therefore helps to reduce information asymmetry (e.g., </w:t>
      </w:r>
      <w:proofErr w:type="spellStart"/>
      <w:r w:rsidRPr="003813C9">
        <w:rPr>
          <w:rFonts w:eastAsia="Times New Roman"/>
          <w:color w:val="auto"/>
          <w:sz w:val="24"/>
          <w:szCs w:val="24"/>
          <w:lang w:eastAsia="en-GB"/>
        </w:rPr>
        <w:t>Dobler</w:t>
      </w:r>
      <w:proofErr w:type="spellEnd"/>
      <w:r w:rsidRPr="003813C9">
        <w:rPr>
          <w:rFonts w:eastAsia="Times New Roman"/>
          <w:color w:val="auto"/>
          <w:sz w:val="24"/>
          <w:szCs w:val="24"/>
          <w:lang w:eastAsia="en-GB"/>
        </w:rPr>
        <w:t>, 2008). Furthermore, the incentives to voluntarily disclose information appear to be relatively low precisely when they might be most desirable, for example when financial risk</w:t>
      </w:r>
      <w:r w:rsidR="00A63EB7" w:rsidRPr="003813C9">
        <w:rPr>
          <w:rFonts w:eastAsia="Times New Roman"/>
          <w:color w:val="auto"/>
          <w:sz w:val="24"/>
          <w:szCs w:val="24"/>
          <w:lang w:eastAsia="en-GB"/>
        </w:rPr>
        <w:t xml:space="preserve"> </w:t>
      </w:r>
      <w:r w:rsidRPr="003813C9">
        <w:rPr>
          <w:rFonts w:eastAsia="Times New Roman"/>
          <w:color w:val="auto"/>
          <w:sz w:val="24"/>
          <w:szCs w:val="24"/>
          <w:lang w:eastAsia="en-GB"/>
        </w:rPr>
        <w:t>is high (</w:t>
      </w:r>
      <w:proofErr w:type="gramStart"/>
      <w:r w:rsidRPr="003813C9">
        <w:rPr>
          <w:rFonts w:eastAsia="Times New Roman"/>
          <w:color w:val="auto"/>
          <w:sz w:val="24"/>
          <w:szCs w:val="24"/>
          <w:lang w:eastAsia="en-GB"/>
        </w:rPr>
        <w:t>Marshall &amp;</w:t>
      </w:r>
      <w:proofErr w:type="gramEnd"/>
      <w:r w:rsidRPr="003813C9">
        <w:rPr>
          <w:rFonts w:eastAsia="Times New Roman"/>
          <w:color w:val="auto"/>
          <w:sz w:val="24"/>
          <w:szCs w:val="24"/>
          <w:lang w:eastAsia="en-GB"/>
        </w:rPr>
        <w:t xml:space="preserve"> </w:t>
      </w:r>
      <w:proofErr w:type="spellStart"/>
      <w:r w:rsidRPr="003813C9">
        <w:rPr>
          <w:rFonts w:eastAsia="Times New Roman"/>
          <w:color w:val="auto"/>
          <w:sz w:val="24"/>
          <w:szCs w:val="24"/>
          <w:lang w:eastAsia="en-GB"/>
        </w:rPr>
        <w:t>Weetman</w:t>
      </w:r>
      <w:proofErr w:type="spellEnd"/>
      <w:r w:rsidRPr="003813C9">
        <w:rPr>
          <w:rFonts w:eastAsia="Times New Roman"/>
          <w:color w:val="auto"/>
          <w:sz w:val="24"/>
          <w:szCs w:val="24"/>
          <w:lang w:eastAsia="en-GB"/>
        </w:rPr>
        <w:t xml:space="preserve">, 2007). While theories of voluntary disclosure may explain context-specific findings, there is no explanation of the usefulness of any single or multiple theoretical perspectives for why firms are incentivized to reveal risk information (Abraham &amp; Shrives, 2014). This needs further exploration regardless of the methodological approach, or underpinning narrative. Future researchers need to begin developing a theory of risk disclosure (see </w:t>
      </w:r>
      <w:proofErr w:type="spellStart"/>
      <w:r w:rsidRPr="003813C9">
        <w:rPr>
          <w:rFonts w:eastAsia="Times New Roman"/>
          <w:color w:val="auto"/>
          <w:sz w:val="24"/>
          <w:szCs w:val="24"/>
          <w:lang w:eastAsia="en-GB"/>
        </w:rPr>
        <w:t>Heinle</w:t>
      </w:r>
      <w:proofErr w:type="spellEnd"/>
      <w:r w:rsidRPr="003813C9">
        <w:rPr>
          <w:rFonts w:eastAsia="Times New Roman"/>
          <w:color w:val="auto"/>
          <w:sz w:val="24"/>
          <w:szCs w:val="24"/>
          <w:lang w:eastAsia="en-GB"/>
        </w:rPr>
        <w:t xml:space="preserve"> &amp;</w:t>
      </w:r>
      <w:r w:rsidR="004838FA" w:rsidRPr="003813C9">
        <w:rPr>
          <w:rFonts w:eastAsia="Times New Roman"/>
          <w:color w:val="auto"/>
          <w:sz w:val="24"/>
          <w:szCs w:val="24"/>
          <w:lang w:eastAsia="en-GB"/>
        </w:rPr>
        <w:t xml:space="preserve"> Smith, 2017</w:t>
      </w:r>
      <w:r w:rsidRPr="003813C9">
        <w:rPr>
          <w:rFonts w:eastAsia="Times New Roman"/>
          <w:color w:val="auto"/>
          <w:sz w:val="24"/>
          <w:szCs w:val="24"/>
          <w:lang w:eastAsia="en-GB"/>
        </w:rPr>
        <w:t>) as well as extending the extant knowledge of theories of voluntary disclosure.</w:t>
      </w:r>
    </w:p>
    <w:p w14:paraId="5B740530" w14:textId="77777777" w:rsidR="0046703C" w:rsidRPr="003813C9" w:rsidRDefault="0046703C" w:rsidP="0046703C">
      <w:pPr>
        <w:spacing w:after="0" w:line="480" w:lineRule="auto"/>
        <w:jc w:val="both"/>
        <w:rPr>
          <w:rFonts w:eastAsia="Times New Roman"/>
          <w:i/>
          <w:color w:val="auto"/>
          <w:sz w:val="24"/>
          <w:szCs w:val="24"/>
          <w:lang w:eastAsia="en-GB"/>
        </w:rPr>
      </w:pPr>
      <w:r w:rsidRPr="003813C9">
        <w:rPr>
          <w:rFonts w:eastAsia="Times New Roman"/>
          <w:i/>
          <w:iCs/>
          <w:color w:val="auto"/>
          <w:sz w:val="24"/>
          <w:szCs w:val="24"/>
          <w:lang w:eastAsia="en-GB"/>
        </w:rPr>
        <w:t xml:space="preserve">5.1.5. Manual versus automated content analysis: Divergence </w:t>
      </w:r>
    </w:p>
    <w:p w14:paraId="0CF7D8AF" w14:textId="7EE81690" w:rsidR="0046703C" w:rsidRPr="003813C9" w:rsidRDefault="0046703C" w:rsidP="0046703C">
      <w:pPr>
        <w:spacing w:after="0" w:line="480" w:lineRule="auto"/>
        <w:jc w:val="both"/>
        <w:rPr>
          <w:rFonts w:eastAsia="Times New Roman"/>
          <w:color w:val="auto"/>
          <w:sz w:val="24"/>
          <w:szCs w:val="24"/>
          <w:lang w:eastAsia="en-GB"/>
        </w:rPr>
      </w:pPr>
      <w:r w:rsidRPr="003813C9">
        <w:rPr>
          <w:rFonts w:eastAsia="Times New Roman"/>
          <w:color w:val="auto"/>
          <w:sz w:val="24"/>
          <w:szCs w:val="24"/>
          <w:lang w:eastAsia="en-GB"/>
        </w:rPr>
        <w:t>Our review highlights a further key divergence in the literature. Since the technology has been available</w:t>
      </w:r>
      <w:r w:rsidR="00D17DCF" w:rsidRPr="003813C9">
        <w:rPr>
          <w:rFonts w:eastAsia="Times New Roman"/>
          <w:color w:val="auto"/>
          <w:sz w:val="24"/>
          <w:szCs w:val="24"/>
          <w:lang w:eastAsia="en-GB"/>
        </w:rPr>
        <w:t xml:space="preserve"> and large datasets have been accessible</w:t>
      </w:r>
      <w:r w:rsidRPr="003813C9">
        <w:rPr>
          <w:rFonts w:eastAsia="Times New Roman"/>
          <w:color w:val="auto"/>
          <w:sz w:val="24"/>
          <w:szCs w:val="24"/>
          <w:lang w:eastAsia="en-GB"/>
        </w:rPr>
        <w:t>, much of the work originating from the US</w:t>
      </w:r>
      <w:r w:rsidR="00F52FAB" w:rsidRPr="003813C9">
        <w:rPr>
          <w:rFonts w:eastAsia="Times New Roman"/>
          <w:color w:val="auto"/>
          <w:sz w:val="24"/>
          <w:szCs w:val="24"/>
          <w:lang w:eastAsia="en-GB"/>
        </w:rPr>
        <w:t>A</w:t>
      </w:r>
      <w:r w:rsidRPr="003813C9">
        <w:rPr>
          <w:rFonts w:eastAsia="Times New Roman"/>
          <w:color w:val="auto"/>
          <w:sz w:val="24"/>
          <w:szCs w:val="24"/>
          <w:lang w:eastAsia="en-GB"/>
        </w:rPr>
        <w:t xml:space="preserve"> has relied on automated content analysis. Methods are becoming increasingly complex as </w:t>
      </w:r>
      <w:r w:rsidRPr="003813C9">
        <w:rPr>
          <w:rFonts w:eastAsia="Times New Roman"/>
          <w:color w:val="auto"/>
          <w:sz w:val="24"/>
          <w:szCs w:val="24"/>
          <w:lang w:eastAsia="en-GB"/>
        </w:rPr>
        <w:lastRenderedPageBreak/>
        <w:t xml:space="preserve">accounting and finance researchers learn and apply skills and techniques from other disciplines. Li’s (2010) analysis encourages advancements as he challenges researchers to reach further. </w:t>
      </w:r>
    </w:p>
    <w:p w14:paraId="1B4067AD" w14:textId="785E70A1" w:rsidR="001D4617" w:rsidRPr="003813C9" w:rsidRDefault="0046703C" w:rsidP="001D4617">
      <w:pPr>
        <w:spacing w:after="0" w:line="480" w:lineRule="auto"/>
        <w:ind w:firstLine="567"/>
        <w:jc w:val="both"/>
        <w:rPr>
          <w:rFonts w:eastAsia="Times New Roman"/>
          <w:color w:val="auto"/>
          <w:sz w:val="24"/>
          <w:szCs w:val="24"/>
          <w:lang w:eastAsia="en-GB"/>
        </w:rPr>
      </w:pPr>
      <w:r w:rsidRPr="003813C9">
        <w:rPr>
          <w:rFonts w:eastAsia="Times New Roman"/>
          <w:color w:val="auto"/>
          <w:sz w:val="24"/>
          <w:szCs w:val="24"/>
          <w:lang w:eastAsia="en-GB"/>
        </w:rPr>
        <w:t xml:space="preserve">In the EU/AUS, research has generally relied on the design and construction of disclosure </w:t>
      </w:r>
      <w:r w:rsidR="00A55E75" w:rsidRPr="003813C9">
        <w:rPr>
          <w:rFonts w:eastAsia="Times New Roman"/>
          <w:color w:val="auto"/>
          <w:sz w:val="24"/>
          <w:szCs w:val="24"/>
          <w:lang w:eastAsia="en-GB"/>
        </w:rPr>
        <w:t>indices to measure the quality and/or quantity</w:t>
      </w:r>
      <w:r w:rsidRPr="003813C9">
        <w:rPr>
          <w:rFonts w:eastAsia="Times New Roman"/>
          <w:color w:val="auto"/>
          <w:sz w:val="24"/>
          <w:szCs w:val="24"/>
          <w:lang w:eastAsia="en-GB"/>
        </w:rPr>
        <w:t xml:space="preserve"> of risk reporting (e.g., B</w:t>
      </w:r>
      <w:r w:rsidR="00491C28" w:rsidRPr="003813C9">
        <w:rPr>
          <w:rFonts w:eastAsia="Times New Roman"/>
          <w:color w:val="auto"/>
          <w:sz w:val="24"/>
          <w:szCs w:val="24"/>
          <w:lang w:eastAsia="en-GB"/>
        </w:rPr>
        <w:t>e</w:t>
      </w:r>
      <w:r w:rsidRPr="003813C9">
        <w:rPr>
          <w:rFonts w:eastAsia="Times New Roman"/>
          <w:color w:val="auto"/>
          <w:sz w:val="24"/>
          <w:szCs w:val="24"/>
          <w:lang w:eastAsia="en-GB"/>
        </w:rPr>
        <w:t xml:space="preserve">retta &amp; </w:t>
      </w:r>
      <w:proofErr w:type="spellStart"/>
      <w:r w:rsidRPr="003813C9">
        <w:rPr>
          <w:rFonts w:eastAsia="Times New Roman"/>
          <w:color w:val="auto"/>
          <w:sz w:val="24"/>
          <w:szCs w:val="24"/>
          <w:lang w:eastAsia="en-GB"/>
        </w:rPr>
        <w:t>Bozzolan</w:t>
      </w:r>
      <w:proofErr w:type="spellEnd"/>
      <w:r w:rsidRPr="003813C9">
        <w:rPr>
          <w:rFonts w:eastAsia="Times New Roman"/>
          <w:color w:val="auto"/>
          <w:sz w:val="24"/>
          <w:szCs w:val="24"/>
          <w:lang w:eastAsia="en-GB"/>
        </w:rPr>
        <w:t xml:space="preserve">, 2004; </w:t>
      </w:r>
      <w:proofErr w:type="spellStart"/>
      <w:r w:rsidRPr="003813C9">
        <w:rPr>
          <w:rFonts w:eastAsia="Times New Roman"/>
          <w:color w:val="auto"/>
          <w:sz w:val="24"/>
          <w:szCs w:val="24"/>
        </w:rPr>
        <w:t>Miihkinen</w:t>
      </w:r>
      <w:proofErr w:type="spellEnd"/>
      <w:r w:rsidRPr="003813C9">
        <w:rPr>
          <w:rFonts w:eastAsia="Times New Roman"/>
          <w:color w:val="auto"/>
          <w:sz w:val="24"/>
          <w:szCs w:val="24"/>
        </w:rPr>
        <w:t>, 2012)</w:t>
      </w:r>
      <w:r w:rsidRPr="003813C9">
        <w:rPr>
          <w:rFonts w:eastAsia="Times New Roman"/>
          <w:color w:val="auto"/>
          <w:sz w:val="24"/>
          <w:szCs w:val="24"/>
          <w:lang w:eastAsia="en-GB"/>
        </w:rPr>
        <w:t>. Often this relies on manual content analysis. Whilst automated content analysis approaches might have problems and limitations, so do manual ones (e.g., Beattie &amp; Thomson, 2007). Recent work has attempted to address these concerns, as well as focusing on the coding reliability problems raised</w:t>
      </w:r>
      <w:r w:rsidR="00491C28" w:rsidRPr="003813C9">
        <w:rPr>
          <w:rFonts w:eastAsia="Times New Roman"/>
          <w:color w:val="auto"/>
          <w:sz w:val="24"/>
          <w:szCs w:val="24"/>
          <w:lang w:eastAsia="en-GB"/>
        </w:rPr>
        <w:t xml:space="preserve"> by, amongst others,</w:t>
      </w:r>
      <w:r w:rsidRPr="003813C9">
        <w:rPr>
          <w:rFonts w:eastAsia="Times New Roman"/>
          <w:color w:val="auto"/>
          <w:sz w:val="24"/>
          <w:szCs w:val="24"/>
          <w:lang w:eastAsia="en-GB"/>
        </w:rPr>
        <w:t xml:space="preserve"> </w:t>
      </w:r>
      <w:proofErr w:type="spellStart"/>
      <w:r w:rsidRPr="003813C9">
        <w:rPr>
          <w:rFonts w:eastAsia="Times New Roman"/>
          <w:color w:val="auto"/>
          <w:sz w:val="24"/>
          <w:szCs w:val="24"/>
          <w:lang w:eastAsia="en-GB"/>
        </w:rPr>
        <w:t>Krippendorff</w:t>
      </w:r>
      <w:proofErr w:type="spellEnd"/>
      <w:r w:rsidRPr="003813C9">
        <w:rPr>
          <w:rFonts w:eastAsia="Times New Roman"/>
          <w:color w:val="auto"/>
          <w:sz w:val="24"/>
          <w:szCs w:val="24"/>
          <w:lang w:eastAsia="en-GB"/>
        </w:rPr>
        <w:t xml:space="preserve"> (2012). Nevertheless, opportunities remain for further developments and improvements (see Beattie, 2014), </w:t>
      </w:r>
      <w:r w:rsidR="00A55E75" w:rsidRPr="003813C9">
        <w:rPr>
          <w:rFonts w:eastAsia="Times New Roman"/>
          <w:color w:val="auto"/>
          <w:sz w:val="24"/>
          <w:szCs w:val="24"/>
          <w:lang w:eastAsia="en-GB"/>
        </w:rPr>
        <w:t>in</w:t>
      </w:r>
      <w:r w:rsidRPr="003813C9">
        <w:rPr>
          <w:rFonts w:eastAsia="Times New Roman"/>
          <w:color w:val="auto"/>
          <w:sz w:val="24"/>
          <w:szCs w:val="24"/>
          <w:lang w:eastAsia="en-GB"/>
        </w:rPr>
        <w:t xml:space="preserve"> risk-reporting research, where an employable, usable, accurate and reliable ‘quality’ measurement system is needed.</w:t>
      </w:r>
    </w:p>
    <w:p w14:paraId="10D610DF" w14:textId="71B64413" w:rsidR="001E75B9" w:rsidRPr="003813C9" w:rsidRDefault="0046703C" w:rsidP="001D4617">
      <w:pPr>
        <w:spacing w:after="0" w:line="480" w:lineRule="auto"/>
        <w:ind w:firstLine="567"/>
        <w:jc w:val="both"/>
        <w:rPr>
          <w:rFonts w:eastAsia="Times New Roman"/>
          <w:color w:val="auto"/>
          <w:sz w:val="24"/>
          <w:szCs w:val="24"/>
          <w:lang w:eastAsia="en-GB"/>
        </w:rPr>
      </w:pPr>
      <w:r w:rsidRPr="003813C9">
        <w:rPr>
          <w:rFonts w:eastAsia="Times New Roman"/>
          <w:color w:val="auto"/>
          <w:sz w:val="24"/>
          <w:szCs w:val="24"/>
          <w:lang w:eastAsia="en-GB"/>
        </w:rPr>
        <w:t xml:space="preserve">There are exceptions to this division; more recently, automated content analysis has been employed in EU/AUS work to measure quantity, and this is where the jurisdictional literatures converge. For example, risk word lists have been developed to </w:t>
      </w:r>
      <w:proofErr w:type="spellStart"/>
      <w:r w:rsidRPr="003813C9">
        <w:rPr>
          <w:rFonts w:eastAsia="Times New Roman"/>
          <w:color w:val="auto"/>
          <w:sz w:val="24"/>
          <w:szCs w:val="24"/>
          <w:lang w:eastAsia="en-GB"/>
        </w:rPr>
        <w:t>analyze</w:t>
      </w:r>
      <w:proofErr w:type="spellEnd"/>
      <w:r w:rsidRPr="003813C9">
        <w:rPr>
          <w:rFonts w:eastAsia="Times New Roman"/>
          <w:color w:val="auto"/>
          <w:sz w:val="24"/>
          <w:szCs w:val="24"/>
          <w:lang w:eastAsia="en-GB"/>
        </w:rPr>
        <w:t xml:space="preserve"> firms’ risk reporting. While this system has been criticized (</w:t>
      </w:r>
      <w:proofErr w:type="spellStart"/>
      <w:r w:rsidRPr="003813C9">
        <w:rPr>
          <w:rFonts w:eastAsia="Times New Roman"/>
          <w:color w:val="auto"/>
          <w:sz w:val="24"/>
          <w:szCs w:val="24"/>
          <w:lang w:eastAsia="en-GB"/>
        </w:rPr>
        <w:t>Loughran</w:t>
      </w:r>
      <w:proofErr w:type="spellEnd"/>
      <w:r w:rsidRPr="003813C9">
        <w:rPr>
          <w:rFonts w:eastAsia="Times New Roman"/>
          <w:color w:val="auto"/>
          <w:sz w:val="24"/>
          <w:szCs w:val="24"/>
          <w:lang w:eastAsia="en-GB"/>
        </w:rPr>
        <w:t xml:space="preserve"> &amp; McDonald, 2016), it is a method that </w:t>
      </w:r>
      <w:r w:rsidR="00C60E32" w:rsidRPr="003813C9">
        <w:rPr>
          <w:rFonts w:eastAsia="Times New Roman"/>
          <w:color w:val="auto"/>
          <w:sz w:val="24"/>
          <w:szCs w:val="24"/>
          <w:lang w:eastAsia="en-GB"/>
        </w:rPr>
        <w:t xml:space="preserve">should </w:t>
      </w:r>
      <w:r w:rsidRPr="003813C9">
        <w:rPr>
          <w:rFonts w:eastAsia="Times New Roman"/>
          <w:color w:val="auto"/>
          <w:sz w:val="24"/>
          <w:szCs w:val="24"/>
          <w:lang w:eastAsia="en-GB"/>
        </w:rPr>
        <w:t xml:space="preserve">be developed further. Whilst there is substantial overlap in the several ‘bag-of-words’ automated content analysis risk-disclosure studies (e.g., Elshandidy et al., 2013, 2015; </w:t>
      </w:r>
      <w:proofErr w:type="spellStart"/>
      <w:r w:rsidRPr="003813C9">
        <w:rPr>
          <w:rFonts w:eastAsia="Times New Roman"/>
          <w:color w:val="auto"/>
          <w:sz w:val="24"/>
          <w:szCs w:val="24"/>
          <w:lang w:eastAsia="en-GB"/>
        </w:rPr>
        <w:t>Kravet</w:t>
      </w:r>
      <w:proofErr w:type="spellEnd"/>
      <w:r w:rsidRPr="003813C9">
        <w:rPr>
          <w:rFonts w:eastAsia="Times New Roman"/>
          <w:color w:val="auto"/>
          <w:sz w:val="24"/>
          <w:szCs w:val="24"/>
          <w:lang w:eastAsia="en-GB"/>
        </w:rPr>
        <w:t xml:space="preserve"> </w:t>
      </w:r>
      <w:r w:rsidR="00C60E32" w:rsidRPr="003813C9">
        <w:rPr>
          <w:rFonts w:eastAsia="Times New Roman"/>
          <w:color w:val="auto"/>
          <w:sz w:val="24"/>
          <w:szCs w:val="24"/>
          <w:lang w:eastAsia="en-GB"/>
        </w:rPr>
        <w:t>&amp;</w:t>
      </w:r>
      <w:r w:rsidRPr="003813C9">
        <w:rPr>
          <w:rFonts w:eastAsia="Times New Roman"/>
          <w:color w:val="auto"/>
          <w:sz w:val="24"/>
          <w:szCs w:val="24"/>
          <w:lang w:eastAsia="en-GB"/>
        </w:rPr>
        <w:t xml:space="preserve"> </w:t>
      </w:r>
      <w:proofErr w:type="spellStart"/>
      <w:r w:rsidRPr="003813C9">
        <w:rPr>
          <w:rFonts w:eastAsia="Times New Roman"/>
          <w:color w:val="auto"/>
          <w:sz w:val="24"/>
          <w:szCs w:val="24"/>
          <w:lang w:eastAsia="en-GB"/>
        </w:rPr>
        <w:t>Muslu</w:t>
      </w:r>
      <w:proofErr w:type="spellEnd"/>
      <w:r w:rsidRPr="003813C9">
        <w:rPr>
          <w:rFonts w:eastAsia="Times New Roman"/>
          <w:color w:val="auto"/>
          <w:sz w:val="24"/>
          <w:szCs w:val="24"/>
          <w:lang w:eastAsia="en-GB"/>
        </w:rPr>
        <w:t xml:space="preserve">, 2013), agreeing on a core set of risk-related words is a non-trivial matter. </w:t>
      </w:r>
    </w:p>
    <w:p w14:paraId="7F51F740" w14:textId="77777777" w:rsidR="0046703C" w:rsidRPr="003813C9" w:rsidRDefault="0046703C" w:rsidP="0046703C">
      <w:pPr>
        <w:spacing w:after="0" w:line="480" w:lineRule="auto"/>
        <w:jc w:val="both"/>
        <w:rPr>
          <w:rFonts w:eastAsia="Times New Roman"/>
          <w:i/>
          <w:color w:val="auto"/>
          <w:sz w:val="24"/>
          <w:szCs w:val="24"/>
          <w:lang w:eastAsia="en-GB"/>
        </w:rPr>
      </w:pPr>
      <w:r w:rsidRPr="003813C9">
        <w:rPr>
          <w:rFonts w:eastAsia="Times New Roman"/>
          <w:i/>
          <w:iCs/>
          <w:color w:val="auto"/>
          <w:sz w:val="24"/>
          <w:szCs w:val="24"/>
          <w:lang w:eastAsia="en-GB"/>
        </w:rPr>
        <w:t>5.1.6. Manual versus automated content analysis: Limitations and future work</w:t>
      </w:r>
    </w:p>
    <w:p w14:paraId="068753F4" w14:textId="77777777" w:rsidR="0046703C" w:rsidRPr="003813C9" w:rsidRDefault="0046703C" w:rsidP="0046703C">
      <w:pPr>
        <w:spacing w:after="0" w:line="480" w:lineRule="auto"/>
        <w:jc w:val="both"/>
        <w:rPr>
          <w:rFonts w:eastAsia="Times New Roman"/>
          <w:color w:val="auto"/>
          <w:sz w:val="24"/>
          <w:szCs w:val="24"/>
          <w:lang w:eastAsia="en-GB"/>
        </w:rPr>
      </w:pPr>
      <w:r w:rsidRPr="003813C9">
        <w:rPr>
          <w:rFonts w:eastAsia="Times New Roman"/>
          <w:color w:val="auto"/>
          <w:sz w:val="24"/>
          <w:szCs w:val="24"/>
          <w:lang w:eastAsia="en-GB"/>
        </w:rPr>
        <w:t xml:space="preserve">First, we note that prior risk reporting research has relied on the annual report or the 10-K form. Future researchers might find it worthwhile considering different outlets, especially as the annual report is suggested to play a largely confirmatory role (e.g., </w:t>
      </w:r>
      <w:proofErr w:type="spellStart"/>
      <w:r w:rsidRPr="003813C9">
        <w:rPr>
          <w:rFonts w:eastAsia="Times New Roman"/>
          <w:color w:val="auto"/>
          <w:sz w:val="24"/>
          <w:szCs w:val="24"/>
          <w:lang w:eastAsia="en-GB"/>
        </w:rPr>
        <w:t>Gigler</w:t>
      </w:r>
      <w:proofErr w:type="spellEnd"/>
      <w:r w:rsidRPr="003813C9">
        <w:rPr>
          <w:rFonts w:eastAsia="Times New Roman"/>
          <w:color w:val="auto"/>
          <w:sz w:val="24"/>
          <w:szCs w:val="24"/>
          <w:lang w:eastAsia="en-GB"/>
        </w:rPr>
        <w:t xml:space="preserve"> &amp; Hemmer, 2001). In line with Li (2010), we urge future researchers to consider other communication events, such as conference calls. These events have the potential to provide dominant stakeholders (i.e., analysts and investors) with new information (e.g., Barker, Hendry, Roberts, &amp; Sanderson, 2012; Matsumoto, </w:t>
      </w:r>
      <w:proofErr w:type="spellStart"/>
      <w:r w:rsidRPr="003813C9">
        <w:rPr>
          <w:rFonts w:eastAsia="Times New Roman"/>
          <w:color w:val="auto"/>
          <w:sz w:val="24"/>
          <w:szCs w:val="24"/>
          <w:lang w:eastAsia="en-GB"/>
        </w:rPr>
        <w:t>Pronk</w:t>
      </w:r>
      <w:proofErr w:type="spellEnd"/>
      <w:r w:rsidRPr="003813C9">
        <w:rPr>
          <w:rFonts w:eastAsia="Times New Roman"/>
          <w:color w:val="auto"/>
          <w:sz w:val="24"/>
          <w:szCs w:val="24"/>
          <w:lang w:eastAsia="en-GB"/>
        </w:rPr>
        <w:t xml:space="preserve">, &amp; </w:t>
      </w:r>
      <w:proofErr w:type="spellStart"/>
      <w:r w:rsidRPr="003813C9">
        <w:rPr>
          <w:rFonts w:eastAsia="Times New Roman"/>
          <w:color w:val="auto"/>
          <w:sz w:val="24"/>
          <w:szCs w:val="24"/>
          <w:lang w:eastAsia="en-GB"/>
        </w:rPr>
        <w:t>Roelofsen</w:t>
      </w:r>
      <w:proofErr w:type="spellEnd"/>
      <w:r w:rsidRPr="003813C9">
        <w:rPr>
          <w:rFonts w:eastAsia="Times New Roman"/>
          <w:color w:val="auto"/>
          <w:sz w:val="24"/>
          <w:szCs w:val="24"/>
          <w:lang w:eastAsia="en-GB"/>
        </w:rPr>
        <w:t xml:space="preserve">, 2011; Roberts, Sanderson, Barker, &amp; Hendry, 2006), possibly in </w:t>
      </w:r>
      <w:r w:rsidRPr="003813C9">
        <w:rPr>
          <w:rFonts w:eastAsia="Times New Roman"/>
          <w:color w:val="auto"/>
          <w:sz w:val="24"/>
          <w:szCs w:val="24"/>
          <w:lang w:eastAsia="en-GB"/>
        </w:rPr>
        <w:lastRenderedPageBreak/>
        <w:t xml:space="preserve">non-traditional ways (e.g., through body language, reputation; see e.g., </w:t>
      </w:r>
      <w:r w:rsidR="00C60E32" w:rsidRPr="003813C9">
        <w:rPr>
          <w:rFonts w:eastAsia="Times New Roman"/>
          <w:color w:val="auto"/>
          <w:sz w:val="24"/>
          <w:szCs w:val="24"/>
          <w:lang w:eastAsia="en-GB"/>
        </w:rPr>
        <w:t xml:space="preserve">Davis, Ge, Matsumoto, &amp; Zhang, 2014; </w:t>
      </w:r>
      <w:r w:rsidRPr="003813C9">
        <w:rPr>
          <w:rFonts w:eastAsia="Times New Roman"/>
          <w:color w:val="auto"/>
          <w:sz w:val="24"/>
          <w:szCs w:val="24"/>
          <w:lang w:eastAsia="en-GB"/>
        </w:rPr>
        <w:t>Matsumoto et al., 20</w:t>
      </w:r>
      <w:r w:rsidR="00C60E32" w:rsidRPr="003813C9">
        <w:rPr>
          <w:rFonts w:eastAsia="Times New Roman"/>
          <w:color w:val="auto"/>
          <w:sz w:val="24"/>
          <w:szCs w:val="24"/>
          <w:lang w:eastAsia="en-GB"/>
        </w:rPr>
        <w:t xml:space="preserve">11; </w:t>
      </w:r>
      <w:proofErr w:type="spellStart"/>
      <w:r w:rsidR="00C60E32" w:rsidRPr="003813C9">
        <w:rPr>
          <w:rFonts w:eastAsia="Times New Roman"/>
          <w:color w:val="auto"/>
          <w:sz w:val="24"/>
          <w:szCs w:val="24"/>
          <w:lang w:eastAsia="en-GB"/>
        </w:rPr>
        <w:t>Mayew</w:t>
      </w:r>
      <w:proofErr w:type="spellEnd"/>
      <w:r w:rsidR="00C60E32" w:rsidRPr="003813C9">
        <w:rPr>
          <w:rFonts w:eastAsia="Times New Roman"/>
          <w:color w:val="auto"/>
          <w:sz w:val="24"/>
          <w:szCs w:val="24"/>
          <w:lang w:eastAsia="en-GB"/>
        </w:rPr>
        <w:t xml:space="preserve"> &amp; Venkatachalam, 2012</w:t>
      </w:r>
      <w:r w:rsidRPr="003813C9">
        <w:rPr>
          <w:rFonts w:eastAsia="Times New Roman"/>
          <w:color w:val="auto"/>
          <w:sz w:val="24"/>
          <w:szCs w:val="24"/>
          <w:lang w:eastAsia="en-GB"/>
        </w:rPr>
        <w:t>).</w:t>
      </w:r>
    </w:p>
    <w:p w14:paraId="10AC7B4E" w14:textId="77777777" w:rsidR="0046703C" w:rsidRPr="003813C9" w:rsidRDefault="0046703C" w:rsidP="0046703C">
      <w:pPr>
        <w:spacing w:after="0" w:line="480" w:lineRule="auto"/>
        <w:ind w:firstLine="567"/>
        <w:jc w:val="both"/>
        <w:rPr>
          <w:rFonts w:eastAsia="Times New Roman"/>
          <w:bCs/>
          <w:iCs/>
          <w:color w:val="auto"/>
          <w:sz w:val="24"/>
          <w:szCs w:val="24"/>
          <w:lang w:eastAsia="en-GB"/>
        </w:rPr>
      </w:pPr>
      <w:r w:rsidRPr="003813C9">
        <w:rPr>
          <w:rFonts w:eastAsia="Times New Roman"/>
          <w:color w:val="auto"/>
          <w:sz w:val="24"/>
          <w:szCs w:val="24"/>
          <w:lang w:eastAsia="en-GB"/>
        </w:rPr>
        <w:t xml:space="preserve">To investigate scholars’ adoption of automated content analysis of risk reporting in annual reports, </w:t>
      </w:r>
      <w:proofErr w:type="spellStart"/>
      <w:r w:rsidRPr="003813C9">
        <w:rPr>
          <w:rFonts w:eastAsia="Times New Roman"/>
          <w:color w:val="auto"/>
          <w:sz w:val="24"/>
          <w:szCs w:val="24"/>
          <w:lang w:eastAsia="en-GB"/>
        </w:rPr>
        <w:t>Bao</w:t>
      </w:r>
      <w:proofErr w:type="spellEnd"/>
      <w:r w:rsidRPr="003813C9">
        <w:rPr>
          <w:rFonts w:eastAsia="Times New Roman"/>
          <w:color w:val="auto"/>
          <w:sz w:val="24"/>
          <w:szCs w:val="24"/>
          <w:lang w:eastAsia="en-GB"/>
        </w:rPr>
        <w:t xml:space="preserve"> and </w:t>
      </w:r>
      <w:proofErr w:type="spellStart"/>
      <w:r w:rsidRPr="003813C9">
        <w:rPr>
          <w:rFonts w:eastAsia="Times New Roman"/>
          <w:color w:val="auto"/>
          <w:sz w:val="24"/>
          <w:szCs w:val="24"/>
          <w:lang w:eastAsia="en-GB"/>
        </w:rPr>
        <w:t>Datta</w:t>
      </w:r>
      <w:proofErr w:type="spellEnd"/>
      <w:r w:rsidRPr="003813C9">
        <w:rPr>
          <w:rFonts w:eastAsia="Times New Roman"/>
          <w:color w:val="auto"/>
          <w:sz w:val="24"/>
          <w:szCs w:val="24"/>
          <w:lang w:eastAsia="en-GB"/>
        </w:rPr>
        <w:t xml:space="preserve"> (2014) differentiate between three main approaches: (i) the dictionary method, (ii) supervised learning, and (iii) unsupervised learning. The dictionary method relies on the usage of a specific key word, and frequency counts, drawing general conclusions based on the quantification of the disc</w:t>
      </w:r>
      <w:r w:rsidR="00A55E75" w:rsidRPr="003813C9">
        <w:rPr>
          <w:rFonts w:eastAsia="Times New Roman"/>
          <w:color w:val="auto"/>
          <w:sz w:val="24"/>
          <w:szCs w:val="24"/>
          <w:lang w:eastAsia="en-GB"/>
        </w:rPr>
        <w:t>losures measured against</w:t>
      </w:r>
      <w:r w:rsidRPr="003813C9">
        <w:rPr>
          <w:rFonts w:eastAsia="Times New Roman"/>
          <w:color w:val="auto"/>
          <w:sz w:val="24"/>
          <w:szCs w:val="24"/>
          <w:lang w:eastAsia="en-GB"/>
        </w:rPr>
        <w:t xml:space="preserve"> market indicators, or by dividing those frequencies into certain groups or types (Elshandidy et al., 2013, 2015; Elshandidy &amp; Neri, 2015; </w:t>
      </w:r>
      <w:proofErr w:type="spellStart"/>
      <w:r w:rsidRPr="003813C9">
        <w:rPr>
          <w:rFonts w:eastAsia="Times New Roman"/>
          <w:color w:val="auto"/>
          <w:sz w:val="24"/>
          <w:szCs w:val="24"/>
          <w:lang w:eastAsia="en-GB"/>
        </w:rPr>
        <w:t>Kravet</w:t>
      </w:r>
      <w:proofErr w:type="spellEnd"/>
      <w:r w:rsidRPr="003813C9">
        <w:rPr>
          <w:rFonts w:eastAsia="Times New Roman"/>
          <w:color w:val="auto"/>
          <w:sz w:val="24"/>
          <w:szCs w:val="24"/>
          <w:lang w:eastAsia="en-GB"/>
        </w:rPr>
        <w:t xml:space="preserve"> &amp; </w:t>
      </w:r>
      <w:proofErr w:type="spellStart"/>
      <w:r w:rsidRPr="003813C9">
        <w:rPr>
          <w:rFonts w:eastAsia="Times New Roman"/>
          <w:color w:val="auto"/>
          <w:sz w:val="24"/>
          <w:szCs w:val="24"/>
          <w:lang w:eastAsia="en-GB"/>
        </w:rPr>
        <w:t>Muslu</w:t>
      </w:r>
      <w:proofErr w:type="spellEnd"/>
      <w:r w:rsidRPr="003813C9">
        <w:rPr>
          <w:rFonts w:eastAsia="Times New Roman"/>
          <w:color w:val="auto"/>
          <w:sz w:val="24"/>
          <w:szCs w:val="24"/>
          <w:lang w:eastAsia="en-GB"/>
        </w:rPr>
        <w:t xml:space="preserve">, 2013; Campbell et al., 2014). The problem identified by </w:t>
      </w:r>
      <w:proofErr w:type="spellStart"/>
      <w:r w:rsidRPr="003813C9">
        <w:rPr>
          <w:rFonts w:eastAsia="Times New Roman"/>
          <w:color w:val="auto"/>
          <w:sz w:val="24"/>
          <w:szCs w:val="24"/>
          <w:lang w:eastAsia="en-GB"/>
        </w:rPr>
        <w:t>Bao</w:t>
      </w:r>
      <w:proofErr w:type="spellEnd"/>
      <w:r w:rsidRPr="003813C9">
        <w:rPr>
          <w:rFonts w:eastAsia="Times New Roman"/>
          <w:color w:val="auto"/>
          <w:sz w:val="24"/>
          <w:szCs w:val="24"/>
          <w:lang w:eastAsia="en-GB"/>
        </w:rPr>
        <w:t xml:space="preserve"> and </w:t>
      </w:r>
      <w:proofErr w:type="spellStart"/>
      <w:r w:rsidRPr="003813C9">
        <w:rPr>
          <w:rFonts w:eastAsia="Times New Roman"/>
          <w:color w:val="auto"/>
          <w:sz w:val="24"/>
          <w:szCs w:val="24"/>
          <w:lang w:eastAsia="en-GB"/>
        </w:rPr>
        <w:t>Datta</w:t>
      </w:r>
      <w:proofErr w:type="spellEnd"/>
      <w:r w:rsidRPr="003813C9">
        <w:rPr>
          <w:rFonts w:eastAsia="Times New Roman"/>
          <w:color w:val="auto"/>
          <w:sz w:val="24"/>
          <w:szCs w:val="24"/>
          <w:lang w:eastAsia="en-GB"/>
        </w:rPr>
        <w:t xml:space="preserve"> (2014) is that this method uses dictionaries to classify the documents into specific groups, which might lead to inefficiencies if the dictionaries are being applied outside of the domains for which they were originally developed (see also Li, 2010; </w:t>
      </w:r>
      <w:proofErr w:type="spellStart"/>
      <w:r w:rsidRPr="003813C9">
        <w:rPr>
          <w:rFonts w:eastAsia="Times New Roman"/>
          <w:color w:val="auto"/>
          <w:sz w:val="24"/>
          <w:szCs w:val="24"/>
          <w:lang w:eastAsia="en-GB"/>
        </w:rPr>
        <w:t>Loughran</w:t>
      </w:r>
      <w:proofErr w:type="spellEnd"/>
      <w:r w:rsidRPr="003813C9">
        <w:rPr>
          <w:rFonts w:eastAsia="Times New Roman"/>
          <w:color w:val="auto"/>
          <w:sz w:val="24"/>
          <w:szCs w:val="24"/>
          <w:lang w:eastAsia="en-GB"/>
        </w:rPr>
        <w:t xml:space="preserve"> &amp; McDonald, 2016). </w:t>
      </w:r>
    </w:p>
    <w:p w14:paraId="440313A3" w14:textId="77777777" w:rsidR="0046703C" w:rsidRPr="003813C9" w:rsidRDefault="0046703C" w:rsidP="0046703C">
      <w:pPr>
        <w:spacing w:after="0" w:line="480" w:lineRule="auto"/>
        <w:ind w:firstLine="567"/>
        <w:jc w:val="both"/>
        <w:rPr>
          <w:rFonts w:eastAsia="Times New Roman"/>
          <w:color w:val="auto"/>
          <w:sz w:val="24"/>
          <w:szCs w:val="24"/>
          <w:lang w:eastAsia="en-GB"/>
        </w:rPr>
      </w:pPr>
      <w:r w:rsidRPr="003813C9">
        <w:rPr>
          <w:rFonts w:eastAsia="Times New Roman"/>
          <w:color w:val="auto"/>
          <w:sz w:val="24"/>
          <w:szCs w:val="24"/>
          <w:lang w:eastAsia="en-GB"/>
        </w:rPr>
        <w:t xml:space="preserve">To avoid this issue, researchers can use the second approach mentioned above, supervised learning. This method relies on two steps: initially, human coders categorize a set of documents by hand; then, they train a supervised model that learns automatically how to assign categories to documents using coded data. An advantage of this approach is that its results are easily validated using designated performance statistics. </w:t>
      </w:r>
    </w:p>
    <w:p w14:paraId="451525D0" w14:textId="77777777" w:rsidR="0046703C" w:rsidRPr="003813C9" w:rsidRDefault="0046703C" w:rsidP="0046703C">
      <w:pPr>
        <w:spacing w:after="0" w:line="480" w:lineRule="auto"/>
        <w:ind w:firstLine="567"/>
        <w:jc w:val="both"/>
        <w:rPr>
          <w:rFonts w:eastAsia="Times New Roman"/>
          <w:color w:val="auto"/>
          <w:sz w:val="24"/>
          <w:szCs w:val="24"/>
          <w:lang w:eastAsia="en-GB"/>
        </w:rPr>
      </w:pPr>
      <w:r w:rsidRPr="003813C9">
        <w:rPr>
          <w:rFonts w:eastAsia="Times New Roman"/>
          <w:color w:val="auto"/>
          <w:sz w:val="24"/>
          <w:szCs w:val="24"/>
          <w:lang w:eastAsia="en-GB"/>
        </w:rPr>
        <w:t xml:space="preserve">The dictionary approach benefits from its inherent simplicity, the supervised learning approach from its flexibility and ease of validation. However, both rely on a predefined categorization system. The third type, unsupervised learning (sometimes known as unsupervised clustering), refers to a class of methods that learn the underlying features of a text without explicitly imposing categories of interest. This approach uses </w:t>
      </w:r>
      <w:proofErr w:type="spellStart"/>
      <w:r w:rsidR="009F5801" w:rsidRPr="003813C9">
        <w:rPr>
          <w:rFonts w:eastAsia="Times New Roman"/>
          <w:color w:val="auto"/>
          <w:sz w:val="24"/>
          <w:szCs w:val="24"/>
          <w:lang w:eastAsia="en-GB"/>
        </w:rPr>
        <w:t>m</w:t>
      </w:r>
      <w:r w:rsidR="00C1579E" w:rsidRPr="003813C9">
        <w:rPr>
          <w:rFonts w:eastAsia="Times New Roman"/>
          <w:color w:val="auto"/>
          <w:sz w:val="24"/>
          <w:szCs w:val="24"/>
          <w:lang w:eastAsia="en-GB"/>
        </w:rPr>
        <w:t>ode</w:t>
      </w:r>
      <w:r w:rsidR="009F5801" w:rsidRPr="003813C9">
        <w:rPr>
          <w:rFonts w:eastAsia="Times New Roman"/>
          <w:color w:val="auto"/>
          <w:sz w:val="24"/>
          <w:szCs w:val="24"/>
          <w:lang w:eastAsia="en-GB"/>
        </w:rPr>
        <w:t>ling</w:t>
      </w:r>
      <w:proofErr w:type="spellEnd"/>
      <w:r w:rsidRPr="003813C9">
        <w:rPr>
          <w:rFonts w:eastAsia="Times New Roman"/>
          <w:color w:val="auto"/>
          <w:sz w:val="24"/>
          <w:szCs w:val="24"/>
          <w:lang w:eastAsia="en-GB"/>
        </w:rPr>
        <w:t xml:space="preserve"> assumptions and properties of the texts to estimate a set of categories and simultaneously assign documents (or other units of analysis such as sentences) to those categories. Examples of studies that apply this approach are </w:t>
      </w:r>
      <w:proofErr w:type="spellStart"/>
      <w:r w:rsidRPr="003813C9">
        <w:rPr>
          <w:rFonts w:eastAsia="Times New Roman"/>
          <w:color w:val="auto"/>
          <w:sz w:val="24"/>
          <w:szCs w:val="24"/>
          <w:lang w:eastAsia="en-GB"/>
        </w:rPr>
        <w:t>Bao</w:t>
      </w:r>
      <w:proofErr w:type="spellEnd"/>
      <w:r w:rsidRPr="003813C9">
        <w:rPr>
          <w:rFonts w:eastAsia="Times New Roman"/>
          <w:color w:val="auto"/>
          <w:sz w:val="24"/>
          <w:szCs w:val="24"/>
          <w:lang w:eastAsia="en-GB"/>
        </w:rPr>
        <w:t xml:space="preserve"> and </w:t>
      </w:r>
      <w:proofErr w:type="spellStart"/>
      <w:r w:rsidRPr="003813C9">
        <w:rPr>
          <w:rFonts w:eastAsia="Times New Roman"/>
          <w:color w:val="auto"/>
          <w:sz w:val="24"/>
          <w:szCs w:val="24"/>
          <w:lang w:eastAsia="en-GB"/>
        </w:rPr>
        <w:t>Datta</w:t>
      </w:r>
      <w:proofErr w:type="spellEnd"/>
      <w:r w:rsidRPr="003813C9">
        <w:rPr>
          <w:rFonts w:eastAsia="Times New Roman"/>
          <w:color w:val="auto"/>
          <w:sz w:val="24"/>
          <w:szCs w:val="24"/>
          <w:lang w:eastAsia="en-GB"/>
        </w:rPr>
        <w:t xml:space="preserve"> (2014) and Dyer, Lang, and </w:t>
      </w:r>
      <w:proofErr w:type="spellStart"/>
      <w:r w:rsidRPr="003813C9">
        <w:rPr>
          <w:rFonts w:eastAsia="Times New Roman"/>
          <w:color w:val="auto"/>
          <w:sz w:val="24"/>
          <w:szCs w:val="24"/>
          <w:lang w:eastAsia="en-GB"/>
        </w:rPr>
        <w:t>Stice</w:t>
      </w:r>
      <w:proofErr w:type="spellEnd"/>
      <w:r w:rsidRPr="003813C9">
        <w:rPr>
          <w:rFonts w:eastAsia="Times New Roman"/>
          <w:color w:val="auto"/>
          <w:sz w:val="24"/>
          <w:szCs w:val="24"/>
          <w:lang w:eastAsia="en-GB"/>
        </w:rPr>
        <w:t>-Lawrence (2016).</w:t>
      </w:r>
    </w:p>
    <w:p w14:paraId="57586EFC" w14:textId="742E99E1" w:rsidR="0046703C" w:rsidRPr="003813C9" w:rsidRDefault="0046703C" w:rsidP="0046703C">
      <w:pPr>
        <w:spacing w:after="0" w:line="480" w:lineRule="auto"/>
        <w:ind w:firstLine="567"/>
        <w:jc w:val="both"/>
        <w:rPr>
          <w:rFonts w:eastAsia="Times New Roman"/>
          <w:color w:val="auto"/>
          <w:sz w:val="24"/>
          <w:szCs w:val="24"/>
          <w:lang w:eastAsia="en-GB"/>
        </w:rPr>
      </w:pPr>
      <w:r w:rsidRPr="003813C9">
        <w:rPr>
          <w:rFonts w:eastAsia="Times New Roman"/>
          <w:color w:val="auto"/>
          <w:sz w:val="24"/>
          <w:szCs w:val="24"/>
          <w:lang w:eastAsia="en-GB"/>
        </w:rPr>
        <w:lastRenderedPageBreak/>
        <w:t xml:space="preserve">We suggest that all three automated approaches possess benefits and drawbacks, and whilst technology will inevitably define how the field develops, it seems that both the US and EU/AUS literatures would benefit from giving them due consideration. Equally, the US literature might benefit from closer study of individual firms’ risk reporting. Ryan (2012a) concludes that the reliance on large-sample, cross-sectional data, and the application of regression analysis, might be the underlying reason for the failure to identify risk relevance. He argues that this </w:t>
      </w:r>
      <w:r w:rsidR="00BF370F" w:rsidRPr="003813C9">
        <w:rPr>
          <w:rFonts w:eastAsia="Times New Roman"/>
          <w:color w:val="auto"/>
          <w:sz w:val="24"/>
          <w:szCs w:val="24"/>
          <w:lang w:eastAsia="en-GB"/>
        </w:rPr>
        <w:t>obscures</w:t>
      </w:r>
      <w:r w:rsidRPr="003813C9">
        <w:rPr>
          <w:rFonts w:eastAsia="Times New Roman"/>
          <w:color w:val="auto"/>
          <w:sz w:val="24"/>
          <w:szCs w:val="24"/>
          <w:lang w:eastAsia="en-GB"/>
        </w:rPr>
        <w:t xml:space="preserve"> the potential importance of individual firms’ risk disclosure. Therefore, we suggest that there is a gap in the litera</w:t>
      </w:r>
      <w:r w:rsidR="00B5787B" w:rsidRPr="003813C9">
        <w:rPr>
          <w:rFonts w:eastAsia="Times New Roman"/>
          <w:color w:val="auto"/>
          <w:sz w:val="24"/>
          <w:szCs w:val="24"/>
          <w:lang w:eastAsia="en-GB"/>
        </w:rPr>
        <w:t>ture, which might be filled by</w:t>
      </w:r>
      <w:r w:rsidRPr="003813C9">
        <w:rPr>
          <w:rFonts w:eastAsia="Times New Roman"/>
          <w:color w:val="auto"/>
          <w:sz w:val="24"/>
          <w:szCs w:val="24"/>
          <w:lang w:eastAsia="en-GB"/>
        </w:rPr>
        <w:t xml:space="preserve"> hig</w:t>
      </w:r>
      <w:r w:rsidR="00B5787B" w:rsidRPr="003813C9">
        <w:rPr>
          <w:rFonts w:eastAsia="Times New Roman"/>
          <w:color w:val="auto"/>
          <w:sz w:val="24"/>
          <w:szCs w:val="24"/>
          <w:lang w:eastAsia="en-GB"/>
        </w:rPr>
        <w:t>h-quality comparative case studies</w:t>
      </w:r>
      <w:r w:rsidRPr="003813C9">
        <w:rPr>
          <w:rFonts w:eastAsia="Times New Roman"/>
          <w:color w:val="auto"/>
          <w:sz w:val="24"/>
          <w:szCs w:val="24"/>
          <w:lang w:eastAsia="en-GB"/>
        </w:rPr>
        <w:t xml:space="preserve">. </w:t>
      </w:r>
    </w:p>
    <w:p w14:paraId="76A68BE4" w14:textId="77777777" w:rsidR="0046703C" w:rsidRPr="003813C9" w:rsidRDefault="0046703C" w:rsidP="0046703C">
      <w:pPr>
        <w:spacing w:after="0" w:line="480" w:lineRule="auto"/>
        <w:jc w:val="both"/>
        <w:rPr>
          <w:rFonts w:eastAsia="Times New Roman"/>
          <w:i/>
          <w:color w:val="auto"/>
          <w:sz w:val="24"/>
          <w:szCs w:val="24"/>
          <w:lang w:eastAsia="en-GB"/>
        </w:rPr>
      </w:pPr>
      <w:r w:rsidRPr="003813C9">
        <w:rPr>
          <w:rFonts w:eastAsia="Times New Roman"/>
          <w:i/>
          <w:iCs/>
          <w:color w:val="auto"/>
          <w:sz w:val="24"/>
          <w:szCs w:val="24"/>
          <w:lang w:eastAsia="en-GB"/>
        </w:rPr>
        <w:t>5.1.7. Within-country or cross-country variations in risk disclosure: Divergence</w:t>
      </w:r>
    </w:p>
    <w:p w14:paraId="6ED3C225" w14:textId="4F7E0D40" w:rsidR="00161C16" w:rsidRPr="003813C9" w:rsidRDefault="0046703C" w:rsidP="0046703C">
      <w:pPr>
        <w:spacing w:after="0" w:line="480" w:lineRule="auto"/>
        <w:jc w:val="both"/>
        <w:rPr>
          <w:rFonts w:eastAsia="Times New Roman"/>
          <w:strike/>
          <w:color w:val="auto"/>
          <w:sz w:val="24"/>
          <w:szCs w:val="24"/>
          <w:lang w:eastAsia="en-GB"/>
        </w:rPr>
      </w:pPr>
      <w:r w:rsidRPr="003813C9">
        <w:rPr>
          <w:rFonts w:eastAsia="Times New Roman"/>
          <w:color w:val="auto"/>
          <w:sz w:val="24"/>
          <w:szCs w:val="24"/>
          <w:lang w:eastAsia="en-GB"/>
        </w:rPr>
        <w:t>Most of the papers review</w:t>
      </w:r>
      <w:r w:rsidR="00B5787B" w:rsidRPr="003813C9">
        <w:rPr>
          <w:rFonts w:eastAsia="Times New Roman"/>
          <w:color w:val="auto"/>
          <w:sz w:val="24"/>
          <w:szCs w:val="24"/>
          <w:lang w:eastAsia="en-GB"/>
        </w:rPr>
        <w:t>ed consider just one</w:t>
      </w:r>
      <w:r w:rsidR="001C1DA4" w:rsidRPr="003813C9">
        <w:rPr>
          <w:rFonts w:eastAsia="Times New Roman"/>
          <w:color w:val="auto"/>
          <w:sz w:val="24"/>
          <w:szCs w:val="24"/>
          <w:lang w:eastAsia="en-GB"/>
        </w:rPr>
        <w:t xml:space="preserve"> </w:t>
      </w:r>
      <w:r w:rsidR="00BF370F" w:rsidRPr="003813C9">
        <w:rPr>
          <w:rFonts w:eastAsia="Times New Roman"/>
          <w:color w:val="auto"/>
          <w:sz w:val="24"/>
          <w:szCs w:val="24"/>
          <w:lang w:eastAsia="en-GB"/>
        </w:rPr>
        <w:t xml:space="preserve">jurisdiction </w:t>
      </w:r>
      <w:r w:rsidR="001C1DA4" w:rsidRPr="003813C9">
        <w:rPr>
          <w:rFonts w:eastAsia="Times New Roman"/>
          <w:color w:val="auto"/>
          <w:sz w:val="24"/>
          <w:szCs w:val="24"/>
          <w:lang w:eastAsia="en-GB"/>
        </w:rPr>
        <w:t>(26 out of 32 papers)</w:t>
      </w:r>
      <w:r w:rsidR="00B5787B" w:rsidRPr="003813C9">
        <w:rPr>
          <w:rFonts w:eastAsia="Times New Roman"/>
          <w:color w:val="auto"/>
          <w:sz w:val="24"/>
          <w:szCs w:val="24"/>
          <w:lang w:eastAsia="en-GB"/>
        </w:rPr>
        <w:t>, or on a few</w:t>
      </w:r>
      <w:r w:rsidRPr="003813C9">
        <w:rPr>
          <w:rFonts w:eastAsia="Times New Roman"/>
          <w:color w:val="auto"/>
          <w:sz w:val="24"/>
          <w:szCs w:val="24"/>
          <w:lang w:eastAsia="en-GB"/>
        </w:rPr>
        <w:t xml:space="preserve"> occasions two or three (e.g., Elshandidy et al., 2015; Elshandidy &amp; Neri, </w:t>
      </w:r>
      <w:r w:rsidR="00BF370F" w:rsidRPr="003813C9">
        <w:rPr>
          <w:rFonts w:eastAsia="Times New Roman"/>
          <w:color w:val="auto"/>
          <w:sz w:val="24"/>
          <w:szCs w:val="24"/>
          <w:lang w:eastAsia="en-GB"/>
        </w:rPr>
        <w:t xml:space="preserve">2015; </w:t>
      </w:r>
      <w:proofErr w:type="gramStart"/>
      <w:r w:rsidR="00BF370F" w:rsidRPr="003813C9">
        <w:rPr>
          <w:rFonts w:eastAsia="Times New Roman"/>
          <w:color w:val="auto"/>
          <w:sz w:val="24"/>
          <w:szCs w:val="24"/>
          <w:lang w:eastAsia="en-GB"/>
        </w:rPr>
        <w:t>Marshall &amp;</w:t>
      </w:r>
      <w:proofErr w:type="gramEnd"/>
      <w:r w:rsidR="00BF370F" w:rsidRPr="003813C9">
        <w:rPr>
          <w:rFonts w:eastAsia="Times New Roman"/>
          <w:color w:val="auto"/>
          <w:sz w:val="24"/>
          <w:szCs w:val="24"/>
          <w:lang w:eastAsia="en-GB"/>
        </w:rPr>
        <w:t xml:space="preserve"> </w:t>
      </w:r>
      <w:proofErr w:type="spellStart"/>
      <w:r w:rsidR="00BF370F" w:rsidRPr="003813C9">
        <w:rPr>
          <w:rFonts w:eastAsia="Times New Roman"/>
          <w:color w:val="auto"/>
          <w:sz w:val="24"/>
          <w:szCs w:val="24"/>
          <w:lang w:eastAsia="en-GB"/>
        </w:rPr>
        <w:t>Weetman</w:t>
      </w:r>
      <w:proofErr w:type="spellEnd"/>
      <w:r w:rsidR="00BF370F" w:rsidRPr="003813C9">
        <w:rPr>
          <w:rFonts w:eastAsia="Times New Roman"/>
          <w:color w:val="auto"/>
          <w:sz w:val="24"/>
          <w:szCs w:val="24"/>
          <w:lang w:eastAsia="en-GB"/>
        </w:rPr>
        <w:t>, 2007)</w:t>
      </w:r>
      <w:r w:rsidRPr="003813C9">
        <w:rPr>
          <w:rFonts w:eastAsia="Times New Roman"/>
          <w:color w:val="auto"/>
          <w:sz w:val="24"/>
          <w:szCs w:val="24"/>
          <w:lang w:eastAsia="en-GB"/>
        </w:rPr>
        <w:t>. Nonetheless, some recent papers look at risk practices with a multi-country design (more than three countries), either in financial firms (Abdallah, Hassan, &amp; McClelland, 2015; Al-</w:t>
      </w:r>
      <w:proofErr w:type="spellStart"/>
      <w:r w:rsidRPr="003813C9">
        <w:rPr>
          <w:rFonts w:eastAsia="Times New Roman"/>
          <w:color w:val="auto"/>
          <w:sz w:val="24"/>
          <w:szCs w:val="24"/>
          <w:lang w:eastAsia="en-GB"/>
        </w:rPr>
        <w:t>Hadi</w:t>
      </w:r>
      <w:proofErr w:type="spellEnd"/>
      <w:r w:rsidRPr="003813C9">
        <w:rPr>
          <w:rFonts w:eastAsia="Times New Roman"/>
          <w:color w:val="auto"/>
          <w:sz w:val="24"/>
          <w:szCs w:val="24"/>
          <w:lang w:eastAsia="en-GB"/>
        </w:rPr>
        <w:t xml:space="preserve"> et al., 2016; </w:t>
      </w:r>
      <w:proofErr w:type="spellStart"/>
      <w:r w:rsidRPr="003813C9">
        <w:rPr>
          <w:rFonts w:eastAsia="Times New Roman"/>
          <w:color w:val="auto"/>
          <w:sz w:val="24"/>
          <w:szCs w:val="24"/>
          <w:lang w:eastAsia="en-GB"/>
        </w:rPr>
        <w:t>Barakat</w:t>
      </w:r>
      <w:proofErr w:type="spellEnd"/>
      <w:r w:rsidRPr="003813C9">
        <w:rPr>
          <w:rFonts w:eastAsia="Times New Roman"/>
          <w:color w:val="auto"/>
          <w:sz w:val="24"/>
          <w:szCs w:val="24"/>
          <w:lang w:eastAsia="en-GB"/>
        </w:rPr>
        <w:t xml:space="preserve"> &amp; Hussainey, 2013), insurance firms (</w:t>
      </w:r>
      <w:proofErr w:type="spellStart"/>
      <w:r w:rsidRPr="003813C9">
        <w:rPr>
          <w:rFonts w:eastAsia="Times New Roman"/>
          <w:color w:val="auto"/>
          <w:sz w:val="24"/>
          <w:szCs w:val="24"/>
          <w:lang w:eastAsia="en-GB"/>
        </w:rPr>
        <w:t>Malafronte</w:t>
      </w:r>
      <w:proofErr w:type="spellEnd"/>
      <w:r w:rsidRPr="003813C9">
        <w:rPr>
          <w:rFonts w:eastAsia="Times New Roman"/>
          <w:color w:val="auto"/>
          <w:sz w:val="24"/>
          <w:szCs w:val="24"/>
          <w:lang w:eastAsia="en-GB"/>
        </w:rPr>
        <w:t xml:space="preserve"> et al., 2016), or non-financial firms (</w:t>
      </w:r>
      <w:proofErr w:type="spellStart"/>
      <w:r w:rsidRPr="003813C9">
        <w:rPr>
          <w:rFonts w:eastAsia="Times New Roman"/>
          <w:color w:val="auto"/>
          <w:sz w:val="24"/>
          <w:szCs w:val="24"/>
          <w:lang w:eastAsia="en-GB"/>
        </w:rPr>
        <w:t>Dobler</w:t>
      </w:r>
      <w:proofErr w:type="spellEnd"/>
      <w:r w:rsidRPr="003813C9">
        <w:rPr>
          <w:rFonts w:eastAsia="Times New Roman"/>
          <w:color w:val="auto"/>
          <w:sz w:val="24"/>
          <w:szCs w:val="24"/>
          <w:lang w:eastAsia="en-GB"/>
        </w:rPr>
        <w:t xml:space="preserve">, </w:t>
      </w:r>
      <w:proofErr w:type="spellStart"/>
      <w:r w:rsidRPr="003813C9">
        <w:rPr>
          <w:rFonts w:eastAsia="Times New Roman"/>
          <w:color w:val="auto"/>
          <w:sz w:val="24"/>
          <w:szCs w:val="24"/>
          <w:lang w:eastAsia="en-GB"/>
        </w:rPr>
        <w:t>Lajili</w:t>
      </w:r>
      <w:proofErr w:type="spellEnd"/>
      <w:r w:rsidRPr="003813C9">
        <w:rPr>
          <w:rFonts w:eastAsia="Times New Roman"/>
          <w:color w:val="auto"/>
          <w:sz w:val="24"/>
          <w:szCs w:val="24"/>
          <w:lang w:eastAsia="en-GB"/>
        </w:rPr>
        <w:t xml:space="preserve">, &amp; </w:t>
      </w:r>
      <w:proofErr w:type="spellStart"/>
      <w:r w:rsidRPr="003813C9">
        <w:rPr>
          <w:rFonts w:eastAsia="Calibri" w:cs="Arial"/>
          <w:color w:val="auto"/>
          <w:sz w:val="24"/>
          <w:szCs w:val="24"/>
          <w:shd w:val="clear" w:color="auto" w:fill="FFFFFF"/>
        </w:rPr>
        <w:t>Zéghal</w:t>
      </w:r>
      <w:proofErr w:type="spellEnd"/>
      <w:r w:rsidRPr="003813C9">
        <w:rPr>
          <w:rFonts w:eastAsia="Times New Roman"/>
          <w:color w:val="auto"/>
          <w:sz w:val="24"/>
          <w:szCs w:val="24"/>
          <w:lang w:eastAsia="en-GB"/>
        </w:rPr>
        <w:t xml:space="preserve">, 2011; </w:t>
      </w:r>
      <w:proofErr w:type="spellStart"/>
      <w:r w:rsidRPr="003813C9">
        <w:rPr>
          <w:rFonts w:eastAsia="Times New Roman"/>
          <w:color w:val="auto"/>
          <w:sz w:val="24"/>
          <w:szCs w:val="24"/>
          <w:lang w:eastAsia="en-GB"/>
        </w:rPr>
        <w:t>Moumen</w:t>
      </w:r>
      <w:proofErr w:type="spellEnd"/>
      <w:r w:rsidRPr="003813C9">
        <w:rPr>
          <w:rFonts w:eastAsia="Times New Roman"/>
          <w:color w:val="auto"/>
          <w:sz w:val="24"/>
          <w:szCs w:val="24"/>
          <w:lang w:eastAsia="en-GB"/>
        </w:rPr>
        <w:t>, Ben Othman, &amp; Hussainey, 2015).</w:t>
      </w:r>
      <w:r w:rsidR="003647FD" w:rsidRPr="003813C9">
        <w:rPr>
          <w:rFonts w:eastAsia="Times New Roman"/>
          <w:color w:val="auto"/>
          <w:sz w:val="24"/>
          <w:szCs w:val="24"/>
          <w:vertAlign w:val="superscript"/>
          <w:lang w:eastAsia="en-GB"/>
        </w:rPr>
        <w:footnoteReference w:id="18"/>
      </w:r>
      <w:r w:rsidR="003647FD" w:rsidRPr="003813C9">
        <w:rPr>
          <w:rFonts w:eastAsia="Times New Roman"/>
          <w:color w:val="auto"/>
          <w:sz w:val="24"/>
          <w:szCs w:val="24"/>
          <w:vertAlign w:val="superscript"/>
          <w:lang w:eastAsia="en-GB"/>
        </w:rPr>
        <w:t xml:space="preserve"> </w:t>
      </w:r>
      <w:r w:rsidRPr="003813C9">
        <w:rPr>
          <w:rFonts w:eastAsia="Times New Roman"/>
          <w:color w:val="auto"/>
          <w:sz w:val="24"/>
          <w:szCs w:val="24"/>
          <w:lang w:eastAsia="en-GB"/>
        </w:rPr>
        <w:t xml:space="preserve"> </w:t>
      </w:r>
      <w:r w:rsidR="009205E5" w:rsidRPr="003813C9">
        <w:rPr>
          <w:rFonts w:eastAsia="Times New Roman"/>
          <w:color w:val="auto"/>
          <w:sz w:val="24"/>
          <w:szCs w:val="24"/>
          <w:lang w:eastAsia="en-GB"/>
        </w:rPr>
        <w:t xml:space="preserve">One common practice among all the above-mentioned papers is that they control for country impact by including the country-fixed effects in their econometric models. </w:t>
      </w:r>
      <w:r w:rsidRPr="003813C9">
        <w:rPr>
          <w:rFonts w:eastAsia="Times New Roman"/>
          <w:color w:val="auto"/>
          <w:sz w:val="24"/>
          <w:szCs w:val="24"/>
          <w:lang w:eastAsia="en-GB"/>
        </w:rPr>
        <w:t xml:space="preserve">Little attention has been paid to combining institutional factors </w:t>
      </w:r>
      <w:r w:rsidR="00C60E32" w:rsidRPr="003813C9">
        <w:rPr>
          <w:rFonts w:eastAsia="Times New Roman"/>
          <w:color w:val="auto"/>
          <w:sz w:val="24"/>
          <w:szCs w:val="24"/>
          <w:lang w:eastAsia="en-GB"/>
        </w:rPr>
        <w:t xml:space="preserve">(e.g., legal system, </w:t>
      </w:r>
      <w:r w:rsidR="004954CB" w:rsidRPr="003813C9">
        <w:rPr>
          <w:rFonts w:eastAsia="Times New Roman"/>
          <w:color w:val="auto"/>
          <w:sz w:val="24"/>
          <w:szCs w:val="24"/>
          <w:lang w:eastAsia="en-GB"/>
        </w:rPr>
        <w:t xml:space="preserve">financial system, and </w:t>
      </w:r>
      <w:r w:rsidR="00C60E32" w:rsidRPr="003813C9">
        <w:rPr>
          <w:rFonts w:eastAsia="Times New Roman"/>
          <w:color w:val="auto"/>
          <w:sz w:val="24"/>
          <w:szCs w:val="24"/>
          <w:lang w:eastAsia="en-GB"/>
        </w:rPr>
        <w:t xml:space="preserve">cultural values) </w:t>
      </w:r>
      <w:r w:rsidRPr="003813C9">
        <w:rPr>
          <w:rFonts w:eastAsia="Times New Roman"/>
          <w:color w:val="auto"/>
          <w:sz w:val="24"/>
          <w:szCs w:val="24"/>
          <w:lang w:eastAsia="en-GB"/>
        </w:rPr>
        <w:t>at the country level with other factors</w:t>
      </w:r>
      <w:r w:rsidR="00C60E32" w:rsidRPr="003813C9">
        <w:rPr>
          <w:rFonts w:eastAsia="Times New Roman"/>
          <w:color w:val="auto"/>
          <w:sz w:val="24"/>
          <w:szCs w:val="24"/>
          <w:lang w:eastAsia="en-GB"/>
        </w:rPr>
        <w:t xml:space="preserve"> (e.g., size, </w:t>
      </w:r>
      <w:r w:rsidR="004954CB" w:rsidRPr="003813C9">
        <w:rPr>
          <w:rFonts w:eastAsia="Times New Roman"/>
          <w:color w:val="auto"/>
          <w:sz w:val="24"/>
          <w:szCs w:val="24"/>
          <w:lang w:eastAsia="en-GB"/>
        </w:rPr>
        <w:t xml:space="preserve">risk, and </w:t>
      </w:r>
      <w:r w:rsidR="00C60E32" w:rsidRPr="003813C9">
        <w:rPr>
          <w:rFonts w:eastAsia="Times New Roman"/>
          <w:color w:val="auto"/>
          <w:sz w:val="24"/>
          <w:szCs w:val="24"/>
          <w:lang w:eastAsia="en-GB"/>
        </w:rPr>
        <w:t>growth)</w:t>
      </w:r>
      <w:r w:rsidRPr="003813C9">
        <w:rPr>
          <w:rFonts w:eastAsia="Times New Roman"/>
          <w:color w:val="auto"/>
          <w:sz w:val="24"/>
          <w:szCs w:val="24"/>
          <w:lang w:eastAsia="en-GB"/>
        </w:rPr>
        <w:t xml:space="preserve"> at the firm level. For example,</w:t>
      </w:r>
      <w:r w:rsidR="002105EC" w:rsidRPr="003813C9">
        <w:rPr>
          <w:color w:val="auto"/>
        </w:rPr>
        <w:t xml:space="preserve"> </w:t>
      </w:r>
      <w:r w:rsidR="001F45A2" w:rsidRPr="003813C9">
        <w:rPr>
          <w:rFonts w:eastAsia="Times New Roman"/>
          <w:color w:val="auto"/>
          <w:sz w:val="24"/>
          <w:szCs w:val="24"/>
          <w:lang w:eastAsia="en-GB"/>
        </w:rPr>
        <w:t xml:space="preserve">while </w:t>
      </w:r>
      <w:proofErr w:type="spellStart"/>
      <w:r w:rsidR="001F45A2" w:rsidRPr="003813C9">
        <w:rPr>
          <w:rFonts w:eastAsia="Times New Roman"/>
          <w:color w:val="auto"/>
          <w:sz w:val="24"/>
          <w:szCs w:val="24"/>
          <w:lang w:eastAsia="en-GB"/>
        </w:rPr>
        <w:t>Dobler</w:t>
      </w:r>
      <w:proofErr w:type="spellEnd"/>
      <w:r w:rsidR="002105EC" w:rsidRPr="003813C9">
        <w:rPr>
          <w:rFonts w:eastAsia="Times New Roman"/>
          <w:color w:val="auto"/>
          <w:sz w:val="24"/>
          <w:szCs w:val="24"/>
          <w:lang w:eastAsia="en-GB"/>
        </w:rPr>
        <w:t xml:space="preserve"> et al. (2011) </w:t>
      </w:r>
      <w:r w:rsidR="001F45A2" w:rsidRPr="003813C9">
        <w:rPr>
          <w:rFonts w:eastAsia="Times New Roman"/>
          <w:color w:val="auto"/>
          <w:sz w:val="24"/>
          <w:szCs w:val="24"/>
          <w:lang w:eastAsia="en-GB"/>
        </w:rPr>
        <w:t xml:space="preserve">and </w:t>
      </w:r>
      <w:proofErr w:type="spellStart"/>
      <w:r w:rsidR="001F45A2" w:rsidRPr="003813C9">
        <w:rPr>
          <w:rFonts w:eastAsia="Times New Roman"/>
          <w:color w:val="auto"/>
          <w:sz w:val="24"/>
          <w:szCs w:val="24"/>
          <w:lang w:eastAsia="en-GB"/>
        </w:rPr>
        <w:t>Moumen</w:t>
      </w:r>
      <w:proofErr w:type="spellEnd"/>
      <w:r w:rsidR="002105EC" w:rsidRPr="003813C9">
        <w:rPr>
          <w:rFonts w:eastAsia="Times New Roman"/>
          <w:color w:val="auto"/>
          <w:sz w:val="24"/>
          <w:szCs w:val="24"/>
          <w:lang w:eastAsia="en-GB"/>
        </w:rPr>
        <w:t xml:space="preserve"> et al. (2015) </w:t>
      </w:r>
      <w:r w:rsidR="001F45A2" w:rsidRPr="003813C9">
        <w:rPr>
          <w:rFonts w:eastAsia="Times New Roman"/>
          <w:color w:val="auto"/>
          <w:sz w:val="24"/>
          <w:szCs w:val="24"/>
          <w:lang w:eastAsia="en-GB"/>
        </w:rPr>
        <w:t>control for country</w:t>
      </w:r>
      <w:r w:rsidR="002105EC" w:rsidRPr="003813C9">
        <w:rPr>
          <w:rFonts w:eastAsia="Times New Roman"/>
          <w:color w:val="auto"/>
          <w:sz w:val="24"/>
          <w:szCs w:val="24"/>
          <w:lang w:eastAsia="en-GB"/>
        </w:rPr>
        <w:t xml:space="preserve"> effects by using either a country dummy or the firm-fixed </w:t>
      </w:r>
      <w:proofErr w:type="gramStart"/>
      <w:r w:rsidR="002105EC" w:rsidRPr="003813C9">
        <w:rPr>
          <w:rFonts w:eastAsia="Times New Roman"/>
          <w:color w:val="auto"/>
          <w:sz w:val="24"/>
          <w:szCs w:val="24"/>
          <w:lang w:eastAsia="en-GB"/>
        </w:rPr>
        <w:t>effects</w:t>
      </w:r>
      <w:proofErr w:type="gramEnd"/>
      <w:r w:rsidR="002105EC" w:rsidRPr="003813C9">
        <w:rPr>
          <w:rFonts w:eastAsia="Times New Roman"/>
          <w:color w:val="auto"/>
          <w:sz w:val="24"/>
          <w:szCs w:val="24"/>
          <w:lang w:eastAsia="en-GB"/>
        </w:rPr>
        <w:t xml:space="preserve"> neither of them examine specific institutional factors in their models.</w:t>
      </w:r>
      <w:r w:rsidRPr="003813C9">
        <w:rPr>
          <w:rFonts w:eastAsia="Times New Roman"/>
          <w:strike/>
          <w:color w:val="auto"/>
          <w:sz w:val="24"/>
          <w:szCs w:val="24"/>
          <w:lang w:eastAsia="en-GB"/>
        </w:rPr>
        <w:t xml:space="preserve"> </w:t>
      </w:r>
    </w:p>
    <w:p w14:paraId="4BC9FFB0" w14:textId="77777777" w:rsidR="0046703C" w:rsidRPr="003813C9" w:rsidRDefault="0046703C" w:rsidP="0046703C">
      <w:pPr>
        <w:spacing w:after="0" w:line="480" w:lineRule="auto"/>
        <w:jc w:val="both"/>
        <w:rPr>
          <w:rFonts w:eastAsia="Calibri"/>
          <w:color w:val="auto"/>
        </w:rPr>
      </w:pPr>
      <w:r w:rsidRPr="003813C9">
        <w:rPr>
          <w:rFonts w:eastAsia="Times New Roman"/>
          <w:i/>
          <w:iCs/>
          <w:color w:val="auto"/>
          <w:sz w:val="24"/>
          <w:szCs w:val="24"/>
          <w:lang w:eastAsia="en-GB"/>
        </w:rPr>
        <w:t xml:space="preserve">5.1.8. Within-country or cross-country variations on risk disclosure: Limitations and future work </w:t>
      </w:r>
    </w:p>
    <w:p w14:paraId="7F6F56A9" w14:textId="70FE4C36" w:rsidR="003647FD" w:rsidRPr="003813C9" w:rsidRDefault="00782D68" w:rsidP="006C16D9">
      <w:pPr>
        <w:spacing w:after="0" w:line="480" w:lineRule="auto"/>
        <w:jc w:val="both"/>
        <w:rPr>
          <w:rFonts w:eastAsia="Times New Roman"/>
          <w:color w:val="auto"/>
          <w:sz w:val="24"/>
          <w:szCs w:val="24"/>
          <w:lang w:eastAsia="en-GB"/>
        </w:rPr>
      </w:pPr>
      <w:r w:rsidRPr="003813C9">
        <w:rPr>
          <w:rFonts w:eastAsia="Times New Roman"/>
          <w:color w:val="auto"/>
          <w:sz w:val="24"/>
          <w:szCs w:val="24"/>
          <w:lang w:eastAsia="en-GB"/>
        </w:rPr>
        <w:lastRenderedPageBreak/>
        <w:t xml:space="preserve">In a single-country study, it is challenging to capture distinct features, unless those features are observable at the firm level when studying incentives (e.g., </w:t>
      </w:r>
      <w:proofErr w:type="spellStart"/>
      <w:r w:rsidRPr="003813C9">
        <w:rPr>
          <w:rFonts w:eastAsia="Times New Roman"/>
          <w:color w:val="auto"/>
          <w:sz w:val="24"/>
          <w:szCs w:val="24"/>
          <w:lang w:eastAsia="en-GB"/>
        </w:rPr>
        <w:t>Buckby</w:t>
      </w:r>
      <w:proofErr w:type="spellEnd"/>
      <w:r w:rsidRPr="003813C9">
        <w:rPr>
          <w:rFonts w:eastAsia="Times New Roman"/>
          <w:color w:val="auto"/>
          <w:sz w:val="24"/>
          <w:szCs w:val="24"/>
          <w:lang w:eastAsia="en-GB"/>
        </w:rPr>
        <w:t xml:space="preserve"> et al., 2015; Elshandidy &amp; Shrives, 2016; Hassan, 2009; </w:t>
      </w:r>
      <w:r w:rsidRPr="003813C9">
        <w:rPr>
          <w:rFonts w:eastAsia="Times New Roman"/>
          <w:color w:val="auto"/>
          <w:sz w:val="24"/>
          <w:szCs w:val="24"/>
          <w:lang w:val="fi-FI"/>
        </w:rPr>
        <w:t xml:space="preserve">Martikainen, Kinnunen, Miihkinen, &amp; Troberg, 2015; </w:t>
      </w:r>
      <w:proofErr w:type="spellStart"/>
      <w:r w:rsidRPr="003813C9">
        <w:rPr>
          <w:rFonts w:eastAsia="Times New Roman"/>
          <w:color w:val="auto"/>
          <w:sz w:val="24"/>
          <w:szCs w:val="24"/>
          <w:lang w:eastAsia="en-GB"/>
        </w:rPr>
        <w:t>Miihkinen</w:t>
      </w:r>
      <w:proofErr w:type="spellEnd"/>
      <w:r w:rsidRPr="003813C9">
        <w:rPr>
          <w:rFonts w:eastAsia="Times New Roman"/>
          <w:color w:val="auto"/>
          <w:sz w:val="24"/>
          <w:szCs w:val="24"/>
          <w:lang w:eastAsia="en-GB"/>
        </w:rPr>
        <w:t>, 2012;</w:t>
      </w:r>
      <w:r w:rsidRPr="003813C9">
        <w:rPr>
          <w:rFonts w:eastAsia="Calibri"/>
          <w:color w:val="auto"/>
        </w:rPr>
        <w:t xml:space="preserve"> </w:t>
      </w:r>
      <w:r w:rsidRPr="003813C9">
        <w:rPr>
          <w:rFonts w:eastAsia="Times New Roman"/>
          <w:color w:val="auto"/>
          <w:sz w:val="24"/>
          <w:szCs w:val="24"/>
          <w:lang w:eastAsia="en-GB"/>
        </w:rPr>
        <w:t xml:space="preserve">Mokhtar &amp; </w:t>
      </w:r>
      <w:proofErr w:type="spellStart"/>
      <w:r w:rsidRPr="003813C9">
        <w:rPr>
          <w:rFonts w:eastAsia="Times New Roman"/>
          <w:color w:val="auto"/>
          <w:sz w:val="24"/>
          <w:szCs w:val="24"/>
          <w:lang w:eastAsia="en-GB"/>
        </w:rPr>
        <w:t>Mellett</w:t>
      </w:r>
      <w:proofErr w:type="spellEnd"/>
      <w:r w:rsidRPr="003813C9">
        <w:rPr>
          <w:rFonts w:eastAsia="Times New Roman"/>
          <w:color w:val="auto"/>
          <w:sz w:val="24"/>
          <w:szCs w:val="24"/>
          <w:lang w:eastAsia="en-GB"/>
        </w:rPr>
        <w:t xml:space="preserve">, 2013) or </w:t>
      </w:r>
      <w:proofErr w:type="spellStart"/>
      <w:r w:rsidRPr="003813C9">
        <w:rPr>
          <w:rFonts w:eastAsia="Times New Roman"/>
          <w:color w:val="auto"/>
          <w:sz w:val="24"/>
          <w:szCs w:val="24"/>
          <w:lang w:eastAsia="en-GB"/>
        </w:rPr>
        <w:t>informativeness</w:t>
      </w:r>
      <w:proofErr w:type="spellEnd"/>
      <w:r w:rsidRPr="003813C9">
        <w:rPr>
          <w:rFonts w:eastAsia="Times New Roman"/>
          <w:color w:val="auto"/>
          <w:sz w:val="24"/>
          <w:szCs w:val="24"/>
          <w:lang w:eastAsia="en-GB"/>
        </w:rPr>
        <w:t xml:space="preserve"> (Abdullah, </w:t>
      </w:r>
      <w:proofErr w:type="spellStart"/>
      <w:r w:rsidRPr="003813C9">
        <w:rPr>
          <w:rFonts w:eastAsia="Times New Roman"/>
          <w:color w:val="auto"/>
          <w:sz w:val="24"/>
          <w:szCs w:val="24"/>
          <w:lang w:eastAsia="en-GB"/>
        </w:rPr>
        <w:t>Shukor</w:t>
      </w:r>
      <w:proofErr w:type="spellEnd"/>
      <w:r w:rsidRPr="003813C9">
        <w:rPr>
          <w:rFonts w:eastAsia="Times New Roman"/>
          <w:color w:val="auto"/>
          <w:sz w:val="24"/>
          <w:szCs w:val="24"/>
          <w:lang w:eastAsia="en-GB"/>
        </w:rPr>
        <w:t xml:space="preserve">, Mohamed, &amp; Ahmad, 2015; Elshandidy &amp; Shrives, 2016; </w:t>
      </w:r>
      <w:proofErr w:type="spellStart"/>
      <w:r w:rsidRPr="003813C9">
        <w:rPr>
          <w:rFonts w:eastAsia="Times New Roman"/>
          <w:color w:val="auto"/>
          <w:sz w:val="24"/>
          <w:szCs w:val="24"/>
          <w:lang w:eastAsia="en-GB"/>
        </w:rPr>
        <w:t>Miihkinen</w:t>
      </w:r>
      <w:proofErr w:type="spellEnd"/>
      <w:r w:rsidRPr="003813C9">
        <w:rPr>
          <w:rFonts w:eastAsia="Times New Roman"/>
          <w:color w:val="auto"/>
          <w:sz w:val="24"/>
          <w:szCs w:val="24"/>
          <w:lang w:eastAsia="en-GB"/>
        </w:rPr>
        <w:t>, 2013).</w:t>
      </w:r>
      <w:r w:rsidRPr="003813C9">
        <w:rPr>
          <w:rFonts w:eastAsia="Times New Roman"/>
          <w:color w:val="auto"/>
          <w:sz w:val="24"/>
          <w:szCs w:val="24"/>
          <w:vertAlign w:val="superscript"/>
          <w:lang w:eastAsia="en-GB"/>
        </w:rPr>
        <w:t xml:space="preserve"> </w:t>
      </w:r>
      <w:r w:rsidR="0046703C" w:rsidRPr="003813C9">
        <w:rPr>
          <w:rFonts w:eastAsia="Times New Roman"/>
          <w:color w:val="auto"/>
          <w:sz w:val="24"/>
          <w:szCs w:val="24"/>
          <w:lang w:eastAsia="en-GB"/>
        </w:rPr>
        <w:t xml:space="preserve">Associating variations in risk reporting with both firm- and country-level characteristics is becoming an increasingly important empirical question (Elshandidy et al., 2015; Li, 2010). Considering how firm-level factors interact with those at the country level might be of interest to professionals responsible for achieving a reasonable level of international convergence through greater international comparability and smaller observed international differences, even after the mandatory adoption of IFRS (e.g., </w:t>
      </w:r>
      <w:proofErr w:type="spellStart"/>
      <w:r w:rsidR="0046703C" w:rsidRPr="003813C9">
        <w:rPr>
          <w:rFonts w:eastAsia="Times New Roman"/>
          <w:color w:val="auto"/>
          <w:sz w:val="24"/>
          <w:szCs w:val="24"/>
          <w:lang w:eastAsia="en-GB"/>
        </w:rPr>
        <w:t>Nobes</w:t>
      </w:r>
      <w:proofErr w:type="spellEnd"/>
      <w:r w:rsidR="0046703C" w:rsidRPr="003813C9">
        <w:rPr>
          <w:rFonts w:eastAsia="Times New Roman"/>
          <w:color w:val="auto"/>
          <w:sz w:val="24"/>
          <w:szCs w:val="24"/>
          <w:lang w:eastAsia="en-GB"/>
        </w:rPr>
        <w:t>, 2013). In addition to the problem of managing data collection in cross-country studies is that of corporate communications in different languages. One solution is to use English as a common language (for more details on these issues see</w:t>
      </w:r>
      <w:r w:rsidR="00D17DCF" w:rsidRPr="003813C9">
        <w:rPr>
          <w:rFonts w:eastAsia="Times New Roman"/>
          <w:color w:val="auto"/>
          <w:sz w:val="24"/>
          <w:szCs w:val="24"/>
          <w:lang w:eastAsia="en-GB"/>
        </w:rPr>
        <w:t xml:space="preserve"> for example</w:t>
      </w:r>
      <w:r w:rsidR="0046703C" w:rsidRPr="003813C9">
        <w:rPr>
          <w:rFonts w:eastAsia="Times New Roman"/>
          <w:color w:val="auto"/>
          <w:sz w:val="24"/>
          <w:szCs w:val="24"/>
          <w:lang w:eastAsia="en-GB"/>
        </w:rPr>
        <w:t xml:space="preserve">, </w:t>
      </w:r>
      <w:proofErr w:type="spellStart"/>
      <w:r w:rsidR="0046703C" w:rsidRPr="003813C9">
        <w:rPr>
          <w:rFonts w:eastAsia="Times New Roman"/>
          <w:color w:val="auto"/>
          <w:sz w:val="24"/>
          <w:szCs w:val="24"/>
          <w:lang w:eastAsia="en-GB"/>
        </w:rPr>
        <w:t>Jeanjean</w:t>
      </w:r>
      <w:proofErr w:type="spellEnd"/>
      <w:r w:rsidR="0046703C" w:rsidRPr="003813C9">
        <w:rPr>
          <w:rFonts w:eastAsia="Times New Roman"/>
          <w:color w:val="auto"/>
          <w:sz w:val="24"/>
          <w:szCs w:val="24"/>
          <w:lang w:eastAsia="en-GB"/>
        </w:rPr>
        <w:t xml:space="preserve">, </w:t>
      </w:r>
      <w:proofErr w:type="spellStart"/>
      <w:r w:rsidR="0046703C" w:rsidRPr="003813C9">
        <w:rPr>
          <w:rFonts w:eastAsia="Times New Roman"/>
          <w:color w:val="auto"/>
          <w:sz w:val="24"/>
          <w:szCs w:val="24"/>
          <w:lang w:eastAsia="en-GB"/>
        </w:rPr>
        <w:t>Stolowy</w:t>
      </w:r>
      <w:proofErr w:type="spellEnd"/>
      <w:r w:rsidR="0046703C" w:rsidRPr="003813C9">
        <w:rPr>
          <w:rFonts w:eastAsia="Times New Roman"/>
          <w:color w:val="auto"/>
          <w:sz w:val="24"/>
          <w:szCs w:val="24"/>
          <w:lang w:eastAsia="en-GB"/>
        </w:rPr>
        <w:t xml:space="preserve">, </w:t>
      </w:r>
      <w:proofErr w:type="spellStart"/>
      <w:r w:rsidR="0046703C" w:rsidRPr="003813C9">
        <w:rPr>
          <w:rFonts w:eastAsia="Times New Roman"/>
          <w:color w:val="auto"/>
          <w:sz w:val="24"/>
          <w:szCs w:val="24"/>
          <w:lang w:eastAsia="en-GB"/>
        </w:rPr>
        <w:t>Erkens</w:t>
      </w:r>
      <w:proofErr w:type="spellEnd"/>
      <w:r w:rsidR="0046703C" w:rsidRPr="003813C9">
        <w:rPr>
          <w:rFonts w:eastAsia="Times New Roman"/>
          <w:color w:val="auto"/>
          <w:sz w:val="24"/>
          <w:szCs w:val="24"/>
          <w:lang w:eastAsia="en-GB"/>
        </w:rPr>
        <w:t xml:space="preserve">, &amp; </w:t>
      </w:r>
      <w:proofErr w:type="spellStart"/>
      <w:r w:rsidR="0046703C" w:rsidRPr="003813C9">
        <w:rPr>
          <w:rFonts w:eastAsia="Times New Roman"/>
          <w:color w:val="auto"/>
          <w:sz w:val="24"/>
          <w:szCs w:val="24"/>
          <w:lang w:eastAsia="en-GB"/>
        </w:rPr>
        <w:t>Yohn</w:t>
      </w:r>
      <w:proofErr w:type="spellEnd"/>
      <w:r w:rsidR="0046703C" w:rsidRPr="003813C9">
        <w:rPr>
          <w:rFonts w:eastAsia="Times New Roman"/>
          <w:color w:val="auto"/>
          <w:sz w:val="24"/>
          <w:szCs w:val="24"/>
          <w:lang w:eastAsia="en-GB"/>
        </w:rPr>
        <w:t xml:space="preserve">, 2015; Lang &amp; </w:t>
      </w:r>
      <w:proofErr w:type="spellStart"/>
      <w:r w:rsidR="0046703C" w:rsidRPr="003813C9">
        <w:rPr>
          <w:rFonts w:eastAsia="Times New Roman"/>
          <w:color w:val="auto"/>
          <w:sz w:val="24"/>
          <w:szCs w:val="24"/>
          <w:lang w:eastAsia="en-GB"/>
        </w:rPr>
        <w:t>Stice</w:t>
      </w:r>
      <w:proofErr w:type="spellEnd"/>
      <w:r w:rsidR="0046703C" w:rsidRPr="003813C9">
        <w:rPr>
          <w:rFonts w:eastAsia="Times New Roman"/>
          <w:color w:val="auto"/>
          <w:sz w:val="24"/>
          <w:szCs w:val="24"/>
          <w:lang w:eastAsia="en-GB"/>
        </w:rPr>
        <w:t>-Lawrence, 2015). It might also be useful to consider different research designs to incorporate the impact of country level factors, for example multilevel econometric techniques</w:t>
      </w:r>
      <w:r w:rsidR="0078699C" w:rsidRPr="003813C9">
        <w:rPr>
          <w:rFonts w:eastAsia="Times New Roman"/>
          <w:color w:val="auto"/>
          <w:sz w:val="24"/>
          <w:szCs w:val="24"/>
          <w:lang w:eastAsia="en-GB"/>
        </w:rPr>
        <w:t>, since they provide researchers with bett</w:t>
      </w:r>
      <w:r w:rsidR="0052494F" w:rsidRPr="003813C9">
        <w:rPr>
          <w:rFonts w:eastAsia="Times New Roman"/>
          <w:color w:val="auto"/>
          <w:sz w:val="24"/>
          <w:szCs w:val="24"/>
          <w:lang w:eastAsia="en-GB"/>
        </w:rPr>
        <w:t>er op</w:t>
      </w:r>
      <w:r w:rsidR="0078699C" w:rsidRPr="003813C9">
        <w:rPr>
          <w:rFonts w:eastAsia="Times New Roman"/>
          <w:color w:val="auto"/>
          <w:sz w:val="24"/>
          <w:szCs w:val="24"/>
          <w:lang w:eastAsia="en-GB"/>
        </w:rPr>
        <w:t xml:space="preserve">tions to capture hierarchical structure of cross-country data </w:t>
      </w:r>
      <w:r w:rsidR="0046703C" w:rsidRPr="003813C9">
        <w:rPr>
          <w:rFonts w:eastAsia="Times New Roman"/>
          <w:color w:val="auto"/>
          <w:sz w:val="24"/>
          <w:szCs w:val="24"/>
          <w:lang w:eastAsia="en-GB"/>
        </w:rPr>
        <w:t xml:space="preserve">(e.g., </w:t>
      </w:r>
      <w:proofErr w:type="spellStart"/>
      <w:r w:rsidR="0046703C" w:rsidRPr="003813C9">
        <w:rPr>
          <w:rFonts w:eastAsia="Times New Roman"/>
          <w:color w:val="auto"/>
          <w:sz w:val="24"/>
          <w:szCs w:val="24"/>
          <w:lang w:eastAsia="en-GB"/>
        </w:rPr>
        <w:t>Hox</w:t>
      </w:r>
      <w:proofErr w:type="spellEnd"/>
      <w:r w:rsidR="0046703C" w:rsidRPr="003813C9">
        <w:rPr>
          <w:rFonts w:eastAsia="Times New Roman"/>
          <w:color w:val="auto"/>
          <w:sz w:val="24"/>
          <w:szCs w:val="24"/>
          <w:lang w:eastAsia="en-GB"/>
        </w:rPr>
        <w:t xml:space="preserve">, 2010). </w:t>
      </w:r>
      <w:r w:rsidR="00081258" w:rsidRPr="003813C9">
        <w:rPr>
          <w:rFonts w:eastAsia="Times New Roman"/>
          <w:color w:val="auto"/>
          <w:sz w:val="24"/>
          <w:szCs w:val="24"/>
          <w:lang w:eastAsia="en-GB"/>
        </w:rPr>
        <w:t xml:space="preserve">Ignoring data structure can result in underestimating the standard errors of a regression’s coefficients (Steele, 2008). </w:t>
      </w:r>
      <w:r w:rsidR="0046703C" w:rsidRPr="003813C9">
        <w:rPr>
          <w:rFonts w:eastAsia="Times New Roman"/>
          <w:color w:val="auto"/>
          <w:sz w:val="24"/>
          <w:szCs w:val="24"/>
          <w:lang w:eastAsia="en-GB"/>
        </w:rPr>
        <w:t xml:space="preserve">Future research might also consider comparing risk-reporting practices between developed and less developed (emerging) markets. </w:t>
      </w:r>
    </w:p>
    <w:p w14:paraId="2F3B0A47" w14:textId="77777777" w:rsidR="0046703C" w:rsidRPr="003813C9" w:rsidRDefault="0046703C" w:rsidP="0046703C">
      <w:pPr>
        <w:spacing w:after="0" w:line="480" w:lineRule="auto"/>
        <w:jc w:val="both"/>
        <w:rPr>
          <w:rFonts w:eastAsia="Times New Roman"/>
          <w:i/>
          <w:color w:val="auto"/>
          <w:sz w:val="24"/>
          <w:szCs w:val="24"/>
          <w:lang w:eastAsia="en-GB"/>
        </w:rPr>
      </w:pPr>
      <w:r w:rsidRPr="003813C9">
        <w:rPr>
          <w:rFonts w:eastAsia="Times New Roman"/>
          <w:i/>
          <w:iCs/>
          <w:color w:val="auto"/>
          <w:sz w:val="24"/>
          <w:szCs w:val="24"/>
          <w:lang w:eastAsia="en-GB"/>
        </w:rPr>
        <w:t>5.1.9. Financial versus non-financial firms: Divergence</w:t>
      </w:r>
    </w:p>
    <w:p w14:paraId="07060350" w14:textId="2462D041" w:rsidR="0046703C" w:rsidRPr="003813C9" w:rsidRDefault="0046703C" w:rsidP="0046703C">
      <w:pPr>
        <w:spacing w:after="0" w:line="480" w:lineRule="auto"/>
        <w:jc w:val="both"/>
        <w:rPr>
          <w:rFonts w:eastAsia="Times New Roman"/>
          <w:color w:val="auto"/>
          <w:sz w:val="24"/>
          <w:szCs w:val="24"/>
          <w:lang w:eastAsia="en-GB"/>
        </w:rPr>
      </w:pPr>
      <w:r w:rsidRPr="003813C9">
        <w:rPr>
          <w:rFonts w:eastAsia="Times New Roman"/>
          <w:color w:val="auto"/>
          <w:sz w:val="24"/>
          <w:szCs w:val="24"/>
          <w:lang w:eastAsia="en-GB"/>
        </w:rPr>
        <w:t xml:space="preserve">Our review shows that the majority of </w:t>
      </w:r>
      <w:r w:rsidR="00782D68" w:rsidRPr="003813C9">
        <w:rPr>
          <w:rFonts w:eastAsia="Times New Roman"/>
          <w:color w:val="auto"/>
          <w:sz w:val="24"/>
          <w:szCs w:val="24"/>
          <w:lang w:eastAsia="en-GB"/>
        </w:rPr>
        <w:t xml:space="preserve">reviewed </w:t>
      </w:r>
      <w:r w:rsidRPr="003813C9">
        <w:rPr>
          <w:rFonts w:eastAsia="Times New Roman"/>
          <w:color w:val="auto"/>
          <w:sz w:val="24"/>
          <w:szCs w:val="24"/>
          <w:lang w:eastAsia="en-GB"/>
        </w:rPr>
        <w:t xml:space="preserve">studies </w:t>
      </w:r>
      <w:r w:rsidR="00782D68" w:rsidRPr="003813C9">
        <w:rPr>
          <w:rFonts w:eastAsia="Times New Roman"/>
          <w:color w:val="auto"/>
          <w:sz w:val="24"/>
          <w:szCs w:val="24"/>
          <w:lang w:eastAsia="en-GB"/>
        </w:rPr>
        <w:t>(</w:t>
      </w:r>
      <w:r w:rsidR="00D826E9" w:rsidRPr="003813C9">
        <w:rPr>
          <w:rFonts w:eastAsia="Times New Roman"/>
          <w:color w:val="auto"/>
          <w:sz w:val="24"/>
          <w:szCs w:val="24"/>
          <w:lang w:eastAsia="en-GB"/>
        </w:rPr>
        <w:t>23 out of 32</w:t>
      </w:r>
      <w:r w:rsidR="00107C69" w:rsidRPr="003813C9">
        <w:rPr>
          <w:rFonts w:eastAsia="Times New Roman"/>
          <w:color w:val="auto"/>
          <w:sz w:val="24"/>
          <w:szCs w:val="24"/>
          <w:lang w:eastAsia="en-GB"/>
        </w:rPr>
        <w:t xml:space="preserve"> papers</w:t>
      </w:r>
      <w:r w:rsidR="00D826E9" w:rsidRPr="003813C9">
        <w:rPr>
          <w:rFonts w:eastAsia="Times New Roman"/>
          <w:color w:val="auto"/>
          <w:sz w:val="24"/>
          <w:szCs w:val="24"/>
          <w:lang w:eastAsia="en-GB"/>
        </w:rPr>
        <w:t xml:space="preserve">) </w:t>
      </w:r>
      <w:r w:rsidRPr="003813C9">
        <w:rPr>
          <w:rFonts w:eastAsia="Times New Roman"/>
          <w:color w:val="auto"/>
          <w:sz w:val="24"/>
          <w:szCs w:val="24"/>
          <w:lang w:eastAsia="en-GB"/>
        </w:rPr>
        <w:t xml:space="preserve">over the past 20 years have explored risk reporting amongst non-financial firms. </w:t>
      </w:r>
      <w:r w:rsidRPr="003813C9">
        <w:rPr>
          <w:rFonts w:eastAsia="Times New Roman"/>
          <w:color w:val="auto"/>
          <w:sz w:val="24"/>
          <w:szCs w:val="24"/>
        </w:rPr>
        <w:t xml:space="preserve">This is in contrast to </w:t>
      </w:r>
      <w:proofErr w:type="spellStart"/>
      <w:r w:rsidRPr="003813C9">
        <w:rPr>
          <w:rFonts w:eastAsia="Times New Roman"/>
          <w:color w:val="auto"/>
          <w:sz w:val="24"/>
          <w:szCs w:val="24"/>
          <w:lang w:eastAsia="en-GB"/>
        </w:rPr>
        <w:t>Schrand</w:t>
      </w:r>
      <w:proofErr w:type="spellEnd"/>
      <w:r w:rsidRPr="003813C9">
        <w:rPr>
          <w:rFonts w:eastAsia="Times New Roman"/>
          <w:color w:val="auto"/>
          <w:sz w:val="24"/>
          <w:szCs w:val="24"/>
          <w:lang w:eastAsia="en-GB"/>
        </w:rPr>
        <w:t xml:space="preserve"> and Elliott’s (1998) early summary of risk reporting and indicates a shift in academic research from investigating risk disclosure within financial firms to a focus on non-financial firms. </w:t>
      </w:r>
      <w:r w:rsidR="002A332E" w:rsidRPr="003813C9">
        <w:rPr>
          <w:rFonts w:eastAsia="Times New Roman"/>
          <w:color w:val="auto"/>
          <w:sz w:val="24"/>
          <w:szCs w:val="24"/>
          <w:lang w:eastAsia="en-GB"/>
        </w:rPr>
        <w:t>In this regard</w:t>
      </w:r>
      <w:r w:rsidRPr="003813C9">
        <w:rPr>
          <w:rFonts w:eastAsia="Times New Roman"/>
          <w:color w:val="auto"/>
          <w:sz w:val="24"/>
          <w:szCs w:val="24"/>
          <w:lang w:eastAsia="en-GB"/>
        </w:rPr>
        <w:t xml:space="preserve">, it is striking that </w:t>
      </w:r>
      <w:proofErr w:type="spellStart"/>
      <w:r w:rsidRPr="003813C9">
        <w:rPr>
          <w:rFonts w:eastAsia="Times New Roman"/>
          <w:color w:val="auto"/>
          <w:sz w:val="24"/>
          <w:szCs w:val="24"/>
          <w:lang w:eastAsia="en-GB"/>
        </w:rPr>
        <w:t>Schrand</w:t>
      </w:r>
      <w:proofErr w:type="spellEnd"/>
      <w:r w:rsidRPr="003813C9">
        <w:rPr>
          <w:rFonts w:eastAsia="Times New Roman"/>
          <w:color w:val="auto"/>
          <w:sz w:val="24"/>
          <w:szCs w:val="24"/>
          <w:lang w:eastAsia="en-GB"/>
        </w:rPr>
        <w:t xml:space="preserve"> and Elliott (1998) highlight a key feature of the extant empirical </w:t>
      </w:r>
      <w:r w:rsidRPr="003813C9">
        <w:rPr>
          <w:rFonts w:eastAsia="Times New Roman"/>
          <w:color w:val="auto"/>
          <w:sz w:val="24"/>
          <w:szCs w:val="24"/>
          <w:lang w:eastAsia="en-GB"/>
        </w:rPr>
        <w:lastRenderedPageBreak/>
        <w:t xml:space="preserve">risk research at that time as a focus on banks and insurance firms. These authors claim that regulators, including the FASB, require disclosure on risk exposure. This recent shift, however, is unsurprising. Financial firms are required to comply with stock market regulations as well as accounting requirements. Further, their risk management processes, practices, and strategies are often fundamentally different from those of non-financial firms and this adds a layer of complexity to any study seeking to </w:t>
      </w:r>
      <w:proofErr w:type="spellStart"/>
      <w:r w:rsidRPr="003813C9">
        <w:rPr>
          <w:rFonts w:eastAsia="Times New Roman"/>
          <w:color w:val="auto"/>
          <w:sz w:val="24"/>
          <w:szCs w:val="24"/>
          <w:lang w:eastAsia="en-GB"/>
        </w:rPr>
        <w:t>analyze</w:t>
      </w:r>
      <w:proofErr w:type="spellEnd"/>
      <w:r w:rsidRPr="003813C9">
        <w:rPr>
          <w:rFonts w:eastAsia="Times New Roman"/>
          <w:color w:val="auto"/>
          <w:sz w:val="24"/>
          <w:szCs w:val="24"/>
          <w:lang w:eastAsia="en-GB"/>
        </w:rPr>
        <w:t xml:space="preserve"> </w:t>
      </w:r>
      <w:proofErr w:type="spellStart"/>
      <w:r w:rsidRPr="003813C9">
        <w:rPr>
          <w:rFonts w:eastAsia="Times New Roman"/>
          <w:color w:val="auto"/>
          <w:sz w:val="24"/>
          <w:szCs w:val="24"/>
          <w:lang w:eastAsia="en-GB"/>
        </w:rPr>
        <w:t>informativeness</w:t>
      </w:r>
      <w:proofErr w:type="spellEnd"/>
      <w:r w:rsidRPr="003813C9">
        <w:rPr>
          <w:rFonts w:eastAsia="Times New Roman"/>
          <w:color w:val="auto"/>
          <w:sz w:val="24"/>
          <w:szCs w:val="24"/>
          <w:lang w:eastAsia="en-GB"/>
        </w:rPr>
        <w:t xml:space="preserve"> or incentives, as well as influencing what is voluntary and what is mandatory. </w:t>
      </w:r>
    </w:p>
    <w:p w14:paraId="0CB9CC69" w14:textId="77777777" w:rsidR="0046703C" w:rsidRPr="003813C9" w:rsidRDefault="0046703C" w:rsidP="0046703C">
      <w:pPr>
        <w:spacing w:after="0" w:line="480" w:lineRule="auto"/>
        <w:jc w:val="both"/>
        <w:rPr>
          <w:rFonts w:eastAsia="Calibri"/>
          <w:color w:val="auto"/>
        </w:rPr>
      </w:pPr>
      <w:r w:rsidRPr="003813C9">
        <w:rPr>
          <w:rFonts w:eastAsia="Times New Roman"/>
          <w:i/>
          <w:iCs/>
          <w:color w:val="auto"/>
          <w:sz w:val="24"/>
          <w:szCs w:val="24"/>
          <w:lang w:eastAsia="en-GB"/>
        </w:rPr>
        <w:t xml:space="preserve">5.1.10. Financial versus non-financial firms: Limitations and future work </w:t>
      </w:r>
    </w:p>
    <w:p w14:paraId="4EE3A266" w14:textId="7FA6E379" w:rsidR="0046703C" w:rsidRPr="003813C9" w:rsidRDefault="0046703C" w:rsidP="0046703C">
      <w:pPr>
        <w:spacing w:after="0" w:line="480" w:lineRule="auto"/>
        <w:jc w:val="both"/>
        <w:rPr>
          <w:rFonts w:eastAsia="Times New Roman"/>
          <w:color w:val="auto"/>
          <w:sz w:val="24"/>
          <w:szCs w:val="24"/>
          <w:lang w:eastAsia="en-GB"/>
        </w:rPr>
      </w:pPr>
      <w:bookmarkStart w:id="4" w:name="_Hlk480714370"/>
      <w:r w:rsidRPr="003813C9">
        <w:rPr>
          <w:rFonts w:eastAsia="Times New Roman"/>
          <w:color w:val="auto"/>
          <w:sz w:val="24"/>
          <w:szCs w:val="24"/>
        </w:rPr>
        <w:t>Scope exists</w:t>
      </w:r>
      <w:r w:rsidRPr="003813C9">
        <w:rPr>
          <w:rFonts w:eastAsia="Times New Roman"/>
          <w:color w:val="auto"/>
          <w:sz w:val="24"/>
          <w:szCs w:val="24"/>
          <w:lang w:eastAsia="en-GB"/>
        </w:rPr>
        <w:t xml:space="preserve"> for future research investigating issues more closely related to the nature of financial institutions, such as the distinctiveness of risk reporting amongst competitor institutions and across jurisdictions in which regulations are more restrictive or permissive</w:t>
      </w:r>
      <w:r w:rsidRPr="003813C9">
        <w:rPr>
          <w:rFonts w:eastAsia="Calibri"/>
          <w:color w:val="auto"/>
        </w:rPr>
        <w:t xml:space="preserve"> (</w:t>
      </w:r>
      <w:r w:rsidRPr="003813C9">
        <w:rPr>
          <w:rFonts w:eastAsia="Times New Roman"/>
          <w:color w:val="auto"/>
          <w:sz w:val="24"/>
          <w:szCs w:val="24"/>
          <w:lang w:eastAsia="en-GB"/>
        </w:rPr>
        <w:t>for a recent review on banking</w:t>
      </w:r>
      <w:r w:rsidR="002A332E" w:rsidRPr="003813C9">
        <w:rPr>
          <w:rFonts w:eastAsia="Times New Roman"/>
          <w:color w:val="auto"/>
          <w:sz w:val="24"/>
          <w:szCs w:val="24"/>
          <w:lang w:eastAsia="en-GB"/>
        </w:rPr>
        <w:t xml:space="preserve"> see</w:t>
      </w:r>
      <w:r w:rsidRPr="003813C9">
        <w:rPr>
          <w:rFonts w:eastAsia="Times New Roman"/>
          <w:color w:val="auto"/>
          <w:sz w:val="24"/>
          <w:szCs w:val="24"/>
          <w:lang w:eastAsia="en-GB"/>
        </w:rPr>
        <w:t>: Beatty &amp; Liao, 2014). Another area in need of attention from researchers is how financial instruments should be reported, given the greater requirements imposed by regulatory bodies in this area (for a review</w:t>
      </w:r>
      <w:r w:rsidR="002A332E" w:rsidRPr="003813C9">
        <w:rPr>
          <w:rFonts w:eastAsia="Times New Roman"/>
          <w:color w:val="auto"/>
          <w:sz w:val="24"/>
          <w:szCs w:val="24"/>
          <w:lang w:eastAsia="en-GB"/>
        </w:rPr>
        <w:t xml:space="preserve"> see</w:t>
      </w:r>
      <w:r w:rsidRPr="003813C9">
        <w:rPr>
          <w:rFonts w:eastAsia="Times New Roman"/>
          <w:color w:val="auto"/>
          <w:sz w:val="24"/>
          <w:szCs w:val="24"/>
          <w:lang w:eastAsia="en-GB"/>
        </w:rPr>
        <w:t>: Ryan, 2012b). Consistent with Ryan (2012b), we observe a need for further research investigating the extent to which an</w:t>
      </w:r>
      <w:r w:rsidR="004864BF" w:rsidRPr="003813C9">
        <w:rPr>
          <w:rFonts w:eastAsia="Times New Roman"/>
          <w:color w:val="auto"/>
          <w:sz w:val="24"/>
          <w:szCs w:val="24"/>
          <w:lang w:eastAsia="en-GB"/>
        </w:rPr>
        <w:t>d how financial firms integrate</w:t>
      </w:r>
      <w:r w:rsidRPr="003813C9">
        <w:rPr>
          <w:rFonts w:eastAsia="Times New Roman"/>
          <w:color w:val="auto"/>
          <w:sz w:val="24"/>
          <w:szCs w:val="24"/>
          <w:lang w:eastAsia="en-GB"/>
        </w:rPr>
        <w:t xml:space="preserve"> the recognized risk-related consequences of historical events (i.e., historical volatility of fair values and the current financial leverage) with future-oriented risk information related to financial instruments’ major risk types (e.g., market, credit, liquidity, and information risks). Regarding firms’ hedging activities, it would be worthwhile studying how and why financial firms disclose information about their use of derivatives or similar instruments </w:t>
      </w:r>
      <w:r w:rsidR="00A8425B" w:rsidRPr="003813C9">
        <w:rPr>
          <w:rFonts w:eastAsia="Times New Roman"/>
          <w:color w:val="auto"/>
          <w:sz w:val="24"/>
          <w:szCs w:val="24"/>
          <w:lang w:eastAsia="en-GB"/>
        </w:rPr>
        <w:t xml:space="preserve">(e.g., </w:t>
      </w:r>
      <w:r w:rsidRPr="003813C9">
        <w:rPr>
          <w:rFonts w:eastAsia="Times New Roman"/>
          <w:color w:val="auto"/>
          <w:sz w:val="24"/>
          <w:szCs w:val="24"/>
          <w:lang w:eastAsia="en-GB"/>
        </w:rPr>
        <w:t xml:space="preserve">loan commitments, liquidity support arrangements, and recourse obligations in securitizations; Ryan (2012b: 298) refers to these instruments, among others, collectively as “risk-concentrated instruments”) and the extent to which these instruments might aid the assessment of the quality of firms’ risk management and internal control. Finally, there is limited research on how banks’ transparency affects their stability and the role governance might play in observing these effects. This is particularly important as banks are quite different </w:t>
      </w:r>
      <w:r w:rsidR="001B49BB" w:rsidRPr="003813C9">
        <w:rPr>
          <w:rFonts w:eastAsia="Times New Roman"/>
          <w:color w:val="auto"/>
          <w:sz w:val="24"/>
          <w:szCs w:val="24"/>
          <w:lang w:eastAsia="en-GB"/>
        </w:rPr>
        <w:t xml:space="preserve">from </w:t>
      </w:r>
      <w:r w:rsidRPr="003813C9">
        <w:rPr>
          <w:rFonts w:eastAsia="Times New Roman"/>
          <w:color w:val="auto"/>
          <w:sz w:val="24"/>
          <w:szCs w:val="24"/>
          <w:lang w:eastAsia="en-GB"/>
        </w:rPr>
        <w:t xml:space="preserve">other </w:t>
      </w:r>
      <w:r w:rsidR="001B49BB" w:rsidRPr="003813C9">
        <w:rPr>
          <w:rFonts w:eastAsia="Times New Roman"/>
          <w:color w:val="auto"/>
          <w:sz w:val="24"/>
          <w:szCs w:val="24"/>
          <w:lang w:eastAsia="en-GB"/>
        </w:rPr>
        <w:lastRenderedPageBreak/>
        <w:t>organizations</w:t>
      </w:r>
      <w:r w:rsidRPr="003813C9">
        <w:rPr>
          <w:rFonts w:eastAsia="Times New Roman"/>
          <w:color w:val="auto"/>
          <w:sz w:val="24"/>
          <w:szCs w:val="24"/>
          <w:lang w:eastAsia="en-GB"/>
        </w:rPr>
        <w:t xml:space="preserve"> in their excessive risk taking and the impact this has on the financial system as a whole (Bushman, 2014).</w:t>
      </w:r>
    </w:p>
    <w:bookmarkEnd w:id="4"/>
    <w:p w14:paraId="0DD9FD1F" w14:textId="77777777" w:rsidR="0046703C" w:rsidRPr="003813C9" w:rsidRDefault="0046703C" w:rsidP="0046703C">
      <w:pPr>
        <w:spacing w:after="0" w:line="480" w:lineRule="auto"/>
        <w:jc w:val="both"/>
        <w:rPr>
          <w:rFonts w:eastAsia="Times New Roman"/>
          <w:color w:val="auto"/>
          <w:sz w:val="24"/>
          <w:szCs w:val="24"/>
          <w:lang w:eastAsia="en-GB"/>
        </w:rPr>
      </w:pPr>
      <w:r w:rsidRPr="003813C9">
        <w:rPr>
          <w:rFonts w:eastAsia="Times New Roman"/>
          <w:i/>
          <w:iCs/>
          <w:color w:val="auto"/>
          <w:sz w:val="24"/>
          <w:szCs w:val="24"/>
          <w:lang w:eastAsia="en-GB"/>
        </w:rPr>
        <w:t>5.2. Further limitations and suggestions for future research</w:t>
      </w:r>
    </w:p>
    <w:p w14:paraId="7ED04E79" w14:textId="77777777" w:rsidR="0046703C" w:rsidRPr="003813C9" w:rsidRDefault="0046703C" w:rsidP="0046703C">
      <w:pPr>
        <w:spacing w:after="0" w:line="480" w:lineRule="auto"/>
        <w:jc w:val="both"/>
        <w:rPr>
          <w:rFonts w:eastAsia="Times New Roman"/>
          <w:bCs/>
          <w:i/>
          <w:iCs/>
          <w:color w:val="auto"/>
          <w:sz w:val="24"/>
          <w:szCs w:val="24"/>
          <w:lang w:eastAsia="en-GB"/>
        </w:rPr>
      </w:pPr>
      <w:r w:rsidRPr="003813C9">
        <w:rPr>
          <w:rFonts w:eastAsia="Times New Roman"/>
          <w:i/>
          <w:iCs/>
          <w:color w:val="auto"/>
          <w:sz w:val="24"/>
          <w:szCs w:val="24"/>
          <w:lang w:eastAsia="en-GB"/>
        </w:rPr>
        <w:t>5.2.1. Risk-related conceptual aspects</w:t>
      </w:r>
    </w:p>
    <w:p w14:paraId="185F6B59" w14:textId="34209FD8" w:rsidR="0046703C" w:rsidRPr="003813C9" w:rsidRDefault="0046703C" w:rsidP="0046703C">
      <w:pPr>
        <w:spacing w:after="0" w:line="480" w:lineRule="auto"/>
        <w:jc w:val="both"/>
        <w:rPr>
          <w:rFonts w:eastAsia="Times New Roman"/>
          <w:color w:val="auto"/>
          <w:sz w:val="24"/>
          <w:szCs w:val="24"/>
          <w:lang w:eastAsia="en-GB"/>
        </w:rPr>
      </w:pPr>
      <w:r w:rsidRPr="003813C9">
        <w:rPr>
          <w:rFonts w:eastAsia="Times New Roman"/>
          <w:color w:val="auto"/>
          <w:sz w:val="24"/>
          <w:szCs w:val="24"/>
          <w:lang w:eastAsia="en-GB"/>
        </w:rPr>
        <w:t xml:space="preserve">We note that there are differences between researchers’ definitions of key risk-related terms and phrases. In addition, the underlying concepts are sometimes not even considered by the authors, hence </w:t>
      </w:r>
      <w:r w:rsidR="00FB5022" w:rsidRPr="003813C9">
        <w:rPr>
          <w:rFonts w:eastAsia="Times New Roman"/>
          <w:color w:val="auto"/>
          <w:sz w:val="24"/>
          <w:szCs w:val="24"/>
          <w:lang w:eastAsia="en-GB"/>
        </w:rPr>
        <w:t xml:space="preserve">further attention should be paid </w:t>
      </w:r>
      <w:r w:rsidRPr="003813C9">
        <w:rPr>
          <w:rFonts w:eastAsia="Times New Roman"/>
          <w:color w:val="auto"/>
          <w:sz w:val="24"/>
          <w:szCs w:val="24"/>
          <w:lang w:eastAsia="en-GB"/>
        </w:rPr>
        <w:t>to consider the meanings of risk, risk concepts, risk types, and risk measurement.</w:t>
      </w:r>
      <w:r w:rsidR="0079795D" w:rsidRPr="003813C9">
        <w:rPr>
          <w:rFonts w:eastAsia="Times New Roman"/>
          <w:color w:val="auto"/>
          <w:sz w:val="24"/>
          <w:szCs w:val="24"/>
          <w:lang w:eastAsia="en-GB"/>
        </w:rPr>
        <w:t xml:space="preserve"> </w:t>
      </w:r>
      <w:r w:rsidRPr="003813C9">
        <w:rPr>
          <w:rFonts w:eastAsia="Times New Roman"/>
          <w:color w:val="auto"/>
          <w:sz w:val="24"/>
          <w:szCs w:val="24"/>
          <w:lang w:eastAsia="en-GB"/>
        </w:rPr>
        <w:t>We recommend that future researchers apply risk terminology in a way that is coherent and comparable, or state that they are doing otherwise. Further research is needed into how risk types can be generated conceptually from financial statement classifications</w:t>
      </w:r>
      <w:r w:rsidR="004864BF" w:rsidRPr="003813C9">
        <w:rPr>
          <w:rFonts w:eastAsia="Times New Roman"/>
          <w:color w:val="auto"/>
          <w:sz w:val="24"/>
          <w:szCs w:val="24"/>
          <w:lang w:eastAsia="en-GB"/>
        </w:rPr>
        <w:t xml:space="preserve"> (e.g., </w:t>
      </w:r>
      <w:r w:rsidR="00417015" w:rsidRPr="003813C9">
        <w:rPr>
          <w:rFonts w:eastAsia="Times New Roman"/>
          <w:color w:val="auto"/>
          <w:sz w:val="24"/>
          <w:szCs w:val="24"/>
          <w:lang w:eastAsia="en-GB"/>
        </w:rPr>
        <w:t>[i]</w:t>
      </w:r>
      <w:r w:rsidR="00092DC5" w:rsidRPr="003813C9">
        <w:rPr>
          <w:rFonts w:eastAsia="Times New Roman"/>
          <w:color w:val="auto"/>
          <w:sz w:val="24"/>
          <w:szCs w:val="24"/>
          <w:lang w:eastAsia="en-GB"/>
        </w:rPr>
        <w:t xml:space="preserve"> </w:t>
      </w:r>
      <w:r w:rsidR="00AD0B4F" w:rsidRPr="003813C9">
        <w:rPr>
          <w:rFonts w:eastAsia="Times New Roman"/>
          <w:color w:val="auto"/>
          <w:sz w:val="24"/>
          <w:szCs w:val="24"/>
          <w:lang w:eastAsia="en-GB"/>
        </w:rPr>
        <w:t>risks related to income statements</w:t>
      </w:r>
      <w:r w:rsidR="00092DC5" w:rsidRPr="003813C9">
        <w:rPr>
          <w:rFonts w:eastAsia="Times New Roman"/>
          <w:color w:val="auto"/>
          <w:sz w:val="24"/>
          <w:szCs w:val="24"/>
          <w:lang w:eastAsia="en-GB"/>
        </w:rPr>
        <w:t>,</w:t>
      </w:r>
      <w:r w:rsidR="00AD0B4F" w:rsidRPr="003813C9">
        <w:rPr>
          <w:rFonts w:eastAsia="Times New Roman"/>
          <w:color w:val="auto"/>
          <w:sz w:val="24"/>
          <w:szCs w:val="24"/>
          <w:lang w:eastAsia="en-GB"/>
        </w:rPr>
        <w:t xml:space="preserve"> such as volatility of revenues and net income</w:t>
      </w:r>
      <w:r w:rsidR="00417015" w:rsidRPr="003813C9">
        <w:rPr>
          <w:rFonts w:eastAsia="Times New Roman"/>
          <w:color w:val="auto"/>
          <w:sz w:val="24"/>
          <w:szCs w:val="24"/>
          <w:lang w:eastAsia="en-GB"/>
        </w:rPr>
        <w:t>, [ii]</w:t>
      </w:r>
      <w:r w:rsidR="00AD0B4F" w:rsidRPr="003813C9">
        <w:rPr>
          <w:rFonts w:eastAsia="Times New Roman"/>
          <w:color w:val="auto"/>
          <w:sz w:val="24"/>
          <w:szCs w:val="24"/>
          <w:lang w:eastAsia="en-GB"/>
        </w:rPr>
        <w:t xml:space="preserve"> risks related to the statement of financial position</w:t>
      </w:r>
      <w:r w:rsidR="00092DC5" w:rsidRPr="003813C9">
        <w:rPr>
          <w:rFonts w:eastAsia="Times New Roman"/>
          <w:color w:val="auto"/>
          <w:sz w:val="24"/>
          <w:szCs w:val="24"/>
          <w:lang w:eastAsia="en-GB"/>
        </w:rPr>
        <w:t>, namely</w:t>
      </w:r>
      <w:r w:rsidR="00AD0B4F" w:rsidRPr="003813C9">
        <w:rPr>
          <w:rFonts w:eastAsia="Times New Roman"/>
          <w:color w:val="auto"/>
          <w:sz w:val="24"/>
          <w:szCs w:val="24"/>
          <w:lang w:eastAsia="en-GB"/>
        </w:rPr>
        <w:t xml:space="preserve"> assets, liability, and equity</w:t>
      </w:r>
      <w:r w:rsidR="004864BF" w:rsidRPr="003813C9">
        <w:rPr>
          <w:rFonts w:eastAsia="Times New Roman"/>
          <w:color w:val="auto"/>
          <w:sz w:val="24"/>
          <w:szCs w:val="24"/>
          <w:lang w:eastAsia="en-GB"/>
        </w:rPr>
        <w:t>)</w:t>
      </w:r>
      <w:r w:rsidRPr="003813C9">
        <w:rPr>
          <w:rFonts w:eastAsia="Times New Roman"/>
          <w:color w:val="auto"/>
          <w:sz w:val="24"/>
          <w:szCs w:val="24"/>
          <w:lang w:eastAsia="en-GB"/>
        </w:rPr>
        <w:t>. R</w:t>
      </w:r>
      <w:r w:rsidR="00831288" w:rsidRPr="003813C9">
        <w:rPr>
          <w:rFonts w:eastAsia="Times New Roman"/>
          <w:color w:val="auto"/>
          <w:sz w:val="24"/>
          <w:szCs w:val="24"/>
          <w:lang w:eastAsia="en-GB"/>
        </w:rPr>
        <w:t>egarding measurement, further research is n</w:t>
      </w:r>
      <w:r w:rsidR="00137DFF" w:rsidRPr="003813C9">
        <w:rPr>
          <w:rFonts w:eastAsia="Times New Roman"/>
          <w:color w:val="auto"/>
          <w:sz w:val="24"/>
          <w:szCs w:val="24"/>
          <w:lang w:eastAsia="en-GB"/>
        </w:rPr>
        <w:t>ee</w:t>
      </w:r>
      <w:r w:rsidR="00831288" w:rsidRPr="003813C9">
        <w:rPr>
          <w:rFonts w:eastAsia="Times New Roman"/>
          <w:color w:val="auto"/>
          <w:sz w:val="24"/>
          <w:szCs w:val="24"/>
          <w:lang w:eastAsia="en-GB"/>
        </w:rPr>
        <w:t xml:space="preserve">ded to address </w:t>
      </w:r>
      <w:r w:rsidR="00137DFF" w:rsidRPr="003813C9">
        <w:rPr>
          <w:rFonts w:eastAsia="Times New Roman"/>
          <w:color w:val="auto"/>
          <w:sz w:val="24"/>
          <w:szCs w:val="24"/>
          <w:lang w:eastAsia="en-GB"/>
        </w:rPr>
        <w:t>the extent to which</w:t>
      </w:r>
      <w:r w:rsidRPr="003813C9">
        <w:rPr>
          <w:rFonts w:eastAsia="Times New Roman"/>
          <w:color w:val="auto"/>
          <w:sz w:val="24"/>
          <w:szCs w:val="24"/>
          <w:lang w:eastAsia="en-GB"/>
        </w:rPr>
        <w:t xml:space="preserve"> </w:t>
      </w:r>
      <w:r w:rsidR="00831288" w:rsidRPr="003813C9">
        <w:rPr>
          <w:rFonts w:eastAsia="Times New Roman"/>
          <w:color w:val="auto"/>
          <w:sz w:val="24"/>
          <w:szCs w:val="24"/>
          <w:lang w:eastAsia="en-GB"/>
        </w:rPr>
        <w:t>measures</w:t>
      </w:r>
      <w:r w:rsidR="007F3EE5" w:rsidRPr="003813C9">
        <w:rPr>
          <w:rFonts w:eastAsia="Times New Roman"/>
          <w:color w:val="auto"/>
          <w:sz w:val="24"/>
          <w:szCs w:val="24"/>
          <w:lang w:eastAsia="en-GB"/>
        </w:rPr>
        <w:t xml:space="preserve"> of risk types (e.g., market, credit, liquidity, and operational risks)</w:t>
      </w:r>
      <w:r w:rsidR="00831288" w:rsidRPr="003813C9">
        <w:rPr>
          <w:rFonts w:eastAsia="Times New Roman"/>
          <w:color w:val="auto"/>
          <w:sz w:val="24"/>
          <w:szCs w:val="24"/>
          <w:lang w:eastAsia="en-GB"/>
        </w:rPr>
        <w:t xml:space="preserve"> can be aggregated</w:t>
      </w:r>
      <w:r w:rsidRPr="003813C9">
        <w:rPr>
          <w:rFonts w:eastAsia="Times New Roman"/>
          <w:color w:val="auto"/>
          <w:sz w:val="24"/>
          <w:szCs w:val="24"/>
          <w:lang w:eastAsia="en-GB"/>
        </w:rPr>
        <w:t xml:space="preserve"> and how the accounting data will </w:t>
      </w:r>
      <w:r w:rsidR="00016C3C" w:rsidRPr="003813C9">
        <w:rPr>
          <w:rFonts w:eastAsia="Times New Roman"/>
          <w:color w:val="auto"/>
          <w:sz w:val="24"/>
          <w:szCs w:val="24"/>
          <w:lang w:eastAsia="en-GB"/>
        </w:rPr>
        <w:t xml:space="preserve">fit </w:t>
      </w:r>
      <w:r w:rsidRPr="003813C9">
        <w:rPr>
          <w:rFonts w:eastAsia="Times New Roman"/>
          <w:color w:val="auto"/>
          <w:sz w:val="24"/>
          <w:szCs w:val="24"/>
          <w:lang w:eastAsia="en-GB"/>
        </w:rPr>
        <w:t xml:space="preserve">such measures (particularly considering the differing frequencies associated with accounting versus market data). Additionally, </w:t>
      </w:r>
      <w:r w:rsidR="00016C3C" w:rsidRPr="003813C9">
        <w:rPr>
          <w:rFonts w:eastAsia="Times New Roman"/>
          <w:color w:val="auto"/>
          <w:sz w:val="24"/>
          <w:szCs w:val="24"/>
          <w:lang w:eastAsia="en-GB"/>
        </w:rPr>
        <w:t>further research is required to</w:t>
      </w:r>
      <w:r w:rsidR="00831288" w:rsidRPr="003813C9">
        <w:rPr>
          <w:rFonts w:eastAsia="Times New Roman"/>
          <w:color w:val="auto"/>
          <w:sz w:val="24"/>
          <w:szCs w:val="24"/>
          <w:lang w:eastAsia="en-GB"/>
        </w:rPr>
        <w:t xml:space="preserve"> </w:t>
      </w:r>
      <w:r w:rsidRPr="003813C9">
        <w:rPr>
          <w:rFonts w:eastAsia="Times New Roman"/>
          <w:color w:val="auto"/>
          <w:sz w:val="24"/>
          <w:szCs w:val="24"/>
          <w:lang w:eastAsia="en-GB"/>
        </w:rPr>
        <w:t xml:space="preserve">assess whether the current </w:t>
      </w:r>
      <w:r w:rsidR="00E32358" w:rsidRPr="003813C9">
        <w:rPr>
          <w:rFonts w:eastAsia="Times New Roman"/>
          <w:color w:val="auto"/>
          <w:sz w:val="24"/>
          <w:szCs w:val="24"/>
          <w:lang w:eastAsia="en-GB"/>
        </w:rPr>
        <w:t xml:space="preserve">financial </w:t>
      </w:r>
      <w:r w:rsidRPr="003813C9">
        <w:rPr>
          <w:rFonts w:eastAsia="Times New Roman"/>
          <w:color w:val="auto"/>
          <w:sz w:val="24"/>
          <w:szCs w:val="24"/>
          <w:lang w:eastAsia="en-GB"/>
        </w:rPr>
        <w:t xml:space="preserve">accounting model is suitable for capturing the financial effects of risks in the financial statements. </w:t>
      </w:r>
    </w:p>
    <w:p w14:paraId="1FA604AF" w14:textId="504C35FB" w:rsidR="001C2D3A" w:rsidRPr="003813C9" w:rsidRDefault="0046703C" w:rsidP="00947D9E">
      <w:pPr>
        <w:spacing w:after="0" w:line="480" w:lineRule="auto"/>
        <w:ind w:firstLine="567"/>
        <w:jc w:val="both"/>
        <w:rPr>
          <w:rFonts w:eastAsia="Times New Roman"/>
          <w:color w:val="auto"/>
          <w:sz w:val="24"/>
          <w:szCs w:val="24"/>
          <w:lang w:eastAsia="en-GB"/>
        </w:rPr>
      </w:pPr>
      <w:r w:rsidRPr="003813C9">
        <w:rPr>
          <w:rFonts w:eastAsia="Times New Roman"/>
          <w:color w:val="auto"/>
          <w:sz w:val="24"/>
          <w:szCs w:val="24"/>
          <w:lang w:eastAsia="en-GB"/>
        </w:rPr>
        <w:t xml:space="preserve">We also recall the suggestions of </w:t>
      </w:r>
      <w:proofErr w:type="spellStart"/>
      <w:r w:rsidRPr="003813C9">
        <w:rPr>
          <w:rFonts w:eastAsia="Times New Roman"/>
          <w:color w:val="auto"/>
          <w:sz w:val="24"/>
          <w:szCs w:val="24"/>
          <w:lang w:eastAsia="en-GB"/>
        </w:rPr>
        <w:t>Schrand</w:t>
      </w:r>
      <w:proofErr w:type="spellEnd"/>
      <w:r w:rsidRPr="003813C9">
        <w:rPr>
          <w:rFonts w:eastAsia="Times New Roman"/>
          <w:color w:val="auto"/>
          <w:sz w:val="24"/>
          <w:szCs w:val="24"/>
          <w:lang w:eastAsia="en-GB"/>
        </w:rPr>
        <w:t xml:space="preserve"> and Elliott (1998), who conclude that accurately identifying a list of risk types for all firms would be unrealistic, owing to each firm’s inherent circumstances and characteristics, which in turn generate different types of risks. The model, together with the type of data and its </w:t>
      </w:r>
      <w:proofErr w:type="spellStart"/>
      <w:r w:rsidRPr="003813C9">
        <w:rPr>
          <w:rFonts w:eastAsia="Times New Roman"/>
          <w:color w:val="auto"/>
          <w:sz w:val="24"/>
          <w:szCs w:val="24"/>
          <w:lang w:eastAsia="en-GB"/>
        </w:rPr>
        <w:t>quantifiability</w:t>
      </w:r>
      <w:proofErr w:type="spellEnd"/>
      <w:r w:rsidRPr="003813C9">
        <w:rPr>
          <w:rFonts w:eastAsia="Times New Roman"/>
          <w:color w:val="auto"/>
          <w:sz w:val="24"/>
          <w:szCs w:val="24"/>
          <w:lang w:eastAsia="en-GB"/>
        </w:rPr>
        <w:t xml:space="preserve">, are the core issues related to measurement. </w:t>
      </w:r>
      <w:proofErr w:type="spellStart"/>
      <w:r w:rsidRPr="003813C9">
        <w:rPr>
          <w:rFonts w:eastAsia="Times New Roman"/>
          <w:color w:val="auto"/>
          <w:sz w:val="24"/>
          <w:szCs w:val="24"/>
          <w:lang w:eastAsia="en-GB"/>
        </w:rPr>
        <w:t>Schrand</w:t>
      </w:r>
      <w:proofErr w:type="spellEnd"/>
      <w:r w:rsidRPr="003813C9">
        <w:rPr>
          <w:rFonts w:eastAsia="Times New Roman"/>
          <w:color w:val="auto"/>
          <w:sz w:val="24"/>
          <w:szCs w:val="24"/>
          <w:lang w:eastAsia="en-GB"/>
        </w:rPr>
        <w:t xml:space="preserve"> and Elliott (1998) explain the difficulties of using a single model of risk measurement, as not all risk types can be measured, and </w:t>
      </w:r>
      <w:r w:rsidR="001B49BB" w:rsidRPr="003813C9">
        <w:rPr>
          <w:rFonts w:eastAsia="Times New Roman"/>
          <w:color w:val="auto"/>
          <w:sz w:val="24"/>
          <w:szCs w:val="24"/>
          <w:lang w:eastAsia="en-GB"/>
        </w:rPr>
        <w:t xml:space="preserve">they </w:t>
      </w:r>
      <w:r w:rsidRPr="003813C9">
        <w:rPr>
          <w:rFonts w:eastAsia="Times New Roman"/>
          <w:color w:val="auto"/>
          <w:sz w:val="24"/>
          <w:szCs w:val="24"/>
          <w:lang w:eastAsia="en-GB"/>
        </w:rPr>
        <w:t xml:space="preserve">assert that risk measures should rely on both historical and future data. To overcome these weaknesses, </w:t>
      </w:r>
      <w:r w:rsidR="001B49BB" w:rsidRPr="003813C9">
        <w:rPr>
          <w:rFonts w:eastAsia="Times New Roman"/>
          <w:color w:val="auto"/>
          <w:sz w:val="24"/>
          <w:szCs w:val="24"/>
          <w:lang w:eastAsia="en-GB"/>
        </w:rPr>
        <w:t xml:space="preserve">they make two suggestions: </w:t>
      </w:r>
      <w:r w:rsidRPr="003813C9">
        <w:rPr>
          <w:rFonts w:eastAsia="Times New Roman"/>
          <w:color w:val="auto"/>
          <w:sz w:val="24"/>
          <w:szCs w:val="24"/>
          <w:lang w:eastAsia="en-GB"/>
        </w:rPr>
        <w:t xml:space="preserve">using historical measures (e.g., volatility) of risk exposure </w:t>
      </w:r>
      <w:r w:rsidR="001B49BB" w:rsidRPr="003813C9">
        <w:rPr>
          <w:rFonts w:eastAsia="Times New Roman"/>
          <w:color w:val="auto"/>
          <w:sz w:val="24"/>
          <w:szCs w:val="24"/>
          <w:lang w:eastAsia="en-GB"/>
        </w:rPr>
        <w:t xml:space="preserve">to </w:t>
      </w:r>
      <w:r w:rsidRPr="003813C9">
        <w:rPr>
          <w:rFonts w:eastAsia="Times New Roman"/>
          <w:color w:val="auto"/>
          <w:sz w:val="24"/>
          <w:szCs w:val="24"/>
          <w:lang w:eastAsia="en-GB"/>
        </w:rPr>
        <w:t xml:space="preserve">heighten users’ awareness of firms’ risks, </w:t>
      </w:r>
      <w:r w:rsidRPr="003813C9">
        <w:rPr>
          <w:rFonts w:eastAsia="Times New Roman"/>
          <w:color w:val="auto"/>
          <w:sz w:val="24"/>
          <w:szCs w:val="24"/>
          <w:lang w:eastAsia="en-GB"/>
        </w:rPr>
        <w:lastRenderedPageBreak/>
        <w:t xml:space="preserve">and combining historical with future data using simulation analysis. In general, quantification creates a unique set of problems but, within this context, </w:t>
      </w:r>
      <w:proofErr w:type="spellStart"/>
      <w:r w:rsidRPr="003813C9">
        <w:rPr>
          <w:rFonts w:eastAsia="Times New Roman"/>
          <w:color w:val="auto"/>
          <w:sz w:val="24"/>
          <w:szCs w:val="24"/>
          <w:lang w:eastAsia="en-GB"/>
        </w:rPr>
        <w:t>mis</w:t>
      </w:r>
      <w:proofErr w:type="spellEnd"/>
      <w:r w:rsidRPr="003813C9">
        <w:rPr>
          <w:rFonts w:eastAsia="Times New Roman"/>
          <w:color w:val="auto"/>
          <w:sz w:val="24"/>
          <w:szCs w:val="24"/>
          <w:lang w:eastAsia="en-GB"/>
        </w:rPr>
        <w:t xml:space="preserve">-measurement could result in poor decision making. We suggest that in lieu of better alternatives, </w:t>
      </w:r>
      <w:r w:rsidR="00092DC5" w:rsidRPr="003813C9">
        <w:rPr>
          <w:rFonts w:eastAsia="Times New Roman"/>
          <w:color w:val="auto"/>
          <w:sz w:val="24"/>
          <w:szCs w:val="24"/>
          <w:lang w:eastAsia="en-GB"/>
        </w:rPr>
        <w:t>a Value at Risk (</w:t>
      </w:r>
      <w:proofErr w:type="spellStart"/>
      <w:r w:rsidR="00092DC5" w:rsidRPr="003813C9">
        <w:rPr>
          <w:rFonts w:eastAsia="Times New Roman"/>
          <w:color w:val="auto"/>
          <w:sz w:val="24"/>
          <w:szCs w:val="24"/>
          <w:lang w:eastAsia="en-GB"/>
        </w:rPr>
        <w:t>VaR</w:t>
      </w:r>
      <w:proofErr w:type="spellEnd"/>
      <w:r w:rsidR="00092DC5" w:rsidRPr="003813C9">
        <w:rPr>
          <w:rFonts w:eastAsia="Times New Roman"/>
          <w:color w:val="auto"/>
          <w:sz w:val="24"/>
          <w:szCs w:val="24"/>
          <w:lang w:eastAsia="en-GB"/>
        </w:rPr>
        <w:t>) model – based on accounting data – might be adopted where applicable and practical.</w:t>
      </w:r>
      <w:r w:rsidR="001E38F7" w:rsidRPr="003813C9">
        <w:rPr>
          <w:rStyle w:val="FootnoteReference"/>
          <w:rFonts w:eastAsia="Times New Roman"/>
          <w:color w:val="auto"/>
          <w:sz w:val="24"/>
          <w:szCs w:val="24"/>
          <w:lang w:eastAsia="en-GB"/>
        </w:rPr>
        <w:footnoteReference w:id="19"/>
      </w:r>
      <w:r w:rsidR="00092DC5" w:rsidRPr="003813C9">
        <w:rPr>
          <w:rFonts w:eastAsia="Times New Roman"/>
          <w:color w:val="auto"/>
          <w:sz w:val="24"/>
          <w:szCs w:val="24"/>
          <w:lang w:eastAsia="en-GB"/>
        </w:rPr>
        <w:t xml:space="preserve"> This is because there is</w:t>
      </w:r>
      <w:r w:rsidRPr="003813C9">
        <w:rPr>
          <w:rFonts w:eastAsia="Times New Roman"/>
          <w:color w:val="auto"/>
          <w:sz w:val="24"/>
          <w:szCs w:val="24"/>
          <w:lang w:eastAsia="en-GB"/>
        </w:rPr>
        <w:t xml:space="preserve"> general acceptance of the underlying principles of </w:t>
      </w:r>
      <w:proofErr w:type="spellStart"/>
      <w:r w:rsidR="00092DC5" w:rsidRPr="003813C9">
        <w:rPr>
          <w:rFonts w:eastAsia="Times New Roman"/>
          <w:color w:val="auto"/>
          <w:sz w:val="24"/>
          <w:szCs w:val="24"/>
          <w:lang w:eastAsia="en-GB"/>
        </w:rPr>
        <w:t>VaR</w:t>
      </w:r>
      <w:proofErr w:type="spellEnd"/>
      <w:r w:rsidR="00092DC5" w:rsidRPr="003813C9">
        <w:rPr>
          <w:rFonts w:eastAsia="Times New Roman"/>
          <w:color w:val="auto"/>
          <w:sz w:val="24"/>
          <w:szCs w:val="24"/>
          <w:lang w:eastAsia="en-GB"/>
        </w:rPr>
        <w:t xml:space="preserve"> and it is straightforward to interpret</w:t>
      </w:r>
      <w:r w:rsidRPr="003813C9">
        <w:rPr>
          <w:rFonts w:eastAsia="Times New Roman"/>
          <w:color w:val="auto"/>
          <w:sz w:val="24"/>
          <w:szCs w:val="24"/>
          <w:lang w:eastAsia="en-GB"/>
        </w:rPr>
        <w:t xml:space="preserve">. </w:t>
      </w:r>
      <w:r w:rsidR="00092DC5" w:rsidRPr="003813C9">
        <w:rPr>
          <w:rFonts w:eastAsia="Times New Roman"/>
          <w:color w:val="auto"/>
          <w:sz w:val="24"/>
          <w:szCs w:val="24"/>
          <w:lang w:eastAsia="en-GB"/>
        </w:rPr>
        <w:t>However, f</w:t>
      </w:r>
      <w:r w:rsidRPr="003813C9">
        <w:rPr>
          <w:rFonts w:eastAsia="Times New Roman"/>
          <w:color w:val="auto"/>
          <w:sz w:val="24"/>
          <w:szCs w:val="24"/>
          <w:lang w:eastAsia="en-GB"/>
        </w:rPr>
        <w:t xml:space="preserve">urther research </w:t>
      </w:r>
      <w:r w:rsidR="00092DC5" w:rsidRPr="003813C9">
        <w:rPr>
          <w:rFonts w:eastAsia="Times New Roman"/>
          <w:color w:val="auto"/>
          <w:sz w:val="24"/>
          <w:szCs w:val="24"/>
          <w:lang w:eastAsia="en-GB"/>
        </w:rPr>
        <w:t xml:space="preserve">would be beneficial </w:t>
      </w:r>
      <w:r w:rsidRPr="003813C9">
        <w:rPr>
          <w:rFonts w:eastAsia="Times New Roman"/>
          <w:color w:val="auto"/>
          <w:sz w:val="24"/>
          <w:szCs w:val="24"/>
          <w:lang w:eastAsia="en-GB"/>
        </w:rPr>
        <w:t>to explore any practical problems and solutions</w:t>
      </w:r>
      <w:r w:rsidR="00092DC5" w:rsidRPr="003813C9">
        <w:rPr>
          <w:rFonts w:eastAsia="Times New Roman"/>
          <w:color w:val="auto"/>
          <w:sz w:val="24"/>
          <w:szCs w:val="24"/>
          <w:lang w:eastAsia="en-GB"/>
        </w:rPr>
        <w:t xml:space="preserve"> related to adoption</w:t>
      </w:r>
      <w:r w:rsidRPr="003813C9">
        <w:rPr>
          <w:rFonts w:eastAsia="Times New Roman"/>
          <w:color w:val="auto"/>
          <w:sz w:val="24"/>
          <w:szCs w:val="24"/>
          <w:lang w:eastAsia="en-GB"/>
        </w:rPr>
        <w:t>.</w:t>
      </w:r>
      <w:r w:rsidR="001C2D3A" w:rsidRPr="003813C9">
        <w:rPr>
          <w:color w:val="auto"/>
        </w:rPr>
        <w:t xml:space="preserve"> </w:t>
      </w:r>
    </w:p>
    <w:p w14:paraId="3F0E6EC3" w14:textId="77777777" w:rsidR="0046703C" w:rsidRPr="003813C9" w:rsidRDefault="0046703C" w:rsidP="001C2D3A">
      <w:pPr>
        <w:spacing w:after="0" w:line="480" w:lineRule="auto"/>
        <w:jc w:val="both"/>
        <w:rPr>
          <w:rFonts w:eastAsia="Times New Roman"/>
          <w:bCs/>
          <w:color w:val="auto"/>
          <w:sz w:val="24"/>
          <w:szCs w:val="24"/>
          <w:lang w:eastAsia="en-GB"/>
        </w:rPr>
      </w:pPr>
      <w:r w:rsidRPr="003813C9">
        <w:rPr>
          <w:rFonts w:eastAsia="Times New Roman"/>
          <w:i/>
          <w:color w:val="auto"/>
          <w:sz w:val="24"/>
          <w:szCs w:val="24"/>
          <w:lang w:eastAsia="en-GB"/>
        </w:rPr>
        <w:t>5.2.2.</w:t>
      </w:r>
      <w:r w:rsidRPr="003813C9">
        <w:rPr>
          <w:rFonts w:eastAsia="Times New Roman"/>
          <w:color w:val="auto"/>
          <w:sz w:val="24"/>
          <w:szCs w:val="24"/>
          <w:lang w:eastAsia="en-GB"/>
        </w:rPr>
        <w:t xml:space="preserve"> </w:t>
      </w:r>
      <w:r w:rsidRPr="003813C9">
        <w:rPr>
          <w:rFonts w:eastAsia="Times New Roman"/>
          <w:i/>
          <w:color w:val="auto"/>
          <w:sz w:val="24"/>
          <w:szCs w:val="24"/>
          <w:lang w:eastAsia="en-GB"/>
        </w:rPr>
        <w:t>Standard-setters’ involvement</w:t>
      </w:r>
    </w:p>
    <w:p w14:paraId="4226AE30" w14:textId="4F9232D1" w:rsidR="000514F1" w:rsidRPr="003813C9" w:rsidRDefault="0046703C" w:rsidP="00206926">
      <w:pPr>
        <w:spacing w:after="0" w:line="480" w:lineRule="auto"/>
        <w:jc w:val="both"/>
        <w:rPr>
          <w:rFonts w:eastAsia="Times New Roman"/>
          <w:strike/>
          <w:color w:val="auto"/>
          <w:sz w:val="24"/>
          <w:szCs w:val="24"/>
          <w:lang w:eastAsia="en-GB"/>
        </w:rPr>
      </w:pPr>
      <w:r w:rsidRPr="003813C9">
        <w:rPr>
          <w:rFonts w:eastAsia="Times New Roman"/>
          <w:color w:val="auto"/>
          <w:sz w:val="24"/>
          <w:szCs w:val="24"/>
          <w:lang w:eastAsia="en-GB"/>
        </w:rPr>
        <w:t xml:space="preserve">In line with both </w:t>
      </w:r>
      <w:proofErr w:type="spellStart"/>
      <w:r w:rsidRPr="003813C9">
        <w:rPr>
          <w:rFonts w:eastAsia="Times New Roman"/>
          <w:color w:val="auto"/>
          <w:sz w:val="24"/>
          <w:szCs w:val="24"/>
          <w:lang w:eastAsia="en-GB"/>
        </w:rPr>
        <w:t>Leuz</w:t>
      </w:r>
      <w:proofErr w:type="spellEnd"/>
      <w:r w:rsidRPr="003813C9">
        <w:rPr>
          <w:rFonts w:eastAsia="Times New Roman"/>
          <w:color w:val="auto"/>
          <w:sz w:val="24"/>
          <w:szCs w:val="24"/>
          <w:lang w:eastAsia="en-GB"/>
        </w:rPr>
        <w:t xml:space="preserve"> and </w:t>
      </w:r>
      <w:proofErr w:type="spellStart"/>
      <w:r w:rsidRPr="003813C9">
        <w:rPr>
          <w:rFonts w:eastAsia="Times New Roman"/>
          <w:color w:val="auto"/>
          <w:sz w:val="24"/>
          <w:szCs w:val="24"/>
          <w:lang w:eastAsia="en-GB"/>
        </w:rPr>
        <w:t>Wysocki</w:t>
      </w:r>
      <w:proofErr w:type="spellEnd"/>
      <w:r w:rsidRPr="003813C9">
        <w:rPr>
          <w:rFonts w:eastAsia="Times New Roman"/>
          <w:color w:val="auto"/>
          <w:sz w:val="24"/>
          <w:szCs w:val="24"/>
          <w:lang w:eastAsia="en-GB"/>
        </w:rPr>
        <w:t xml:space="preserve"> (2016) and Beyer, Cohen, Lys, and Walther (2010), our paper stresses the importance of the standard-setters’ role and their ability to encourage firms to produce decision-useful information. </w:t>
      </w:r>
      <w:r w:rsidR="00E5122C" w:rsidRPr="003813C9">
        <w:rPr>
          <w:rFonts w:eastAsia="Times New Roman"/>
          <w:color w:val="auto"/>
          <w:sz w:val="24"/>
          <w:szCs w:val="24"/>
          <w:lang w:eastAsia="en-GB"/>
        </w:rPr>
        <w:t>Our review suggests that the current state of risk reporting regulation is</w:t>
      </w:r>
      <w:r w:rsidR="00137DFF" w:rsidRPr="003813C9">
        <w:rPr>
          <w:rFonts w:eastAsia="Times New Roman"/>
          <w:color w:val="auto"/>
          <w:sz w:val="24"/>
          <w:szCs w:val="24"/>
          <w:lang w:eastAsia="en-GB"/>
        </w:rPr>
        <w:t xml:space="preserve"> at a</w:t>
      </w:r>
      <w:r w:rsidR="00E5122C" w:rsidRPr="003813C9">
        <w:rPr>
          <w:rFonts w:eastAsia="Times New Roman"/>
          <w:color w:val="auto"/>
          <w:sz w:val="24"/>
          <w:szCs w:val="24"/>
          <w:lang w:eastAsia="en-GB"/>
        </w:rPr>
        <w:t xml:space="preserve"> similar</w:t>
      </w:r>
      <w:r w:rsidR="00137DFF" w:rsidRPr="003813C9">
        <w:rPr>
          <w:rFonts w:eastAsia="Times New Roman"/>
          <w:color w:val="auto"/>
          <w:sz w:val="24"/>
          <w:szCs w:val="24"/>
          <w:lang w:eastAsia="en-GB"/>
        </w:rPr>
        <w:t xml:space="preserve"> stage</w:t>
      </w:r>
      <w:r w:rsidR="00E5122C" w:rsidRPr="003813C9">
        <w:rPr>
          <w:rFonts w:eastAsia="Times New Roman"/>
          <w:color w:val="auto"/>
          <w:sz w:val="24"/>
          <w:szCs w:val="24"/>
          <w:lang w:eastAsia="en-GB"/>
        </w:rPr>
        <w:t xml:space="preserve"> to that of fair-value reporting regulation before the IASB issued a specific standard covering fair-value measurement and disclosure. Current regulations on risk reporting are spread among a wide range of accounting standa</w:t>
      </w:r>
      <w:r w:rsidR="008C63F4" w:rsidRPr="003813C9">
        <w:rPr>
          <w:rFonts w:eastAsia="Times New Roman"/>
          <w:color w:val="auto"/>
          <w:sz w:val="24"/>
          <w:szCs w:val="24"/>
          <w:lang w:eastAsia="en-GB"/>
        </w:rPr>
        <w:t>rds (e.g., IFRS 7, 9), implying</w:t>
      </w:r>
      <w:r w:rsidR="00E5122C" w:rsidRPr="003813C9">
        <w:rPr>
          <w:rFonts w:eastAsia="Times New Roman"/>
          <w:color w:val="auto"/>
          <w:sz w:val="24"/>
          <w:szCs w:val="24"/>
          <w:lang w:eastAsia="en-GB"/>
        </w:rPr>
        <w:t xml:space="preserve"> that overlap across standards is unavoidable and accurate interpretation challenging. </w:t>
      </w:r>
      <w:r w:rsidRPr="003813C9">
        <w:rPr>
          <w:rFonts w:eastAsia="Times New Roman"/>
          <w:color w:val="auto"/>
          <w:sz w:val="24"/>
          <w:szCs w:val="24"/>
          <w:lang w:eastAsia="en-GB"/>
        </w:rPr>
        <w:t xml:space="preserve">Thus, further research is needed to gather and </w:t>
      </w:r>
      <w:proofErr w:type="spellStart"/>
      <w:r w:rsidRPr="003813C9">
        <w:rPr>
          <w:rFonts w:eastAsia="Times New Roman"/>
          <w:color w:val="auto"/>
          <w:sz w:val="24"/>
          <w:szCs w:val="24"/>
          <w:lang w:eastAsia="en-GB"/>
        </w:rPr>
        <w:t>analyze</w:t>
      </w:r>
      <w:proofErr w:type="spellEnd"/>
      <w:r w:rsidRPr="003813C9">
        <w:rPr>
          <w:rFonts w:eastAsia="Times New Roman"/>
          <w:color w:val="auto"/>
          <w:sz w:val="24"/>
          <w:szCs w:val="24"/>
          <w:lang w:eastAsia="en-GB"/>
        </w:rPr>
        <w:t xml:space="preserve"> all previous professional publications on risk reporting, and more specifically on the issue of developing a stand-alone risk-reporting accounting standard. The basis for our suggestion is that, currently, there is a great deal of energy and attention focused on reviewing how, why, and to what extent firms should reveal information about their risks. In line with Ryan’s (2012a) and </w:t>
      </w:r>
      <w:proofErr w:type="spellStart"/>
      <w:r w:rsidRPr="003813C9">
        <w:rPr>
          <w:rFonts w:eastAsia="Times New Roman"/>
          <w:color w:val="auto"/>
          <w:sz w:val="24"/>
          <w:szCs w:val="24"/>
          <w:lang w:eastAsia="en-GB"/>
        </w:rPr>
        <w:t>Dobler’s</w:t>
      </w:r>
      <w:proofErr w:type="spellEnd"/>
      <w:r w:rsidRPr="003813C9">
        <w:rPr>
          <w:rFonts w:eastAsia="Times New Roman"/>
          <w:color w:val="auto"/>
          <w:sz w:val="24"/>
          <w:szCs w:val="24"/>
          <w:lang w:eastAsia="en-GB"/>
        </w:rPr>
        <w:t xml:space="preserve"> (2008) arguments, and the empirical findings of </w:t>
      </w:r>
      <w:proofErr w:type="spellStart"/>
      <w:r w:rsidRPr="003813C9">
        <w:rPr>
          <w:rFonts w:eastAsia="Times New Roman"/>
          <w:color w:val="auto"/>
          <w:sz w:val="24"/>
          <w:szCs w:val="24"/>
          <w:lang w:eastAsia="en-GB"/>
        </w:rPr>
        <w:t>Miihkinen</w:t>
      </w:r>
      <w:proofErr w:type="spellEnd"/>
      <w:r w:rsidRPr="003813C9">
        <w:rPr>
          <w:rFonts w:eastAsia="Times New Roman"/>
          <w:color w:val="auto"/>
          <w:sz w:val="24"/>
          <w:szCs w:val="24"/>
          <w:lang w:eastAsia="en-GB"/>
        </w:rPr>
        <w:t xml:space="preserve"> (2012, 2013), we find scant support in the present-day literature for substantial or substantive benefits to be gained from the introduction of</w:t>
      </w:r>
      <w:r w:rsidRPr="003813C9">
        <w:rPr>
          <w:rFonts w:eastAsia="Times New Roman"/>
          <w:i/>
          <w:iCs/>
          <w:color w:val="auto"/>
          <w:sz w:val="24"/>
          <w:szCs w:val="24"/>
          <w:lang w:eastAsia="en-GB"/>
        </w:rPr>
        <w:t xml:space="preserve"> more</w:t>
      </w:r>
      <w:r w:rsidRPr="003813C9">
        <w:rPr>
          <w:rFonts w:eastAsia="Times New Roman"/>
          <w:color w:val="auto"/>
          <w:sz w:val="24"/>
          <w:szCs w:val="24"/>
          <w:lang w:eastAsia="en-GB"/>
        </w:rPr>
        <w:t xml:space="preserve"> regulation. However, there are those who claim that current regulation could be </w:t>
      </w:r>
      <w:r w:rsidRPr="003813C9">
        <w:rPr>
          <w:rFonts w:eastAsia="Times New Roman"/>
          <w:i/>
          <w:color w:val="auto"/>
          <w:sz w:val="24"/>
          <w:szCs w:val="24"/>
          <w:lang w:eastAsia="en-GB"/>
        </w:rPr>
        <w:t>improved</w:t>
      </w:r>
      <w:r w:rsidRPr="003813C9">
        <w:rPr>
          <w:rFonts w:eastAsia="Times New Roman"/>
          <w:i/>
          <w:iCs/>
          <w:color w:val="auto"/>
          <w:sz w:val="24"/>
          <w:szCs w:val="24"/>
          <w:lang w:eastAsia="en-GB"/>
        </w:rPr>
        <w:t>.</w:t>
      </w:r>
      <w:r w:rsidRPr="003813C9">
        <w:rPr>
          <w:rFonts w:eastAsia="Times New Roman"/>
          <w:color w:val="auto"/>
          <w:sz w:val="24"/>
          <w:szCs w:val="24"/>
          <w:lang w:eastAsia="en-GB"/>
        </w:rPr>
        <w:t xml:space="preserve"> We propose that any formal accounting standard – perhaps incorporating a ‘comply or explain’ philosophy – </w:t>
      </w:r>
      <w:r w:rsidRPr="003813C9">
        <w:rPr>
          <w:rFonts w:eastAsia="Times New Roman"/>
          <w:color w:val="auto"/>
          <w:sz w:val="24"/>
          <w:szCs w:val="24"/>
          <w:lang w:eastAsia="en-GB"/>
        </w:rPr>
        <w:lastRenderedPageBreak/>
        <w:t xml:space="preserve">might include the requirement for individual firms to produce a comprehensive ‘risk report’, which would contain managerial perspectives on definitional issues such as the risk concept, risk definitions, risk types, and risk measurement (strategies, practices, policies, and assumptions). </w:t>
      </w:r>
    </w:p>
    <w:p w14:paraId="60F53669" w14:textId="77777777" w:rsidR="0046703C" w:rsidRPr="003813C9" w:rsidRDefault="0046703C" w:rsidP="0046703C">
      <w:pPr>
        <w:spacing w:line="254" w:lineRule="auto"/>
        <w:rPr>
          <w:rFonts w:eastAsia="Times New Roman"/>
          <w:color w:val="auto"/>
          <w:sz w:val="24"/>
          <w:szCs w:val="24"/>
          <w:lang w:eastAsia="en-GB"/>
        </w:rPr>
      </w:pPr>
      <w:r w:rsidRPr="003813C9">
        <w:rPr>
          <w:rFonts w:eastAsia="Times New Roman"/>
          <w:b/>
          <w:bCs/>
          <w:color w:val="auto"/>
          <w:sz w:val="24"/>
          <w:szCs w:val="24"/>
        </w:rPr>
        <w:t xml:space="preserve">References  </w:t>
      </w:r>
    </w:p>
    <w:p w14:paraId="3A354538" w14:textId="77777777" w:rsidR="0046703C" w:rsidRPr="003813C9" w:rsidRDefault="0046703C" w:rsidP="0046703C">
      <w:pPr>
        <w:spacing w:after="0" w:line="240" w:lineRule="auto"/>
        <w:ind w:hanging="720"/>
        <w:jc w:val="both"/>
        <w:rPr>
          <w:rFonts w:eastAsia="Times New Roman"/>
          <w:i/>
          <w:iCs/>
          <w:color w:val="auto"/>
          <w:sz w:val="24"/>
          <w:szCs w:val="24"/>
        </w:rPr>
      </w:pPr>
      <w:proofErr w:type="gramStart"/>
      <w:r w:rsidRPr="003813C9">
        <w:rPr>
          <w:rFonts w:eastAsia="Times New Roman"/>
          <w:color w:val="auto"/>
          <w:sz w:val="24"/>
          <w:szCs w:val="24"/>
        </w:rPr>
        <w:t>Abdallah, A. A. N., Hassan, M. K., &amp; McClelland, P. L. (2015).</w:t>
      </w:r>
      <w:proofErr w:type="gramEnd"/>
      <w:r w:rsidRPr="003813C9">
        <w:rPr>
          <w:rFonts w:eastAsia="Times New Roman"/>
          <w:color w:val="auto"/>
          <w:sz w:val="24"/>
          <w:szCs w:val="24"/>
        </w:rPr>
        <w:t xml:space="preserve"> </w:t>
      </w:r>
      <w:proofErr w:type="gramStart"/>
      <w:r w:rsidRPr="003813C9">
        <w:rPr>
          <w:rFonts w:eastAsia="Times New Roman"/>
          <w:color w:val="auto"/>
          <w:sz w:val="24"/>
          <w:szCs w:val="24"/>
        </w:rPr>
        <w:t>Islamic financial institutions, corporate governance, and corporate risk disclosure in Gulf Cooperation Council countries.</w:t>
      </w:r>
      <w:proofErr w:type="gramEnd"/>
      <w:r w:rsidRPr="003813C9">
        <w:rPr>
          <w:rFonts w:eastAsia="Times New Roman"/>
          <w:color w:val="auto"/>
          <w:sz w:val="24"/>
          <w:szCs w:val="24"/>
        </w:rPr>
        <w:t xml:space="preserve"> </w:t>
      </w:r>
      <w:r w:rsidRPr="003813C9">
        <w:rPr>
          <w:rFonts w:eastAsia="Times New Roman"/>
          <w:i/>
          <w:iCs/>
          <w:color w:val="auto"/>
          <w:sz w:val="24"/>
          <w:szCs w:val="24"/>
        </w:rPr>
        <w:t>Journal of Multinational Financial Management, 31</w:t>
      </w:r>
      <w:r w:rsidRPr="003813C9">
        <w:rPr>
          <w:rFonts w:eastAsia="Times New Roman"/>
          <w:iCs/>
          <w:color w:val="auto"/>
          <w:sz w:val="24"/>
          <w:szCs w:val="24"/>
        </w:rPr>
        <w:t>, 63-82.</w:t>
      </w:r>
      <w:r w:rsidRPr="003813C9">
        <w:rPr>
          <w:rFonts w:eastAsia="Times New Roman"/>
          <w:i/>
          <w:iCs/>
          <w:color w:val="auto"/>
          <w:sz w:val="24"/>
          <w:szCs w:val="24"/>
        </w:rPr>
        <w:t xml:space="preserve"> </w:t>
      </w:r>
    </w:p>
    <w:p w14:paraId="28AD3E7A" w14:textId="77777777" w:rsidR="0046703C" w:rsidRPr="003813C9" w:rsidRDefault="0046703C" w:rsidP="0046703C">
      <w:pPr>
        <w:spacing w:after="0" w:line="240" w:lineRule="auto"/>
        <w:ind w:hanging="720"/>
        <w:jc w:val="both"/>
        <w:rPr>
          <w:rFonts w:eastAsia="Times New Roman"/>
          <w:i/>
          <w:iCs/>
          <w:color w:val="auto"/>
          <w:sz w:val="24"/>
          <w:szCs w:val="24"/>
        </w:rPr>
      </w:pPr>
    </w:p>
    <w:p w14:paraId="19428C97" w14:textId="77777777" w:rsidR="0046703C" w:rsidRPr="003813C9" w:rsidRDefault="0046703C" w:rsidP="0046703C">
      <w:pPr>
        <w:spacing w:after="0" w:line="240" w:lineRule="auto"/>
        <w:ind w:hanging="720"/>
        <w:jc w:val="both"/>
        <w:rPr>
          <w:rFonts w:eastAsia="Calibri"/>
          <w:color w:val="auto"/>
          <w:sz w:val="24"/>
          <w:szCs w:val="24"/>
        </w:rPr>
      </w:pPr>
      <w:proofErr w:type="gramStart"/>
      <w:r w:rsidRPr="003813C9">
        <w:rPr>
          <w:rFonts w:eastAsia="Times New Roman"/>
          <w:color w:val="auto"/>
          <w:sz w:val="24"/>
          <w:szCs w:val="24"/>
        </w:rPr>
        <w:t xml:space="preserve">Abdullah, M., </w:t>
      </w:r>
      <w:proofErr w:type="spellStart"/>
      <w:r w:rsidRPr="003813C9">
        <w:rPr>
          <w:rFonts w:eastAsia="Times New Roman"/>
          <w:color w:val="auto"/>
          <w:sz w:val="24"/>
          <w:szCs w:val="24"/>
        </w:rPr>
        <w:t>Shukor</w:t>
      </w:r>
      <w:proofErr w:type="spellEnd"/>
      <w:r w:rsidRPr="003813C9">
        <w:rPr>
          <w:rFonts w:eastAsia="Times New Roman"/>
          <w:color w:val="auto"/>
          <w:sz w:val="24"/>
          <w:szCs w:val="24"/>
        </w:rPr>
        <w:t>, Z.A., Mohamed, Z.M., &amp; Ahmad, A. (2015).</w:t>
      </w:r>
      <w:proofErr w:type="gramEnd"/>
      <w:r w:rsidRPr="003813C9">
        <w:rPr>
          <w:rFonts w:eastAsia="Times New Roman"/>
          <w:color w:val="auto"/>
          <w:sz w:val="24"/>
          <w:szCs w:val="24"/>
        </w:rPr>
        <w:t xml:space="preserve"> Risk management disclosure: A study on the effect of voluntary risk management disclosure toward firm value. </w:t>
      </w:r>
      <w:r w:rsidRPr="003813C9">
        <w:rPr>
          <w:rFonts w:eastAsia="Times New Roman"/>
          <w:i/>
          <w:iCs/>
          <w:color w:val="auto"/>
          <w:sz w:val="24"/>
          <w:szCs w:val="24"/>
        </w:rPr>
        <w:t>Journal of Applied Accounting Research</w:t>
      </w:r>
      <w:r w:rsidRPr="003813C9">
        <w:rPr>
          <w:rFonts w:eastAsia="Times New Roman"/>
          <w:color w:val="auto"/>
          <w:sz w:val="24"/>
          <w:szCs w:val="24"/>
        </w:rPr>
        <w:t xml:space="preserve">, </w:t>
      </w:r>
      <w:r w:rsidRPr="003813C9">
        <w:rPr>
          <w:rFonts w:eastAsia="Times New Roman"/>
          <w:i/>
          <w:color w:val="auto"/>
          <w:sz w:val="24"/>
          <w:szCs w:val="24"/>
        </w:rPr>
        <w:t>16</w:t>
      </w:r>
      <w:r w:rsidRPr="003813C9">
        <w:rPr>
          <w:rFonts w:eastAsia="Times New Roman"/>
          <w:color w:val="auto"/>
          <w:sz w:val="24"/>
          <w:szCs w:val="24"/>
        </w:rPr>
        <w:t xml:space="preserve">(3), 400-432. </w:t>
      </w:r>
    </w:p>
    <w:p w14:paraId="29182E29" w14:textId="77777777" w:rsidR="0046703C" w:rsidRPr="003813C9" w:rsidRDefault="0046703C" w:rsidP="0046703C">
      <w:pPr>
        <w:spacing w:after="0" w:line="240" w:lineRule="auto"/>
        <w:ind w:hanging="720"/>
        <w:jc w:val="both"/>
        <w:rPr>
          <w:rFonts w:eastAsia="Calibri"/>
          <w:color w:val="auto"/>
          <w:sz w:val="24"/>
          <w:szCs w:val="24"/>
        </w:rPr>
      </w:pPr>
    </w:p>
    <w:p w14:paraId="1FAFA24E" w14:textId="77777777" w:rsidR="0046703C" w:rsidRPr="003813C9" w:rsidRDefault="0046703C" w:rsidP="0046703C">
      <w:pPr>
        <w:spacing w:after="0" w:line="240" w:lineRule="auto"/>
        <w:ind w:hanging="720"/>
        <w:jc w:val="both"/>
        <w:rPr>
          <w:rFonts w:eastAsia="Calibri"/>
          <w:color w:val="auto"/>
          <w:sz w:val="24"/>
          <w:szCs w:val="24"/>
        </w:rPr>
      </w:pPr>
      <w:proofErr w:type="gramStart"/>
      <w:r w:rsidRPr="003813C9">
        <w:rPr>
          <w:rFonts w:eastAsia="Times New Roman,Calibri"/>
          <w:color w:val="auto"/>
          <w:sz w:val="24"/>
          <w:szCs w:val="24"/>
        </w:rPr>
        <w:t>Abraham, S., &amp; Cox, P. (2007).</w:t>
      </w:r>
      <w:proofErr w:type="gramEnd"/>
      <w:r w:rsidRPr="003813C9">
        <w:rPr>
          <w:rFonts w:eastAsia="Times New Roman,Calibri"/>
          <w:color w:val="auto"/>
          <w:sz w:val="24"/>
          <w:szCs w:val="24"/>
        </w:rPr>
        <w:t xml:space="preserve"> </w:t>
      </w:r>
      <w:proofErr w:type="gramStart"/>
      <w:r w:rsidRPr="003813C9">
        <w:rPr>
          <w:rFonts w:eastAsia="Times New Roman,Calibri"/>
          <w:color w:val="auto"/>
          <w:sz w:val="24"/>
          <w:szCs w:val="24"/>
        </w:rPr>
        <w:t>Analysing the determinants of narrative risk information in UK FTSE 100 annual reports.</w:t>
      </w:r>
      <w:proofErr w:type="gramEnd"/>
      <w:r w:rsidRPr="003813C9">
        <w:rPr>
          <w:rFonts w:eastAsia="Times New Roman,Calibri"/>
          <w:color w:val="auto"/>
          <w:sz w:val="24"/>
          <w:szCs w:val="24"/>
        </w:rPr>
        <w:t xml:space="preserve"> </w:t>
      </w:r>
      <w:r w:rsidRPr="003813C9">
        <w:rPr>
          <w:rFonts w:eastAsia="Times New Roman,Calibri"/>
          <w:i/>
          <w:iCs/>
          <w:color w:val="auto"/>
          <w:sz w:val="24"/>
          <w:szCs w:val="24"/>
        </w:rPr>
        <w:t>The British Accounting Review</w:t>
      </w:r>
      <w:r w:rsidRPr="003813C9">
        <w:rPr>
          <w:rFonts w:eastAsia="Times New Roman,Calibri"/>
          <w:color w:val="auto"/>
          <w:sz w:val="24"/>
          <w:szCs w:val="24"/>
        </w:rPr>
        <w:t xml:space="preserve">, </w:t>
      </w:r>
      <w:r w:rsidRPr="003813C9">
        <w:rPr>
          <w:rFonts w:eastAsia="Times New Roman,Calibri"/>
          <w:i/>
          <w:iCs/>
          <w:color w:val="auto"/>
          <w:sz w:val="24"/>
          <w:szCs w:val="24"/>
        </w:rPr>
        <w:t>39</w:t>
      </w:r>
      <w:r w:rsidRPr="003813C9">
        <w:rPr>
          <w:rFonts w:eastAsia="Times New Roman,Calibri"/>
          <w:color w:val="auto"/>
          <w:sz w:val="24"/>
          <w:szCs w:val="24"/>
        </w:rPr>
        <w:t>(3), 227-248.</w:t>
      </w:r>
    </w:p>
    <w:p w14:paraId="2FF241C9" w14:textId="77777777" w:rsidR="0046703C" w:rsidRPr="003813C9" w:rsidRDefault="0046703C" w:rsidP="0046703C">
      <w:pPr>
        <w:spacing w:after="0" w:line="240" w:lineRule="auto"/>
        <w:ind w:hanging="720"/>
        <w:jc w:val="both"/>
        <w:rPr>
          <w:rFonts w:eastAsia="Calibri"/>
          <w:color w:val="auto"/>
          <w:sz w:val="24"/>
          <w:szCs w:val="24"/>
        </w:rPr>
      </w:pPr>
    </w:p>
    <w:p w14:paraId="7BD27F60" w14:textId="77777777" w:rsidR="0046703C" w:rsidRPr="003813C9" w:rsidRDefault="0046703C" w:rsidP="0046703C">
      <w:pPr>
        <w:spacing w:after="0" w:line="240" w:lineRule="auto"/>
        <w:ind w:hanging="720"/>
        <w:jc w:val="both"/>
        <w:rPr>
          <w:rFonts w:eastAsia="Calibri"/>
          <w:color w:val="auto"/>
          <w:sz w:val="24"/>
          <w:szCs w:val="24"/>
        </w:rPr>
      </w:pPr>
      <w:r w:rsidRPr="003813C9">
        <w:rPr>
          <w:rFonts w:eastAsia="Times New Roman"/>
          <w:color w:val="auto"/>
          <w:sz w:val="24"/>
          <w:szCs w:val="24"/>
        </w:rPr>
        <w:t xml:space="preserve">Abraham, S., &amp; Shrives, P. J. (2014). </w:t>
      </w:r>
      <w:proofErr w:type="gramStart"/>
      <w:r w:rsidRPr="003813C9">
        <w:rPr>
          <w:rFonts w:eastAsia="Times New Roman"/>
          <w:color w:val="auto"/>
          <w:sz w:val="24"/>
          <w:szCs w:val="24"/>
        </w:rPr>
        <w:t>Improving the relevance of risk factor disclosure in corporate annual reports.</w:t>
      </w:r>
      <w:proofErr w:type="gramEnd"/>
      <w:r w:rsidRPr="003813C9">
        <w:rPr>
          <w:rFonts w:eastAsia="Times New Roman"/>
          <w:color w:val="auto"/>
          <w:sz w:val="24"/>
          <w:szCs w:val="24"/>
        </w:rPr>
        <w:t xml:space="preserve"> </w:t>
      </w:r>
      <w:r w:rsidRPr="003813C9">
        <w:rPr>
          <w:rFonts w:eastAsia="Times New Roman"/>
          <w:i/>
          <w:iCs/>
          <w:color w:val="auto"/>
          <w:sz w:val="24"/>
          <w:szCs w:val="24"/>
        </w:rPr>
        <w:t>The British Accounting Review, 46</w:t>
      </w:r>
      <w:r w:rsidRPr="003813C9">
        <w:rPr>
          <w:rFonts w:eastAsia="Times New Roman"/>
          <w:color w:val="auto"/>
          <w:sz w:val="24"/>
          <w:szCs w:val="24"/>
        </w:rPr>
        <w:t>(1), 91-107.</w:t>
      </w:r>
    </w:p>
    <w:p w14:paraId="556D9164" w14:textId="77777777" w:rsidR="0046703C" w:rsidRPr="003813C9" w:rsidRDefault="0046703C" w:rsidP="0046703C">
      <w:pPr>
        <w:spacing w:after="0" w:line="240" w:lineRule="auto"/>
        <w:ind w:hanging="720"/>
        <w:jc w:val="both"/>
        <w:rPr>
          <w:rFonts w:eastAsia="Calibri"/>
          <w:color w:val="auto"/>
          <w:sz w:val="24"/>
          <w:szCs w:val="24"/>
        </w:rPr>
      </w:pPr>
    </w:p>
    <w:p w14:paraId="676F8B8F" w14:textId="77777777" w:rsidR="0046703C" w:rsidRPr="003813C9" w:rsidRDefault="0046703C" w:rsidP="0046703C">
      <w:pPr>
        <w:spacing w:after="0" w:line="240" w:lineRule="auto"/>
        <w:ind w:hanging="720"/>
        <w:jc w:val="both"/>
        <w:rPr>
          <w:rFonts w:eastAsia="Calibri"/>
          <w:color w:val="auto"/>
          <w:sz w:val="24"/>
          <w:szCs w:val="24"/>
        </w:rPr>
      </w:pPr>
      <w:proofErr w:type="spellStart"/>
      <w:proofErr w:type="gramStart"/>
      <w:r w:rsidRPr="003813C9">
        <w:rPr>
          <w:rFonts w:eastAsia="Times New Roman"/>
          <w:color w:val="auto"/>
          <w:sz w:val="24"/>
          <w:szCs w:val="24"/>
        </w:rPr>
        <w:t>Akhigbe</w:t>
      </w:r>
      <w:proofErr w:type="spellEnd"/>
      <w:r w:rsidRPr="003813C9">
        <w:rPr>
          <w:rFonts w:eastAsia="Times New Roman"/>
          <w:color w:val="auto"/>
          <w:sz w:val="24"/>
          <w:szCs w:val="24"/>
        </w:rPr>
        <w:t>, A., &amp; Martin, A. D. (2008).</w:t>
      </w:r>
      <w:proofErr w:type="gramEnd"/>
      <w:r w:rsidRPr="003813C9">
        <w:rPr>
          <w:rFonts w:eastAsia="Times New Roman"/>
          <w:color w:val="auto"/>
          <w:sz w:val="24"/>
          <w:szCs w:val="24"/>
        </w:rPr>
        <w:t xml:space="preserve"> Influence of disclosure and governance on risk of US financial services firms following Sarbanes-Oxley. </w:t>
      </w:r>
      <w:r w:rsidRPr="003813C9">
        <w:rPr>
          <w:rFonts w:eastAsia="Times New Roman"/>
          <w:i/>
          <w:iCs/>
          <w:color w:val="auto"/>
          <w:sz w:val="24"/>
          <w:szCs w:val="24"/>
        </w:rPr>
        <w:t>Journal of Banking &amp; Finance</w:t>
      </w:r>
      <w:r w:rsidRPr="003813C9">
        <w:rPr>
          <w:rFonts w:eastAsia="Times New Roman"/>
          <w:color w:val="auto"/>
          <w:sz w:val="24"/>
          <w:szCs w:val="24"/>
        </w:rPr>
        <w:t>, </w:t>
      </w:r>
      <w:r w:rsidRPr="003813C9">
        <w:rPr>
          <w:rFonts w:eastAsia="Times New Roman"/>
          <w:i/>
          <w:iCs/>
          <w:color w:val="auto"/>
          <w:sz w:val="24"/>
          <w:szCs w:val="24"/>
        </w:rPr>
        <w:t>32</w:t>
      </w:r>
      <w:r w:rsidRPr="003813C9">
        <w:rPr>
          <w:rFonts w:eastAsia="Times New Roman"/>
          <w:color w:val="auto"/>
          <w:sz w:val="24"/>
          <w:szCs w:val="24"/>
        </w:rPr>
        <w:t>(10), 2124-2135.</w:t>
      </w:r>
    </w:p>
    <w:p w14:paraId="3D49CBCF" w14:textId="77777777" w:rsidR="0046703C" w:rsidRPr="003813C9" w:rsidRDefault="0046703C" w:rsidP="0046703C">
      <w:pPr>
        <w:spacing w:after="0" w:line="240" w:lineRule="auto"/>
        <w:ind w:hanging="720"/>
        <w:jc w:val="both"/>
        <w:rPr>
          <w:rFonts w:eastAsia="Calibri"/>
          <w:bCs/>
          <w:iCs/>
          <w:color w:val="auto"/>
          <w:sz w:val="24"/>
          <w:szCs w:val="24"/>
        </w:rPr>
      </w:pPr>
    </w:p>
    <w:p w14:paraId="531C9C64" w14:textId="77777777" w:rsidR="0046703C" w:rsidRPr="003813C9" w:rsidRDefault="0046703C" w:rsidP="0046703C">
      <w:pPr>
        <w:spacing w:after="0" w:line="240" w:lineRule="auto"/>
        <w:ind w:hanging="720"/>
        <w:jc w:val="both"/>
        <w:rPr>
          <w:rFonts w:eastAsia="Calibri"/>
          <w:color w:val="auto"/>
          <w:sz w:val="24"/>
          <w:szCs w:val="24"/>
        </w:rPr>
      </w:pPr>
      <w:proofErr w:type="gramStart"/>
      <w:r w:rsidRPr="003813C9">
        <w:rPr>
          <w:rFonts w:eastAsia="Times New Roman,Times New Roman"/>
          <w:color w:val="auto"/>
          <w:sz w:val="24"/>
          <w:szCs w:val="24"/>
        </w:rPr>
        <w:t>Al</w:t>
      </w:r>
      <w:r w:rsidRPr="003813C9">
        <w:rPr>
          <w:rFonts w:ascii="Cambria Math" w:eastAsia="Times New Roman,Times New Roman" w:hAnsi="Cambria Math" w:cs="Cambria Math"/>
          <w:color w:val="auto"/>
          <w:sz w:val="24"/>
          <w:szCs w:val="24"/>
        </w:rPr>
        <w:t>‐</w:t>
      </w:r>
      <w:proofErr w:type="spellStart"/>
      <w:r w:rsidRPr="003813C9">
        <w:rPr>
          <w:rFonts w:eastAsia="Times New Roman,Times New Roman"/>
          <w:color w:val="auto"/>
          <w:sz w:val="24"/>
          <w:szCs w:val="24"/>
        </w:rPr>
        <w:t>Hadi</w:t>
      </w:r>
      <w:proofErr w:type="spellEnd"/>
      <w:r w:rsidRPr="003813C9">
        <w:rPr>
          <w:rFonts w:eastAsia="Times New Roman,Times New Roman"/>
          <w:color w:val="auto"/>
          <w:sz w:val="24"/>
          <w:szCs w:val="24"/>
        </w:rPr>
        <w:t>, A., Hasan, M. M., &amp; Habib, A. (2016).</w:t>
      </w:r>
      <w:proofErr w:type="gramEnd"/>
      <w:r w:rsidRPr="003813C9">
        <w:rPr>
          <w:rFonts w:eastAsia="Times New Roman,Times New Roman"/>
          <w:color w:val="auto"/>
          <w:sz w:val="24"/>
          <w:szCs w:val="24"/>
        </w:rPr>
        <w:t xml:space="preserve"> Risk committee, firm life cycle, and market risk disclosures. </w:t>
      </w:r>
      <w:r w:rsidRPr="003813C9">
        <w:rPr>
          <w:rFonts w:eastAsia="Times New Roman,Times New Roman"/>
          <w:i/>
          <w:iCs/>
          <w:color w:val="auto"/>
          <w:sz w:val="24"/>
          <w:szCs w:val="24"/>
        </w:rPr>
        <w:t>Corporate Governance: An International Review</w:t>
      </w:r>
      <w:r w:rsidRPr="003813C9">
        <w:rPr>
          <w:rFonts w:eastAsia="Times New Roman,Times New Roman"/>
          <w:color w:val="auto"/>
          <w:sz w:val="24"/>
          <w:szCs w:val="24"/>
        </w:rPr>
        <w:t xml:space="preserve">, </w:t>
      </w:r>
      <w:r w:rsidRPr="003813C9">
        <w:rPr>
          <w:rFonts w:eastAsia="Times New Roman,Times New Roman"/>
          <w:i/>
          <w:color w:val="auto"/>
          <w:sz w:val="24"/>
          <w:szCs w:val="24"/>
        </w:rPr>
        <w:t>24</w:t>
      </w:r>
      <w:r w:rsidRPr="003813C9">
        <w:rPr>
          <w:rFonts w:eastAsia="Times New Roman,Times New Roman"/>
          <w:color w:val="auto"/>
          <w:sz w:val="24"/>
          <w:szCs w:val="24"/>
        </w:rPr>
        <w:t>(2), 145-170.</w:t>
      </w:r>
    </w:p>
    <w:p w14:paraId="0BA87A27" w14:textId="77777777" w:rsidR="0046703C" w:rsidRPr="003813C9" w:rsidRDefault="0046703C" w:rsidP="0046703C">
      <w:pPr>
        <w:spacing w:after="0" w:line="240" w:lineRule="auto"/>
        <w:ind w:hanging="720"/>
        <w:jc w:val="both"/>
        <w:rPr>
          <w:rFonts w:eastAsia="Calibri"/>
          <w:color w:val="auto"/>
          <w:sz w:val="24"/>
          <w:szCs w:val="24"/>
        </w:rPr>
      </w:pPr>
    </w:p>
    <w:p w14:paraId="5962EB21" w14:textId="77777777" w:rsidR="0046703C" w:rsidRPr="003813C9" w:rsidRDefault="0046703C" w:rsidP="0046703C">
      <w:pPr>
        <w:spacing w:after="0" w:line="240" w:lineRule="auto"/>
        <w:ind w:hanging="720"/>
        <w:jc w:val="both"/>
        <w:rPr>
          <w:rFonts w:eastAsia="Calibri"/>
          <w:color w:val="auto"/>
          <w:sz w:val="24"/>
          <w:szCs w:val="24"/>
        </w:rPr>
      </w:pPr>
      <w:proofErr w:type="gramStart"/>
      <w:r w:rsidRPr="003813C9">
        <w:rPr>
          <w:rFonts w:eastAsia="Times New Roman"/>
          <w:color w:val="auto"/>
          <w:sz w:val="24"/>
          <w:szCs w:val="24"/>
        </w:rPr>
        <w:t>Baber, W. R., Liang, L., &amp; Zhu, Z. (2012).</w:t>
      </w:r>
      <w:proofErr w:type="gramEnd"/>
      <w:r w:rsidRPr="003813C9">
        <w:rPr>
          <w:rFonts w:eastAsia="Times New Roman"/>
          <w:color w:val="auto"/>
          <w:sz w:val="24"/>
          <w:szCs w:val="24"/>
        </w:rPr>
        <w:t xml:space="preserve"> Associations between internal and external corporate governance characteristics: Implications for investigating financial accounting restatements. </w:t>
      </w:r>
      <w:proofErr w:type="gramStart"/>
      <w:r w:rsidRPr="003813C9">
        <w:rPr>
          <w:rFonts w:eastAsia="Times New Roman"/>
          <w:i/>
          <w:iCs/>
          <w:color w:val="auto"/>
          <w:sz w:val="24"/>
          <w:szCs w:val="24"/>
        </w:rPr>
        <w:t>Accounting Horizons</w:t>
      </w:r>
      <w:r w:rsidRPr="003813C9">
        <w:rPr>
          <w:rFonts w:eastAsia="Times New Roman"/>
          <w:color w:val="auto"/>
          <w:sz w:val="24"/>
          <w:szCs w:val="24"/>
        </w:rPr>
        <w:t xml:space="preserve">, </w:t>
      </w:r>
      <w:r w:rsidRPr="003813C9">
        <w:rPr>
          <w:rFonts w:eastAsia="Times New Roman"/>
          <w:i/>
          <w:iCs/>
          <w:color w:val="auto"/>
          <w:sz w:val="24"/>
          <w:szCs w:val="24"/>
        </w:rPr>
        <w:t>26</w:t>
      </w:r>
      <w:r w:rsidRPr="003813C9">
        <w:rPr>
          <w:rFonts w:eastAsia="Times New Roman"/>
          <w:color w:val="auto"/>
          <w:sz w:val="24"/>
          <w:szCs w:val="24"/>
        </w:rPr>
        <w:t>(2), 219-237.</w:t>
      </w:r>
      <w:proofErr w:type="gramEnd"/>
    </w:p>
    <w:p w14:paraId="42E33D56" w14:textId="77777777" w:rsidR="0046703C" w:rsidRPr="003813C9" w:rsidRDefault="0046703C" w:rsidP="0046703C">
      <w:pPr>
        <w:spacing w:after="0" w:line="240" w:lineRule="auto"/>
        <w:ind w:hanging="720"/>
        <w:jc w:val="both"/>
        <w:rPr>
          <w:rFonts w:eastAsia="Calibri"/>
          <w:color w:val="auto"/>
          <w:sz w:val="24"/>
          <w:szCs w:val="24"/>
        </w:rPr>
      </w:pPr>
    </w:p>
    <w:p w14:paraId="22B4D8BF" w14:textId="77777777" w:rsidR="0046703C" w:rsidRPr="003813C9" w:rsidRDefault="0046703C" w:rsidP="0046703C">
      <w:pPr>
        <w:autoSpaceDE w:val="0"/>
        <w:autoSpaceDN w:val="0"/>
        <w:adjustRightInd w:val="0"/>
        <w:spacing w:after="0" w:line="240" w:lineRule="auto"/>
        <w:ind w:hanging="720"/>
        <w:jc w:val="both"/>
        <w:rPr>
          <w:rFonts w:eastAsia="Times New Roman"/>
          <w:color w:val="auto"/>
          <w:sz w:val="24"/>
          <w:szCs w:val="24"/>
          <w:lang w:eastAsia="en-GB"/>
        </w:rPr>
      </w:pPr>
      <w:r w:rsidRPr="003813C9">
        <w:rPr>
          <w:rFonts w:eastAsia="Times New Roman"/>
          <w:color w:val="auto"/>
          <w:sz w:val="24"/>
          <w:szCs w:val="24"/>
          <w:lang w:eastAsia="en-GB"/>
        </w:rPr>
        <w:t>Bagnoli, M.</w:t>
      </w:r>
      <w:r w:rsidRPr="003813C9">
        <w:rPr>
          <w:rFonts w:eastAsia="Times New Roman,SimSun"/>
          <w:color w:val="auto"/>
          <w:sz w:val="24"/>
          <w:szCs w:val="24"/>
          <w:lang w:eastAsia="zh-CN"/>
        </w:rPr>
        <w:t xml:space="preserve">, &amp; </w:t>
      </w:r>
      <w:r w:rsidRPr="003813C9">
        <w:rPr>
          <w:rFonts w:eastAsia="Times New Roman"/>
          <w:color w:val="auto"/>
          <w:sz w:val="24"/>
          <w:szCs w:val="24"/>
          <w:lang w:eastAsia="en-GB"/>
        </w:rPr>
        <w:t xml:space="preserve">Watts, S. (2007). </w:t>
      </w:r>
      <w:proofErr w:type="gramStart"/>
      <w:r w:rsidRPr="003813C9">
        <w:rPr>
          <w:rFonts w:eastAsia="Times New Roman"/>
          <w:color w:val="auto"/>
          <w:sz w:val="24"/>
          <w:szCs w:val="24"/>
          <w:lang w:eastAsia="en-GB"/>
        </w:rPr>
        <w:t>Financial reporting and supplemental voluntary disclosures.</w:t>
      </w:r>
      <w:proofErr w:type="gramEnd"/>
      <w:r w:rsidRPr="003813C9">
        <w:rPr>
          <w:rFonts w:eastAsia="Times New Roman"/>
          <w:color w:val="auto"/>
          <w:sz w:val="24"/>
          <w:szCs w:val="24"/>
          <w:lang w:eastAsia="en-GB"/>
        </w:rPr>
        <w:t xml:space="preserve"> </w:t>
      </w:r>
      <w:r w:rsidRPr="003813C9">
        <w:rPr>
          <w:rFonts w:eastAsia="Times New Roman"/>
          <w:i/>
          <w:iCs/>
          <w:color w:val="auto"/>
          <w:sz w:val="24"/>
          <w:szCs w:val="24"/>
          <w:lang w:eastAsia="en-GB"/>
        </w:rPr>
        <w:t>Journal of Accounting Research,</w:t>
      </w:r>
      <w:r w:rsidRPr="003813C9">
        <w:rPr>
          <w:rFonts w:eastAsia="Times New Roman"/>
          <w:color w:val="auto"/>
          <w:sz w:val="24"/>
          <w:szCs w:val="24"/>
          <w:lang w:eastAsia="en-GB"/>
        </w:rPr>
        <w:t xml:space="preserve"> </w:t>
      </w:r>
      <w:r w:rsidRPr="003813C9">
        <w:rPr>
          <w:rFonts w:eastAsia="Times New Roman"/>
          <w:i/>
          <w:iCs/>
          <w:color w:val="auto"/>
          <w:sz w:val="24"/>
          <w:szCs w:val="24"/>
          <w:lang w:eastAsia="en-GB"/>
        </w:rPr>
        <w:t>45</w:t>
      </w:r>
      <w:r w:rsidRPr="003813C9">
        <w:rPr>
          <w:rFonts w:eastAsia="Times New Roman"/>
          <w:color w:val="auto"/>
          <w:sz w:val="24"/>
          <w:szCs w:val="24"/>
          <w:lang w:eastAsia="en-GB"/>
        </w:rPr>
        <w:t>(5), 885-913.</w:t>
      </w:r>
    </w:p>
    <w:p w14:paraId="0EEBDC53" w14:textId="77777777" w:rsidR="0046703C" w:rsidRPr="003813C9" w:rsidRDefault="0046703C" w:rsidP="0046703C">
      <w:pPr>
        <w:spacing w:after="0" w:line="240" w:lineRule="auto"/>
        <w:jc w:val="both"/>
        <w:rPr>
          <w:rFonts w:eastAsia="Calibri"/>
          <w:color w:val="auto"/>
          <w:sz w:val="24"/>
          <w:szCs w:val="24"/>
        </w:rPr>
      </w:pPr>
    </w:p>
    <w:p w14:paraId="097013D4" w14:textId="77777777" w:rsidR="0046703C" w:rsidRPr="003813C9" w:rsidRDefault="0046703C" w:rsidP="0046703C">
      <w:pPr>
        <w:spacing w:after="0" w:line="240" w:lineRule="auto"/>
        <w:ind w:hanging="720"/>
        <w:jc w:val="both"/>
        <w:rPr>
          <w:rFonts w:eastAsia="Times New Roman"/>
          <w:iCs/>
          <w:color w:val="auto"/>
          <w:sz w:val="24"/>
          <w:szCs w:val="24"/>
          <w:lang w:eastAsia="en-GB"/>
        </w:rPr>
      </w:pPr>
      <w:proofErr w:type="spellStart"/>
      <w:proofErr w:type="gramStart"/>
      <w:r w:rsidRPr="003813C9">
        <w:rPr>
          <w:rFonts w:eastAsia="Times New Roman"/>
          <w:color w:val="auto"/>
          <w:sz w:val="24"/>
          <w:szCs w:val="24"/>
          <w:lang w:eastAsia="en-GB"/>
        </w:rPr>
        <w:t>Bamber</w:t>
      </w:r>
      <w:proofErr w:type="spellEnd"/>
      <w:r w:rsidRPr="003813C9">
        <w:rPr>
          <w:rFonts w:eastAsia="Times New Roman"/>
          <w:color w:val="auto"/>
          <w:sz w:val="24"/>
          <w:szCs w:val="24"/>
          <w:lang w:eastAsia="en-GB"/>
        </w:rPr>
        <w:t xml:space="preserve">, M., &amp; </w:t>
      </w:r>
      <w:proofErr w:type="spellStart"/>
      <w:r w:rsidRPr="003813C9">
        <w:rPr>
          <w:rFonts w:eastAsia="Times New Roman"/>
          <w:color w:val="auto"/>
          <w:sz w:val="24"/>
          <w:szCs w:val="24"/>
          <w:lang w:eastAsia="en-GB"/>
        </w:rPr>
        <w:t>McMeeking</w:t>
      </w:r>
      <w:proofErr w:type="spellEnd"/>
      <w:r w:rsidRPr="003813C9">
        <w:rPr>
          <w:rFonts w:eastAsia="Times New Roman"/>
          <w:color w:val="auto"/>
          <w:sz w:val="24"/>
          <w:szCs w:val="24"/>
          <w:lang w:eastAsia="en-GB"/>
        </w:rPr>
        <w:t>, K. (2015).</w:t>
      </w:r>
      <w:proofErr w:type="gramEnd"/>
      <w:r w:rsidRPr="003813C9">
        <w:rPr>
          <w:rFonts w:eastAsia="Times New Roman"/>
          <w:color w:val="auto"/>
          <w:sz w:val="24"/>
          <w:szCs w:val="24"/>
          <w:lang w:eastAsia="en-GB"/>
        </w:rPr>
        <w:t xml:space="preserve"> </w:t>
      </w:r>
      <w:proofErr w:type="gramStart"/>
      <w:r w:rsidRPr="003813C9">
        <w:rPr>
          <w:rFonts w:eastAsia="Times New Roman"/>
          <w:color w:val="auto"/>
          <w:sz w:val="24"/>
          <w:szCs w:val="24"/>
          <w:lang w:eastAsia="en-GB"/>
        </w:rPr>
        <w:t>An examination of international accounting standard-setting due process and the implications for legitimacy.</w:t>
      </w:r>
      <w:proofErr w:type="gramEnd"/>
      <w:r w:rsidRPr="003813C9">
        <w:rPr>
          <w:rFonts w:eastAsia="Times New Roman"/>
          <w:color w:val="auto"/>
          <w:sz w:val="24"/>
          <w:szCs w:val="24"/>
          <w:lang w:eastAsia="en-GB"/>
        </w:rPr>
        <w:t xml:space="preserve"> </w:t>
      </w:r>
      <w:r w:rsidRPr="003813C9">
        <w:rPr>
          <w:rFonts w:eastAsia="Times New Roman"/>
          <w:i/>
          <w:iCs/>
          <w:color w:val="auto"/>
          <w:sz w:val="24"/>
          <w:szCs w:val="24"/>
          <w:lang w:eastAsia="en-GB"/>
        </w:rPr>
        <w:t>The British Accounting Review</w:t>
      </w:r>
      <w:r w:rsidRPr="003813C9">
        <w:rPr>
          <w:rFonts w:eastAsia="Times New Roman"/>
          <w:color w:val="auto"/>
          <w:sz w:val="24"/>
          <w:szCs w:val="24"/>
          <w:lang w:eastAsia="en-GB"/>
        </w:rPr>
        <w:t xml:space="preserve">, </w:t>
      </w:r>
      <w:r w:rsidRPr="003813C9">
        <w:rPr>
          <w:rFonts w:eastAsia="Times New Roman"/>
          <w:i/>
          <w:iCs/>
          <w:color w:val="auto"/>
          <w:sz w:val="24"/>
          <w:szCs w:val="24"/>
          <w:lang w:eastAsia="en-GB"/>
        </w:rPr>
        <w:t>48</w:t>
      </w:r>
      <w:r w:rsidRPr="003813C9">
        <w:rPr>
          <w:rFonts w:eastAsia="Times New Roman"/>
          <w:iCs/>
          <w:color w:val="auto"/>
          <w:sz w:val="24"/>
          <w:szCs w:val="24"/>
          <w:lang w:eastAsia="en-GB"/>
        </w:rPr>
        <w:t>(1), 59-73.</w:t>
      </w:r>
    </w:p>
    <w:p w14:paraId="2BB55DEB" w14:textId="77777777" w:rsidR="0046703C" w:rsidRPr="003813C9" w:rsidRDefault="0046703C" w:rsidP="0046703C">
      <w:pPr>
        <w:spacing w:after="0" w:line="240" w:lineRule="auto"/>
        <w:ind w:hanging="720"/>
        <w:jc w:val="both"/>
        <w:rPr>
          <w:rFonts w:eastAsia="Calibri"/>
          <w:color w:val="auto"/>
          <w:sz w:val="24"/>
          <w:szCs w:val="24"/>
        </w:rPr>
      </w:pPr>
    </w:p>
    <w:p w14:paraId="67E0D929" w14:textId="77777777" w:rsidR="0046703C" w:rsidRPr="003813C9" w:rsidRDefault="0046703C" w:rsidP="0046703C">
      <w:pPr>
        <w:spacing w:after="0" w:line="240" w:lineRule="auto"/>
        <w:ind w:hanging="720"/>
        <w:jc w:val="both"/>
        <w:rPr>
          <w:rFonts w:eastAsia="Calibri"/>
          <w:bCs/>
          <w:iCs/>
          <w:color w:val="auto"/>
          <w:sz w:val="24"/>
          <w:szCs w:val="24"/>
        </w:rPr>
      </w:pPr>
      <w:proofErr w:type="spellStart"/>
      <w:proofErr w:type="gramStart"/>
      <w:r w:rsidRPr="003813C9">
        <w:rPr>
          <w:rFonts w:eastAsia="Times New Roman"/>
          <w:color w:val="auto"/>
          <w:sz w:val="24"/>
          <w:szCs w:val="24"/>
        </w:rPr>
        <w:t>Bao</w:t>
      </w:r>
      <w:proofErr w:type="spellEnd"/>
      <w:r w:rsidRPr="003813C9">
        <w:rPr>
          <w:rFonts w:eastAsia="Times New Roman"/>
          <w:color w:val="auto"/>
          <w:sz w:val="24"/>
          <w:szCs w:val="24"/>
        </w:rPr>
        <w:t xml:space="preserve">, Y., &amp; </w:t>
      </w:r>
      <w:proofErr w:type="spellStart"/>
      <w:r w:rsidRPr="003813C9">
        <w:rPr>
          <w:rFonts w:eastAsia="Times New Roman"/>
          <w:color w:val="auto"/>
          <w:sz w:val="24"/>
          <w:szCs w:val="24"/>
        </w:rPr>
        <w:t>Datta</w:t>
      </w:r>
      <w:proofErr w:type="spellEnd"/>
      <w:r w:rsidRPr="003813C9">
        <w:rPr>
          <w:rFonts w:eastAsia="Times New Roman"/>
          <w:color w:val="auto"/>
          <w:sz w:val="24"/>
          <w:szCs w:val="24"/>
        </w:rPr>
        <w:t>, A. (2014).</w:t>
      </w:r>
      <w:proofErr w:type="gramEnd"/>
      <w:r w:rsidRPr="003813C9">
        <w:rPr>
          <w:rFonts w:eastAsia="Times New Roman"/>
          <w:color w:val="auto"/>
          <w:sz w:val="24"/>
          <w:szCs w:val="24"/>
        </w:rPr>
        <w:t xml:space="preserve"> Simultaneously discovering and quantifying risk types from textual risk disclosures. </w:t>
      </w:r>
      <w:r w:rsidRPr="003813C9">
        <w:rPr>
          <w:rFonts w:eastAsia="Times New Roman"/>
          <w:i/>
          <w:iCs/>
          <w:color w:val="auto"/>
          <w:sz w:val="24"/>
          <w:szCs w:val="24"/>
        </w:rPr>
        <w:t>Management Science</w:t>
      </w:r>
      <w:r w:rsidRPr="003813C9">
        <w:rPr>
          <w:rFonts w:eastAsia="Times New Roman"/>
          <w:color w:val="auto"/>
          <w:sz w:val="24"/>
          <w:szCs w:val="24"/>
        </w:rPr>
        <w:t xml:space="preserve">, </w:t>
      </w:r>
      <w:r w:rsidRPr="003813C9">
        <w:rPr>
          <w:rFonts w:eastAsia="Times New Roman"/>
          <w:i/>
          <w:iCs/>
          <w:color w:val="auto"/>
          <w:sz w:val="24"/>
          <w:szCs w:val="24"/>
        </w:rPr>
        <w:t>60</w:t>
      </w:r>
      <w:r w:rsidRPr="003813C9">
        <w:rPr>
          <w:rFonts w:eastAsia="Times New Roman"/>
          <w:color w:val="auto"/>
          <w:sz w:val="24"/>
          <w:szCs w:val="24"/>
        </w:rPr>
        <w:t>(6), 1371-1391.</w:t>
      </w:r>
    </w:p>
    <w:p w14:paraId="37F7DD1A" w14:textId="77777777" w:rsidR="0046703C" w:rsidRPr="003813C9" w:rsidRDefault="0046703C" w:rsidP="0046703C">
      <w:pPr>
        <w:spacing w:after="0" w:line="240" w:lineRule="auto"/>
        <w:ind w:hanging="720"/>
        <w:jc w:val="both"/>
        <w:rPr>
          <w:rFonts w:eastAsia="Times New Roman"/>
          <w:color w:val="auto"/>
          <w:sz w:val="24"/>
          <w:szCs w:val="24"/>
          <w:lang w:eastAsia="en-GB"/>
        </w:rPr>
      </w:pPr>
    </w:p>
    <w:p w14:paraId="3AE9F4CE" w14:textId="77777777" w:rsidR="0046703C" w:rsidRPr="003813C9" w:rsidRDefault="0046703C" w:rsidP="0046703C">
      <w:pPr>
        <w:spacing w:after="0" w:line="240" w:lineRule="auto"/>
        <w:ind w:hanging="720"/>
        <w:jc w:val="both"/>
        <w:rPr>
          <w:rFonts w:eastAsia="Calibri"/>
          <w:color w:val="auto"/>
        </w:rPr>
      </w:pPr>
      <w:proofErr w:type="spellStart"/>
      <w:proofErr w:type="gramStart"/>
      <w:r w:rsidRPr="003813C9">
        <w:rPr>
          <w:rFonts w:eastAsia="Times New Roman"/>
          <w:color w:val="auto"/>
          <w:sz w:val="24"/>
          <w:szCs w:val="24"/>
        </w:rPr>
        <w:t>Barakat</w:t>
      </w:r>
      <w:proofErr w:type="spellEnd"/>
      <w:r w:rsidRPr="003813C9">
        <w:rPr>
          <w:rFonts w:eastAsia="Times New Roman"/>
          <w:color w:val="auto"/>
          <w:sz w:val="24"/>
          <w:szCs w:val="24"/>
        </w:rPr>
        <w:t>, A., &amp; Hussainey, K. (2013).</w:t>
      </w:r>
      <w:proofErr w:type="gramEnd"/>
      <w:r w:rsidRPr="003813C9">
        <w:rPr>
          <w:rFonts w:eastAsia="Times New Roman"/>
          <w:color w:val="auto"/>
          <w:sz w:val="24"/>
          <w:szCs w:val="24"/>
        </w:rPr>
        <w:t xml:space="preserve"> Bank governance, regulation, supervision, and risk reporting: Evidence from operational risk disclosures in European banks. </w:t>
      </w:r>
      <w:r w:rsidRPr="003813C9">
        <w:rPr>
          <w:rFonts w:eastAsia="Times New Roman"/>
          <w:i/>
          <w:iCs/>
          <w:color w:val="auto"/>
          <w:sz w:val="24"/>
          <w:szCs w:val="24"/>
        </w:rPr>
        <w:t>International Review of Financial Analysis</w:t>
      </w:r>
      <w:r w:rsidRPr="003813C9">
        <w:rPr>
          <w:rFonts w:eastAsia="Times New Roman"/>
          <w:color w:val="auto"/>
          <w:sz w:val="24"/>
          <w:szCs w:val="24"/>
        </w:rPr>
        <w:t>, </w:t>
      </w:r>
      <w:r w:rsidRPr="003813C9">
        <w:rPr>
          <w:rFonts w:eastAsia="Times New Roman"/>
          <w:i/>
          <w:iCs/>
          <w:color w:val="auto"/>
          <w:sz w:val="24"/>
          <w:szCs w:val="24"/>
        </w:rPr>
        <w:t>30</w:t>
      </w:r>
      <w:r w:rsidRPr="003813C9">
        <w:rPr>
          <w:rFonts w:eastAsia="Times New Roman"/>
          <w:color w:val="auto"/>
          <w:sz w:val="24"/>
          <w:szCs w:val="24"/>
        </w:rPr>
        <w:t>, 254-273.</w:t>
      </w:r>
      <w:r w:rsidRPr="003813C9">
        <w:rPr>
          <w:rFonts w:eastAsia="Calibri"/>
          <w:color w:val="auto"/>
        </w:rPr>
        <w:t xml:space="preserve"> </w:t>
      </w:r>
    </w:p>
    <w:p w14:paraId="3C614BD1" w14:textId="77777777" w:rsidR="0046703C" w:rsidRPr="003813C9" w:rsidRDefault="0046703C" w:rsidP="0046703C">
      <w:pPr>
        <w:spacing w:after="0" w:line="240" w:lineRule="auto"/>
        <w:ind w:hanging="720"/>
        <w:jc w:val="both"/>
        <w:rPr>
          <w:rFonts w:eastAsia="Calibri"/>
          <w:color w:val="auto"/>
        </w:rPr>
      </w:pPr>
    </w:p>
    <w:p w14:paraId="7BA6679D" w14:textId="77777777" w:rsidR="0046703C" w:rsidRPr="003813C9" w:rsidRDefault="0046703C" w:rsidP="0046703C">
      <w:pPr>
        <w:autoSpaceDE w:val="0"/>
        <w:autoSpaceDN w:val="0"/>
        <w:adjustRightInd w:val="0"/>
        <w:spacing w:after="0" w:line="240" w:lineRule="auto"/>
        <w:ind w:hanging="720"/>
        <w:jc w:val="both"/>
        <w:rPr>
          <w:rFonts w:eastAsia="Times New Roman"/>
          <w:color w:val="auto"/>
          <w:sz w:val="24"/>
          <w:szCs w:val="24"/>
          <w:lang w:eastAsia="en-GB"/>
        </w:rPr>
      </w:pPr>
      <w:proofErr w:type="gramStart"/>
      <w:r w:rsidRPr="003813C9">
        <w:rPr>
          <w:rFonts w:eastAsia="Times New Roman"/>
          <w:color w:val="auto"/>
          <w:sz w:val="24"/>
          <w:szCs w:val="24"/>
        </w:rPr>
        <w:t>Barker, R., Hendry, J., Roberts, J., &amp; Sanderson, P. (2012).</w:t>
      </w:r>
      <w:proofErr w:type="gramEnd"/>
      <w:r w:rsidRPr="003813C9">
        <w:rPr>
          <w:rFonts w:eastAsia="Times New Roman"/>
          <w:color w:val="auto"/>
          <w:sz w:val="24"/>
          <w:szCs w:val="24"/>
        </w:rPr>
        <w:t xml:space="preserve"> Can company-fund-manager meetings convey informational benefits? </w:t>
      </w:r>
      <w:proofErr w:type="gramStart"/>
      <w:r w:rsidRPr="003813C9">
        <w:rPr>
          <w:rFonts w:eastAsia="Times New Roman"/>
          <w:color w:val="auto"/>
          <w:sz w:val="24"/>
          <w:szCs w:val="24"/>
        </w:rPr>
        <w:t>Exploring the rationalisation of equity investment decision making by UK fund managers.</w:t>
      </w:r>
      <w:proofErr w:type="gramEnd"/>
      <w:r w:rsidRPr="003813C9">
        <w:rPr>
          <w:rFonts w:eastAsia="Times New Roman"/>
          <w:color w:val="auto"/>
          <w:sz w:val="24"/>
          <w:szCs w:val="24"/>
        </w:rPr>
        <w:t xml:space="preserve"> </w:t>
      </w:r>
      <w:r w:rsidRPr="003813C9">
        <w:rPr>
          <w:rFonts w:eastAsia="Times New Roman"/>
          <w:i/>
          <w:iCs/>
          <w:color w:val="auto"/>
          <w:sz w:val="24"/>
          <w:szCs w:val="24"/>
        </w:rPr>
        <w:t>Accounting, Organizations and Society</w:t>
      </w:r>
      <w:r w:rsidRPr="003813C9">
        <w:rPr>
          <w:rFonts w:eastAsia="Times New Roman"/>
          <w:color w:val="auto"/>
          <w:sz w:val="24"/>
          <w:szCs w:val="24"/>
        </w:rPr>
        <w:t xml:space="preserve">, </w:t>
      </w:r>
      <w:r w:rsidRPr="003813C9">
        <w:rPr>
          <w:rFonts w:eastAsia="Times New Roman"/>
          <w:i/>
          <w:iCs/>
          <w:color w:val="auto"/>
          <w:sz w:val="24"/>
          <w:szCs w:val="24"/>
        </w:rPr>
        <w:t>37</w:t>
      </w:r>
      <w:r w:rsidRPr="003813C9">
        <w:rPr>
          <w:rFonts w:eastAsia="Times New Roman"/>
          <w:color w:val="auto"/>
          <w:sz w:val="24"/>
          <w:szCs w:val="24"/>
        </w:rPr>
        <w:t>(4), 207-222.</w:t>
      </w:r>
    </w:p>
    <w:p w14:paraId="39E1F84F" w14:textId="77777777" w:rsidR="0046703C" w:rsidRPr="003813C9" w:rsidRDefault="0046703C" w:rsidP="0046703C">
      <w:pPr>
        <w:autoSpaceDE w:val="0"/>
        <w:autoSpaceDN w:val="0"/>
        <w:adjustRightInd w:val="0"/>
        <w:spacing w:after="0" w:line="240" w:lineRule="auto"/>
        <w:ind w:hanging="720"/>
        <w:jc w:val="both"/>
        <w:rPr>
          <w:rFonts w:eastAsia="Times New Roman"/>
          <w:color w:val="auto"/>
          <w:sz w:val="24"/>
          <w:szCs w:val="24"/>
          <w:lang w:eastAsia="en-GB"/>
        </w:rPr>
      </w:pPr>
    </w:p>
    <w:p w14:paraId="2CFFB55C" w14:textId="77777777" w:rsidR="0046703C" w:rsidRPr="003813C9" w:rsidRDefault="0046703C" w:rsidP="0046703C">
      <w:pPr>
        <w:autoSpaceDE w:val="0"/>
        <w:autoSpaceDN w:val="0"/>
        <w:adjustRightInd w:val="0"/>
        <w:spacing w:after="0" w:line="240" w:lineRule="auto"/>
        <w:ind w:hanging="720"/>
        <w:jc w:val="both"/>
        <w:rPr>
          <w:rFonts w:eastAsia="Times New Roman"/>
          <w:color w:val="auto"/>
          <w:sz w:val="24"/>
          <w:szCs w:val="24"/>
          <w:lang w:eastAsia="en-GB"/>
        </w:rPr>
      </w:pPr>
      <w:proofErr w:type="gramStart"/>
      <w:r w:rsidRPr="003813C9">
        <w:rPr>
          <w:rFonts w:eastAsia="Times New Roman"/>
          <w:color w:val="auto"/>
          <w:sz w:val="24"/>
          <w:szCs w:val="24"/>
          <w:lang w:eastAsia="en-GB"/>
        </w:rPr>
        <w:t>Beattie, V. (2014).</w:t>
      </w:r>
      <w:proofErr w:type="gramEnd"/>
      <w:r w:rsidRPr="003813C9">
        <w:rPr>
          <w:rFonts w:eastAsia="Times New Roman"/>
          <w:color w:val="auto"/>
          <w:sz w:val="24"/>
          <w:szCs w:val="24"/>
          <w:lang w:eastAsia="en-GB"/>
        </w:rPr>
        <w:t xml:space="preserve"> </w:t>
      </w:r>
      <w:proofErr w:type="gramStart"/>
      <w:r w:rsidRPr="003813C9">
        <w:rPr>
          <w:rFonts w:eastAsia="Times New Roman"/>
          <w:color w:val="auto"/>
          <w:sz w:val="24"/>
          <w:szCs w:val="24"/>
          <w:lang w:eastAsia="en-GB"/>
        </w:rPr>
        <w:t>Accounting narratives and the narrative turn in accounting research: issues, theory, methodology, methods and a research framework.</w:t>
      </w:r>
      <w:proofErr w:type="gramEnd"/>
      <w:r w:rsidRPr="003813C9">
        <w:rPr>
          <w:rFonts w:eastAsia="Times New Roman"/>
          <w:color w:val="auto"/>
          <w:sz w:val="24"/>
          <w:szCs w:val="24"/>
          <w:lang w:eastAsia="en-GB"/>
        </w:rPr>
        <w:t xml:space="preserve"> </w:t>
      </w:r>
      <w:r w:rsidRPr="003813C9">
        <w:rPr>
          <w:rFonts w:eastAsia="Times New Roman,Calibri"/>
          <w:i/>
          <w:iCs/>
          <w:color w:val="auto"/>
          <w:sz w:val="24"/>
          <w:szCs w:val="24"/>
        </w:rPr>
        <w:t>The</w:t>
      </w:r>
      <w:r w:rsidRPr="003813C9">
        <w:rPr>
          <w:rFonts w:eastAsia="Times New Roman"/>
          <w:i/>
          <w:iCs/>
          <w:color w:val="auto"/>
          <w:sz w:val="24"/>
          <w:szCs w:val="24"/>
          <w:lang w:eastAsia="en-GB"/>
        </w:rPr>
        <w:t xml:space="preserve"> British Accounting Review</w:t>
      </w:r>
      <w:r w:rsidRPr="003813C9">
        <w:rPr>
          <w:rFonts w:eastAsia="Times New Roman"/>
          <w:color w:val="auto"/>
          <w:sz w:val="24"/>
          <w:szCs w:val="24"/>
          <w:lang w:eastAsia="en-GB"/>
        </w:rPr>
        <w:t xml:space="preserve">, </w:t>
      </w:r>
      <w:r w:rsidRPr="003813C9">
        <w:rPr>
          <w:rFonts w:eastAsia="Times New Roman"/>
          <w:i/>
          <w:iCs/>
          <w:color w:val="auto"/>
          <w:sz w:val="24"/>
          <w:szCs w:val="24"/>
          <w:lang w:eastAsia="en-GB"/>
        </w:rPr>
        <w:t>46</w:t>
      </w:r>
      <w:r w:rsidRPr="003813C9">
        <w:rPr>
          <w:rFonts w:eastAsia="Times New Roman"/>
          <w:color w:val="auto"/>
          <w:sz w:val="24"/>
          <w:szCs w:val="24"/>
          <w:lang w:eastAsia="en-GB"/>
        </w:rPr>
        <w:t>(2), 111-134.</w:t>
      </w:r>
    </w:p>
    <w:p w14:paraId="68DD48E9" w14:textId="77777777" w:rsidR="0046703C" w:rsidRPr="003813C9" w:rsidRDefault="0046703C" w:rsidP="0046703C">
      <w:pPr>
        <w:autoSpaceDE w:val="0"/>
        <w:autoSpaceDN w:val="0"/>
        <w:adjustRightInd w:val="0"/>
        <w:spacing w:after="0" w:line="240" w:lineRule="auto"/>
        <w:ind w:hanging="720"/>
        <w:jc w:val="both"/>
        <w:rPr>
          <w:rFonts w:eastAsia="Times New Roman"/>
          <w:color w:val="auto"/>
          <w:sz w:val="24"/>
          <w:szCs w:val="24"/>
          <w:lang w:eastAsia="en-GB"/>
        </w:rPr>
      </w:pPr>
    </w:p>
    <w:p w14:paraId="0C42FF38" w14:textId="77777777" w:rsidR="0046703C" w:rsidRPr="003813C9" w:rsidRDefault="0046703C" w:rsidP="0046703C">
      <w:pPr>
        <w:autoSpaceDE w:val="0"/>
        <w:autoSpaceDN w:val="0"/>
        <w:adjustRightInd w:val="0"/>
        <w:spacing w:after="0" w:line="240" w:lineRule="auto"/>
        <w:ind w:hanging="720"/>
        <w:jc w:val="both"/>
        <w:rPr>
          <w:rFonts w:eastAsia="Times New Roman"/>
          <w:color w:val="auto"/>
          <w:sz w:val="24"/>
          <w:szCs w:val="24"/>
          <w:lang w:eastAsia="en-GB"/>
        </w:rPr>
      </w:pPr>
      <w:r w:rsidRPr="003813C9">
        <w:rPr>
          <w:rFonts w:eastAsia="Times New Roman"/>
          <w:color w:val="auto"/>
          <w:sz w:val="24"/>
          <w:szCs w:val="24"/>
          <w:lang w:eastAsia="en-GB"/>
        </w:rPr>
        <w:lastRenderedPageBreak/>
        <w:t xml:space="preserve">Beattie, V., </w:t>
      </w:r>
      <w:proofErr w:type="spellStart"/>
      <w:r w:rsidRPr="003813C9">
        <w:rPr>
          <w:rFonts w:eastAsia="Times New Roman"/>
          <w:color w:val="auto"/>
          <w:sz w:val="24"/>
          <w:szCs w:val="24"/>
          <w:lang w:eastAsia="en-GB"/>
        </w:rPr>
        <w:t>McInnes</w:t>
      </w:r>
      <w:proofErr w:type="spellEnd"/>
      <w:r w:rsidRPr="003813C9">
        <w:rPr>
          <w:rFonts w:eastAsia="Times New Roman"/>
          <w:color w:val="auto"/>
          <w:sz w:val="24"/>
          <w:szCs w:val="24"/>
          <w:lang w:eastAsia="en-GB"/>
        </w:rPr>
        <w:t xml:space="preserve">, B., &amp; </w:t>
      </w:r>
      <w:proofErr w:type="spellStart"/>
      <w:r w:rsidRPr="003813C9">
        <w:rPr>
          <w:rFonts w:eastAsia="Times New Roman"/>
          <w:color w:val="auto"/>
          <w:sz w:val="24"/>
          <w:szCs w:val="24"/>
          <w:lang w:eastAsia="en-GB"/>
        </w:rPr>
        <w:t>Fearnley</w:t>
      </w:r>
      <w:proofErr w:type="spellEnd"/>
      <w:r w:rsidRPr="003813C9">
        <w:rPr>
          <w:rFonts w:eastAsia="Times New Roman"/>
          <w:color w:val="auto"/>
          <w:sz w:val="24"/>
          <w:szCs w:val="24"/>
          <w:lang w:eastAsia="en-GB"/>
        </w:rPr>
        <w:t>, S. (2004). A methodology for analysing and evaluating narratives in annual reports: a comprehensive descriptive profile and metrics for disclosure quality attributes. </w:t>
      </w:r>
      <w:proofErr w:type="gramStart"/>
      <w:r w:rsidRPr="003813C9">
        <w:rPr>
          <w:rFonts w:eastAsia="Times New Roman"/>
          <w:i/>
          <w:iCs/>
          <w:color w:val="auto"/>
          <w:sz w:val="24"/>
          <w:szCs w:val="24"/>
          <w:lang w:eastAsia="en-GB"/>
        </w:rPr>
        <w:t>Accounting forum</w:t>
      </w:r>
      <w:r w:rsidRPr="003813C9">
        <w:rPr>
          <w:rFonts w:eastAsia="Times New Roman"/>
          <w:iCs/>
          <w:color w:val="auto"/>
          <w:sz w:val="24"/>
          <w:szCs w:val="24"/>
          <w:lang w:eastAsia="en-GB"/>
        </w:rPr>
        <w:t xml:space="preserve">, </w:t>
      </w:r>
      <w:r w:rsidRPr="003813C9">
        <w:rPr>
          <w:rFonts w:eastAsia="Times New Roman"/>
          <w:color w:val="auto"/>
          <w:sz w:val="24"/>
          <w:szCs w:val="24"/>
          <w:lang w:eastAsia="en-GB"/>
        </w:rPr>
        <w:t>28(3), 205-236.</w:t>
      </w:r>
      <w:proofErr w:type="gramEnd"/>
    </w:p>
    <w:p w14:paraId="0145C264" w14:textId="77777777" w:rsidR="0046703C" w:rsidRPr="003813C9" w:rsidRDefault="0046703C" w:rsidP="0046703C">
      <w:pPr>
        <w:autoSpaceDE w:val="0"/>
        <w:autoSpaceDN w:val="0"/>
        <w:adjustRightInd w:val="0"/>
        <w:spacing w:after="0" w:line="240" w:lineRule="auto"/>
        <w:ind w:hanging="720"/>
        <w:jc w:val="both"/>
        <w:rPr>
          <w:rFonts w:eastAsia="Times New Roman"/>
          <w:color w:val="auto"/>
          <w:sz w:val="24"/>
          <w:szCs w:val="24"/>
          <w:lang w:eastAsia="en-GB"/>
        </w:rPr>
      </w:pPr>
    </w:p>
    <w:p w14:paraId="6C3F2EE6" w14:textId="77777777" w:rsidR="0046703C" w:rsidRPr="003813C9" w:rsidRDefault="0046703C" w:rsidP="0046703C">
      <w:pPr>
        <w:autoSpaceDE w:val="0"/>
        <w:autoSpaceDN w:val="0"/>
        <w:adjustRightInd w:val="0"/>
        <w:spacing w:after="0" w:line="240" w:lineRule="auto"/>
        <w:ind w:hanging="720"/>
        <w:jc w:val="both"/>
        <w:rPr>
          <w:rFonts w:eastAsia="Times New Roman"/>
          <w:color w:val="auto"/>
          <w:sz w:val="24"/>
          <w:szCs w:val="24"/>
          <w:lang w:eastAsia="en-GB"/>
        </w:rPr>
      </w:pPr>
      <w:proofErr w:type="gramStart"/>
      <w:r w:rsidRPr="003813C9">
        <w:rPr>
          <w:rFonts w:eastAsia="Times New Roman"/>
          <w:color w:val="auto"/>
          <w:sz w:val="24"/>
          <w:szCs w:val="24"/>
          <w:lang w:eastAsia="en-GB"/>
        </w:rPr>
        <w:t>Beattie, V., &amp; Thomson, S. J. (2007).</w:t>
      </w:r>
      <w:proofErr w:type="gramEnd"/>
      <w:r w:rsidRPr="003813C9">
        <w:rPr>
          <w:rFonts w:eastAsia="Times New Roman"/>
          <w:color w:val="auto"/>
          <w:sz w:val="24"/>
          <w:szCs w:val="24"/>
          <w:lang w:eastAsia="en-GB"/>
        </w:rPr>
        <w:t xml:space="preserve"> </w:t>
      </w:r>
      <w:proofErr w:type="gramStart"/>
      <w:r w:rsidRPr="003813C9">
        <w:rPr>
          <w:rFonts w:eastAsia="Times New Roman"/>
          <w:color w:val="auto"/>
          <w:sz w:val="24"/>
          <w:szCs w:val="24"/>
          <w:lang w:eastAsia="en-GB"/>
        </w:rPr>
        <w:t>Lifting the lid on the use of content analysis to investigate intellectual capital disclosures.</w:t>
      </w:r>
      <w:proofErr w:type="gramEnd"/>
      <w:r w:rsidRPr="003813C9">
        <w:rPr>
          <w:rFonts w:eastAsia="Times New Roman"/>
          <w:color w:val="auto"/>
          <w:sz w:val="24"/>
          <w:szCs w:val="24"/>
          <w:lang w:eastAsia="en-GB"/>
        </w:rPr>
        <w:t xml:space="preserve"> </w:t>
      </w:r>
      <w:proofErr w:type="gramStart"/>
      <w:r w:rsidRPr="003813C9">
        <w:rPr>
          <w:rFonts w:eastAsia="Times New Roman"/>
          <w:i/>
          <w:iCs/>
          <w:color w:val="auto"/>
          <w:sz w:val="24"/>
          <w:szCs w:val="24"/>
          <w:lang w:eastAsia="en-GB"/>
        </w:rPr>
        <w:t>Accounting Forum</w:t>
      </w:r>
      <w:r w:rsidRPr="003813C9">
        <w:rPr>
          <w:rFonts w:eastAsia="Times New Roman"/>
          <w:color w:val="auto"/>
          <w:sz w:val="24"/>
          <w:szCs w:val="24"/>
          <w:lang w:eastAsia="en-GB"/>
        </w:rPr>
        <w:t xml:space="preserve">, </w:t>
      </w:r>
      <w:r w:rsidRPr="003813C9">
        <w:rPr>
          <w:rFonts w:eastAsia="Times New Roman"/>
          <w:i/>
          <w:iCs/>
          <w:color w:val="auto"/>
          <w:sz w:val="24"/>
          <w:szCs w:val="24"/>
          <w:lang w:eastAsia="en-GB"/>
        </w:rPr>
        <w:t>31</w:t>
      </w:r>
      <w:r w:rsidRPr="003813C9">
        <w:rPr>
          <w:rFonts w:eastAsia="Times New Roman"/>
          <w:color w:val="auto"/>
          <w:sz w:val="24"/>
          <w:szCs w:val="24"/>
          <w:lang w:eastAsia="en-GB"/>
        </w:rPr>
        <w:t>(2), 129-163.</w:t>
      </w:r>
      <w:proofErr w:type="gramEnd"/>
    </w:p>
    <w:p w14:paraId="4EF70CB7" w14:textId="77777777" w:rsidR="0046703C" w:rsidRPr="003813C9" w:rsidRDefault="0046703C" w:rsidP="0046703C">
      <w:pPr>
        <w:autoSpaceDE w:val="0"/>
        <w:autoSpaceDN w:val="0"/>
        <w:adjustRightInd w:val="0"/>
        <w:spacing w:after="0" w:line="240" w:lineRule="auto"/>
        <w:ind w:hanging="720"/>
        <w:jc w:val="both"/>
        <w:rPr>
          <w:rFonts w:eastAsia="Times New Roman"/>
          <w:color w:val="auto"/>
          <w:sz w:val="24"/>
          <w:szCs w:val="24"/>
          <w:lang w:eastAsia="en-GB"/>
        </w:rPr>
      </w:pPr>
    </w:p>
    <w:p w14:paraId="76AFA1B8" w14:textId="77777777" w:rsidR="0046703C" w:rsidRPr="003813C9" w:rsidRDefault="0046703C" w:rsidP="0046703C">
      <w:pPr>
        <w:autoSpaceDE w:val="0"/>
        <w:autoSpaceDN w:val="0"/>
        <w:adjustRightInd w:val="0"/>
        <w:spacing w:after="0" w:line="240" w:lineRule="auto"/>
        <w:ind w:hanging="720"/>
        <w:jc w:val="both"/>
        <w:rPr>
          <w:rFonts w:eastAsia="Times New Roman"/>
          <w:iCs/>
          <w:color w:val="auto"/>
          <w:sz w:val="24"/>
          <w:szCs w:val="24"/>
        </w:rPr>
      </w:pPr>
      <w:r w:rsidRPr="003813C9">
        <w:rPr>
          <w:rFonts w:eastAsia="Times New Roman"/>
          <w:iCs/>
          <w:color w:val="auto"/>
          <w:sz w:val="24"/>
          <w:szCs w:val="24"/>
        </w:rPr>
        <w:t xml:space="preserve">Beatty, A., &amp; Liao, S. (2014). Financial accounting in the banking industry: A review of the empirical literature. </w:t>
      </w:r>
      <w:r w:rsidRPr="003813C9">
        <w:rPr>
          <w:rFonts w:eastAsia="Times New Roman"/>
          <w:i/>
          <w:iCs/>
          <w:color w:val="auto"/>
          <w:sz w:val="24"/>
          <w:szCs w:val="24"/>
        </w:rPr>
        <w:t>Journal of Accounting and Economics</w:t>
      </w:r>
      <w:r w:rsidRPr="003813C9">
        <w:rPr>
          <w:rFonts w:eastAsia="Times New Roman"/>
          <w:iCs/>
          <w:color w:val="auto"/>
          <w:sz w:val="24"/>
          <w:szCs w:val="24"/>
        </w:rPr>
        <w:t xml:space="preserve">, </w:t>
      </w:r>
      <w:r w:rsidRPr="003813C9">
        <w:rPr>
          <w:rFonts w:eastAsia="Times New Roman"/>
          <w:i/>
          <w:iCs/>
          <w:color w:val="auto"/>
          <w:sz w:val="24"/>
          <w:szCs w:val="24"/>
        </w:rPr>
        <w:t>58</w:t>
      </w:r>
      <w:r w:rsidRPr="003813C9">
        <w:rPr>
          <w:rFonts w:eastAsia="Times New Roman"/>
          <w:iCs/>
          <w:color w:val="auto"/>
          <w:sz w:val="24"/>
          <w:szCs w:val="24"/>
        </w:rPr>
        <w:t>(2), 339-383.</w:t>
      </w:r>
    </w:p>
    <w:p w14:paraId="4ADBF67F" w14:textId="77777777" w:rsidR="0046703C" w:rsidRPr="003813C9" w:rsidRDefault="0046703C" w:rsidP="0046703C">
      <w:pPr>
        <w:autoSpaceDE w:val="0"/>
        <w:autoSpaceDN w:val="0"/>
        <w:adjustRightInd w:val="0"/>
        <w:spacing w:after="0" w:line="240" w:lineRule="auto"/>
        <w:ind w:hanging="720"/>
        <w:jc w:val="both"/>
        <w:rPr>
          <w:rFonts w:eastAsia="Times New Roman"/>
          <w:iCs/>
          <w:color w:val="auto"/>
          <w:sz w:val="24"/>
          <w:szCs w:val="24"/>
        </w:rPr>
      </w:pPr>
    </w:p>
    <w:p w14:paraId="738C3A47" w14:textId="77777777" w:rsidR="0046703C" w:rsidRPr="003813C9" w:rsidRDefault="0046703C" w:rsidP="0046703C">
      <w:pPr>
        <w:autoSpaceDE w:val="0"/>
        <w:autoSpaceDN w:val="0"/>
        <w:adjustRightInd w:val="0"/>
        <w:spacing w:after="0" w:line="240" w:lineRule="auto"/>
        <w:ind w:hanging="720"/>
        <w:jc w:val="both"/>
        <w:rPr>
          <w:rFonts w:eastAsia="Times New Roman"/>
          <w:color w:val="auto"/>
          <w:sz w:val="24"/>
          <w:szCs w:val="24"/>
          <w:lang w:eastAsia="en-GB"/>
        </w:rPr>
      </w:pPr>
      <w:proofErr w:type="gramStart"/>
      <w:r w:rsidRPr="003813C9">
        <w:rPr>
          <w:rFonts w:eastAsia="Times New Roman"/>
          <w:color w:val="auto"/>
          <w:sz w:val="24"/>
          <w:szCs w:val="24"/>
          <w:lang w:eastAsia="en-GB"/>
        </w:rPr>
        <w:t xml:space="preserve">Beretta, S., &amp; </w:t>
      </w:r>
      <w:proofErr w:type="spellStart"/>
      <w:r w:rsidRPr="003813C9">
        <w:rPr>
          <w:rFonts w:eastAsia="Times New Roman"/>
          <w:color w:val="auto"/>
          <w:sz w:val="24"/>
          <w:szCs w:val="24"/>
          <w:lang w:eastAsia="en-GB"/>
        </w:rPr>
        <w:t>Bozzolan</w:t>
      </w:r>
      <w:proofErr w:type="spellEnd"/>
      <w:r w:rsidRPr="003813C9">
        <w:rPr>
          <w:rFonts w:eastAsia="Times New Roman"/>
          <w:color w:val="auto"/>
          <w:sz w:val="24"/>
          <w:szCs w:val="24"/>
          <w:lang w:eastAsia="en-GB"/>
        </w:rPr>
        <w:t>, S. (2004).</w:t>
      </w:r>
      <w:proofErr w:type="gramEnd"/>
      <w:r w:rsidRPr="003813C9">
        <w:rPr>
          <w:rFonts w:eastAsia="Times New Roman"/>
          <w:color w:val="auto"/>
          <w:sz w:val="24"/>
          <w:szCs w:val="24"/>
          <w:lang w:eastAsia="en-GB"/>
        </w:rPr>
        <w:t xml:space="preserve"> </w:t>
      </w:r>
      <w:proofErr w:type="gramStart"/>
      <w:r w:rsidRPr="003813C9">
        <w:rPr>
          <w:rFonts w:eastAsia="Times New Roman"/>
          <w:color w:val="auto"/>
          <w:sz w:val="24"/>
          <w:szCs w:val="24"/>
          <w:lang w:eastAsia="en-GB"/>
        </w:rPr>
        <w:t>A framework for the analysis of firm risk communication.</w:t>
      </w:r>
      <w:proofErr w:type="gramEnd"/>
      <w:r w:rsidRPr="003813C9">
        <w:rPr>
          <w:rFonts w:eastAsia="Times New Roman"/>
          <w:color w:val="auto"/>
          <w:sz w:val="24"/>
          <w:szCs w:val="24"/>
          <w:lang w:eastAsia="en-GB"/>
        </w:rPr>
        <w:t xml:space="preserve"> </w:t>
      </w:r>
      <w:r w:rsidRPr="003813C9">
        <w:rPr>
          <w:rFonts w:eastAsia="Times New Roman"/>
          <w:i/>
          <w:iCs/>
          <w:color w:val="auto"/>
          <w:sz w:val="24"/>
          <w:szCs w:val="24"/>
          <w:lang w:eastAsia="en-GB"/>
        </w:rPr>
        <w:t>International Journal of Accounting, 39</w:t>
      </w:r>
      <w:r w:rsidRPr="003813C9">
        <w:rPr>
          <w:rFonts w:eastAsia="Times New Roman"/>
          <w:color w:val="auto"/>
          <w:sz w:val="24"/>
          <w:szCs w:val="24"/>
          <w:lang w:eastAsia="en-GB"/>
        </w:rPr>
        <w:t>(3), 265</w:t>
      </w:r>
      <w:r w:rsidRPr="003813C9">
        <w:rPr>
          <w:rFonts w:eastAsia="Times New Roman,SimSun"/>
          <w:color w:val="auto"/>
          <w:sz w:val="24"/>
          <w:szCs w:val="24"/>
          <w:lang w:eastAsia="zh-CN"/>
        </w:rPr>
        <w:t>-</w:t>
      </w:r>
      <w:r w:rsidRPr="003813C9">
        <w:rPr>
          <w:rFonts w:eastAsia="Times New Roman"/>
          <w:color w:val="auto"/>
          <w:sz w:val="24"/>
          <w:szCs w:val="24"/>
          <w:lang w:eastAsia="en-GB"/>
        </w:rPr>
        <w:t>288.</w:t>
      </w:r>
    </w:p>
    <w:p w14:paraId="65A4B552" w14:textId="77777777" w:rsidR="0046703C" w:rsidRPr="003813C9" w:rsidRDefault="0046703C" w:rsidP="0046703C">
      <w:pPr>
        <w:autoSpaceDE w:val="0"/>
        <w:autoSpaceDN w:val="0"/>
        <w:adjustRightInd w:val="0"/>
        <w:spacing w:after="0" w:line="240" w:lineRule="auto"/>
        <w:ind w:hanging="720"/>
        <w:jc w:val="both"/>
        <w:rPr>
          <w:rFonts w:eastAsia="Times New Roman"/>
          <w:color w:val="auto"/>
          <w:sz w:val="24"/>
          <w:szCs w:val="24"/>
          <w:lang w:eastAsia="en-GB"/>
        </w:rPr>
      </w:pPr>
    </w:p>
    <w:p w14:paraId="7ACCEA9E" w14:textId="77777777" w:rsidR="0046703C" w:rsidRPr="003813C9" w:rsidRDefault="0046703C" w:rsidP="0046703C">
      <w:pPr>
        <w:spacing w:after="0" w:line="240" w:lineRule="auto"/>
        <w:ind w:hanging="720"/>
        <w:jc w:val="both"/>
        <w:rPr>
          <w:rFonts w:eastAsia="Times New Roman"/>
          <w:color w:val="auto"/>
          <w:sz w:val="24"/>
          <w:szCs w:val="24"/>
          <w:lang w:eastAsia="en-GB"/>
        </w:rPr>
      </w:pPr>
      <w:proofErr w:type="gramStart"/>
      <w:r w:rsidRPr="003813C9">
        <w:rPr>
          <w:rFonts w:eastAsia="Times New Roman"/>
          <w:color w:val="auto"/>
          <w:sz w:val="24"/>
          <w:szCs w:val="24"/>
          <w:lang w:eastAsia="en-GB"/>
        </w:rPr>
        <w:t>Beyer, A., Cohen, D. A., Lys, T. Z., &amp; Walther, B. R. (2010).</w:t>
      </w:r>
      <w:proofErr w:type="gramEnd"/>
      <w:r w:rsidRPr="003813C9">
        <w:rPr>
          <w:rFonts w:eastAsia="Times New Roman"/>
          <w:color w:val="auto"/>
          <w:sz w:val="24"/>
          <w:szCs w:val="24"/>
          <w:lang w:eastAsia="en-GB"/>
        </w:rPr>
        <w:t xml:space="preserve"> The financial reporting environment: Review of the recent literature. </w:t>
      </w:r>
      <w:r w:rsidRPr="003813C9">
        <w:rPr>
          <w:rFonts w:eastAsia="Times New Roman"/>
          <w:i/>
          <w:iCs/>
          <w:color w:val="auto"/>
          <w:sz w:val="24"/>
          <w:szCs w:val="24"/>
          <w:lang w:eastAsia="en-GB"/>
        </w:rPr>
        <w:t>Journal of Accounting and Economics</w:t>
      </w:r>
      <w:r w:rsidRPr="003813C9">
        <w:rPr>
          <w:rFonts w:eastAsia="Times New Roman"/>
          <w:color w:val="auto"/>
          <w:sz w:val="24"/>
          <w:szCs w:val="24"/>
          <w:lang w:eastAsia="en-GB"/>
        </w:rPr>
        <w:t xml:space="preserve">, </w:t>
      </w:r>
      <w:r w:rsidRPr="003813C9">
        <w:rPr>
          <w:rFonts w:eastAsia="Times New Roman"/>
          <w:i/>
          <w:iCs/>
          <w:color w:val="auto"/>
          <w:sz w:val="24"/>
          <w:szCs w:val="24"/>
          <w:lang w:eastAsia="en-GB"/>
        </w:rPr>
        <w:t>50</w:t>
      </w:r>
      <w:r w:rsidRPr="003813C9">
        <w:rPr>
          <w:rFonts w:eastAsia="Times New Roman"/>
          <w:color w:val="auto"/>
          <w:sz w:val="24"/>
          <w:szCs w:val="24"/>
          <w:lang w:eastAsia="en-GB"/>
        </w:rPr>
        <w:t>(2), 296-343.</w:t>
      </w:r>
    </w:p>
    <w:p w14:paraId="2251BBD1" w14:textId="77777777" w:rsidR="0046703C" w:rsidRPr="003813C9" w:rsidRDefault="0046703C" w:rsidP="0046703C">
      <w:pPr>
        <w:spacing w:after="0" w:line="240" w:lineRule="auto"/>
        <w:jc w:val="both"/>
        <w:rPr>
          <w:rFonts w:eastAsia="Times New Roman"/>
          <w:color w:val="auto"/>
          <w:sz w:val="24"/>
          <w:szCs w:val="24"/>
          <w:lang w:eastAsia="en-GB"/>
        </w:rPr>
      </w:pPr>
    </w:p>
    <w:p w14:paraId="349F03B0" w14:textId="77777777" w:rsidR="0046703C" w:rsidRPr="003813C9" w:rsidRDefault="0046703C" w:rsidP="0046703C">
      <w:pPr>
        <w:spacing w:after="0" w:line="240" w:lineRule="auto"/>
        <w:ind w:hanging="720"/>
        <w:jc w:val="both"/>
        <w:rPr>
          <w:rFonts w:eastAsia="Calibri"/>
          <w:color w:val="auto"/>
          <w:sz w:val="24"/>
          <w:szCs w:val="24"/>
        </w:rPr>
      </w:pPr>
      <w:proofErr w:type="spellStart"/>
      <w:r w:rsidRPr="003813C9">
        <w:rPr>
          <w:rFonts w:eastAsia="Times New Roman"/>
          <w:color w:val="auto"/>
          <w:sz w:val="24"/>
          <w:szCs w:val="24"/>
        </w:rPr>
        <w:t>Botosan</w:t>
      </w:r>
      <w:proofErr w:type="spellEnd"/>
      <w:r w:rsidRPr="003813C9">
        <w:rPr>
          <w:rFonts w:eastAsia="Times New Roman"/>
          <w:color w:val="auto"/>
          <w:sz w:val="24"/>
          <w:szCs w:val="24"/>
        </w:rPr>
        <w:t xml:space="preserve">, C. A. (2004). </w:t>
      </w:r>
      <w:proofErr w:type="gramStart"/>
      <w:r w:rsidRPr="003813C9">
        <w:rPr>
          <w:rFonts w:eastAsia="Times New Roman"/>
          <w:color w:val="auto"/>
          <w:sz w:val="24"/>
          <w:szCs w:val="24"/>
        </w:rPr>
        <w:t>Discussion of a framework for the analysis of firm risk communication.</w:t>
      </w:r>
      <w:proofErr w:type="gramEnd"/>
      <w:r w:rsidRPr="003813C9">
        <w:rPr>
          <w:rFonts w:eastAsia="Times New Roman"/>
          <w:color w:val="auto"/>
          <w:sz w:val="24"/>
          <w:szCs w:val="24"/>
        </w:rPr>
        <w:t xml:space="preserve"> </w:t>
      </w:r>
      <w:r w:rsidRPr="003813C9">
        <w:rPr>
          <w:rFonts w:eastAsia="Times New Roman"/>
          <w:i/>
          <w:iCs/>
          <w:color w:val="auto"/>
          <w:sz w:val="24"/>
          <w:szCs w:val="24"/>
        </w:rPr>
        <w:t>The International Journal of Accounting</w:t>
      </w:r>
      <w:r w:rsidRPr="003813C9">
        <w:rPr>
          <w:rFonts w:eastAsia="Times New Roman"/>
          <w:color w:val="auto"/>
          <w:sz w:val="24"/>
          <w:szCs w:val="24"/>
        </w:rPr>
        <w:t xml:space="preserve">, </w:t>
      </w:r>
      <w:r w:rsidRPr="003813C9">
        <w:rPr>
          <w:rFonts w:eastAsia="Times New Roman"/>
          <w:i/>
          <w:iCs/>
          <w:color w:val="auto"/>
          <w:sz w:val="24"/>
          <w:szCs w:val="24"/>
        </w:rPr>
        <w:t>39</w:t>
      </w:r>
      <w:r w:rsidRPr="003813C9">
        <w:rPr>
          <w:rFonts w:eastAsia="Times New Roman"/>
          <w:color w:val="auto"/>
          <w:sz w:val="24"/>
          <w:szCs w:val="24"/>
        </w:rPr>
        <w:t>(3), 289-295.</w:t>
      </w:r>
    </w:p>
    <w:p w14:paraId="535D4AB5" w14:textId="77777777" w:rsidR="0046703C" w:rsidRPr="003813C9" w:rsidRDefault="0046703C" w:rsidP="0046703C">
      <w:pPr>
        <w:spacing w:after="0" w:line="240" w:lineRule="auto"/>
        <w:ind w:hanging="720"/>
        <w:jc w:val="both"/>
        <w:rPr>
          <w:rFonts w:eastAsia="Calibri"/>
          <w:color w:val="auto"/>
          <w:sz w:val="24"/>
          <w:szCs w:val="24"/>
        </w:rPr>
      </w:pPr>
    </w:p>
    <w:p w14:paraId="3D07DE71" w14:textId="77777777" w:rsidR="0046703C" w:rsidRPr="003813C9" w:rsidRDefault="0046703C" w:rsidP="0046703C">
      <w:pPr>
        <w:spacing w:after="0" w:line="240" w:lineRule="auto"/>
        <w:ind w:hanging="720"/>
        <w:jc w:val="both"/>
        <w:rPr>
          <w:rFonts w:eastAsia="Calibri"/>
          <w:color w:val="auto"/>
          <w:sz w:val="24"/>
          <w:szCs w:val="24"/>
        </w:rPr>
      </w:pPr>
      <w:proofErr w:type="spellStart"/>
      <w:proofErr w:type="gramStart"/>
      <w:r w:rsidRPr="003813C9">
        <w:rPr>
          <w:rFonts w:eastAsia="Times New Roman"/>
          <w:color w:val="auto"/>
          <w:sz w:val="24"/>
          <w:szCs w:val="24"/>
        </w:rPr>
        <w:t>Buckby</w:t>
      </w:r>
      <w:proofErr w:type="spellEnd"/>
      <w:r w:rsidRPr="003813C9">
        <w:rPr>
          <w:rFonts w:eastAsia="Times New Roman"/>
          <w:color w:val="auto"/>
          <w:sz w:val="24"/>
          <w:szCs w:val="24"/>
        </w:rPr>
        <w:t>, S., Gallery, G., &amp; Ma, J. (2015).</w:t>
      </w:r>
      <w:proofErr w:type="gramEnd"/>
      <w:r w:rsidRPr="003813C9">
        <w:rPr>
          <w:rFonts w:eastAsia="Times New Roman"/>
          <w:color w:val="auto"/>
          <w:sz w:val="24"/>
          <w:szCs w:val="24"/>
        </w:rPr>
        <w:t xml:space="preserve"> An analysis of risk management disclosures: Australian evidence. </w:t>
      </w:r>
      <w:r w:rsidRPr="003813C9">
        <w:rPr>
          <w:rFonts w:eastAsia="Times New Roman"/>
          <w:i/>
          <w:iCs/>
          <w:color w:val="auto"/>
          <w:sz w:val="24"/>
          <w:szCs w:val="24"/>
        </w:rPr>
        <w:t>Managerial Auditing Journal</w:t>
      </w:r>
      <w:r w:rsidRPr="003813C9">
        <w:rPr>
          <w:rFonts w:eastAsia="Times New Roman"/>
          <w:color w:val="auto"/>
          <w:sz w:val="24"/>
          <w:szCs w:val="24"/>
        </w:rPr>
        <w:t xml:space="preserve">, </w:t>
      </w:r>
      <w:r w:rsidRPr="003813C9">
        <w:rPr>
          <w:rFonts w:eastAsia="Times New Roman"/>
          <w:i/>
          <w:color w:val="auto"/>
          <w:sz w:val="24"/>
          <w:szCs w:val="24"/>
        </w:rPr>
        <w:t>30</w:t>
      </w:r>
      <w:r w:rsidRPr="003813C9">
        <w:rPr>
          <w:rFonts w:eastAsia="Times New Roman"/>
          <w:color w:val="auto"/>
          <w:sz w:val="24"/>
          <w:szCs w:val="24"/>
        </w:rPr>
        <w:t xml:space="preserve">(8-9), 812-869. </w:t>
      </w:r>
    </w:p>
    <w:p w14:paraId="71ED62F9" w14:textId="77777777" w:rsidR="0046703C" w:rsidRPr="003813C9" w:rsidRDefault="0046703C" w:rsidP="0046703C">
      <w:pPr>
        <w:spacing w:after="0" w:line="240" w:lineRule="auto"/>
        <w:ind w:hanging="720"/>
        <w:jc w:val="both"/>
        <w:rPr>
          <w:rFonts w:eastAsia="Calibri"/>
          <w:color w:val="auto"/>
          <w:sz w:val="24"/>
          <w:szCs w:val="24"/>
        </w:rPr>
      </w:pPr>
    </w:p>
    <w:p w14:paraId="3AFAE710" w14:textId="77777777" w:rsidR="0046703C" w:rsidRPr="003813C9" w:rsidRDefault="0046703C" w:rsidP="0046703C">
      <w:pPr>
        <w:spacing w:after="0" w:line="240" w:lineRule="auto"/>
        <w:ind w:hanging="720"/>
        <w:jc w:val="both"/>
        <w:rPr>
          <w:rFonts w:eastAsia="Calibri"/>
          <w:color w:val="auto"/>
          <w:sz w:val="24"/>
          <w:szCs w:val="24"/>
        </w:rPr>
      </w:pPr>
      <w:r w:rsidRPr="003813C9">
        <w:rPr>
          <w:rFonts w:eastAsia="Times New Roman"/>
          <w:iCs/>
          <w:color w:val="auto"/>
          <w:sz w:val="24"/>
          <w:szCs w:val="24"/>
        </w:rPr>
        <w:t xml:space="preserve">Bushman, R. M. (2014). </w:t>
      </w:r>
      <w:proofErr w:type="gramStart"/>
      <w:r w:rsidRPr="003813C9">
        <w:rPr>
          <w:rFonts w:eastAsia="Times New Roman"/>
          <w:iCs/>
          <w:color w:val="auto"/>
          <w:sz w:val="24"/>
          <w:szCs w:val="24"/>
        </w:rPr>
        <w:t>Thoughts on financial accounting and the banking industry.</w:t>
      </w:r>
      <w:proofErr w:type="gramEnd"/>
      <w:r w:rsidRPr="003813C9">
        <w:rPr>
          <w:rFonts w:eastAsia="Times New Roman"/>
          <w:iCs/>
          <w:color w:val="auto"/>
          <w:sz w:val="24"/>
          <w:szCs w:val="24"/>
        </w:rPr>
        <w:t xml:space="preserve"> </w:t>
      </w:r>
      <w:r w:rsidRPr="003813C9">
        <w:rPr>
          <w:rFonts w:eastAsia="Times New Roman"/>
          <w:i/>
          <w:iCs/>
          <w:color w:val="auto"/>
          <w:sz w:val="24"/>
          <w:szCs w:val="24"/>
        </w:rPr>
        <w:t>Journal of Accounting and Economics</w:t>
      </w:r>
      <w:r w:rsidRPr="003813C9">
        <w:rPr>
          <w:rFonts w:eastAsia="Times New Roman"/>
          <w:iCs/>
          <w:color w:val="auto"/>
          <w:sz w:val="24"/>
          <w:szCs w:val="24"/>
        </w:rPr>
        <w:t xml:space="preserve">, </w:t>
      </w:r>
      <w:r w:rsidRPr="003813C9">
        <w:rPr>
          <w:rFonts w:eastAsia="Times New Roman"/>
          <w:i/>
          <w:iCs/>
          <w:color w:val="auto"/>
          <w:sz w:val="24"/>
          <w:szCs w:val="24"/>
        </w:rPr>
        <w:t>58</w:t>
      </w:r>
      <w:r w:rsidRPr="003813C9">
        <w:rPr>
          <w:rFonts w:eastAsia="Times New Roman"/>
          <w:iCs/>
          <w:color w:val="auto"/>
          <w:sz w:val="24"/>
          <w:szCs w:val="24"/>
        </w:rPr>
        <w:t>(2), 384-395.</w:t>
      </w:r>
    </w:p>
    <w:p w14:paraId="467F2D59" w14:textId="77777777" w:rsidR="0046703C" w:rsidRPr="003813C9" w:rsidRDefault="0046703C" w:rsidP="0046703C">
      <w:pPr>
        <w:spacing w:after="0" w:line="240" w:lineRule="auto"/>
        <w:ind w:hanging="720"/>
        <w:jc w:val="both"/>
        <w:rPr>
          <w:rFonts w:eastAsia="Calibri"/>
          <w:color w:val="auto"/>
          <w:sz w:val="24"/>
          <w:szCs w:val="24"/>
        </w:rPr>
      </w:pPr>
    </w:p>
    <w:p w14:paraId="17FB95B0" w14:textId="77777777" w:rsidR="0046703C" w:rsidRPr="003813C9" w:rsidRDefault="0046703C" w:rsidP="0046703C">
      <w:pPr>
        <w:spacing w:after="0" w:line="240" w:lineRule="auto"/>
        <w:ind w:hanging="720"/>
        <w:jc w:val="both"/>
        <w:rPr>
          <w:rFonts w:eastAsia="Times New Roman"/>
          <w:color w:val="auto"/>
          <w:sz w:val="24"/>
          <w:szCs w:val="24"/>
        </w:rPr>
      </w:pPr>
      <w:proofErr w:type="gramStart"/>
      <w:r w:rsidRPr="003813C9">
        <w:rPr>
          <w:rFonts w:eastAsia="Times New Roman"/>
          <w:color w:val="auto"/>
          <w:sz w:val="24"/>
          <w:szCs w:val="24"/>
        </w:rPr>
        <w:t>Butler, M., Kraft, A., &amp; Weiss, I. S. (2007).</w:t>
      </w:r>
      <w:proofErr w:type="gramEnd"/>
      <w:r w:rsidRPr="003813C9">
        <w:rPr>
          <w:rFonts w:eastAsia="Times New Roman"/>
          <w:color w:val="auto"/>
          <w:sz w:val="24"/>
          <w:szCs w:val="24"/>
        </w:rPr>
        <w:t xml:space="preserve"> The effect of reporting frequency on the timeliness of earnings: The cases of voluntary and mandatory interim reports. </w:t>
      </w:r>
      <w:r w:rsidRPr="003813C9">
        <w:rPr>
          <w:rFonts w:eastAsia="Times New Roman"/>
          <w:i/>
          <w:iCs/>
          <w:color w:val="auto"/>
          <w:sz w:val="24"/>
          <w:szCs w:val="24"/>
        </w:rPr>
        <w:t>Journal of Accounting and Economics</w:t>
      </w:r>
      <w:r w:rsidRPr="003813C9">
        <w:rPr>
          <w:rFonts w:eastAsia="Times New Roman"/>
          <w:color w:val="auto"/>
          <w:sz w:val="24"/>
          <w:szCs w:val="24"/>
        </w:rPr>
        <w:t>, </w:t>
      </w:r>
      <w:r w:rsidRPr="003813C9">
        <w:rPr>
          <w:rFonts w:eastAsia="Times New Roman"/>
          <w:i/>
          <w:iCs/>
          <w:color w:val="auto"/>
          <w:sz w:val="24"/>
          <w:szCs w:val="24"/>
        </w:rPr>
        <w:t>43</w:t>
      </w:r>
      <w:r w:rsidRPr="003813C9">
        <w:rPr>
          <w:rFonts w:eastAsia="Times New Roman"/>
          <w:color w:val="auto"/>
          <w:sz w:val="24"/>
          <w:szCs w:val="24"/>
        </w:rPr>
        <w:t>(2), 181-217.</w:t>
      </w:r>
    </w:p>
    <w:p w14:paraId="29AA390F" w14:textId="77777777" w:rsidR="0046703C" w:rsidRPr="003813C9" w:rsidRDefault="0046703C" w:rsidP="0046703C">
      <w:pPr>
        <w:spacing w:after="0" w:line="240" w:lineRule="auto"/>
        <w:ind w:hanging="720"/>
        <w:jc w:val="both"/>
        <w:rPr>
          <w:rFonts w:eastAsia="Times New Roman"/>
          <w:color w:val="auto"/>
          <w:sz w:val="24"/>
          <w:szCs w:val="24"/>
        </w:rPr>
      </w:pPr>
    </w:p>
    <w:p w14:paraId="025BD02A" w14:textId="77777777" w:rsidR="0046703C" w:rsidRPr="003813C9" w:rsidRDefault="0046703C" w:rsidP="0046703C">
      <w:pPr>
        <w:spacing w:after="0" w:line="240" w:lineRule="auto"/>
        <w:ind w:hanging="720"/>
        <w:jc w:val="both"/>
        <w:rPr>
          <w:rFonts w:eastAsia="Calibri"/>
          <w:color w:val="auto"/>
          <w:sz w:val="24"/>
          <w:szCs w:val="24"/>
        </w:rPr>
      </w:pPr>
      <w:proofErr w:type="gramStart"/>
      <w:r w:rsidRPr="003813C9">
        <w:rPr>
          <w:rFonts w:eastAsia="Times New Roman"/>
          <w:color w:val="auto"/>
          <w:sz w:val="24"/>
          <w:szCs w:val="24"/>
        </w:rPr>
        <w:t>Campbell, J. L., Chen, H., Dhaliwal, D. S., Lu, H., &amp; Steele, L. B. (2014).</w:t>
      </w:r>
      <w:proofErr w:type="gramEnd"/>
      <w:r w:rsidRPr="003813C9">
        <w:rPr>
          <w:rFonts w:eastAsia="Times New Roman"/>
          <w:color w:val="auto"/>
          <w:sz w:val="24"/>
          <w:szCs w:val="24"/>
        </w:rPr>
        <w:t xml:space="preserve"> </w:t>
      </w:r>
      <w:proofErr w:type="gramStart"/>
      <w:r w:rsidRPr="003813C9">
        <w:rPr>
          <w:rFonts w:eastAsia="Times New Roman"/>
          <w:color w:val="auto"/>
          <w:sz w:val="24"/>
          <w:szCs w:val="24"/>
        </w:rPr>
        <w:t>The information content of mandatory risk factor disclosure in corporate filings.</w:t>
      </w:r>
      <w:proofErr w:type="gramEnd"/>
      <w:r w:rsidRPr="003813C9">
        <w:rPr>
          <w:rFonts w:eastAsia="Times New Roman"/>
          <w:color w:val="auto"/>
          <w:sz w:val="24"/>
          <w:szCs w:val="24"/>
        </w:rPr>
        <w:t xml:space="preserve"> </w:t>
      </w:r>
      <w:r w:rsidRPr="003813C9">
        <w:rPr>
          <w:rFonts w:eastAsia="Times New Roman"/>
          <w:i/>
          <w:iCs/>
          <w:color w:val="auto"/>
          <w:sz w:val="24"/>
          <w:szCs w:val="24"/>
        </w:rPr>
        <w:t>Review of Accounting Studies, 19</w:t>
      </w:r>
      <w:r w:rsidRPr="003813C9">
        <w:rPr>
          <w:rFonts w:eastAsia="Times New Roman"/>
          <w:color w:val="auto"/>
          <w:sz w:val="24"/>
          <w:szCs w:val="24"/>
        </w:rPr>
        <w:t xml:space="preserve">(1), 396-455. </w:t>
      </w:r>
    </w:p>
    <w:p w14:paraId="174D9B53" w14:textId="77777777" w:rsidR="0046703C" w:rsidRPr="003813C9" w:rsidRDefault="0046703C" w:rsidP="0046703C">
      <w:pPr>
        <w:spacing w:after="0" w:line="240" w:lineRule="auto"/>
        <w:jc w:val="both"/>
        <w:rPr>
          <w:rFonts w:eastAsia="Calibri"/>
          <w:color w:val="auto"/>
          <w:sz w:val="24"/>
          <w:szCs w:val="24"/>
        </w:rPr>
      </w:pPr>
    </w:p>
    <w:p w14:paraId="174C7E3F" w14:textId="77777777" w:rsidR="0046703C" w:rsidRPr="003813C9" w:rsidRDefault="0046703C" w:rsidP="0046703C">
      <w:pPr>
        <w:spacing w:after="0" w:line="240" w:lineRule="auto"/>
        <w:ind w:hanging="720"/>
        <w:jc w:val="both"/>
        <w:rPr>
          <w:rFonts w:eastAsia="Calibri"/>
          <w:color w:val="auto"/>
          <w:sz w:val="24"/>
          <w:szCs w:val="24"/>
        </w:rPr>
      </w:pPr>
      <w:r w:rsidRPr="003813C9">
        <w:rPr>
          <w:rFonts w:eastAsia="Times New Roman"/>
          <w:color w:val="auto"/>
          <w:sz w:val="24"/>
          <w:szCs w:val="24"/>
        </w:rPr>
        <w:t>Davis, A. K., Ge, W., Matsumoto, D., &amp; Zhang, J. L. (2014). The effect of manager-specific optimism on the tone of earnings conference calls. </w:t>
      </w:r>
      <w:r w:rsidRPr="003813C9">
        <w:rPr>
          <w:rFonts w:eastAsia="Times New Roman"/>
          <w:i/>
          <w:iCs/>
          <w:color w:val="auto"/>
          <w:sz w:val="24"/>
          <w:szCs w:val="24"/>
        </w:rPr>
        <w:t>Review of Accounting Studies</w:t>
      </w:r>
      <w:r w:rsidRPr="003813C9">
        <w:rPr>
          <w:rFonts w:eastAsia="Times New Roman"/>
          <w:color w:val="auto"/>
          <w:sz w:val="24"/>
          <w:szCs w:val="24"/>
        </w:rPr>
        <w:t xml:space="preserve">, </w:t>
      </w:r>
      <w:r w:rsidRPr="003813C9">
        <w:rPr>
          <w:rFonts w:eastAsia="Times New Roman"/>
          <w:i/>
          <w:iCs/>
          <w:color w:val="auto"/>
          <w:sz w:val="24"/>
          <w:szCs w:val="24"/>
        </w:rPr>
        <w:t>20</w:t>
      </w:r>
      <w:r w:rsidRPr="003813C9">
        <w:rPr>
          <w:rFonts w:eastAsia="Times New Roman"/>
          <w:color w:val="auto"/>
          <w:sz w:val="24"/>
          <w:szCs w:val="24"/>
        </w:rPr>
        <w:t>(2), 1-35.</w:t>
      </w:r>
    </w:p>
    <w:p w14:paraId="6C93FF1D" w14:textId="77777777" w:rsidR="0046703C" w:rsidRPr="003813C9" w:rsidRDefault="0046703C" w:rsidP="0046703C">
      <w:pPr>
        <w:spacing w:after="0" w:line="240" w:lineRule="auto"/>
        <w:ind w:hanging="720"/>
        <w:jc w:val="both"/>
        <w:rPr>
          <w:rFonts w:eastAsia="Calibri"/>
          <w:color w:val="auto"/>
          <w:sz w:val="24"/>
          <w:szCs w:val="24"/>
        </w:rPr>
      </w:pPr>
    </w:p>
    <w:p w14:paraId="04AEFFA3" w14:textId="77777777" w:rsidR="0046703C" w:rsidRPr="003813C9" w:rsidRDefault="0046703C" w:rsidP="0046703C">
      <w:pPr>
        <w:autoSpaceDE w:val="0"/>
        <w:autoSpaceDN w:val="0"/>
        <w:adjustRightInd w:val="0"/>
        <w:spacing w:after="0" w:line="240" w:lineRule="auto"/>
        <w:ind w:hanging="720"/>
        <w:jc w:val="both"/>
        <w:rPr>
          <w:rFonts w:eastAsia="Times New Roman"/>
          <w:color w:val="auto"/>
          <w:sz w:val="24"/>
          <w:szCs w:val="24"/>
          <w:lang w:eastAsia="en-GB"/>
        </w:rPr>
      </w:pPr>
      <w:proofErr w:type="spellStart"/>
      <w:proofErr w:type="gramStart"/>
      <w:r w:rsidRPr="003813C9">
        <w:rPr>
          <w:rFonts w:eastAsia="Times New Roman"/>
          <w:color w:val="auto"/>
          <w:sz w:val="24"/>
          <w:szCs w:val="24"/>
          <w:lang w:eastAsia="en-GB"/>
        </w:rPr>
        <w:t>Deumes</w:t>
      </w:r>
      <w:proofErr w:type="spellEnd"/>
      <w:r w:rsidRPr="003813C9">
        <w:rPr>
          <w:rFonts w:eastAsia="Times New Roman"/>
          <w:color w:val="auto"/>
          <w:sz w:val="24"/>
          <w:szCs w:val="24"/>
          <w:lang w:eastAsia="en-GB"/>
        </w:rPr>
        <w:t xml:space="preserve">, R., &amp; </w:t>
      </w:r>
      <w:proofErr w:type="spellStart"/>
      <w:r w:rsidRPr="003813C9">
        <w:rPr>
          <w:rFonts w:eastAsia="Times New Roman"/>
          <w:color w:val="auto"/>
          <w:sz w:val="24"/>
          <w:szCs w:val="24"/>
          <w:lang w:eastAsia="en-GB"/>
        </w:rPr>
        <w:t>Knechel</w:t>
      </w:r>
      <w:proofErr w:type="spellEnd"/>
      <w:r w:rsidRPr="003813C9">
        <w:rPr>
          <w:rFonts w:eastAsia="Times New Roman"/>
          <w:color w:val="auto"/>
          <w:sz w:val="24"/>
          <w:szCs w:val="24"/>
          <w:lang w:eastAsia="en-GB"/>
        </w:rPr>
        <w:t>, W. R. (2008).</w:t>
      </w:r>
      <w:proofErr w:type="gramEnd"/>
      <w:r w:rsidRPr="003813C9">
        <w:rPr>
          <w:rFonts w:eastAsia="Times New Roman"/>
          <w:color w:val="auto"/>
          <w:sz w:val="24"/>
          <w:szCs w:val="24"/>
          <w:lang w:eastAsia="en-GB"/>
        </w:rPr>
        <w:t xml:space="preserve"> </w:t>
      </w:r>
      <w:proofErr w:type="gramStart"/>
      <w:r w:rsidRPr="003813C9">
        <w:rPr>
          <w:rFonts w:eastAsia="Times New Roman"/>
          <w:color w:val="auto"/>
          <w:sz w:val="24"/>
          <w:szCs w:val="24"/>
          <w:lang w:eastAsia="en-GB"/>
        </w:rPr>
        <w:t>Economic incentives for voluntary reporting on internal risk management and control systems.</w:t>
      </w:r>
      <w:proofErr w:type="gramEnd"/>
      <w:r w:rsidRPr="003813C9">
        <w:rPr>
          <w:rFonts w:eastAsia="Times New Roman"/>
          <w:color w:val="auto"/>
          <w:sz w:val="24"/>
          <w:szCs w:val="24"/>
          <w:lang w:eastAsia="en-GB"/>
        </w:rPr>
        <w:t xml:space="preserve"> </w:t>
      </w:r>
      <w:proofErr w:type="gramStart"/>
      <w:r w:rsidRPr="003813C9">
        <w:rPr>
          <w:rFonts w:eastAsia="Times New Roman"/>
          <w:i/>
          <w:iCs/>
          <w:color w:val="auto"/>
          <w:sz w:val="24"/>
          <w:szCs w:val="24"/>
          <w:lang w:eastAsia="en-GB"/>
        </w:rPr>
        <w:t>Auditing:</w:t>
      </w:r>
      <w:r w:rsidRPr="003813C9">
        <w:rPr>
          <w:rFonts w:eastAsia="Times New Roman"/>
          <w:color w:val="auto"/>
          <w:sz w:val="24"/>
          <w:szCs w:val="24"/>
          <w:lang w:eastAsia="en-GB"/>
        </w:rPr>
        <w:t xml:space="preserve"> </w:t>
      </w:r>
      <w:r w:rsidRPr="003813C9">
        <w:rPr>
          <w:rFonts w:eastAsia="Times New Roman"/>
          <w:i/>
          <w:iCs/>
          <w:color w:val="auto"/>
          <w:sz w:val="24"/>
          <w:szCs w:val="24"/>
          <w:lang w:eastAsia="en-GB"/>
        </w:rPr>
        <w:t>A Journal of Practice &amp; Theory, 27</w:t>
      </w:r>
      <w:r w:rsidRPr="003813C9">
        <w:rPr>
          <w:rFonts w:eastAsia="Times New Roman"/>
          <w:color w:val="auto"/>
          <w:sz w:val="24"/>
          <w:szCs w:val="24"/>
          <w:lang w:eastAsia="en-GB"/>
        </w:rPr>
        <w:t>(1),</w:t>
      </w:r>
      <w:r w:rsidRPr="003813C9">
        <w:rPr>
          <w:rFonts w:eastAsia="Times New Roman"/>
          <w:i/>
          <w:iCs/>
          <w:color w:val="auto"/>
          <w:sz w:val="24"/>
          <w:szCs w:val="24"/>
          <w:lang w:eastAsia="en-GB"/>
        </w:rPr>
        <w:t xml:space="preserve"> </w:t>
      </w:r>
      <w:r w:rsidRPr="003813C9">
        <w:rPr>
          <w:rFonts w:eastAsia="Times New Roman"/>
          <w:color w:val="auto"/>
          <w:sz w:val="24"/>
          <w:szCs w:val="24"/>
          <w:lang w:eastAsia="en-GB"/>
        </w:rPr>
        <w:t>35</w:t>
      </w:r>
      <w:r w:rsidRPr="003813C9">
        <w:rPr>
          <w:rFonts w:eastAsia="Times New Roman,SimSun"/>
          <w:color w:val="auto"/>
          <w:sz w:val="24"/>
          <w:szCs w:val="24"/>
          <w:lang w:eastAsia="zh-CN"/>
        </w:rPr>
        <w:t>-</w:t>
      </w:r>
      <w:r w:rsidRPr="003813C9">
        <w:rPr>
          <w:rFonts w:eastAsia="Times New Roman"/>
          <w:color w:val="auto"/>
          <w:sz w:val="24"/>
          <w:szCs w:val="24"/>
          <w:lang w:eastAsia="en-GB"/>
        </w:rPr>
        <w:t>66.</w:t>
      </w:r>
      <w:proofErr w:type="gramEnd"/>
      <w:r w:rsidRPr="003813C9">
        <w:rPr>
          <w:rFonts w:eastAsia="Times New Roman"/>
          <w:color w:val="auto"/>
          <w:sz w:val="24"/>
          <w:szCs w:val="24"/>
          <w:lang w:eastAsia="en-GB"/>
        </w:rPr>
        <w:t xml:space="preserve"> </w:t>
      </w:r>
    </w:p>
    <w:p w14:paraId="4891CCAF" w14:textId="77777777" w:rsidR="0046703C" w:rsidRPr="003813C9" w:rsidRDefault="0046703C" w:rsidP="0046703C">
      <w:pPr>
        <w:spacing w:after="0" w:line="240" w:lineRule="auto"/>
        <w:jc w:val="both"/>
        <w:rPr>
          <w:rFonts w:eastAsia="Calibri"/>
          <w:color w:val="auto"/>
          <w:sz w:val="24"/>
          <w:szCs w:val="24"/>
        </w:rPr>
      </w:pPr>
    </w:p>
    <w:p w14:paraId="1C661F75" w14:textId="77777777" w:rsidR="0046703C" w:rsidRPr="003813C9" w:rsidRDefault="0046703C" w:rsidP="0046703C">
      <w:pPr>
        <w:spacing w:after="0" w:line="240" w:lineRule="auto"/>
        <w:ind w:hanging="720"/>
        <w:jc w:val="both"/>
        <w:rPr>
          <w:rFonts w:eastAsia="Calibri"/>
          <w:color w:val="auto"/>
          <w:sz w:val="24"/>
          <w:szCs w:val="24"/>
        </w:rPr>
      </w:pPr>
      <w:proofErr w:type="spellStart"/>
      <w:proofErr w:type="gramStart"/>
      <w:r w:rsidRPr="003813C9">
        <w:rPr>
          <w:rFonts w:eastAsia="Times New Roman"/>
          <w:color w:val="auto"/>
          <w:sz w:val="24"/>
          <w:szCs w:val="24"/>
          <w:lang w:eastAsia="en-GB"/>
        </w:rPr>
        <w:t>Dobler</w:t>
      </w:r>
      <w:proofErr w:type="spellEnd"/>
      <w:r w:rsidRPr="003813C9">
        <w:rPr>
          <w:rFonts w:eastAsia="Times New Roman"/>
          <w:color w:val="auto"/>
          <w:sz w:val="24"/>
          <w:szCs w:val="24"/>
          <w:lang w:eastAsia="en-GB"/>
        </w:rPr>
        <w:t>, M. (2008).</w:t>
      </w:r>
      <w:proofErr w:type="gramEnd"/>
      <w:r w:rsidRPr="003813C9">
        <w:rPr>
          <w:rFonts w:eastAsia="Times New Roman"/>
          <w:color w:val="auto"/>
          <w:sz w:val="24"/>
          <w:szCs w:val="24"/>
          <w:lang w:eastAsia="en-GB"/>
        </w:rPr>
        <w:t xml:space="preserve"> Incentives for risk reporting – a discretionary disclosure and cheap talk approach. </w:t>
      </w:r>
      <w:r w:rsidRPr="003813C9">
        <w:rPr>
          <w:rFonts w:eastAsia="Times New Roman"/>
          <w:i/>
          <w:iCs/>
          <w:color w:val="auto"/>
          <w:sz w:val="24"/>
          <w:szCs w:val="24"/>
          <w:lang w:eastAsia="en-GB"/>
        </w:rPr>
        <w:t>The International Journal of Accounting, 43</w:t>
      </w:r>
      <w:r w:rsidRPr="003813C9">
        <w:rPr>
          <w:rFonts w:eastAsia="Times New Roman"/>
          <w:color w:val="auto"/>
          <w:sz w:val="24"/>
          <w:szCs w:val="24"/>
          <w:lang w:eastAsia="en-GB"/>
        </w:rPr>
        <w:t>, 184</w:t>
      </w:r>
      <w:r w:rsidRPr="003813C9">
        <w:rPr>
          <w:rFonts w:eastAsia="Times New Roman,SimSun"/>
          <w:color w:val="auto"/>
          <w:sz w:val="24"/>
          <w:szCs w:val="24"/>
          <w:lang w:eastAsia="zh-CN"/>
        </w:rPr>
        <w:t>-</w:t>
      </w:r>
      <w:r w:rsidRPr="003813C9">
        <w:rPr>
          <w:rFonts w:eastAsia="Times New Roman"/>
          <w:color w:val="auto"/>
          <w:sz w:val="24"/>
          <w:szCs w:val="24"/>
          <w:lang w:eastAsia="en-GB"/>
        </w:rPr>
        <w:t>206.</w:t>
      </w:r>
    </w:p>
    <w:p w14:paraId="14D182BB" w14:textId="77777777" w:rsidR="0046703C" w:rsidRPr="003813C9" w:rsidRDefault="0046703C" w:rsidP="0046703C">
      <w:pPr>
        <w:spacing w:after="0" w:line="240" w:lineRule="auto"/>
        <w:ind w:hanging="720"/>
        <w:jc w:val="both"/>
        <w:rPr>
          <w:rFonts w:eastAsia="Calibri"/>
          <w:color w:val="auto"/>
          <w:sz w:val="24"/>
          <w:szCs w:val="24"/>
        </w:rPr>
      </w:pPr>
    </w:p>
    <w:p w14:paraId="4490EE64" w14:textId="77777777" w:rsidR="0046703C" w:rsidRPr="003813C9" w:rsidRDefault="0046703C" w:rsidP="0046703C">
      <w:pPr>
        <w:spacing w:after="0" w:line="240" w:lineRule="auto"/>
        <w:ind w:hanging="720"/>
        <w:jc w:val="both"/>
        <w:rPr>
          <w:rFonts w:eastAsia="Times New Roman"/>
          <w:color w:val="auto"/>
          <w:sz w:val="24"/>
          <w:szCs w:val="24"/>
        </w:rPr>
      </w:pPr>
      <w:proofErr w:type="spellStart"/>
      <w:proofErr w:type="gramStart"/>
      <w:r w:rsidRPr="003813C9">
        <w:rPr>
          <w:rFonts w:eastAsia="Times New Roman"/>
          <w:color w:val="auto"/>
          <w:sz w:val="24"/>
          <w:szCs w:val="24"/>
        </w:rPr>
        <w:t>Dobler</w:t>
      </w:r>
      <w:proofErr w:type="spellEnd"/>
      <w:r w:rsidRPr="003813C9">
        <w:rPr>
          <w:rFonts w:eastAsia="Times New Roman"/>
          <w:color w:val="auto"/>
          <w:sz w:val="24"/>
          <w:szCs w:val="24"/>
        </w:rPr>
        <w:t xml:space="preserve">, M., </w:t>
      </w:r>
      <w:proofErr w:type="spellStart"/>
      <w:r w:rsidRPr="003813C9">
        <w:rPr>
          <w:rFonts w:eastAsia="Times New Roman"/>
          <w:color w:val="auto"/>
          <w:sz w:val="24"/>
          <w:szCs w:val="24"/>
        </w:rPr>
        <w:t>Lajili</w:t>
      </w:r>
      <w:proofErr w:type="spellEnd"/>
      <w:r w:rsidRPr="003813C9">
        <w:rPr>
          <w:rFonts w:eastAsia="Times New Roman"/>
          <w:color w:val="auto"/>
          <w:sz w:val="24"/>
          <w:szCs w:val="24"/>
        </w:rPr>
        <w:t>, K</w:t>
      </w:r>
      <w:r w:rsidRPr="003813C9">
        <w:rPr>
          <w:rFonts w:eastAsia="Times New Roman"/>
          <w:color w:val="auto"/>
          <w:sz w:val="24"/>
          <w:szCs w:val="24"/>
          <w:lang w:eastAsia="en-GB"/>
        </w:rPr>
        <w:t>.</w:t>
      </w:r>
      <w:r w:rsidRPr="003813C9">
        <w:rPr>
          <w:rFonts w:eastAsia="Times New Roman"/>
          <w:color w:val="auto"/>
          <w:sz w:val="24"/>
          <w:szCs w:val="24"/>
        </w:rPr>
        <w:t xml:space="preserve">, &amp; </w:t>
      </w:r>
      <w:proofErr w:type="spellStart"/>
      <w:r w:rsidRPr="003813C9">
        <w:rPr>
          <w:rFonts w:eastAsia="Calibri" w:cs="Arial"/>
          <w:color w:val="auto"/>
          <w:sz w:val="24"/>
          <w:szCs w:val="24"/>
          <w:shd w:val="clear" w:color="auto" w:fill="FFFFFF"/>
        </w:rPr>
        <w:t>Zéghal</w:t>
      </w:r>
      <w:proofErr w:type="spellEnd"/>
      <w:r w:rsidRPr="003813C9">
        <w:rPr>
          <w:rFonts w:eastAsia="Times New Roman"/>
          <w:color w:val="auto"/>
          <w:sz w:val="24"/>
          <w:szCs w:val="24"/>
        </w:rPr>
        <w:t>, D. (2011).</w:t>
      </w:r>
      <w:proofErr w:type="gramEnd"/>
      <w:r w:rsidRPr="003813C9">
        <w:rPr>
          <w:rFonts w:eastAsia="Times New Roman"/>
          <w:color w:val="auto"/>
          <w:sz w:val="24"/>
          <w:szCs w:val="24"/>
        </w:rPr>
        <w:t xml:space="preserve"> </w:t>
      </w:r>
      <w:proofErr w:type="gramStart"/>
      <w:r w:rsidRPr="003813C9">
        <w:rPr>
          <w:rFonts w:eastAsia="Times New Roman"/>
          <w:color w:val="auto"/>
          <w:sz w:val="24"/>
          <w:szCs w:val="24"/>
        </w:rPr>
        <w:t>Attributes of corporate risk disclosure: An international investigation in the manufacturing sector.</w:t>
      </w:r>
      <w:proofErr w:type="gramEnd"/>
      <w:r w:rsidRPr="003813C9">
        <w:rPr>
          <w:rFonts w:eastAsia="Times New Roman"/>
          <w:color w:val="auto"/>
          <w:sz w:val="24"/>
          <w:szCs w:val="24"/>
        </w:rPr>
        <w:t xml:space="preserve"> </w:t>
      </w:r>
      <w:r w:rsidRPr="003813C9">
        <w:rPr>
          <w:rFonts w:eastAsia="Times New Roman"/>
          <w:i/>
          <w:iCs/>
          <w:color w:val="auto"/>
          <w:sz w:val="24"/>
          <w:szCs w:val="24"/>
        </w:rPr>
        <w:t>Journal of International Accounting Research</w:t>
      </w:r>
      <w:r w:rsidRPr="003813C9">
        <w:rPr>
          <w:rFonts w:eastAsia="Times New Roman"/>
          <w:color w:val="auto"/>
          <w:sz w:val="24"/>
          <w:szCs w:val="24"/>
        </w:rPr>
        <w:t xml:space="preserve">, </w:t>
      </w:r>
      <w:r w:rsidRPr="003813C9">
        <w:rPr>
          <w:rFonts w:eastAsia="Times New Roman"/>
          <w:i/>
          <w:color w:val="auto"/>
          <w:sz w:val="24"/>
          <w:szCs w:val="24"/>
        </w:rPr>
        <w:t>10</w:t>
      </w:r>
      <w:r w:rsidRPr="003813C9">
        <w:rPr>
          <w:rFonts w:eastAsia="Times New Roman"/>
          <w:color w:val="auto"/>
          <w:sz w:val="24"/>
          <w:szCs w:val="24"/>
        </w:rPr>
        <w:t>(2), 1-22.</w:t>
      </w:r>
    </w:p>
    <w:p w14:paraId="07163D7C" w14:textId="77777777" w:rsidR="00DB37B5" w:rsidRPr="003813C9" w:rsidRDefault="00DB37B5" w:rsidP="0046703C">
      <w:pPr>
        <w:spacing w:after="0" w:line="240" w:lineRule="auto"/>
        <w:ind w:hanging="720"/>
        <w:jc w:val="both"/>
        <w:rPr>
          <w:rFonts w:eastAsia="Times New Roman"/>
          <w:color w:val="auto"/>
          <w:sz w:val="24"/>
          <w:szCs w:val="24"/>
        </w:rPr>
      </w:pPr>
    </w:p>
    <w:p w14:paraId="7B4178A3" w14:textId="77777777" w:rsidR="00DB37B5" w:rsidRPr="003813C9" w:rsidRDefault="00DB37B5" w:rsidP="0046703C">
      <w:pPr>
        <w:spacing w:after="0" w:line="240" w:lineRule="auto"/>
        <w:ind w:hanging="720"/>
        <w:jc w:val="both"/>
        <w:rPr>
          <w:rFonts w:eastAsia="Calibri"/>
          <w:color w:val="auto"/>
          <w:sz w:val="24"/>
          <w:szCs w:val="24"/>
        </w:rPr>
      </w:pPr>
      <w:proofErr w:type="gramStart"/>
      <w:r w:rsidRPr="003813C9">
        <w:rPr>
          <w:rFonts w:eastAsia="Calibri"/>
          <w:color w:val="auto"/>
          <w:sz w:val="24"/>
          <w:szCs w:val="24"/>
        </w:rPr>
        <w:t>Dye, R. A. (1985).</w:t>
      </w:r>
      <w:proofErr w:type="gramEnd"/>
      <w:r w:rsidRPr="003813C9">
        <w:rPr>
          <w:rFonts w:eastAsia="Calibri"/>
          <w:color w:val="auto"/>
          <w:sz w:val="24"/>
          <w:szCs w:val="24"/>
        </w:rPr>
        <w:t xml:space="preserve"> </w:t>
      </w:r>
      <w:proofErr w:type="gramStart"/>
      <w:r w:rsidRPr="003813C9">
        <w:rPr>
          <w:rFonts w:eastAsia="Calibri"/>
          <w:color w:val="auto"/>
          <w:sz w:val="24"/>
          <w:szCs w:val="24"/>
        </w:rPr>
        <w:t xml:space="preserve">Disclosure of </w:t>
      </w:r>
      <w:proofErr w:type="spellStart"/>
      <w:r w:rsidRPr="003813C9">
        <w:rPr>
          <w:rFonts w:eastAsia="Calibri"/>
          <w:color w:val="auto"/>
          <w:sz w:val="24"/>
          <w:szCs w:val="24"/>
        </w:rPr>
        <w:t>nonproprietary</w:t>
      </w:r>
      <w:proofErr w:type="spellEnd"/>
      <w:r w:rsidRPr="003813C9">
        <w:rPr>
          <w:rFonts w:eastAsia="Calibri"/>
          <w:color w:val="auto"/>
          <w:sz w:val="24"/>
          <w:szCs w:val="24"/>
        </w:rPr>
        <w:t xml:space="preserve"> information</w:t>
      </w:r>
      <w:r w:rsidRPr="003813C9">
        <w:rPr>
          <w:rFonts w:eastAsia="Calibri"/>
          <w:i/>
          <w:color w:val="auto"/>
          <w:sz w:val="24"/>
          <w:szCs w:val="24"/>
        </w:rPr>
        <w:t>.</w:t>
      </w:r>
      <w:proofErr w:type="gramEnd"/>
      <w:r w:rsidRPr="003813C9">
        <w:rPr>
          <w:rFonts w:eastAsia="Calibri"/>
          <w:i/>
          <w:color w:val="auto"/>
          <w:sz w:val="24"/>
          <w:szCs w:val="24"/>
        </w:rPr>
        <w:t xml:space="preserve"> Journal of Accounting Research, 23</w:t>
      </w:r>
      <w:r w:rsidRPr="003813C9">
        <w:rPr>
          <w:rFonts w:eastAsia="Calibri"/>
          <w:color w:val="auto"/>
          <w:sz w:val="24"/>
          <w:szCs w:val="24"/>
        </w:rPr>
        <w:t>(1), 123-145.</w:t>
      </w:r>
    </w:p>
    <w:p w14:paraId="19BE0711" w14:textId="77777777" w:rsidR="0046703C" w:rsidRPr="003813C9" w:rsidRDefault="0046703C" w:rsidP="0046703C">
      <w:pPr>
        <w:spacing w:after="0" w:line="240" w:lineRule="auto"/>
        <w:jc w:val="both"/>
        <w:rPr>
          <w:rFonts w:eastAsia="Times New Roman,Calibri"/>
          <w:color w:val="auto"/>
          <w:sz w:val="24"/>
          <w:szCs w:val="24"/>
        </w:rPr>
      </w:pPr>
    </w:p>
    <w:p w14:paraId="2A21E8C6" w14:textId="77777777" w:rsidR="0046703C" w:rsidRPr="003813C9" w:rsidRDefault="0046703C" w:rsidP="0046703C">
      <w:pPr>
        <w:spacing w:after="0" w:line="240" w:lineRule="auto"/>
        <w:ind w:hanging="720"/>
        <w:jc w:val="both"/>
        <w:rPr>
          <w:rFonts w:eastAsia="Times New Roman,Calibri"/>
          <w:color w:val="auto"/>
          <w:sz w:val="24"/>
          <w:szCs w:val="24"/>
        </w:rPr>
      </w:pPr>
      <w:proofErr w:type="gramStart"/>
      <w:r w:rsidRPr="003813C9">
        <w:rPr>
          <w:rFonts w:eastAsia="Times New Roman,Calibri"/>
          <w:color w:val="auto"/>
          <w:sz w:val="24"/>
          <w:szCs w:val="24"/>
        </w:rPr>
        <w:t xml:space="preserve">Dyer, T., Lang, M. H., &amp; </w:t>
      </w:r>
      <w:proofErr w:type="spellStart"/>
      <w:r w:rsidRPr="003813C9">
        <w:rPr>
          <w:rFonts w:eastAsia="Times New Roman,Calibri"/>
          <w:color w:val="auto"/>
          <w:sz w:val="24"/>
          <w:szCs w:val="24"/>
        </w:rPr>
        <w:t>Stice</w:t>
      </w:r>
      <w:proofErr w:type="spellEnd"/>
      <w:r w:rsidRPr="003813C9">
        <w:rPr>
          <w:rFonts w:eastAsia="Times New Roman,Calibri"/>
          <w:color w:val="auto"/>
          <w:sz w:val="24"/>
          <w:szCs w:val="24"/>
        </w:rPr>
        <w:t>-Lawrence, L. (2016).</w:t>
      </w:r>
      <w:proofErr w:type="gramEnd"/>
      <w:r w:rsidRPr="003813C9">
        <w:rPr>
          <w:rFonts w:eastAsia="Times New Roman,Calibri"/>
          <w:color w:val="auto"/>
          <w:sz w:val="24"/>
          <w:szCs w:val="24"/>
        </w:rPr>
        <w:t xml:space="preserve"> The Ever-Expanding 10-K: Why Are 10-Ks Getting So Much Longer (and Does It Matter)? </w:t>
      </w:r>
      <w:proofErr w:type="gramStart"/>
      <w:r w:rsidRPr="003813C9">
        <w:rPr>
          <w:rFonts w:eastAsia="Times New Roman,Calibri"/>
          <w:color w:val="auto"/>
          <w:sz w:val="24"/>
          <w:szCs w:val="24"/>
        </w:rPr>
        <w:t>(Working paper, University of North Carolina).</w:t>
      </w:r>
      <w:proofErr w:type="gramEnd"/>
    </w:p>
    <w:p w14:paraId="71EBC659" w14:textId="77777777" w:rsidR="0046703C" w:rsidRPr="003813C9" w:rsidRDefault="0046703C" w:rsidP="0046703C">
      <w:pPr>
        <w:spacing w:after="0" w:line="240" w:lineRule="auto"/>
        <w:jc w:val="both"/>
        <w:rPr>
          <w:rFonts w:eastAsia="Times New Roman"/>
          <w:color w:val="auto"/>
          <w:sz w:val="24"/>
          <w:szCs w:val="24"/>
          <w:lang w:eastAsia="en-GB"/>
        </w:rPr>
      </w:pPr>
    </w:p>
    <w:p w14:paraId="7D253D0A" w14:textId="77777777" w:rsidR="0046703C" w:rsidRPr="003813C9" w:rsidRDefault="0046703C" w:rsidP="0046703C">
      <w:pPr>
        <w:autoSpaceDE w:val="0"/>
        <w:autoSpaceDN w:val="0"/>
        <w:adjustRightInd w:val="0"/>
        <w:spacing w:after="0" w:line="240" w:lineRule="auto"/>
        <w:ind w:hanging="720"/>
        <w:jc w:val="both"/>
        <w:rPr>
          <w:rFonts w:eastAsia="Calibri"/>
          <w:color w:val="auto"/>
          <w:sz w:val="24"/>
          <w:szCs w:val="24"/>
        </w:rPr>
      </w:pPr>
      <w:proofErr w:type="spellStart"/>
      <w:r w:rsidRPr="003813C9">
        <w:rPr>
          <w:rFonts w:eastAsia="Times New Roman"/>
          <w:color w:val="auto"/>
          <w:sz w:val="24"/>
          <w:szCs w:val="24"/>
          <w:lang w:eastAsia="en-GB"/>
        </w:rPr>
        <w:lastRenderedPageBreak/>
        <w:t>Einhorn</w:t>
      </w:r>
      <w:proofErr w:type="spellEnd"/>
      <w:r w:rsidRPr="003813C9">
        <w:rPr>
          <w:rFonts w:eastAsia="Times New Roman"/>
          <w:color w:val="auto"/>
          <w:sz w:val="24"/>
          <w:szCs w:val="24"/>
          <w:lang w:eastAsia="en-GB"/>
        </w:rPr>
        <w:t xml:space="preserve">, E. (2005). </w:t>
      </w:r>
      <w:proofErr w:type="gramStart"/>
      <w:r w:rsidRPr="003813C9">
        <w:rPr>
          <w:rFonts w:eastAsia="Times New Roman"/>
          <w:color w:val="auto"/>
          <w:sz w:val="24"/>
          <w:szCs w:val="24"/>
          <w:lang w:eastAsia="en-GB"/>
        </w:rPr>
        <w:t>The nature of the interaction between mandatory and voluntary disclosures</w:t>
      </w:r>
      <w:r w:rsidRPr="003813C9">
        <w:rPr>
          <w:rFonts w:eastAsia="Times New Roman"/>
          <w:i/>
          <w:iCs/>
          <w:color w:val="auto"/>
          <w:sz w:val="24"/>
          <w:szCs w:val="24"/>
          <w:lang w:eastAsia="en-GB"/>
        </w:rPr>
        <w:t>.</w:t>
      </w:r>
      <w:proofErr w:type="gramEnd"/>
      <w:r w:rsidRPr="003813C9">
        <w:rPr>
          <w:rFonts w:eastAsia="Times New Roman"/>
          <w:i/>
          <w:iCs/>
          <w:color w:val="auto"/>
          <w:sz w:val="24"/>
          <w:szCs w:val="24"/>
          <w:lang w:eastAsia="en-GB"/>
        </w:rPr>
        <w:t xml:space="preserve"> Journal of Accounting Researc</w:t>
      </w:r>
      <w:r w:rsidRPr="003813C9">
        <w:rPr>
          <w:rFonts w:eastAsia="Times New Roman"/>
          <w:i/>
          <w:color w:val="auto"/>
          <w:sz w:val="24"/>
          <w:szCs w:val="24"/>
          <w:lang w:eastAsia="en-GB"/>
        </w:rPr>
        <w:t>h,</w:t>
      </w:r>
      <w:r w:rsidRPr="003813C9">
        <w:rPr>
          <w:rFonts w:eastAsia="Times New Roman"/>
          <w:color w:val="auto"/>
          <w:sz w:val="24"/>
          <w:szCs w:val="24"/>
          <w:lang w:eastAsia="en-GB"/>
        </w:rPr>
        <w:t xml:space="preserve"> </w:t>
      </w:r>
      <w:r w:rsidRPr="003813C9">
        <w:rPr>
          <w:rFonts w:eastAsia="Times New Roman"/>
          <w:i/>
          <w:iCs/>
          <w:color w:val="auto"/>
          <w:sz w:val="24"/>
          <w:szCs w:val="24"/>
          <w:lang w:eastAsia="en-GB"/>
        </w:rPr>
        <w:t>43</w:t>
      </w:r>
      <w:r w:rsidRPr="003813C9">
        <w:rPr>
          <w:rFonts w:eastAsia="Times New Roman"/>
          <w:color w:val="auto"/>
          <w:sz w:val="24"/>
          <w:szCs w:val="24"/>
          <w:lang w:eastAsia="en-GB"/>
        </w:rPr>
        <w:t>(4), 593-621.</w:t>
      </w:r>
    </w:p>
    <w:p w14:paraId="18A39A74" w14:textId="77777777" w:rsidR="0046703C" w:rsidRPr="003813C9" w:rsidRDefault="0046703C" w:rsidP="0046703C">
      <w:pPr>
        <w:autoSpaceDE w:val="0"/>
        <w:autoSpaceDN w:val="0"/>
        <w:adjustRightInd w:val="0"/>
        <w:spacing w:after="0" w:line="240" w:lineRule="auto"/>
        <w:ind w:hanging="720"/>
        <w:jc w:val="both"/>
        <w:rPr>
          <w:rFonts w:eastAsia="Calibri"/>
          <w:color w:val="auto"/>
          <w:sz w:val="24"/>
          <w:szCs w:val="24"/>
        </w:rPr>
      </w:pPr>
    </w:p>
    <w:p w14:paraId="57690452" w14:textId="77777777" w:rsidR="0046703C" w:rsidRPr="003813C9" w:rsidRDefault="0046703C" w:rsidP="0046703C">
      <w:pPr>
        <w:autoSpaceDE w:val="0"/>
        <w:autoSpaceDN w:val="0"/>
        <w:adjustRightInd w:val="0"/>
        <w:spacing w:after="0" w:line="240" w:lineRule="auto"/>
        <w:ind w:hanging="720"/>
        <w:jc w:val="both"/>
        <w:rPr>
          <w:rFonts w:eastAsia="Calibri"/>
          <w:color w:val="auto"/>
          <w:sz w:val="24"/>
          <w:szCs w:val="24"/>
        </w:rPr>
      </w:pPr>
      <w:proofErr w:type="spellStart"/>
      <w:proofErr w:type="gramStart"/>
      <w:r w:rsidRPr="003813C9">
        <w:rPr>
          <w:rFonts w:eastAsia="Times New Roman"/>
          <w:color w:val="auto"/>
          <w:sz w:val="24"/>
          <w:szCs w:val="24"/>
        </w:rPr>
        <w:t>Elbannan</w:t>
      </w:r>
      <w:proofErr w:type="spellEnd"/>
      <w:r w:rsidRPr="003813C9">
        <w:rPr>
          <w:rFonts w:eastAsia="Times New Roman"/>
          <w:color w:val="auto"/>
          <w:sz w:val="24"/>
          <w:szCs w:val="24"/>
        </w:rPr>
        <w:t xml:space="preserve">, M. A., &amp; </w:t>
      </w:r>
      <w:proofErr w:type="spellStart"/>
      <w:r w:rsidRPr="003813C9">
        <w:rPr>
          <w:rFonts w:eastAsia="Times New Roman"/>
          <w:color w:val="auto"/>
          <w:sz w:val="24"/>
          <w:szCs w:val="24"/>
        </w:rPr>
        <w:t>Elbannan</w:t>
      </w:r>
      <w:proofErr w:type="spellEnd"/>
      <w:r w:rsidRPr="003813C9">
        <w:rPr>
          <w:rFonts w:eastAsia="Times New Roman"/>
          <w:color w:val="auto"/>
          <w:sz w:val="24"/>
          <w:szCs w:val="24"/>
        </w:rPr>
        <w:t>, M. A. (2015).</w:t>
      </w:r>
      <w:proofErr w:type="gramEnd"/>
      <w:r w:rsidRPr="003813C9">
        <w:rPr>
          <w:rFonts w:eastAsia="Times New Roman"/>
          <w:color w:val="auto"/>
          <w:sz w:val="24"/>
          <w:szCs w:val="24"/>
        </w:rPr>
        <w:t xml:space="preserve"> Economic consequences of bank disclosure in the financial statements before and during the financial crisis: evidence from Egypt. </w:t>
      </w:r>
      <w:proofErr w:type="gramStart"/>
      <w:r w:rsidRPr="003813C9">
        <w:rPr>
          <w:rFonts w:eastAsia="Times New Roman"/>
          <w:i/>
          <w:iCs/>
          <w:color w:val="auto"/>
          <w:sz w:val="24"/>
          <w:szCs w:val="24"/>
        </w:rPr>
        <w:t>Journal of Accounting, Auditing &amp; Finance</w:t>
      </w:r>
      <w:r w:rsidRPr="003813C9">
        <w:rPr>
          <w:rFonts w:eastAsia="Times New Roman"/>
          <w:color w:val="auto"/>
          <w:sz w:val="24"/>
          <w:szCs w:val="24"/>
        </w:rPr>
        <w:t>,</w:t>
      </w:r>
      <w:r w:rsidRPr="003813C9">
        <w:rPr>
          <w:rFonts w:eastAsia="Times New Roman"/>
          <w:i/>
          <w:iCs/>
          <w:color w:val="auto"/>
          <w:sz w:val="24"/>
          <w:szCs w:val="24"/>
        </w:rPr>
        <w:t xml:space="preserve"> 30</w:t>
      </w:r>
      <w:r w:rsidRPr="003813C9">
        <w:rPr>
          <w:rFonts w:eastAsia="Times New Roman"/>
          <w:color w:val="auto"/>
          <w:sz w:val="24"/>
          <w:szCs w:val="24"/>
        </w:rPr>
        <w:t>(2), 181-217.</w:t>
      </w:r>
      <w:proofErr w:type="gramEnd"/>
    </w:p>
    <w:p w14:paraId="72D78FC2" w14:textId="77777777" w:rsidR="0046703C" w:rsidRPr="003813C9" w:rsidRDefault="0046703C" w:rsidP="0046703C">
      <w:pPr>
        <w:spacing w:after="0" w:line="240" w:lineRule="auto"/>
        <w:ind w:hanging="720"/>
        <w:jc w:val="both"/>
        <w:rPr>
          <w:rFonts w:eastAsia="Calibri"/>
          <w:color w:val="auto"/>
          <w:sz w:val="24"/>
          <w:szCs w:val="24"/>
        </w:rPr>
      </w:pPr>
    </w:p>
    <w:p w14:paraId="52B2FABD" w14:textId="77777777" w:rsidR="0046703C" w:rsidRPr="003813C9" w:rsidRDefault="0046703C" w:rsidP="0046703C">
      <w:pPr>
        <w:spacing w:after="0" w:line="240" w:lineRule="auto"/>
        <w:ind w:hanging="720"/>
        <w:jc w:val="both"/>
        <w:rPr>
          <w:rFonts w:eastAsia="Times New Roman"/>
          <w:color w:val="auto"/>
          <w:sz w:val="24"/>
          <w:szCs w:val="24"/>
        </w:rPr>
      </w:pPr>
      <w:proofErr w:type="gramStart"/>
      <w:r w:rsidRPr="003813C9">
        <w:rPr>
          <w:rFonts w:eastAsia="Times New Roman"/>
          <w:color w:val="auto"/>
          <w:sz w:val="24"/>
          <w:szCs w:val="24"/>
        </w:rPr>
        <w:t>Elshandidy, T., Fraser, I., &amp; Hussainey, K. (2013).</w:t>
      </w:r>
      <w:proofErr w:type="gramEnd"/>
      <w:r w:rsidRPr="003813C9">
        <w:rPr>
          <w:rFonts w:eastAsia="Times New Roman"/>
          <w:color w:val="auto"/>
          <w:sz w:val="24"/>
          <w:szCs w:val="24"/>
        </w:rPr>
        <w:t xml:space="preserve"> Aggregated, voluntary, and mandatory risk reporting incentives: evidence from FTSE all-share. </w:t>
      </w:r>
      <w:r w:rsidRPr="003813C9">
        <w:rPr>
          <w:rFonts w:eastAsia="Times New Roman"/>
          <w:i/>
          <w:iCs/>
          <w:color w:val="auto"/>
          <w:sz w:val="24"/>
          <w:szCs w:val="24"/>
        </w:rPr>
        <w:t>International Review of Financial Analysis, 30,</w:t>
      </w:r>
      <w:r w:rsidRPr="003813C9">
        <w:rPr>
          <w:rFonts w:eastAsia="Times New Roman"/>
          <w:color w:val="auto"/>
          <w:sz w:val="24"/>
          <w:szCs w:val="24"/>
        </w:rPr>
        <w:t xml:space="preserve"> 320-333.</w:t>
      </w:r>
    </w:p>
    <w:p w14:paraId="374A08D7" w14:textId="77777777" w:rsidR="0046703C" w:rsidRPr="003813C9" w:rsidRDefault="0046703C" w:rsidP="0046703C">
      <w:pPr>
        <w:spacing w:after="0" w:line="240" w:lineRule="auto"/>
        <w:ind w:hanging="720"/>
        <w:jc w:val="both"/>
        <w:rPr>
          <w:rFonts w:eastAsia="Calibri"/>
          <w:color w:val="auto"/>
          <w:sz w:val="24"/>
          <w:szCs w:val="24"/>
        </w:rPr>
      </w:pPr>
    </w:p>
    <w:p w14:paraId="2E41F454" w14:textId="77777777" w:rsidR="0046703C" w:rsidRPr="003813C9" w:rsidRDefault="0046703C" w:rsidP="0046703C">
      <w:pPr>
        <w:spacing w:after="0" w:line="240" w:lineRule="auto"/>
        <w:ind w:hanging="720"/>
        <w:jc w:val="both"/>
        <w:rPr>
          <w:rFonts w:eastAsia="Times New Roman"/>
          <w:color w:val="auto"/>
          <w:sz w:val="24"/>
          <w:szCs w:val="24"/>
        </w:rPr>
      </w:pPr>
      <w:proofErr w:type="gramStart"/>
      <w:r w:rsidRPr="003813C9">
        <w:rPr>
          <w:rFonts w:eastAsia="Times New Roman"/>
          <w:color w:val="auto"/>
          <w:sz w:val="24"/>
          <w:szCs w:val="24"/>
        </w:rPr>
        <w:t>Elshandidy, T., Fraser, I., &amp; Hussainey, K. (2015).</w:t>
      </w:r>
      <w:proofErr w:type="gramEnd"/>
      <w:r w:rsidRPr="003813C9">
        <w:rPr>
          <w:rFonts w:eastAsia="Times New Roman"/>
          <w:color w:val="auto"/>
          <w:sz w:val="24"/>
          <w:szCs w:val="24"/>
        </w:rPr>
        <w:t xml:space="preserve"> What drives mandatory and voluntary risk reporting variations across Germany, UK, and US? </w:t>
      </w:r>
      <w:r w:rsidRPr="003813C9">
        <w:rPr>
          <w:rFonts w:eastAsia="Times New Roman"/>
          <w:i/>
          <w:iCs/>
          <w:color w:val="auto"/>
          <w:sz w:val="24"/>
          <w:szCs w:val="24"/>
        </w:rPr>
        <w:t>The British Accounting Review</w:t>
      </w:r>
      <w:r w:rsidRPr="003813C9">
        <w:rPr>
          <w:rFonts w:eastAsia="Times New Roman"/>
          <w:color w:val="auto"/>
          <w:sz w:val="24"/>
          <w:szCs w:val="24"/>
        </w:rPr>
        <w:t xml:space="preserve">, </w:t>
      </w:r>
      <w:r w:rsidRPr="003813C9">
        <w:rPr>
          <w:rFonts w:eastAsia="Times New Roman"/>
          <w:i/>
          <w:color w:val="auto"/>
          <w:sz w:val="24"/>
          <w:szCs w:val="24"/>
        </w:rPr>
        <w:t>47</w:t>
      </w:r>
      <w:r w:rsidRPr="003813C9">
        <w:rPr>
          <w:rFonts w:eastAsia="Times New Roman"/>
          <w:color w:val="auto"/>
          <w:sz w:val="24"/>
          <w:szCs w:val="24"/>
        </w:rPr>
        <w:t>(4), 376-394.</w:t>
      </w:r>
    </w:p>
    <w:p w14:paraId="3346F449" w14:textId="77777777" w:rsidR="0046703C" w:rsidRPr="003813C9" w:rsidRDefault="0046703C" w:rsidP="0046703C">
      <w:pPr>
        <w:tabs>
          <w:tab w:val="left" w:pos="7328"/>
        </w:tabs>
        <w:spacing w:after="0" w:line="240" w:lineRule="auto"/>
        <w:ind w:hanging="720"/>
        <w:jc w:val="both"/>
        <w:rPr>
          <w:rFonts w:eastAsia="Calibri"/>
          <w:color w:val="auto"/>
          <w:sz w:val="24"/>
          <w:szCs w:val="24"/>
        </w:rPr>
      </w:pPr>
      <w:r w:rsidRPr="003813C9">
        <w:rPr>
          <w:rFonts w:eastAsia="Calibri"/>
          <w:color w:val="auto"/>
          <w:sz w:val="24"/>
          <w:szCs w:val="24"/>
        </w:rPr>
        <w:tab/>
      </w:r>
      <w:r w:rsidRPr="003813C9">
        <w:rPr>
          <w:rFonts w:eastAsia="Calibri"/>
          <w:color w:val="auto"/>
          <w:sz w:val="24"/>
          <w:szCs w:val="24"/>
        </w:rPr>
        <w:tab/>
      </w:r>
    </w:p>
    <w:p w14:paraId="44167015" w14:textId="77777777" w:rsidR="0046703C" w:rsidRPr="003813C9" w:rsidRDefault="0046703C" w:rsidP="0046703C">
      <w:pPr>
        <w:spacing w:after="0" w:line="240" w:lineRule="auto"/>
        <w:ind w:hanging="720"/>
        <w:jc w:val="both"/>
        <w:rPr>
          <w:rFonts w:eastAsia="Calibri"/>
          <w:color w:val="auto"/>
          <w:sz w:val="24"/>
          <w:szCs w:val="24"/>
        </w:rPr>
      </w:pPr>
      <w:proofErr w:type="gramStart"/>
      <w:r w:rsidRPr="003813C9">
        <w:rPr>
          <w:rFonts w:eastAsia="Times New Roman"/>
          <w:color w:val="auto"/>
          <w:sz w:val="24"/>
          <w:szCs w:val="24"/>
        </w:rPr>
        <w:t>Elshandidy, T., &amp; Neri, L. (2015).</w:t>
      </w:r>
      <w:proofErr w:type="gramEnd"/>
      <w:r w:rsidRPr="003813C9">
        <w:rPr>
          <w:rFonts w:eastAsia="Times New Roman"/>
          <w:color w:val="auto"/>
          <w:sz w:val="24"/>
          <w:szCs w:val="24"/>
        </w:rPr>
        <w:t xml:space="preserve"> Corporate governance, risk reporting practices, and market liquidity: Comparative evidence from the UK and Italy. </w:t>
      </w:r>
      <w:r w:rsidRPr="003813C9">
        <w:rPr>
          <w:rFonts w:eastAsia="Times New Roman"/>
          <w:i/>
          <w:iCs/>
          <w:color w:val="auto"/>
          <w:sz w:val="24"/>
          <w:szCs w:val="24"/>
        </w:rPr>
        <w:t>Corporate Governance: An International Review</w:t>
      </w:r>
      <w:r w:rsidRPr="003813C9">
        <w:rPr>
          <w:rFonts w:eastAsia="Times New Roman"/>
          <w:color w:val="auto"/>
          <w:sz w:val="24"/>
          <w:szCs w:val="24"/>
        </w:rPr>
        <w:t xml:space="preserve">, </w:t>
      </w:r>
      <w:r w:rsidRPr="003813C9">
        <w:rPr>
          <w:rFonts w:eastAsia="Times New Roman"/>
          <w:i/>
          <w:iCs/>
          <w:color w:val="auto"/>
          <w:sz w:val="24"/>
          <w:szCs w:val="24"/>
        </w:rPr>
        <w:t>23</w:t>
      </w:r>
      <w:r w:rsidRPr="003813C9">
        <w:rPr>
          <w:rFonts w:eastAsia="Times New Roman"/>
          <w:color w:val="auto"/>
          <w:sz w:val="24"/>
          <w:szCs w:val="24"/>
        </w:rPr>
        <w:t>(4), 331-356.</w:t>
      </w:r>
    </w:p>
    <w:p w14:paraId="2BD6AE1F" w14:textId="77777777" w:rsidR="0046703C" w:rsidRPr="003813C9" w:rsidRDefault="0046703C" w:rsidP="0046703C">
      <w:pPr>
        <w:spacing w:after="0" w:line="240" w:lineRule="auto"/>
        <w:ind w:hanging="720"/>
        <w:jc w:val="both"/>
        <w:rPr>
          <w:rFonts w:eastAsia="Calibri"/>
          <w:color w:val="auto"/>
          <w:sz w:val="24"/>
          <w:szCs w:val="24"/>
        </w:rPr>
      </w:pPr>
    </w:p>
    <w:p w14:paraId="65E2A297" w14:textId="77777777" w:rsidR="0046703C" w:rsidRPr="003813C9" w:rsidRDefault="0046703C" w:rsidP="0046703C">
      <w:pPr>
        <w:spacing w:after="0" w:line="240" w:lineRule="auto"/>
        <w:ind w:hanging="720"/>
        <w:jc w:val="both"/>
        <w:rPr>
          <w:rFonts w:eastAsia="Calibri"/>
          <w:color w:val="auto"/>
          <w:sz w:val="24"/>
          <w:szCs w:val="24"/>
        </w:rPr>
      </w:pPr>
      <w:r w:rsidRPr="003813C9">
        <w:rPr>
          <w:rFonts w:eastAsia="Times New Roman"/>
          <w:color w:val="auto"/>
          <w:sz w:val="24"/>
          <w:szCs w:val="24"/>
        </w:rPr>
        <w:t xml:space="preserve">Elshandidy, T., &amp; Shrives, P. J. (2016). Environmental incentives for and usefulness of textual risk reporting: Evidence from Germany. </w:t>
      </w:r>
      <w:r w:rsidRPr="003813C9">
        <w:rPr>
          <w:rFonts w:eastAsia="Times New Roman"/>
          <w:i/>
          <w:iCs/>
          <w:color w:val="auto"/>
          <w:sz w:val="24"/>
          <w:szCs w:val="24"/>
        </w:rPr>
        <w:t>The International Journal of Accounting</w:t>
      </w:r>
      <w:r w:rsidRPr="003813C9">
        <w:rPr>
          <w:rFonts w:eastAsia="Times New Roman"/>
          <w:color w:val="auto"/>
          <w:sz w:val="24"/>
          <w:szCs w:val="24"/>
        </w:rPr>
        <w:t xml:space="preserve">, </w:t>
      </w:r>
      <w:r w:rsidRPr="003813C9">
        <w:rPr>
          <w:rFonts w:eastAsia="Times New Roman"/>
          <w:i/>
          <w:color w:val="auto"/>
          <w:sz w:val="24"/>
          <w:szCs w:val="24"/>
        </w:rPr>
        <w:t>51</w:t>
      </w:r>
      <w:r w:rsidRPr="003813C9">
        <w:rPr>
          <w:rFonts w:eastAsia="Times New Roman"/>
          <w:color w:val="auto"/>
          <w:sz w:val="24"/>
          <w:szCs w:val="24"/>
        </w:rPr>
        <w:t>(4), 464-486.</w:t>
      </w:r>
    </w:p>
    <w:p w14:paraId="42847810" w14:textId="77777777" w:rsidR="0046703C" w:rsidRPr="003813C9" w:rsidRDefault="0046703C" w:rsidP="0046703C">
      <w:pPr>
        <w:spacing w:after="0" w:line="240" w:lineRule="auto"/>
        <w:jc w:val="both"/>
        <w:rPr>
          <w:rFonts w:eastAsia="Calibri"/>
          <w:color w:val="auto"/>
          <w:sz w:val="24"/>
          <w:szCs w:val="24"/>
        </w:rPr>
      </w:pPr>
    </w:p>
    <w:p w14:paraId="6EFEC54B" w14:textId="77777777" w:rsidR="0046703C" w:rsidRPr="003813C9" w:rsidRDefault="0046703C" w:rsidP="0046703C">
      <w:pPr>
        <w:spacing w:after="0" w:line="240" w:lineRule="auto"/>
        <w:ind w:hanging="720"/>
        <w:jc w:val="both"/>
        <w:rPr>
          <w:rFonts w:eastAsia="Times New Roman"/>
          <w:color w:val="auto"/>
          <w:sz w:val="24"/>
          <w:szCs w:val="24"/>
        </w:rPr>
      </w:pPr>
      <w:proofErr w:type="spellStart"/>
      <w:r w:rsidRPr="003813C9">
        <w:rPr>
          <w:rFonts w:eastAsia="Times New Roman"/>
          <w:color w:val="auto"/>
          <w:sz w:val="24"/>
          <w:szCs w:val="24"/>
        </w:rPr>
        <w:t>Filzen</w:t>
      </w:r>
      <w:proofErr w:type="spellEnd"/>
      <w:r w:rsidRPr="003813C9">
        <w:rPr>
          <w:rFonts w:eastAsia="Times New Roman"/>
          <w:color w:val="auto"/>
          <w:sz w:val="24"/>
          <w:szCs w:val="24"/>
        </w:rPr>
        <w:t xml:space="preserve">, J. J. (2015). </w:t>
      </w:r>
      <w:proofErr w:type="gramStart"/>
      <w:r w:rsidRPr="003813C9">
        <w:rPr>
          <w:rFonts w:eastAsia="Times New Roman"/>
          <w:color w:val="auto"/>
          <w:sz w:val="24"/>
          <w:szCs w:val="24"/>
        </w:rPr>
        <w:t>The information content of risk factor disclosures in quarterly reports.</w:t>
      </w:r>
      <w:proofErr w:type="gramEnd"/>
      <w:r w:rsidRPr="003813C9">
        <w:rPr>
          <w:rFonts w:eastAsia="Times New Roman"/>
          <w:color w:val="auto"/>
          <w:sz w:val="24"/>
          <w:szCs w:val="24"/>
        </w:rPr>
        <w:t xml:space="preserve"> </w:t>
      </w:r>
      <w:proofErr w:type="gramStart"/>
      <w:r w:rsidRPr="003813C9">
        <w:rPr>
          <w:rFonts w:eastAsia="Times New Roman"/>
          <w:i/>
          <w:iCs/>
          <w:color w:val="auto"/>
          <w:sz w:val="24"/>
          <w:szCs w:val="24"/>
        </w:rPr>
        <w:t>Accounting Horizons</w:t>
      </w:r>
      <w:r w:rsidRPr="003813C9">
        <w:rPr>
          <w:rFonts w:eastAsia="Times New Roman"/>
          <w:color w:val="auto"/>
          <w:sz w:val="24"/>
          <w:szCs w:val="24"/>
        </w:rPr>
        <w:t xml:space="preserve">, </w:t>
      </w:r>
      <w:r w:rsidRPr="003813C9">
        <w:rPr>
          <w:rFonts w:eastAsia="Times New Roman"/>
          <w:i/>
          <w:iCs/>
          <w:color w:val="auto"/>
          <w:sz w:val="24"/>
          <w:szCs w:val="24"/>
        </w:rPr>
        <w:t>29</w:t>
      </w:r>
      <w:r w:rsidRPr="003813C9">
        <w:rPr>
          <w:rFonts w:eastAsia="Times New Roman"/>
          <w:color w:val="auto"/>
          <w:sz w:val="24"/>
          <w:szCs w:val="24"/>
        </w:rPr>
        <w:t>(4), 887-916.</w:t>
      </w:r>
      <w:proofErr w:type="gramEnd"/>
    </w:p>
    <w:p w14:paraId="3EE3B306" w14:textId="77777777" w:rsidR="0046703C" w:rsidRPr="003813C9" w:rsidRDefault="0046703C" w:rsidP="0046703C">
      <w:pPr>
        <w:spacing w:after="0" w:line="240" w:lineRule="auto"/>
        <w:ind w:hanging="720"/>
        <w:jc w:val="both"/>
        <w:rPr>
          <w:rFonts w:eastAsia="Calibri"/>
          <w:color w:val="auto"/>
          <w:sz w:val="24"/>
          <w:szCs w:val="24"/>
        </w:rPr>
      </w:pPr>
    </w:p>
    <w:p w14:paraId="4057D2DC" w14:textId="77777777" w:rsidR="0046703C" w:rsidRPr="003813C9" w:rsidRDefault="0046703C" w:rsidP="0046703C">
      <w:pPr>
        <w:spacing w:after="0" w:line="240" w:lineRule="auto"/>
        <w:ind w:hanging="720"/>
        <w:jc w:val="both"/>
        <w:rPr>
          <w:rFonts w:eastAsia="Calibri"/>
          <w:color w:val="auto"/>
          <w:sz w:val="24"/>
          <w:szCs w:val="24"/>
        </w:rPr>
      </w:pPr>
      <w:r w:rsidRPr="003813C9">
        <w:rPr>
          <w:rFonts w:eastAsia="Times New Roman"/>
          <w:color w:val="auto"/>
          <w:sz w:val="24"/>
          <w:szCs w:val="24"/>
          <w:lang w:val="de-DE"/>
        </w:rPr>
        <w:t xml:space="preserve">Gigler, F. B., &amp; Hemmer, T. (2001). </w:t>
      </w:r>
      <w:proofErr w:type="gramStart"/>
      <w:r w:rsidRPr="003813C9">
        <w:rPr>
          <w:rFonts w:eastAsia="Times New Roman"/>
          <w:color w:val="auto"/>
          <w:sz w:val="24"/>
          <w:szCs w:val="24"/>
        </w:rPr>
        <w:t>Conservatism, optimal disclosure policy, and the timeliness of financial reports.</w:t>
      </w:r>
      <w:proofErr w:type="gramEnd"/>
      <w:r w:rsidRPr="003813C9">
        <w:rPr>
          <w:rFonts w:eastAsia="Times New Roman"/>
          <w:color w:val="auto"/>
          <w:sz w:val="24"/>
          <w:szCs w:val="24"/>
        </w:rPr>
        <w:t> </w:t>
      </w:r>
      <w:r w:rsidRPr="003813C9">
        <w:rPr>
          <w:rFonts w:eastAsia="Times New Roman"/>
          <w:i/>
          <w:iCs/>
          <w:color w:val="auto"/>
          <w:sz w:val="24"/>
          <w:szCs w:val="24"/>
        </w:rPr>
        <w:t>The Accounting Review</w:t>
      </w:r>
      <w:r w:rsidRPr="003813C9">
        <w:rPr>
          <w:rFonts w:eastAsia="Times New Roman"/>
          <w:color w:val="auto"/>
          <w:sz w:val="24"/>
          <w:szCs w:val="24"/>
        </w:rPr>
        <w:t>, </w:t>
      </w:r>
      <w:r w:rsidRPr="003813C9">
        <w:rPr>
          <w:rFonts w:eastAsia="Times New Roman"/>
          <w:i/>
          <w:iCs/>
          <w:color w:val="auto"/>
          <w:sz w:val="24"/>
          <w:szCs w:val="24"/>
        </w:rPr>
        <w:t>76</w:t>
      </w:r>
      <w:r w:rsidRPr="003813C9">
        <w:rPr>
          <w:rFonts w:eastAsia="Times New Roman"/>
          <w:color w:val="auto"/>
          <w:sz w:val="24"/>
          <w:szCs w:val="24"/>
        </w:rPr>
        <w:t>(4), 471-493.</w:t>
      </w:r>
      <w:r w:rsidRPr="003813C9">
        <w:rPr>
          <w:rFonts w:eastAsia="Calibri"/>
          <w:color w:val="auto"/>
          <w:sz w:val="24"/>
          <w:szCs w:val="24"/>
        </w:rPr>
        <w:t xml:space="preserve"> </w:t>
      </w:r>
    </w:p>
    <w:p w14:paraId="0441080F" w14:textId="77777777" w:rsidR="0046703C" w:rsidRPr="003813C9" w:rsidRDefault="0046703C" w:rsidP="0046703C">
      <w:pPr>
        <w:spacing w:after="0" w:line="240" w:lineRule="auto"/>
        <w:ind w:hanging="720"/>
        <w:jc w:val="both"/>
        <w:rPr>
          <w:rFonts w:eastAsia="Calibri"/>
          <w:color w:val="auto"/>
          <w:sz w:val="24"/>
          <w:szCs w:val="24"/>
        </w:rPr>
      </w:pPr>
    </w:p>
    <w:p w14:paraId="4DDEDB86" w14:textId="77777777" w:rsidR="0046703C" w:rsidRPr="003813C9" w:rsidRDefault="0046703C" w:rsidP="0046703C">
      <w:pPr>
        <w:spacing w:after="0" w:line="240" w:lineRule="auto"/>
        <w:ind w:hanging="720"/>
        <w:jc w:val="both"/>
        <w:rPr>
          <w:rFonts w:eastAsia="Calibri"/>
          <w:color w:val="auto"/>
          <w:sz w:val="24"/>
          <w:szCs w:val="24"/>
        </w:rPr>
      </w:pPr>
      <w:proofErr w:type="spellStart"/>
      <w:r w:rsidRPr="003813C9">
        <w:rPr>
          <w:rFonts w:eastAsia="Times New Roman"/>
          <w:color w:val="auto"/>
          <w:sz w:val="24"/>
          <w:szCs w:val="24"/>
        </w:rPr>
        <w:t>Gillan</w:t>
      </w:r>
      <w:proofErr w:type="spellEnd"/>
      <w:r w:rsidRPr="003813C9">
        <w:rPr>
          <w:rFonts w:eastAsia="Times New Roman"/>
          <w:color w:val="auto"/>
          <w:sz w:val="24"/>
          <w:szCs w:val="24"/>
        </w:rPr>
        <w:t xml:space="preserve">, S. L. (2006). Recent developments in corporate governance: An overview. </w:t>
      </w:r>
      <w:r w:rsidRPr="003813C9">
        <w:rPr>
          <w:rFonts w:eastAsia="Times New Roman"/>
          <w:i/>
          <w:color w:val="auto"/>
          <w:sz w:val="24"/>
          <w:szCs w:val="24"/>
        </w:rPr>
        <w:t>Journal of Corporate Finance</w:t>
      </w:r>
      <w:r w:rsidRPr="003813C9">
        <w:rPr>
          <w:rFonts w:eastAsia="Times New Roman"/>
          <w:color w:val="auto"/>
          <w:sz w:val="24"/>
          <w:szCs w:val="24"/>
        </w:rPr>
        <w:t xml:space="preserve">, </w:t>
      </w:r>
      <w:r w:rsidRPr="003813C9">
        <w:rPr>
          <w:rFonts w:eastAsia="Times New Roman"/>
          <w:i/>
          <w:color w:val="auto"/>
          <w:sz w:val="24"/>
          <w:szCs w:val="24"/>
        </w:rPr>
        <w:t>12</w:t>
      </w:r>
      <w:r w:rsidRPr="003813C9">
        <w:rPr>
          <w:rFonts w:eastAsia="Times New Roman"/>
          <w:color w:val="auto"/>
          <w:sz w:val="24"/>
          <w:szCs w:val="24"/>
        </w:rPr>
        <w:t>(3), 381-402.</w:t>
      </w:r>
    </w:p>
    <w:p w14:paraId="799886BB" w14:textId="77777777" w:rsidR="0046703C" w:rsidRPr="003813C9" w:rsidRDefault="0046703C" w:rsidP="0046703C">
      <w:pPr>
        <w:spacing w:after="0" w:line="240" w:lineRule="auto"/>
        <w:ind w:hanging="720"/>
        <w:jc w:val="both"/>
        <w:rPr>
          <w:rFonts w:eastAsia="Calibri"/>
          <w:color w:val="auto"/>
          <w:sz w:val="24"/>
          <w:szCs w:val="24"/>
        </w:rPr>
      </w:pPr>
    </w:p>
    <w:p w14:paraId="6B75B914" w14:textId="77777777" w:rsidR="0046703C" w:rsidRPr="003813C9" w:rsidRDefault="0046703C" w:rsidP="0046703C">
      <w:pPr>
        <w:spacing w:after="0" w:line="240" w:lineRule="auto"/>
        <w:ind w:hanging="720"/>
        <w:jc w:val="both"/>
        <w:rPr>
          <w:rFonts w:eastAsia="Calibri"/>
          <w:color w:val="auto"/>
          <w:sz w:val="24"/>
          <w:szCs w:val="24"/>
        </w:rPr>
      </w:pPr>
      <w:r w:rsidRPr="003813C9">
        <w:rPr>
          <w:rFonts w:eastAsia="Times New Roman"/>
          <w:color w:val="auto"/>
          <w:sz w:val="24"/>
          <w:szCs w:val="24"/>
        </w:rPr>
        <w:t xml:space="preserve">Hassan, M. K. (2009). </w:t>
      </w:r>
      <w:proofErr w:type="gramStart"/>
      <w:r w:rsidRPr="003813C9">
        <w:rPr>
          <w:rFonts w:eastAsia="Times New Roman"/>
          <w:color w:val="auto"/>
          <w:sz w:val="24"/>
          <w:szCs w:val="24"/>
        </w:rPr>
        <w:t>UAE</w:t>
      </w:r>
      <w:r w:rsidRPr="003813C9">
        <w:rPr>
          <w:rFonts w:eastAsia="Calibri"/>
          <w:color w:val="auto"/>
          <w:sz w:val="24"/>
          <w:szCs w:val="24"/>
        </w:rPr>
        <w:t xml:space="preserve"> </w:t>
      </w:r>
      <w:r w:rsidRPr="003813C9">
        <w:rPr>
          <w:rFonts w:eastAsia="Times New Roman"/>
          <w:color w:val="auto"/>
          <w:sz w:val="24"/>
          <w:szCs w:val="24"/>
        </w:rPr>
        <w:t>corporation-specific characteristics and level of risk disclosure.</w:t>
      </w:r>
      <w:proofErr w:type="gramEnd"/>
      <w:r w:rsidRPr="003813C9">
        <w:rPr>
          <w:rFonts w:eastAsia="Times New Roman"/>
          <w:color w:val="auto"/>
          <w:sz w:val="24"/>
          <w:szCs w:val="24"/>
        </w:rPr>
        <w:t xml:space="preserve"> </w:t>
      </w:r>
      <w:r w:rsidRPr="003813C9">
        <w:rPr>
          <w:rFonts w:eastAsia="Times New Roman"/>
          <w:i/>
          <w:iCs/>
          <w:color w:val="auto"/>
          <w:sz w:val="24"/>
          <w:szCs w:val="24"/>
        </w:rPr>
        <w:t>Managerial Auditing Journal</w:t>
      </w:r>
      <w:r w:rsidRPr="003813C9">
        <w:rPr>
          <w:rFonts w:eastAsia="Times New Roman"/>
          <w:color w:val="auto"/>
          <w:sz w:val="24"/>
          <w:szCs w:val="24"/>
        </w:rPr>
        <w:t xml:space="preserve">, </w:t>
      </w:r>
      <w:r w:rsidRPr="003813C9">
        <w:rPr>
          <w:rFonts w:eastAsia="Times New Roman"/>
          <w:i/>
          <w:color w:val="auto"/>
          <w:sz w:val="24"/>
          <w:szCs w:val="24"/>
        </w:rPr>
        <w:t>24</w:t>
      </w:r>
      <w:r w:rsidRPr="003813C9">
        <w:rPr>
          <w:rFonts w:eastAsia="Times New Roman"/>
          <w:color w:val="auto"/>
          <w:sz w:val="24"/>
          <w:szCs w:val="24"/>
        </w:rPr>
        <w:t>(7), 668-687.</w:t>
      </w:r>
    </w:p>
    <w:p w14:paraId="1E4A2BEE" w14:textId="77777777" w:rsidR="0046703C" w:rsidRPr="003813C9" w:rsidRDefault="0046703C" w:rsidP="0046703C">
      <w:pPr>
        <w:spacing w:after="0" w:line="240" w:lineRule="auto"/>
        <w:ind w:hanging="720"/>
        <w:jc w:val="both"/>
        <w:rPr>
          <w:rFonts w:eastAsia="Calibri"/>
          <w:color w:val="auto"/>
          <w:sz w:val="24"/>
          <w:szCs w:val="24"/>
        </w:rPr>
      </w:pPr>
    </w:p>
    <w:p w14:paraId="1E840016" w14:textId="77777777" w:rsidR="0046703C" w:rsidRPr="003813C9" w:rsidRDefault="004838FA" w:rsidP="0046703C">
      <w:pPr>
        <w:spacing w:after="0" w:line="240" w:lineRule="auto"/>
        <w:ind w:hanging="720"/>
        <w:jc w:val="both"/>
        <w:rPr>
          <w:rFonts w:eastAsia="Calibri"/>
          <w:i/>
          <w:color w:val="auto"/>
          <w:sz w:val="24"/>
          <w:szCs w:val="24"/>
        </w:rPr>
      </w:pPr>
      <w:proofErr w:type="spellStart"/>
      <w:proofErr w:type="gramStart"/>
      <w:r w:rsidRPr="003813C9">
        <w:rPr>
          <w:rFonts w:eastAsia="Times New Roman,Calibri"/>
          <w:color w:val="auto"/>
          <w:sz w:val="24"/>
          <w:szCs w:val="24"/>
        </w:rPr>
        <w:t>Heinle</w:t>
      </w:r>
      <w:proofErr w:type="spellEnd"/>
      <w:r w:rsidRPr="003813C9">
        <w:rPr>
          <w:rFonts w:eastAsia="Times New Roman,Calibri"/>
          <w:color w:val="auto"/>
          <w:sz w:val="24"/>
          <w:szCs w:val="24"/>
        </w:rPr>
        <w:t>, M., &amp; Smith, K. (2017</w:t>
      </w:r>
      <w:r w:rsidR="0046703C" w:rsidRPr="003813C9">
        <w:rPr>
          <w:rFonts w:eastAsia="Times New Roman,Calibri"/>
          <w:color w:val="auto"/>
          <w:sz w:val="24"/>
          <w:szCs w:val="24"/>
        </w:rPr>
        <w:t>).</w:t>
      </w:r>
      <w:proofErr w:type="gramEnd"/>
      <w:r w:rsidR="0046703C" w:rsidRPr="003813C9">
        <w:rPr>
          <w:rFonts w:eastAsia="Times New Roman,Calibri"/>
          <w:color w:val="auto"/>
          <w:sz w:val="24"/>
          <w:szCs w:val="24"/>
        </w:rPr>
        <w:t xml:space="preserve"> </w:t>
      </w:r>
      <w:proofErr w:type="gramStart"/>
      <w:r w:rsidR="0046703C" w:rsidRPr="003813C9">
        <w:rPr>
          <w:rFonts w:eastAsia="Times New Roman,Calibri"/>
          <w:color w:val="auto"/>
          <w:sz w:val="24"/>
          <w:szCs w:val="24"/>
        </w:rPr>
        <w:t>A theory of risk disclosure</w:t>
      </w:r>
      <w:r w:rsidR="0046703C" w:rsidRPr="003813C9">
        <w:rPr>
          <w:rFonts w:eastAsia="Times New Roman,Calibri"/>
          <w:i/>
          <w:color w:val="auto"/>
          <w:sz w:val="24"/>
          <w:szCs w:val="24"/>
        </w:rPr>
        <w:t>.</w:t>
      </w:r>
      <w:proofErr w:type="gramEnd"/>
      <w:r w:rsidR="0046703C" w:rsidRPr="003813C9">
        <w:rPr>
          <w:rFonts w:eastAsia="Times New Roman,Calibri"/>
          <w:i/>
          <w:color w:val="auto"/>
          <w:sz w:val="24"/>
          <w:szCs w:val="24"/>
        </w:rPr>
        <w:t xml:space="preserve"> </w:t>
      </w:r>
      <w:proofErr w:type="gramStart"/>
      <w:r w:rsidR="00F95BA5" w:rsidRPr="003813C9">
        <w:rPr>
          <w:rFonts w:eastAsia="Times New Roman,Calibri"/>
          <w:i/>
          <w:color w:val="auto"/>
          <w:sz w:val="24"/>
          <w:szCs w:val="24"/>
        </w:rPr>
        <w:t>Review of Accounting Studies, Forthcoming.</w:t>
      </w:r>
      <w:proofErr w:type="gramEnd"/>
    </w:p>
    <w:p w14:paraId="49040F6D" w14:textId="77777777" w:rsidR="0046703C" w:rsidRPr="003813C9" w:rsidRDefault="0046703C" w:rsidP="0046703C">
      <w:pPr>
        <w:spacing w:after="0" w:line="240" w:lineRule="auto"/>
        <w:ind w:hanging="720"/>
        <w:jc w:val="both"/>
        <w:rPr>
          <w:rFonts w:eastAsia="Calibri"/>
          <w:i/>
          <w:color w:val="auto"/>
          <w:sz w:val="24"/>
          <w:szCs w:val="24"/>
        </w:rPr>
      </w:pPr>
    </w:p>
    <w:p w14:paraId="3BD0B4B8" w14:textId="77777777" w:rsidR="0046703C" w:rsidRPr="003813C9" w:rsidRDefault="0046703C" w:rsidP="0046703C">
      <w:pPr>
        <w:spacing w:after="0" w:line="240" w:lineRule="auto"/>
        <w:ind w:hanging="720"/>
        <w:jc w:val="both"/>
        <w:rPr>
          <w:rFonts w:eastAsia="Calibri"/>
          <w:color w:val="auto"/>
          <w:sz w:val="24"/>
          <w:szCs w:val="24"/>
        </w:rPr>
      </w:pPr>
      <w:proofErr w:type="gramStart"/>
      <w:r w:rsidRPr="003813C9">
        <w:rPr>
          <w:rFonts w:eastAsia="Times New Roman"/>
          <w:color w:val="auto"/>
          <w:sz w:val="24"/>
          <w:szCs w:val="24"/>
        </w:rPr>
        <w:t>Hill, P., &amp; Short, H. (2009).</w:t>
      </w:r>
      <w:proofErr w:type="gramEnd"/>
      <w:r w:rsidRPr="003813C9">
        <w:rPr>
          <w:rFonts w:eastAsia="Times New Roman"/>
          <w:color w:val="auto"/>
          <w:sz w:val="24"/>
          <w:szCs w:val="24"/>
        </w:rPr>
        <w:t xml:space="preserve"> </w:t>
      </w:r>
      <w:proofErr w:type="gramStart"/>
      <w:r w:rsidRPr="003813C9">
        <w:rPr>
          <w:rFonts w:eastAsia="Times New Roman"/>
          <w:color w:val="auto"/>
          <w:sz w:val="24"/>
          <w:szCs w:val="24"/>
        </w:rPr>
        <w:t>Risk disclosures on the second-tier markets of the London Stock Exchange.</w:t>
      </w:r>
      <w:proofErr w:type="gramEnd"/>
      <w:r w:rsidRPr="003813C9">
        <w:rPr>
          <w:rFonts w:eastAsia="Times New Roman"/>
          <w:color w:val="auto"/>
          <w:sz w:val="24"/>
          <w:szCs w:val="24"/>
        </w:rPr>
        <w:t xml:space="preserve"> </w:t>
      </w:r>
      <w:r w:rsidRPr="003813C9">
        <w:rPr>
          <w:rFonts w:eastAsia="Times New Roman"/>
          <w:i/>
          <w:iCs/>
          <w:color w:val="auto"/>
          <w:sz w:val="24"/>
          <w:szCs w:val="24"/>
        </w:rPr>
        <w:t>Accounting and Finance</w:t>
      </w:r>
      <w:r w:rsidRPr="003813C9">
        <w:rPr>
          <w:rFonts w:eastAsia="Times New Roman"/>
          <w:color w:val="auto"/>
          <w:sz w:val="24"/>
          <w:szCs w:val="24"/>
        </w:rPr>
        <w:t xml:space="preserve">, </w:t>
      </w:r>
      <w:r w:rsidRPr="003813C9">
        <w:rPr>
          <w:rFonts w:eastAsia="Times New Roman"/>
          <w:i/>
          <w:color w:val="auto"/>
          <w:sz w:val="24"/>
          <w:szCs w:val="24"/>
        </w:rPr>
        <w:t>49</w:t>
      </w:r>
      <w:r w:rsidRPr="003813C9">
        <w:rPr>
          <w:rFonts w:eastAsia="Times New Roman"/>
          <w:color w:val="auto"/>
          <w:sz w:val="24"/>
          <w:szCs w:val="24"/>
        </w:rPr>
        <w:t>(4), 753-780.</w:t>
      </w:r>
    </w:p>
    <w:p w14:paraId="50B1D4CE" w14:textId="77777777" w:rsidR="0046703C" w:rsidRPr="003813C9" w:rsidRDefault="0046703C" w:rsidP="0046703C">
      <w:pPr>
        <w:spacing w:after="0" w:line="240" w:lineRule="auto"/>
        <w:ind w:hanging="720"/>
        <w:jc w:val="both"/>
        <w:rPr>
          <w:rFonts w:eastAsia="Calibri"/>
          <w:color w:val="auto"/>
          <w:sz w:val="24"/>
          <w:szCs w:val="24"/>
        </w:rPr>
      </w:pPr>
    </w:p>
    <w:p w14:paraId="513DB422" w14:textId="77777777" w:rsidR="0046703C" w:rsidRPr="003813C9" w:rsidRDefault="0046703C" w:rsidP="0046703C">
      <w:pPr>
        <w:autoSpaceDE w:val="0"/>
        <w:autoSpaceDN w:val="0"/>
        <w:adjustRightInd w:val="0"/>
        <w:spacing w:after="0" w:line="240" w:lineRule="auto"/>
        <w:ind w:hanging="720"/>
        <w:jc w:val="both"/>
        <w:rPr>
          <w:rFonts w:eastAsia="Times New Roman"/>
          <w:color w:val="auto"/>
          <w:sz w:val="24"/>
          <w:szCs w:val="24"/>
          <w:lang w:eastAsia="en-GB"/>
        </w:rPr>
      </w:pPr>
      <w:proofErr w:type="gramStart"/>
      <w:r w:rsidRPr="003813C9">
        <w:rPr>
          <w:rFonts w:eastAsia="Times New Roman"/>
          <w:color w:val="auto"/>
          <w:sz w:val="24"/>
          <w:szCs w:val="24"/>
          <w:lang w:eastAsia="en-GB"/>
        </w:rPr>
        <w:t xml:space="preserve">Hodder, L., &amp; </w:t>
      </w:r>
      <w:proofErr w:type="spellStart"/>
      <w:r w:rsidRPr="003813C9">
        <w:rPr>
          <w:rFonts w:eastAsia="Times New Roman"/>
          <w:color w:val="auto"/>
          <w:sz w:val="24"/>
          <w:szCs w:val="24"/>
          <w:lang w:eastAsia="en-GB"/>
        </w:rPr>
        <w:t>McAnally</w:t>
      </w:r>
      <w:proofErr w:type="spellEnd"/>
      <w:r w:rsidRPr="003813C9">
        <w:rPr>
          <w:rFonts w:eastAsia="Times New Roman"/>
          <w:color w:val="auto"/>
          <w:sz w:val="24"/>
          <w:szCs w:val="24"/>
          <w:lang w:eastAsia="en-GB"/>
        </w:rPr>
        <w:t>, M. L. (2001).</w:t>
      </w:r>
      <w:proofErr w:type="gramEnd"/>
      <w:r w:rsidRPr="003813C9">
        <w:rPr>
          <w:rFonts w:eastAsia="Times New Roman"/>
          <w:color w:val="auto"/>
          <w:sz w:val="24"/>
          <w:szCs w:val="24"/>
          <w:lang w:eastAsia="en-GB"/>
        </w:rPr>
        <w:t xml:space="preserve"> SEC market-risk disclosures: enhancing comparability. </w:t>
      </w:r>
      <w:r w:rsidRPr="003813C9">
        <w:rPr>
          <w:rFonts w:eastAsia="Times New Roman"/>
          <w:i/>
          <w:iCs/>
          <w:color w:val="auto"/>
          <w:sz w:val="24"/>
          <w:szCs w:val="24"/>
          <w:lang w:eastAsia="en-GB"/>
        </w:rPr>
        <w:t>Financial Analysts Journal, 57</w:t>
      </w:r>
      <w:r w:rsidRPr="003813C9">
        <w:rPr>
          <w:rFonts w:eastAsia="Times New Roman"/>
          <w:color w:val="auto"/>
          <w:sz w:val="24"/>
          <w:szCs w:val="24"/>
          <w:lang w:eastAsia="en-GB"/>
        </w:rPr>
        <w:t>(2),</w:t>
      </w:r>
      <w:r w:rsidRPr="003813C9">
        <w:rPr>
          <w:rFonts w:eastAsia="Times New Roman"/>
          <w:i/>
          <w:iCs/>
          <w:color w:val="auto"/>
          <w:sz w:val="24"/>
          <w:szCs w:val="24"/>
          <w:lang w:eastAsia="en-GB"/>
        </w:rPr>
        <w:t xml:space="preserve"> </w:t>
      </w:r>
      <w:r w:rsidRPr="003813C9">
        <w:rPr>
          <w:rFonts w:eastAsia="Times New Roman"/>
          <w:color w:val="auto"/>
          <w:sz w:val="24"/>
          <w:szCs w:val="24"/>
          <w:lang w:eastAsia="en-GB"/>
        </w:rPr>
        <w:t xml:space="preserve">24-34. </w:t>
      </w:r>
    </w:p>
    <w:p w14:paraId="47345943" w14:textId="77777777" w:rsidR="0046703C" w:rsidRPr="003813C9" w:rsidRDefault="0046703C" w:rsidP="0046703C">
      <w:pPr>
        <w:autoSpaceDE w:val="0"/>
        <w:autoSpaceDN w:val="0"/>
        <w:adjustRightInd w:val="0"/>
        <w:spacing w:after="0" w:line="240" w:lineRule="auto"/>
        <w:ind w:hanging="720"/>
        <w:jc w:val="both"/>
        <w:rPr>
          <w:rFonts w:eastAsia="Times New Roman"/>
          <w:color w:val="auto"/>
          <w:sz w:val="24"/>
          <w:szCs w:val="24"/>
          <w:lang w:eastAsia="en-GB"/>
        </w:rPr>
      </w:pPr>
      <w:r w:rsidRPr="003813C9">
        <w:rPr>
          <w:rFonts w:eastAsia="Times New Roman"/>
          <w:color w:val="auto"/>
          <w:sz w:val="24"/>
          <w:szCs w:val="24"/>
          <w:lang w:eastAsia="en-GB"/>
        </w:rPr>
        <w:t xml:space="preserve"> </w:t>
      </w:r>
    </w:p>
    <w:p w14:paraId="3E51422C" w14:textId="77777777" w:rsidR="0046703C" w:rsidRPr="003813C9" w:rsidRDefault="0046703C" w:rsidP="0046703C">
      <w:pPr>
        <w:autoSpaceDE w:val="0"/>
        <w:autoSpaceDN w:val="0"/>
        <w:adjustRightInd w:val="0"/>
        <w:spacing w:after="0" w:line="240" w:lineRule="auto"/>
        <w:ind w:hanging="720"/>
        <w:jc w:val="both"/>
        <w:rPr>
          <w:rFonts w:eastAsia="Calibri"/>
          <w:color w:val="auto"/>
          <w:sz w:val="24"/>
          <w:szCs w:val="24"/>
        </w:rPr>
      </w:pPr>
      <w:proofErr w:type="gramStart"/>
      <w:r w:rsidRPr="003813C9">
        <w:rPr>
          <w:rFonts w:eastAsia="Times New Roman"/>
          <w:color w:val="auto"/>
          <w:sz w:val="24"/>
          <w:szCs w:val="24"/>
          <w:lang w:eastAsia="en-GB"/>
        </w:rPr>
        <w:t xml:space="preserve">Hodder, L., </w:t>
      </w:r>
      <w:proofErr w:type="spellStart"/>
      <w:r w:rsidRPr="003813C9">
        <w:rPr>
          <w:rFonts w:eastAsia="Times New Roman"/>
          <w:color w:val="auto"/>
          <w:sz w:val="24"/>
          <w:szCs w:val="24"/>
          <w:lang w:eastAsia="en-GB"/>
        </w:rPr>
        <w:t>Kohlbeck</w:t>
      </w:r>
      <w:proofErr w:type="spellEnd"/>
      <w:r w:rsidRPr="003813C9">
        <w:rPr>
          <w:rFonts w:eastAsia="Times New Roman"/>
          <w:color w:val="auto"/>
          <w:sz w:val="24"/>
          <w:szCs w:val="24"/>
          <w:lang w:eastAsia="en-GB"/>
        </w:rPr>
        <w:t xml:space="preserve">, M., &amp; </w:t>
      </w:r>
      <w:proofErr w:type="spellStart"/>
      <w:r w:rsidRPr="003813C9">
        <w:rPr>
          <w:rFonts w:eastAsia="Times New Roman"/>
          <w:color w:val="auto"/>
          <w:sz w:val="24"/>
          <w:szCs w:val="24"/>
          <w:lang w:eastAsia="en-GB"/>
        </w:rPr>
        <w:t>McAnally</w:t>
      </w:r>
      <w:proofErr w:type="spellEnd"/>
      <w:r w:rsidRPr="003813C9">
        <w:rPr>
          <w:rFonts w:eastAsia="Times New Roman"/>
          <w:color w:val="auto"/>
          <w:sz w:val="24"/>
          <w:szCs w:val="24"/>
          <w:lang w:eastAsia="en-GB"/>
        </w:rPr>
        <w:t>, M. L. (2002).</w:t>
      </w:r>
      <w:proofErr w:type="gramEnd"/>
      <w:r w:rsidRPr="003813C9">
        <w:rPr>
          <w:rFonts w:eastAsia="Times New Roman"/>
          <w:color w:val="auto"/>
          <w:sz w:val="24"/>
          <w:szCs w:val="24"/>
          <w:lang w:eastAsia="en-GB"/>
        </w:rPr>
        <w:t xml:space="preserve"> </w:t>
      </w:r>
      <w:proofErr w:type="gramStart"/>
      <w:r w:rsidRPr="003813C9">
        <w:rPr>
          <w:rFonts w:eastAsia="Times New Roman"/>
          <w:color w:val="auto"/>
          <w:sz w:val="24"/>
          <w:szCs w:val="24"/>
          <w:lang w:eastAsia="en-GB"/>
        </w:rPr>
        <w:t>Accounting choices and risk management: SFAS No. 115 and US bank holding companies.</w:t>
      </w:r>
      <w:proofErr w:type="gramEnd"/>
      <w:r w:rsidRPr="003813C9">
        <w:rPr>
          <w:rFonts w:eastAsia="Times New Roman"/>
          <w:color w:val="auto"/>
          <w:sz w:val="24"/>
          <w:szCs w:val="24"/>
          <w:lang w:eastAsia="en-GB"/>
        </w:rPr>
        <w:t xml:space="preserve"> </w:t>
      </w:r>
      <w:r w:rsidRPr="003813C9">
        <w:rPr>
          <w:rFonts w:eastAsia="Times New Roman"/>
          <w:i/>
          <w:iCs/>
          <w:color w:val="auto"/>
          <w:sz w:val="24"/>
          <w:szCs w:val="24"/>
          <w:lang w:eastAsia="en-GB"/>
        </w:rPr>
        <w:t>Contemporary Accounting Research</w:t>
      </w:r>
      <w:r w:rsidRPr="003813C9">
        <w:rPr>
          <w:rFonts w:eastAsia="Times New Roman"/>
          <w:color w:val="auto"/>
          <w:sz w:val="24"/>
          <w:szCs w:val="24"/>
          <w:lang w:eastAsia="en-GB"/>
        </w:rPr>
        <w:t>, </w:t>
      </w:r>
      <w:r w:rsidRPr="003813C9">
        <w:rPr>
          <w:rFonts w:eastAsia="Times New Roman"/>
          <w:i/>
          <w:iCs/>
          <w:color w:val="auto"/>
          <w:sz w:val="24"/>
          <w:szCs w:val="24"/>
          <w:lang w:eastAsia="en-GB"/>
        </w:rPr>
        <w:t>19</w:t>
      </w:r>
      <w:r w:rsidRPr="003813C9">
        <w:rPr>
          <w:rFonts w:eastAsia="Times New Roman"/>
          <w:color w:val="auto"/>
          <w:sz w:val="24"/>
          <w:szCs w:val="24"/>
          <w:lang w:eastAsia="en-GB"/>
        </w:rPr>
        <w:t>(2), 225-270.</w:t>
      </w:r>
    </w:p>
    <w:p w14:paraId="4E645BDD" w14:textId="77777777" w:rsidR="0046703C" w:rsidRPr="003813C9" w:rsidRDefault="0046703C" w:rsidP="0046703C">
      <w:pPr>
        <w:autoSpaceDE w:val="0"/>
        <w:autoSpaceDN w:val="0"/>
        <w:adjustRightInd w:val="0"/>
        <w:spacing w:after="0" w:line="240" w:lineRule="auto"/>
        <w:jc w:val="both"/>
        <w:rPr>
          <w:rFonts w:eastAsia="Calibri"/>
          <w:color w:val="auto"/>
          <w:sz w:val="24"/>
          <w:szCs w:val="24"/>
        </w:rPr>
      </w:pPr>
    </w:p>
    <w:p w14:paraId="7B250ADE" w14:textId="77777777" w:rsidR="0046703C" w:rsidRPr="003813C9" w:rsidRDefault="0046703C" w:rsidP="0046703C">
      <w:pPr>
        <w:autoSpaceDE w:val="0"/>
        <w:autoSpaceDN w:val="0"/>
        <w:adjustRightInd w:val="0"/>
        <w:spacing w:after="0" w:line="240" w:lineRule="auto"/>
        <w:ind w:hanging="720"/>
        <w:jc w:val="both"/>
        <w:rPr>
          <w:rFonts w:eastAsia="Calibri"/>
          <w:color w:val="auto"/>
          <w:sz w:val="24"/>
          <w:szCs w:val="24"/>
        </w:rPr>
      </w:pPr>
      <w:proofErr w:type="gramStart"/>
      <w:r w:rsidRPr="003813C9">
        <w:rPr>
          <w:rFonts w:eastAsia="Times New Roman"/>
          <w:color w:val="auto"/>
          <w:sz w:val="24"/>
          <w:szCs w:val="24"/>
        </w:rPr>
        <w:t>Hope, O.-K., Hu, D., &amp; Lu, H. (2016).</w:t>
      </w:r>
      <w:proofErr w:type="gramEnd"/>
      <w:r w:rsidRPr="003813C9">
        <w:rPr>
          <w:rFonts w:eastAsia="Times New Roman"/>
          <w:color w:val="auto"/>
          <w:sz w:val="24"/>
          <w:szCs w:val="24"/>
        </w:rPr>
        <w:t xml:space="preserve"> </w:t>
      </w:r>
      <w:proofErr w:type="gramStart"/>
      <w:r w:rsidRPr="003813C9">
        <w:rPr>
          <w:rFonts w:eastAsia="Times New Roman"/>
          <w:color w:val="auto"/>
          <w:sz w:val="24"/>
          <w:szCs w:val="24"/>
        </w:rPr>
        <w:t>The benefits of specific risk-factor disclosures.</w:t>
      </w:r>
      <w:proofErr w:type="gramEnd"/>
      <w:r w:rsidRPr="003813C9">
        <w:rPr>
          <w:rFonts w:eastAsia="Times New Roman"/>
          <w:color w:val="auto"/>
          <w:sz w:val="24"/>
          <w:szCs w:val="24"/>
        </w:rPr>
        <w:t xml:space="preserve"> </w:t>
      </w:r>
      <w:r w:rsidRPr="003813C9">
        <w:rPr>
          <w:rFonts w:eastAsia="Times New Roman"/>
          <w:i/>
          <w:iCs/>
          <w:color w:val="auto"/>
          <w:sz w:val="24"/>
          <w:szCs w:val="24"/>
        </w:rPr>
        <w:t>Review of Accounting Studies</w:t>
      </w:r>
      <w:r w:rsidRPr="003813C9">
        <w:rPr>
          <w:rFonts w:eastAsia="Times New Roman"/>
          <w:color w:val="auto"/>
          <w:sz w:val="24"/>
          <w:szCs w:val="24"/>
        </w:rPr>
        <w:t xml:space="preserve">, </w:t>
      </w:r>
      <w:r w:rsidRPr="003813C9">
        <w:rPr>
          <w:rFonts w:eastAsia="Times New Roman"/>
          <w:i/>
          <w:color w:val="auto"/>
          <w:sz w:val="24"/>
          <w:szCs w:val="24"/>
        </w:rPr>
        <w:t>21(</w:t>
      </w:r>
      <w:r w:rsidRPr="003813C9">
        <w:rPr>
          <w:rFonts w:eastAsia="Times New Roman"/>
          <w:color w:val="auto"/>
          <w:sz w:val="24"/>
          <w:szCs w:val="24"/>
        </w:rPr>
        <w:t>4), 1005-1045.</w:t>
      </w:r>
    </w:p>
    <w:p w14:paraId="571EE1D4" w14:textId="77777777" w:rsidR="0046703C" w:rsidRPr="003813C9" w:rsidRDefault="0046703C" w:rsidP="0046703C">
      <w:pPr>
        <w:spacing w:after="0" w:line="240" w:lineRule="auto"/>
        <w:ind w:hanging="720"/>
        <w:jc w:val="both"/>
        <w:rPr>
          <w:rFonts w:eastAsia="Calibri"/>
          <w:color w:val="auto"/>
          <w:sz w:val="24"/>
          <w:szCs w:val="24"/>
        </w:rPr>
      </w:pPr>
    </w:p>
    <w:p w14:paraId="56CA7388" w14:textId="77777777" w:rsidR="0046703C" w:rsidRPr="003813C9" w:rsidRDefault="0046703C" w:rsidP="0046703C">
      <w:pPr>
        <w:autoSpaceDE w:val="0"/>
        <w:autoSpaceDN w:val="0"/>
        <w:adjustRightInd w:val="0"/>
        <w:spacing w:after="0" w:line="240" w:lineRule="auto"/>
        <w:ind w:hanging="720"/>
        <w:jc w:val="both"/>
        <w:rPr>
          <w:rFonts w:eastAsia="Calibri"/>
          <w:color w:val="auto"/>
          <w:sz w:val="24"/>
          <w:szCs w:val="24"/>
        </w:rPr>
      </w:pPr>
      <w:proofErr w:type="spellStart"/>
      <w:r w:rsidRPr="003813C9">
        <w:rPr>
          <w:rFonts w:eastAsia="Times New Roman"/>
          <w:color w:val="auto"/>
          <w:sz w:val="24"/>
          <w:szCs w:val="24"/>
        </w:rPr>
        <w:t>Hox</w:t>
      </w:r>
      <w:proofErr w:type="spellEnd"/>
      <w:r w:rsidRPr="003813C9">
        <w:rPr>
          <w:rFonts w:eastAsia="Times New Roman"/>
          <w:color w:val="auto"/>
          <w:sz w:val="24"/>
          <w:szCs w:val="24"/>
        </w:rPr>
        <w:t xml:space="preserve">, J. (2010). </w:t>
      </w:r>
      <w:r w:rsidRPr="003813C9">
        <w:rPr>
          <w:rFonts w:eastAsia="Times New Roman"/>
          <w:i/>
          <w:iCs/>
          <w:color w:val="auto"/>
          <w:sz w:val="24"/>
          <w:szCs w:val="24"/>
        </w:rPr>
        <w:t>Multilevel analysis: Techniques and applications</w:t>
      </w:r>
      <w:r w:rsidRPr="003813C9">
        <w:rPr>
          <w:rFonts w:eastAsia="Times New Roman"/>
          <w:color w:val="auto"/>
          <w:sz w:val="24"/>
          <w:szCs w:val="24"/>
        </w:rPr>
        <w:t xml:space="preserve"> (3rd </w:t>
      </w:r>
      <w:proofErr w:type="gramStart"/>
      <w:r w:rsidRPr="003813C9">
        <w:rPr>
          <w:rFonts w:eastAsia="Times New Roman"/>
          <w:color w:val="auto"/>
          <w:sz w:val="24"/>
          <w:szCs w:val="24"/>
        </w:rPr>
        <w:t>ed</w:t>
      </w:r>
      <w:proofErr w:type="gramEnd"/>
      <w:r w:rsidRPr="003813C9">
        <w:rPr>
          <w:rFonts w:eastAsia="Times New Roman"/>
          <w:color w:val="auto"/>
          <w:sz w:val="24"/>
          <w:szCs w:val="24"/>
        </w:rPr>
        <w:t>.). Mahwah, NJ: Lawrence Erlbaum.</w:t>
      </w:r>
    </w:p>
    <w:p w14:paraId="2FBF095D" w14:textId="77777777" w:rsidR="0046703C" w:rsidRPr="003813C9" w:rsidRDefault="0046703C" w:rsidP="0046703C">
      <w:pPr>
        <w:autoSpaceDE w:val="0"/>
        <w:autoSpaceDN w:val="0"/>
        <w:adjustRightInd w:val="0"/>
        <w:spacing w:after="0" w:line="240" w:lineRule="auto"/>
        <w:jc w:val="both"/>
        <w:rPr>
          <w:rFonts w:eastAsia="Times New Roman"/>
          <w:color w:val="auto"/>
          <w:sz w:val="24"/>
          <w:szCs w:val="24"/>
          <w:lang w:eastAsia="en-GB"/>
        </w:rPr>
      </w:pPr>
    </w:p>
    <w:p w14:paraId="4ED71046" w14:textId="77777777" w:rsidR="0046703C" w:rsidRPr="003813C9" w:rsidRDefault="0046703C" w:rsidP="0046703C">
      <w:pPr>
        <w:spacing w:after="0" w:line="240" w:lineRule="auto"/>
        <w:ind w:hanging="720"/>
        <w:jc w:val="both"/>
        <w:rPr>
          <w:rFonts w:eastAsia="Calibri"/>
          <w:color w:val="auto"/>
          <w:sz w:val="24"/>
          <w:szCs w:val="24"/>
        </w:rPr>
      </w:pPr>
      <w:proofErr w:type="gramStart"/>
      <w:r w:rsidRPr="003813C9">
        <w:rPr>
          <w:rFonts w:eastAsia="Times New Roman"/>
          <w:color w:val="auto"/>
          <w:sz w:val="24"/>
          <w:szCs w:val="24"/>
        </w:rPr>
        <w:t>ICAEW.</w:t>
      </w:r>
      <w:proofErr w:type="gramEnd"/>
      <w:r w:rsidRPr="003813C9">
        <w:rPr>
          <w:rFonts w:eastAsia="Times New Roman"/>
          <w:color w:val="auto"/>
          <w:sz w:val="24"/>
          <w:szCs w:val="24"/>
        </w:rPr>
        <w:t xml:space="preserve"> </w:t>
      </w:r>
      <w:proofErr w:type="gramStart"/>
      <w:r w:rsidRPr="003813C9">
        <w:rPr>
          <w:rFonts w:eastAsia="Times New Roman"/>
          <w:color w:val="auto"/>
          <w:sz w:val="24"/>
          <w:szCs w:val="24"/>
        </w:rPr>
        <w:t xml:space="preserve">(1997). </w:t>
      </w:r>
      <w:r w:rsidRPr="003813C9">
        <w:rPr>
          <w:rFonts w:eastAsia="Times New Roman"/>
          <w:i/>
          <w:iCs/>
          <w:color w:val="auto"/>
          <w:sz w:val="24"/>
          <w:szCs w:val="24"/>
        </w:rPr>
        <w:t>Financial reporting of risks – Proposal for a statement of business risks</w:t>
      </w:r>
      <w:r w:rsidRPr="003813C9">
        <w:rPr>
          <w:rFonts w:eastAsia="Times New Roman"/>
          <w:color w:val="auto"/>
          <w:sz w:val="24"/>
          <w:szCs w:val="24"/>
        </w:rPr>
        <w:t>.</w:t>
      </w:r>
      <w:proofErr w:type="gramEnd"/>
      <w:r w:rsidRPr="003813C9">
        <w:rPr>
          <w:rFonts w:eastAsia="Times New Roman"/>
          <w:color w:val="auto"/>
          <w:sz w:val="24"/>
          <w:szCs w:val="24"/>
        </w:rPr>
        <w:t xml:space="preserve"> London: Institute of Chartered Accountants in England and Wales.</w:t>
      </w:r>
    </w:p>
    <w:p w14:paraId="2B981EF4" w14:textId="77777777" w:rsidR="0046703C" w:rsidRPr="003813C9" w:rsidRDefault="0046703C" w:rsidP="0046703C">
      <w:pPr>
        <w:spacing w:after="0" w:line="240" w:lineRule="auto"/>
        <w:ind w:hanging="720"/>
        <w:jc w:val="both"/>
        <w:rPr>
          <w:rFonts w:eastAsia="Calibri"/>
          <w:color w:val="auto"/>
          <w:sz w:val="24"/>
          <w:szCs w:val="24"/>
        </w:rPr>
      </w:pPr>
    </w:p>
    <w:p w14:paraId="05E84219" w14:textId="77777777" w:rsidR="0046703C" w:rsidRPr="003813C9" w:rsidRDefault="0046703C" w:rsidP="0046703C">
      <w:pPr>
        <w:spacing w:after="0" w:line="240" w:lineRule="auto"/>
        <w:ind w:hanging="720"/>
        <w:jc w:val="both"/>
        <w:rPr>
          <w:rFonts w:eastAsia="Times New Roman"/>
          <w:color w:val="auto"/>
          <w:sz w:val="24"/>
          <w:szCs w:val="24"/>
        </w:rPr>
      </w:pPr>
      <w:proofErr w:type="gramStart"/>
      <w:r w:rsidRPr="003813C9">
        <w:rPr>
          <w:rFonts w:eastAsia="Times New Roman"/>
          <w:color w:val="auto"/>
          <w:sz w:val="24"/>
          <w:szCs w:val="24"/>
        </w:rPr>
        <w:lastRenderedPageBreak/>
        <w:t>ICAEW.</w:t>
      </w:r>
      <w:proofErr w:type="gramEnd"/>
      <w:r w:rsidRPr="003813C9">
        <w:rPr>
          <w:rFonts w:eastAsia="Times New Roman"/>
          <w:color w:val="auto"/>
          <w:sz w:val="24"/>
          <w:szCs w:val="24"/>
        </w:rPr>
        <w:t xml:space="preserve"> (2011).</w:t>
      </w:r>
      <w:r w:rsidRPr="003813C9">
        <w:rPr>
          <w:rFonts w:eastAsia="Times New Roman"/>
          <w:i/>
          <w:iCs/>
          <w:color w:val="auto"/>
          <w:sz w:val="24"/>
          <w:szCs w:val="24"/>
        </w:rPr>
        <w:t xml:space="preserve"> </w:t>
      </w:r>
      <w:proofErr w:type="gramStart"/>
      <w:r w:rsidRPr="003813C9">
        <w:rPr>
          <w:rFonts w:eastAsia="Times New Roman"/>
          <w:i/>
          <w:iCs/>
          <w:color w:val="auto"/>
          <w:sz w:val="24"/>
          <w:szCs w:val="24"/>
        </w:rPr>
        <w:t>Reporting</w:t>
      </w:r>
      <w:proofErr w:type="gramEnd"/>
      <w:r w:rsidRPr="003813C9">
        <w:rPr>
          <w:rFonts w:eastAsia="Times New Roman"/>
          <w:i/>
          <w:iCs/>
          <w:color w:val="auto"/>
          <w:sz w:val="24"/>
          <w:szCs w:val="24"/>
        </w:rPr>
        <w:t xml:space="preserve"> business risks: Meeting expectations.</w:t>
      </w:r>
      <w:r w:rsidRPr="003813C9">
        <w:rPr>
          <w:rFonts w:eastAsia="Times New Roman"/>
          <w:color w:val="auto"/>
          <w:sz w:val="24"/>
          <w:szCs w:val="24"/>
        </w:rPr>
        <w:t xml:space="preserve"> London: Institute of Chartered Accountants in England and Wales.</w:t>
      </w:r>
    </w:p>
    <w:p w14:paraId="3A3C6930" w14:textId="77777777" w:rsidR="00A63EB7" w:rsidRPr="003813C9" w:rsidRDefault="00A63EB7" w:rsidP="0046703C">
      <w:pPr>
        <w:spacing w:after="0" w:line="240" w:lineRule="auto"/>
        <w:ind w:hanging="720"/>
        <w:jc w:val="both"/>
        <w:rPr>
          <w:rFonts w:eastAsia="Calibri"/>
          <w:color w:val="auto"/>
          <w:sz w:val="24"/>
          <w:szCs w:val="24"/>
        </w:rPr>
      </w:pPr>
    </w:p>
    <w:p w14:paraId="3A9C2171" w14:textId="77777777" w:rsidR="00A63EB7" w:rsidRPr="003813C9" w:rsidRDefault="00A63EB7" w:rsidP="00A63EB7">
      <w:pPr>
        <w:spacing w:after="0" w:line="240" w:lineRule="auto"/>
        <w:ind w:hanging="720"/>
        <w:jc w:val="both"/>
        <w:rPr>
          <w:color w:val="auto"/>
          <w:sz w:val="24"/>
          <w:szCs w:val="24"/>
        </w:rPr>
      </w:pPr>
      <w:proofErr w:type="gramStart"/>
      <w:r w:rsidRPr="003813C9">
        <w:rPr>
          <w:color w:val="auto"/>
          <w:sz w:val="24"/>
          <w:szCs w:val="24"/>
        </w:rPr>
        <w:t>International Accounting Standards Board.</w:t>
      </w:r>
      <w:proofErr w:type="gramEnd"/>
      <w:r w:rsidRPr="003813C9">
        <w:rPr>
          <w:color w:val="auto"/>
          <w:sz w:val="24"/>
          <w:szCs w:val="24"/>
        </w:rPr>
        <w:t xml:space="preserve"> (2008). </w:t>
      </w:r>
      <w:r w:rsidRPr="003813C9">
        <w:rPr>
          <w:i/>
          <w:color w:val="auto"/>
          <w:sz w:val="24"/>
          <w:szCs w:val="24"/>
        </w:rPr>
        <w:t xml:space="preserve">International Financial Reporting Standard (IFRS: 7): </w:t>
      </w:r>
      <w:r w:rsidR="00C1579E" w:rsidRPr="003813C9">
        <w:rPr>
          <w:i/>
          <w:color w:val="auto"/>
          <w:sz w:val="24"/>
          <w:szCs w:val="24"/>
        </w:rPr>
        <w:t>F</w:t>
      </w:r>
      <w:r w:rsidRPr="003813C9">
        <w:rPr>
          <w:i/>
          <w:color w:val="auto"/>
          <w:sz w:val="24"/>
          <w:szCs w:val="24"/>
        </w:rPr>
        <w:t>inancial</w:t>
      </w:r>
      <w:r w:rsidR="00C1579E" w:rsidRPr="003813C9">
        <w:rPr>
          <w:i/>
          <w:color w:val="auto"/>
          <w:sz w:val="24"/>
          <w:szCs w:val="24"/>
        </w:rPr>
        <w:t xml:space="preserve"> instruments: D</w:t>
      </w:r>
      <w:r w:rsidRPr="003813C9">
        <w:rPr>
          <w:i/>
          <w:color w:val="auto"/>
          <w:sz w:val="24"/>
          <w:szCs w:val="24"/>
        </w:rPr>
        <w:t>isclosures</w:t>
      </w:r>
      <w:r w:rsidRPr="003813C9">
        <w:rPr>
          <w:color w:val="auto"/>
          <w:sz w:val="24"/>
          <w:szCs w:val="24"/>
        </w:rPr>
        <w:t xml:space="preserve">. London: IASB. </w:t>
      </w:r>
    </w:p>
    <w:p w14:paraId="12BBBF13" w14:textId="77777777" w:rsidR="00C1579E" w:rsidRPr="003813C9" w:rsidRDefault="00C1579E" w:rsidP="00A63EB7">
      <w:pPr>
        <w:spacing w:after="0" w:line="240" w:lineRule="auto"/>
        <w:ind w:hanging="720"/>
        <w:jc w:val="both"/>
        <w:rPr>
          <w:color w:val="auto"/>
          <w:sz w:val="24"/>
          <w:szCs w:val="24"/>
        </w:rPr>
      </w:pPr>
    </w:p>
    <w:p w14:paraId="479DF945" w14:textId="77777777" w:rsidR="0046703C" w:rsidRPr="003813C9" w:rsidRDefault="00A63EB7" w:rsidP="00A63EB7">
      <w:pPr>
        <w:spacing w:after="0" w:line="240" w:lineRule="auto"/>
        <w:ind w:hanging="720"/>
        <w:jc w:val="both"/>
        <w:rPr>
          <w:color w:val="auto"/>
          <w:sz w:val="24"/>
          <w:szCs w:val="24"/>
        </w:rPr>
      </w:pPr>
      <w:proofErr w:type="gramStart"/>
      <w:r w:rsidRPr="003813C9">
        <w:rPr>
          <w:color w:val="auto"/>
          <w:sz w:val="24"/>
          <w:szCs w:val="24"/>
        </w:rPr>
        <w:t>International Accounting Standards Board.</w:t>
      </w:r>
      <w:proofErr w:type="gramEnd"/>
      <w:r w:rsidRPr="003813C9">
        <w:rPr>
          <w:color w:val="auto"/>
          <w:sz w:val="24"/>
          <w:szCs w:val="24"/>
        </w:rPr>
        <w:t xml:space="preserve"> (2014). </w:t>
      </w:r>
      <w:r w:rsidRPr="003813C9">
        <w:rPr>
          <w:i/>
          <w:color w:val="auto"/>
          <w:sz w:val="24"/>
          <w:szCs w:val="24"/>
        </w:rPr>
        <w:t>International Financial Reporting Standard (IFRS: 9</w:t>
      </w:r>
      <w:r w:rsidR="00C1579E" w:rsidRPr="003813C9">
        <w:rPr>
          <w:i/>
          <w:color w:val="auto"/>
          <w:sz w:val="24"/>
          <w:szCs w:val="24"/>
        </w:rPr>
        <w:t>): F</w:t>
      </w:r>
      <w:r w:rsidRPr="003813C9">
        <w:rPr>
          <w:i/>
          <w:color w:val="auto"/>
          <w:sz w:val="24"/>
          <w:szCs w:val="24"/>
        </w:rPr>
        <w:t>inancial instruments: Recognition and Measurement.</w:t>
      </w:r>
      <w:r w:rsidRPr="003813C9">
        <w:rPr>
          <w:color w:val="auto"/>
          <w:sz w:val="24"/>
          <w:szCs w:val="24"/>
        </w:rPr>
        <w:t xml:space="preserve"> London: IASB. </w:t>
      </w:r>
    </w:p>
    <w:p w14:paraId="12709CD8" w14:textId="77777777" w:rsidR="00C1579E" w:rsidRPr="003813C9" w:rsidRDefault="00C1579E" w:rsidP="00A63EB7">
      <w:pPr>
        <w:spacing w:after="0" w:line="240" w:lineRule="auto"/>
        <w:ind w:hanging="720"/>
        <w:jc w:val="both"/>
        <w:rPr>
          <w:color w:val="auto"/>
          <w:sz w:val="24"/>
          <w:szCs w:val="24"/>
        </w:rPr>
      </w:pPr>
    </w:p>
    <w:p w14:paraId="053DB69B" w14:textId="77777777" w:rsidR="0046703C" w:rsidRPr="003813C9" w:rsidRDefault="0046703C" w:rsidP="0046703C">
      <w:pPr>
        <w:spacing w:after="0" w:line="240" w:lineRule="auto"/>
        <w:ind w:hanging="720"/>
        <w:jc w:val="both"/>
        <w:rPr>
          <w:rFonts w:eastAsia="Calibri"/>
          <w:color w:val="auto"/>
          <w:sz w:val="24"/>
          <w:szCs w:val="24"/>
        </w:rPr>
      </w:pPr>
      <w:proofErr w:type="spellStart"/>
      <w:proofErr w:type="gramStart"/>
      <w:r w:rsidRPr="003813C9">
        <w:rPr>
          <w:rFonts w:eastAsia="Times New Roman"/>
          <w:color w:val="auto"/>
          <w:sz w:val="24"/>
          <w:szCs w:val="24"/>
        </w:rPr>
        <w:t>Jeanjean</w:t>
      </w:r>
      <w:proofErr w:type="spellEnd"/>
      <w:r w:rsidRPr="003813C9">
        <w:rPr>
          <w:rFonts w:eastAsia="Times New Roman"/>
          <w:color w:val="auto"/>
          <w:sz w:val="24"/>
          <w:szCs w:val="24"/>
        </w:rPr>
        <w:t xml:space="preserve">, T., </w:t>
      </w:r>
      <w:proofErr w:type="spellStart"/>
      <w:r w:rsidRPr="003813C9">
        <w:rPr>
          <w:rFonts w:eastAsia="Times New Roman"/>
          <w:color w:val="auto"/>
          <w:sz w:val="24"/>
          <w:szCs w:val="24"/>
        </w:rPr>
        <w:t>Stolowy</w:t>
      </w:r>
      <w:proofErr w:type="spellEnd"/>
      <w:r w:rsidRPr="003813C9">
        <w:rPr>
          <w:rFonts w:eastAsia="Times New Roman"/>
          <w:color w:val="auto"/>
          <w:sz w:val="24"/>
          <w:szCs w:val="24"/>
        </w:rPr>
        <w:t xml:space="preserve">, H., </w:t>
      </w:r>
      <w:proofErr w:type="spellStart"/>
      <w:r w:rsidRPr="003813C9">
        <w:rPr>
          <w:rFonts w:eastAsia="Times New Roman"/>
          <w:color w:val="auto"/>
          <w:sz w:val="24"/>
          <w:szCs w:val="24"/>
        </w:rPr>
        <w:t>Erkens</w:t>
      </w:r>
      <w:proofErr w:type="spellEnd"/>
      <w:r w:rsidRPr="003813C9">
        <w:rPr>
          <w:rFonts w:eastAsia="Times New Roman"/>
          <w:color w:val="auto"/>
          <w:sz w:val="24"/>
          <w:szCs w:val="24"/>
        </w:rPr>
        <w:t xml:space="preserve">, M., &amp; </w:t>
      </w:r>
      <w:proofErr w:type="spellStart"/>
      <w:r w:rsidRPr="003813C9">
        <w:rPr>
          <w:rFonts w:eastAsia="Times New Roman"/>
          <w:color w:val="auto"/>
          <w:sz w:val="24"/>
          <w:szCs w:val="24"/>
        </w:rPr>
        <w:t>Yohn</w:t>
      </w:r>
      <w:proofErr w:type="spellEnd"/>
      <w:r w:rsidRPr="003813C9">
        <w:rPr>
          <w:rFonts w:eastAsia="Times New Roman"/>
          <w:color w:val="auto"/>
          <w:sz w:val="24"/>
          <w:szCs w:val="24"/>
        </w:rPr>
        <w:t>, T. L. (2015).</w:t>
      </w:r>
      <w:proofErr w:type="gramEnd"/>
      <w:r w:rsidRPr="003813C9">
        <w:rPr>
          <w:rFonts w:eastAsia="Times New Roman"/>
          <w:color w:val="auto"/>
          <w:sz w:val="24"/>
          <w:szCs w:val="24"/>
        </w:rPr>
        <w:t xml:space="preserve"> </w:t>
      </w:r>
      <w:proofErr w:type="gramStart"/>
      <w:r w:rsidRPr="003813C9">
        <w:rPr>
          <w:rFonts w:eastAsia="Times New Roman"/>
          <w:color w:val="auto"/>
          <w:sz w:val="24"/>
          <w:szCs w:val="24"/>
        </w:rPr>
        <w:t>International evidence on the impact of adopting English as an external reporting language.</w:t>
      </w:r>
      <w:proofErr w:type="gramEnd"/>
      <w:r w:rsidRPr="003813C9">
        <w:rPr>
          <w:rFonts w:eastAsia="Times New Roman"/>
          <w:color w:val="auto"/>
          <w:sz w:val="24"/>
          <w:szCs w:val="24"/>
        </w:rPr>
        <w:t xml:space="preserve"> </w:t>
      </w:r>
      <w:r w:rsidRPr="003813C9">
        <w:rPr>
          <w:rFonts w:eastAsia="Times New Roman"/>
          <w:i/>
          <w:iCs/>
          <w:color w:val="auto"/>
          <w:sz w:val="24"/>
          <w:szCs w:val="24"/>
        </w:rPr>
        <w:t>Journal of International Business Studies</w:t>
      </w:r>
      <w:r w:rsidRPr="003813C9">
        <w:rPr>
          <w:rFonts w:eastAsia="Times New Roman"/>
          <w:color w:val="auto"/>
          <w:sz w:val="24"/>
          <w:szCs w:val="24"/>
        </w:rPr>
        <w:t xml:space="preserve">, </w:t>
      </w:r>
      <w:r w:rsidRPr="003813C9">
        <w:rPr>
          <w:rFonts w:eastAsia="Times New Roman"/>
          <w:i/>
          <w:color w:val="auto"/>
          <w:sz w:val="24"/>
          <w:szCs w:val="24"/>
        </w:rPr>
        <w:t>46</w:t>
      </w:r>
      <w:r w:rsidRPr="003813C9">
        <w:rPr>
          <w:rFonts w:eastAsia="Times New Roman"/>
          <w:color w:val="auto"/>
          <w:sz w:val="24"/>
          <w:szCs w:val="24"/>
        </w:rPr>
        <w:t>(2), 180-205.</w:t>
      </w:r>
    </w:p>
    <w:p w14:paraId="2B930B43" w14:textId="77777777" w:rsidR="0046703C" w:rsidRPr="003813C9" w:rsidRDefault="0046703C" w:rsidP="0046703C">
      <w:pPr>
        <w:spacing w:after="0" w:line="240" w:lineRule="auto"/>
        <w:jc w:val="both"/>
        <w:rPr>
          <w:rFonts w:eastAsia="Calibri"/>
          <w:color w:val="auto"/>
          <w:sz w:val="24"/>
          <w:szCs w:val="24"/>
        </w:rPr>
      </w:pPr>
    </w:p>
    <w:p w14:paraId="4323D099" w14:textId="77777777" w:rsidR="00583381" w:rsidRPr="003813C9" w:rsidRDefault="0046703C" w:rsidP="00583381">
      <w:pPr>
        <w:autoSpaceDE w:val="0"/>
        <w:autoSpaceDN w:val="0"/>
        <w:adjustRightInd w:val="0"/>
        <w:spacing w:after="0" w:line="240" w:lineRule="auto"/>
        <w:ind w:hanging="720"/>
        <w:jc w:val="both"/>
        <w:rPr>
          <w:rFonts w:eastAsia="Times New Roman"/>
          <w:color w:val="auto"/>
          <w:sz w:val="24"/>
          <w:szCs w:val="24"/>
          <w:lang w:eastAsia="en-GB"/>
        </w:rPr>
      </w:pPr>
      <w:proofErr w:type="spellStart"/>
      <w:r w:rsidRPr="003813C9">
        <w:rPr>
          <w:rFonts w:eastAsia="Times New Roman"/>
          <w:color w:val="auto"/>
          <w:sz w:val="24"/>
          <w:szCs w:val="24"/>
          <w:lang w:eastAsia="en-GB"/>
        </w:rPr>
        <w:t>Jorion</w:t>
      </w:r>
      <w:proofErr w:type="spellEnd"/>
      <w:r w:rsidRPr="003813C9">
        <w:rPr>
          <w:rFonts w:eastAsia="Times New Roman"/>
          <w:color w:val="auto"/>
          <w:sz w:val="24"/>
          <w:szCs w:val="24"/>
          <w:lang w:eastAsia="en-GB"/>
        </w:rPr>
        <w:t xml:space="preserve">, P. (2002). How informative are value at risk disclosures? </w:t>
      </w:r>
      <w:r w:rsidRPr="003813C9">
        <w:rPr>
          <w:rFonts w:eastAsia="Times New Roman"/>
          <w:i/>
          <w:iCs/>
          <w:color w:val="auto"/>
          <w:sz w:val="24"/>
          <w:szCs w:val="24"/>
          <w:lang w:eastAsia="en-GB"/>
        </w:rPr>
        <w:t>The Accounting Review, 77</w:t>
      </w:r>
      <w:r w:rsidRPr="003813C9">
        <w:rPr>
          <w:rFonts w:eastAsia="Times New Roman"/>
          <w:color w:val="auto"/>
          <w:sz w:val="24"/>
          <w:szCs w:val="24"/>
          <w:lang w:eastAsia="en-GB"/>
        </w:rPr>
        <w:t>(4), 911-931.</w:t>
      </w:r>
    </w:p>
    <w:p w14:paraId="50064D74" w14:textId="77777777" w:rsidR="00583381" w:rsidRPr="003813C9" w:rsidRDefault="00583381" w:rsidP="00583381">
      <w:pPr>
        <w:autoSpaceDE w:val="0"/>
        <w:autoSpaceDN w:val="0"/>
        <w:adjustRightInd w:val="0"/>
        <w:spacing w:after="0" w:line="240" w:lineRule="auto"/>
        <w:ind w:hanging="720"/>
        <w:jc w:val="both"/>
        <w:rPr>
          <w:rFonts w:eastAsia="Times New Roman"/>
          <w:color w:val="auto"/>
          <w:sz w:val="24"/>
          <w:szCs w:val="24"/>
          <w:lang w:eastAsia="en-GB"/>
        </w:rPr>
      </w:pPr>
    </w:p>
    <w:p w14:paraId="1CD64D1C" w14:textId="77777777" w:rsidR="0046703C" w:rsidRPr="003813C9" w:rsidRDefault="00583381" w:rsidP="00583381">
      <w:pPr>
        <w:autoSpaceDE w:val="0"/>
        <w:autoSpaceDN w:val="0"/>
        <w:adjustRightInd w:val="0"/>
        <w:spacing w:after="0" w:line="240" w:lineRule="auto"/>
        <w:ind w:hanging="720"/>
        <w:jc w:val="both"/>
        <w:rPr>
          <w:rFonts w:eastAsia="Calibri"/>
          <w:color w:val="auto"/>
          <w:sz w:val="24"/>
          <w:szCs w:val="24"/>
        </w:rPr>
      </w:pPr>
      <w:proofErr w:type="spellStart"/>
      <w:r w:rsidRPr="003813C9">
        <w:rPr>
          <w:rFonts w:eastAsia="Calibri"/>
          <w:color w:val="auto"/>
          <w:sz w:val="24"/>
          <w:szCs w:val="24"/>
        </w:rPr>
        <w:t>Jorion</w:t>
      </w:r>
      <w:proofErr w:type="spellEnd"/>
      <w:r w:rsidRPr="003813C9">
        <w:rPr>
          <w:rFonts w:eastAsia="Calibri"/>
          <w:color w:val="auto"/>
          <w:sz w:val="24"/>
          <w:szCs w:val="24"/>
        </w:rPr>
        <w:t xml:space="preserve">, P. (2006). </w:t>
      </w:r>
      <w:proofErr w:type="gramStart"/>
      <w:r w:rsidRPr="003813C9">
        <w:rPr>
          <w:rFonts w:eastAsia="Calibri"/>
          <w:i/>
          <w:color w:val="auto"/>
          <w:sz w:val="24"/>
          <w:szCs w:val="24"/>
        </w:rPr>
        <w:t>Value-at-Risk</w:t>
      </w:r>
      <w:r w:rsidRPr="003813C9">
        <w:rPr>
          <w:rFonts w:eastAsia="Calibri"/>
          <w:color w:val="auto"/>
          <w:sz w:val="24"/>
          <w:szCs w:val="24"/>
        </w:rPr>
        <w:t>, 3rd edition.</w:t>
      </w:r>
      <w:proofErr w:type="gramEnd"/>
      <w:r w:rsidRPr="003813C9">
        <w:rPr>
          <w:rFonts w:eastAsia="Calibri"/>
          <w:color w:val="auto"/>
          <w:sz w:val="24"/>
          <w:szCs w:val="24"/>
        </w:rPr>
        <w:t xml:space="preserve"> McGraw-Hill, New York.</w:t>
      </w:r>
    </w:p>
    <w:p w14:paraId="6458E936" w14:textId="77777777" w:rsidR="00583381" w:rsidRPr="003813C9" w:rsidRDefault="00583381" w:rsidP="00583381">
      <w:pPr>
        <w:autoSpaceDE w:val="0"/>
        <w:autoSpaceDN w:val="0"/>
        <w:adjustRightInd w:val="0"/>
        <w:spacing w:after="0" w:line="240" w:lineRule="auto"/>
        <w:ind w:hanging="720"/>
        <w:jc w:val="both"/>
        <w:rPr>
          <w:rFonts w:eastAsia="Times New Roman"/>
          <w:color w:val="auto"/>
          <w:sz w:val="24"/>
          <w:szCs w:val="24"/>
          <w:lang w:eastAsia="en-GB"/>
        </w:rPr>
      </w:pPr>
    </w:p>
    <w:p w14:paraId="41F7A5BE" w14:textId="77777777" w:rsidR="0046703C" w:rsidRPr="003813C9" w:rsidRDefault="0046703C" w:rsidP="0046703C">
      <w:pPr>
        <w:spacing w:after="0" w:line="240" w:lineRule="auto"/>
        <w:ind w:hanging="720"/>
        <w:jc w:val="both"/>
        <w:rPr>
          <w:rFonts w:eastAsia="Times New Roman"/>
          <w:color w:val="auto"/>
          <w:sz w:val="24"/>
          <w:szCs w:val="24"/>
          <w:lang w:eastAsia="en-GB"/>
        </w:rPr>
      </w:pPr>
      <w:r w:rsidRPr="003813C9">
        <w:rPr>
          <w:rFonts w:eastAsia="Times New Roman"/>
          <w:color w:val="auto"/>
          <w:sz w:val="24"/>
          <w:szCs w:val="24"/>
          <w:lang w:eastAsia="en-GB"/>
        </w:rPr>
        <w:t>Kaplan, R. S. (2011). Accounting scholarship that advances professional knowledge and practice. </w:t>
      </w:r>
      <w:r w:rsidRPr="003813C9">
        <w:rPr>
          <w:rFonts w:eastAsia="Times New Roman"/>
          <w:i/>
          <w:iCs/>
          <w:color w:val="auto"/>
          <w:sz w:val="24"/>
          <w:szCs w:val="24"/>
          <w:lang w:eastAsia="en-GB"/>
        </w:rPr>
        <w:t>The Accounting Review</w:t>
      </w:r>
      <w:r w:rsidRPr="003813C9">
        <w:rPr>
          <w:rFonts w:eastAsia="Times New Roman"/>
          <w:color w:val="auto"/>
          <w:sz w:val="24"/>
          <w:szCs w:val="24"/>
          <w:lang w:eastAsia="en-GB"/>
        </w:rPr>
        <w:t>, </w:t>
      </w:r>
      <w:r w:rsidRPr="003813C9">
        <w:rPr>
          <w:rFonts w:eastAsia="Times New Roman"/>
          <w:i/>
          <w:iCs/>
          <w:color w:val="auto"/>
          <w:sz w:val="24"/>
          <w:szCs w:val="24"/>
          <w:lang w:eastAsia="en-GB"/>
        </w:rPr>
        <w:t>86</w:t>
      </w:r>
      <w:r w:rsidRPr="003813C9">
        <w:rPr>
          <w:rFonts w:eastAsia="Times New Roman"/>
          <w:color w:val="auto"/>
          <w:sz w:val="24"/>
          <w:szCs w:val="24"/>
          <w:lang w:eastAsia="en-GB"/>
        </w:rPr>
        <w:t>(2), 367-383.</w:t>
      </w:r>
    </w:p>
    <w:p w14:paraId="549E3DCB" w14:textId="77777777" w:rsidR="0046703C" w:rsidRPr="003813C9" w:rsidRDefault="0046703C" w:rsidP="0046703C">
      <w:pPr>
        <w:spacing w:after="0" w:line="240" w:lineRule="auto"/>
        <w:ind w:hanging="720"/>
        <w:jc w:val="both"/>
        <w:rPr>
          <w:rFonts w:eastAsia="Times New Roman"/>
          <w:color w:val="auto"/>
          <w:sz w:val="24"/>
          <w:szCs w:val="24"/>
          <w:lang w:eastAsia="en-GB"/>
        </w:rPr>
      </w:pPr>
    </w:p>
    <w:p w14:paraId="55B5716E" w14:textId="77777777" w:rsidR="0046703C" w:rsidRPr="003813C9" w:rsidRDefault="0046703C" w:rsidP="0046703C">
      <w:pPr>
        <w:spacing w:after="0" w:line="240" w:lineRule="auto"/>
        <w:ind w:hanging="720"/>
        <w:jc w:val="both"/>
        <w:rPr>
          <w:rFonts w:eastAsia="Times New Roman"/>
          <w:color w:val="auto"/>
          <w:sz w:val="24"/>
          <w:szCs w:val="24"/>
          <w:lang w:eastAsia="en-GB"/>
        </w:rPr>
      </w:pPr>
      <w:proofErr w:type="spellStart"/>
      <w:proofErr w:type="gramStart"/>
      <w:r w:rsidRPr="003813C9">
        <w:rPr>
          <w:rFonts w:eastAsia="Times New Roman"/>
          <w:color w:val="auto"/>
          <w:sz w:val="24"/>
          <w:szCs w:val="24"/>
          <w:lang w:eastAsia="en-GB"/>
        </w:rPr>
        <w:t>Koonce</w:t>
      </w:r>
      <w:proofErr w:type="spellEnd"/>
      <w:r w:rsidRPr="003813C9">
        <w:rPr>
          <w:rFonts w:eastAsia="Times New Roman"/>
          <w:color w:val="auto"/>
          <w:sz w:val="24"/>
          <w:szCs w:val="24"/>
          <w:lang w:eastAsia="en-GB"/>
        </w:rPr>
        <w:t xml:space="preserve">, L., </w:t>
      </w:r>
      <w:proofErr w:type="spellStart"/>
      <w:r w:rsidRPr="003813C9">
        <w:rPr>
          <w:rFonts w:eastAsia="Times New Roman"/>
          <w:color w:val="auto"/>
          <w:sz w:val="24"/>
          <w:szCs w:val="24"/>
          <w:lang w:eastAsia="en-GB"/>
        </w:rPr>
        <w:t>McAnally</w:t>
      </w:r>
      <w:proofErr w:type="spellEnd"/>
      <w:r w:rsidRPr="003813C9">
        <w:rPr>
          <w:rFonts w:eastAsia="Times New Roman"/>
          <w:color w:val="auto"/>
          <w:sz w:val="24"/>
          <w:szCs w:val="24"/>
          <w:lang w:eastAsia="en-GB"/>
        </w:rPr>
        <w:t>, M. L., &amp; Mercer, M. (2005).</w:t>
      </w:r>
      <w:proofErr w:type="gramEnd"/>
      <w:r w:rsidRPr="003813C9">
        <w:rPr>
          <w:rFonts w:eastAsia="Times New Roman"/>
          <w:color w:val="auto"/>
          <w:sz w:val="24"/>
          <w:szCs w:val="24"/>
          <w:lang w:eastAsia="en-GB"/>
        </w:rPr>
        <w:t xml:space="preserve"> How do investors judge the risk of financial items? </w:t>
      </w:r>
      <w:r w:rsidRPr="003813C9">
        <w:rPr>
          <w:rFonts w:eastAsia="Times New Roman"/>
          <w:i/>
          <w:iCs/>
          <w:color w:val="auto"/>
          <w:sz w:val="24"/>
          <w:szCs w:val="24"/>
          <w:lang w:eastAsia="en-GB"/>
        </w:rPr>
        <w:t>The Accounting Review</w:t>
      </w:r>
      <w:r w:rsidRPr="003813C9">
        <w:rPr>
          <w:rFonts w:eastAsia="Times New Roman"/>
          <w:color w:val="auto"/>
          <w:sz w:val="24"/>
          <w:szCs w:val="24"/>
          <w:lang w:eastAsia="en-GB"/>
        </w:rPr>
        <w:t>, </w:t>
      </w:r>
      <w:r w:rsidRPr="003813C9">
        <w:rPr>
          <w:rFonts w:eastAsia="Times New Roman"/>
          <w:i/>
          <w:iCs/>
          <w:color w:val="auto"/>
          <w:sz w:val="24"/>
          <w:szCs w:val="24"/>
          <w:lang w:eastAsia="en-GB"/>
        </w:rPr>
        <w:t>80</w:t>
      </w:r>
      <w:r w:rsidRPr="003813C9">
        <w:rPr>
          <w:rFonts w:eastAsia="Times New Roman"/>
          <w:color w:val="auto"/>
          <w:sz w:val="24"/>
          <w:szCs w:val="24"/>
          <w:lang w:eastAsia="en-GB"/>
        </w:rPr>
        <w:t>(1), 221-241.</w:t>
      </w:r>
    </w:p>
    <w:p w14:paraId="2CCD7D40" w14:textId="77777777" w:rsidR="0046703C" w:rsidRPr="003813C9" w:rsidRDefault="0046703C" w:rsidP="0046703C">
      <w:pPr>
        <w:spacing w:after="0" w:line="240" w:lineRule="auto"/>
        <w:ind w:hanging="720"/>
        <w:jc w:val="both"/>
        <w:rPr>
          <w:rFonts w:eastAsia="Calibri"/>
          <w:color w:val="auto"/>
          <w:sz w:val="24"/>
          <w:szCs w:val="24"/>
        </w:rPr>
      </w:pPr>
    </w:p>
    <w:p w14:paraId="624AD67E" w14:textId="77777777" w:rsidR="0046703C" w:rsidRPr="003813C9" w:rsidRDefault="0046703C" w:rsidP="0046703C">
      <w:pPr>
        <w:spacing w:after="0" w:line="240" w:lineRule="auto"/>
        <w:ind w:hanging="720"/>
        <w:jc w:val="both"/>
        <w:rPr>
          <w:rFonts w:eastAsia="Calibri"/>
          <w:color w:val="auto"/>
          <w:sz w:val="24"/>
          <w:szCs w:val="24"/>
        </w:rPr>
      </w:pPr>
      <w:proofErr w:type="gramStart"/>
      <w:r w:rsidRPr="003813C9">
        <w:rPr>
          <w:rFonts w:eastAsia="Times New Roman"/>
          <w:color w:val="auto"/>
          <w:sz w:val="24"/>
          <w:szCs w:val="24"/>
        </w:rPr>
        <w:t>Kothari, S. P., Li, X., &amp; Short, J. E. (2009).</w:t>
      </w:r>
      <w:proofErr w:type="gramEnd"/>
      <w:r w:rsidRPr="003813C9">
        <w:rPr>
          <w:rFonts w:eastAsia="Times New Roman"/>
          <w:color w:val="auto"/>
          <w:sz w:val="24"/>
          <w:szCs w:val="24"/>
        </w:rPr>
        <w:t xml:space="preserve"> The effect of disclosures by management, analysts, and business press on cost of capital, return volatility, and analyst forecasts: A study using content analysis. </w:t>
      </w:r>
      <w:r w:rsidRPr="003813C9">
        <w:rPr>
          <w:rFonts w:eastAsia="Times New Roman"/>
          <w:i/>
          <w:iCs/>
          <w:color w:val="auto"/>
          <w:sz w:val="24"/>
          <w:szCs w:val="24"/>
        </w:rPr>
        <w:t>The Accounting Review</w:t>
      </w:r>
      <w:r w:rsidRPr="003813C9">
        <w:rPr>
          <w:rFonts w:eastAsia="Times New Roman"/>
          <w:color w:val="auto"/>
          <w:sz w:val="24"/>
          <w:szCs w:val="24"/>
        </w:rPr>
        <w:t>,</w:t>
      </w:r>
      <w:r w:rsidRPr="003813C9">
        <w:rPr>
          <w:rFonts w:eastAsia="Times New Roman"/>
          <w:i/>
          <w:iCs/>
          <w:color w:val="auto"/>
          <w:sz w:val="24"/>
          <w:szCs w:val="24"/>
        </w:rPr>
        <w:t xml:space="preserve"> 84</w:t>
      </w:r>
      <w:r w:rsidRPr="003813C9">
        <w:rPr>
          <w:rFonts w:eastAsia="Times New Roman"/>
          <w:color w:val="auto"/>
          <w:sz w:val="24"/>
          <w:szCs w:val="24"/>
        </w:rPr>
        <w:t>(5), 1639-1670.</w:t>
      </w:r>
    </w:p>
    <w:p w14:paraId="6C137C3C" w14:textId="77777777" w:rsidR="0046703C" w:rsidRPr="003813C9" w:rsidRDefault="0046703C" w:rsidP="0046703C">
      <w:pPr>
        <w:spacing w:after="0" w:line="240" w:lineRule="auto"/>
        <w:ind w:hanging="720"/>
        <w:jc w:val="both"/>
        <w:rPr>
          <w:rFonts w:eastAsia="Calibri"/>
          <w:color w:val="auto"/>
          <w:sz w:val="24"/>
          <w:szCs w:val="24"/>
        </w:rPr>
      </w:pPr>
    </w:p>
    <w:p w14:paraId="4291E92E" w14:textId="77777777" w:rsidR="0046703C" w:rsidRPr="003813C9" w:rsidRDefault="0046703C" w:rsidP="0046703C">
      <w:pPr>
        <w:spacing w:after="0" w:line="240" w:lineRule="auto"/>
        <w:ind w:hanging="720"/>
        <w:jc w:val="both"/>
        <w:rPr>
          <w:rFonts w:eastAsia="Calibri"/>
          <w:color w:val="auto"/>
          <w:sz w:val="24"/>
          <w:szCs w:val="24"/>
        </w:rPr>
      </w:pPr>
      <w:proofErr w:type="spellStart"/>
      <w:proofErr w:type="gramStart"/>
      <w:r w:rsidRPr="003813C9">
        <w:rPr>
          <w:rFonts w:eastAsia="Times New Roman"/>
          <w:color w:val="auto"/>
          <w:sz w:val="24"/>
          <w:szCs w:val="24"/>
        </w:rPr>
        <w:t>Kravet</w:t>
      </w:r>
      <w:proofErr w:type="spellEnd"/>
      <w:r w:rsidRPr="003813C9">
        <w:rPr>
          <w:rFonts w:eastAsia="Times New Roman"/>
          <w:color w:val="auto"/>
          <w:sz w:val="24"/>
          <w:szCs w:val="24"/>
        </w:rPr>
        <w:t xml:space="preserve">, T., &amp; </w:t>
      </w:r>
      <w:proofErr w:type="spellStart"/>
      <w:r w:rsidRPr="003813C9">
        <w:rPr>
          <w:rFonts w:eastAsia="Times New Roman"/>
          <w:color w:val="auto"/>
          <w:sz w:val="24"/>
          <w:szCs w:val="24"/>
        </w:rPr>
        <w:t>Muslu</w:t>
      </w:r>
      <w:proofErr w:type="spellEnd"/>
      <w:r w:rsidRPr="003813C9">
        <w:rPr>
          <w:rFonts w:eastAsia="Times New Roman"/>
          <w:color w:val="auto"/>
          <w:sz w:val="24"/>
          <w:szCs w:val="24"/>
        </w:rPr>
        <w:t>, V. (2013).</w:t>
      </w:r>
      <w:proofErr w:type="gramEnd"/>
      <w:r w:rsidRPr="003813C9">
        <w:rPr>
          <w:rFonts w:eastAsia="Times New Roman"/>
          <w:color w:val="auto"/>
          <w:sz w:val="24"/>
          <w:szCs w:val="24"/>
        </w:rPr>
        <w:t xml:space="preserve"> Textual risk disclosures and investors’ risk perceptions. </w:t>
      </w:r>
      <w:r w:rsidRPr="003813C9">
        <w:rPr>
          <w:rFonts w:eastAsia="Times New Roman"/>
          <w:i/>
          <w:iCs/>
          <w:color w:val="auto"/>
          <w:sz w:val="24"/>
          <w:szCs w:val="24"/>
        </w:rPr>
        <w:t>Review of Accounting Studies</w:t>
      </w:r>
      <w:r w:rsidRPr="003813C9">
        <w:rPr>
          <w:rFonts w:eastAsia="Times New Roman"/>
          <w:color w:val="auto"/>
          <w:sz w:val="24"/>
          <w:szCs w:val="24"/>
        </w:rPr>
        <w:t>, </w:t>
      </w:r>
      <w:r w:rsidRPr="003813C9">
        <w:rPr>
          <w:rFonts w:eastAsia="Times New Roman"/>
          <w:i/>
          <w:iCs/>
          <w:color w:val="auto"/>
          <w:sz w:val="24"/>
          <w:szCs w:val="24"/>
        </w:rPr>
        <w:t>18</w:t>
      </w:r>
      <w:r w:rsidRPr="003813C9">
        <w:rPr>
          <w:rFonts w:eastAsia="Times New Roman"/>
          <w:color w:val="auto"/>
          <w:sz w:val="24"/>
          <w:szCs w:val="24"/>
        </w:rPr>
        <w:t>(4), 1088-1122.</w:t>
      </w:r>
      <w:r w:rsidRPr="003813C9">
        <w:rPr>
          <w:rFonts w:eastAsia="Calibri"/>
          <w:color w:val="auto"/>
          <w:sz w:val="24"/>
          <w:szCs w:val="24"/>
        </w:rPr>
        <w:t xml:space="preserve"> </w:t>
      </w:r>
    </w:p>
    <w:p w14:paraId="72AB6C64" w14:textId="77777777" w:rsidR="0046703C" w:rsidRPr="003813C9" w:rsidRDefault="0046703C" w:rsidP="0046703C">
      <w:pPr>
        <w:spacing w:after="0" w:line="240" w:lineRule="auto"/>
        <w:ind w:hanging="720"/>
        <w:jc w:val="both"/>
        <w:rPr>
          <w:rFonts w:eastAsia="Calibri"/>
          <w:color w:val="auto"/>
          <w:sz w:val="24"/>
          <w:szCs w:val="24"/>
        </w:rPr>
      </w:pPr>
    </w:p>
    <w:p w14:paraId="356A1AA3" w14:textId="77777777" w:rsidR="0046703C" w:rsidRPr="003813C9" w:rsidRDefault="0046703C" w:rsidP="0046703C">
      <w:pPr>
        <w:spacing w:after="0" w:line="240" w:lineRule="auto"/>
        <w:ind w:hanging="720"/>
        <w:jc w:val="both"/>
        <w:rPr>
          <w:rFonts w:eastAsia="Times New Roman"/>
          <w:color w:val="auto"/>
          <w:sz w:val="24"/>
          <w:szCs w:val="24"/>
        </w:rPr>
      </w:pPr>
      <w:proofErr w:type="spellStart"/>
      <w:r w:rsidRPr="003813C9">
        <w:rPr>
          <w:rFonts w:eastAsia="Times New Roman"/>
          <w:color w:val="auto"/>
          <w:sz w:val="24"/>
          <w:szCs w:val="24"/>
        </w:rPr>
        <w:t>Krippendorff</w:t>
      </w:r>
      <w:proofErr w:type="spellEnd"/>
      <w:r w:rsidRPr="003813C9">
        <w:rPr>
          <w:rFonts w:eastAsia="Times New Roman"/>
          <w:color w:val="auto"/>
          <w:sz w:val="24"/>
          <w:szCs w:val="24"/>
        </w:rPr>
        <w:t xml:space="preserve">, K. (2012). </w:t>
      </w:r>
      <w:r w:rsidRPr="003813C9">
        <w:rPr>
          <w:rFonts w:eastAsia="Times New Roman"/>
          <w:i/>
          <w:color w:val="auto"/>
          <w:sz w:val="24"/>
          <w:szCs w:val="24"/>
        </w:rPr>
        <w:t>Content analysis: An introduction to its methodology</w:t>
      </w:r>
      <w:r w:rsidRPr="003813C9">
        <w:rPr>
          <w:rFonts w:eastAsia="Times New Roman"/>
          <w:color w:val="auto"/>
          <w:sz w:val="24"/>
          <w:szCs w:val="24"/>
        </w:rPr>
        <w:t>. Thousand Oaks, CA: Sage.</w:t>
      </w:r>
    </w:p>
    <w:p w14:paraId="428C9EAE" w14:textId="77777777" w:rsidR="0046703C" w:rsidRPr="003813C9" w:rsidRDefault="0046703C" w:rsidP="0046703C">
      <w:pPr>
        <w:spacing w:after="0" w:line="240" w:lineRule="auto"/>
        <w:jc w:val="both"/>
        <w:rPr>
          <w:rFonts w:eastAsia="Calibri"/>
          <w:color w:val="auto"/>
          <w:sz w:val="24"/>
          <w:szCs w:val="24"/>
        </w:rPr>
      </w:pPr>
    </w:p>
    <w:p w14:paraId="27B04D48" w14:textId="77777777" w:rsidR="0046703C" w:rsidRPr="003813C9" w:rsidRDefault="0046703C" w:rsidP="0046703C">
      <w:pPr>
        <w:spacing w:after="0" w:line="240" w:lineRule="auto"/>
        <w:ind w:hanging="720"/>
        <w:jc w:val="both"/>
        <w:rPr>
          <w:rFonts w:eastAsia="Calibri" w:cs="Arial"/>
          <w:color w:val="auto"/>
          <w:sz w:val="24"/>
          <w:szCs w:val="24"/>
          <w:shd w:val="clear" w:color="auto" w:fill="FFFFFF"/>
        </w:rPr>
      </w:pPr>
      <w:proofErr w:type="spellStart"/>
      <w:proofErr w:type="gramStart"/>
      <w:r w:rsidRPr="003813C9">
        <w:rPr>
          <w:rFonts w:eastAsia="Calibri" w:cs="Arial"/>
          <w:color w:val="auto"/>
          <w:sz w:val="24"/>
          <w:szCs w:val="24"/>
          <w:shd w:val="clear" w:color="auto" w:fill="FFFFFF"/>
        </w:rPr>
        <w:t>Lajili</w:t>
      </w:r>
      <w:proofErr w:type="spellEnd"/>
      <w:r w:rsidRPr="003813C9">
        <w:rPr>
          <w:rFonts w:eastAsia="Calibri" w:cs="Arial"/>
          <w:color w:val="auto"/>
          <w:sz w:val="24"/>
          <w:szCs w:val="24"/>
          <w:shd w:val="clear" w:color="auto" w:fill="FFFFFF"/>
        </w:rPr>
        <w:t xml:space="preserve">, K., &amp; </w:t>
      </w:r>
      <w:proofErr w:type="spellStart"/>
      <w:r w:rsidRPr="003813C9">
        <w:rPr>
          <w:rFonts w:eastAsia="Calibri" w:cs="Arial"/>
          <w:color w:val="auto"/>
          <w:sz w:val="24"/>
          <w:szCs w:val="24"/>
          <w:shd w:val="clear" w:color="auto" w:fill="FFFFFF"/>
        </w:rPr>
        <w:t>Zéghal</w:t>
      </w:r>
      <w:proofErr w:type="spellEnd"/>
      <w:r w:rsidRPr="003813C9">
        <w:rPr>
          <w:rFonts w:eastAsia="Calibri" w:cs="Arial"/>
          <w:color w:val="auto"/>
          <w:sz w:val="24"/>
          <w:szCs w:val="24"/>
          <w:shd w:val="clear" w:color="auto" w:fill="FFFFFF"/>
        </w:rPr>
        <w:t>, D. (2005).</w:t>
      </w:r>
      <w:proofErr w:type="gramEnd"/>
      <w:r w:rsidRPr="003813C9">
        <w:rPr>
          <w:rFonts w:eastAsia="Calibri" w:cs="Arial"/>
          <w:color w:val="auto"/>
          <w:sz w:val="24"/>
          <w:szCs w:val="24"/>
          <w:shd w:val="clear" w:color="auto" w:fill="FFFFFF"/>
        </w:rPr>
        <w:t xml:space="preserve"> </w:t>
      </w:r>
      <w:proofErr w:type="gramStart"/>
      <w:r w:rsidRPr="003813C9">
        <w:rPr>
          <w:rFonts w:eastAsia="Calibri" w:cs="Arial"/>
          <w:color w:val="auto"/>
          <w:sz w:val="24"/>
          <w:szCs w:val="24"/>
          <w:shd w:val="clear" w:color="auto" w:fill="FFFFFF"/>
        </w:rPr>
        <w:t>A content analysis of risk management disclosures in Canadian annual reports.</w:t>
      </w:r>
      <w:proofErr w:type="gramEnd"/>
      <w:r w:rsidRPr="003813C9">
        <w:rPr>
          <w:rFonts w:eastAsia="Calibri"/>
          <w:color w:val="auto"/>
          <w:sz w:val="24"/>
          <w:szCs w:val="24"/>
          <w:shd w:val="clear" w:color="auto" w:fill="FFFFFF"/>
        </w:rPr>
        <w:t> </w:t>
      </w:r>
      <w:r w:rsidRPr="003813C9">
        <w:rPr>
          <w:rFonts w:eastAsia="Calibri" w:cs="Arial"/>
          <w:i/>
          <w:iCs/>
          <w:color w:val="auto"/>
          <w:sz w:val="24"/>
          <w:szCs w:val="24"/>
          <w:shd w:val="clear" w:color="auto" w:fill="FFFFFF"/>
        </w:rPr>
        <w:t>Canadian Journal of Administrative Sciences, 22</w:t>
      </w:r>
      <w:r w:rsidRPr="003813C9">
        <w:rPr>
          <w:rFonts w:eastAsia="Calibri" w:cs="Arial"/>
          <w:color w:val="auto"/>
          <w:sz w:val="24"/>
          <w:szCs w:val="24"/>
          <w:shd w:val="clear" w:color="auto" w:fill="FFFFFF"/>
        </w:rPr>
        <w:t>(2), 125-142.</w:t>
      </w:r>
    </w:p>
    <w:p w14:paraId="3191955B" w14:textId="77777777" w:rsidR="0046703C" w:rsidRPr="003813C9" w:rsidRDefault="0046703C" w:rsidP="0046703C">
      <w:pPr>
        <w:spacing w:after="0" w:line="240" w:lineRule="auto"/>
        <w:ind w:hanging="720"/>
        <w:jc w:val="both"/>
        <w:rPr>
          <w:rFonts w:eastAsia="Calibri"/>
          <w:color w:val="auto"/>
          <w:sz w:val="24"/>
          <w:szCs w:val="24"/>
        </w:rPr>
      </w:pPr>
    </w:p>
    <w:p w14:paraId="391B8180" w14:textId="77777777" w:rsidR="0046703C" w:rsidRPr="003813C9" w:rsidRDefault="0046703C" w:rsidP="0046703C">
      <w:pPr>
        <w:tabs>
          <w:tab w:val="left" w:pos="1080"/>
        </w:tabs>
        <w:autoSpaceDE w:val="0"/>
        <w:autoSpaceDN w:val="0"/>
        <w:adjustRightInd w:val="0"/>
        <w:spacing w:after="0" w:line="240" w:lineRule="auto"/>
        <w:ind w:hanging="720"/>
        <w:rPr>
          <w:rFonts w:eastAsia="Calibri"/>
          <w:color w:val="auto"/>
          <w:sz w:val="24"/>
          <w:szCs w:val="24"/>
        </w:rPr>
      </w:pPr>
      <w:proofErr w:type="gramStart"/>
      <w:r w:rsidRPr="003813C9">
        <w:rPr>
          <w:rFonts w:eastAsia="Times New Roman"/>
          <w:color w:val="auto"/>
          <w:sz w:val="24"/>
          <w:szCs w:val="24"/>
        </w:rPr>
        <w:t xml:space="preserve">Lang, M., &amp; </w:t>
      </w:r>
      <w:proofErr w:type="spellStart"/>
      <w:r w:rsidRPr="003813C9">
        <w:rPr>
          <w:rFonts w:eastAsia="Times New Roman"/>
          <w:color w:val="auto"/>
          <w:sz w:val="24"/>
          <w:szCs w:val="24"/>
        </w:rPr>
        <w:t>Stice</w:t>
      </w:r>
      <w:proofErr w:type="spellEnd"/>
      <w:r w:rsidRPr="003813C9">
        <w:rPr>
          <w:rFonts w:eastAsia="Times New Roman"/>
          <w:color w:val="auto"/>
          <w:sz w:val="24"/>
          <w:szCs w:val="24"/>
        </w:rPr>
        <w:t>-Lawrence, L. (2015).</w:t>
      </w:r>
      <w:proofErr w:type="gramEnd"/>
      <w:r w:rsidRPr="003813C9">
        <w:rPr>
          <w:rFonts w:eastAsia="Times New Roman"/>
          <w:color w:val="auto"/>
          <w:sz w:val="24"/>
          <w:szCs w:val="24"/>
        </w:rPr>
        <w:t xml:space="preserve"> Textual analysis and international financial reporting: Large sample evidence. </w:t>
      </w:r>
      <w:r w:rsidRPr="003813C9">
        <w:rPr>
          <w:rFonts w:eastAsia="Times New Roman"/>
          <w:i/>
          <w:iCs/>
          <w:color w:val="auto"/>
          <w:sz w:val="24"/>
          <w:szCs w:val="24"/>
        </w:rPr>
        <w:t>Journal of Accounting and Economics</w:t>
      </w:r>
      <w:r w:rsidRPr="003813C9">
        <w:rPr>
          <w:rFonts w:eastAsia="Times New Roman"/>
          <w:color w:val="auto"/>
          <w:sz w:val="24"/>
          <w:szCs w:val="24"/>
        </w:rPr>
        <w:t xml:space="preserve">, </w:t>
      </w:r>
      <w:r w:rsidRPr="003813C9">
        <w:rPr>
          <w:rFonts w:eastAsia="Times New Roman"/>
          <w:i/>
          <w:color w:val="auto"/>
          <w:sz w:val="24"/>
          <w:szCs w:val="24"/>
        </w:rPr>
        <w:t>60</w:t>
      </w:r>
      <w:r w:rsidRPr="003813C9">
        <w:rPr>
          <w:rFonts w:eastAsia="Times New Roman"/>
          <w:color w:val="auto"/>
          <w:sz w:val="24"/>
          <w:szCs w:val="24"/>
        </w:rPr>
        <w:t>(2), 110-135.</w:t>
      </w:r>
      <w:r w:rsidRPr="003813C9">
        <w:rPr>
          <w:rFonts w:eastAsia="Calibri"/>
          <w:color w:val="auto"/>
          <w:sz w:val="24"/>
          <w:szCs w:val="24"/>
        </w:rPr>
        <w:t xml:space="preserve"> </w:t>
      </w:r>
    </w:p>
    <w:p w14:paraId="6F43E33D" w14:textId="77777777" w:rsidR="0046703C" w:rsidRPr="003813C9" w:rsidRDefault="0046703C" w:rsidP="0046703C">
      <w:pPr>
        <w:tabs>
          <w:tab w:val="left" w:pos="1080"/>
        </w:tabs>
        <w:autoSpaceDE w:val="0"/>
        <w:autoSpaceDN w:val="0"/>
        <w:adjustRightInd w:val="0"/>
        <w:spacing w:after="0" w:line="240" w:lineRule="auto"/>
        <w:ind w:hanging="720"/>
        <w:rPr>
          <w:rFonts w:eastAsia="Calibri"/>
          <w:color w:val="auto"/>
          <w:sz w:val="24"/>
          <w:szCs w:val="24"/>
        </w:rPr>
      </w:pPr>
    </w:p>
    <w:p w14:paraId="1A718FE7" w14:textId="77777777" w:rsidR="0046703C" w:rsidRPr="003813C9" w:rsidRDefault="0046703C" w:rsidP="0046703C">
      <w:pPr>
        <w:tabs>
          <w:tab w:val="left" w:pos="1080"/>
        </w:tabs>
        <w:autoSpaceDE w:val="0"/>
        <w:autoSpaceDN w:val="0"/>
        <w:adjustRightInd w:val="0"/>
        <w:spacing w:after="0" w:line="240" w:lineRule="auto"/>
        <w:ind w:hanging="720"/>
        <w:rPr>
          <w:rFonts w:eastAsia="Times New Roman"/>
          <w:color w:val="auto"/>
          <w:sz w:val="24"/>
          <w:szCs w:val="24"/>
        </w:rPr>
      </w:pPr>
      <w:proofErr w:type="spellStart"/>
      <w:proofErr w:type="gramStart"/>
      <w:r w:rsidRPr="003813C9">
        <w:rPr>
          <w:rFonts w:eastAsia="Times New Roman"/>
          <w:color w:val="auto"/>
          <w:sz w:val="24"/>
          <w:szCs w:val="24"/>
        </w:rPr>
        <w:t>Leuz</w:t>
      </w:r>
      <w:proofErr w:type="spellEnd"/>
      <w:r w:rsidRPr="003813C9">
        <w:rPr>
          <w:rFonts w:eastAsia="Times New Roman"/>
          <w:color w:val="auto"/>
          <w:sz w:val="24"/>
          <w:szCs w:val="24"/>
        </w:rPr>
        <w:t xml:space="preserve">, C., &amp; </w:t>
      </w:r>
      <w:proofErr w:type="spellStart"/>
      <w:r w:rsidRPr="003813C9">
        <w:rPr>
          <w:rFonts w:eastAsia="Times New Roman"/>
          <w:color w:val="auto"/>
          <w:sz w:val="24"/>
          <w:szCs w:val="24"/>
        </w:rPr>
        <w:t>Wysocki</w:t>
      </w:r>
      <w:proofErr w:type="spellEnd"/>
      <w:r w:rsidRPr="003813C9">
        <w:rPr>
          <w:rFonts w:eastAsia="Times New Roman"/>
          <w:color w:val="auto"/>
          <w:sz w:val="24"/>
          <w:szCs w:val="24"/>
        </w:rPr>
        <w:t>, P. D. (2016).</w:t>
      </w:r>
      <w:proofErr w:type="gramEnd"/>
      <w:r w:rsidRPr="003813C9">
        <w:rPr>
          <w:rFonts w:eastAsia="Times New Roman"/>
          <w:color w:val="auto"/>
          <w:sz w:val="24"/>
          <w:szCs w:val="24"/>
        </w:rPr>
        <w:t xml:space="preserve"> The economics of disclosure and financial reporting regulation: Evidence and suggestions for future research. </w:t>
      </w:r>
      <w:r w:rsidRPr="003813C9">
        <w:rPr>
          <w:rFonts w:eastAsia="Times New Roman"/>
          <w:i/>
          <w:iCs/>
          <w:color w:val="auto"/>
          <w:sz w:val="24"/>
          <w:szCs w:val="24"/>
        </w:rPr>
        <w:t>Journal of Accounting Research</w:t>
      </w:r>
      <w:r w:rsidRPr="003813C9">
        <w:rPr>
          <w:rFonts w:eastAsia="Times New Roman"/>
          <w:color w:val="auto"/>
          <w:sz w:val="24"/>
          <w:szCs w:val="24"/>
        </w:rPr>
        <w:t xml:space="preserve">, </w:t>
      </w:r>
      <w:r w:rsidRPr="003813C9">
        <w:rPr>
          <w:rFonts w:eastAsia="Times New Roman"/>
          <w:i/>
          <w:iCs/>
          <w:color w:val="auto"/>
          <w:sz w:val="24"/>
          <w:szCs w:val="24"/>
        </w:rPr>
        <w:t>54</w:t>
      </w:r>
      <w:r w:rsidRPr="003813C9">
        <w:rPr>
          <w:rFonts w:eastAsia="Times New Roman"/>
          <w:color w:val="auto"/>
          <w:sz w:val="24"/>
          <w:szCs w:val="24"/>
        </w:rPr>
        <w:t>(2), 525-622.</w:t>
      </w:r>
    </w:p>
    <w:p w14:paraId="11AA4466" w14:textId="77777777" w:rsidR="0046703C" w:rsidRPr="003813C9" w:rsidRDefault="0046703C" w:rsidP="0046703C">
      <w:pPr>
        <w:autoSpaceDE w:val="0"/>
        <w:autoSpaceDN w:val="0"/>
        <w:adjustRightInd w:val="0"/>
        <w:spacing w:after="0" w:line="240" w:lineRule="auto"/>
        <w:ind w:hanging="720"/>
        <w:jc w:val="both"/>
        <w:rPr>
          <w:rFonts w:eastAsia="Calibri"/>
          <w:color w:val="auto"/>
          <w:sz w:val="24"/>
          <w:szCs w:val="24"/>
        </w:rPr>
      </w:pPr>
    </w:p>
    <w:p w14:paraId="4C0EA85D" w14:textId="77777777" w:rsidR="0046703C" w:rsidRPr="003813C9" w:rsidRDefault="0046703C" w:rsidP="0046703C">
      <w:pPr>
        <w:autoSpaceDE w:val="0"/>
        <w:autoSpaceDN w:val="0"/>
        <w:adjustRightInd w:val="0"/>
        <w:spacing w:after="0" w:line="240" w:lineRule="auto"/>
        <w:ind w:hanging="720"/>
        <w:jc w:val="both"/>
        <w:rPr>
          <w:rFonts w:eastAsia="Calibri"/>
          <w:iCs/>
          <w:color w:val="auto"/>
          <w:sz w:val="24"/>
          <w:szCs w:val="24"/>
        </w:rPr>
      </w:pPr>
      <w:proofErr w:type="gramStart"/>
      <w:r w:rsidRPr="003813C9">
        <w:rPr>
          <w:rFonts w:eastAsia="Times New Roman"/>
          <w:color w:val="auto"/>
          <w:sz w:val="24"/>
          <w:szCs w:val="24"/>
        </w:rPr>
        <w:t>Li, F. (2010).</w:t>
      </w:r>
      <w:proofErr w:type="gramEnd"/>
      <w:r w:rsidRPr="003813C9">
        <w:rPr>
          <w:rFonts w:eastAsia="Times New Roman"/>
          <w:color w:val="auto"/>
          <w:sz w:val="24"/>
          <w:szCs w:val="24"/>
        </w:rPr>
        <w:t xml:space="preserve"> Textual analysis of corporate disclosures: A survey of the literature. </w:t>
      </w:r>
      <w:r w:rsidRPr="003813C9">
        <w:rPr>
          <w:rFonts w:eastAsia="Times New Roman"/>
          <w:i/>
          <w:iCs/>
          <w:color w:val="auto"/>
          <w:sz w:val="24"/>
          <w:szCs w:val="24"/>
        </w:rPr>
        <w:t>Journal of Accounting Literature</w:t>
      </w:r>
      <w:r w:rsidRPr="003813C9">
        <w:rPr>
          <w:rFonts w:eastAsia="Times New Roman"/>
          <w:b/>
          <w:bCs/>
          <w:i/>
          <w:iCs/>
          <w:color w:val="auto"/>
          <w:sz w:val="24"/>
          <w:szCs w:val="24"/>
        </w:rPr>
        <w:t>,</w:t>
      </w:r>
      <w:r w:rsidRPr="003813C9">
        <w:rPr>
          <w:rFonts w:eastAsia="Times New Roman"/>
          <w:color w:val="auto"/>
          <w:sz w:val="24"/>
          <w:szCs w:val="24"/>
        </w:rPr>
        <w:t xml:space="preserve"> </w:t>
      </w:r>
      <w:r w:rsidRPr="003813C9">
        <w:rPr>
          <w:rFonts w:eastAsia="Times New Roman"/>
          <w:i/>
          <w:iCs/>
          <w:color w:val="auto"/>
          <w:sz w:val="24"/>
          <w:szCs w:val="24"/>
        </w:rPr>
        <w:t>29</w:t>
      </w:r>
      <w:r w:rsidRPr="003813C9">
        <w:rPr>
          <w:rFonts w:eastAsia="Times New Roman"/>
          <w:color w:val="auto"/>
          <w:sz w:val="24"/>
          <w:szCs w:val="24"/>
        </w:rPr>
        <w:t>, 143-165</w:t>
      </w:r>
      <w:r w:rsidRPr="003813C9">
        <w:rPr>
          <w:rFonts w:eastAsia="Times New Roman"/>
          <w:i/>
          <w:iCs/>
          <w:color w:val="auto"/>
          <w:sz w:val="24"/>
          <w:szCs w:val="24"/>
        </w:rPr>
        <w:t>.</w:t>
      </w:r>
    </w:p>
    <w:p w14:paraId="695DD12C" w14:textId="77777777" w:rsidR="0046703C" w:rsidRPr="003813C9" w:rsidRDefault="0046703C" w:rsidP="0046703C">
      <w:pPr>
        <w:autoSpaceDE w:val="0"/>
        <w:autoSpaceDN w:val="0"/>
        <w:adjustRightInd w:val="0"/>
        <w:spacing w:after="0" w:line="240" w:lineRule="auto"/>
        <w:ind w:hanging="720"/>
        <w:jc w:val="both"/>
        <w:rPr>
          <w:rFonts w:eastAsia="Calibri"/>
          <w:iCs/>
          <w:color w:val="auto"/>
          <w:sz w:val="24"/>
          <w:szCs w:val="24"/>
        </w:rPr>
      </w:pPr>
    </w:p>
    <w:p w14:paraId="4F2E7992" w14:textId="77777777" w:rsidR="0046703C" w:rsidRPr="003813C9" w:rsidRDefault="0046703C" w:rsidP="0046703C">
      <w:pPr>
        <w:spacing w:after="0" w:line="240" w:lineRule="auto"/>
        <w:ind w:hanging="720"/>
        <w:jc w:val="both"/>
        <w:rPr>
          <w:rFonts w:eastAsia="Calibri"/>
          <w:color w:val="auto"/>
          <w:sz w:val="24"/>
          <w:szCs w:val="24"/>
        </w:rPr>
      </w:pPr>
      <w:proofErr w:type="spellStart"/>
      <w:proofErr w:type="gramStart"/>
      <w:r w:rsidRPr="003813C9">
        <w:rPr>
          <w:rFonts w:eastAsia="Times New Roman,Calibri"/>
          <w:color w:val="auto"/>
          <w:sz w:val="24"/>
          <w:szCs w:val="24"/>
        </w:rPr>
        <w:t>Linsley</w:t>
      </w:r>
      <w:proofErr w:type="spellEnd"/>
      <w:r w:rsidRPr="003813C9">
        <w:rPr>
          <w:rFonts w:eastAsia="Times New Roman,Calibri"/>
          <w:color w:val="auto"/>
          <w:sz w:val="24"/>
          <w:szCs w:val="24"/>
        </w:rPr>
        <w:t xml:space="preserve">, P., </w:t>
      </w:r>
      <w:r w:rsidRPr="003813C9">
        <w:rPr>
          <w:rFonts w:eastAsia="Times New Roman"/>
          <w:color w:val="auto"/>
          <w:sz w:val="24"/>
          <w:szCs w:val="24"/>
        </w:rPr>
        <w:t xml:space="preserve">&amp; </w:t>
      </w:r>
      <w:r w:rsidRPr="003813C9">
        <w:rPr>
          <w:rFonts w:eastAsia="Times New Roman,Calibri"/>
          <w:color w:val="auto"/>
          <w:sz w:val="24"/>
          <w:szCs w:val="24"/>
        </w:rPr>
        <w:t>Lawrence, M. (2007).</w:t>
      </w:r>
      <w:proofErr w:type="gramEnd"/>
      <w:r w:rsidRPr="003813C9">
        <w:rPr>
          <w:rFonts w:eastAsia="Times New Roman,Calibri"/>
          <w:color w:val="auto"/>
          <w:sz w:val="24"/>
          <w:szCs w:val="24"/>
        </w:rPr>
        <w:t xml:space="preserve"> </w:t>
      </w:r>
      <w:proofErr w:type="gramStart"/>
      <w:r w:rsidRPr="003813C9">
        <w:rPr>
          <w:rFonts w:eastAsia="Times New Roman,Calibri"/>
          <w:color w:val="auto"/>
          <w:sz w:val="24"/>
          <w:szCs w:val="24"/>
        </w:rPr>
        <w:t>Risk reporting by the largest UK companies: readability and lack of obfuscation.</w:t>
      </w:r>
      <w:proofErr w:type="gramEnd"/>
      <w:r w:rsidRPr="003813C9">
        <w:rPr>
          <w:rFonts w:eastAsia="Times New Roman,Calibri"/>
          <w:color w:val="auto"/>
          <w:sz w:val="24"/>
          <w:szCs w:val="24"/>
        </w:rPr>
        <w:t xml:space="preserve"> </w:t>
      </w:r>
      <w:proofErr w:type="gramStart"/>
      <w:r w:rsidRPr="003813C9">
        <w:rPr>
          <w:rFonts w:eastAsia="Times New Roman,Calibri"/>
          <w:i/>
          <w:iCs/>
          <w:color w:val="auto"/>
          <w:sz w:val="24"/>
          <w:szCs w:val="24"/>
        </w:rPr>
        <w:t>Accounting, Auditing &amp; Accountability Journal, 20</w:t>
      </w:r>
      <w:r w:rsidRPr="003813C9">
        <w:rPr>
          <w:rFonts w:eastAsia="Times New Roman,Calibri"/>
          <w:iCs/>
          <w:color w:val="auto"/>
          <w:sz w:val="24"/>
          <w:szCs w:val="24"/>
        </w:rPr>
        <w:t>(4)</w:t>
      </w:r>
      <w:r w:rsidRPr="003813C9">
        <w:rPr>
          <w:rFonts w:eastAsia="Times New Roman,Calibri"/>
          <w:i/>
          <w:iCs/>
          <w:color w:val="auto"/>
          <w:sz w:val="24"/>
          <w:szCs w:val="24"/>
        </w:rPr>
        <w:t>,</w:t>
      </w:r>
      <w:r w:rsidRPr="003813C9">
        <w:rPr>
          <w:rFonts w:eastAsia="Times New Roman,Calibri"/>
          <w:color w:val="auto"/>
          <w:sz w:val="24"/>
          <w:szCs w:val="24"/>
        </w:rPr>
        <w:t xml:space="preserve"> 620-627.</w:t>
      </w:r>
      <w:proofErr w:type="gramEnd"/>
    </w:p>
    <w:p w14:paraId="44FAC828" w14:textId="77777777" w:rsidR="0046703C" w:rsidRPr="003813C9" w:rsidRDefault="0046703C" w:rsidP="0046703C">
      <w:pPr>
        <w:spacing w:after="0" w:line="240" w:lineRule="auto"/>
        <w:ind w:hanging="720"/>
        <w:jc w:val="both"/>
        <w:rPr>
          <w:rFonts w:eastAsia="Times New Roman"/>
          <w:color w:val="auto"/>
          <w:sz w:val="24"/>
          <w:szCs w:val="24"/>
          <w:lang w:eastAsia="en-GB"/>
        </w:rPr>
      </w:pPr>
    </w:p>
    <w:p w14:paraId="63DD7282" w14:textId="77777777" w:rsidR="0046703C" w:rsidRPr="003813C9" w:rsidRDefault="0046703C" w:rsidP="0046703C">
      <w:pPr>
        <w:autoSpaceDE w:val="0"/>
        <w:autoSpaceDN w:val="0"/>
        <w:adjustRightInd w:val="0"/>
        <w:spacing w:after="0" w:line="240" w:lineRule="auto"/>
        <w:ind w:hanging="720"/>
        <w:jc w:val="both"/>
        <w:rPr>
          <w:rFonts w:eastAsia="Times New Roman"/>
          <w:color w:val="auto"/>
          <w:sz w:val="24"/>
          <w:szCs w:val="24"/>
          <w:lang w:eastAsia="en-GB"/>
        </w:rPr>
      </w:pPr>
      <w:proofErr w:type="spellStart"/>
      <w:r w:rsidRPr="003813C9">
        <w:rPr>
          <w:rFonts w:eastAsia="Times New Roman"/>
          <w:color w:val="auto"/>
          <w:sz w:val="24"/>
          <w:szCs w:val="24"/>
          <w:lang w:eastAsia="en-GB"/>
        </w:rPr>
        <w:t>Linsley</w:t>
      </w:r>
      <w:proofErr w:type="spellEnd"/>
      <w:r w:rsidRPr="003813C9">
        <w:rPr>
          <w:rFonts w:eastAsia="Times New Roman"/>
          <w:color w:val="auto"/>
          <w:sz w:val="24"/>
          <w:szCs w:val="24"/>
          <w:lang w:eastAsia="en-GB"/>
        </w:rPr>
        <w:t xml:space="preserve">, P., </w:t>
      </w:r>
      <w:r w:rsidRPr="003813C9">
        <w:rPr>
          <w:rFonts w:eastAsia="Times New Roman"/>
          <w:color w:val="auto"/>
          <w:sz w:val="24"/>
          <w:szCs w:val="24"/>
        </w:rPr>
        <w:t>&amp; Shrives</w:t>
      </w:r>
      <w:r w:rsidRPr="003813C9">
        <w:rPr>
          <w:rFonts w:eastAsia="Times New Roman"/>
          <w:color w:val="auto"/>
          <w:sz w:val="24"/>
          <w:szCs w:val="24"/>
          <w:lang w:eastAsia="en-GB"/>
        </w:rPr>
        <w:t xml:space="preserve">, P. (2006). </w:t>
      </w:r>
      <w:proofErr w:type="gramStart"/>
      <w:r w:rsidRPr="003813C9">
        <w:rPr>
          <w:rFonts w:eastAsia="Times New Roman"/>
          <w:color w:val="auto"/>
          <w:sz w:val="24"/>
          <w:szCs w:val="24"/>
          <w:lang w:eastAsia="en-GB"/>
        </w:rPr>
        <w:t>Risk reporting: a study of risk disclosure in the annual reports of UK companies.</w:t>
      </w:r>
      <w:proofErr w:type="gramEnd"/>
      <w:r w:rsidRPr="003813C9">
        <w:rPr>
          <w:rFonts w:eastAsia="Times New Roman"/>
          <w:color w:val="auto"/>
          <w:sz w:val="24"/>
          <w:szCs w:val="24"/>
          <w:lang w:eastAsia="en-GB"/>
        </w:rPr>
        <w:t xml:space="preserve"> </w:t>
      </w:r>
      <w:r w:rsidRPr="003813C9">
        <w:rPr>
          <w:rFonts w:eastAsia="Times New Roman"/>
          <w:i/>
          <w:iCs/>
          <w:color w:val="auto"/>
          <w:sz w:val="24"/>
          <w:szCs w:val="24"/>
          <w:lang w:eastAsia="en-GB"/>
        </w:rPr>
        <w:t>The British Accounting Review, 38</w:t>
      </w:r>
      <w:r w:rsidRPr="003813C9">
        <w:rPr>
          <w:rFonts w:eastAsia="Times New Roman"/>
          <w:color w:val="auto"/>
          <w:sz w:val="24"/>
          <w:szCs w:val="24"/>
          <w:lang w:eastAsia="en-GB"/>
        </w:rPr>
        <w:t xml:space="preserve">(4), 387-404.  </w:t>
      </w:r>
    </w:p>
    <w:p w14:paraId="417EC61C" w14:textId="77777777" w:rsidR="0046703C" w:rsidRPr="003813C9" w:rsidRDefault="0046703C" w:rsidP="0046703C">
      <w:pPr>
        <w:autoSpaceDE w:val="0"/>
        <w:autoSpaceDN w:val="0"/>
        <w:adjustRightInd w:val="0"/>
        <w:spacing w:after="0" w:line="240" w:lineRule="auto"/>
        <w:jc w:val="both"/>
        <w:rPr>
          <w:rFonts w:eastAsia="Calibri"/>
          <w:color w:val="auto"/>
          <w:sz w:val="24"/>
          <w:szCs w:val="24"/>
        </w:rPr>
      </w:pPr>
    </w:p>
    <w:p w14:paraId="3782F4B1" w14:textId="77777777" w:rsidR="0046703C" w:rsidRPr="003813C9" w:rsidRDefault="0046703C" w:rsidP="0046703C">
      <w:pPr>
        <w:autoSpaceDE w:val="0"/>
        <w:autoSpaceDN w:val="0"/>
        <w:adjustRightInd w:val="0"/>
        <w:spacing w:after="0" w:line="240" w:lineRule="auto"/>
        <w:ind w:hanging="720"/>
        <w:jc w:val="both"/>
        <w:rPr>
          <w:rFonts w:eastAsia="Calibri"/>
          <w:color w:val="auto"/>
          <w:sz w:val="24"/>
          <w:szCs w:val="24"/>
        </w:rPr>
      </w:pPr>
      <w:proofErr w:type="spellStart"/>
      <w:proofErr w:type="gramStart"/>
      <w:r w:rsidRPr="003813C9">
        <w:rPr>
          <w:rFonts w:eastAsia="Times New Roman,Calibri"/>
          <w:color w:val="auto"/>
          <w:sz w:val="24"/>
          <w:szCs w:val="24"/>
        </w:rPr>
        <w:lastRenderedPageBreak/>
        <w:t>Loughran</w:t>
      </w:r>
      <w:proofErr w:type="spellEnd"/>
      <w:r w:rsidRPr="003813C9">
        <w:rPr>
          <w:rFonts w:eastAsia="Times New Roman,Calibri"/>
          <w:color w:val="auto"/>
          <w:sz w:val="24"/>
          <w:szCs w:val="24"/>
        </w:rPr>
        <w:t>, T., &amp; McDonald, B. (2016).</w:t>
      </w:r>
      <w:proofErr w:type="gramEnd"/>
      <w:r w:rsidRPr="003813C9">
        <w:rPr>
          <w:rFonts w:eastAsia="Times New Roman,Calibri"/>
          <w:color w:val="auto"/>
          <w:sz w:val="24"/>
          <w:szCs w:val="24"/>
        </w:rPr>
        <w:t xml:space="preserve"> Textual analysis in accounting and finance: A survey. </w:t>
      </w:r>
      <w:r w:rsidRPr="003813C9">
        <w:rPr>
          <w:rFonts w:eastAsia="Times New Roman,Calibri"/>
          <w:i/>
          <w:iCs/>
          <w:color w:val="auto"/>
          <w:sz w:val="24"/>
          <w:szCs w:val="24"/>
        </w:rPr>
        <w:t>Journal of Accounting Research</w:t>
      </w:r>
      <w:r w:rsidRPr="003813C9">
        <w:rPr>
          <w:rFonts w:eastAsia="Times New Roman,Calibri"/>
          <w:color w:val="auto"/>
          <w:sz w:val="24"/>
          <w:szCs w:val="24"/>
        </w:rPr>
        <w:t xml:space="preserve">, </w:t>
      </w:r>
      <w:r w:rsidRPr="003813C9">
        <w:rPr>
          <w:rFonts w:eastAsia="Times New Roman,Calibri"/>
          <w:i/>
          <w:color w:val="auto"/>
          <w:sz w:val="24"/>
          <w:szCs w:val="24"/>
        </w:rPr>
        <w:t>54</w:t>
      </w:r>
      <w:r w:rsidRPr="003813C9">
        <w:rPr>
          <w:rFonts w:eastAsia="Times New Roman,Calibri"/>
          <w:color w:val="auto"/>
          <w:sz w:val="24"/>
          <w:szCs w:val="24"/>
        </w:rPr>
        <w:t>(4), 1187-1230.</w:t>
      </w:r>
    </w:p>
    <w:p w14:paraId="35F1FFF2" w14:textId="77777777" w:rsidR="0046703C" w:rsidRPr="003813C9" w:rsidRDefault="0046703C" w:rsidP="0046703C">
      <w:pPr>
        <w:autoSpaceDE w:val="0"/>
        <w:autoSpaceDN w:val="0"/>
        <w:adjustRightInd w:val="0"/>
        <w:spacing w:after="0" w:line="240" w:lineRule="auto"/>
        <w:ind w:hanging="720"/>
        <w:jc w:val="both"/>
        <w:rPr>
          <w:rFonts w:eastAsia="Calibri"/>
          <w:color w:val="auto"/>
          <w:sz w:val="24"/>
          <w:szCs w:val="24"/>
        </w:rPr>
      </w:pPr>
    </w:p>
    <w:p w14:paraId="1FF4B1FF" w14:textId="77777777" w:rsidR="0046703C" w:rsidRPr="003813C9" w:rsidRDefault="0046703C" w:rsidP="0046703C">
      <w:pPr>
        <w:autoSpaceDE w:val="0"/>
        <w:autoSpaceDN w:val="0"/>
        <w:adjustRightInd w:val="0"/>
        <w:spacing w:after="0" w:line="240" w:lineRule="auto"/>
        <w:ind w:hanging="720"/>
        <w:jc w:val="both"/>
        <w:rPr>
          <w:rFonts w:eastAsia="Calibri"/>
          <w:color w:val="auto"/>
          <w:sz w:val="24"/>
          <w:szCs w:val="24"/>
        </w:rPr>
      </w:pPr>
      <w:proofErr w:type="spellStart"/>
      <w:proofErr w:type="gramStart"/>
      <w:r w:rsidRPr="003813C9">
        <w:rPr>
          <w:rFonts w:eastAsia="Times New Roman"/>
          <w:color w:val="auto"/>
          <w:sz w:val="24"/>
          <w:szCs w:val="24"/>
        </w:rPr>
        <w:t>Malafronte</w:t>
      </w:r>
      <w:proofErr w:type="spellEnd"/>
      <w:r w:rsidRPr="003813C9">
        <w:rPr>
          <w:rFonts w:eastAsia="Times New Roman"/>
          <w:color w:val="auto"/>
          <w:sz w:val="24"/>
          <w:szCs w:val="24"/>
        </w:rPr>
        <w:t xml:space="preserve">, I., </w:t>
      </w:r>
      <w:proofErr w:type="spellStart"/>
      <w:r w:rsidRPr="003813C9">
        <w:rPr>
          <w:rFonts w:eastAsia="Times New Roman"/>
          <w:color w:val="auto"/>
          <w:sz w:val="24"/>
          <w:szCs w:val="24"/>
        </w:rPr>
        <w:t>Porzio</w:t>
      </w:r>
      <w:proofErr w:type="spellEnd"/>
      <w:r w:rsidRPr="003813C9">
        <w:rPr>
          <w:rFonts w:eastAsia="Times New Roman"/>
          <w:color w:val="auto"/>
          <w:sz w:val="24"/>
          <w:szCs w:val="24"/>
        </w:rPr>
        <w:t xml:space="preserve">, C., &amp; </w:t>
      </w:r>
      <w:proofErr w:type="spellStart"/>
      <w:r w:rsidRPr="003813C9">
        <w:rPr>
          <w:rFonts w:eastAsia="Times New Roman"/>
          <w:color w:val="auto"/>
          <w:sz w:val="24"/>
          <w:szCs w:val="24"/>
        </w:rPr>
        <w:t>Starita</w:t>
      </w:r>
      <w:proofErr w:type="spellEnd"/>
      <w:r w:rsidRPr="003813C9">
        <w:rPr>
          <w:rFonts w:eastAsia="Times New Roman"/>
          <w:color w:val="auto"/>
          <w:sz w:val="24"/>
          <w:szCs w:val="24"/>
        </w:rPr>
        <w:t>, M. G. (2016).</w:t>
      </w:r>
      <w:proofErr w:type="gramEnd"/>
      <w:r w:rsidRPr="003813C9">
        <w:rPr>
          <w:rFonts w:eastAsia="Times New Roman"/>
          <w:color w:val="auto"/>
          <w:sz w:val="24"/>
          <w:szCs w:val="24"/>
        </w:rPr>
        <w:t xml:space="preserve"> The nature and determinants of disclosure practices in the insurance industry: Evidence from European insurers. </w:t>
      </w:r>
      <w:r w:rsidRPr="003813C9">
        <w:rPr>
          <w:rFonts w:eastAsia="Times New Roman"/>
          <w:i/>
          <w:iCs/>
          <w:color w:val="auto"/>
          <w:sz w:val="24"/>
          <w:szCs w:val="24"/>
        </w:rPr>
        <w:t>International Review of Financial Analysis</w:t>
      </w:r>
      <w:r w:rsidRPr="003813C9">
        <w:rPr>
          <w:rFonts w:eastAsia="Times New Roman"/>
          <w:color w:val="auto"/>
          <w:sz w:val="24"/>
          <w:szCs w:val="24"/>
        </w:rPr>
        <w:t xml:space="preserve">, </w:t>
      </w:r>
      <w:r w:rsidRPr="003813C9">
        <w:rPr>
          <w:rFonts w:eastAsia="Times New Roman"/>
          <w:i/>
          <w:iCs/>
          <w:color w:val="auto"/>
          <w:sz w:val="24"/>
          <w:szCs w:val="24"/>
        </w:rPr>
        <w:t>45</w:t>
      </w:r>
      <w:r w:rsidRPr="003813C9">
        <w:rPr>
          <w:rFonts w:eastAsia="Times New Roman"/>
          <w:color w:val="auto"/>
          <w:sz w:val="24"/>
          <w:szCs w:val="24"/>
        </w:rPr>
        <w:t>, 367-382.</w:t>
      </w:r>
    </w:p>
    <w:p w14:paraId="095D3744" w14:textId="77777777" w:rsidR="0046703C" w:rsidRPr="003813C9" w:rsidRDefault="0046703C" w:rsidP="0046703C">
      <w:pPr>
        <w:autoSpaceDE w:val="0"/>
        <w:autoSpaceDN w:val="0"/>
        <w:adjustRightInd w:val="0"/>
        <w:spacing w:after="0" w:line="240" w:lineRule="auto"/>
        <w:jc w:val="both"/>
        <w:rPr>
          <w:rFonts w:eastAsia="Times New Roman"/>
          <w:color w:val="auto"/>
          <w:sz w:val="24"/>
          <w:szCs w:val="24"/>
          <w:lang w:eastAsia="en-GB"/>
        </w:rPr>
      </w:pPr>
    </w:p>
    <w:p w14:paraId="581DE4F2" w14:textId="77777777" w:rsidR="0046703C" w:rsidRPr="003813C9" w:rsidRDefault="0046703C" w:rsidP="0046703C">
      <w:pPr>
        <w:autoSpaceDE w:val="0"/>
        <w:autoSpaceDN w:val="0"/>
        <w:adjustRightInd w:val="0"/>
        <w:spacing w:after="0" w:line="240" w:lineRule="auto"/>
        <w:ind w:hanging="720"/>
        <w:jc w:val="both"/>
        <w:rPr>
          <w:rFonts w:eastAsia="Times New Roman"/>
          <w:color w:val="auto"/>
          <w:sz w:val="24"/>
          <w:szCs w:val="24"/>
          <w:lang w:eastAsia="ko-KR"/>
        </w:rPr>
      </w:pPr>
      <w:proofErr w:type="gramStart"/>
      <w:r w:rsidRPr="003813C9">
        <w:rPr>
          <w:rFonts w:eastAsia="Times New Roman"/>
          <w:color w:val="auto"/>
          <w:sz w:val="24"/>
          <w:szCs w:val="24"/>
          <w:lang w:eastAsia="ko-KR"/>
        </w:rPr>
        <w:t>Marshall, A.,</w:t>
      </w:r>
      <w:r w:rsidRPr="003813C9">
        <w:rPr>
          <w:rFonts w:eastAsia="Times New Roman,Calibri"/>
          <w:color w:val="auto"/>
          <w:sz w:val="24"/>
          <w:szCs w:val="24"/>
        </w:rPr>
        <w:t xml:space="preserve"> &amp;</w:t>
      </w:r>
      <w:r w:rsidRPr="003813C9">
        <w:rPr>
          <w:rFonts w:eastAsia="Times New Roman"/>
          <w:color w:val="auto"/>
          <w:sz w:val="24"/>
          <w:szCs w:val="24"/>
          <w:lang w:eastAsia="ko-KR"/>
        </w:rPr>
        <w:t xml:space="preserve"> </w:t>
      </w:r>
      <w:proofErr w:type="spellStart"/>
      <w:r w:rsidRPr="003813C9">
        <w:rPr>
          <w:rFonts w:eastAsia="Times New Roman"/>
          <w:color w:val="auto"/>
          <w:sz w:val="24"/>
          <w:szCs w:val="24"/>
          <w:lang w:eastAsia="ko-KR"/>
        </w:rPr>
        <w:t>Weetman</w:t>
      </w:r>
      <w:proofErr w:type="spellEnd"/>
      <w:r w:rsidRPr="003813C9">
        <w:rPr>
          <w:rFonts w:eastAsia="Times New Roman"/>
          <w:color w:val="auto"/>
          <w:sz w:val="24"/>
          <w:szCs w:val="24"/>
          <w:lang w:eastAsia="ko-KR"/>
        </w:rPr>
        <w:t>, P. (2007).</w:t>
      </w:r>
      <w:proofErr w:type="gramEnd"/>
      <w:r w:rsidRPr="003813C9">
        <w:rPr>
          <w:rFonts w:eastAsia="Times New Roman"/>
          <w:color w:val="auto"/>
          <w:sz w:val="24"/>
          <w:szCs w:val="24"/>
          <w:lang w:eastAsia="ko-KR"/>
        </w:rPr>
        <w:t xml:space="preserve"> </w:t>
      </w:r>
      <w:proofErr w:type="gramStart"/>
      <w:r w:rsidRPr="003813C9">
        <w:rPr>
          <w:rFonts w:eastAsia="Times New Roman"/>
          <w:color w:val="auto"/>
          <w:sz w:val="24"/>
          <w:szCs w:val="24"/>
          <w:lang w:eastAsia="ko-KR"/>
        </w:rPr>
        <w:t>Modelling transparency in disclosure: the case of foreign exchange risk management.</w:t>
      </w:r>
      <w:proofErr w:type="gramEnd"/>
      <w:r w:rsidRPr="003813C9">
        <w:rPr>
          <w:rFonts w:eastAsia="Times New Roman"/>
          <w:color w:val="auto"/>
          <w:sz w:val="24"/>
          <w:szCs w:val="24"/>
          <w:lang w:eastAsia="ko-KR"/>
        </w:rPr>
        <w:t xml:space="preserve"> </w:t>
      </w:r>
      <w:r w:rsidRPr="003813C9">
        <w:rPr>
          <w:rFonts w:eastAsia="Times New Roman"/>
          <w:i/>
          <w:iCs/>
          <w:color w:val="auto"/>
          <w:sz w:val="24"/>
          <w:szCs w:val="24"/>
          <w:lang w:eastAsia="ko-KR"/>
        </w:rPr>
        <w:t>Journal of Business Finance &amp; Accounting, 34</w:t>
      </w:r>
      <w:r w:rsidRPr="003813C9">
        <w:rPr>
          <w:rFonts w:eastAsia="Times New Roman"/>
          <w:color w:val="auto"/>
          <w:sz w:val="24"/>
          <w:szCs w:val="24"/>
          <w:lang w:eastAsia="ko-KR"/>
        </w:rPr>
        <w:t>(5-6), 705</w:t>
      </w:r>
      <w:r w:rsidRPr="003813C9">
        <w:rPr>
          <w:rFonts w:eastAsia="Times New Roman"/>
          <w:color w:val="auto"/>
          <w:sz w:val="24"/>
          <w:szCs w:val="24"/>
          <w:lang w:eastAsia="en-GB"/>
        </w:rPr>
        <w:t>-</w:t>
      </w:r>
      <w:r w:rsidRPr="003813C9">
        <w:rPr>
          <w:rFonts w:eastAsia="Times New Roman"/>
          <w:color w:val="auto"/>
          <w:sz w:val="24"/>
          <w:szCs w:val="24"/>
          <w:lang w:eastAsia="ko-KR"/>
        </w:rPr>
        <w:t>738.</w:t>
      </w:r>
    </w:p>
    <w:p w14:paraId="0DE50F6E" w14:textId="77777777" w:rsidR="0046703C" w:rsidRPr="003813C9" w:rsidRDefault="0046703C" w:rsidP="0046703C">
      <w:pPr>
        <w:autoSpaceDE w:val="0"/>
        <w:autoSpaceDN w:val="0"/>
        <w:adjustRightInd w:val="0"/>
        <w:spacing w:after="0" w:line="240" w:lineRule="auto"/>
        <w:ind w:hanging="720"/>
        <w:jc w:val="both"/>
        <w:rPr>
          <w:rFonts w:eastAsia="Times New Roman"/>
          <w:color w:val="auto"/>
          <w:sz w:val="24"/>
          <w:szCs w:val="24"/>
          <w:lang w:eastAsia="ko-KR"/>
        </w:rPr>
      </w:pPr>
    </w:p>
    <w:p w14:paraId="278D9793" w14:textId="77777777" w:rsidR="0046703C" w:rsidRPr="003813C9" w:rsidRDefault="0046703C" w:rsidP="0046703C">
      <w:pPr>
        <w:autoSpaceDE w:val="0"/>
        <w:autoSpaceDN w:val="0"/>
        <w:adjustRightInd w:val="0"/>
        <w:spacing w:after="0" w:line="240" w:lineRule="auto"/>
        <w:ind w:hanging="720"/>
        <w:jc w:val="both"/>
        <w:rPr>
          <w:rFonts w:eastAsia="Times New Roman"/>
          <w:i/>
          <w:color w:val="auto"/>
          <w:sz w:val="24"/>
          <w:szCs w:val="24"/>
          <w:lang w:eastAsia="ko-KR"/>
        </w:rPr>
      </w:pPr>
      <w:r w:rsidRPr="003813C9">
        <w:rPr>
          <w:rFonts w:eastAsia="Times New Roman"/>
          <w:color w:val="auto"/>
          <w:sz w:val="24"/>
          <w:szCs w:val="24"/>
          <w:lang w:eastAsia="ko-KR"/>
        </w:rPr>
        <w:t xml:space="preserve">Marston C. &amp; Shrives, P. (1991). The use of disclosure indices in accounting research: A review article. </w:t>
      </w:r>
      <w:r w:rsidRPr="003813C9">
        <w:rPr>
          <w:rFonts w:eastAsia="Times New Roman"/>
          <w:i/>
          <w:iCs/>
          <w:color w:val="auto"/>
          <w:sz w:val="24"/>
          <w:szCs w:val="24"/>
          <w:lang w:eastAsia="ko-KR"/>
        </w:rPr>
        <w:t>The British Accounting Review, 23</w:t>
      </w:r>
      <w:r w:rsidRPr="003813C9">
        <w:rPr>
          <w:rFonts w:eastAsia="Times New Roman"/>
          <w:color w:val="auto"/>
          <w:sz w:val="24"/>
          <w:szCs w:val="24"/>
          <w:lang w:eastAsia="ko-KR"/>
        </w:rPr>
        <w:t>(3), 195-210.</w:t>
      </w:r>
    </w:p>
    <w:p w14:paraId="7DFCA71C" w14:textId="77777777" w:rsidR="0046703C" w:rsidRPr="003813C9" w:rsidRDefault="0046703C" w:rsidP="0046703C">
      <w:pPr>
        <w:autoSpaceDE w:val="0"/>
        <w:autoSpaceDN w:val="0"/>
        <w:adjustRightInd w:val="0"/>
        <w:spacing w:after="0" w:line="240" w:lineRule="auto"/>
        <w:ind w:hanging="720"/>
        <w:jc w:val="both"/>
        <w:rPr>
          <w:rFonts w:eastAsia="Times New Roman"/>
          <w:color w:val="auto"/>
          <w:sz w:val="24"/>
          <w:szCs w:val="24"/>
          <w:lang w:eastAsia="ko-KR"/>
        </w:rPr>
      </w:pPr>
    </w:p>
    <w:p w14:paraId="60A3CCAA" w14:textId="77777777" w:rsidR="0046703C" w:rsidRPr="003813C9" w:rsidRDefault="0046703C" w:rsidP="0046703C">
      <w:pPr>
        <w:autoSpaceDE w:val="0"/>
        <w:autoSpaceDN w:val="0"/>
        <w:adjustRightInd w:val="0"/>
        <w:spacing w:after="0" w:line="240" w:lineRule="auto"/>
        <w:ind w:hanging="720"/>
        <w:jc w:val="both"/>
        <w:rPr>
          <w:rFonts w:eastAsia="Calibri"/>
          <w:color w:val="auto"/>
          <w:sz w:val="24"/>
          <w:szCs w:val="24"/>
        </w:rPr>
      </w:pPr>
      <w:r w:rsidRPr="003813C9">
        <w:rPr>
          <w:rFonts w:eastAsia="Times New Roman"/>
          <w:color w:val="auto"/>
          <w:sz w:val="24"/>
          <w:szCs w:val="24"/>
          <w:lang w:val="fi-FI"/>
        </w:rPr>
        <w:t xml:space="preserve">Martikainen, M., Kinnunen, J., Miihkinen, A., &amp; Troberg, P.(2015). </w:t>
      </w:r>
      <w:r w:rsidRPr="003813C9">
        <w:rPr>
          <w:rFonts w:eastAsia="Times New Roman"/>
          <w:color w:val="auto"/>
          <w:sz w:val="24"/>
          <w:szCs w:val="24"/>
        </w:rPr>
        <w:t xml:space="preserve">Board’s financial incentives, competence, and firm risk disclosure: Evidence from Finnish index listed companies. </w:t>
      </w:r>
      <w:r w:rsidRPr="003813C9">
        <w:rPr>
          <w:rFonts w:eastAsia="Times New Roman"/>
          <w:i/>
          <w:iCs/>
          <w:color w:val="auto"/>
          <w:sz w:val="24"/>
          <w:szCs w:val="24"/>
        </w:rPr>
        <w:t>Journal of Applied Accounting Research</w:t>
      </w:r>
      <w:r w:rsidRPr="003813C9">
        <w:rPr>
          <w:rFonts w:eastAsia="Times New Roman"/>
          <w:color w:val="auto"/>
          <w:sz w:val="24"/>
          <w:szCs w:val="24"/>
        </w:rPr>
        <w:t xml:space="preserve">, </w:t>
      </w:r>
      <w:r w:rsidRPr="003813C9">
        <w:rPr>
          <w:rFonts w:eastAsia="Times New Roman"/>
          <w:i/>
          <w:color w:val="auto"/>
          <w:sz w:val="24"/>
          <w:szCs w:val="24"/>
        </w:rPr>
        <w:t>16</w:t>
      </w:r>
      <w:r w:rsidRPr="003813C9">
        <w:rPr>
          <w:rFonts w:eastAsia="Times New Roman"/>
          <w:color w:val="auto"/>
          <w:sz w:val="24"/>
          <w:szCs w:val="24"/>
        </w:rPr>
        <w:t xml:space="preserve">(3), 333-358. </w:t>
      </w:r>
    </w:p>
    <w:p w14:paraId="06EF7A64" w14:textId="77777777" w:rsidR="0046703C" w:rsidRPr="003813C9" w:rsidRDefault="0046703C" w:rsidP="0046703C">
      <w:pPr>
        <w:spacing w:after="0" w:line="240" w:lineRule="auto"/>
        <w:ind w:hanging="720"/>
        <w:jc w:val="both"/>
        <w:rPr>
          <w:rFonts w:eastAsia="Calibri"/>
          <w:color w:val="auto"/>
          <w:sz w:val="24"/>
          <w:szCs w:val="24"/>
        </w:rPr>
      </w:pPr>
    </w:p>
    <w:p w14:paraId="2C36FFA2" w14:textId="77777777" w:rsidR="0046703C" w:rsidRPr="003813C9" w:rsidRDefault="0046703C" w:rsidP="0046703C">
      <w:pPr>
        <w:autoSpaceDE w:val="0"/>
        <w:autoSpaceDN w:val="0"/>
        <w:adjustRightInd w:val="0"/>
        <w:spacing w:after="0" w:line="240" w:lineRule="auto"/>
        <w:ind w:hanging="720"/>
        <w:jc w:val="both"/>
        <w:rPr>
          <w:rFonts w:eastAsia="Calibri"/>
          <w:color w:val="auto"/>
          <w:sz w:val="24"/>
          <w:szCs w:val="24"/>
        </w:rPr>
      </w:pPr>
      <w:proofErr w:type="gramStart"/>
      <w:r w:rsidRPr="003813C9">
        <w:rPr>
          <w:rFonts w:eastAsia="Times New Roman,Calibri"/>
          <w:color w:val="auto"/>
          <w:sz w:val="24"/>
          <w:szCs w:val="24"/>
        </w:rPr>
        <w:t xml:space="preserve">Matsumoto, D., </w:t>
      </w:r>
      <w:proofErr w:type="spellStart"/>
      <w:r w:rsidRPr="003813C9">
        <w:rPr>
          <w:rFonts w:eastAsia="Times New Roman,Calibri"/>
          <w:color w:val="auto"/>
          <w:sz w:val="24"/>
          <w:szCs w:val="24"/>
        </w:rPr>
        <w:t>Pronk</w:t>
      </w:r>
      <w:proofErr w:type="spellEnd"/>
      <w:r w:rsidRPr="003813C9">
        <w:rPr>
          <w:rFonts w:eastAsia="Times New Roman,Calibri"/>
          <w:color w:val="auto"/>
          <w:sz w:val="24"/>
          <w:szCs w:val="24"/>
        </w:rPr>
        <w:t xml:space="preserve">, M., &amp; </w:t>
      </w:r>
      <w:proofErr w:type="spellStart"/>
      <w:r w:rsidRPr="003813C9">
        <w:rPr>
          <w:rFonts w:eastAsia="Times New Roman,Calibri"/>
          <w:color w:val="auto"/>
          <w:sz w:val="24"/>
          <w:szCs w:val="24"/>
        </w:rPr>
        <w:t>Roelofsen</w:t>
      </w:r>
      <w:proofErr w:type="spellEnd"/>
      <w:r w:rsidRPr="003813C9">
        <w:rPr>
          <w:rFonts w:eastAsia="Times New Roman,Calibri"/>
          <w:color w:val="auto"/>
          <w:sz w:val="24"/>
          <w:szCs w:val="24"/>
        </w:rPr>
        <w:t>, E. (2011).</w:t>
      </w:r>
      <w:proofErr w:type="gramEnd"/>
      <w:r w:rsidRPr="003813C9">
        <w:rPr>
          <w:rFonts w:eastAsia="Times New Roman,Calibri"/>
          <w:color w:val="auto"/>
          <w:sz w:val="24"/>
          <w:szCs w:val="24"/>
        </w:rPr>
        <w:t xml:space="preserve"> What makes conference calls useful? </w:t>
      </w:r>
      <w:proofErr w:type="gramStart"/>
      <w:r w:rsidRPr="003813C9">
        <w:rPr>
          <w:rFonts w:eastAsia="Times New Roman,Calibri"/>
          <w:color w:val="auto"/>
          <w:sz w:val="24"/>
          <w:szCs w:val="24"/>
        </w:rPr>
        <w:t>The information content of managers' presentations and analysts' discussion sessions.</w:t>
      </w:r>
      <w:proofErr w:type="gramEnd"/>
      <w:r w:rsidRPr="003813C9">
        <w:rPr>
          <w:rFonts w:eastAsia="Times New Roman,Calibri"/>
          <w:color w:val="auto"/>
          <w:sz w:val="24"/>
          <w:szCs w:val="24"/>
        </w:rPr>
        <w:t> </w:t>
      </w:r>
      <w:r w:rsidRPr="003813C9">
        <w:rPr>
          <w:rFonts w:eastAsia="Times New Roman,Calibri"/>
          <w:i/>
          <w:iCs/>
          <w:color w:val="auto"/>
          <w:sz w:val="24"/>
          <w:szCs w:val="24"/>
        </w:rPr>
        <w:t>The Accounting Review</w:t>
      </w:r>
      <w:r w:rsidRPr="003813C9">
        <w:rPr>
          <w:rFonts w:eastAsia="Times New Roman,Calibri"/>
          <w:color w:val="auto"/>
          <w:sz w:val="24"/>
          <w:szCs w:val="24"/>
        </w:rPr>
        <w:t>, </w:t>
      </w:r>
      <w:r w:rsidRPr="003813C9">
        <w:rPr>
          <w:rFonts w:eastAsia="Times New Roman,Calibri"/>
          <w:i/>
          <w:iCs/>
          <w:color w:val="auto"/>
          <w:sz w:val="24"/>
          <w:szCs w:val="24"/>
        </w:rPr>
        <w:t>86</w:t>
      </w:r>
      <w:r w:rsidRPr="003813C9">
        <w:rPr>
          <w:rFonts w:eastAsia="Times New Roman,Calibri"/>
          <w:color w:val="auto"/>
          <w:sz w:val="24"/>
          <w:szCs w:val="24"/>
        </w:rPr>
        <w:t>(4), 1383-1414.</w:t>
      </w:r>
    </w:p>
    <w:p w14:paraId="54F9B142" w14:textId="77777777" w:rsidR="0046703C" w:rsidRPr="003813C9" w:rsidRDefault="0046703C" w:rsidP="0046703C">
      <w:pPr>
        <w:autoSpaceDE w:val="0"/>
        <w:autoSpaceDN w:val="0"/>
        <w:adjustRightInd w:val="0"/>
        <w:spacing w:after="0" w:line="240" w:lineRule="auto"/>
        <w:ind w:hanging="720"/>
        <w:jc w:val="both"/>
        <w:rPr>
          <w:rFonts w:eastAsia="Calibri"/>
          <w:color w:val="auto"/>
          <w:sz w:val="24"/>
          <w:szCs w:val="24"/>
        </w:rPr>
      </w:pPr>
    </w:p>
    <w:p w14:paraId="0A120ECA" w14:textId="77777777" w:rsidR="0046703C" w:rsidRPr="003813C9" w:rsidRDefault="0046703C" w:rsidP="0046703C">
      <w:pPr>
        <w:spacing w:after="0" w:line="240" w:lineRule="auto"/>
        <w:ind w:hanging="720"/>
        <w:jc w:val="both"/>
        <w:rPr>
          <w:rFonts w:eastAsia="Calibri"/>
          <w:bCs/>
          <w:color w:val="auto"/>
          <w:sz w:val="24"/>
          <w:szCs w:val="24"/>
        </w:rPr>
      </w:pPr>
      <w:proofErr w:type="spellStart"/>
      <w:proofErr w:type="gramStart"/>
      <w:r w:rsidRPr="003813C9">
        <w:rPr>
          <w:rFonts w:eastAsia="Times New Roman"/>
          <w:color w:val="auto"/>
          <w:sz w:val="24"/>
          <w:szCs w:val="24"/>
        </w:rPr>
        <w:t>Mayew</w:t>
      </w:r>
      <w:proofErr w:type="spellEnd"/>
      <w:r w:rsidRPr="003813C9">
        <w:rPr>
          <w:rFonts w:eastAsia="Times New Roman"/>
          <w:color w:val="auto"/>
          <w:sz w:val="24"/>
          <w:szCs w:val="24"/>
        </w:rPr>
        <w:t>, W. J., &amp; Venkatachalam, M. (2012).</w:t>
      </w:r>
      <w:proofErr w:type="gramEnd"/>
      <w:r w:rsidRPr="003813C9">
        <w:rPr>
          <w:rFonts w:eastAsia="Times New Roman"/>
          <w:color w:val="auto"/>
          <w:sz w:val="24"/>
          <w:szCs w:val="24"/>
        </w:rPr>
        <w:t xml:space="preserve"> The power of voice: Managerial affective states and future firm performance. </w:t>
      </w:r>
      <w:r w:rsidRPr="003813C9">
        <w:rPr>
          <w:rFonts w:eastAsia="Times New Roman"/>
          <w:i/>
          <w:iCs/>
          <w:color w:val="auto"/>
          <w:sz w:val="24"/>
          <w:szCs w:val="24"/>
        </w:rPr>
        <w:t>The Journal of Finance,</w:t>
      </w:r>
      <w:r w:rsidRPr="003813C9">
        <w:rPr>
          <w:rFonts w:eastAsia="Times New Roman"/>
          <w:color w:val="auto"/>
          <w:sz w:val="24"/>
          <w:szCs w:val="24"/>
        </w:rPr>
        <w:t xml:space="preserve"> </w:t>
      </w:r>
      <w:r w:rsidRPr="003813C9">
        <w:rPr>
          <w:rFonts w:eastAsia="Times New Roman"/>
          <w:i/>
          <w:iCs/>
          <w:color w:val="auto"/>
          <w:sz w:val="24"/>
          <w:szCs w:val="24"/>
        </w:rPr>
        <w:t>67</w:t>
      </w:r>
      <w:r w:rsidRPr="003813C9">
        <w:rPr>
          <w:rFonts w:eastAsia="Times New Roman"/>
          <w:color w:val="auto"/>
          <w:sz w:val="24"/>
          <w:szCs w:val="24"/>
        </w:rPr>
        <w:t>(1), 1-43.</w:t>
      </w:r>
    </w:p>
    <w:p w14:paraId="71CE1EBE" w14:textId="77777777" w:rsidR="0046703C" w:rsidRPr="003813C9" w:rsidRDefault="0046703C" w:rsidP="0046703C">
      <w:pPr>
        <w:spacing w:after="0" w:line="240" w:lineRule="auto"/>
        <w:ind w:hanging="720"/>
        <w:jc w:val="both"/>
        <w:rPr>
          <w:rFonts w:eastAsia="Calibri"/>
          <w:bCs/>
          <w:color w:val="auto"/>
          <w:sz w:val="24"/>
          <w:szCs w:val="24"/>
        </w:rPr>
      </w:pPr>
    </w:p>
    <w:p w14:paraId="0B7E442E" w14:textId="77777777" w:rsidR="0046703C" w:rsidRPr="003813C9" w:rsidRDefault="0046703C" w:rsidP="0046703C">
      <w:pPr>
        <w:spacing w:after="0" w:line="240" w:lineRule="auto"/>
        <w:ind w:hanging="720"/>
        <w:jc w:val="both"/>
        <w:rPr>
          <w:rFonts w:eastAsia="Calibri"/>
          <w:color w:val="auto"/>
          <w:sz w:val="24"/>
          <w:szCs w:val="24"/>
        </w:rPr>
      </w:pPr>
      <w:proofErr w:type="spellStart"/>
      <w:r w:rsidRPr="003813C9">
        <w:rPr>
          <w:rFonts w:eastAsia="Times New Roman"/>
          <w:color w:val="auto"/>
          <w:sz w:val="24"/>
          <w:szCs w:val="24"/>
          <w:lang w:eastAsia="en-GB"/>
        </w:rPr>
        <w:t>Miihkinen</w:t>
      </w:r>
      <w:proofErr w:type="spellEnd"/>
      <w:r w:rsidRPr="003813C9">
        <w:rPr>
          <w:rFonts w:eastAsia="Times New Roman"/>
          <w:color w:val="auto"/>
          <w:sz w:val="24"/>
          <w:szCs w:val="24"/>
          <w:lang w:eastAsia="en-GB"/>
        </w:rPr>
        <w:t>, A. (2012)</w:t>
      </w:r>
      <w:r w:rsidRPr="003813C9">
        <w:rPr>
          <w:rFonts w:eastAsia="Times New Roman"/>
          <w:color w:val="auto"/>
          <w:sz w:val="24"/>
          <w:szCs w:val="24"/>
          <w:lang w:eastAsia="ko-KR"/>
        </w:rPr>
        <w:t>.</w:t>
      </w:r>
      <w:r w:rsidRPr="003813C9">
        <w:rPr>
          <w:rFonts w:eastAsia="Times New Roman"/>
          <w:color w:val="auto"/>
          <w:sz w:val="24"/>
          <w:szCs w:val="24"/>
          <w:lang w:eastAsia="en-GB"/>
        </w:rPr>
        <w:t xml:space="preserve"> What drives the quality of firm risk disclosure? </w:t>
      </w:r>
      <w:r w:rsidRPr="003813C9">
        <w:rPr>
          <w:rFonts w:eastAsia="Times New Roman"/>
          <w:i/>
          <w:iCs/>
          <w:color w:val="auto"/>
          <w:sz w:val="24"/>
          <w:szCs w:val="24"/>
          <w:lang w:eastAsia="en-GB"/>
        </w:rPr>
        <w:t>The International Journal of Accounting, 47</w:t>
      </w:r>
      <w:r w:rsidRPr="003813C9">
        <w:rPr>
          <w:rFonts w:eastAsia="Times New Roman"/>
          <w:color w:val="auto"/>
          <w:sz w:val="24"/>
          <w:szCs w:val="24"/>
          <w:lang w:eastAsia="en-GB"/>
        </w:rPr>
        <w:t>(4), 437-468.</w:t>
      </w:r>
    </w:p>
    <w:p w14:paraId="060A5495" w14:textId="77777777" w:rsidR="0046703C" w:rsidRPr="003813C9" w:rsidRDefault="0046703C" w:rsidP="0046703C">
      <w:pPr>
        <w:spacing w:after="0" w:line="240" w:lineRule="auto"/>
        <w:ind w:hanging="720"/>
        <w:jc w:val="both"/>
        <w:rPr>
          <w:rFonts w:eastAsia="Calibri"/>
          <w:color w:val="auto"/>
          <w:sz w:val="24"/>
          <w:szCs w:val="24"/>
        </w:rPr>
      </w:pPr>
    </w:p>
    <w:p w14:paraId="555B90A0" w14:textId="77777777" w:rsidR="0046703C" w:rsidRPr="003813C9" w:rsidRDefault="0046703C" w:rsidP="0046703C">
      <w:pPr>
        <w:spacing w:after="0" w:line="240" w:lineRule="auto"/>
        <w:ind w:hanging="720"/>
        <w:jc w:val="both"/>
        <w:rPr>
          <w:rFonts w:eastAsia="Calibri"/>
          <w:color w:val="auto"/>
          <w:sz w:val="24"/>
          <w:szCs w:val="24"/>
        </w:rPr>
      </w:pPr>
      <w:proofErr w:type="spellStart"/>
      <w:r w:rsidRPr="003813C9">
        <w:rPr>
          <w:rFonts w:eastAsia="Times New Roman"/>
          <w:color w:val="auto"/>
          <w:sz w:val="24"/>
          <w:szCs w:val="24"/>
        </w:rPr>
        <w:t>Miihkinen</w:t>
      </w:r>
      <w:proofErr w:type="spellEnd"/>
      <w:r w:rsidRPr="003813C9">
        <w:rPr>
          <w:rFonts w:eastAsia="Times New Roman"/>
          <w:color w:val="auto"/>
          <w:sz w:val="24"/>
          <w:szCs w:val="24"/>
        </w:rPr>
        <w:t xml:space="preserve">, A. (2013). The usefulness of firm risk disclosures under different firm riskiness, investor-interest, and market conditions: New evidence from Finland. </w:t>
      </w:r>
      <w:proofErr w:type="gramStart"/>
      <w:r w:rsidRPr="003813C9">
        <w:rPr>
          <w:rFonts w:eastAsia="Times New Roman"/>
          <w:i/>
          <w:iCs/>
          <w:color w:val="auto"/>
          <w:sz w:val="24"/>
          <w:szCs w:val="24"/>
        </w:rPr>
        <w:t>Advances in Accounting, incorporating Advances in International Accounting</w:t>
      </w:r>
      <w:r w:rsidRPr="003813C9">
        <w:rPr>
          <w:rFonts w:eastAsia="Times New Roman"/>
          <w:color w:val="auto"/>
          <w:sz w:val="24"/>
          <w:szCs w:val="24"/>
        </w:rPr>
        <w:t xml:space="preserve">, </w:t>
      </w:r>
      <w:r w:rsidRPr="003813C9">
        <w:rPr>
          <w:rFonts w:eastAsia="Times New Roman"/>
          <w:i/>
          <w:color w:val="auto"/>
          <w:sz w:val="24"/>
          <w:szCs w:val="24"/>
        </w:rPr>
        <w:t>29</w:t>
      </w:r>
      <w:r w:rsidRPr="003813C9">
        <w:rPr>
          <w:rFonts w:eastAsia="Times New Roman"/>
          <w:color w:val="auto"/>
          <w:sz w:val="24"/>
          <w:szCs w:val="24"/>
        </w:rPr>
        <w:t>(2), 312-331.</w:t>
      </w:r>
      <w:proofErr w:type="gramEnd"/>
    </w:p>
    <w:p w14:paraId="34C82251" w14:textId="77777777" w:rsidR="0046703C" w:rsidRPr="003813C9" w:rsidRDefault="0046703C" w:rsidP="0046703C">
      <w:pPr>
        <w:spacing w:after="0" w:line="240" w:lineRule="auto"/>
        <w:ind w:hanging="720"/>
        <w:jc w:val="both"/>
        <w:rPr>
          <w:rFonts w:eastAsia="Calibri"/>
          <w:color w:val="auto"/>
          <w:sz w:val="24"/>
          <w:szCs w:val="24"/>
        </w:rPr>
      </w:pPr>
    </w:p>
    <w:p w14:paraId="7CD94F3E" w14:textId="77777777" w:rsidR="0046703C" w:rsidRPr="003813C9" w:rsidRDefault="0046703C" w:rsidP="0046703C">
      <w:pPr>
        <w:autoSpaceDE w:val="0"/>
        <w:autoSpaceDN w:val="0"/>
        <w:adjustRightInd w:val="0"/>
        <w:spacing w:after="0" w:line="240" w:lineRule="auto"/>
        <w:ind w:hanging="720"/>
        <w:jc w:val="both"/>
        <w:rPr>
          <w:rFonts w:eastAsia="Calibri"/>
          <w:color w:val="auto"/>
          <w:sz w:val="24"/>
          <w:szCs w:val="24"/>
        </w:rPr>
      </w:pPr>
      <w:proofErr w:type="gramStart"/>
      <w:r w:rsidRPr="003813C9">
        <w:rPr>
          <w:rFonts w:eastAsia="Times New Roman"/>
          <w:color w:val="auto"/>
          <w:sz w:val="24"/>
          <w:szCs w:val="24"/>
        </w:rPr>
        <w:t xml:space="preserve">Mokhtar, E., &amp; </w:t>
      </w:r>
      <w:proofErr w:type="spellStart"/>
      <w:r w:rsidRPr="003813C9">
        <w:rPr>
          <w:rFonts w:eastAsia="Times New Roman"/>
          <w:color w:val="auto"/>
          <w:sz w:val="24"/>
          <w:szCs w:val="24"/>
        </w:rPr>
        <w:t>Mellett</w:t>
      </w:r>
      <w:proofErr w:type="spellEnd"/>
      <w:r w:rsidRPr="003813C9">
        <w:rPr>
          <w:rFonts w:eastAsia="Times New Roman"/>
          <w:color w:val="auto"/>
          <w:sz w:val="24"/>
          <w:szCs w:val="24"/>
        </w:rPr>
        <w:t>, H. (2013).</w:t>
      </w:r>
      <w:proofErr w:type="gramEnd"/>
      <w:r w:rsidRPr="003813C9">
        <w:rPr>
          <w:rFonts w:eastAsia="Times New Roman"/>
          <w:color w:val="auto"/>
          <w:sz w:val="24"/>
          <w:szCs w:val="24"/>
        </w:rPr>
        <w:t xml:space="preserve"> </w:t>
      </w:r>
      <w:proofErr w:type="gramStart"/>
      <w:r w:rsidRPr="003813C9">
        <w:rPr>
          <w:rFonts w:eastAsia="Times New Roman"/>
          <w:color w:val="auto"/>
          <w:sz w:val="24"/>
          <w:szCs w:val="24"/>
        </w:rPr>
        <w:t>Competition, corporate governance, ownership structure and risk reporting.</w:t>
      </w:r>
      <w:proofErr w:type="gramEnd"/>
      <w:r w:rsidRPr="003813C9">
        <w:rPr>
          <w:rFonts w:eastAsia="Times New Roman"/>
          <w:color w:val="auto"/>
          <w:sz w:val="24"/>
          <w:szCs w:val="24"/>
        </w:rPr>
        <w:t xml:space="preserve"> </w:t>
      </w:r>
      <w:r w:rsidRPr="003813C9">
        <w:rPr>
          <w:rFonts w:eastAsia="Times New Roman"/>
          <w:i/>
          <w:iCs/>
          <w:color w:val="auto"/>
          <w:sz w:val="24"/>
          <w:szCs w:val="24"/>
        </w:rPr>
        <w:t>Managerial Auditing Journal</w:t>
      </w:r>
      <w:r w:rsidRPr="003813C9">
        <w:rPr>
          <w:rFonts w:eastAsia="Times New Roman"/>
          <w:color w:val="auto"/>
          <w:sz w:val="24"/>
          <w:szCs w:val="24"/>
        </w:rPr>
        <w:t xml:space="preserve">, </w:t>
      </w:r>
      <w:r w:rsidRPr="003813C9">
        <w:rPr>
          <w:rFonts w:eastAsia="Times New Roman"/>
          <w:i/>
          <w:color w:val="auto"/>
          <w:sz w:val="24"/>
          <w:szCs w:val="24"/>
        </w:rPr>
        <w:t>28</w:t>
      </w:r>
      <w:r w:rsidRPr="003813C9">
        <w:rPr>
          <w:rFonts w:eastAsia="Times New Roman"/>
          <w:color w:val="auto"/>
          <w:sz w:val="24"/>
          <w:szCs w:val="24"/>
        </w:rPr>
        <w:t>(9), 838-865.</w:t>
      </w:r>
    </w:p>
    <w:p w14:paraId="37C20B37" w14:textId="77777777" w:rsidR="0046703C" w:rsidRPr="003813C9" w:rsidRDefault="0046703C" w:rsidP="0046703C">
      <w:pPr>
        <w:tabs>
          <w:tab w:val="left" w:pos="4889"/>
        </w:tabs>
        <w:autoSpaceDE w:val="0"/>
        <w:autoSpaceDN w:val="0"/>
        <w:adjustRightInd w:val="0"/>
        <w:spacing w:after="0" w:line="240" w:lineRule="auto"/>
        <w:ind w:hanging="720"/>
        <w:jc w:val="both"/>
        <w:rPr>
          <w:rFonts w:eastAsia="Calibri"/>
          <w:color w:val="auto"/>
          <w:sz w:val="24"/>
          <w:szCs w:val="24"/>
        </w:rPr>
      </w:pPr>
      <w:r w:rsidRPr="003813C9">
        <w:rPr>
          <w:rFonts w:eastAsia="Calibri"/>
          <w:color w:val="auto"/>
          <w:sz w:val="24"/>
          <w:szCs w:val="24"/>
        </w:rPr>
        <w:tab/>
      </w:r>
      <w:r w:rsidRPr="003813C9">
        <w:rPr>
          <w:rFonts w:eastAsia="Calibri"/>
          <w:color w:val="auto"/>
          <w:sz w:val="24"/>
          <w:szCs w:val="24"/>
        </w:rPr>
        <w:tab/>
      </w:r>
    </w:p>
    <w:p w14:paraId="2A35030A" w14:textId="77777777" w:rsidR="0046703C" w:rsidRPr="003813C9" w:rsidRDefault="0046703C" w:rsidP="0046703C">
      <w:pPr>
        <w:spacing w:after="0" w:line="240" w:lineRule="auto"/>
        <w:ind w:hanging="720"/>
        <w:jc w:val="both"/>
        <w:rPr>
          <w:rFonts w:eastAsia="Calibri"/>
          <w:color w:val="auto"/>
          <w:sz w:val="24"/>
          <w:szCs w:val="24"/>
        </w:rPr>
      </w:pPr>
      <w:proofErr w:type="spellStart"/>
      <w:proofErr w:type="gramStart"/>
      <w:r w:rsidRPr="003813C9">
        <w:rPr>
          <w:rFonts w:eastAsia="Times New Roman"/>
          <w:color w:val="auto"/>
          <w:sz w:val="24"/>
          <w:szCs w:val="24"/>
        </w:rPr>
        <w:t>Moumen</w:t>
      </w:r>
      <w:proofErr w:type="spellEnd"/>
      <w:r w:rsidRPr="003813C9">
        <w:rPr>
          <w:rFonts w:eastAsia="Times New Roman"/>
          <w:color w:val="auto"/>
          <w:sz w:val="24"/>
          <w:szCs w:val="24"/>
        </w:rPr>
        <w:t>, N., Ben Othman, H., &amp; Hussainey, K. (2015).</w:t>
      </w:r>
      <w:proofErr w:type="gramEnd"/>
      <w:r w:rsidRPr="003813C9">
        <w:rPr>
          <w:rFonts w:eastAsia="Times New Roman"/>
          <w:color w:val="auto"/>
          <w:sz w:val="24"/>
          <w:szCs w:val="24"/>
        </w:rPr>
        <w:t xml:space="preserve"> The value-relevance of risk disclosure in annual reports: Evidence from MENA emerging markets. </w:t>
      </w:r>
      <w:r w:rsidRPr="003813C9">
        <w:rPr>
          <w:rFonts w:eastAsia="Times New Roman"/>
          <w:i/>
          <w:iCs/>
          <w:color w:val="auto"/>
          <w:sz w:val="24"/>
          <w:szCs w:val="24"/>
        </w:rPr>
        <w:t>Research in International Business and Finance</w:t>
      </w:r>
      <w:r w:rsidRPr="003813C9">
        <w:rPr>
          <w:rFonts w:eastAsia="Times New Roman"/>
          <w:color w:val="auto"/>
          <w:sz w:val="24"/>
          <w:szCs w:val="24"/>
        </w:rPr>
        <w:t xml:space="preserve">, </w:t>
      </w:r>
      <w:r w:rsidRPr="003813C9">
        <w:rPr>
          <w:rFonts w:eastAsia="Times New Roman"/>
          <w:i/>
          <w:color w:val="auto"/>
          <w:sz w:val="24"/>
          <w:szCs w:val="24"/>
        </w:rPr>
        <w:t>34</w:t>
      </w:r>
      <w:r w:rsidRPr="003813C9">
        <w:rPr>
          <w:rFonts w:eastAsia="Times New Roman"/>
          <w:color w:val="auto"/>
          <w:sz w:val="24"/>
          <w:szCs w:val="24"/>
        </w:rPr>
        <w:t xml:space="preserve">, 177-204. </w:t>
      </w:r>
    </w:p>
    <w:p w14:paraId="4EC26A1A" w14:textId="77777777" w:rsidR="0046703C" w:rsidRPr="003813C9" w:rsidRDefault="0046703C" w:rsidP="0046703C">
      <w:pPr>
        <w:autoSpaceDE w:val="0"/>
        <w:autoSpaceDN w:val="0"/>
        <w:adjustRightInd w:val="0"/>
        <w:spacing w:after="0" w:line="240" w:lineRule="auto"/>
        <w:ind w:hanging="720"/>
        <w:jc w:val="both"/>
        <w:rPr>
          <w:rFonts w:eastAsia="Times New Roman"/>
          <w:color w:val="auto"/>
          <w:sz w:val="24"/>
          <w:szCs w:val="24"/>
          <w:lang w:eastAsia="en-GB"/>
        </w:rPr>
      </w:pPr>
    </w:p>
    <w:p w14:paraId="136D4EA0" w14:textId="77777777" w:rsidR="0046703C" w:rsidRPr="003813C9" w:rsidRDefault="0046703C" w:rsidP="0046703C">
      <w:pPr>
        <w:spacing w:after="0" w:line="240" w:lineRule="auto"/>
        <w:ind w:hanging="720"/>
        <w:jc w:val="both"/>
        <w:rPr>
          <w:rFonts w:eastAsia="Calibri"/>
          <w:color w:val="auto"/>
          <w:sz w:val="24"/>
          <w:szCs w:val="24"/>
        </w:rPr>
      </w:pPr>
      <w:proofErr w:type="spellStart"/>
      <w:r w:rsidRPr="003813C9">
        <w:rPr>
          <w:rFonts w:eastAsia="Times New Roman"/>
          <w:color w:val="auto"/>
          <w:sz w:val="24"/>
          <w:szCs w:val="24"/>
        </w:rPr>
        <w:t>Nobes</w:t>
      </w:r>
      <w:proofErr w:type="spellEnd"/>
      <w:r w:rsidRPr="003813C9">
        <w:rPr>
          <w:rFonts w:eastAsia="Times New Roman"/>
          <w:color w:val="auto"/>
          <w:sz w:val="24"/>
          <w:szCs w:val="24"/>
        </w:rPr>
        <w:t xml:space="preserve">, C. (2013). </w:t>
      </w:r>
      <w:proofErr w:type="gramStart"/>
      <w:r w:rsidRPr="003813C9">
        <w:rPr>
          <w:rFonts w:eastAsia="Times New Roman"/>
          <w:color w:val="auto"/>
          <w:sz w:val="24"/>
          <w:szCs w:val="24"/>
        </w:rPr>
        <w:t>The continued survival of international differences under IFRS.</w:t>
      </w:r>
      <w:proofErr w:type="gramEnd"/>
      <w:r w:rsidRPr="003813C9">
        <w:rPr>
          <w:rFonts w:eastAsia="Times New Roman"/>
          <w:color w:val="auto"/>
          <w:sz w:val="24"/>
          <w:szCs w:val="24"/>
        </w:rPr>
        <w:t xml:space="preserve"> </w:t>
      </w:r>
      <w:r w:rsidRPr="003813C9">
        <w:rPr>
          <w:rFonts w:eastAsia="Times New Roman"/>
          <w:i/>
          <w:iCs/>
          <w:color w:val="auto"/>
          <w:sz w:val="24"/>
          <w:szCs w:val="24"/>
        </w:rPr>
        <w:t>Accounting and Business Research</w:t>
      </w:r>
      <w:r w:rsidRPr="003813C9">
        <w:rPr>
          <w:rFonts w:eastAsia="Times New Roman"/>
          <w:color w:val="auto"/>
          <w:sz w:val="24"/>
          <w:szCs w:val="24"/>
        </w:rPr>
        <w:t>, </w:t>
      </w:r>
      <w:r w:rsidRPr="003813C9">
        <w:rPr>
          <w:rFonts w:eastAsia="Times New Roman"/>
          <w:i/>
          <w:iCs/>
          <w:color w:val="auto"/>
          <w:sz w:val="24"/>
          <w:szCs w:val="24"/>
        </w:rPr>
        <w:t>43</w:t>
      </w:r>
      <w:r w:rsidRPr="003813C9">
        <w:rPr>
          <w:rFonts w:eastAsia="Times New Roman"/>
          <w:color w:val="auto"/>
          <w:sz w:val="24"/>
          <w:szCs w:val="24"/>
        </w:rPr>
        <w:t>(2), 83-111.</w:t>
      </w:r>
    </w:p>
    <w:p w14:paraId="636E082B" w14:textId="77777777" w:rsidR="0046703C" w:rsidRPr="003813C9" w:rsidRDefault="0046703C" w:rsidP="0046703C">
      <w:pPr>
        <w:spacing w:after="0" w:line="240" w:lineRule="auto"/>
        <w:ind w:hanging="720"/>
        <w:jc w:val="both"/>
        <w:rPr>
          <w:rFonts w:eastAsia="Calibri"/>
          <w:color w:val="auto"/>
          <w:sz w:val="24"/>
          <w:szCs w:val="24"/>
        </w:rPr>
      </w:pPr>
    </w:p>
    <w:p w14:paraId="0F3C54BB" w14:textId="77777777" w:rsidR="0046703C" w:rsidRPr="003813C9" w:rsidRDefault="0046703C" w:rsidP="0046703C">
      <w:pPr>
        <w:spacing w:after="0" w:line="240" w:lineRule="auto"/>
        <w:ind w:hanging="720"/>
        <w:jc w:val="both"/>
        <w:rPr>
          <w:rFonts w:eastAsia="Calibri"/>
          <w:color w:val="auto"/>
          <w:sz w:val="24"/>
          <w:szCs w:val="24"/>
        </w:rPr>
      </w:pPr>
      <w:r w:rsidRPr="003813C9">
        <w:rPr>
          <w:rFonts w:eastAsia="Times New Roman"/>
          <w:color w:val="auto"/>
          <w:sz w:val="24"/>
          <w:szCs w:val="24"/>
        </w:rPr>
        <w:t xml:space="preserve">Ntim, C. G., </w:t>
      </w:r>
      <w:proofErr w:type="spellStart"/>
      <w:r w:rsidRPr="003813C9">
        <w:rPr>
          <w:rFonts w:eastAsia="Times New Roman"/>
          <w:color w:val="auto"/>
          <w:sz w:val="24"/>
          <w:szCs w:val="24"/>
        </w:rPr>
        <w:t>Lindop</w:t>
      </w:r>
      <w:proofErr w:type="spellEnd"/>
      <w:r w:rsidRPr="003813C9">
        <w:rPr>
          <w:rFonts w:eastAsia="Times New Roman"/>
          <w:color w:val="auto"/>
          <w:sz w:val="24"/>
          <w:szCs w:val="24"/>
        </w:rPr>
        <w:t xml:space="preserve">, S., </w:t>
      </w:r>
      <w:r w:rsidRPr="003813C9">
        <w:rPr>
          <w:rFonts w:eastAsia="Times New Roman,Calibri"/>
          <w:color w:val="auto"/>
          <w:sz w:val="24"/>
          <w:szCs w:val="24"/>
        </w:rPr>
        <w:t>&amp;</w:t>
      </w:r>
      <w:r w:rsidRPr="003813C9">
        <w:rPr>
          <w:rFonts w:eastAsia="Times New Roman"/>
          <w:color w:val="auto"/>
          <w:sz w:val="24"/>
          <w:szCs w:val="24"/>
        </w:rPr>
        <w:t xml:space="preserve"> Thomas. D. A. (2013). Corporate governance and risk reporting in South Africa: A study of corporate risk disclosures in the pre- and post-2007/2008 global financial crisis period. </w:t>
      </w:r>
      <w:r w:rsidRPr="003813C9">
        <w:rPr>
          <w:rFonts w:eastAsia="Times New Roman"/>
          <w:i/>
          <w:iCs/>
          <w:color w:val="auto"/>
          <w:sz w:val="24"/>
          <w:szCs w:val="24"/>
        </w:rPr>
        <w:t>International Review of Financial Analysis</w:t>
      </w:r>
      <w:r w:rsidRPr="003813C9">
        <w:rPr>
          <w:rFonts w:eastAsia="Times New Roman"/>
          <w:color w:val="auto"/>
          <w:sz w:val="24"/>
          <w:szCs w:val="24"/>
        </w:rPr>
        <w:t xml:space="preserve">, </w:t>
      </w:r>
      <w:r w:rsidRPr="003813C9">
        <w:rPr>
          <w:rFonts w:eastAsia="Times New Roman"/>
          <w:i/>
          <w:iCs/>
          <w:color w:val="auto"/>
          <w:sz w:val="24"/>
          <w:szCs w:val="24"/>
        </w:rPr>
        <w:t>30</w:t>
      </w:r>
      <w:r w:rsidRPr="003813C9">
        <w:rPr>
          <w:rFonts w:eastAsia="Times New Roman"/>
          <w:color w:val="auto"/>
          <w:sz w:val="24"/>
          <w:szCs w:val="24"/>
        </w:rPr>
        <w:t>, 363-383.</w:t>
      </w:r>
    </w:p>
    <w:p w14:paraId="188B4E1F" w14:textId="77777777" w:rsidR="0046703C" w:rsidRPr="003813C9" w:rsidRDefault="0046703C" w:rsidP="0046703C">
      <w:pPr>
        <w:spacing w:after="0" w:line="240" w:lineRule="auto"/>
        <w:ind w:hanging="720"/>
        <w:jc w:val="both"/>
        <w:rPr>
          <w:rFonts w:eastAsia="Calibri"/>
          <w:color w:val="auto"/>
          <w:sz w:val="24"/>
          <w:szCs w:val="24"/>
        </w:rPr>
      </w:pPr>
    </w:p>
    <w:p w14:paraId="3340B9FA" w14:textId="77777777" w:rsidR="0046703C" w:rsidRPr="003813C9" w:rsidRDefault="0046703C" w:rsidP="0046703C">
      <w:pPr>
        <w:spacing w:after="0" w:line="240" w:lineRule="auto"/>
        <w:ind w:hanging="720"/>
        <w:jc w:val="both"/>
        <w:rPr>
          <w:rFonts w:eastAsia="Calibri"/>
          <w:color w:val="auto"/>
          <w:sz w:val="24"/>
          <w:szCs w:val="24"/>
        </w:rPr>
      </w:pPr>
      <w:proofErr w:type="gramStart"/>
      <w:r w:rsidRPr="003813C9">
        <w:rPr>
          <w:rFonts w:eastAsia="Times New Roman"/>
          <w:color w:val="auto"/>
          <w:sz w:val="24"/>
          <w:szCs w:val="24"/>
        </w:rPr>
        <w:t>Oliveira, J., Lima Rodrigues, L., &amp; Craig, R. (2011).</w:t>
      </w:r>
      <w:proofErr w:type="gramEnd"/>
      <w:r w:rsidRPr="003813C9">
        <w:rPr>
          <w:rFonts w:eastAsia="Times New Roman"/>
          <w:color w:val="auto"/>
          <w:sz w:val="24"/>
          <w:szCs w:val="24"/>
        </w:rPr>
        <w:t xml:space="preserve"> Risk-related disclosures by non-finance companies: Portuguese practices and disclosure characteristics. </w:t>
      </w:r>
      <w:r w:rsidRPr="003813C9">
        <w:rPr>
          <w:rFonts w:eastAsia="Times New Roman"/>
          <w:i/>
          <w:iCs/>
          <w:color w:val="auto"/>
          <w:sz w:val="24"/>
          <w:szCs w:val="24"/>
        </w:rPr>
        <w:t>Managerial Auditing Journal</w:t>
      </w:r>
      <w:r w:rsidRPr="003813C9">
        <w:rPr>
          <w:rFonts w:eastAsia="Times New Roman"/>
          <w:color w:val="auto"/>
          <w:sz w:val="24"/>
          <w:szCs w:val="24"/>
        </w:rPr>
        <w:t xml:space="preserve">, </w:t>
      </w:r>
      <w:r w:rsidRPr="003813C9">
        <w:rPr>
          <w:rFonts w:eastAsia="Times New Roman"/>
          <w:i/>
          <w:color w:val="auto"/>
          <w:sz w:val="24"/>
          <w:szCs w:val="24"/>
        </w:rPr>
        <w:t>26</w:t>
      </w:r>
      <w:r w:rsidRPr="003813C9">
        <w:rPr>
          <w:rFonts w:eastAsia="Times New Roman"/>
          <w:color w:val="auto"/>
          <w:sz w:val="24"/>
          <w:szCs w:val="24"/>
        </w:rPr>
        <w:t>(9), 817-839.</w:t>
      </w:r>
    </w:p>
    <w:p w14:paraId="552B86EF" w14:textId="77777777" w:rsidR="0046703C" w:rsidRPr="003813C9" w:rsidRDefault="0046703C" w:rsidP="0046703C">
      <w:pPr>
        <w:spacing w:after="0" w:line="240" w:lineRule="auto"/>
        <w:ind w:hanging="720"/>
        <w:jc w:val="both"/>
        <w:rPr>
          <w:rFonts w:eastAsia="Calibri"/>
          <w:color w:val="auto"/>
          <w:sz w:val="24"/>
          <w:szCs w:val="24"/>
        </w:rPr>
      </w:pPr>
    </w:p>
    <w:p w14:paraId="01E453DF" w14:textId="77777777" w:rsidR="0046703C" w:rsidRPr="003813C9" w:rsidRDefault="0046703C" w:rsidP="0046703C">
      <w:pPr>
        <w:spacing w:after="0" w:line="240" w:lineRule="auto"/>
        <w:ind w:hanging="720"/>
        <w:jc w:val="both"/>
        <w:rPr>
          <w:rFonts w:eastAsia="Calibri"/>
          <w:color w:val="auto"/>
          <w:sz w:val="24"/>
          <w:szCs w:val="24"/>
        </w:rPr>
      </w:pPr>
      <w:proofErr w:type="spellStart"/>
      <w:proofErr w:type="gramStart"/>
      <w:r w:rsidRPr="003813C9">
        <w:rPr>
          <w:rFonts w:eastAsia="Times New Roman,Calibri"/>
          <w:color w:val="auto"/>
          <w:sz w:val="24"/>
          <w:szCs w:val="24"/>
        </w:rPr>
        <w:t>Pérignon</w:t>
      </w:r>
      <w:proofErr w:type="spellEnd"/>
      <w:r w:rsidRPr="003813C9">
        <w:rPr>
          <w:rFonts w:eastAsia="Times New Roman,Calibri"/>
          <w:color w:val="auto"/>
          <w:sz w:val="24"/>
          <w:szCs w:val="24"/>
        </w:rPr>
        <w:t>, C., &amp; Smith, D. R. (2010).</w:t>
      </w:r>
      <w:proofErr w:type="gramEnd"/>
      <w:r w:rsidRPr="003813C9">
        <w:rPr>
          <w:rFonts w:eastAsia="Times New Roman,Calibri"/>
          <w:color w:val="auto"/>
          <w:sz w:val="24"/>
          <w:szCs w:val="24"/>
        </w:rPr>
        <w:t xml:space="preserve"> </w:t>
      </w:r>
      <w:proofErr w:type="gramStart"/>
      <w:r w:rsidRPr="003813C9">
        <w:rPr>
          <w:rFonts w:eastAsia="Times New Roman,Calibri"/>
          <w:color w:val="auto"/>
          <w:sz w:val="24"/>
          <w:szCs w:val="24"/>
        </w:rPr>
        <w:t>The level and quality of Value-at-Risk disclosure by commercial banks.</w:t>
      </w:r>
      <w:proofErr w:type="gramEnd"/>
      <w:r w:rsidRPr="003813C9">
        <w:rPr>
          <w:rFonts w:eastAsia="Times New Roman,Calibri"/>
          <w:color w:val="auto"/>
          <w:sz w:val="24"/>
          <w:szCs w:val="24"/>
        </w:rPr>
        <w:t xml:space="preserve"> </w:t>
      </w:r>
      <w:r w:rsidRPr="003813C9">
        <w:rPr>
          <w:rFonts w:eastAsia="Times New Roman,Calibri"/>
          <w:i/>
          <w:iCs/>
          <w:color w:val="auto"/>
          <w:sz w:val="24"/>
          <w:szCs w:val="24"/>
        </w:rPr>
        <w:t>Journal of Banking &amp; Finance</w:t>
      </w:r>
      <w:r w:rsidRPr="003813C9">
        <w:rPr>
          <w:rFonts w:eastAsia="Times New Roman,Calibri"/>
          <w:color w:val="auto"/>
          <w:sz w:val="24"/>
          <w:szCs w:val="24"/>
        </w:rPr>
        <w:t xml:space="preserve">, </w:t>
      </w:r>
      <w:r w:rsidRPr="003813C9">
        <w:rPr>
          <w:rFonts w:eastAsia="Times New Roman,Calibri"/>
          <w:i/>
          <w:iCs/>
          <w:color w:val="auto"/>
          <w:sz w:val="24"/>
          <w:szCs w:val="24"/>
        </w:rPr>
        <w:t>34</w:t>
      </w:r>
      <w:r w:rsidRPr="003813C9">
        <w:rPr>
          <w:rFonts w:eastAsia="Times New Roman,Calibri"/>
          <w:color w:val="auto"/>
          <w:sz w:val="24"/>
          <w:szCs w:val="24"/>
        </w:rPr>
        <w:t>(2), 362-377.</w:t>
      </w:r>
    </w:p>
    <w:p w14:paraId="2F724BB5" w14:textId="77777777" w:rsidR="0046703C" w:rsidRPr="003813C9" w:rsidRDefault="0046703C" w:rsidP="0046703C">
      <w:pPr>
        <w:spacing w:after="0" w:line="240" w:lineRule="auto"/>
        <w:ind w:hanging="720"/>
        <w:jc w:val="both"/>
        <w:rPr>
          <w:rFonts w:eastAsia="Calibri"/>
          <w:color w:val="auto"/>
          <w:sz w:val="24"/>
          <w:szCs w:val="24"/>
        </w:rPr>
      </w:pPr>
    </w:p>
    <w:p w14:paraId="4ECF335A" w14:textId="77777777" w:rsidR="0046703C" w:rsidRPr="003813C9" w:rsidRDefault="0046703C" w:rsidP="0046703C">
      <w:pPr>
        <w:autoSpaceDE w:val="0"/>
        <w:autoSpaceDN w:val="0"/>
        <w:adjustRightInd w:val="0"/>
        <w:spacing w:after="0" w:line="240" w:lineRule="auto"/>
        <w:ind w:hanging="720"/>
        <w:jc w:val="both"/>
        <w:rPr>
          <w:rFonts w:eastAsia="Times New Roman"/>
          <w:color w:val="auto"/>
          <w:sz w:val="24"/>
          <w:szCs w:val="24"/>
          <w:lang w:eastAsia="en-GB"/>
        </w:rPr>
      </w:pPr>
      <w:proofErr w:type="spellStart"/>
      <w:proofErr w:type="gramStart"/>
      <w:r w:rsidRPr="003813C9">
        <w:rPr>
          <w:rFonts w:eastAsia="Times New Roman"/>
          <w:color w:val="auto"/>
          <w:sz w:val="24"/>
          <w:szCs w:val="24"/>
          <w:lang w:eastAsia="en-GB"/>
        </w:rPr>
        <w:lastRenderedPageBreak/>
        <w:t>Rajgopal</w:t>
      </w:r>
      <w:proofErr w:type="spellEnd"/>
      <w:r w:rsidRPr="003813C9">
        <w:rPr>
          <w:rFonts w:eastAsia="Times New Roman"/>
          <w:color w:val="auto"/>
          <w:sz w:val="24"/>
          <w:szCs w:val="24"/>
          <w:lang w:eastAsia="en-GB"/>
        </w:rPr>
        <w:t>, S. (1999).</w:t>
      </w:r>
      <w:proofErr w:type="gramEnd"/>
      <w:r w:rsidRPr="003813C9">
        <w:rPr>
          <w:rFonts w:eastAsia="Times New Roman"/>
          <w:color w:val="auto"/>
          <w:sz w:val="24"/>
          <w:szCs w:val="24"/>
          <w:lang w:eastAsia="en-GB"/>
        </w:rPr>
        <w:t xml:space="preserve"> Early evidence on the </w:t>
      </w:r>
      <w:proofErr w:type="spellStart"/>
      <w:r w:rsidRPr="003813C9">
        <w:rPr>
          <w:rFonts w:eastAsia="Times New Roman"/>
          <w:color w:val="auto"/>
          <w:sz w:val="24"/>
          <w:szCs w:val="24"/>
          <w:lang w:eastAsia="en-GB"/>
        </w:rPr>
        <w:t>informativeness</w:t>
      </w:r>
      <w:proofErr w:type="spellEnd"/>
      <w:r w:rsidRPr="003813C9">
        <w:rPr>
          <w:rFonts w:eastAsia="Times New Roman"/>
          <w:color w:val="auto"/>
          <w:sz w:val="24"/>
          <w:szCs w:val="24"/>
          <w:lang w:eastAsia="en-GB"/>
        </w:rPr>
        <w:t xml:space="preserve"> of the SEC’s market risk disclosure: the case of commodity price risk exposure of oil and gas producers. </w:t>
      </w:r>
      <w:r w:rsidRPr="003813C9">
        <w:rPr>
          <w:rFonts w:eastAsia="Times New Roman"/>
          <w:i/>
          <w:iCs/>
          <w:color w:val="auto"/>
          <w:sz w:val="24"/>
          <w:szCs w:val="24"/>
          <w:lang w:eastAsia="en-GB"/>
        </w:rPr>
        <w:t>The</w:t>
      </w:r>
      <w:r w:rsidRPr="003813C9">
        <w:rPr>
          <w:rFonts w:eastAsia="Times New Roman"/>
          <w:color w:val="auto"/>
          <w:sz w:val="24"/>
          <w:szCs w:val="24"/>
          <w:lang w:eastAsia="en-GB"/>
        </w:rPr>
        <w:t xml:space="preserve"> </w:t>
      </w:r>
      <w:r w:rsidRPr="003813C9">
        <w:rPr>
          <w:rFonts w:eastAsia="Times New Roman"/>
          <w:i/>
          <w:iCs/>
          <w:color w:val="auto"/>
          <w:sz w:val="24"/>
          <w:szCs w:val="24"/>
          <w:lang w:eastAsia="en-GB"/>
        </w:rPr>
        <w:t>Accounting Review, 74</w:t>
      </w:r>
      <w:r w:rsidRPr="003813C9">
        <w:rPr>
          <w:rFonts w:eastAsia="Times New Roman"/>
          <w:color w:val="auto"/>
          <w:sz w:val="24"/>
          <w:szCs w:val="24"/>
          <w:lang w:eastAsia="en-GB"/>
        </w:rPr>
        <w:t>(3), 251-280.</w:t>
      </w:r>
    </w:p>
    <w:p w14:paraId="7DF1D0F1" w14:textId="77777777" w:rsidR="0046703C" w:rsidRPr="003813C9" w:rsidRDefault="0046703C" w:rsidP="0046703C">
      <w:pPr>
        <w:spacing w:after="0" w:line="240" w:lineRule="auto"/>
        <w:ind w:hanging="720"/>
        <w:jc w:val="both"/>
        <w:rPr>
          <w:rFonts w:eastAsia="Calibri"/>
          <w:color w:val="auto"/>
          <w:sz w:val="24"/>
          <w:szCs w:val="24"/>
        </w:rPr>
      </w:pPr>
    </w:p>
    <w:p w14:paraId="40E9B82B" w14:textId="77777777" w:rsidR="0046703C" w:rsidRPr="003813C9" w:rsidRDefault="0046703C" w:rsidP="0046703C">
      <w:pPr>
        <w:spacing w:after="0" w:line="240" w:lineRule="auto"/>
        <w:ind w:hanging="720"/>
        <w:jc w:val="both"/>
        <w:rPr>
          <w:rFonts w:eastAsia="Calibri"/>
          <w:color w:val="auto"/>
          <w:sz w:val="24"/>
          <w:szCs w:val="24"/>
        </w:rPr>
      </w:pPr>
      <w:proofErr w:type="gramStart"/>
      <w:r w:rsidRPr="003813C9">
        <w:rPr>
          <w:rFonts w:eastAsia="Times New Roman"/>
          <w:color w:val="auto"/>
          <w:sz w:val="24"/>
          <w:szCs w:val="24"/>
        </w:rPr>
        <w:t>Roberts, J., Sanderson, P., Barker, R., &amp; Hendry, J. (2006).</w:t>
      </w:r>
      <w:proofErr w:type="gramEnd"/>
      <w:r w:rsidRPr="003813C9">
        <w:rPr>
          <w:rFonts w:eastAsia="Times New Roman"/>
          <w:color w:val="auto"/>
          <w:sz w:val="24"/>
          <w:szCs w:val="24"/>
        </w:rPr>
        <w:t xml:space="preserve"> In the mirror of the market: The disciplinary effects of company/fund manager meetings. </w:t>
      </w:r>
      <w:r w:rsidRPr="003813C9">
        <w:rPr>
          <w:rFonts w:eastAsia="Times New Roman"/>
          <w:i/>
          <w:iCs/>
          <w:color w:val="auto"/>
          <w:sz w:val="24"/>
          <w:szCs w:val="24"/>
        </w:rPr>
        <w:t>Accounting, Organizations and Society</w:t>
      </w:r>
      <w:r w:rsidRPr="003813C9">
        <w:rPr>
          <w:rFonts w:eastAsia="Times New Roman"/>
          <w:color w:val="auto"/>
          <w:sz w:val="24"/>
          <w:szCs w:val="24"/>
        </w:rPr>
        <w:t xml:space="preserve">, </w:t>
      </w:r>
      <w:r w:rsidRPr="003813C9">
        <w:rPr>
          <w:rFonts w:eastAsia="Times New Roman"/>
          <w:i/>
          <w:iCs/>
          <w:color w:val="auto"/>
          <w:sz w:val="24"/>
          <w:szCs w:val="24"/>
        </w:rPr>
        <w:t>31</w:t>
      </w:r>
      <w:r w:rsidRPr="003813C9">
        <w:rPr>
          <w:rFonts w:eastAsia="Times New Roman"/>
          <w:color w:val="auto"/>
          <w:sz w:val="24"/>
          <w:szCs w:val="24"/>
        </w:rPr>
        <w:t>(3), 277-294.</w:t>
      </w:r>
    </w:p>
    <w:p w14:paraId="614B24F5" w14:textId="77777777" w:rsidR="0046703C" w:rsidRPr="003813C9" w:rsidRDefault="0046703C" w:rsidP="0046703C">
      <w:pPr>
        <w:spacing w:after="0" w:line="240" w:lineRule="auto"/>
        <w:ind w:hanging="720"/>
        <w:jc w:val="both"/>
        <w:rPr>
          <w:rFonts w:eastAsia="Calibri"/>
          <w:color w:val="auto"/>
          <w:sz w:val="24"/>
          <w:szCs w:val="24"/>
        </w:rPr>
      </w:pPr>
    </w:p>
    <w:p w14:paraId="1AD5B4F5" w14:textId="77777777" w:rsidR="0046703C" w:rsidRPr="003813C9" w:rsidRDefault="0046703C" w:rsidP="0046703C">
      <w:pPr>
        <w:spacing w:after="0" w:line="240" w:lineRule="auto"/>
        <w:ind w:hanging="720"/>
        <w:jc w:val="both"/>
        <w:rPr>
          <w:rFonts w:eastAsia="Calibri"/>
          <w:color w:val="auto"/>
          <w:sz w:val="24"/>
          <w:szCs w:val="24"/>
        </w:rPr>
      </w:pPr>
      <w:proofErr w:type="spellStart"/>
      <w:proofErr w:type="gramStart"/>
      <w:r w:rsidRPr="003813C9">
        <w:rPr>
          <w:rFonts w:eastAsia="Times New Roman"/>
          <w:color w:val="auto"/>
          <w:sz w:val="24"/>
          <w:szCs w:val="24"/>
        </w:rPr>
        <w:t>Roulstone</w:t>
      </w:r>
      <w:proofErr w:type="spellEnd"/>
      <w:r w:rsidRPr="003813C9">
        <w:rPr>
          <w:rFonts w:eastAsia="Times New Roman"/>
          <w:color w:val="auto"/>
          <w:sz w:val="24"/>
          <w:szCs w:val="24"/>
        </w:rPr>
        <w:t>, D. T. (1999).</w:t>
      </w:r>
      <w:proofErr w:type="gramEnd"/>
      <w:r w:rsidRPr="003813C9">
        <w:rPr>
          <w:rFonts w:eastAsia="Times New Roman"/>
          <w:color w:val="auto"/>
          <w:sz w:val="24"/>
          <w:szCs w:val="24"/>
        </w:rPr>
        <w:t xml:space="preserve"> </w:t>
      </w:r>
      <w:proofErr w:type="gramStart"/>
      <w:r w:rsidRPr="003813C9">
        <w:rPr>
          <w:rFonts w:eastAsia="Times New Roman"/>
          <w:color w:val="auto"/>
          <w:sz w:val="24"/>
          <w:szCs w:val="24"/>
        </w:rPr>
        <w:t>Effect of SEC financial reporting release No. 48 on derivative and market risk disclosures.</w:t>
      </w:r>
      <w:proofErr w:type="gramEnd"/>
      <w:r w:rsidRPr="003813C9">
        <w:rPr>
          <w:rFonts w:eastAsia="Times New Roman"/>
          <w:color w:val="auto"/>
          <w:sz w:val="24"/>
          <w:szCs w:val="24"/>
        </w:rPr>
        <w:t> </w:t>
      </w:r>
      <w:proofErr w:type="gramStart"/>
      <w:r w:rsidRPr="003813C9">
        <w:rPr>
          <w:rFonts w:eastAsia="Times New Roman"/>
          <w:i/>
          <w:iCs/>
          <w:color w:val="auto"/>
          <w:sz w:val="24"/>
          <w:szCs w:val="24"/>
        </w:rPr>
        <w:t>Accounting Horizons</w:t>
      </w:r>
      <w:r w:rsidRPr="003813C9">
        <w:rPr>
          <w:rFonts w:eastAsia="Times New Roman"/>
          <w:color w:val="auto"/>
          <w:sz w:val="24"/>
          <w:szCs w:val="24"/>
        </w:rPr>
        <w:t>, </w:t>
      </w:r>
      <w:r w:rsidRPr="003813C9">
        <w:rPr>
          <w:rFonts w:eastAsia="Times New Roman"/>
          <w:i/>
          <w:iCs/>
          <w:color w:val="auto"/>
          <w:sz w:val="24"/>
          <w:szCs w:val="24"/>
        </w:rPr>
        <w:t>13</w:t>
      </w:r>
      <w:r w:rsidRPr="003813C9">
        <w:rPr>
          <w:rFonts w:eastAsia="Times New Roman"/>
          <w:color w:val="auto"/>
          <w:sz w:val="24"/>
          <w:szCs w:val="24"/>
        </w:rPr>
        <w:t>(4), 343-363.</w:t>
      </w:r>
      <w:proofErr w:type="gramEnd"/>
    </w:p>
    <w:p w14:paraId="138BC857" w14:textId="77777777" w:rsidR="0046703C" w:rsidRPr="003813C9" w:rsidRDefault="0046703C" w:rsidP="0046703C">
      <w:pPr>
        <w:spacing w:after="0" w:line="240" w:lineRule="auto"/>
        <w:ind w:hanging="720"/>
        <w:jc w:val="both"/>
        <w:rPr>
          <w:rFonts w:eastAsia="Calibri"/>
          <w:color w:val="auto"/>
          <w:sz w:val="24"/>
          <w:szCs w:val="24"/>
        </w:rPr>
      </w:pPr>
    </w:p>
    <w:p w14:paraId="749160F5" w14:textId="77777777" w:rsidR="0046703C" w:rsidRPr="003813C9" w:rsidRDefault="0046703C" w:rsidP="0046703C">
      <w:pPr>
        <w:autoSpaceDE w:val="0"/>
        <w:autoSpaceDN w:val="0"/>
        <w:adjustRightInd w:val="0"/>
        <w:spacing w:after="0" w:line="240" w:lineRule="auto"/>
        <w:ind w:hanging="720"/>
        <w:jc w:val="both"/>
        <w:rPr>
          <w:rFonts w:eastAsia="Times New Roman"/>
          <w:color w:val="auto"/>
          <w:sz w:val="24"/>
          <w:szCs w:val="24"/>
          <w:lang w:eastAsia="en-GB"/>
        </w:rPr>
      </w:pPr>
      <w:r w:rsidRPr="003813C9">
        <w:rPr>
          <w:rFonts w:eastAsia="Times New Roman"/>
          <w:color w:val="auto"/>
          <w:sz w:val="24"/>
          <w:szCs w:val="24"/>
          <w:lang w:eastAsia="en-GB"/>
        </w:rPr>
        <w:t xml:space="preserve">Ryan, S. G. (1997). A survey of research relating accounting numbers to systematic equity risk, with implication for risk disclosure policy and future research, </w:t>
      </w:r>
      <w:r w:rsidRPr="003813C9">
        <w:rPr>
          <w:rFonts w:eastAsia="Times New Roman"/>
          <w:i/>
          <w:iCs/>
          <w:color w:val="auto"/>
          <w:sz w:val="24"/>
          <w:szCs w:val="24"/>
          <w:lang w:eastAsia="en-GB"/>
        </w:rPr>
        <w:t>Accounting Horizons, 11</w:t>
      </w:r>
      <w:r w:rsidRPr="003813C9">
        <w:rPr>
          <w:rFonts w:eastAsia="Times New Roman"/>
          <w:color w:val="auto"/>
          <w:sz w:val="24"/>
          <w:szCs w:val="24"/>
          <w:lang w:eastAsia="en-GB"/>
        </w:rPr>
        <w:t xml:space="preserve">(2), 82-95.  </w:t>
      </w:r>
    </w:p>
    <w:p w14:paraId="08418F6B" w14:textId="77777777" w:rsidR="0046703C" w:rsidRPr="003813C9" w:rsidRDefault="0046703C" w:rsidP="0046703C">
      <w:pPr>
        <w:autoSpaceDE w:val="0"/>
        <w:autoSpaceDN w:val="0"/>
        <w:adjustRightInd w:val="0"/>
        <w:spacing w:after="0" w:line="240" w:lineRule="auto"/>
        <w:ind w:hanging="720"/>
        <w:jc w:val="both"/>
        <w:rPr>
          <w:rFonts w:eastAsia="Times New Roman"/>
          <w:color w:val="auto"/>
          <w:sz w:val="24"/>
          <w:szCs w:val="24"/>
          <w:lang w:eastAsia="en-GB"/>
        </w:rPr>
      </w:pPr>
    </w:p>
    <w:p w14:paraId="5627AB73" w14:textId="77777777" w:rsidR="0046703C" w:rsidRPr="003813C9" w:rsidRDefault="0046703C" w:rsidP="0046703C">
      <w:pPr>
        <w:autoSpaceDE w:val="0"/>
        <w:autoSpaceDN w:val="0"/>
        <w:adjustRightInd w:val="0"/>
        <w:spacing w:after="0" w:line="240" w:lineRule="auto"/>
        <w:ind w:hanging="720"/>
        <w:jc w:val="both"/>
        <w:rPr>
          <w:rFonts w:eastAsia="Times New Roman"/>
          <w:color w:val="auto"/>
          <w:sz w:val="24"/>
          <w:szCs w:val="24"/>
          <w:lang w:eastAsia="en-GB"/>
        </w:rPr>
      </w:pPr>
      <w:r w:rsidRPr="003813C9">
        <w:rPr>
          <w:rFonts w:eastAsia="Times New Roman"/>
          <w:color w:val="auto"/>
          <w:sz w:val="24"/>
          <w:szCs w:val="24"/>
          <w:lang w:eastAsia="en-GB"/>
        </w:rPr>
        <w:t xml:space="preserve">Ryan, S. G. (2012a). </w:t>
      </w:r>
      <w:proofErr w:type="gramStart"/>
      <w:r w:rsidRPr="003813C9">
        <w:rPr>
          <w:rFonts w:eastAsia="Times New Roman"/>
          <w:color w:val="auto"/>
          <w:sz w:val="24"/>
          <w:szCs w:val="24"/>
          <w:lang w:eastAsia="en-GB"/>
        </w:rPr>
        <w:t>Risk reporting quality: Implications of academic research for financial reporting policy.</w:t>
      </w:r>
      <w:proofErr w:type="gramEnd"/>
      <w:r w:rsidRPr="003813C9">
        <w:rPr>
          <w:rFonts w:eastAsia="Times New Roman"/>
          <w:color w:val="auto"/>
          <w:sz w:val="24"/>
          <w:szCs w:val="24"/>
          <w:lang w:eastAsia="en-GB"/>
        </w:rPr>
        <w:t xml:space="preserve"> </w:t>
      </w:r>
      <w:r w:rsidRPr="003813C9">
        <w:rPr>
          <w:rFonts w:eastAsia="Times New Roman"/>
          <w:i/>
          <w:iCs/>
          <w:color w:val="auto"/>
          <w:sz w:val="24"/>
          <w:szCs w:val="24"/>
          <w:lang w:eastAsia="en-GB"/>
        </w:rPr>
        <w:t>Accounting and Business Research</w:t>
      </w:r>
      <w:r w:rsidRPr="003813C9">
        <w:rPr>
          <w:rFonts w:eastAsia="Times New Roman"/>
          <w:color w:val="auto"/>
          <w:sz w:val="24"/>
          <w:szCs w:val="24"/>
          <w:lang w:eastAsia="en-GB"/>
        </w:rPr>
        <w:t>,</w:t>
      </w:r>
      <w:r w:rsidRPr="003813C9">
        <w:rPr>
          <w:rFonts w:eastAsia="Times New Roman"/>
          <w:i/>
          <w:iCs/>
          <w:color w:val="auto"/>
          <w:sz w:val="24"/>
          <w:szCs w:val="24"/>
          <w:lang w:eastAsia="en-GB"/>
        </w:rPr>
        <w:t xml:space="preserve"> 42</w:t>
      </w:r>
      <w:r w:rsidRPr="003813C9">
        <w:rPr>
          <w:rFonts w:eastAsia="Times New Roman"/>
          <w:color w:val="auto"/>
          <w:sz w:val="24"/>
          <w:szCs w:val="24"/>
          <w:lang w:eastAsia="en-GB"/>
        </w:rPr>
        <w:t>(3), 295-324.</w:t>
      </w:r>
    </w:p>
    <w:p w14:paraId="4AE941BA" w14:textId="77777777" w:rsidR="0046703C" w:rsidRPr="003813C9" w:rsidRDefault="0046703C" w:rsidP="0046703C">
      <w:pPr>
        <w:autoSpaceDE w:val="0"/>
        <w:autoSpaceDN w:val="0"/>
        <w:adjustRightInd w:val="0"/>
        <w:spacing w:after="0" w:line="240" w:lineRule="auto"/>
        <w:ind w:hanging="720"/>
        <w:jc w:val="both"/>
        <w:rPr>
          <w:rFonts w:eastAsia="Times New Roman"/>
          <w:color w:val="auto"/>
          <w:sz w:val="24"/>
          <w:szCs w:val="24"/>
          <w:lang w:eastAsia="en-GB"/>
        </w:rPr>
      </w:pPr>
    </w:p>
    <w:p w14:paraId="718B6C70" w14:textId="77777777" w:rsidR="0046703C" w:rsidRPr="003813C9" w:rsidRDefault="0046703C" w:rsidP="0046703C">
      <w:pPr>
        <w:spacing w:after="0" w:line="240" w:lineRule="auto"/>
        <w:ind w:hanging="720"/>
        <w:jc w:val="both"/>
        <w:rPr>
          <w:rFonts w:eastAsia="Calibri"/>
          <w:color w:val="auto"/>
          <w:sz w:val="24"/>
          <w:szCs w:val="24"/>
        </w:rPr>
      </w:pPr>
      <w:r w:rsidRPr="003813C9">
        <w:rPr>
          <w:rFonts w:eastAsia="Times New Roman"/>
          <w:iCs/>
          <w:color w:val="auto"/>
          <w:sz w:val="24"/>
          <w:szCs w:val="24"/>
        </w:rPr>
        <w:t xml:space="preserve">Ryan, S. G. (2012b). </w:t>
      </w:r>
      <w:proofErr w:type="gramStart"/>
      <w:r w:rsidRPr="003813C9">
        <w:rPr>
          <w:rFonts w:eastAsia="Times New Roman"/>
          <w:iCs/>
          <w:color w:val="auto"/>
          <w:sz w:val="24"/>
          <w:szCs w:val="24"/>
        </w:rPr>
        <w:t>Financial reporting for financial instruments.</w:t>
      </w:r>
      <w:proofErr w:type="gramEnd"/>
      <w:r w:rsidRPr="003813C9">
        <w:rPr>
          <w:rFonts w:eastAsia="Times New Roman"/>
          <w:iCs/>
          <w:color w:val="auto"/>
          <w:sz w:val="24"/>
          <w:szCs w:val="24"/>
        </w:rPr>
        <w:t xml:space="preserve"> </w:t>
      </w:r>
      <w:r w:rsidRPr="003813C9">
        <w:rPr>
          <w:rFonts w:eastAsia="Times New Roman"/>
          <w:i/>
          <w:iCs/>
          <w:color w:val="auto"/>
          <w:sz w:val="24"/>
          <w:szCs w:val="24"/>
        </w:rPr>
        <w:t>Foundations and Trends in Accounting, 6</w:t>
      </w:r>
      <w:r w:rsidRPr="003813C9">
        <w:rPr>
          <w:rFonts w:eastAsia="Times New Roman"/>
          <w:iCs/>
          <w:color w:val="auto"/>
          <w:sz w:val="24"/>
          <w:szCs w:val="24"/>
        </w:rPr>
        <w:t>(3-4), 187-354.</w:t>
      </w:r>
    </w:p>
    <w:p w14:paraId="0CCBE5CC" w14:textId="77777777" w:rsidR="0046703C" w:rsidRPr="003813C9" w:rsidRDefault="0046703C" w:rsidP="0046703C">
      <w:pPr>
        <w:spacing w:after="0" w:line="240" w:lineRule="auto"/>
        <w:ind w:hanging="720"/>
        <w:jc w:val="both"/>
        <w:rPr>
          <w:rFonts w:eastAsia="Calibri"/>
          <w:color w:val="auto"/>
          <w:sz w:val="24"/>
          <w:szCs w:val="24"/>
        </w:rPr>
      </w:pPr>
    </w:p>
    <w:p w14:paraId="053B862D" w14:textId="77777777" w:rsidR="0046703C" w:rsidRPr="003813C9" w:rsidRDefault="0046703C" w:rsidP="0046703C">
      <w:pPr>
        <w:autoSpaceDE w:val="0"/>
        <w:autoSpaceDN w:val="0"/>
        <w:adjustRightInd w:val="0"/>
        <w:spacing w:after="0" w:line="240" w:lineRule="auto"/>
        <w:ind w:hanging="720"/>
        <w:jc w:val="both"/>
        <w:rPr>
          <w:rFonts w:eastAsia="Times New Roman"/>
          <w:color w:val="auto"/>
          <w:sz w:val="24"/>
          <w:szCs w:val="24"/>
          <w:lang w:eastAsia="en-GB"/>
        </w:rPr>
      </w:pPr>
      <w:proofErr w:type="spellStart"/>
      <w:proofErr w:type="gramStart"/>
      <w:r w:rsidRPr="003813C9">
        <w:rPr>
          <w:rFonts w:eastAsia="Times New Roman"/>
          <w:color w:val="auto"/>
          <w:sz w:val="24"/>
          <w:szCs w:val="24"/>
          <w:lang w:eastAsia="en-GB"/>
        </w:rPr>
        <w:t>Schrand</w:t>
      </w:r>
      <w:proofErr w:type="spellEnd"/>
      <w:r w:rsidRPr="003813C9">
        <w:rPr>
          <w:rFonts w:eastAsia="Times New Roman"/>
          <w:color w:val="auto"/>
          <w:sz w:val="24"/>
          <w:szCs w:val="24"/>
          <w:lang w:eastAsia="en-GB"/>
        </w:rPr>
        <w:t>, C.,</w:t>
      </w:r>
      <w:r w:rsidRPr="003813C9">
        <w:rPr>
          <w:rFonts w:eastAsia="Times New Roman,Calibri"/>
          <w:color w:val="auto"/>
          <w:sz w:val="24"/>
          <w:szCs w:val="24"/>
        </w:rPr>
        <w:t xml:space="preserve"> &amp;</w:t>
      </w:r>
      <w:r w:rsidRPr="003813C9">
        <w:rPr>
          <w:rFonts w:eastAsia="Times New Roman"/>
          <w:color w:val="auto"/>
          <w:sz w:val="24"/>
          <w:szCs w:val="24"/>
        </w:rPr>
        <w:t xml:space="preserve"> </w:t>
      </w:r>
      <w:r w:rsidRPr="003813C9">
        <w:rPr>
          <w:rFonts w:eastAsia="Times New Roman"/>
          <w:color w:val="auto"/>
          <w:sz w:val="24"/>
          <w:szCs w:val="24"/>
          <w:lang w:eastAsia="en-GB"/>
        </w:rPr>
        <w:t>Elliott, J. (1998).</w:t>
      </w:r>
      <w:proofErr w:type="gramEnd"/>
      <w:r w:rsidRPr="003813C9">
        <w:rPr>
          <w:rFonts w:eastAsia="Times New Roman"/>
          <w:color w:val="auto"/>
          <w:sz w:val="24"/>
          <w:szCs w:val="24"/>
          <w:lang w:eastAsia="en-GB"/>
        </w:rPr>
        <w:t xml:space="preserve"> Risk and financial reporting: A summary of the discussion at the 1997 AAA/FASB conference. </w:t>
      </w:r>
      <w:proofErr w:type="gramStart"/>
      <w:r w:rsidRPr="003813C9">
        <w:rPr>
          <w:rFonts w:eastAsia="Times New Roman"/>
          <w:i/>
          <w:iCs/>
          <w:color w:val="auto"/>
          <w:sz w:val="24"/>
          <w:szCs w:val="24"/>
          <w:lang w:eastAsia="en-GB"/>
        </w:rPr>
        <w:t>Accounting Horizon</w:t>
      </w:r>
      <w:r w:rsidR="00C1579E" w:rsidRPr="003813C9">
        <w:rPr>
          <w:rFonts w:eastAsia="Times New Roman"/>
          <w:i/>
          <w:iCs/>
          <w:color w:val="auto"/>
          <w:sz w:val="24"/>
          <w:szCs w:val="24"/>
          <w:lang w:eastAsia="en-GB"/>
        </w:rPr>
        <w:t>s</w:t>
      </w:r>
      <w:r w:rsidRPr="003813C9">
        <w:rPr>
          <w:rFonts w:eastAsia="Times New Roman"/>
          <w:color w:val="auto"/>
          <w:sz w:val="24"/>
          <w:szCs w:val="24"/>
          <w:lang w:eastAsia="en-GB"/>
        </w:rPr>
        <w:t xml:space="preserve">, </w:t>
      </w:r>
      <w:r w:rsidRPr="003813C9">
        <w:rPr>
          <w:rFonts w:eastAsia="Times New Roman"/>
          <w:i/>
          <w:iCs/>
          <w:color w:val="auto"/>
          <w:sz w:val="24"/>
          <w:szCs w:val="24"/>
          <w:lang w:eastAsia="en-GB"/>
        </w:rPr>
        <w:t>12</w:t>
      </w:r>
      <w:r w:rsidRPr="003813C9">
        <w:rPr>
          <w:rFonts w:eastAsia="Times New Roman"/>
          <w:iCs/>
          <w:color w:val="auto"/>
          <w:sz w:val="24"/>
          <w:szCs w:val="24"/>
          <w:lang w:eastAsia="en-GB"/>
        </w:rPr>
        <w:t>(3),</w:t>
      </w:r>
      <w:r w:rsidRPr="003813C9">
        <w:rPr>
          <w:rFonts w:eastAsia="Times New Roman"/>
          <w:i/>
          <w:iCs/>
          <w:color w:val="auto"/>
          <w:sz w:val="24"/>
          <w:szCs w:val="24"/>
          <w:lang w:eastAsia="en-GB"/>
        </w:rPr>
        <w:t xml:space="preserve"> </w:t>
      </w:r>
      <w:r w:rsidRPr="003813C9">
        <w:rPr>
          <w:rFonts w:eastAsia="Times New Roman"/>
          <w:color w:val="auto"/>
          <w:sz w:val="24"/>
          <w:szCs w:val="24"/>
          <w:lang w:eastAsia="en-GB"/>
        </w:rPr>
        <w:t>271-282.</w:t>
      </w:r>
      <w:proofErr w:type="gramEnd"/>
    </w:p>
    <w:p w14:paraId="57970F43" w14:textId="77777777" w:rsidR="0046703C" w:rsidRPr="003813C9" w:rsidRDefault="0046703C" w:rsidP="0046703C">
      <w:pPr>
        <w:autoSpaceDE w:val="0"/>
        <w:autoSpaceDN w:val="0"/>
        <w:adjustRightInd w:val="0"/>
        <w:spacing w:after="0" w:line="240" w:lineRule="auto"/>
        <w:ind w:hanging="720"/>
        <w:jc w:val="both"/>
        <w:rPr>
          <w:rFonts w:eastAsia="Times New Roman"/>
          <w:color w:val="auto"/>
          <w:sz w:val="24"/>
          <w:szCs w:val="24"/>
          <w:lang w:eastAsia="en-GB"/>
        </w:rPr>
      </w:pPr>
    </w:p>
    <w:p w14:paraId="59316FE7" w14:textId="77777777" w:rsidR="0046703C" w:rsidRPr="003813C9" w:rsidRDefault="0046703C" w:rsidP="0046703C">
      <w:pPr>
        <w:spacing w:after="0" w:line="240" w:lineRule="auto"/>
        <w:ind w:hanging="720"/>
        <w:jc w:val="both"/>
        <w:rPr>
          <w:rFonts w:eastAsia="Calibri"/>
          <w:color w:val="auto"/>
          <w:sz w:val="24"/>
          <w:szCs w:val="24"/>
        </w:rPr>
      </w:pPr>
      <w:r w:rsidRPr="003813C9">
        <w:rPr>
          <w:rFonts w:eastAsia="Times New Roman"/>
          <w:color w:val="auto"/>
          <w:sz w:val="24"/>
          <w:szCs w:val="24"/>
        </w:rPr>
        <w:t xml:space="preserve">Scott, R. (2014). </w:t>
      </w:r>
      <w:proofErr w:type="gramStart"/>
      <w:r w:rsidRPr="003813C9">
        <w:rPr>
          <w:rFonts w:eastAsia="Times New Roman"/>
          <w:i/>
          <w:color w:val="auto"/>
          <w:sz w:val="24"/>
          <w:szCs w:val="24"/>
        </w:rPr>
        <w:t>Institutions and organizations</w:t>
      </w:r>
      <w:r w:rsidRPr="003813C9">
        <w:rPr>
          <w:rFonts w:eastAsia="Times New Roman"/>
          <w:color w:val="auto"/>
          <w:sz w:val="24"/>
          <w:szCs w:val="24"/>
        </w:rPr>
        <w:t>.</w:t>
      </w:r>
      <w:proofErr w:type="gramEnd"/>
      <w:r w:rsidRPr="003813C9">
        <w:rPr>
          <w:rFonts w:eastAsia="Times New Roman"/>
          <w:color w:val="auto"/>
          <w:sz w:val="24"/>
          <w:szCs w:val="24"/>
        </w:rPr>
        <w:t xml:space="preserve"> Thousand Oaks, CA: Sage.</w:t>
      </w:r>
    </w:p>
    <w:p w14:paraId="589EE6B4" w14:textId="77777777" w:rsidR="0046703C" w:rsidRPr="003813C9" w:rsidRDefault="0046703C" w:rsidP="0046703C">
      <w:pPr>
        <w:spacing w:after="0" w:line="240" w:lineRule="auto"/>
        <w:ind w:hanging="720"/>
        <w:jc w:val="both"/>
        <w:rPr>
          <w:rFonts w:eastAsia="Times New Roman"/>
          <w:color w:val="auto"/>
          <w:sz w:val="24"/>
          <w:szCs w:val="24"/>
          <w:lang w:eastAsia="en-GB"/>
        </w:rPr>
      </w:pPr>
    </w:p>
    <w:p w14:paraId="630575E8" w14:textId="77777777" w:rsidR="0046703C" w:rsidRPr="003813C9" w:rsidRDefault="0046703C" w:rsidP="0046703C">
      <w:pPr>
        <w:spacing w:after="0" w:line="240" w:lineRule="auto"/>
        <w:ind w:hanging="720"/>
        <w:jc w:val="both"/>
        <w:rPr>
          <w:rFonts w:eastAsia="Times New Roman"/>
          <w:color w:val="auto"/>
          <w:sz w:val="24"/>
          <w:szCs w:val="24"/>
          <w:lang w:eastAsia="en-GB"/>
        </w:rPr>
      </w:pPr>
      <w:proofErr w:type="gramStart"/>
      <w:r w:rsidRPr="003813C9">
        <w:rPr>
          <w:rFonts w:eastAsia="Times New Roman"/>
          <w:color w:val="auto"/>
          <w:sz w:val="24"/>
          <w:szCs w:val="24"/>
          <w:lang w:eastAsia="en-GB"/>
        </w:rPr>
        <w:t>SEC. (1997).</w:t>
      </w:r>
      <w:proofErr w:type="gramEnd"/>
      <w:r w:rsidRPr="003813C9">
        <w:rPr>
          <w:rFonts w:eastAsia="Times New Roman"/>
          <w:color w:val="auto"/>
          <w:sz w:val="24"/>
          <w:szCs w:val="24"/>
          <w:lang w:eastAsia="en-GB"/>
        </w:rPr>
        <w:t xml:space="preserve"> </w:t>
      </w:r>
      <w:r w:rsidRPr="003813C9">
        <w:rPr>
          <w:rFonts w:eastAsia="Times New Roman"/>
          <w:i/>
          <w:iCs/>
          <w:color w:val="auto"/>
          <w:sz w:val="24"/>
          <w:szCs w:val="24"/>
          <w:lang w:eastAsia="en-GB"/>
        </w:rPr>
        <w:t>Disclosure of accounting policies for derivative financial instruments and derivative commodity instruments and disclosure of qualitative and quantitative information about market risk inherent in derivative financial instruments, other financial instruments, and derivative commodity instruments</w:t>
      </w:r>
      <w:r w:rsidRPr="003813C9">
        <w:rPr>
          <w:rFonts w:eastAsia="Times New Roman"/>
          <w:color w:val="auto"/>
          <w:sz w:val="24"/>
          <w:szCs w:val="24"/>
          <w:lang w:eastAsia="en-GB"/>
        </w:rPr>
        <w:t>. Washington: Securities and Exchange Commission.</w:t>
      </w:r>
    </w:p>
    <w:p w14:paraId="63894269" w14:textId="77777777" w:rsidR="0046703C" w:rsidRPr="003813C9" w:rsidRDefault="0046703C" w:rsidP="0046703C">
      <w:pPr>
        <w:spacing w:after="0" w:line="240" w:lineRule="auto"/>
        <w:ind w:hanging="720"/>
        <w:jc w:val="both"/>
        <w:rPr>
          <w:rFonts w:eastAsia="Calibri"/>
          <w:color w:val="auto"/>
          <w:sz w:val="24"/>
          <w:szCs w:val="24"/>
        </w:rPr>
      </w:pPr>
    </w:p>
    <w:p w14:paraId="23C59D06" w14:textId="77777777" w:rsidR="0046703C" w:rsidRPr="003813C9" w:rsidRDefault="0046703C" w:rsidP="0046703C">
      <w:pPr>
        <w:spacing w:after="0" w:line="240" w:lineRule="auto"/>
        <w:ind w:hanging="720"/>
        <w:jc w:val="both"/>
        <w:rPr>
          <w:rFonts w:eastAsia="Times New Roman"/>
          <w:color w:val="auto"/>
          <w:sz w:val="24"/>
          <w:szCs w:val="24"/>
          <w:lang w:eastAsia="en-GB"/>
        </w:rPr>
      </w:pPr>
      <w:proofErr w:type="gramStart"/>
      <w:r w:rsidRPr="003813C9">
        <w:rPr>
          <w:rFonts w:eastAsia="Times New Roman"/>
          <w:color w:val="auto"/>
          <w:sz w:val="24"/>
          <w:szCs w:val="24"/>
        </w:rPr>
        <w:t>SEC. (2010).</w:t>
      </w:r>
      <w:proofErr w:type="gramEnd"/>
      <w:r w:rsidRPr="003813C9">
        <w:rPr>
          <w:rFonts w:eastAsia="Times New Roman"/>
          <w:color w:val="auto"/>
          <w:sz w:val="24"/>
          <w:szCs w:val="24"/>
        </w:rPr>
        <w:t xml:space="preserve"> Securities and Exchange Commission 17 CFR parts 211, 231 and 241 commission guidance regarding disclosure related to climate change.</w:t>
      </w:r>
      <w:r w:rsidRPr="003813C9">
        <w:rPr>
          <w:rFonts w:eastAsia="Times New Roman"/>
          <w:color w:val="auto"/>
          <w:sz w:val="24"/>
          <w:szCs w:val="24"/>
          <w:lang w:eastAsia="en-GB"/>
        </w:rPr>
        <w:t xml:space="preserve"> Washington: Securities and Exchange Commission. </w:t>
      </w:r>
      <w:r w:rsidRPr="003813C9">
        <w:rPr>
          <w:rFonts w:eastAsia="Times New Roman"/>
          <w:color w:val="auto"/>
          <w:sz w:val="24"/>
          <w:szCs w:val="24"/>
        </w:rPr>
        <w:t>Final rule: available at http://www.sec.gov/rules/interp/2010/33-9106.pdf</w:t>
      </w:r>
    </w:p>
    <w:p w14:paraId="6F25B1B7" w14:textId="77777777" w:rsidR="0046703C" w:rsidRPr="003813C9" w:rsidRDefault="0046703C" w:rsidP="0046703C">
      <w:pPr>
        <w:spacing w:after="0" w:line="240" w:lineRule="auto"/>
        <w:ind w:hanging="720"/>
        <w:jc w:val="both"/>
        <w:rPr>
          <w:rFonts w:eastAsia="Calibri"/>
          <w:color w:val="auto"/>
          <w:sz w:val="24"/>
          <w:szCs w:val="24"/>
        </w:rPr>
      </w:pPr>
    </w:p>
    <w:p w14:paraId="141F9EB6" w14:textId="77777777" w:rsidR="0046703C" w:rsidRPr="003813C9" w:rsidRDefault="0046703C" w:rsidP="0046703C">
      <w:pPr>
        <w:spacing w:after="0" w:line="240" w:lineRule="auto"/>
        <w:ind w:hanging="720"/>
        <w:jc w:val="both"/>
        <w:rPr>
          <w:rFonts w:eastAsia="Calibri"/>
          <w:color w:val="auto"/>
          <w:sz w:val="24"/>
          <w:szCs w:val="24"/>
        </w:rPr>
      </w:pPr>
      <w:proofErr w:type="spellStart"/>
      <w:proofErr w:type="gramStart"/>
      <w:r w:rsidRPr="003813C9">
        <w:rPr>
          <w:rFonts w:eastAsia="Times New Roman"/>
          <w:color w:val="auto"/>
          <w:sz w:val="24"/>
          <w:szCs w:val="24"/>
        </w:rPr>
        <w:t>Shevlin</w:t>
      </w:r>
      <w:proofErr w:type="spellEnd"/>
      <w:r w:rsidRPr="003813C9">
        <w:rPr>
          <w:rFonts w:eastAsia="Times New Roman"/>
          <w:color w:val="auto"/>
          <w:sz w:val="24"/>
          <w:szCs w:val="24"/>
        </w:rPr>
        <w:t>, T. (2004).</w:t>
      </w:r>
      <w:proofErr w:type="gramEnd"/>
      <w:r w:rsidRPr="003813C9">
        <w:rPr>
          <w:rFonts w:eastAsia="Times New Roman"/>
          <w:color w:val="auto"/>
          <w:sz w:val="24"/>
          <w:szCs w:val="24"/>
        </w:rPr>
        <w:t xml:space="preserve"> </w:t>
      </w:r>
      <w:proofErr w:type="gramStart"/>
      <w:r w:rsidRPr="003813C9">
        <w:rPr>
          <w:rFonts w:eastAsia="Times New Roman"/>
          <w:color w:val="auto"/>
          <w:sz w:val="24"/>
          <w:szCs w:val="24"/>
        </w:rPr>
        <w:t>Discussion of a framework for the analysis of firm risk communication.</w:t>
      </w:r>
      <w:proofErr w:type="gramEnd"/>
      <w:r w:rsidRPr="003813C9">
        <w:rPr>
          <w:rFonts w:eastAsia="Times New Roman"/>
          <w:color w:val="auto"/>
          <w:sz w:val="24"/>
          <w:szCs w:val="24"/>
        </w:rPr>
        <w:t xml:space="preserve"> </w:t>
      </w:r>
      <w:r w:rsidRPr="003813C9">
        <w:rPr>
          <w:rFonts w:eastAsia="Times New Roman"/>
          <w:i/>
          <w:iCs/>
          <w:color w:val="auto"/>
          <w:sz w:val="24"/>
          <w:szCs w:val="24"/>
        </w:rPr>
        <w:t>The International Journal of Accounting</w:t>
      </w:r>
      <w:r w:rsidRPr="003813C9">
        <w:rPr>
          <w:rFonts w:eastAsia="Times New Roman"/>
          <w:color w:val="auto"/>
          <w:sz w:val="24"/>
          <w:szCs w:val="24"/>
        </w:rPr>
        <w:t xml:space="preserve">, </w:t>
      </w:r>
      <w:r w:rsidRPr="003813C9">
        <w:rPr>
          <w:rFonts w:eastAsia="Times New Roman"/>
          <w:i/>
          <w:iCs/>
          <w:color w:val="auto"/>
          <w:sz w:val="24"/>
          <w:szCs w:val="24"/>
        </w:rPr>
        <w:t>39</w:t>
      </w:r>
      <w:r w:rsidRPr="003813C9">
        <w:rPr>
          <w:rFonts w:eastAsia="Times New Roman"/>
          <w:color w:val="auto"/>
          <w:sz w:val="24"/>
          <w:szCs w:val="24"/>
        </w:rPr>
        <w:t>(3), 297-302.</w:t>
      </w:r>
    </w:p>
    <w:p w14:paraId="1C186EE1" w14:textId="77777777" w:rsidR="0046703C" w:rsidRPr="003813C9" w:rsidRDefault="0046703C" w:rsidP="0046703C">
      <w:pPr>
        <w:spacing w:after="0" w:line="240" w:lineRule="auto"/>
        <w:ind w:hanging="720"/>
        <w:jc w:val="both"/>
        <w:rPr>
          <w:rFonts w:eastAsia="Calibri"/>
          <w:color w:val="auto"/>
          <w:sz w:val="24"/>
          <w:szCs w:val="24"/>
        </w:rPr>
      </w:pPr>
    </w:p>
    <w:p w14:paraId="70628181" w14:textId="77777777" w:rsidR="0046703C" w:rsidRPr="003813C9" w:rsidRDefault="0046703C" w:rsidP="0046703C">
      <w:pPr>
        <w:spacing w:after="0" w:line="240" w:lineRule="auto"/>
        <w:ind w:hanging="720"/>
        <w:jc w:val="both"/>
        <w:rPr>
          <w:rFonts w:eastAsia="Calibri"/>
          <w:color w:val="auto"/>
          <w:sz w:val="24"/>
          <w:szCs w:val="24"/>
        </w:rPr>
      </w:pPr>
      <w:r w:rsidRPr="003813C9">
        <w:rPr>
          <w:rFonts w:eastAsia="Times New Roman"/>
          <w:color w:val="auto"/>
          <w:sz w:val="24"/>
          <w:szCs w:val="24"/>
        </w:rPr>
        <w:t>Singleton</w:t>
      </w:r>
      <w:r w:rsidRPr="003813C9">
        <w:rPr>
          <w:rFonts w:ascii="Cambria Math" w:eastAsia="Cambria Math" w:hAnsi="Cambria Math" w:cs="Cambria Math"/>
          <w:color w:val="auto"/>
          <w:sz w:val="24"/>
          <w:szCs w:val="24"/>
        </w:rPr>
        <w:t>‐</w:t>
      </w:r>
      <w:r w:rsidRPr="003813C9">
        <w:rPr>
          <w:rFonts w:eastAsia="Times New Roman"/>
          <w:color w:val="auto"/>
          <w:sz w:val="24"/>
          <w:szCs w:val="24"/>
        </w:rPr>
        <w:t xml:space="preserve">Green, B. (2012). Commentary: financial reporting and financial stability: Causes and effects. </w:t>
      </w:r>
      <w:r w:rsidRPr="003813C9">
        <w:rPr>
          <w:rFonts w:eastAsia="Times New Roman"/>
          <w:i/>
          <w:iCs/>
          <w:color w:val="auto"/>
          <w:sz w:val="24"/>
          <w:szCs w:val="24"/>
        </w:rPr>
        <w:t>Australian Accounting Review</w:t>
      </w:r>
      <w:r w:rsidRPr="003813C9">
        <w:rPr>
          <w:rFonts w:eastAsia="Times New Roman"/>
          <w:color w:val="auto"/>
          <w:sz w:val="24"/>
          <w:szCs w:val="24"/>
        </w:rPr>
        <w:t xml:space="preserve">, </w:t>
      </w:r>
      <w:r w:rsidRPr="003813C9">
        <w:rPr>
          <w:rFonts w:eastAsia="Times New Roman"/>
          <w:i/>
          <w:color w:val="auto"/>
          <w:sz w:val="24"/>
          <w:szCs w:val="24"/>
        </w:rPr>
        <w:t>22</w:t>
      </w:r>
      <w:r w:rsidRPr="003813C9">
        <w:rPr>
          <w:rFonts w:eastAsia="Times New Roman"/>
          <w:color w:val="auto"/>
          <w:sz w:val="24"/>
          <w:szCs w:val="24"/>
        </w:rPr>
        <w:t>(1), 15-17.</w:t>
      </w:r>
    </w:p>
    <w:p w14:paraId="0E0F34EB" w14:textId="77777777" w:rsidR="0046703C" w:rsidRPr="003813C9" w:rsidRDefault="0046703C" w:rsidP="0046703C">
      <w:pPr>
        <w:spacing w:after="0" w:line="240" w:lineRule="auto"/>
        <w:jc w:val="both"/>
        <w:rPr>
          <w:rFonts w:eastAsia="Calibri"/>
          <w:color w:val="auto"/>
          <w:sz w:val="24"/>
          <w:szCs w:val="24"/>
        </w:rPr>
      </w:pPr>
    </w:p>
    <w:p w14:paraId="786DC301" w14:textId="77777777" w:rsidR="0046703C" w:rsidRPr="003813C9" w:rsidRDefault="0046703C" w:rsidP="0046703C">
      <w:pPr>
        <w:spacing w:after="0" w:line="240" w:lineRule="auto"/>
        <w:ind w:hanging="720"/>
        <w:jc w:val="both"/>
        <w:rPr>
          <w:rFonts w:eastAsia="Times New Roman"/>
          <w:color w:val="auto"/>
          <w:sz w:val="24"/>
          <w:szCs w:val="24"/>
          <w:lang w:eastAsia="en-GB"/>
        </w:rPr>
      </w:pPr>
      <w:r w:rsidRPr="003813C9">
        <w:rPr>
          <w:rFonts w:eastAsia="Times New Roman"/>
          <w:color w:val="auto"/>
          <w:sz w:val="24"/>
          <w:szCs w:val="24"/>
          <w:lang w:eastAsia="en-GB"/>
        </w:rPr>
        <w:t xml:space="preserve">Solomon, J. F. (1999). Do institutional investors in the UK adopt a dual strategy for managing foreign exchange risk? </w:t>
      </w:r>
      <w:r w:rsidRPr="003813C9">
        <w:rPr>
          <w:rFonts w:eastAsia="Times New Roman"/>
          <w:i/>
          <w:iCs/>
          <w:color w:val="auto"/>
          <w:sz w:val="24"/>
          <w:szCs w:val="24"/>
          <w:lang w:eastAsia="en-GB"/>
        </w:rPr>
        <w:t>The British Accounting Review,</w:t>
      </w:r>
      <w:r w:rsidRPr="003813C9">
        <w:rPr>
          <w:rFonts w:eastAsia="Times New Roman"/>
          <w:color w:val="auto"/>
          <w:sz w:val="24"/>
          <w:szCs w:val="24"/>
          <w:lang w:eastAsia="en-GB"/>
        </w:rPr>
        <w:t xml:space="preserve"> </w:t>
      </w:r>
      <w:r w:rsidRPr="003813C9">
        <w:rPr>
          <w:rFonts w:eastAsia="Times New Roman"/>
          <w:i/>
          <w:iCs/>
          <w:color w:val="auto"/>
          <w:sz w:val="24"/>
          <w:szCs w:val="24"/>
          <w:lang w:eastAsia="en-GB"/>
        </w:rPr>
        <w:t>31</w:t>
      </w:r>
      <w:r w:rsidRPr="003813C9">
        <w:rPr>
          <w:rFonts w:eastAsia="Times New Roman"/>
          <w:color w:val="auto"/>
          <w:sz w:val="24"/>
          <w:szCs w:val="24"/>
          <w:lang w:eastAsia="en-GB"/>
        </w:rPr>
        <w:t>(1), 205-224.</w:t>
      </w:r>
    </w:p>
    <w:p w14:paraId="25DF00F0" w14:textId="77777777" w:rsidR="0046703C" w:rsidRPr="003813C9" w:rsidRDefault="0046703C" w:rsidP="0046703C">
      <w:pPr>
        <w:spacing w:after="0" w:line="240" w:lineRule="auto"/>
        <w:ind w:hanging="720"/>
        <w:jc w:val="both"/>
        <w:rPr>
          <w:rFonts w:eastAsia="Times New Roman"/>
          <w:color w:val="auto"/>
          <w:sz w:val="24"/>
          <w:szCs w:val="24"/>
          <w:lang w:eastAsia="en-GB"/>
        </w:rPr>
      </w:pPr>
    </w:p>
    <w:p w14:paraId="7733CF86" w14:textId="77777777" w:rsidR="006C16D9" w:rsidRPr="003813C9" w:rsidRDefault="0046703C" w:rsidP="006C16D9">
      <w:pPr>
        <w:spacing w:after="0" w:line="240" w:lineRule="auto"/>
        <w:ind w:hanging="720"/>
        <w:jc w:val="both"/>
        <w:rPr>
          <w:rFonts w:eastAsia="Times New Roman"/>
          <w:color w:val="auto"/>
          <w:sz w:val="24"/>
          <w:szCs w:val="24"/>
          <w:lang w:eastAsia="en-GB"/>
        </w:rPr>
      </w:pPr>
      <w:proofErr w:type="gramStart"/>
      <w:r w:rsidRPr="003813C9">
        <w:rPr>
          <w:rFonts w:eastAsia="Times New Roman"/>
          <w:color w:val="auto"/>
          <w:sz w:val="24"/>
          <w:szCs w:val="24"/>
          <w:lang w:eastAsia="en-GB"/>
        </w:rPr>
        <w:t>Solomon, J. F., Solomon, A., Norton, S. D., &amp; Joseph, N. L. (2000).</w:t>
      </w:r>
      <w:proofErr w:type="gramEnd"/>
      <w:r w:rsidRPr="003813C9">
        <w:rPr>
          <w:rFonts w:eastAsia="Times New Roman"/>
          <w:color w:val="auto"/>
          <w:sz w:val="24"/>
          <w:szCs w:val="24"/>
          <w:lang w:eastAsia="en-GB"/>
        </w:rPr>
        <w:t xml:space="preserve"> </w:t>
      </w:r>
      <w:proofErr w:type="gramStart"/>
      <w:r w:rsidRPr="003813C9">
        <w:rPr>
          <w:rFonts w:eastAsia="Times New Roman"/>
          <w:color w:val="auto"/>
          <w:sz w:val="24"/>
          <w:szCs w:val="24"/>
          <w:lang w:eastAsia="en-GB"/>
        </w:rPr>
        <w:t>A conceptual framework for corporate risk disclosure emerging from the agenda for corporate governance reform.</w:t>
      </w:r>
      <w:proofErr w:type="gramEnd"/>
      <w:r w:rsidRPr="003813C9">
        <w:rPr>
          <w:rFonts w:eastAsia="Times New Roman"/>
          <w:color w:val="auto"/>
          <w:sz w:val="24"/>
          <w:szCs w:val="24"/>
          <w:lang w:eastAsia="en-GB"/>
        </w:rPr>
        <w:t> </w:t>
      </w:r>
      <w:r w:rsidRPr="003813C9">
        <w:rPr>
          <w:rFonts w:eastAsia="Times New Roman"/>
          <w:i/>
          <w:iCs/>
          <w:color w:val="auto"/>
          <w:sz w:val="24"/>
          <w:szCs w:val="24"/>
          <w:lang w:eastAsia="en-GB"/>
        </w:rPr>
        <w:t>The British Accounting Review</w:t>
      </w:r>
      <w:r w:rsidRPr="003813C9">
        <w:rPr>
          <w:rFonts w:eastAsia="Times New Roman"/>
          <w:color w:val="auto"/>
          <w:sz w:val="24"/>
          <w:szCs w:val="24"/>
          <w:lang w:eastAsia="en-GB"/>
        </w:rPr>
        <w:t>, </w:t>
      </w:r>
      <w:r w:rsidRPr="003813C9">
        <w:rPr>
          <w:rFonts w:eastAsia="Times New Roman"/>
          <w:i/>
          <w:iCs/>
          <w:color w:val="auto"/>
          <w:sz w:val="24"/>
          <w:szCs w:val="24"/>
          <w:lang w:eastAsia="en-GB"/>
        </w:rPr>
        <w:t>32</w:t>
      </w:r>
      <w:r w:rsidRPr="003813C9">
        <w:rPr>
          <w:rFonts w:eastAsia="Times New Roman"/>
          <w:color w:val="auto"/>
          <w:sz w:val="24"/>
          <w:szCs w:val="24"/>
          <w:lang w:eastAsia="en-GB"/>
        </w:rPr>
        <w:t>(4), 447-478.</w:t>
      </w:r>
    </w:p>
    <w:p w14:paraId="19AD4DCE" w14:textId="77777777" w:rsidR="006C16D9" w:rsidRPr="003813C9" w:rsidRDefault="006C16D9" w:rsidP="006C16D9">
      <w:pPr>
        <w:spacing w:after="0" w:line="240" w:lineRule="auto"/>
        <w:ind w:hanging="720"/>
        <w:jc w:val="both"/>
        <w:rPr>
          <w:rFonts w:eastAsia="Times New Roman"/>
          <w:color w:val="auto"/>
          <w:sz w:val="24"/>
          <w:szCs w:val="24"/>
          <w:lang w:eastAsia="en-GB"/>
        </w:rPr>
      </w:pPr>
    </w:p>
    <w:p w14:paraId="288E90B5" w14:textId="77777777" w:rsidR="006C16D9" w:rsidRPr="003813C9" w:rsidRDefault="00880A75" w:rsidP="006C16D9">
      <w:pPr>
        <w:spacing w:after="0" w:line="240" w:lineRule="auto"/>
        <w:ind w:hanging="720"/>
        <w:jc w:val="both"/>
        <w:rPr>
          <w:rFonts w:eastAsia="Times New Roman"/>
          <w:i/>
          <w:color w:val="auto"/>
          <w:sz w:val="24"/>
          <w:szCs w:val="24"/>
          <w:lang w:eastAsia="en-GB"/>
        </w:rPr>
      </w:pPr>
      <w:proofErr w:type="gramStart"/>
      <w:r w:rsidRPr="003813C9">
        <w:rPr>
          <w:rFonts w:eastAsia="Times New Roman"/>
          <w:color w:val="auto"/>
          <w:sz w:val="24"/>
          <w:szCs w:val="24"/>
          <w:lang w:eastAsia="en-GB"/>
        </w:rPr>
        <w:t>Steele, F. (2008).</w:t>
      </w:r>
      <w:proofErr w:type="gramEnd"/>
      <w:r w:rsidRPr="003813C9">
        <w:rPr>
          <w:rFonts w:eastAsia="Times New Roman"/>
          <w:color w:val="auto"/>
          <w:sz w:val="24"/>
          <w:szCs w:val="24"/>
          <w:lang w:eastAsia="en-GB"/>
        </w:rPr>
        <w:t xml:space="preserve"> Multilevel models for longitudinal d</w:t>
      </w:r>
      <w:r w:rsidR="006C16D9" w:rsidRPr="003813C9">
        <w:rPr>
          <w:rFonts w:eastAsia="Times New Roman"/>
          <w:color w:val="auto"/>
          <w:sz w:val="24"/>
          <w:szCs w:val="24"/>
          <w:lang w:eastAsia="en-GB"/>
        </w:rPr>
        <w:t xml:space="preserve">ata. </w:t>
      </w:r>
      <w:r w:rsidR="006C16D9" w:rsidRPr="003813C9">
        <w:rPr>
          <w:rFonts w:eastAsia="Times New Roman"/>
          <w:i/>
          <w:color w:val="auto"/>
          <w:sz w:val="24"/>
          <w:szCs w:val="24"/>
          <w:lang w:eastAsia="en-GB"/>
        </w:rPr>
        <w:t xml:space="preserve">Journal of the Royal Statistical Society, </w:t>
      </w:r>
      <w:r w:rsidR="006C16D9" w:rsidRPr="003813C9">
        <w:rPr>
          <w:rFonts w:eastAsia="Times New Roman"/>
          <w:color w:val="auto"/>
          <w:sz w:val="24"/>
          <w:szCs w:val="24"/>
          <w:lang w:eastAsia="en-GB"/>
        </w:rPr>
        <w:t>Series A (171), 5-18.</w:t>
      </w:r>
      <w:r w:rsidR="006C16D9" w:rsidRPr="003813C9">
        <w:rPr>
          <w:rFonts w:eastAsia="Times New Roman"/>
          <w:color w:val="auto"/>
          <w:sz w:val="24"/>
          <w:szCs w:val="24"/>
          <w:lang w:eastAsia="en-GB"/>
        </w:rPr>
        <w:cr/>
      </w:r>
    </w:p>
    <w:p w14:paraId="0052446D" w14:textId="77777777" w:rsidR="0046703C" w:rsidRPr="003813C9" w:rsidRDefault="0046703C" w:rsidP="0046703C">
      <w:pPr>
        <w:autoSpaceDE w:val="0"/>
        <w:autoSpaceDN w:val="0"/>
        <w:adjustRightInd w:val="0"/>
        <w:spacing w:after="0" w:line="240" w:lineRule="auto"/>
        <w:ind w:hanging="720"/>
        <w:jc w:val="both"/>
        <w:rPr>
          <w:rFonts w:eastAsia="Calibri"/>
          <w:color w:val="auto"/>
          <w:sz w:val="24"/>
          <w:szCs w:val="24"/>
        </w:rPr>
      </w:pPr>
      <w:proofErr w:type="gramStart"/>
      <w:r w:rsidRPr="003813C9">
        <w:rPr>
          <w:rFonts w:eastAsia="Times New Roman"/>
          <w:color w:val="auto"/>
          <w:sz w:val="24"/>
          <w:szCs w:val="24"/>
        </w:rPr>
        <w:t>Taylor, G., Tower, G., &amp; Neilson, J. (2010).</w:t>
      </w:r>
      <w:proofErr w:type="gramEnd"/>
      <w:r w:rsidRPr="003813C9">
        <w:rPr>
          <w:rFonts w:eastAsia="Times New Roman"/>
          <w:color w:val="auto"/>
          <w:sz w:val="24"/>
          <w:szCs w:val="24"/>
        </w:rPr>
        <w:t xml:space="preserve"> </w:t>
      </w:r>
      <w:proofErr w:type="gramStart"/>
      <w:r w:rsidRPr="003813C9">
        <w:rPr>
          <w:rFonts w:eastAsia="Times New Roman"/>
          <w:color w:val="auto"/>
          <w:sz w:val="24"/>
          <w:szCs w:val="24"/>
        </w:rPr>
        <w:t>Corporate communication of financial risk.</w:t>
      </w:r>
      <w:proofErr w:type="gramEnd"/>
      <w:r w:rsidRPr="003813C9">
        <w:rPr>
          <w:rFonts w:eastAsia="Times New Roman"/>
          <w:color w:val="auto"/>
          <w:sz w:val="24"/>
          <w:szCs w:val="24"/>
        </w:rPr>
        <w:t xml:space="preserve"> </w:t>
      </w:r>
      <w:r w:rsidRPr="003813C9">
        <w:rPr>
          <w:rFonts w:eastAsia="Times New Roman"/>
          <w:i/>
          <w:iCs/>
          <w:color w:val="auto"/>
          <w:sz w:val="24"/>
          <w:szCs w:val="24"/>
        </w:rPr>
        <w:t>Accounting and Finance</w:t>
      </w:r>
      <w:r w:rsidRPr="003813C9">
        <w:rPr>
          <w:rFonts w:eastAsia="Times New Roman"/>
          <w:color w:val="auto"/>
          <w:sz w:val="24"/>
          <w:szCs w:val="24"/>
        </w:rPr>
        <w:t xml:space="preserve">, </w:t>
      </w:r>
      <w:r w:rsidRPr="003813C9">
        <w:rPr>
          <w:rFonts w:eastAsia="Times New Roman"/>
          <w:i/>
          <w:color w:val="auto"/>
          <w:sz w:val="24"/>
          <w:szCs w:val="24"/>
        </w:rPr>
        <w:t>50</w:t>
      </w:r>
      <w:r w:rsidRPr="003813C9">
        <w:rPr>
          <w:rFonts w:eastAsia="Times New Roman"/>
          <w:color w:val="auto"/>
          <w:sz w:val="24"/>
          <w:szCs w:val="24"/>
        </w:rPr>
        <w:t xml:space="preserve">(2), 417-446.           </w:t>
      </w:r>
    </w:p>
    <w:p w14:paraId="6F17C6D0" w14:textId="77777777" w:rsidR="0046703C" w:rsidRPr="003813C9" w:rsidRDefault="0046703C" w:rsidP="0046703C">
      <w:pPr>
        <w:autoSpaceDE w:val="0"/>
        <w:autoSpaceDN w:val="0"/>
        <w:adjustRightInd w:val="0"/>
        <w:spacing w:after="0" w:line="240" w:lineRule="auto"/>
        <w:ind w:hanging="720"/>
        <w:jc w:val="both"/>
        <w:rPr>
          <w:rFonts w:eastAsia="Calibri"/>
          <w:color w:val="auto"/>
          <w:sz w:val="24"/>
          <w:szCs w:val="24"/>
        </w:rPr>
      </w:pPr>
    </w:p>
    <w:bookmarkEnd w:id="0"/>
    <w:p w14:paraId="6627F90E" w14:textId="77777777" w:rsidR="00CD3DC4" w:rsidRPr="003813C9" w:rsidRDefault="00CD3DC4" w:rsidP="00770531">
      <w:pPr>
        <w:spacing w:after="0" w:line="240" w:lineRule="auto"/>
        <w:jc w:val="both"/>
        <w:rPr>
          <w:color w:val="auto"/>
          <w:sz w:val="24"/>
          <w:szCs w:val="24"/>
        </w:rPr>
      </w:pPr>
    </w:p>
    <w:p w14:paraId="268A7E68" w14:textId="77777777" w:rsidR="000B7235" w:rsidRDefault="000B7235" w:rsidP="00CD3DC4">
      <w:pPr>
        <w:spacing w:after="0" w:line="240" w:lineRule="auto"/>
        <w:ind w:hanging="720"/>
        <w:jc w:val="both"/>
        <w:rPr>
          <w:i/>
          <w:color w:val="auto"/>
          <w:sz w:val="24"/>
          <w:szCs w:val="24"/>
        </w:rPr>
      </w:pPr>
    </w:p>
    <w:p w14:paraId="01BCAB9C" w14:textId="77777777" w:rsidR="00610897" w:rsidRDefault="00610897" w:rsidP="00CD3DC4">
      <w:pPr>
        <w:spacing w:after="0" w:line="240" w:lineRule="auto"/>
        <w:ind w:hanging="720"/>
        <w:jc w:val="both"/>
        <w:rPr>
          <w:i/>
          <w:color w:val="auto"/>
          <w:sz w:val="24"/>
          <w:szCs w:val="24"/>
        </w:rPr>
      </w:pPr>
    </w:p>
    <w:p w14:paraId="3E1025D0" w14:textId="77777777" w:rsidR="00610897" w:rsidRDefault="00610897" w:rsidP="00CD3DC4">
      <w:pPr>
        <w:spacing w:after="0" w:line="240" w:lineRule="auto"/>
        <w:ind w:hanging="720"/>
        <w:jc w:val="both"/>
        <w:rPr>
          <w:i/>
          <w:color w:val="auto"/>
          <w:sz w:val="24"/>
          <w:szCs w:val="24"/>
        </w:rPr>
      </w:pPr>
    </w:p>
    <w:p w14:paraId="0C876181" w14:textId="77777777" w:rsidR="00610897" w:rsidRDefault="00610897" w:rsidP="00CD3DC4">
      <w:pPr>
        <w:spacing w:after="0" w:line="240" w:lineRule="auto"/>
        <w:ind w:hanging="720"/>
        <w:jc w:val="both"/>
        <w:rPr>
          <w:i/>
          <w:color w:val="auto"/>
          <w:sz w:val="24"/>
          <w:szCs w:val="24"/>
        </w:rPr>
      </w:pPr>
    </w:p>
    <w:p w14:paraId="7A7D9778" w14:textId="77777777" w:rsidR="00610897" w:rsidRDefault="00610897" w:rsidP="00CD3DC4">
      <w:pPr>
        <w:spacing w:after="0" w:line="240" w:lineRule="auto"/>
        <w:ind w:hanging="720"/>
        <w:jc w:val="both"/>
        <w:rPr>
          <w:i/>
          <w:color w:val="auto"/>
          <w:sz w:val="24"/>
          <w:szCs w:val="24"/>
        </w:rPr>
      </w:pPr>
    </w:p>
    <w:tbl>
      <w:tblPr>
        <w:tblStyle w:val="TableGrid11"/>
        <w:tblpPr w:leftFromText="180" w:rightFromText="180" w:vertAnchor="text" w:horzAnchor="margin" w:tblpXSpec="center" w:tblpY="-667"/>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3452"/>
        <w:gridCol w:w="6345"/>
      </w:tblGrid>
      <w:tr w:rsidR="00610897" w:rsidRPr="00610897" w14:paraId="7C97EF65" w14:textId="77777777" w:rsidTr="002441E4">
        <w:trPr>
          <w:trHeight w:val="281"/>
        </w:trPr>
        <w:tc>
          <w:tcPr>
            <w:tcW w:w="10173" w:type="dxa"/>
            <w:gridSpan w:val="3"/>
            <w:tcBorders>
              <w:top w:val="single" w:sz="4" w:space="0" w:color="auto"/>
              <w:bottom w:val="single" w:sz="4" w:space="0" w:color="auto"/>
            </w:tcBorders>
          </w:tcPr>
          <w:p w14:paraId="0A73C891" w14:textId="77777777" w:rsidR="00610897" w:rsidRPr="00610897" w:rsidRDefault="00610897" w:rsidP="00610897">
            <w:pPr>
              <w:keepNext/>
              <w:keepLines/>
              <w:tabs>
                <w:tab w:val="left" w:pos="7273"/>
              </w:tabs>
              <w:spacing w:before="40"/>
              <w:outlineLvl w:val="1"/>
              <w:rPr>
                <w:rFonts w:ascii="Garamond" w:hAnsi="Garamond"/>
                <w:b/>
                <w:color w:val="000000"/>
                <w:sz w:val="16"/>
                <w:szCs w:val="16"/>
              </w:rPr>
            </w:pPr>
            <w:r w:rsidRPr="00610897">
              <w:rPr>
                <w:rFonts w:ascii="Garamond" w:hAnsi="Garamond"/>
                <w:b/>
                <w:color w:val="000000"/>
                <w:sz w:val="16"/>
                <w:szCs w:val="16"/>
              </w:rPr>
              <w:t>Table 1</w:t>
            </w:r>
          </w:p>
          <w:p w14:paraId="16E22451"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The study sample is based on a search for articles dealing with risk reporting, published after 1997 in journals ranked as 3* (A) or 4* (A*) based on ABS (ABDC)</w:t>
            </w:r>
          </w:p>
        </w:tc>
      </w:tr>
      <w:tr w:rsidR="00610897" w:rsidRPr="00610897" w14:paraId="6F6258AF" w14:textId="77777777" w:rsidTr="002441E4">
        <w:trPr>
          <w:trHeight w:val="255"/>
        </w:trPr>
        <w:tc>
          <w:tcPr>
            <w:tcW w:w="10173" w:type="dxa"/>
            <w:gridSpan w:val="3"/>
            <w:tcBorders>
              <w:top w:val="single" w:sz="4" w:space="0" w:color="auto"/>
              <w:bottom w:val="single" w:sz="4" w:space="0" w:color="auto"/>
            </w:tcBorders>
          </w:tcPr>
          <w:p w14:paraId="6BC7E9D4" w14:textId="77777777" w:rsidR="00610897" w:rsidRPr="00610897" w:rsidRDefault="00610897" w:rsidP="00610897">
            <w:pPr>
              <w:ind w:right="-170"/>
              <w:rPr>
                <w:rFonts w:ascii="Garamond" w:eastAsia="Calibri" w:hAnsi="Garamond"/>
                <w:color w:val="000000"/>
                <w:sz w:val="16"/>
                <w:szCs w:val="16"/>
              </w:rPr>
            </w:pPr>
            <w:r w:rsidRPr="00610897">
              <w:rPr>
                <w:rFonts w:ascii="Garamond" w:eastAsia="Calibri" w:hAnsi="Garamond"/>
                <w:b/>
                <w:color w:val="000000"/>
                <w:sz w:val="16"/>
                <w:szCs w:val="16"/>
              </w:rPr>
              <w:t>Panel A</w:t>
            </w:r>
            <w:r w:rsidRPr="00610897">
              <w:rPr>
                <w:rFonts w:ascii="Garamond" w:eastAsia="Calibri" w:hAnsi="Garamond"/>
                <w:color w:val="000000"/>
                <w:sz w:val="16"/>
                <w:szCs w:val="16"/>
              </w:rPr>
              <w:t xml:space="preserve">: </w:t>
            </w:r>
            <w:r w:rsidRPr="00610897">
              <w:rPr>
                <w:rFonts w:ascii="Garamond" w:eastAsia="Calibri" w:hAnsi="Garamond"/>
                <w:b/>
                <w:color w:val="000000"/>
                <w:sz w:val="16"/>
                <w:szCs w:val="16"/>
              </w:rPr>
              <w:t xml:space="preserve">papers on incentives for risk reporting, </w:t>
            </w:r>
            <w:r w:rsidRPr="00610897">
              <w:rPr>
                <w:rFonts w:ascii="Garamond" w:eastAsia="Calibri" w:hAnsi="Garamond"/>
                <w:b/>
                <w:bCs/>
                <w:color w:val="000000"/>
                <w:sz w:val="16"/>
                <w:szCs w:val="16"/>
              </w:rPr>
              <w:t xml:space="preserve">presented in chronological order </w:t>
            </w:r>
            <w:r w:rsidRPr="00610897">
              <w:rPr>
                <w:rFonts w:ascii="Garamond" w:eastAsia="Calibri" w:hAnsi="Garamond"/>
                <w:b/>
                <w:color w:val="000000"/>
                <w:sz w:val="16"/>
                <w:szCs w:val="16"/>
              </w:rPr>
              <w:t>(16 papers discussed in Section 2, categorized in Section 5, and summarized in Table 2)</w:t>
            </w:r>
          </w:p>
        </w:tc>
      </w:tr>
      <w:tr w:rsidR="00610897" w:rsidRPr="00610897" w14:paraId="2DF76C2B" w14:textId="77777777" w:rsidTr="002441E4">
        <w:trPr>
          <w:trHeight w:val="255"/>
        </w:trPr>
        <w:tc>
          <w:tcPr>
            <w:tcW w:w="376" w:type="dxa"/>
            <w:tcBorders>
              <w:top w:val="single" w:sz="4" w:space="0" w:color="auto"/>
              <w:bottom w:val="single" w:sz="4" w:space="0" w:color="auto"/>
            </w:tcBorders>
          </w:tcPr>
          <w:p w14:paraId="2AF1165B"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N</w:t>
            </w:r>
          </w:p>
        </w:tc>
        <w:tc>
          <w:tcPr>
            <w:tcW w:w="3452" w:type="dxa"/>
            <w:tcBorders>
              <w:top w:val="single" w:sz="4" w:space="0" w:color="auto"/>
              <w:bottom w:val="single" w:sz="4" w:space="0" w:color="auto"/>
            </w:tcBorders>
          </w:tcPr>
          <w:p w14:paraId="7DF3605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Paper</w:t>
            </w:r>
          </w:p>
        </w:tc>
        <w:tc>
          <w:tcPr>
            <w:tcW w:w="6345" w:type="dxa"/>
            <w:tcBorders>
              <w:top w:val="single" w:sz="4" w:space="0" w:color="auto"/>
              <w:bottom w:val="single" w:sz="4" w:space="0" w:color="auto"/>
            </w:tcBorders>
          </w:tcPr>
          <w:p w14:paraId="7CC50901"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color w:val="000000"/>
                <w:sz w:val="16"/>
                <w:szCs w:val="16"/>
              </w:rPr>
              <w:t>Journal</w:t>
            </w:r>
          </w:p>
        </w:tc>
      </w:tr>
      <w:tr w:rsidR="00610897" w:rsidRPr="00610897" w14:paraId="3E8D823B" w14:textId="77777777" w:rsidTr="002441E4">
        <w:trPr>
          <w:trHeight w:val="255"/>
        </w:trPr>
        <w:tc>
          <w:tcPr>
            <w:tcW w:w="376" w:type="dxa"/>
            <w:tcBorders>
              <w:top w:val="single" w:sz="4" w:space="0" w:color="auto"/>
            </w:tcBorders>
          </w:tcPr>
          <w:p w14:paraId="07FD6A64"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 xml:space="preserve">1 </w:t>
            </w:r>
          </w:p>
        </w:tc>
        <w:tc>
          <w:tcPr>
            <w:tcW w:w="3452" w:type="dxa"/>
            <w:tcBorders>
              <w:top w:val="single" w:sz="4" w:space="0" w:color="auto"/>
            </w:tcBorders>
          </w:tcPr>
          <w:p w14:paraId="1FE73DB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Solomon (1999)</w:t>
            </w:r>
          </w:p>
        </w:tc>
        <w:tc>
          <w:tcPr>
            <w:tcW w:w="6345" w:type="dxa"/>
            <w:tcBorders>
              <w:top w:val="single" w:sz="4" w:space="0" w:color="auto"/>
            </w:tcBorders>
          </w:tcPr>
          <w:p w14:paraId="053788F3"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The British Accounting Review (BAR)</w:t>
            </w:r>
          </w:p>
        </w:tc>
      </w:tr>
      <w:tr w:rsidR="00610897" w:rsidRPr="00610897" w14:paraId="1BC79DED" w14:textId="77777777" w:rsidTr="002441E4">
        <w:trPr>
          <w:trHeight w:val="255"/>
        </w:trPr>
        <w:tc>
          <w:tcPr>
            <w:tcW w:w="376" w:type="dxa"/>
          </w:tcPr>
          <w:p w14:paraId="55C9F4DD"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 xml:space="preserve">2 </w:t>
            </w:r>
          </w:p>
        </w:tc>
        <w:tc>
          <w:tcPr>
            <w:tcW w:w="3452" w:type="dxa"/>
          </w:tcPr>
          <w:p w14:paraId="3FC39D8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Solomon, </w:t>
            </w:r>
            <w:r w:rsidRPr="00610897">
              <w:rPr>
                <w:rFonts w:ascii="Garamond" w:eastAsia="Calibri" w:hAnsi="Garamond"/>
                <w:color w:val="000000"/>
                <w:sz w:val="16"/>
                <w:szCs w:val="16"/>
                <w:lang w:val="en-US"/>
              </w:rPr>
              <w:t>Solomon, Norton, and Joseph</w:t>
            </w:r>
            <w:r w:rsidRPr="00610897">
              <w:rPr>
                <w:rFonts w:ascii="Garamond" w:eastAsia="Calibri" w:hAnsi="Garamond"/>
                <w:color w:val="000000"/>
                <w:sz w:val="16"/>
                <w:szCs w:val="16"/>
              </w:rPr>
              <w:t xml:space="preserve"> (2000)</w:t>
            </w:r>
          </w:p>
        </w:tc>
        <w:tc>
          <w:tcPr>
            <w:tcW w:w="6345" w:type="dxa"/>
          </w:tcPr>
          <w:p w14:paraId="4E7FE6D7"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The British Accounting Review (BAR)</w:t>
            </w:r>
          </w:p>
        </w:tc>
      </w:tr>
      <w:tr w:rsidR="00610897" w:rsidRPr="00610897" w14:paraId="13F18A62" w14:textId="77777777" w:rsidTr="002441E4">
        <w:trPr>
          <w:trHeight w:val="255"/>
        </w:trPr>
        <w:tc>
          <w:tcPr>
            <w:tcW w:w="376" w:type="dxa"/>
          </w:tcPr>
          <w:p w14:paraId="54023C14"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 xml:space="preserve">3 </w:t>
            </w:r>
          </w:p>
        </w:tc>
        <w:tc>
          <w:tcPr>
            <w:tcW w:w="3452" w:type="dxa"/>
          </w:tcPr>
          <w:p w14:paraId="74C7A0D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Beretta and </w:t>
            </w:r>
            <w:proofErr w:type="spellStart"/>
            <w:r w:rsidRPr="00610897">
              <w:rPr>
                <w:rFonts w:ascii="Garamond" w:eastAsia="Calibri" w:hAnsi="Garamond"/>
                <w:color w:val="000000"/>
                <w:sz w:val="16"/>
                <w:szCs w:val="16"/>
              </w:rPr>
              <w:t>Bozzolan</w:t>
            </w:r>
            <w:proofErr w:type="spellEnd"/>
            <w:r w:rsidRPr="00610897">
              <w:rPr>
                <w:rFonts w:ascii="Garamond" w:eastAsia="Calibri" w:hAnsi="Garamond"/>
                <w:color w:val="000000"/>
                <w:sz w:val="16"/>
                <w:szCs w:val="16"/>
              </w:rPr>
              <w:t xml:space="preserve"> (2004)</w:t>
            </w:r>
          </w:p>
        </w:tc>
        <w:tc>
          <w:tcPr>
            <w:tcW w:w="6345" w:type="dxa"/>
          </w:tcPr>
          <w:p w14:paraId="2971F5DB"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The International Journal of Accounting (IJOA)</w:t>
            </w:r>
          </w:p>
        </w:tc>
      </w:tr>
      <w:tr w:rsidR="00610897" w:rsidRPr="00610897" w14:paraId="33812673" w14:textId="77777777" w:rsidTr="002441E4">
        <w:trPr>
          <w:trHeight w:val="72"/>
        </w:trPr>
        <w:tc>
          <w:tcPr>
            <w:tcW w:w="376" w:type="dxa"/>
          </w:tcPr>
          <w:p w14:paraId="34569171"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 xml:space="preserve">4 </w:t>
            </w:r>
          </w:p>
        </w:tc>
        <w:tc>
          <w:tcPr>
            <w:tcW w:w="3452" w:type="dxa"/>
          </w:tcPr>
          <w:p w14:paraId="78166C98" w14:textId="77777777" w:rsidR="00610897" w:rsidRPr="00610897" w:rsidRDefault="00610897" w:rsidP="00610897">
            <w:pPr>
              <w:spacing w:after="80"/>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Linsley</w:t>
            </w:r>
            <w:proofErr w:type="spellEnd"/>
            <w:r w:rsidRPr="00610897">
              <w:rPr>
                <w:rFonts w:ascii="Garamond" w:eastAsia="Calibri" w:hAnsi="Garamond"/>
                <w:color w:val="000000"/>
                <w:sz w:val="16"/>
                <w:szCs w:val="16"/>
              </w:rPr>
              <w:t xml:space="preserve"> and Shrives (2006)</w:t>
            </w:r>
          </w:p>
        </w:tc>
        <w:tc>
          <w:tcPr>
            <w:tcW w:w="6345" w:type="dxa"/>
          </w:tcPr>
          <w:p w14:paraId="0F510D8A"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The British Accounting Review (BAR)</w:t>
            </w:r>
          </w:p>
        </w:tc>
      </w:tr>
      <w:tr w:rsidR="00610897" w:rsidRPr="00610897" w14:paraId="7737983A" w14:textId="77777777" w:rsidTr="002441E4">
        <w:trPr>
          <w:trHeight w:val="267"/>
        </w:trPr>
        <w:tc>
          <w:tcPr>
            <w:tcW w:w="376" w:type="dxa"/>
          </w:tcPr>
          <w:p w14:paraId="7CACCFE8"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 xml:space="preserve">5 </w:t>
            </w:r>
          </w:p>
        </w:tc>
        <w:tc>
          <w:tcPr>
            <w:tcW w:w="3452" w:type="dxa"/>
          </w:tcPr>
          <w:p w14:paraId="0CB0F81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Abraham and Cox (2007)</w:t>
            </w:r>
          </w:p>
        </w:tc>
        <w:tc>
          <w:tcPr>
            <w:tcW w:w="6345" w:type="dxa"/>
          </w:tcPr>
          <w:p w14:paraId="7C2A20C1"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The British Accounting Review (BAR)</w:t>
            </w:r>
          </w:p>
        </w:tc>
      </w:tr>
      <w:tr w:rsidR="00610897" w:rsidRPr="00610897" w14:paraId="24EEA164" w14:textId="77777777" w:rsidTr="002441E4">
        <w:trPr>
          <w:trHeight w:val="267"/>
        </w:trPr>
        <w:tc>
          <w:tcPr>
            <w:tcW w:w="376" w:type="dxa"/>
          </w:tcPr>
          <w:p w14:paraId="2AD7DC89"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 xml:space="preserve">6 </w:t>
            </w:r>
          </w:p>
        </w:tc>
        <w:tc>
          <w:tcPr>
            <w:tcW w:w="3452" w:type="dxa"/>
          </w:tcPr>
          <w:p w14:paraId="36344A2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Marshall and </w:t>
            </w:r>
            <w:proofErr w:type="spellStart"/>
            <w:r w:rsidRPr="00610897">
              <w:rPr>
                <w:rFonts w:ascii="Garamond" w:eastAsia="Calibri" w:hAnsi="Garamond"/>
                <w:color w:val="000000"/>
                <w:sz w:val="16"/>
                <w:szCs w:val="16"/>
              </w:rPr>
              <w:t>Weetman</w:t>
            </w:r>
            <w:proofErr w:type="spellEnd"/>
            <w:r w:rsidRPr="00610897">
              <w:rPr>
                <w:rFonts w:ascii="Garamond" w:eastAsia="Calibri" w:hAnsi="Garamond"/>
                <w:color w:val="000000"/>
                <w:sz w:val="16"/>
                <w:szCs w:val="16"/>
              </w:rPr>
              <w:t xml:space="preserve"> (2007)</w:t>
            </w:r>
          </w:p>
        </w:tc>
        <w:tc>
          <w:tcPr>
            <w:tcW w:w="6345" w:type="dxa"/>
          </w:tcPr>
          <w:p w14:paraId="0F0DF14C"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Journal of Business Finance and Accounting (JBFA)</w:t>
            </w:r>
          </w:p>
        </w:tc>
      </w:tr>
      <w:tr w:rsidR="00610897" w:rsidRPr="00610897" w14:paraId="7A51B53E" w14:textId="77777777" w:rsidTr="002441E4">
        <w:trPr>
          <w:trHeight w:val="255"/>
        </w:trPr>
        <w:tc>
          <w:tcPr>
            <w:tcW w:w="376" w:type="dxa"/>
          </w:tcPr>
          <w:p w14:paraId="71B23651"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 xml:space="preserve">7 </w:t>
            </w:r>
          </w:p>
        </w:tc>
        <w:tc>
          <w:tcPr>
            <w:tcW w:w="3452" w:type="dxa"/>
          </w:tcPr>
          <w:p w14:paraId="5CDABC15"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Deumes</w:t>
            </w:r>
            <w:proofErr w:type="spellEnd"/>
            <w:r w:rsidRPr="00610897">
              <w:rPr>
                <w:rFonts w:ascii="Garamond" w:eastAsia="Calibri" w:hAnsi="Garamond"/>
                <w:color w:val="000000"/>
                <w:sz w:val="16"/>
                <w:szCs w:val="16"/>
              </w:rPr>
              <w:t xml:space="preserve"> and </w:t>
            </w:r>
            <w:proofErr w:type="spellStart"/>
            <w:r w:rsidRPr="00610897">
              <w:rPr>
                <w:rFonts w:ascii="Garamond" w:eastAsia="Calibri" w:hAnsi="Garamond"/>
                <w:color w:val="000000"/>
                <w:sz w:val="16"/>
                <w:szCs w:val="16"/>
              </w:rPr>
              <w:t>Knechel</w:t>
            </w:r>
            <w:proofErr w:type="spellEnd"/>
            <w:r w:rsidRPr="00610897">
              <w:rPr>
                <w:rFonts w:ascii="Garamond" w:eastAsia="Calibri" w:hAnsi="Garamond"/>
                <w:color w:val="000000"/>
                <w:sz w:val="16"/>
                <w:szCs w:val="16"/>
              </w:rPr>
              <w:t xml:space="preserve"> (2008)</w:t>
            </w:r>
          </w:p>
        </w:tc>
        <w:tc>
          <w:tcPr>
            <w:tcW w:w="6345" w:type="dxa"/>
          </w:tcPr>
          <w:p w14:paraId="4E6E58CE"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Auditing: A Journal of Practice and Theory (AJPT)</w:t>
            </w:r>
          </w:p>
        </w:tc>
      </w:tr>
      <w:tr w:rsidR="00610897" w:rsidRPr="00610897" w14:paraId="01D4E257" w14:textId="77777777" w:rsidTr="002441E4">
        <w:trPr>
          <w:trHeight w:val="255"/>
        </w:trPr>
        <w:tc>
          <w:tcPr>
            <w:tcW w:w="376" w:type="dxa"/>
          </w:tcPr>
          <w:p w14:paraId="2BA306A2"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8</w:t>
            </w:r>
          </w:p>
        </w:tc>
        <w:tc>
          <w:tcPr>
            <w:tcW w:w="3452" w:type="dxa"/>
          </w:tcPr>
          <w:p w14:paraId="2842391D" w14:textId="77777777" w:rsidR="00610897" w:rsidRPr="00610897" w:rsidRDefault="00610897" w:rsidP="00610897">
            <w:pPr>
              <w:tabs>
                <w:tab w:val="left" w:pos="2330"/>
              </w:tabs>
              <w:jc w:val="both"/>
              <w:rPr>
                <w:rFonts w:ascii="Garamond" w:eastAsia="Calibri" w:hAnsi="Garamond"/>
                <w:color w:val="000000"/>
                <w:sz w:val="16"/>
                <w:szCs w:val="16"/>
              </w:rPr>
            </w:pPr>
            <w:r w:rsidRPr="00610897">
              <w:rPr>
                <w:rFonts w:ascii="Garamond" w:eastAsia="Calibri" w:hAnsi="Garamond"/>
                <w:color w:val="000000"/>
                <w:sz w:val="16"/>
                <w:szCs w:val="16"/>
              </w:rPr>
              <w:t>Hill and Short (2009)</w:t>
            </w:r>
            <w:r w:rsidRPr="00610897">
              <w:rPr>
                <w:rFonts w:ascii="Garamond" w:eastAsia="Calibri" w:hAnsi="Garamond"/>
                <w:color w:val="000000"/>
                <w:sz w:val="16"/>
                <w:szCs w:val="16"/>
              </w:rPr>
              <w:tab/>
            </w:r>
          </w:p>
        </w:tc>
        <w:tc>
          <w:tcPr>
            <w:tcW w:w="6345" w:type="dxa"/>
          </w:tcPr>
          <w:p w14:paraId="0F95D339"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Accounting and Finance (AF)</w:t>
            </w:r>
          </w:p>
        </w:tc>
      </w:tr>
      <w:tr w:rsidR="00610897" w:rsidRPr="00610897" w14:paraId="744BD36B" w14:textId="77777777" w:rsidTr="002441E4">
        <w:trPr>
          <w:trHeight w:val="255"/>
        </w:trPr>
        <w:tc>
          <w:tcPr>
            <w:tcW w:w="376" w:type="dxa"/>
          </w:tcPr>
          <w:p w14:paraId="5EFBD2A9"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9</w:t>
            </w:r>
          </w:p>
        </w:tc>
        <w:tc>
          <w:tcPr>
            <w:tcW w:w="3452" w:type="dxa"/>
          </w:tcPr>
          <w:p w14:paraId="7DCD79E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Taylor, Tower, and Neilson (2010)</w:t>
            </w:r>
          </w:p>
        </w:tc>
        <w:tc>
          <w:tcPr>
            <w:tcW w:w="6345" w:type="dxa"/>
          </w:tcPr>
          <w:p w14:paraId="4ECB9CD1"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Accounting and Finance (AF)</w:t>
            </w:r>
          </w:p>
        </w:tc>
      </w:tr>
      <w:tr w:rsidR="00610897" w:rsidRPr="00610897" w14:paraId="501E8650" w14:textId="77777777" w:rsidTr="002441E4">
        <w:trPr>
          <w:trHeight w:val="255"/>
        </w:trPr>
        <w:tc>
          <w:tcPr>
            <w:tcW w:w="376" w:type="dxa"/>
          </w:tcPr>
          <w:p w14:paraId="1BFA9361"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 xml:space="preserve">10 </w:t>
            </w:r>
          </w:p>
        </w:tc>
        <w:tc>
          <w:tcPr>
            <w:tcW w:w="3452" w:type="dxa"/>
          </w:tcPr>
          <w:p w14:paraId="76F4AC1A"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Miihkinen</w:t>
            </w:r>
            <w:proofErr w:type="spellEnd"/>
            <w:r w:rsidRPr="00610897">
              <w:rPr>
                <w:rFonts w:ascii="Garamond" w:eastAsia="Calibri" w:hAnsi="Garamond"/>
                <w:color w:val="000000"/>
                <w:sz w:val="16"/>
                <w:szCs w:val="16"/>
              </w:rPr>
              <w:t xml:space="preserve"> (2012)</w:t>
            </w:r>
          </w:p>
        </w:tc>
        <w:tc>
          <w:tcPr>
            <w:tcW w:w="6345" w:type="dxa"/>
          </w:tcPr>
          <w:p w14:paraId="237B66AB"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The International Journal of Accounting (IJOA)</w:t>
            </w:r>
          </w:p>
        </w:tc>
      </w:tr>
      <w:tr w:rsidR="00610897" w:rsidRPr="00610897" w14:paraId="49E2C66A" w14:textId="77777777" w:rsidTr="002441E4">
        <w:trPr>
          <w:trHeight w:val="255"/>
        </w:trPr>
        <w:tc>
          <w:tcPr>
            <w:tcW w:w="376" w:type="dxa"/>
          </w:tcPr>
          <w:p w14:paraId="3E137CE2"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 xml:space="preserve">11 </w:t>
            </w:r>
          </w:p>
        </w:tc>
        <w:tc>
          <w:tcPr>
            <w:tcW w:w="3452" w:type="dxa"/>
          </w:tcPr>
          <w:p w14:paraId="0CAAD16E"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Barakat</w:t>
            </w:r>
            <w:proofErr w:type="spellEnd"/>
            <w:r w:rsidRPr="00610897">
              <w:rPr>
                <w:rFonts w:ascii="Garamond" w:eastAsia="Calibri" w:hAnsi="Garamond"/>
                <w:color w:val="000000"/>
                <w:sz w:val="16"/>
                <w:szCs w:val="16"/>
              </w:rPr>
              <w:t xml:space="preserve"> and Hussainey (2013)</w:t>
            </w:r>
          </w:p>
        </w:tc>
        <w:tc>
          <w:tcPr>
            <w:tcW w:w="6345" w:type="dxa"/>
          </w:tcPr>
          <w:p w14:paraId="10312EF2"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International Review of Financial Analysis (IRFA)</w:t>
            </w:r>
          </w:p>
        </w:tc>
      </w:tr>
      <w:tr w:rsidR="00610897" w:rsidRPr="00610897" w14:paraId="0A801696" w14:textId="77777777" w:rsidTr="002441E4">
        <w:trPr>
          <w:trHeight w:val="255"/>
        </w:trPr>
        <w:tc>
          <w:tcPr>
            <w:tcW w:w="376" w:type="dxa"/>
          </w:tcPr>
          <w:p w14:paraId="1BE2BBCF"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 xml:space="preserve">12 </w:t>
            </w:r>
          </w:p>
        </w:tc>
        <w:tc>
          <w:tcPr>
            <w:tcW w:w="3452" w:type="dxa"/>
          </w:tcPr>
          <w:p w14:paraId="644BABD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Elshandidy, Fraser, and Hussainey (2013)</w:t>
            </w:r>
          </w:p>
        </w:tc>
        <w:tc>
          <w:tcPr>
            <w:tcW w:w="6345" w:type="dxa"/>
          </w:tcPr>
          <w:p w14:paraId="460D6247"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International Review of Financial Analysis (IRFA)</w:t>
            </w:r>
          </w:p>
        </w:tc>
      </w:tr>
      <w:tr w:rsidR="00610897" w:rsidRPr="00610897" w14:paraId="54E0E0A9" w14:textId="77777777" w:rsidTr="002441E4">
        <w:trPr>
          <w:trHeight w:val="267"/>
        </w:trPr>
        <w:tc>
          <w:tcPr>
            <w:tcW w:w="376" w:type="dxa"/>
          </w:tcPr>
          <w:p w14:paraId="6EEF3555"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 xml:space="preserve">13 </w:t>
            </w:r>
          </w:p>
        </w:tc>
        <w:tc>
          <w:tcPr>
            <w:tcW w:w="3452" w:type="dxa"/>
          </w:tcPr>
          <w:p w14:paraId="69DDEA99"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Ntim, </w:t>
            </w:r>
            <w:proofErr w:type="spellStart"/>
            <w:r w:rsidRPr="00610897">
              <w:rPr>
                <w:rFonts w:ascii="Garamond" w:eastAsia="Calibri" w:hAnsi="Garamond"/>
                <w:color w:val="000000"/>
                <w:sz w:val="16"/>
                <w:szCs w:val="16"/>
                <w:lang w:val="en-US"/>
              </w:rPr>
              <w:t>Lindop</w:t>
            </w:r>
            <w:proofErr w:type="spellEnd"/>
            <w:r w:rsidRPr="00610897">
              <w:rPr>
                <w:rFonts w:ascii="Garamond" w:eastAsia="Calibri" w:hAnsi="Garamond"/>
                <w:color w:val="000000"/>
                <w:sz w:val="16"/>
                <w:szCs w:val="16"/>
                <w:lang w:val="en-US"/>
              </w:rPr>
              <w:t>, and Thomas</w:t>
            </w:r>
            <w:r w:rsidRPr="00610897">
              <w:rPr>
                <w:rFonts w:ascii="Garamond" w:eastAsia="Calibri" w:hAnsi="Garamond"/>
                <w:color w:val="000000"/>
                <w:sz w:val="16"/>
                <w:szCs w:val="16"/>
              </w:rPr>
              <w:t xml:space="preserve"> (2013)</w:t>
            </w:r>
          </w:p>
        </w:tc>
        <w:tc>
          <w:tcPr>
            <w:tcW w:w="6345" w:type="dxa"/>
          </w:tcPr>
          <w:p w14:paraId="017DDF01"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International Review of Financial Analysis (IRFA)</w:t>
            </w:r>
          </w:p>
        </w:tc>
      </w:tr>
      <w:tr w:rsidR="00610897" w:rsidRPr="00610897" w14:paraId="4D434C51" w14:textId="77777777" w:rsidTr="002441E4">
        <w:trPr>
          <w:trHeight w:val="267"/>
        </w:trPr>
        <w:tc>
          <w:tcPr>
            <w:tcW w:w="376" w:type="dxa"/>
          </w:tcPr>
          <w:p w14:paraId="52178F2F"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14</w:t>
            </w:r>
          </w:p>
        </w:tc>
        <w:tc>
          <w:tcPr>
            <w:tcW w:w="3452" w:type="dxa"/>
          </w:tcPr>
          <w:p w14:paraId="6CDCD09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Elshandidy, Fraser, and Hussainey (2015)</w:t>
            </w:r>
          </w:p>
        </w:tc>
        <w:tc>
          <w:tcPr>
            <w:tcW w:w="6345" w:type="dxa"/>
          </w:tcPr>
          <w:p w14:paraId="6E3A4A5A"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The British Accounting Review (BAR)</w:t>
            </w:r>
          </w:p>
        </w:tc>
      </w:tr>
      <w:tr w:rsidR="00610897" w:rsidRPr="00610897" w14:paraId="46BEFF2A" w14:textId="77777777" w:rsidTr="002441E4">
        <w:trPr>
          <w:trHeight w:val="267"/>
        </w:trPr>
        <w:tc>
          <w:tcPr>
            <w:tcW w:w="376" w:type="dxa"/>
          </w:tcPr>
          <w:p w14:paraId="29D38F60"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15</w:t>
            </w:r>
          </w:p>
        </w:tc>
        <w:tc>
          <w:tcPr>
            <w:tcW w:w="3452" w:type="dxa"/>
          </w:tcPr>
          <w:p w14:paraId="34302872"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Malafronte</w:t>
            </w:r>
            <w:proofErr w:type="spellEnd"/>
            <w:r w:rsidRPr="00610897">
              <w:rPr>
                <w:rFonts w:ascii="Garamond" w:eastAsia="Calibri" w:hAnsi="Garamond"/>
                <w:color w:val="000000"/>
                <w:sz w:val="16"/>
                <w:szCs w:val="16"/>
              </w:rPr>
              <w:t xml:space="preserve">, </w:t>
            </w:r>
            <w:proofErr w:type="spellStart"/>
            <w:r w:rsidRPr="00610897">
              <w:rPr>
                <w:rFonts w:ascii="Garamond" w:eastAsia="Calibri" w:hAnsi="Garamond"/>
                <w:color w:val="000000"/>
                <w:sz w:val="16"/>
                <w:szCs w:val="16"/>
              </w:rPr>
              <w:t>Porzio</w:t>
            </w:r>
            <w:proofErr w:type="spellEnd"/>
            <w:r w:rsidRPr="00610897">
              <w:rPr>
                <w:rFonts w:ascii="Garamond" w:eastAsia="Calibri" w:hAnsi="Garamond"/>
                <w:color w:val="000000"/>
                <w:sz w:val="16"/>
                <w:szCs w:val="16"/>
              </w:rPr>
              <w:t xml:space="preserve">, and </w:t>
            </w:r>
            <w:proofErr w:type="spellStart"/>
            <w:r w:rsidRPr="00610897">
              <w:rPr>
                <w:rFonts w:ascii="Garamond" w:eastAsia="Calibri" w:hAnsi="Garamond"/>
                <w:color w:val="000000"/>
                <w:sz w:val="16"/>
                <w:szCs w:val="16"/>
              </w:rPr>
              <w:t>Starita</w:t>
            </w:r>
            <w:proofErr w:type="spellEnd"/>
            <w:r w:rsidRPr="00610897">
              <w:rPr>
                <w:rFonts w:ascii="Garamond" w:eastAsia="Calibri" w:hAnsi="Garamond"/>
                <w:color w:val="000000"/>
                <w:sz w:val="16"/>
                <w:szCs w:val="16"/>
              </w:rPr>
              <w:t xml:space="preserve"> (2016)</w:t>
            </w:r>
          </w:p>
        </w:tc>
        <w:tc>
          <w:tcPr>
            <w:tcW w:w="6345" w:type="dxa"/>
          </w:tcPr>
          <w:p w14:paraId="368C7DB3"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International Review of Financial Analysis (IRFA)</w:t>
            </w:r>
          </w:p>
        </w:tc>
      </w:tr>
      <w:tr w:rsidR="00610897" w:rsidRPr="00610897" w14:paraId="66829222" w14:textId="77777777" w:rsidTr="002441E4">
        <w:trPr>
          <w:trHeight w:val="255"/>
        </w:trPr>
        <w:tc>
          <w:tcPr>
            <w:tcW w:w="376" w:type="dxa"/>
            <w:tcBorders>
              <w:bottom w:val="single" w:sz="4" w:space="0" w:color="auto"/>
            </w:tcBorders>
          </w:tcPr>
          <w:p w14:paraId="284FBE82"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16</w:t>
            </w:r>
          </w:p>
        </w:tc>
        <w:tc>
          <w:tcPr>
            <w:tcW w:w="3452" w:type="dxa"/>
            <w:tcBorders>
              <w:bottom w:val="single" w:sz="4" w:space="0" w:color="auto"/>
            </w:tcBorders>
          </w:tcPr>
          <w:p w14:paraId="164C494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Al-</w:t>
            </w:r>
            <w:proofErr w:type="spellStart"/>
            <w:r w:rsidRPr="00610897">
              <w:rPr>
                <w:rFonts w:ascii="Garamond" w:eastAsia="Calibri" w:hAnsi="Garamond"/>
                <w:color w:val="000000"/>
                <w:sz w:val="16"/>
                <w:szCs w:val="16"/>
              </w:rPr>
              <w:t>Hadi</w:t>
            </w:r>
            <w:proofErr w:type="spellEnd"/>
            <w:r w:rsidRPr="00610897">
              <w:rPr>
                <w:rFonts w:ascii="Garamond" w:eastAsia="Calibri" w:hAnsi="Garamond"/>
                <w:color w:val="000000"/>
                <w:sz w:val="16"/>
                <w:szCs w:val="16"/>
              </w:rPr>
              <w:t>, Hasan, and Habib (2016)</w:t>
            </w:r>
          </w:p>
        </w:tc>
        <w:tc>
          <w:tcPr>
            <w:tcW w:w="6345" w:type="dxa"/>
            <w:tcBorders>
              <w:bottom w:val="single" w:sz="4" w:space="0" w:color="auto"/>
            </w:tcBorders>
          </w:tcPr>
          <w:p w14:paraId="07A52B80"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Corporate Governance: An International Review (CGIR)</w:t>
            </w:r>
          </w:p>
        </w:tc>
      </w:tr>
      <w:tr w:rsidR="00610897" w:rsidRPr="00610897" w14:paraId="44CECEEB" w14:textId="77777777" w:rsidTr="002441E4">
        <w:trPr>
          <w:trHeight w:val="255"/>
        </w:trPr>
        <w:tc>
          <w:tcPr>
            <w:tcW w:w="10173" w:type="dxa"/>
            <w:gridSpan w:val="3"/>
            <w:tcBorders>
              <w:top w:val="single" w:sz="4" w:space="0" w:color="auto"/>
              <w:bottom w:val="single" w:sz="4" w:space="0" w:color="auto"/>
            </w:tcBorders>
          </w:tcPr>
          <w:p w14:paraId="3A2D0AE1" w14:textId="77777777" w:rsidR="00610897" w:rsidRPr="00610897" w:rsidRDefault="00610897" w:rsidP="00610897">
            <w:pPr>
              <w:ind w:right="-170"/>
              <w:rPr>
                <w:rFonts w:ascii="Garamond" w:eastAsia="Calibri" w:hAnsi="Garamond"/>
                <w:b/>
                <w:color w:val="000000"/>
                <w:sz w:val="16"/>
                <w:szCs w:val="16"/>
              </w:rPr>
            </w:pPr>
            <w:r w:rsidRPr="00610897">
              <w:rPr>
                <w:rFonts w:ascii="Garamond" w:eastAsia="Calibri" w:hAnsi="Garamond"/>
                <w:b/>
                <w:color w:val="000000"/>
                <w:sz w:val="16"/>
                <w:szCs w:val="16"/>
              </w:rPr>
              <w:t>Panel B</w:t>
            </w:r>
            <w:r w:rsidRPr="00610897">
              <w:rPr>
                <w:rFonts w:ascii="Garamond" w:eastAsia="Calibri" w:hAnsi="Garamond"/>
                <w:color w:val="000000"/>
                <w:sz w:val="16"/>
                <w:szCs w:val="16"/>
              </w:rPr>
              <w:t xml:space="preserve">: </w:t>
            </w:r>
            <w:r w:rsidRPr="00610897">
              <w:rPr>
                <w:rFonts w:ascii="Garamond" w:eastAsia="Calibri" w:hAnsi="Garamond"/>
                <w:b/>
                <w:color w:val="000000"/>
                <w:sz w:val="16"/>
                <w:szCs w:val="16"/>
              </w:rPr>
              <w:t xml:space="preserve">papers on </w:t>
            </w:r>
            <w:proofErr w:type="spellStart"/>
            <w:r w:rsidRPr="00610897">
              <w:rPr>
                <w:rFonts w:ascii="Garamond" w:eastAsia="Calibri" w:hAnsi="Garamond"/>
                <w:b/>
                <w:color w:val="000000"/>
                <w:sz w:val="16"/>
                <w:szCs w:val="16"/>
              </w:rPr>
              <w:t>informativeness</w:t>
            </w:r>
            <w:proofErr w:type="spellEnd"/>
            <w:r w:rsidRPr="00610897">
              <w:rPr>
                <w:rFonts w:ascii="Garamond" w:eastAsia="Calibri" w:hAnsi="Garamond"/>
                <w:b/>
                <w:color w:val="000000"/>
                <w:sz w:val="16"/>
                <w:szCs w:val="16"/>
              </w:rPr>
              <w:t xml:space="preserve"> of risk reporting, </w:t>
            </w:r>
            <w:r w:rsidRPr="00610897">
              <w:rPr>
                <w:rFonts w:ascii="Garamond" w:eastAsia="Calibri" w:hAnsi="Garamond"/>
                <w:b/>
                <w:bCs/>
                <w:color w:val="000000"/>
                <w:sz w:val="16"/>
                <w:szCs w:val="16"/>
              </w:rPr>
              <w:t>presented in chronological order</w:t>
            </w:r>
            <w:r w:rsidRPr="00610897">
              <w:rPr>
                <w:rFonts w:ascii="Garamond" w:eastAsia="Calibri" w:hAnsi="Garamond"/>
                <w:b/>
                <w:color w:val="000000"/>
                <w:sz w:val="16"/>
                <w:szCs w:val="16"/>
              </w:rPr>
              <w:t xml:space="preserve"> (12 papers discussed in Section 3, categorized in Section 5, </w:t>
            </w:r>
          </w:p>
          <w:p w14:paraId="6D071C1F" w14:textId="77777777" w:rsidR="00610897" w:rsidRPr="00610897" w:rsidRDefault="00610897" w:rsidP="00610897">
            <w:pPr>
              <w:ind w:right="-170"/>
              <w:rPr>
                <w:rFonts w:ascii="Garamond" w:eastAsia="Calibri" w:hAnsi="Garamond"/>
                <w:b/>
                <w:color w:val="000000"/>
                <w:sz w:val="16"/>
                <w:szCs w:val="16"/>
              </w:rPr>
            </w:pPr>
            <w:r w:rsidRPr="00610897">
              <w:rPr>
                <w:rFonts w:ascii="Garamond" w:eastAsia="Calibri" w:hAnsi="Garamond"/>
                <w:b/>
                <w:color w:val="000000"/>
                <w:sz w:val="16"/>
                <w:szCs w:val="16"/>
              </w:rPr>
              <w:t>and summarized in Table 4)</w:t>
            </w:r>
          </w:p>
        </w:tc>
      </w:tr>
      <w:tr w:rsidR="00610897" w:rsidRPr="00610897" w14:paraId="37C3E783" w14:textId="77777777" w:rsidTr="002441E4">
        <w:trPr>
          <w:trHeight w:val="255"/>
        </w:trPr>
        <w:tc>
          <w:tcPr>
            <w:tcW w:w="376" w:type="dxa"/>
            <w:tcBorders>
              <w:top w:val="single" w:sz="4" w:space="0" w:color="auto"/>
              <w:bottom w:val="single" w:sz="4" w:space="0" w:color="auto"/>
            </w:tcBorders>
          </w:tcPr>
          <w:p w14:paraId="4CE4D860"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N</w:t>
            </w:r>
          </w:p>
        </w:tc>
        <w:tc>
          <w:tcPr>
            <w:tcW w:w="3452" w:type="dxa"/>
            <w:tcBorders>
              <w:top w:val="single" w:sz="4" w:space="0" w:color="auto"/>
              <w:bottom w:val="single" w:sz="4" w:space="0" w:color="auto"/>
            </w:tcBorders>
          </w:tcPr>
          <w:p w14:paraId="024DADE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Paper</w:t>
            </w:r>
          </w:p>
        </w:tc>
        <w:tc>
          <w:tcPr>
            <w:tcW w:w="6345" w:type="dxa"/>
            <w:tcBorders>
              <w:top w:val="single" w:sz="4" w:space="0" w:color="auto"/>
              <w:bottom w:val="single" w:sz="4" w:space="0" w:color="auto"/>
            </w:tcBorders>
          </w:tcPr>
          <w:p w14:paraId="79150DEB"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color w:val="000000"/>
                <w:sz w:val="16"/>
                <w:szCs w:val="16"/>
              </w:rPr>
              <w:t>Journal</w:t>
            </w:r>
          </w:p>
        </w:tc>
      </w:tr>
      <w:tr w:rsidR="00610897" w:rsidRPr="00610897" w14:paraId="7028EE1B" w14:textId="77777777" w:rsidTr="002441E4">
        <w:trPr>
          <w:trHeight w:val="255"/>
        </w:trPr>
        <w:tc>
          <w:tcPr>
            <w:tcW w:w="376" w:type="dxa"/>
          </w:tcPr>
          <w:p w14:paraId="71954FA6"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17</w:t>
            </w:r>
          </w:p>
        </w:tc>
        <w:tc>
          <w:tcPr>
            <w:tcW w:w="3452" w:type="dxa"/>
          </w:tcPr>
          <w:p w14:paraId="081D82F4"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Rajgopal</w:t>
            </w:r>
            <w:proofErr w:type="spellEnd"/>
            <w:r w:rsidRPr="00610897">
              <w:rPr>
                <w:rFonts w:ascii="Garamond" w:eastAsia="Calibri" w:hAnsi="Garamond"/>
                <w:color w:val="000000"/>
                <w:sz w:val="16"/>
                <w:szCs w:val="16"/>
              </w:rPr>
              <w:t xml:space="preserve"> (1999)</w:t>
            </w:r>
          </w:p>
        </w:tc>
        <w:tc>
          <w:tcPr>
            <w:tcW w:w="6345" w:type="dxa"/>
          </w:tcPr>
          <w:p w14:paraId="6F35707A"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The Accounting Review (TAR)</w:t>
            </w:r>
          </w:p>
        </w:tc>
      </w:tr>
      <w:tr w:rsidR="00610897" w:rsidRPr="00610897" w14:paraId="66797791" w14:textId="77777777" w:rsidTr="002441E4">
        <w:trPr>
          <w:trHeight w:val="255"/>
        </w:trPr>
        <w:tc>
          <w:tcPr>
            <w:tcW w:w="376" w:type="dxa"/>
          </w:tcPr>
          <w:p w14:paraId="6D437053"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18</w:t>
            </w:r>
          </w:p>
        </w:tc>
        <w:tc>
          <w:tcPr>
            <w:tcW w:w="3452" w:type="dxa"/>
          </w:tcPr>
          <w:p w14:paraId="4F391D5B"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Roulstone</w:t>
            </w:r>
            <w:proofErr w:type="spellEnd"/>
            <w:r w:rsidRPr="00610897">
              <w:rPr>
                <w:rFonts w:ascii="Garamond" w:eastAsia="Calibri" w:hAnsi="Garamond"/>
                <w:color w:val="000000"/>
                <w:sz w:val="16"/>
                <w:szCs w:val="16"/>
              </w:rPr>
              <w:t xml:space="preserve"> (1999)</w:t>
            </w:r>
          </w:p>
        </w:tc>
        <w:tc>
          <w:tcPr>
            <w:tcW w:w="6345" w:type="dxa"/>
          </w:tcPr>
          <w:p w14:paraId="5D2819FA"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Accounting Horizons (AH)</w:t>
            </w:r>
          </w:p>
        </w:tc>
      </w:tr>
      <w:tr w:rsidR="00610897" w:rsidRPr="00610897" w14:paraId="33205DDD" w14:textId="77777777" w:rsidTr="002441E4">
        <w:trPr>
          <w:trHeight w:val="255"/>
        </w:trPr>
        <w:tc>
          <w:tcPr>
            <w:tcW w:w="376" w:type="dxa"/>
          </w:tcPr>
          <w:p w14:paraId="5CECD728"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19</w:t>
            </w:r>
          </w:p>
        </w:tc>
        <w:tc>
          <w:tcPr>
            <w:tcW w:w="3452" w:type="dxa"/>
          </w:tcPr>
          <w:p w14:paraId="0506FF70"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Hodder and </w:t>
            </w:r>
            <w:proofErr w:type="spellStart"/>
            <w:r w:rsidRPr="00610897">
              <w:rPr>
                <w:rFonts w:ascii="Garamond" w:eastAsia="Calibri" w:hAnsi="Garamond"/>
                <w:color w:val="000000"/>
                <w:sz w:val="16"/>
                <w:szCs w:val="16"/>
              </w:rPr>
              <w:t>McAnally</w:t>
            </w:r>
            <w:proofErr w:type="spellEnd"/>
            <w:r w:rsidRPr="00610897">
              <w:rPr>
                <w:rFonts w:ascii="Garamond" w:eastAsia="Calibri" w:hAnsi="Garamond"/>
                <w:color w:val="000000"/>
                <w:sz w:val="16"/>
                <w:szCs w:val="16"/>
              </w:rPr>
              <w:t xml:space="preserve"> (2001)</w:t>
            </w:r>
          </w:p>
        </w:tc>
        <w:tc>
          <w:tcPr>
            <w:tcW w:w="6345" w:type="dxa"/>
          </w:tcPr>
          <w:p w14:paraId="7882205C"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Financial Analysts Journal (FAJ)</w:t>
            </w:r>
          </w:p>
        </w:tc>
      </w:tr>
      <w:tr w:rsidR="00610897" w:rsidRPr="00610897" w14:paraId="5BA5D564" w14:textId="77777777" w:rsidTr="002441E4">
        <w:trPr>
          <w:trHeight w:val="255"/>
        </w:trPr>
        <w:tc>
          <w:tcPr>
            <w:tcW w:w="376" w:type="dxa"/>
          </w:tcPr>
          <w:p w14:paraId="7BBDA519"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20</w:t>
            </w:r>
          </w:p>
        </w:tc>
        <w:tc>
          <w:tcPr>
            <w:tcW w:w="3452" w:type="dxa"/>
          </w:tcPr>
          <w:p w14:paraId="3573AAAA"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Jorion</w:t>
            </w:r>
            <w:proofErr w:type="spellEnd"/>
            <w:r w:rsidRPr="00610897">
              <w:rPr>
                <w:rFonts w:ascii="Garamond" w:eastAsia="Calibri" w:hAnsi="Garamond"/>
                <w:color w:val="000000"/>
                <w:sz w:val="16"/>
                <w:szCs w:val="16"/>
              </w:rPr>
              <w:t xml:space="preserve"> (2002)</w:t>
            </w:r>
          </w:p>
        </w:tc>
        <w:tc>
          <w:tcPr>
            <w:tcW w:w="6345" w:type="dxa"/>
          </w:tcPr>
          <w:p w14:paraId="31671BE4"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The Accounting Review (TAR)</w:t>
            </w:r>
          </w:p>
        </w:tc>
      </w:tr>
      <w:tr w:rsidR="00610897" w:rsidRPr="00610897" w14:paraId="163343CB" w14:textId="77777777" w:rsidTr="002441E4">
        <w:trPr>
          <w:trHeight w:val="255"/>
        </w:trPr>
        <w:tc>
          <w:tcPr>
            <w:tcW w:w="376" w:type="dxa"/>
          </w:tcPr>
          <w:p w14:paraId="03F835D3"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21</w:t>
            </w:r>
          </w:p>
        </w:tc>
        <w:tc>
          <w:tcPr>
            <w:tcW w:w="3452" w:type="dxa"/>
          </w:tcPr>
          <w:p w14:paraId="6435809E"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Linsley</w:t>
            </w:r>
            <w:proofErr w:type="spellEnd"/>
            <w:r w:rsidRPr="00610897">
              <w:rPr>
                <w:rFonts w:ascii="Garamond" w:eastAsia="Calibri" w:hAnsi="Garamond"/>
                <w:color w:val="000000"/>
                <w:sz w:val="16"/>
                <w:szCs w:val="16"/>
              </w:rPr>
              <w:t xml:space="preserve"> and Lawrence (2007)</w:t>
            </w:r>
          </w:p>
        </w:tc>
        <w:tc>
          <w:tcPr>
            <w:tcW w:w="6345" w:type="dxa"/>
          </w:tcPr>
          <w:p w14:paraId="73942A9A"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Accounting, Auditing and Accountability Journal (AAAJ)</w:t>
            </w:r>
          </w:p>
        </w:tc>
      </w:tr>
      <w:tr w:rsidR="00610897" w:rsidRPr="00610897" w14:paraId="77B8D050" w14:textId="77777777" w:rsidTr="002441E4">
        <w:trPr>
          <w:trHeight w:val="255"/>
        </w:trPr>
        <w:tc>
          <w:tcPr>
            <w:tcW w:w="376" w:type="dxa"/>
          </w:tcPr>
          <w:p w14:paraId="47BC8129"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22</w:t>
            </w:r>
          </w:p>
        </w:tc>
        <w:tc>
          <w:tcPr>
            <w:tcW w:w="3452" w:type="dxa"/>
          </w:tcPr>
          <w:p w14:paraId="25B3E780"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Akhigbe</w:t>
            </w:r>
            <w:proofErr w:type="spellEnd"/>
            <w:r w:rsidRPr="00610897">
              <w:rPr>
                <w:rFonts w:ascii="Garamond" w:eastAsia="Calibri" w:hAnsi="Garamond"/>
                <w:color w:val="000000"/>
                <w:sz w:val="16"/>
                <w:szCs w:val="16"/>
              </w:rPr>
              <w:t xml:space="preserve"> and Martin (2008)</w:t>
            </w:r>
          </w:p>
        </w:tc>
        <w:tc>
          <w:tcPr>
            <w:tcW w:w="6345" w:type="dxa"/>
          </w:tcPr>
          <w:p w14:paraId="01C4D8AB"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Journal of Banking and Finance (JBF)</w:t>
            </w:r>
          </w:p>
        </w:tc>
      </w:tr>
      <w:tr w:rsidR="00610897" w:rsidRPr="00610897" w14:paraId="2FC3124A" w14:textId="77777777" w:rsidTr="002441E4">
        <w:trPr>
          <w:trHeight w:val="255"/>
        </w:trPr>
        <w:tc>
          <w:tcPr>
            <w:tcW w:w="376" w:type="dxa"/>
          </w:tcPr>
          <w:p w14:paraId="081C961D"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23</w:t>
            </w:r>
          </w:p>
        </w:tc>
        <w:tc>
          <w:tcPr>
            <w:tcW w:w="3452" w:type="dxa"/>
          </w:tcPr>
          <w:p w14:paraId="4BB7831E"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Pérignon</w:t>
            </w:r>
            <w:proofErr w:type="spellEnd"/>
            <w:r w:rsidRPr="00610897">
              <w:rPr>
                <w:rFonts w:ascii="Garamond" w:eastAsia="Calibri" w:hAnsi="Garamond"/>
                <w:color w:val="000000"/>
                <w:sz w:val="16"/>
                <w:szCs w:val="16"/>
              </w:rPr>
              <w:t xml:space="preserve"> and Smith (2010)</w:t>
            </w:r>
          </w:p>
        </w:tc>
        <w:tc>
          <w:tcPr>
            <w:tcW w:w="6345" w:type="dxa"/>
          </w:tcPr>
          <w:p w14:paraId="5A2DF2A9"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Journal of Banking and Finance (JBF)</w:t>
            </w:r>
          </w:p>
        </w:tc>
      </w:tr>
      <w:tr w:rsidR="00610897" w:rsidRPr="00610897" w14:paraId="0CFBE455" w14:textId="77777777" w:rsidTr="002441E4">
        <w:trPr>
          <w:trHeight w:val="267"/>
        </w:trPr>
        <w:tc>
          <w:tcPr>
            <w:tcW w:w="376" w:type="dxa"/>
          </w:tcPr>
          <w:p w14:paraId="69A17301"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24</w:t>
            </w:r>
          </w:p>
        </w:tc>
        <w:tc>
          <w:tcPr>
            <w:tcW w:w="3452" w:type="dxa"/>
          </w:tcPr>
          <w:p w14:paraId="71C5CA32"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Kravet</w:t>
            </w:r>
            <w:proofErr w:type="spellEnd"/>
            <w:r w:rsidRPr="00610897">
              <w:rPr>
                <w:rFonts w:ascii="Garamond" w:eastAsia="Calibri" w:hAnsi="Garamond"/>
                <w:color w:val="000000"/>
                <w:sz w:val="16"/>
                <w:szCs w:val="16"/>
              </w:rPr>
              <w:t xml:space="preserve"> and </w:t>
            </w:r>
            <w:proofErr w:type="spellStart"/>
            <w:r w:rsidRPr="00610897">
              <w:rPr>
                <w:rFonts w:ascii="Garamond" w:eastAsia="Calibri" w:hAnsi="Garamond"/>
                <w:color w:val="000000"/>
                <w:sz w:val="16"/>
                <w:szCs w:val="16"/>
              </w:rPr>
              <w:t>Muslu</w:t>
            </w:r>
            <w:proofErr w:type="spellEnd"/>
            <w:r w:rsidRPr="00610897">
              <w:rPr>
                <w:rFonts w:ascii="Garamond" w:eastAsia="Calibri" w:hAnsi="Garamond"/>
                <w:color w:val="000000"/>
                <w:sz w:val="16"/>
                <w:szCs w:val="16"/>
              </w:rPr>
              <w:t xml:space="preserve"> (2013)</w:t>
            </w:r>
          </w:p>
        </w:tc>
        <w:tc>
          <w:tcPr>
            <w:tcW w:w="6345" w:type="dxa"/>
          </w:tcPr>
          <w:p w14:paraId="4BEAE264"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Review of Accounting Studies (RAST)</w:t>
            </w:r>
          </w:p>
        </w:tc>
      </w:tr>
      <w:tr w:rsidR="00610897" w:rsidRPr="00610897" w14:paraId="233FC281" w14:textId="77777777" w:rsidTr="002441E4">
        <w:trPr>
          <w:trHeight w:val="255"/>
        </w:trPr>
        <w:tc>
          <w:tcPr>
            <w:tcW w:w="376" w:type="dxa"/>
          </w:tcPr>
          <w:p w14:paraId="367347BA"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25</w:t>
            </w:r>
          </w:p>
        </w:tc>
        <w:tc>
          <w:tcPr>
            <w:tcW w:w="3452" w:type="dxa"/>
          </w:tcPr>
          <w:p w14:paraId="7F9382E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Abraham and Shrives (2014)</w:t>
            </w:r>
          </w:p>
        </w:tc>
        <w:tc>
          <w:tcPr>
            <w:tcW w:w="6345" w:type="dxa"/>
          </w:tcPr>
          <w:p w14:paraId="59120467"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The British Accounting Review (BAR)</w:t>
            </w:r>
          </w:p>
        </w:tc>
      </w:tr>
      <w:tr w:rsidR="00610897" w:rsidRPr="00610897" w14:paraId="55BE4369" w14:textId="77777777" w:rsidTr="002441E4">
        <w:trPr>
          <w:trHeight w:val="255"/>
        </w:trPr>
        <w:tc>
          <w:tcPr>
            <w:tcW w:w="376" w:type="dxa"/>
          </w:tcPr>
          <w:p w14:paraId="60159598"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26</w:t>
            </w:r>
          </w:p>
        </w:tc>
        <w:tc>
          <w:tcPr>
            <w:tcW w:w="3452" w:type="dxa"/>
          </w:tcPr>
          <w:p w14:paraId="3718D40B"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Bao</w:t>
            </w:r>
            <w:proofErr w:type="spellEnd"/>
            <w:r w:rsidRPr="00610897">
              <w:rPr>
                <w:rFonts w:ascii="Garamond" w:eastAsia="Calibri" w:hAnsi="Garamond"/>
                <w:color w:val="000000"/>
                <w:sz w:val="16"/>
                <w:szCs w:val="16"/>
              </w:rPr>
              <w:t xml:space="preserve"> and </w:t>
            </w:r>
            <w:proofErr w:type="spellStart"/>
            <w:r w:rsidRPr="00610897">
              <w:rPr>
                <w:rFonts w:ascii="Garamond" w:eastAsia="Calibri" w:hAnsi="Garamond"/>
                <w:color w:val="000000"/>
                <w:sz w:val="16"/>
                <w:szCs w:val="16"/>
              </w:rPr>
              <w:t>Datta</w:t>
            </w:r>
            <w:proofErr w:type="spellEnd"/>
            <w:r w:rsidRPr="00610897">
              <w:rPr>
                <w:rFonts w:ascii="Garamond" w:eastAsia="Calibri" w:hAnsi="Garamond"/>
                <w:color w:val="000000"/>
                <w:sz w:val="16"/>
                <w:szCs w:val="16"/>
              </w:rPr>
              <w:t xml:space="preserve"> (2014)</w:t>
            </w:r>
          </w:p>
        </w:tc>
        <w:tc>
          <w:tcPr>
            <w:tcW w:w="6345" w:type="dxa"/>
          </w:tcPr>
          <w:p w14:paraId="4E8B6C15"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Management Science (MS)</w:t>
            </w:r>
          </w:p>
        </w:tc>
      </w:tr>
      <w:tr w:rsidR="00610897" w:rsidRPr="00610897" w14:paraId="542C30BA" w14:textId="77777777" w:rsidTr="002441E4">
        <w:trPr>
          <w:trHeight w:val="255"/>
        </w:trPr>
        <w:tc>
          <w:tcPr>
            <w:tcW w:w="376" w:type="dxa"/>
          </w:tcPr>
          <w:p w14:paraId="7F2CEE8E"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27</w:t>
            </w:r>
          </w:p>
        </w:tc>
        <w:tc>
          <w:tcPr>
            <w:tcW w:w="3452" w:type="dxa"/>
          </w:tcPr>
          <w:p w14:paraId="79C8AE80"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Elbannan</w:t>
            </w:r>
            <w:proofErr w:type="spellEnd"/>
            <w:r w:rsidRPr="00610897">
              <w:rPr>
                <w:rFonts w:ascii="Garamond" w:eastAsia="Calibri" w:hAnsi="Garamond"/>
                <w:color w:val="000000"/>
                <w:sz w:val="16"/>
                <w:szCs w:val="16"/>
              </w:rPr>
              <w:t xml:space="preserve"> and </w:t>
            </w:r>
            <w:proofErr w:type="spellStart"/>
            <w:r w:rsidRPr="00610897">
              <w:rPr>
                <w:rFonts w:ascii="Garamond" w:eastAsia="Calibri" w:hAnsi="Garamond"/>
                <w:color w:val="000000"/>
                <w:sz w:val="16"/>
                <w:szCs w:val="16"/>
              </w:rPr>
              <w:t>Elbannan</w:t>
            </w:r>
            <w:proofErr w:type="spellEnd"/>
            <w:r w:rsidRPr="00610897">
              <w:rPr>
                <w:rFonts w:ascii="Garamond" w:eastAsia="Calibri" w:hAnsi="Garamond"/>
                <w:color w:val="000000"/>
                <w:sz w:val="16"/>
                <w:szCs w:val="16"/>
              </w:rPr>
              <w:t xml:space="preserve"> (2015)</w:t>
            </w:r>
          </w:p>
        </w:tc>
        <w:tc>
          <w:tcPr>
            <w:tcW w:w="6345" w:type="dxa"/>
          </w:tcPr>
          <w:p w14:paraId="22DB5A84"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Journal of Accounting Auditing and Finance (JAAF)</w:t>
            </w:r>
          </w:p>
        </w:tc>
      </w:tr>
      <w:tr w:rsidR="00610897" w:rsidRPr="00610897" w14:paraId="7711ABBC" w14:textId="77777777" w:rsidTr="002441E4">
        <w:trPr>
          <w:trHeight w:val="255"/>
        </w:trPr>
        <w:tc>
          <w:tcPr>
            <w:tcW w:w="376" w:type="dxa"/>
          </w:tcPr>
          <w:p w14:paraId="3E5620F1"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28</w:t>
            </w:r>
          </w:p>
        </w:tc>
        <w:tc>
          <w:tcPr>
            <w:tcW w:w="3452" w:type="dxa"/>
          </w:tcPr>
          <w:p w14:paraId="093AA16F"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Filzen</w:t>
            </w:r>
            <w:proofErr w:type="spellEnd"/>
            <w:r w:rsidRPr="00610897">
              <w:rPr>
                <w:rFonts w:ascii="Garamond" w:eastAsia="Calibri" w:hAnsi="Garamond"/>
                <w:color w:val="000000"/>
                <w:sz w:val="16"/>
                <w:szCs w:val="16"/>
              </w:rPr>
              <w:t xml:space="preserve">  (2015)</w:t>
            </w:r>
          </w:p>
        </w:tc>
        <w:tc>
          <w:tcPr>
            <w:tcW w:w="6345" w:type="dxa"/>
          </w:tcPr>
          <w:p w14:paraId="294FD7AC"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Accounting Horizons (AH)</w:t>
            </w:r>
          </w:p>
        </w:tc>
      </w:tr>
      <w:tr w:rsidR="00610897" w:rsidRPr="00610897" w14:paraId="32C3DEC9" w14:textId="77777777" w:rsidTr="002441E4">
        <w:trPr>
          <w:trHeight w:val="255"/>
        </w:trPr>
        <w:tc>
          <w:tcPr>
            <w:tcW w:w="10173" w:type="dxa"/>
            <w:gridSpan w:val="3"/>
            <w:tcBorders>
              <w:top w:val="single" w:sz="4" w:space="0" w:color="auto"/>
              <w:bottom w:val="single" w:sz="4" w:space="0" w:color="auto"/>
            </w:tcBorders>
          </w:tcPr>
          <w:p w14:paraId="7BF64BB8"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b/>
                <w:color w:val="000000"/>
                <w:sz w:val="16"/>
                <w:szCs w:val="16"/>
              </w:rPr>
              <w:t>Panel C</w:t>
            </w:r>
            <w:r w:rsidRPr="00610897">
              <w:rPr>
                <w:rFonts w:ascii="Garamond" w:eastAsia="Calibri" w:hAnsi="Garamond"/>
                <w:color w:val="000000"/>
                <w:sz w:val="16"/>
                <w:szCs w:val="16"/>
              </w:rPr>
              <w:t xml:space="preserve">: </w:t>
            </w:r>
            <w:r w:rsidRPr="00610897">
              <w:rPr>
                <w:rFonts w:ascii="Garamond" w:eastAsia="Calibri" w:hAnsi="Garamond"/>
                <w:b/>
                <w:color w:val="000000"/>
                <w:sz w:val="16"/>
                <w:szCs w:val="16"/>
              </w:rPr>
              <w:t>papers on both, presented in chronological order (4 papers discussed in Section 4, categorized in Section 5, and summarized in Table 6)</w:t>
            </w:r>
          </w:p>
        </w:tc>
      </w:tr>
      <w:tr w:rsidR="00610897" w:rsidRPr="00610897" w14:paraId="2D50F381" w14:textId="77777777" w:rsidTr="002441E4">
        <w:trPr>
          <w:trHeight w:val="255"/>
        </w:trPr>
        <w:tc>
          <w:tcPr>
            <w:tcW w:w="376" w:type="dxa"/>
            <w:tcBorders>
              <w:top w:val="single" w:sz="4" w:space="0" w:color="auto"/>
              <w:bottom w:val="single" w:sz="4" w:space="0" w:color="auto"/>
            </w:tcBorders>
          </w:tcPr>
          <w:p w14:paraId="1F469220"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N</w:t>
            </w:r>
          </w:p>
        </w:tc>
        <w:tc>
          <w:tcPr>
            <w:tcW w:w="3452" w:type="dxa"/>
            <w:tcBorders>
              <w:top w:val="single" w:sz="4" w:space="0" w:color="auto"/>
              <w:bottom w:val="single" w:sz="4" w:space="0" w:color="auto"/>
            </w:tcBorders>
          </w:tcPr>
          <w:p w14:paraId="7160859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Paper</w:t>
            </w:r>
          </w:p>
        </w:tc>
        <w:tc>
          <w:tcPr>
            <w:tcW w:w="6345" w:type="dxa"/>
            <w:tcBorders>
              <w:top w:val="single" w:sz="4" w:space="0" w:color="auto"/>
              <w:bottom w:val="single" w:sz="4" w:space="0" w:color="auto"/>
            </w:tcBorders>
          </w:tcPr>
          <w:p w14:paraId="1EF16233"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color w:val="000000"/>
                <w:sz w:val="16"/>
                <w:szCs w:val="16"/>
              </w:rPr>
              <w:t>Journal</w:t>
            </w:r>
          </w:p>
        </w:tc>
      </w:tr>
      <w:tr w:rsidR="00610897" w:rsidRPr="00610897" w14:paraId="0DF91BE6" w14:textId="77777777" w:rsidTr="002441E4">
        <w:trPr>
          <w:trHeight w:val="255"/>
        </w:trPr>
        <w:tc>
          <w:tcPr>
            <w:tcW w:w="376" w:type="dxa"/>
            <w:tcBorders>
              <w:top w:val="single" w:sz="4" w:space="0" w:color="auto"/>
            </w:tcBorders>
          </w:tcPr>
          <w:p w14:paraId="159A5F74"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29</w:t>
            </w:r>
          </w:p>
        </w:tc>
        <w:tc>
          <w:tcPr>
            <w:tcW w:w="3452" w:type="dxa"/>
            <w:tcBorders>
              <w:top w:val="single" w:sz="4" w:space="0" w:color="auto"/>
            </w:tcBorders>
          </w:tcPr>
          <w:p w14:paraId="5E4C9279"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Campbell, </w:t>
            </w:r>
            <w:r w:rsidRPr="00610897">
              <w:rPr>
                <w:rFonts w:ascii="Garamond" w:eastAsia="Calibri" w:hAnsi="Garamond"/>
                <w:color w:val="000000"/>
                <w:sz w:val="16"/>
                <w:szCs w:val="16"/>
                <w:lang w:val="en-US"/>
              </w:rPr>
              <w:t>Chen, Dhaliwal, Lu, and Steele</w:t>
            </w:r>
            <w:r w:rsidRPr="00610897">
              <w:rPr>
                <w:rFonts w:ascii="Garamond" w:eastAsia="Calibri" w:hAnsi="Garamond"/>
                <w:color w:val="000000"/>
                <w:sz w:val="16"/>
                <w:szCs w:val="16"/>
              </w:rPr>
              <w:t xml:space="preserve"> (2014)</w:t>
            </w:r>
          </w:p>
        </w:tc>
        <w:tc>
          <w:tcPr>
            <w:tcW w:w="6345" w:type="dxa"/>
            <w:tcBorders>
              <w:top w:val="single" w:sz="4" w:space="0" w:color="auto"/>
            </w:tcBorders>
          </w:tcPr>
          <w:p w14:paraId="3A9C01AD"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Review of Accounting Studies (RAST)</w:t>
            </w:r>
          </w:p>
        </w:tc>
      </w:tr>
      <w:tr w:rsidR="00610897" w:rsidRPr="00610897" w14:paraId="62BEC302" w14:textId="77777777" w:rsidTr="002441E4">
        <w:trPr>
          <w:trHeight w:val="255"/>
        </w:trPr>
        <w:tc>
          <w:tcPr>
            <w:tcW w:w="376" w:type="dxa"/>
          </w:tcPr>
          <w:p w14:paraId="28AFF610"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30</w:t>
            </w:r>
          </w:p>
        </w:tc>
        <w:tc>
          <w:tcPr>
            <w:tcW w:w="3452" w:type="dxa"/>
          </w:tcPr>
          <w:p w14:paraId="017F7D70"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Elshandidy and Neri (2015)</w:t>
            </w:r>
          </w:p>
        </w:tc>
        <w:tc>
          <w:tcPr>
            <w:tcW w:w="6345" w:type="dxa"/>
          </w:tcPr>
          <w:p w14:paraId="12FBD8F4" w14:textId="77777777" w:rsidR="00610897" w:rsidRPr="00610897" w:rsidRDefault="00610897" w:rsidP="00610897">
            <w:pPr>
              <w:jc w:val="both"/>
              <w:rPr>
                <w:rFonts w:ascii="Garamond" w:eastAsia="Calibri" w:hAnsi="Garamond"/>
                <w:i/>
                <w:color w:val="000000"/>
                <w:sz w:val="16"/>
                <w:szCs w:val="16"/>
              </w:rPr>
            </w:pPr>
            <w:r w:rsidRPr="00610897">
              <w:rPr>
                <w:rFonts w:ascii="Garamond" w:eastAsia="Calibri" w:hAnsi="Garamond"/>
                <w:i/>
                <w:color w:val="000000"/>
                <w:sz w:val="16"/>
                <w:szCs w:val="16"/>
              </w:rPr>
              <w:t>Corporate Governance: An International Review (CGIR)</w:t>
            </w:r>
          </w:p>
        </w:tc>
      </w:tr>
      <w:tr w:rsidR="00610897" w:rsidRPr="00610897" w14:paraId="31AEA735" w14:textId="77777777" w:rsidTr="002441E4">
        <w:trPr>
          <w:trHeight w:val="267"/>
        </w:trPr>
        <w:tc>
          <w:tcPr>
            <w:tcW w:w="376" w:type="dxa"/>
          </w:tcPr>
          <w:p w14:paraId="4B4C1C2C"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31</w:t>
            </w:r>
          </w:p>
        </w:tc>
        <w:tc>
          <w:tcPr>
            <w:tcW w:w="3452" w:type="dxa"/>
          </w:tcPr>
          <w:p w14:paraId="41E1B08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Elshandidy and Shrives (2016)</w:t>
            </w:r>
          </w:p>
        </w:tc>
        <w:tc>
          <w:tcPr>
            <w:tcW w:w="6345" w:type="dxa"/>
          </w:tcPr>
          <w:p w14:paraId="0A3F18FF" w14:textId="77777777" w:rsidR="00610897" w:rsidRPr="00610897" w:rsidRDefault="00610897" w:rsidP="00610897">
            <w:pPr>
              <w:ind w:left="720" w:hanging="720"/>
              <w:jc w:val="both"/>
              <w:rPr>
                <w:rFonts w:ascii="Garamond" w:eastAsia="Calibri" w:hAnsi="Garamond"/>
                <w:i/>
                <w:color w:val="000000"/>
                <w:sz w:val="16"/>
                <w:szCs w:val="16"/>
              </w:rPr>
            </w:pPr>
            <w:r w:rsidRPr="00610897">
              <w:rPr>
                <w:rFonts w:ascii="Garamond" w:eastAsia="Calibri" w:hAnsi="Garamond"/>
                <w:i/>
                <w:color w:val="000000"/>
                <w:sz w:val="16"/>
                <w:szCs w:val="16"/>
              </w:rPr>
              <w:t>The International Journal of Accounting (IJOA)</w:t>
            </w:r>
          </w:p>
        </w:tc>
      </w:tr>
      <w:tr w:rsidR="00610897" w:rsidRPr="00610897" w14:paraId="3FF98877" w14:textId="77777777" w:rsidTr="002441E4">
        <w:trPr>
          <w:trHeight w:val="267"/>
        </w:trPr>
        <w:tc>
          <w:tcPr>
            <w:tcW w:w="376" w:type="dxa"/>
            <w:tcBorders>
              <w:bottom w:val="single" w:sz="4" w:space="0" w:color="auto"/>
            </w:tcBorders>
          </w:tcPr>
          <w:p w14:paraId="14517B6A"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32</w:t>
            </w:r>
          </w:p>
        </w:tc>
        <w:tc>
          <w:tcPr>
            <w:tcW w:w="3452" w:type="dxa"/>
            <w:tcBorders>
              <w:bottom w:val="single" w:sz="4" w:space="0" w:color="auto"/>
            </w:tcBorders>
          </w:tcPr>
          <w:p w14:paraId="14F85F3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Hope, Hu, and Lu (2016)</w:t>
            </w:r>
          </w:p>
        </w:tc>
        <w:tc>
          <w:tcPr>
            <w:tcW w:w="6345" w:type="dxa"/>
            <w:tcBorders>
              <w:bottom w:val="single" w:sz="4" w:space="0" w:color="auto"/>
            </w:tcBorders>
          </w:tcPr>
          <w:p w14:paraId="17695BF5" w14:textId="77777777" w:rsidR="00610897" w:rsidRPr="00610897" w:rsidRDefault="00610897" w:rsidP="00610897">
            <w:pPr>
              <w:ind w:left="720" w:hanging="720"/>
              <w:jc w:val="both"/>
              <w:rPr>
                <w:rFonts w:ascii="Garamond" w:eastAsia="Calibri" w:hAnsi="Garamond"/>
                <w:i/>
                <w:color w:val="000000"/>
                <w:sz w:val="16"/>
                <w:szCs w:val="16"/>
              </w:rPr>
            </w:pPr>
            <w:r w:rsidRPr="00610897">
              <w:rPr>
                <w:rFonts w:ascii="Garamond" w:eastAsia="Calibri" w:hAnsi="Garamond"/>
                <w:i/>
                <w:color w:val="000000"/>
                <w:sz w:val="16"/>
                <w:szCs w:val="16"/>
              </w:rPr>
              <w:t>Review of Accounting Studies (RAST)</w:t>
            </w:r>
          </w:p>
        </w:tc>
      </w:tr>
    </w:tbl>
    <w:p w14:paraId="62F51B7D" w14:textId="77777777" w:rsidR="00610897" w:rsidRPr="00610897" w:rsidRDefault="00610897" w:rsidP="00610897">
      <w:pPr>
        <w:tabs>
          <w:tab w:val="center" w:pos="4513"/>
        </w:tabs>
        <w:rPr>
          <w:rFonts w:eastAsia="Calibri"/>
          <w:color w:val="000000"/>
          <w:kern w:val="0"/>
          <w:sz w:val="16"/>
          <w:szCs w:val="16"/>
        </w:rPr>
      </w:pPr>
    </w:p>
    <w:p w14:paraId="702C7794" w14:textId="77777777" w:rsidR="00610897" w:rsidRPr="00610897" w:rsidRDefault="00610897" w:rsidP="00610897">
      <w:pPr>
        <w:rPr>
          <w:rFonts w:eastAsia="Calibri"/>
          <w:color w:val="000000"/>
          <w:kern w:val="0"/>
          <w:sz w:val="16"/>
          <w:szCs w:val="16"/>
        </w:rPr>
      </w:pPr>
    </w:p>
    <w:p w14:paraId="18E99C02" w14:textId="77777777" w:rsidR="00610897" w:rsidRPr="00610897" w:rsidRDefault="00610897" w:rsidP="00610897">
      <w:pPr>
        <w:tabs>
          <w:tab w:val="left" w:pos="5040"/>
        </w:tabs>
        <w:rPr>
          <w:rFonts w:eastAsia="Calibri"/>
          <w:color w:val="000000"/>
          <w:kern w:val="0"/>
          <w:sz w:val="16"/>
          <w:szCs w:val="16"/>
        </w:rPr>
        <w:sectPr w:rsidR="00610897" w:rsidRPr="00610897" w:rsidSect="00610897">
          <w:footerReference w:type="default" r:id="rId13"/>
          <w:pgSz w:w="11906" w:h="16838"/>
          <w:pgMar w:top="1440" w:right="1440" w:bottom="1440" w:left="1440" w:header="709" w:footer="709" w:gutter="0"/>
          <w:pgNumType w:start="0"/>
          <w:cols w:space="708"/>
          <w:docGrid w:linePitch="360"/>
        </w:sectPr>
      </w:pPr>
    </w:p>
    <w:tbl>
      <w:tblPr>
        <w:tblStyle w:val="TableGrid2"/>
        <w:tblW w:w="15627"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5"/>
        <w:gridCol w:w="699"/>
        <w:gridCol w:w="1034"/>
        <w:gridCol w:w="1418"/>
        <w:gridCol w:w="1275"/>
        <w:gridCol w:w="6096"/>
        <w:gridCol w:w="1275"/>
        <w:gridCol w:w="2835"/>
      </w:tblGrid>
      <w:tr w:rsidR="00610897" w:rsidRPr="00610897" w14:paraId="5ED1AB6B" w14:textId="77777777" w:rsidTr="002441E4">
        <w:trPr>
          <w:trHeight w:val="416"/>
        </w:trPr>
        <w:tc>
          <w:tcPr>
            <w:tcW w:w="15627" w:type="dxa"/>
            <w:gridSpan w:val="8"/>
            <w:tcBorders>
              <w:top w:val="single" w:sz="4" w:space="0" w:color="auto"/>
              <w:bottom w:val="single" w:sz="4" w:space="0" w:color="auto"/>
            </w:tcBorders>
          </w:tcPr>
          <w:p w14:paraId="5512CA8C" w14:textId="77777777" w:rsidR="00610897" w:rsidRPr="00610897" w:rsidRDefault="00610897" w:rsidP="00610897">
            <w:pPr>
              <w:tabs>
                <w:tab w:val="left" w:pos="5126"/>
              </w:tabs>
              <w:jc w:val="both"/>
              <w:rPr>
                <w:rFonts w:ascii="Garamond" w:eastAsia="Calibri" w:hAnsi="Garamond"/>
                <w:bCs/>
                <w:color w:val="000000"/>
                <w:sz w:val="16"/>
                <w:szCs w:val="16"/>
              </w:rPr>
            </w:pPr>
            <w:r w:rsidRPr="00610897">
              <w:rPr>
                <w:rFonts w:ascii="Garamond" w:eastAsia="Calibri" w:hAnsi="Garamond"/>
                <w:b/>
                <w:bCs/>
                <w:color w:val="000000"/>
                <w:sz w:val="16"/>
                <w:szCs w:val="16"/>
              </w:rPr>
              <w:lastRenderedPageBreak/>
              <w:t xml:space="preserve">Table 2 </w:t>
            </w:r>
            <w:r w:rsidRPr="00610897">
              <w:rPr>
                <w:rFonts w:ascii="Garamond" w:eastAsia="Calibri" w:hAnsi="Garamond"/>
                <w:b/>
                <w:bCs/>
                <w:color w:val="000000"/>
                <w:sz w:val="16"/>
                <w:szCs w:val="16"/>
              </w:rPr>
              <w:tab/>
            </w:r>
          </w:p>
          <w:p w14:paraId="4CF1442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bCs/>
                <w:color w:val="000000"/>
                <w:sz w:val="16"/>
                <w:szCs w:val="16"/>
              </w:rPr>
              <w:t>Summary of empirical papers, presented in chronological order, on risk reporting incentives</w:t>
            </w:r>
          </w:p>
        </w:tc>
      </w:tr>
      <w:tr w:rsidR="00610897" w:rsidRPr="00610897" w14:paraId="183C0155" w14:textId="77777777" w:rsidTr="002441E4">
        <w:trPr>
          <w:trHeight w:val="422"/>
        </w:trPr>
        <w:tc>
          <w:tcPr>
            <w:tcW w:w="995" w:type="dxa"/>
            <w:tcBorders>
              <w:top w:val="single" w:sz="4" w:space="0" w:color="auto"/>
              <w:bottom w:val="single" w:sz="4" w:space="0" w:color="auto"/>
            </w:tcBorders>
          </w:tcPr>
          <w:p w14:paraId="2CAA1ABD"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Study name (year)</w:t>
            </w:r>
          </w:p>
        </w:tc>
        <w:tc>
          <w:tcPr>
            <w:tcW w:w="699" w:type="dxa"/>
            <w:tcBorders>
              <w:top w:val="single" w:sz="4" w:space="0" w:color="auto"/>
              <w:bottom w:val="single" w:sz="4" w:space="0" w:color="auto"/>
            </w:tcBorders>
          </w:tcPr>
          <w:p w14:paraId="14D08999"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Journal</w:t>
            </w:r>
          </w:p>
        </w:tc>
        <w:tc>
          <w:tcPr>
            <w:tcW w:w="1034" w:type="dxa"/>
          </w:tcPr>
          <w:p w14:paraId="1F3B6A42"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Jurisdiction</w:t>
            </w:r>
          </w:p>
        </w:tc>
        <w:tc>
          <w:tcPr>
            <w:tcW w:w="1418" w:type="dxa"/>
          </w:tcPr>
          <w:p w14:paraId="456817E1"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Sample</w:t>
            </w:r>
          </w:p>
        </w:tc>
        <w:tc>
          <w:tcPr>
            <w:tcW w:w="1275" w:type="dxa"/>
            <w:tcBorders>
              <w:top w:val="single" w:sz="4" w:space="0" w:color="auto"/>
              <w:bottom w:val="single" w:sz="4" w:space="0" w:color="auto"/>
            </w:tcBorders>
          </w:tcPr>
          <w:p w14:paraId="4568EB8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Content analysis</w:t>
            </w:r>
          </w:p>
          <w:p w14:paraId="65207D3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(code unit)</w:t>
            </w:r>
          </w:p>
        </w:tc>
        <w:tc>
          <w:tcPr>
            <w:tcW w:w="6096" w:type="dxa"/>
            <w:tcBorders>
              <w:top w:val="single" w:sz="4" w:space="0" w:color="auto"/>
              <w:bottom w:val="single" w:sz="4" w:space="0" w:color="auto"/>
            </w:tcBorders>
          </w:tcPr>
          <w:p w14:paraId="2A71C69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Findings</w:t>
            </w:r>
          </w:p>
        </w:tc>
        <w:tc>
          <w:tcPr>
            <w:tcW w:w="1275" w:type="dxa"/>
            <w:tcBorders>
              <w:top w:val="single" w:sz="4" w:space="0" w:color="auto"/>
              <w:bottom w:val="single" w:sz="4" w:space="0" w:color="auto"/>
            </w:tcBorders>
          </w:tcPr>
          <w:p w14:paraId="69DD17A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Theoretical underpinnings</w:t>
            </w:r>
          </w:p>
        </w:tc>
        <w:tc>
          <w:tcPr>
            <w:tcW w:w="2835" w:type="dxa"/>
            <w:tcBorders>
              <w:top w:val="single" w:sz="4" w:space="0" w:color="auto"/>
              <w:bottom w:val="single" w:sz="4" w:space="0" w:color="auto"/>
            </w:tcBorders>
          </w:tcPr>
          <w:p w14:paraId="61E1385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Limitations and/or related suggestions</w:t>
            </w:r>
          </w:p>
        </w:tc>
      </w:tr>
      <w:tr w:rsidR="00610897" w:rsidRPr="00610897" w14:paraId="40CFF415" w14:textId="77777777" w:rsidTr="002441E4">
        <w:trPr>
          <w:trHeight w:val="927"/>
        </w:trPr>
        <w:tc>
          <w:tcPr>
            <w:tcW w:w="995" w:type="dxa"/>
            <w:tcBorders>
              <w:top w:val="single" w:sz="4" w:space="0" w:color="auto"/>
            </w:tcBorders>
          </w:tcPr>
          <w:p w14:paraId="510BE089"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Solomon (1999)</w:t>
            </w:r>
          </w:p>
          <w:p w14:paraId="4FB1CC9F" w14:textId="77777777" w:rsidR="00610897" w:rsidRPr="00610897" w:rsidRDefault="00610897" w:rsidP="00610897">
            <w:pPr>
              <w:jc w:val="both"/>
              <w:rPr>
                <w:rFonts w:ascii="Garamond" w:eastAsia="Calibri" w:hAnsi="Garamond"/>
                <w:color w:val="000000"/>
                <w:sz w:val="16"/>
                <w:szCs w:val="16"/>
              </w:rPr>
            </w:pPr>
          </w:p>
          <w:p w14:paraId="7303DC54" w14:textId="77777777" w:rsidR="00610897" w:rsidRPr="00610897" w:rsidRDefault="00610897" w:rsidP="00610897">
            <w:pPr>
              <w:jc w:val="both"/>
              <w:rPr>
                <w:rFonts w:ascii="Garamond" w:eastAsia="Calibri" w:hAnsi="Garamond"/>
                <w:color w:val="000000"/>
                <w:sz w:val="16"/>
                <w:szCs w:val="16"/>
              </w:rPr>
            </w:pPr>
          </w:p>
        </w:tc>
        <w:tc>
          <w:tcPr>
            <w:tcW w:w="699" w:type="dxa"/>
            <w:tcBorders>
              <w:top w:val="single" w:sz="4" w:space="0" w:color="auto"/>
            </w:tcBorders>
          </w:tcPr>
          <w:p w14:paraId="76288A4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BAR</w:t>
            </w:r>
          </w:p>
        </w:tc>
        <w:tc>
          <w:tcPr>
            <w:tcW w:w="1034" w:type="dxa"/>
            <w:tcBorders>
              <w:top w:val="single" w:sz="4" w:space="0" w:color="auto"/>
            </w:tcBorders>
          </w:tcPr>
          <w:p w14:paraId="0C4DF17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UK</w:t>
            </w:r>
          </w:p>
        </w:tc>
        <w:tc>
          <w:tcPr>
            <w:tcW w:w="1418" w:type="dxa"/>
            <w:tcBorders>
              <w:top w:val="single" w:sz="4" w:space="0" w:color="auto"/>
            </w:tcBorders>
          </w:tcPr>
          <w:p w14:paraId="2534CE60"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Questionnaire of 40 UK institutional investors in 1996</w:t>
            </w:r>
          </w:p>
        </w:tc>
        <w:tc>
          <w:tcPr>
            <w:tcW w:w="1275" w:type="dxa"/>
            <w:tcBorders>
              <w:top w:val="single" w:sz="4" w:space="0" w:color="auto"/>
            </w:tcBorders>
          </w:tcPr>
          <w:p w14:paraId="75DE0D8A"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Not applicable </w:t>
            </w:r>
          </w:p>
        </w:tc>
        <w:tc>
          <w:tcPr>
            <w:tcW w:w="6096" w:type="dxa"/>
            <w:tcBorders>
              <w:top w:val="single" w:sz="4" w:space="0" w:color="auto"/>
            </w:tcBorders>
          </w:tcPr>
          <w:p w14:paraId="62BA711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The findings document an increasing awareness of foreign exchange risk management and indicate that UK investment institutions actively managed foreign exchange risk within their investment portfolios. The paper also reports that institutional investors require their investee companies to disclose information relating to their foreign exchange risk management policies.</w:t>
            </w:r>
          </w:p>
          <w:p w14:paraId="2590CF2E" w14:textId="77777777" w:rsidR="00610897" w:rsidRPr="00610897" w:rsidRDefault="00610897" w:rsidP="00610897">
            <w:pPr>
              <w:jc w:val="both"/>
              <w:rPr>
                <w:rFonts w:ascii="Garamond" w:eastAsia="Calibri" w:hAnsi="Garamond"/>
                <w:color w:val="000000"/>
                <w:sz w:val="16"/>
                <w:szCs w:val="16"/>
              </w:rPr>
            </w:pPr>
          </w:p>
        </w:tc>
        <w:tc>
          <w:tcPr>
            <w:tcW w:w="1275" w:type="dxa"/>
            <w:tcBorders>
              <w:top w:val="single" w:sz="4" w:space="0" w:color="auto"/>
            </w:tcBorders>
          </w:tcPr>
          <w:p w14:paraId="3F68D30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Not specified </w:t>
            </w:r>
          </w:p>
        </w:tc>
        <w:tc>
          <w:tcPr>
            <w:tcW w:w="2835" w:type="dxa"/>
            <w:tcBorders>
              <w:top w:val="single" w:sz="4" w:space="0" w:color="auto"/>
            </w:tcBorders>
          </w:tcPr>
          <w:p w14:paraId="33759488"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(1) Further research is needed to explore investors’ risk disclosure requirements.</w:t>
            </w:r>
          </w:p>
        </w:tc>
      </w:tr>
      <w:tr w:rsidR="00610897" w:rsidRPr="00610897" w14:paraId="05CDF2F9" w14:textId="77777777" w:rsidTr="002441E4">
        <w:trPr>
          <w:trHeight w:val="904"/>
        </w:trPr>
        <w:tc>
          <w:tcPr>
            <w:tcW w:w="995" w:type="dxa"/>
          </w:tcPr>
          <w:p w14:paraId="04D398D5"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Solomon et al. (2000)</w:t>
            </w:r>
          </w:p>
        </w:tc>
        <w:tc>
          <w:tcPr>
            <w:tcW w:w="699" w:type="dxa"/>
          </w:tcPr>
          <w:p w14:paraId="449AD6A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BAR</w:t>
            </w:r>
          </w:p>
        </w:tc>
        <w:tc>
          <w:tcPr>
            <w:tcW w:w="1034" w:type="dxa"/>
          </w:tcPr>
          <w:p w14:paraId="0328C19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UK</w:t>
            </w:r>
          </w:p>
        </w:tc>
        <w:tc>
          <w:tcPr>
            <w:tcW w:w="1418" w:type="dxa"/>
          </w:tcPr>
          <w:p w14:paraId="4D98B027"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Questionnaire of 97 UK institutional investors in 1999</w:t>
            </w:r>
          </w:p>
        </w:tc>
        <w:tc>
          <w:tcPr>
            <w:tcW w:w="1275" w:type="dxa"/>
          </w:tcPr>
          <w:p w14:paraId="75AA9545"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Not applicable</w:t>
            </w:r>
          </w:p>
        </w:tc>
        <w:tc>
          <w:tcPr>
            <w:tcW w:w="6096" w:type="dxa"/>
          </w:tcPr>
          <w:p w14:paraId="2C2D656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The findings indicate that institutional investors do not generally </w:t>
            </w:r>
            <w:proofErr w:type="spellStart"/>
            <w:r w:rsidRPr="00610897">
              <w:rPr>
                <w:rFonts w:ascii="Garamond" w:eastAsia="Calibri" w:hAnsi="Garamond"/>
                <w:color w:val="000000"/>
                <w:sz w:val="16"/>
                <w:szCs w:val="16"/>
              </w:rPr>
              <w:t>favor</w:t>
            </w:r>
            <w:proofErr w:type="spellEnd"/>
            <w:r w:rsidRPr="00610897">
              <w:rPr>
                <w:rFonts w:ascii="Garamond" w:eastAsia="Calibri" w:hAnsi="Garamond"/>
                <w:color w:val="000000"/>
                <w:sz w:val="16"/>
                <w:szCs w:val="16"/>
              </w:rPr>
              <w:t xml:space="preserve"> a regulated environment for corporate risk disclosure or a general statement of business risk. The respondents agree that increased risk disclosure would assist them in their portfolio investment decisions. </w:t>
            </w:r>
          </w:p>
          <w:p w14:paraId="64976167" w14:textId="77777777" w:rsidR="00610897" w:rsidRPr="00610897" w:rsidRDefault="00610897" w:rsidP="00610897">
            <w:pPr>
              <w:jc w:val="both"/>
              <w:rPr>
                <w:rFonts w:ascii="Garamond" w:eastAsia="Calibri" w:hAnsi="Garamond"/>
                <w:color w:val="000000"/>
                <w:sz w:val="16"/>
                <w:szCs w:val="16"/>
              </w:rPr>
            </w:pPr>
          </w:p>
        </w:tc>
        <w:tc>
          <w:tcPr>
            <w:tcW w:w="1275" w:type="dxa"/>
          </w:tcPr>
          <w:p w14:paraId="1E808F7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Modern portfolio and </w:t>
            </w:r>
          </w:p>
          <w:p w14:paraId="450CF3B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regulatory theories </w:t>
            </w:r>
          </w:p>
        </w:tc>
        <w:tc>
          <w:tcPr>
            <w:tcW w:w="2835" w:type="dxa"/>
          </w:tcPr>
          <w:p w14:paraId="1CEF9140"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(1) Further in-depth case-study research may indicate more of the dynamic nature of the risk disclosure issue. </w:t>
            </w:r>
          </w:p>
          <w:p w14:paraId="2DA3F3D5" w14:textId="77777777" w:rsidR="00610897" w:rsidRPr="00610897" w:rsidRDefault="00610897" w:rsidP="00610897">
            <w:pPr>
              <w:rPr>
                <w:rFonts w:ascii="Garamond" w:eastAsia="Calibri" w:hAnsi="Garamond"/>
                <w:color w:val="000000"/>
                <w:sz w:val="16"/>
                <w:szCs w:val="16"/>
              </w:rPr>
            </w:pPr>
          </w:p>
        </w:tc>
      </w:tr>
      <w:tr w:rsidR="00610897" w:rsidRPr="00610897" w14:paraId="3F7ECC75" w14:textId="77777777" w:rsidTr="002441E4">
        <w:trPr>
          <w:trHeight w:val="1024"/>
        </w:trPr>
        <w:tc>
          <w:tcPr>
            <w:tcW w:w="995" w:type="dxa"/>
          </w:tcPr>
          <w:p w14:paraId="48EEDD99"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Beretta and </w:t>
            </w:r>
            <w:proofErr w:type="spellStart"/>
            <w:r w:rsidRPr="00610897">
              <w:rPr>
                <w:rFonts w:ascii="Garamond" w:eastAsia="Calibri" w:hAnsi="Garamond"/>
                <w:color w:val="000000"/>
                <w:sz w:val="16"/>
                <w:szCs w:val="16"/>
              </w:rPr>
              <w:t>Bozzolan</w:t>
            </w:r>
            <w:proofErr w:type="spellEnd"/>
            <w:r w:rsidRPr="00610897">
              <w:rPr>
                <w:rFonts w:ascii="Garamond" w:eastAsia="Calibri" w:hAnsi="Garamond"/>
                <w:color w:val="000000"/>
                <w:sz w:val="16"/>
                <w:szCs w:val="16"/>
              </w:rPr>
              <w:t xml:space="preserve"> (2004)</w:t>
            </w:r>
          </w:p>
          <w:p w14:paraId="0EB817B1" w14:textId="77777777" w:rsidR="00610897" w:rsidRPr="00610897" w:rsidRDefault="00610897" w:rsidP="00610897">
            <w:pPr>
              <w:jc w:val="both"/>
              <w:rPr>
                <w:rFonts w:ascii="Garamond" w:eastAsia="Calibri" w:hAnsi="Garamond"/>
                <w:color w:val="000000"/>
                <w:sz w:val="16"/>
                <w:szCs w:val="16"/>
              </w:rPr>
            </w:pPr>
          </w:p>
          <w:p w14:paraId="4771A45D" w14:textId="77777777" w:rsidR="00610897" w:rsidRPr="00610897" w:rsidRDefault="00610897" w:rsidP="00610897">
            <w:pPr>
              <w:jc w:val="both"/>
              <w:rPr>
                <w:rFonts w:ascii="Garamond" w:eastAsia="Calibri" w:hAnsi="Garamond"/>
                <w:color w:val="000000"/>
                <w:sz w:val="16"/>
                <w:szCs w:val="16"/>
              </w:rPr>
            </w:pPr>
          </w:p>
          <w:p w14:paraId="6DBB4D10" w14:textId="77777777" w:rsidR="00610897" w:rsidRPr="00610897" w:rsidRDefault="00610897" w:rsidP="00610897">
            <w:pPr>
              <w:jc w:val="both"/>
              <w:rPr>
                <w:rFonts w:ascii="Garamond" w:eastAsia="Calibri" w:hAnsi="Garamond"/>
                <w:color w:val="000000"/>
                <w:sz w:val="16"/>
                <w:szCs w:val="16"/>
              </w:rPr>
            </w:pPr>
          </w:p>
        </w:tc>
        <w:tc>
          <w:tcPr>
            <w:tcW w:w="699" w:type="dxa"/>
          </w:tcPr>
          <w:p w14:paraId="4588516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IJOA</w:t>
            </w:r>
          </w:p>
        </w:tc>
        <w:tc>
          <w:tcPr>
            <w:tcW w:w="1034" w:type="dxa"/>
          </w:tcPr>
          <w:p w14:paraId="19A6C5BD"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Italy </w:t>
            </w:r>
          </w:p>
        </w:tc>
        <w:tc>
          <w:tcPr>
            <w:tcW w:w="1418" w:type="dxa"/>
          </w:tcPr>
          <w:p w14:paraId="2DFCB2C9"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Non-financial firms listed on the Italian (ordinary) market in 2001</w:t>
            </w:r>
          </w:p>
          <w:p w14:paraId="52639BAA" w14:textId="77777777" w:rsidR="00610897" w:rsidRPr="00610897" w:rsidRDefault="00610897" w:rsidP="00610897">
            <w:pPr>
              <w:rPr>
                <w:rFonts w:ascii="Garamond" w:eastAsia="Calibri" w:hAnsi="Garamond"/>
                <w:color w:val="000000"/>
                <w:sz w:val="16"/>
                <w:szCs w:val="16"/>
              </w:rPr>
            </w:pPr>
          </w:p>
        </w:tc>
        <w:tc>
          <w:tcPr>
            <w:tcW w:w="1275" w:type="dxa"/>
          </w:tcPr>
          <w:p w14:paraId="5257B002"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Manual content analysis </w:t>
            </w:r>
          </w:p>
          <w:p w14:paraId="0908221C"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(number of sentences)</w:t>
            </w:r>
          </w:p>
          <w:p w14:paraId="1811366F" w14:textId="77777777" w:rsidR="00610897" w:rsidRPr="00610897" w:rsidRDefault="00610897" w:rsidP="00610897">
            <w:pPr>
              <w:rPr>
                <w:rFonts w:ascii="Garamond" w:eastAsia="Calibri" w:hAnsi="Garamond"/>
                <w:color w:val="000000"/>
                <w:sz w:val="16"/>
                <w:szCs w:val="16"/>
              </w:rPr>
            </w:pPr>
          </w:p>
        </w:tc>
        <w:tc>
          <w:tcPr>
            <w:tcW w:w="6096" w:type="dxa"/>
          </w:tcPr>
          <w:p w14:paraId="676204E2"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The results suggest that quantity of risk disclosure is mainly driven by firms’ size rather than industry type. Specifically, the results confirm that relative quantity, density, and outlook are not statistically influenced by the size or the industry, but that the latter two do seem to have a significant impact on depth (where depth is </w:t>
            </w:r>
            <w:r w:rsidRPr="00610897">
              <w:rPr>
                <w:rFonts w:ascii="Garamond" w:eastAsia="Calibri" w:hAnsi="Garamond"/>
                <w:color w:val="000000"/>
                <w:sz w:val="16"/>
                <w:szCs w:val="16"/>
                <w:lang w:val="en-CA"/>
              </w:rPr>
              <w:t>defined by two properties: (i) the sign of the economic impact of the risk-related disclosure; and (ii) the measures used to communicate the expected performance)</w:t>
            </w:r>
            <w:r w:rsidRPr="00610897">
              <w:rPr>
                <w:rFonts w:ascii="Garamond" w:eastAsia="Calibri" w:hAnsi="Garamond"/>
                <w:color w:val="000000"/>
                <w:sz w:val="16"/>
                <w:szCs w:val="16"/>
              </w:rPr>
              <w:t>.</w:t>
            </w:r>
          </w:p>
          <w:p w14:paraId="366233A9" w14:textId="77777777" w:rsidR="00610897" w:rsidRPr="00610897" w:rsidRDefault="00610897" w:rsidP="00610897">
            <w:pPr>
              <w:jc w:val="both"/>
              <w:rPr>
                <w:rFonts w:ascii="Garamond" w:eastAsia="Calibri" w:hAnsi="Garamond"/>
                <w:color w:val="000000"/>
                <w:sz w:val="16"/>
                <w:szCs w:val="16"/>
              </w:rPr>
            </w:pPr>
          </w:p>
        </w:tc>
        <w:tc>
          <w:tcPr>
            <w:tcW w:w="1275" w:type="dxa"/>
          </w:tcPr>
          <w:p w14:paraId="7064A0E6"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The costs and benefits of voluntary risk disclosure</w:t>
            </w:r>
          </w:p>
        </w:tc>
        <w:tc>
          <w:tcPr>
            <w:tcW w:w="2835" w:type="dxa"/>
          </w:tcPr>
          <w:p w14:paraId="5F7D94D5"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(1) Further research is needed to examine the relevance of each dimension of the quality of risk information.</w:t>
            </w:r>
          </w:p>
          <w:p w14:paraId="6FC3A431"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(2) Future research might investigate the impact of the quality of risk disclosure on the cost of capital.</w:t>
            </w:r>
          </w:p>
        </w:tc>
      </w:tr>
      <w:tr w:rsidR="00610897" w:rsidRPr="00610897" w14:paraId="61693B09" w14:textId="77777777" w:rsidTr="002441E4">
        <w:trPr>
          <w:trHeight w:val="940"/>
        </w:trPr>
        <w:tc>
          <w:tcPr>
            <w:tcW w:w="995" w:type="dxa"/>
          </w:tcPr>
          <w:p w14:paraId="7E768A7A" w14:textId="77777777" w:rsidR="00610897" w:rsidRPr="00610897" w:rsidRDefault="00610897" w:rsidP="00610897">
            <w:pPr>
              <w:rPr>
                <w:rFonts w:ascii="Garamond" w:eastAsia="Calibri" w:hAnsi="Garamond"/>
                <w:color w:val="000000"/>
                <w:sz w:val="16"/>
                <w:szCs w:val="16"/>
              </w:rPr>
            </w:pPr>
            <w:proofErr w:type="spellStart"/>
            <w:r w:rsidRPr="00610897">
              <w:rPr>
                <w:rFonts w:ascii="Garamond" w:eastAsia="Calibri" w:hAnsi="Garamond"/>
                <w:color w:val="000000"/>
                <w:sz w:val="16"/>
                <w:szCs w:val="16"/>
              </w:rPr>
              <w:t>Linsley</w:t>
            </w:r>
            <w:proofErr w:type="spellEnd"/>
            <w:r w:rsidRPr="00610897">
              <w:rPr>
                <w:rFonts w:ascii="Garamond" w:eastAsia="Calibri" w:hAnsi="Garamond"/>
                <w:color w:val="000000"/>
                <w:sz w:val="16"/>
                <w:szCs w:val="16"/>
              </w:rPr>
              <w:t xml:space="preserve"> and Shrives (2006)</w:t>
            </w:r>
          </w:p>
        </w:tc>
        <w:tc>
          <w:tcPr>
            <w:tcW w:w="699" w:type="dxa"/>
          </w:tcPr>
          <w:p w14:paraId="24AB72B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BAR</w:t>
            </w:r>
          </w:p>
        </w:tc>
        <w:tc>
          <w:tcPr>
            <w:tcW w:w="1034" w:type="dxa"/>
          </w:tcPr>
          <w:p w14:paraId="605BBA4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UK</w:t>
            </w:r>
          </w:p>
        </w:tc>
        <w:tc>
          <w:tcPr>
            <w:tcW w:w="1418" w:type="dxa"/>
          </w:tcPr>
          <w:p w14:paraId="3A05342B"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79 FTSE 100 non-financial firms in 2000</w:t>
            </w:r>
          </w:p>
        </w:tc>
        <w:tc>
          <w:tcPr>
            <w:tcW w:w="1275" w:type="dxa"/>
          </w:tcPr>
          <w:p w14:paraId="74AF2651"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Manual content analysis </w:t>
            </w:r>
          </w:p>
          <w:p w14:paraId="7E5DE350"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(number of sentences)</w:t>
            </w:r>
          </w:p>
          <w:p w14:paraId="72E677DC" w14:textId="77777777" w:rsidR="00610897" w:rsidRPr="00610897" w:rsidRDefault="00610897" w:rsidP="00610897">
            <w:pPr>
              <w:rPr>
                <w:rFonts w:ascii="Garamond" w:eastAsia="Calibri" w:hAnsi="Garamond"/>
                <w:color w:val="000000"/>
                <w:sz w:val="16"/>
                <w:szCs w:val="16"/>
              </w:rPr>
            </w:pPr>
          </w:p>
        </w:tc>
        <w:tc>
          <w:tcPr>
            <w:tcW w:w="6096" w:type="dxa"/>
          </w:tcPr>
          <w:p w14:paraId="0E91203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 significant association is found between risk disclosures and company size and the level of environmental risk. They argue that a lack of coherence in the risk narratives implies that a risk information gap existed and consequently stakeholders are unable to adequately assess the risk profile of a company.</w:t>
            </w:r>
          </w:p>
          <w:p w14:paraId="708EC4F6" w14:textId="77777777" w:rsidR="00610897" w:rsidRPr="00610897" w:rsidRDefault="00610897" w:rsidP="00610897">
            <w:pPr>
              <w:jc w:val="both"/>
              <w:rPr>
                <w:rFonts w:ascii="Garamond" w:eastAsia="Calibri" w:hAnsi="Garamond"/>
                <w:color w:val="000000"/>
                <w:sz w:val="16"/>
                <w:szCs w:val="16"/>
              </w:rPr>
            </w:pPr>
          </w:p>
        </w:tc>
        <w:tc>
          <w:tcPr>
            <w:tcW w:w="1275" w:type="dxa"/>
          </w:tcPr>
          <w:p w14:paraId="3026F46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Attribution theory </w:t>
            </w:r>
          </w:p>
        </w:tc>
        <w:tc>
          <w:tcPr>
            <w:tcW w:w="2835" w:type="dxa"/>
          </w:tcPr>
          <w:p w14:paraId="617BB204"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(1) Adopting multi-disciplinary approaches as insights drawn from areas such as sociology may present alternative methodological approaches to assist future risk disclosure research.</w:t>
            </w:r>
          </w:p>
        </w:tc>
      </w:tr>
      <w:tr w:rsidR="00610897" w:rsidRPr="00610897" w14:paraId="16109B5A" w14:textId="77777777" w:rsidTr="002441E4">
        <w:trPr>
          <w:trHeight w:val="1137"/>
        </w:trPr>
        <w:tc>
          <w:tcPr>
            <w:tcW w:w="995" w:type="dxa"/>
          </w:tcPr>
          <w:p w14:paraId="1D0AC494"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Abraham and Cox (2007)</w:t>
            </w:r>
          </w:p>
        </w:tc>
        <w:tc>
          <w:tcPr>
            <w:tcW w:w="699" w:type="dxa"/>
          </w:tcPr>
          <w:p w14:paraId="4124225B"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BAR</w:t>
            </w:r>
          </w:p>
        </w:tc>
        <w:tc>
          <w:tcPr>
            <w:tcW w:w="1034" w:type="dxa"/>
          </w:tcPr>
          <w:p w14:paraId="2246C69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UK</w:t>
            </w:r>
          </w:p>
        </w:tc>
        <w:tc>
          <w:tcPr>
            <w:tcW w:w="1418" w:type="dxa"/>
          </w:tcPr>
          <w:p w14:paraId="103C636C"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71 FTSE 100 non-financial firms in 2002</w:t>
            </w:r>
          </w:p>
        </w:tc>
        <w:tc>
          <w:tcPr>
            <w:tcW w:w="1275" w:type="dxa"/>
          </w:tcPr>
          <w:p w14:paraId="77BEE94B"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Manual content analysis </w:t>
            </w:r>
          </w:p>
          <w:p w14:paraId="7208D1E3"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(number of words and number of sentences)</w:t>
            </w:r>
          </w:p>
        </w:tc>
        <w:tc>
          <w:tcPr>
            <w:tcW w:w="6096" w:type="dxa"/>
          </w:tcPr>
          <w:p w14:paraId="5768E40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They find that corporate risk reporting is negatively related to share ownership by long-term institutions (in this case, defined as pension funds; vis-à-vis life assurance funds which are classified as short-term institutions), and thus the results imply that this important class of institutional investor has investment preferences for firms with a lower level of risk disclosure. Concerning governance, they find that both the number of executive and the number of independent directors positively related to the level of corporate risk reporting, but not the number of dependent non-executive directors. </w:t>
            </w:r>
          </w:p>
          <w:p w14:paraId="6E00D667" w14:textId="77777777" w:rsidR="00610897" w:rsidRPr="00610897" w:rsidRDefault="00610897" w:rsidP="00610897">
            <w:pPr>
              <w:jc w:val="both"/>
              <w:rPr>
                <w:rFonts w:ascii="Garamond" w:eastAsia="Calibri" w:hAnsi="Garamond"/>
                <w:color w:val="000000"/>
                <w:sz w:val="16"/>
                <w:szCs w:val="16"/>
              </w:rPr>
            </w:pPr>
          </w:p>
        </w:tc>
        <w:tc>
          <w:tcPr>
            <w:tcW w:w="1275" w:type="dxa"/>
          </w:tcPr>
          <w:p w14:paraId="312E22E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Agency theory </w:t>
            </w:r>
          </w:p>
        </w:tc>
        <w:tc>
          <w:tcPr>
            <w:tcW w:w="2835" w:type="dxa"/>
            <w:shd w:val="clear" w:color="auto" w:fill="FFFFFF" w:themeFill="background1"/>
          </w:tcPr>
          <w:p w14:paraId="51FDF0ED"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(1) Future work on risk reporting should consider that, if a firm decides to dilute its risk-related discussion very thinly within a mass of text, it may be too piecemeal to pass for risk-related information at the sentence level of analysis (Beretta &amp; </w:t>
            </w:r>
            <w:proofErr w:type="spellStart"/>
            <w:r w:rsidRPr="00610897">
              <w:rPr>
                <w:rFonts w:ascii="Garamond" w:eastAsia="Calibri" w:hAnsi="Garamond"/>
                <w:color w:val="000000"/>
                <w:sz w:val="16"/>
                <w:szCs w:val="16"/>
              </w:rPr>
              <w:t>Bozzolan</w:t>
            </w:r>
            <w:proofErr w:type="spellEnd"/>
            <w:r w:rsidRPr="00610897">
              <w:rPr>
                <w:rFonts w:ascii="Garamond" w:eastAsia="Calibri" w:hAnsi="Garamond"/>
                <w:color w:val="000000"/>
                <w:sz w:val="16"/>
                <w:szCs w:val="16"/>
              </w:rPr>
              <w:t>, 2004).</w:t>
            </w:r>
          </w:p>
        </w:tc>
      </w:tr>
      <w:tr w:rsidR="00610897" w:rsidRPr="00610897" w14:paraId="5F8F8E5F" w14:textId="77777777" w:rsidTr="002441E4">
        <w:trPr>
          <w:trHeight w:val="872"/>
        </w:trPr>
        <w:tc>
          <w:tcPr>
            <w:tcW w:w="995" w:type="dxa"/>
          </w:tcPr>
          <w:p w14:paraId="16248AB6"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Marshall and </w:t>
            </w:r>
            <w:proofErr w:type="spellStart"/>
            <w:r w:rsidRPr="00610897">
              <w:rPr>
                <w:rFonts w:ascii="Garamond" w:eastAsia="Calibri" w:hAnsi="Garamond"/>
                <w:color w:val="000000"/>
                <w:sz w:val="16"/>
                <w:szCs w:val="16"/>
              </w:rPr>
              <w:t>Weetman</w:t>
            </w:r>
            <w:proofErr w:type="spellEnd"/>
            <w:r w:rsidRPr="00610897">
              <w:rPr>
                <w:rFonts w:ascii="Garamond" w:eastAsia="Calibri" w:hAnsi="Garamond"/>
                <w:color w:val="000000"/>
                <w:sz w:val="16"/>
                <w:szCs w:val="16"/>
              </w:rPr>
              <w:t xml:space="preserve"> (2007)</w:t>
            </w:r>
          </w:p>
        </w:tc>
        <w:tc>
          <w:tcPr>
            <w:tcW w:w="699" w:type="dxa"/>
          </w:tcPr>
          <w:p w14:paraId="12EA38B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JBFA</w:t>
            </w:r>
          </w:p>
        </w:tc>
        <w:tc>
          <w:tcPr>
            <w:tcW w:w="1034" w:type="dxa"/>
          </w:tcPr>
          <w:p w14:paraId="3E8F959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UK and USA</w:t>
            </w:r>
          </w:p>
        </w:tc>
        <w:tc>
          <w:tcPr>
            <w:tcW w:w="1418" w:type="dxa"/>
          </w:tcPr>
          <w:p w14:paraId="256A56B0"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80 non-financial (40 UK-based, 40 US-based) firms as at 1998/99</w:t>
            </w:r>
          </w:p>
        </w:tc>
        <w:tc>
          <w:tcPr>
            <w:tcW w:w="1275" w:type="dxa"/>
          </w:tcPr>
          <w:p w14:paraId="7B8C6471"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Constructed index for risk disclosure </w:t>
            </w:r>
          </w:p>
        </w:tc>
        <w:tc>
          <w:tcPr>
            <w:tcW w:w="6096" w:type="dxa"/>
          </w:tcPr>
          <w:p w14:paraId="53F6405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They find that the information asymmetry gap is lower in the US, where risk reporting is more relevant and where firms have higher levels of financial risk. In contrast, the UK evidence suggests that the information gap is lowest when gearing or liquidity is higher. </w:t>
            </w:r>
          </w:p>
        </w:tc>
        <w:tc>
          <w:tcPr>
            <w:tcW w:w="1275" w:type="dxa"/>
            <w:shd w:val="clear" w:color="auto" w:fill="auto"/>
          </w:tcPr>
          <w:p w14:paraId="290ECB5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Agency theory </w:t>
            </w:r>
          </w:p>
        </w:tc>
        <w:tc>
          <w:tcPr>
            <w:tcW w:w="2835" w:type="dxa"/>
            <w:shd w:val="clear" w:color="auto" w:fill="auto"/>
          </w:tcPr>
          <w:p w14:paraId="379B362D"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(1) Limited sample size. </w:t>
            </w:r>
          </w:p>
          <w:p w14:paraId="587A1BF6"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(2) Incomplete disclosure due to the relatively early adoption of regulations.</w:t>
            </w:r>
          </w:p>
        </w:tc>
      </w:tr>
      <w:tr w:rsidR="00610897" w:rsidRPr="00610897" w14:paraId="48A856E8" w14:textId="77777777" w:rsidTr="002441E4">
        <w:trPr>
          <w:trHeight w:val="379"/>
        </w:trPr>
        <w:tc>
          <w:tcPr>
            <w:tcW w:w="995" w:type="dxa"/>
          </w:tcPr>
          <w:p w14:paraId="2155C2D5"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Deumes</w:t>
            </w:r>
            <w:proofErr w:type="spellEnd"/>
            <w:r w:rsidRPr="00610897">
              <w:rPr>
                <w:rFonts w:ascii="Garamond" w:eastAsia="Calibri" w:hAnsi="Garamond"/>
                <w:color w:val="000000"/>
                <w:sz w:val="16"/>
                <w:szCs w:val="16"/>
              </w:rPr>
              <w:t xml:space="preserve"> and </w:t>
            </w:r>
          </w:p>
          <w:p w14:paraId="72202391"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Knechel</w:t>
            </w:r>
            <w:proofErr w:type="spellEnd"/>
          </w:p>
          <w:p w14:paraId="560168B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(2008)</w:t>
            </w:r>
          </w:p>
        </w:tc>
        <w:tc>
          <w:tcPr>
            <w:tcW w:w="699" w:type="dxa"/>
          </w:tcPr>
          <w:p w14:paraId="0F1BE64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AJPT</w:t>
            </w:r>
          </w:p>
        </w:tc>
        <w:tc>
          <w:tcPr>
            <w:tcW w:w="1034" w:type="dxa"/>
          </w:tcPr>
          <w:p w14:paraId="3C5D7CB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Netherlands </w:t>
            </w:r>
          </w:p>
        </w:tc>
        <w:tc>
          <w:tcPr>
            <w:tcW w:w="1418" w:type="dxa"/>
          </w:tcPr>
          <w:p w14:paraId="69876E25"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192 non-financial listed firms from 1997 to 1999 </w:t>
            </w:r>
          </w:p>
          <w:p w14:paraId="0B997B94" w14:textId="77777777" w:rsidR="00610897" w:rsidRPr="00610897" w:rsidRDefault="00610897" w:rsidP="00610897">
            <w:pPr>
              <w:rPr>
                <w:rFonts w:ascii="Garamond" w:eastAsia="Calibri" w:hAnsi="Garamond"/>
                <w:color w:val="000000"/>
                <w:sz w:val="16"/>
                <w:szCs w:val="16"/>
              </w:rPr>
            </w:pPr>
          </w:p>
        </w:tc>
        <w:tc>
          <w:tcPr>
            <w:tcW w:w="1275" w:type="dxa"/>
          </w:tcPr>
          <w:p w14:paraId="1A269317"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Constructed index for internal risk disclosure</w:t>
            </w:r>
          </w:p>
        </w:tc>
        <w:tc>
          <w:tcPr>
            <w:tcW w:w="6096" w:type="dxa"/>
          </w:tcPr>
          <w:p w14:paraId="54E5A74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They find that economic incentives for voluntary internal control reporting exist in a low-regulation environment. The paper finds evidence that the economic incentives for voluntary internal control reporting exists primarily in a low-regulation context. The paper also finds a negative relationship between the extent of internal control disclosure and </w:t>
            </w:r>
            <w:proofErr w:type="spellStart"/>
            <w:r w:rsidRPr="00610897">
              <w:rPr>
                <w:rFonts w:ascii="Garamond" w:eastAsia="Calibri" w:hAnsi="Garamond"/>
                <w:color w:val="000000"/>
                <w:sz w:val="16"/>
                <w:szCs w:val="16"/>
              </w:rPr>
              <w:t>blockholder</w:t>
            </w:r>
            <w:proofErr w:type="spellEnd"/>
            <w:r w:rsidRPr="00610897">
              <w:rPr>
                <w:rFonts w:ascii="Garamond" w:eastAsia="Calibri" w:hAnsi="Garamond"/>
                <w:color w:val="000000"/>
                <w:sz w:val="16"/>
                <w:szCs w:val="16"/>
              </w:rPr>
              <w:t xml:space="preserve"> ownership, and a positive relationship between the extent of risk disclosure and financial leverage.</w:t>
            </w:r>
          </w:p>
          <w:p w14:paraId="094F4B67" w14:textId="77777777" w:rsidR="00610897" w:rsidRPr="00610897" w:rsidRDefault="00610897" w:rsidP="00610897">
            <w:pPr>
              <w:jc w:val="both"/>
              <w:rPr>
                <w:rFonts w:ascii="Garamond" w:eastAsia="Calibri" w:hAnsi="Garamond"/>
                <w:color w:val="000000"/>
                <w:sz w:val="16"/>
                <w:szCs w:val="16"/>
              </w:rPr>
            </w:pPr>
          </w:p>
        </w:tc>
        <w:tc>
          <w:tcPr>
            <w:tcW w:w="1275" w:type="dxa"/>
            <w:shd w:val="clear" w:color="auto" w:fill="auto"/>
          </w:tcPr>
          <w:p w14:paraId="420C648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Agency theory</w:t>
            </w:r>
          </w:p>
          <w:p w14:paraId="7078FB56" w14:textId="77777777" w:rsidR="00610897" w:rsidRPr="00610897" w:rsidRDefault="00610897" w:rsidP="00610897">
            <w:pPr>
              <w:jc w:val="both"/>
              <w:rPr>
                <w:rFonts w:ascii="Garamond" w:eastAsia="Calibri" w:hAnsi="Garamond"/>
                <w:color w:val="000000"/>
                <w:sz w:val="16"/>
                <w:szCs w:val="16"/>
              </w:rPr>
            </w:pPr>
          </w:p>
          <w:p w14:paraId="6C4EF4D8" w14:textId="77777777" w:rsidR="00610897" w:rsidRPr="00610897" w:rsidRDefault="00610897" w:rsidP="00610897">
            <w:pPr>
              <w:jc w:val="both"/>
              <w:rPr>
                <w:rFonts w:ascii="Garamond" w:eastAsia="Calibri" w:hAnsi="Garamond"/>
                <w:color w:val="000000"/>
                <w:sz w:val="16"/>
                <w:szCs w:val="16"/>
              </w:rPr>
            </w:pPr>
          </w:p>
          <w:p w14:paraId="2C14042C" w14:textId="77777777" w:rsidR="00610897" w:rsidRPr="00610897" w:rsidRDefault="00610897" w:rsidP="00610897">
            <w:pPr>
              <w:jc w:val="both"/>
              <w:rPr>
                <w:rFonts w:ascii="Garamond" w:eastAsia="Calibri" w:hAnsi="Garamond"/>
                <w:color w:val="000000"/>
                <w:sz w:val="16"/>
                <w:szCs w:val="16"/>
              </w:rPr>
            </w:pPr>
          </w:p>
        </w:tc>
        <w:tc>
          <w:tcPr>
            <w:tcW w:w="2835" w:type="dxa"/>
            <w:shd w:val="clear" w:color="auto" w:fill="auto"/>
          </w:tcPr>
          <w:p w14:paraId="16F0CFA6"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(1) Subjectivity of risk disclosure index.</w:t>
            </w:r>
          </w:p>
          <w:p w14:paraId="2F5AC79B" w14:textId="77777777" w:rsidR="00610897" w:rsidRPr="00610897" w:rsidRDefault="00610897" w:rsidP="00610897">
            <w:pPr>
              <w:jc w:val="both"/>
              <w:rPr>
                <w:rFonts w:ascii="Garamond" w:eastAsia="Calibri" w:hAnsi="Garamond"/>
                <w:color w:val="000000"/>
                <w:sz w:val="16"/>
                <w:szCs w:val="16"/>
              </w:rPr>
            </w:pPr>
          </w:p>
        </w:tc>
      </w:tr>
      <w:tr w:rsidR="00610897" w:rsidRPr="00610897" w14:paraId="00623529" w14:textId="77777777" w:rsidTr="002441E4">
        <w:trPr>
          <w:trHeight w:val="142"/>
        </w:trPr>
        <w:tc>
          <w:tcPr>
            <w:tcW w:w="995" w:type="dxa"/>
          </w:tcPr>
          <w:p w14:paraId="7D1AD4B3"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Hill and Short (2009)</w:t>
            </w:r>
          </w:p>
        </w:tc>
        <w:tc>
          <w:tcPr>
            <w:tcW w:w="699" w:type="dxa"/>
          </w:tcPr>
          <w:p w14:paraId="095ECFB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AF</w:t>
            </w:r>
          </w:p>
        </w:tc>
        <w:tc>
          <w:tcPr>
            <w:tcW w:w="1034" w:type="dxa"/>
          </w:tcPr>
          <w:p w14:paraId="1554511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UK</w:t>
            </w:r>
          </w:p>
        </w:tc>
        <w:tc>
          <w:tcPr>
            <w:tcW w:w="1418" w:type="dxa"/>
          </w:tcPr>
          <w:p w14:paraId="5EB89C00"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420 IPO listed firms from 1991 to 2003</w:t>
            </w:r>
          </w:p>
          <w:p w14:paraId="6B459D5D" w14:textId="77777777" w:rsidR="00610897" w:rsidRPr="00610897" w:rsidRDefault="00610897" w:rsidP="00610897">
            <w:pPr>
              <w:rPr>
                <w:rFonts w:ascii="Garamond" w:eastAsia="Calibri" w:hAnsi="Garamond"/>
                <w:color w:val="000000"/>
                <w:sz w:val="16"/>
                <w:szCs w:val="16"/>
              </w:rPr>
            </w:pPr>
          </w:p>
        </w:tc>
        <w:tc>
          <w:tcPr>
            <w:tcW w:w="1275" w:type="dxa"/>
          </w:tcPr>
          <w:p w14:paraId="68B2F22B"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Risk disclosure index</w:t>
            </w:r>
          </w:p>
          <w:p w14:paraId="34013F5A"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(existence of item(s)) </w:t>
            </w:r>
          </w:p>
        </w:tc>
        <w:tc>
          <w:tcPr>
            <w:tcW w:w="6096" w:type="dxa"/>
          </w:tcPr>
          <w:p w14:paraId="2EE8307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The results suggest that firms tend to reveal a high (low) proportion of forward-looking information (risk management disclosure). The results document that managerial ownership is negatively associated with risk disclosure. </w:t>
            </w:r>
          </w:p>
          <w:p w14:paraId="1C983E18" w14:textId="77777777" w:rsidR="00610897" w:rsidRPr="00610897" w:rsidRDefault="00610897" w:rsidP="00610897">
            <w:pPr>
              <w:tabs>
                <w:tab w:val="left" w:pos="3124"/>
              </w:tabs>
              <w:jc w:val="both"/>
              <w:rPr>
                <w:rFonts w:ascii="Garamond" w:eastAsia="Calibri" w:hAnsi="Garamond"/>
                <w:color w:val="000000"/>
                <w:sz w:val="16"/>
                <w:szCs w:val="16"/>
              </w:rPr>
            </w:pPr>
            <w:r w:rsidRPr="00610897">
              <w:rPr>
                <w:rFonts w:ascii="Garamond" w:eastAsia="Calibri" w:hAnsi="Garamond"/>
                <w:color w:val="000000"/>
                <w:sz w:val="16"/>
                <w:szCs w:val="16"/>
              </w:rPr>
              <w:tab/>
            </w:r>
          </w:p>
        </w:tc>
        <w:tc>
          <w:tcPr>
            <w:tcW w:w="1275" w:type="dxa"/>
          </w:tcPr>
          <w:p w14:paraId="1792D1A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Not specified</w:t>
            </w:r>
          </w:p>
        </w:tc>
        <w:tc>
          <w:tcPr>
            <w:tcW w:w="2835" w:type="dxa"/>
          </w:tcPr>
          <w:p w14:paraId="76827ABD"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(1) Further empirical work is needed to investigate whether risk information is a costly or less effective means to reduce information asymmetry. </w:t>
            </w:r>
          </w:p>
          <w:p w14:paraId="06AB9AE7" w14:textId="77777777" w:rsidR="00610897" w:rsidRPr="00610897" w:rsidRDefault="00610897" w:rsidP="00610897">
            <w:pPr>
              <w:rPr>
                <w:rFonts w:ascii="Garamond" w:eastAsia="Calibri" w:hAnsi="Garamond"/>
                <w:color w:val="000000"/>
                <w:sz w:val="16"/>
                <w:szCs w:val="16"/>
              </w:rPr>
            </w:pPr>
          </w:p>
        </w:tc>
      </w:tr>
      <w:tr w:rsidR="00610897" w:rsidRPr="00610897" w14:paraId="5B205915" w14:textId="77777777" w:rsidTr="002441E4">
        <w:trPr>
          <w:trHeight w:val="1091"/>
        </w:trPr>
        <w:tc>
          <w:tcPr>
            <w:tcW w:w="995" w:type="dxa"/>
          </w:tcPr>
          <w:p w14:paraId="529E23EF"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lastRenderedPageBreak/>
              <w:t xml:space="preserve">Taylor et al. </w:t>
            </w:r>
          </w:p>
          <w:p w14:paraId="17D570F4"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(2010)</w:t>
            </w:r>
          </w:p>
        </w:tc>
        <w:tc>
          <w:tcPr>
            <w:tcW w:w="699" w:type="dxa"/>
          </w:tcPr>
          <w:p w14:paraId="725AFC6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AF</w:t>
            </w:r>
          </w:p>
        </w:tc>
        <w:tc>
          <w:tcPr>
            <w:tcW w:w="1034" w:type="dxa"/>
          </w:tcPr>
          <w:p w14:paraId="2793063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Australia</w:t>
            </w:r>
          </w:p>
        </w:tc>
        <w:tc>
          <w:tcPr>
            <w:tcW w:w="1418" w:type="dxa"/>
          </w:tcPr>
          <w:p w14:paraId="4E62485E"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Sample of</w:t>
            </w:r>
          </w:p>
          <w:p w14:paraId="2B7F1691"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111 listed</w:t>
            </w:r>
          </w:p>
          <w:p w14:paraId="4591790A"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resource</w:t>
            </w:r>
          </w:p>
          <w:p w14:paraId="78DD4F98"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firms from 2002 to 2006</w:t>
            </w:r>
          </w:p>
        </w:tc>
        <w:tc>
          <w:tcPr>
            <w:tcW w:w="1275" w:type="dxa"/>
          </w:tcPr>
          <w:p w14:paraId="5D4367B0"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Risk disclosure indices</w:t>
            </w:r>
          </w:p>
          <w:p w14:paraId="7DEDB34F"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(existence of item(s)) </w:t>
            </w:r>
          </w:p>
        </w:tc>
        <w:tc>
          <w:tcPr>
            <w:tcW w:w="6096" w:type="dxa"/>
          </w:tcPr>
          <w:p w14:paraId="2304DEE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The results suggest that corporate governance strength, the need to raise capital, and being locally listed influence Australian firms’ decision to reveal a high level of financial risk management information, both mandatorily and voluntarily. The paper also documents a significant impact of IFRS adoption on the revealing of that information. The paper finds that larger and highly leveraged firms tend to provide more risk information than others. </w:t>
            </w:r>
          </w:p>
          <w:p w14:paraId="0CE716E9" w14:textId="77777777" w:rsidR="00610897" w:rsidRPr="00610897" w:rsidRDefault="00610897" w:rsidP="00610897">
            <w:pPr>
              <w:jc w:val="both"/>
              <w:rPr>
                <w:rFonts w:ascii="Garamond" w:eastAsia="Calibri" w:hAnsi="Garamond"/>
                <w:color w:val="000000"/>
                <w:sz w:val="16"/>
                <w:szCs w:val="16"/>
              </w:rPr>
            </w:pPr>
          </w:p>
        </w:tc>
        <w:tc>
          <w:tcPr>
            <w:tcW w:w="1275" w:type="dxa"/>
          </w:tcPr>
          <w:p w14:paraId="1866B2D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Agency theory</w:t>
            </w:r>
          </w:p>
        </w:tc>
        <w:tc>
          <w:tcPr>
            <w:tcW w:w="2835" w:type="dxa"/>
          </w:tcPr>
          <w:p w14:paraId="36E71BC0"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(1) Examining the impact of individual corporate governance attributes is important to understanding firms’ </w:t>
            </w:r>
            <w:proofErr w:type="spellStart"/>
            <w:r w:rsidRPr="00610897">
              <w:rPr>
                <w:rFonts w:ascii="Garamond" w:eastAsia="Calibri" w:hAnsi="Garamond"/>
                <w:color w:val="000000"/>
                <w:sz w:val="16"/>
                <w:szCs w:val="16"/>
              </w:rPr>
              <w:t>behavior</w:t>
            </w:r>
            <w:proofErr w:type="spellEnd"/>
            <w:r w:rsidRPr="00610897">
              <w:rPr>
                <w:rFonts w:ascii="Garamond" w:eastAsia="Calibri" w:hAnsi="Garamond"/>
                <w:color w:val="000000"/>
                <w:sz w:val="16"/>
                <w:szCs w:val="16"/>
              </w:rPr>
              <w:t xml:space="preserve"> regarding their financial risk management disclosure policies. </w:t>
            </w:r>
          </w:p>
        </w:tc>
      </w:tr>
      <w:tr w:rsidR="00610897" w:rsidRPr="00610897" w14:paraId="7E904F38" w14:textId="77777777" w:rsidTr="002441E4">
        <w:trPr>
          <w:trHeight w:val="952"/>
        </w:trPr>
        <w:tc>
          <w:tcPr>
            <w:tcW w:w="995" w:type="dxa"/>
          </w:tcPr>
          <w:p w14:paraId="03066DA6"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Miihkinen</w:t>
            </w:r>
            <w:proofErr w:type="spellEnd"/>
            <w:r w:rsidRPr="00610897">
              <w:rPr>
                <w:rFonts w:ascii="Garamond" w:eastAsia="Calibri" w:hAnsi="Garamond"/>
                <w:color w:val="000000"/>
                <w:sz w:val="16"/>
                <w:szCs w:val="16"/>
              </w:rPr>
              <w:t xml:space="preserve"> (2012)</w:t>
            </w:r>
          </w:p>
        </w:tc>
        <w:tc>
          <w:tcPr>
            <w:tcW w:w="699" w:type="dxa"/>
          </w:tcPr>
          <w:p w14:paraId="28A925D0"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IJOA</w:t>
            </w:r>
          </w:p>
        </w:tc>
        <w:tc>
          <w:tcPr>
            <w:tcW w:w="1034" w:type="dxa"/>
          </w:tcPr>
          <w:p w14:paraId="7C1C725B"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Finland </w:t>
            </w:r>
          </w:p>
        </w:tc>
        <w:tc>
          <w:tcPr>
            <w:tcW w:w="1418" w:type="dxa"/>
          </w:tcPr>
          <w:p w14:paraId="6A5BFD13"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99 non-financial firms listed on the OMX Helsinki between 2005 and 2007</w:t>
            </w:r>
          </w:p>
        </w:tc>
        <w:tc>
          <w:tcPr>
            <w:tcW w:w="1275" w:type="dxa"/>
          </w:tcPr>
          <w:p w14:paraId="6608B105"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Manual content analysis (number of words and sentences)</w:t>
            </w:r>
          </w:p>
        </w:tc>
        <w:tc>
          <w:tcPr>
            <w:tcW w:w="6096" w:type="dxa"/>
          </w:tcPr>
          <w:p w14:paraId="767BF4F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The paper finds an increase in the quantity of risk disclosure, with more extensive and more comprehensive information following the release of a new Finnish risk reporting standard. The paper also finds larger firms that are cross-listed in the US tend to provide more quantitative risk disclosure and observes that the quality has increased over the years.</w:t>
            </w:r>
          </w:p>
          <w:p w14:paraId="0C719401" w14:textId="77777777" w:rsidR="00610897" w:rsidRPr="00610897" w:rsidRDefault="00610897" w:rsidP="00610897">
            <w:pPr>
              <w:jc w:val="both"/>
              <w:rPr>
                <w:rFonts w:ascii="Garamond" w:eastAsia="Calibri" w:hAnsi="Garamond"/>
                <w:color w:val="000000"/>
                <w:sz w:val="16"/>
                <w:szCs w:val="16"/>
              </w:rPr>
            </w:pPr>
          </w:p>
        </w:tc>
        <w:tc>
          <w:tcPr>
            <w:tcW w:w="1275" w:type="dxa"/>
          </w:tcPr>
          <w:p w14:paraId="7C47AFF8" w14:textId="77777777" w:rsidR="00610897" w:rsidRPr="00610897" w:rsidRDefault="00610897" w:rsidP="00610897">
            <w:pPr>
              <w:rPr>
                <w:rFonts w:ascii="Garamond" w:eastAsia="Calibri" w:hAnsi="Garamond"/>
                <w:color w:val="000000"/>
                <w:sz w:val="16"/>
                <w:szCs w:val="16"/>
              </w:rPr>
            </w:pPr>
            <w:proofErr w:type="spellStart"/>
            <w:r w:rsidRPr="00610897">
              <w:rPr>
                <w:rFonts w:ascii="Garamond" w:eastAsia="Calibri" w:hAnsi="Garamond"/>
                <w:color w:val="000000"/>
                <w:sz w:val="16"/>
                <w:szCs w:val="16"/>
              </w:rPr>
              <w:t>Signaling</w:t>
            </w:r>
            <w:proofErr w:type="spellEnd"/>
            <w:r w:rsidRPr="00610897">
              <w:rPr>
                <w:rFonts w:ascii="Garamond" w:eastAsia="Calibri" w:hAnsi="Garamond"/>
                <w:color w:val="000000"/>
                <w:sz w:val="16"/>
                <w:szCs w:val="16"/>
              </w:rPr>
              <w:t>, proprietary cost and agency theories</w:t>
            </w:r>
          </w:p>
        </w:tc>
        <w:tc>
          <w:tcPr>
            <w:tcW w:w="2835" w:type="dxa"/>
          </w:tcPr>
          <w:p w14:paraId="6536B37A"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(1) Further research is needed to test the economic consequences of risk information from equity and debt investors' perspectives.</w:t>
            </w:r>
          </w:p>
        </w:tc>
      </w:tr>
      <w:tr w:rsidR="00610897" w:rsidRPr="00610897" w14:paraId="37E5F731" w14:textId="77777777" w:rsidTr="002441E4">
        <w:trPr>
          <w:trHeight w:val="1079"/>
        </w:trPr>
        <w:tc>
          <w:tcPr>
            <w:tcW w:w="995" w:type="dxa"/>
          </w:tcPr>
          <w:p w14:paraId="013C19DF" w14:textId="77777777" w:rsidR="00610897" w:rsidRPr="00610897" w:rsidRDefault="00610897" w:rsidP="00610897">
            <w:pPr>
              <w:rPr>
                <w:rFonts w:ascii="Garamond" w:eastAsia="Calibri" w:hAnsi="Garamond"/>
                <w:color w:val="000000"/>
                <w:sz w:val="16"/>
                <w:szCs w:val="16"/>
              </w:rPr>
            </w:pPr>
            <w:proofErr w:type="spellStart"/>
            <w:r w:rsidRPr="00610897">
              <w:rPr>
                <w:rFonts w:ascii="Garamond" w:eastAsia="Calibri" w:hAnsi="Garamond"/>
                <w:color w:val="000000"/>
                <w:sz w:val="16"/>
                <w:szCs w:val="16"/>
              </w:rPr>
              <w:t>Barakat</w:t>
            </w:r>
            <w:proofErr w:type="spellEnd"/>
            <w:r w:rsidRPr="00610897">
              <w:rPr>
                <w:rFonts w:ascii="Garamond" w:eastAsia="Calibri" w:hAnsi="Garamond"/>
                <w:color w:val="000000"/>
                <w:sz w:val="16"/>
                <w:szCs w:val="16"/>
              </w:rPr>
              <w:t xml:space="preserve"> and Hussainey (2013)</w:t>
            </w:r>
          </w:p>
        </w:tc>
        <w:tc>
          <w:tcPr>
            <w:tcW w:w="699" w:type="dxa"/>
          </w:tcPr>
          <w:p w14:paraId="79B9438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IRFA</w:t>
            </w:r>
          </w:p>
        </w:tc>
        <w:tc>
          <w:tcPr>
            <w:tcW w:w="1034" w:type="dxa"/>
          </w:tcPr>
          <w:p w14:paraId="5360386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Europe </w:t>
            </w:r>
          </w:p>
        </w:tc>
        <w:tc>
          <w:tcPr>
            <w:tcW w:w="1418" w:type="dxa"/>
          </w:tcPr>
          <w:p w14:paraId="2D60D329"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85 banks from 20 EU member countries over three years (2008, 2009, and 2010)</w:t>
            </w:r>
          </w:p>
        </w:tc>
        <w:tc>
          <w:tcPr>
            <w:tcW w:w="1275" w:type="dxa"/>
          </w:tcPr>
          <w:p w14:paraId="76919C84"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A self-constructed disclosure index to measure the quality of ORD </w:t>
            </w:r>
          </w:p>
        </w:tc>
        <w:tc>
          <w:tcPr>
            <w:tcW w:w="6096" w:type="dxa"/>
          </w:tcPr>
          <w:p w14:paraId="4B2E5EE0"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This paper finds evidence of a significant impact of corporate governance (CG) on the quality of operational risk reporting (ORD). The study also finds bank supervision an essential factor facilitating that impact. </w:t>
            </w:r>
          </w:p>
          <w:p w14:paraId="4CFA9902" w14:textId="77777777" w:rsidR="00610897" w:rsidRPr="00610897" w:rsidRDefault="00610897" w:rsidP="00610897">
            <w:pPr>
              <w:jc w:val="both"/>
              <w:rPr>
                <w:rFonts w:ascii="Garamond" w:eastAsia="Calibri" w:hAnsi="Garamond"/>
                <w:color w:val="000000"/>
                <w:sz w:val="16"/>
                <w:szCs w:val="16"/>
              </w:rPr>
            </w:pPr>
          </w:p>
        </w:tc>
        <w:tc>
          <w:tcPr>
            <w:tcW w:w="1275" w:type="dxa"/>
          </w:tcPr>
          <w:p w14:paraId="44CCAF3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Legitimacy, resource dependence, and stakeholder theories</w:t>
            </w:r>
          </w:p>
        </w:tc>
        <w:tc>
          <w:tcPr>
            <w:tcW w:w="2835" w:type="dxa"/>
          </w:tcPr>
          <w:p w14:paraId="7B6A30AF"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(1) Further research is needed to examine the impact of the audit committee in enhancing the quality of risk reporting. </w:t>
            </w:r>
          </w:p>
          <w:p w14:paraId="33DA9EC3"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(2) The impact of operational risk reporting quality on banks’ cost of capital is still an open question. </w:t>
            </w:r>
          </w:p>
          <w:p w14:paraId="65097BF9" w14:textId="77777777" w:rsidR="00610897" w:rsidRPr="00610897" w:rsidRDefault="00610897" w:rsidP="00610897">
            <w:pPr>
              <w:jc w:val="both"/>
              <w:rPr>
                <w:rFonts w:ascii="Garamond" w:eastAsia="Calibri" w:hAnsi="Garamond"/>
                <w:color w:val="000000"/>
                <w:sz w:val="16"/>
                <w:szCs w:val="16"/>
              </w:rPr>
            </w:pPr>
          </w:p>
        </w:tc>
      </w:tr>
      <w:tr w:rsidR="00610897" w:rsidRPr="00610897" w14:paraId="37BBFA60" w14:textId="77777777" w:rsidTr="002441E4">
        <w:trPr>
          <w:trHeight w:val="1051"/>
        </w:trPr>
        <w:tc>
          <w:tcPr>
            <w:tcW w:w="995" w:type="dxa"/>
          </w:tcPr>
          <w:p w14:paraId="0C48F6AF"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Elshandidy et al. (2013)</w:t>
            </w:r>
          </w:p>
        </w:tc>
        <w:tc>
          <w:tcPr>
            <w:tcW w:w="699" w:type="dxa"/>
          </w:tcPr>
          <w:p w14:paraId="662C4FEB"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IRFA</w:t>
            </w:r>
          </w:p>
        </w:tc>
        <w:tc>
          <w:tcPr>
            <w:tcW w:w="1034" w:type="dxa"/>
          </w:tcPr>
          <w:p w14:paraId="4D02DAFD"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UK</w:t>
            </w:r>
          </w:p>
        </w:tc>
        <w:tc>
          <w:tcPr>
            <w:tcW w:w="1418" w:type="dxa"/>
          </w:tcPr>
          <w:p w14:paraId="0197F5FA"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1216 firm-year observations for</w:t>
            </w:r>
          </w:p>
          <w:p w14:paraId="3DC43809"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FTSE all-share non-financial firms from 2005 to 2008</w:t>
            </w:r>
          </w:p>
        </w:tc>
        <w:tc>
          <w:tcPr>
            <w:tcW w:w="1275" w:type="dxa"/>
          </w:tcPr>
          <w:p w14:paraId="2BA67E4C"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Automated textual analysis </w:t>
            </w:r>
          </w:p>
          <w:p w14:paraId="2D48046D"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(number of sentences)</w:t>
            </w:r>
          </w:p>
        </w:tc>
        <w:tc>
          <w:tcPr>
            <w:tcW w:w="6096" w:type="dxa"/>
          </w:tcPr>
          <w:p w14:paraId="3EDE82C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The paper finds that firms characterized by higher levels of systematic risk, financing risk and risk-adjusted returns, and those with lower levels of stock return variability, exhibit higher levels of aggregated and voluntary risk disclosure. They also find mandatory risk disclosure to be influenced positively by firm size, dividend yield, and board independence, and negatively by high leverage. </w:t>
            </w:r>
          </w:p>
        </w:tc>
        <w:tc>
          <w:tcPr>
            <w:tcW w:w="1275" w:type="dxa"/>
          </w:tcPr>
          <w:p w14:paraId="794B89BE"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Regulatory, agency, and </w:t>
            </w:r>
            <w:proofErr w:type="spellStart"/>
            <w:r w:rsidRPr="00610897">
              <w:rPr>
                <w:rFonts w:ascii="Garamond" w:eastAsia="Calibri" w:hAnsi="Garamond"/>
                <w:color w:val="000000"/>
                <w:sz w:val="16"/>
                <w:szCs w:val="16"/>
              </w:rPr>
              <w:t>signaling</w:t>
            </w:r>
            <w:proofErr w:type="spellEnd"/>
            <w:r w:rsidRPr="00610897">
              <w:rPr>
                <w:rFonts w:ascii="Garamond" w:eastAsia="Calibri" w:hAnsi="Garamond"/>
                <w:color w:val="000000"/>
                <w:sz w:val="16"/>
                <w:szCs w:val="16"/>
              </w:rPr>
              <w:t xml:space="preserve"> theories</w:t>
            </w:r>
          </w:p>
          <w:p w14:paraId="61F0377B" w14:textId="77777777" w:rsidR="00610897" w:rsidRPr="00610897" w:rsidRDefault="00610897" w:rsidP="00610897">
            <w:pPr>
              <w:jc w:val="both"/>
              <w:rPr>
                <w:rFonts w:ascii="Garamond" w:eastAsia="Calibri" w:hAnsi="Garamond"/>
                <w:color w:val="000000"/>
                <w:sz w:val="16"/>
                <w:szCs w:val="16"/>
              </w:rPr>
            </w:pPr>
          </w:p>
        </w:tc>
        <w:tc>
          <w:tcPr>
            <w:tcW w:w="2835" w:type="dxa"/>
          </w:tcPr>
          <w:p w14:paraId="578D5475"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(1) Further research is required to observe, and if any why, the differences in risk incentives across countries. </w:t>
            </w:r>
          </w:p>
          <w:p w14:paraId="63EDE01F"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(2) Examine whether users would value external assurance over risk disclosures made in annual report narratives.</w:t>
            </w:r>
          </w:p>
        </w:tc>
      </w:tr>
      <w:tr w:rsidR="00610897" w:rsidRPr="00610897" w14:paraId="43D99D58" w14:textId="77777777" w:rsidTr="002441E4">
        <w:trPr>
          <w:trHeight w:val="998"/>
        </w:trPr>
        <w:tc>
          <w:tcPr>
            <w:tcW w:w="995" w:type="dxa"/>
          </w:tcPr>
          <w:p w14:paraId="41810B0B"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Ntim et al. (2013)</w:t>
            </w:r>
          </w:p>
          <w:p w14:paraId="0E917A7E" w14:textId="77777777" w:rsidR="00610897" w:rsidRPr="00610897" w:rsidRDefault="00610897" w:rsidP="00610897">
            <w:pPr>
              <w:jc w:val="both"/>
              <w:rPr>
                <w:rFonts w:ascii="Garamond" w:eastAsia="Calibri" w:hAnsi="Garamond"/>
                <w:color w:val="000000"/>
                <w:sz w:val="16"/>
                <w:szCs w:val="16"/>
              </w:rPr>
            </w:pPr>
          </w:p>
          <w:p w14:paraId="7E14F0E9" w14:textId="77777777" w:rsidR="00610897" w:rsidRPr="00610897" w:rsidRDefault="00610897" w:rsidP="00610897">
            <w:pPr>
              <w:jc w:val="both"/>
              <w:rPr>
                <w:rFonts w:ascii="Garamond" w:eastAsia="Calibri" w:hAnsi="Garamond"/>
                <w:color w:val="000000"/>
                <w:sz w:val="16"/>
                <w:szCs w:val="16"/>
              </w:rPr>
            </w:pPr>
          </w:p>
          <w:p w14:paraId="046B233E" w14:textId="77777777" w:rsidR="00610897" w:rsidRPr="00610897" w:rsidRDefault="00610897" w:rsidP="00610897">
            <w:pPr>
              <w:jc w:val="both"/>
              <w:rPr>
                <w:rFonts w:ascii="Garamond" w:eastAsia="Calibri" w:hAnsi="Garamond"/>
                <w:color w:val="000000"/>
                <w:sz w:val="16"/>
                <w:szCs w:val="16"/>
              </w:rPr>
            </w:pPr>
          </w:p>
          <w:p w14:paraId="1D33BA19" w14:textId="77777777" w:rsidR="00610897" w:rsidRPr="00610897" w:rsidRDefault="00610897" w:rsidP="00610897">
            <w:pPr>
              <w:jc w:val="both"/>
              <w:rPr>
                <w:rFonts w:ascii="Garamond" w:eastAsia="Calibri" w:hAnsi="Garamond"/>
                <w:color w:val="000000"/>
                <w:sz w:val="16"/>
                <w:szCs w:val="16"/>
              </w:rPr>
            </w:pPr>
          </w:p>
        </w:tc>
        <w:tc>
          <w:tcPr>
            <w:tcW w:w="699" w:type="dxa"/>
          </w:tcPr>
          <w:p w14:paraId="647709E0"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IRFA</w:t>
            </w:r>
          </w:p>
        </w:tc>
        <w:tc>
          <w:tcPr>
            <w:tcW w:w="1034" w:type="dxa"/>
          </w:tcPr>
          <w:p w14:paraId="45C2CA70"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South Africa </w:t>
            </w:r>
          </w:p>
          <w:p w14:paraId="5CDD1263" w14:textId="77777777" w:rsidR="00610897" w:rsidRPr="00610897" w:rsidRDefault="00610897" w:rsidP="00610897">
            <w:pPr>
              <w:rPr>
                <w:rFonts w:ascii="Garamond" w:eastAsia="Calibri" w:hAnsi="Garamond"/>
                <w:color w:val="000000"/>
                <w:sz w:val="16"/>
                <w:szCs w:val="16"/>
              </w:rPr>
            </w:pPr>
          </w:p>
          <w:p w14:paraId="281748CB" w14:textId="77777777" w:rsidR="00610897" w:rsidRPr="00610897" w:rsidRDefault="00610897" w:rsidP="00610897">
            <w:pPr>
              <w:rPr>
                <w:rFonts w:ascii="Garamond" w:eastAsia="Calibri" w:hAnsi="Garamond"/>
                <w:color w:val="000000"/>
                <w:sz w:val="16"/>
                <w:szCs w:val="16"/>
              </w:rPr>
            </w:pPr>
          </w:p>
          <w:p w14:paraId="20504BA5" w14:textId="77777777" w:rsidR="00610897" w:rsidRPr="00610897" w:rsidRDefault="00610897" w:rsidP="00610897">
            <w:pPr>
              <w:rPr>
                <w:rFonts w:ascii="Garamond" w:eastAsia="Calibri" w:hAnsi="Garamond"/>
                <w:color w:val="000000"/>
                <w:sz w:val="16"/>
                <w:szCs w:val="16"/>
              </w:rPr>
            </w:pPr>
          </w:p>
        </w:tc>
        <w:tc>
          <w:tcPr>
            <w:tcW w:w="1418" w:type="dxa"/>
          </w:tcPr>
          <w:p w14:paraId="4372BFC0"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50 firms from 2002 to 2011 </w:t>
            </w:r>
          </w:p>
        </w:tc>
        <w:tc>
          <w:tcPr>
            <w:tcW w:w="1275" w:type="dxa"/>
          </w:tcPr>
          <w:p w14:paraId="2432F52E"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Manual content analysis </w:t>
            </w:r>
          </w:p>
          <w:p w14:paraId="51F4A3AD"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(number of sentences)</w:t>
            </w:r>
          </w:p>
        </w:tc>
        <w:tc>
          <w:tcPr>
            <w:tcW w:w="6096" w:type="dxa"/>
          </w:tcPr>
          <w:p w14:paraId="3138060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The paper finds that corporate risk disclosure is negatively related to block ownership and institutional ownership, and positively related to board diversity, board size, and independent non-executive directors. </w:t>
            </w:r>
          </w:p>
        </w:tc>
        <w:tc>
          <w:tcPr>
            <w:tcW w:w="1275" w:type="dxa"/>
          </w:tcPr>
          <w:p w14:paraId="4D4B2C41"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Institutional, legitimacy, stakeholder, and agency theories</w:t>
            </w:r>
          </w:p>
        </w:tc>
        <w:tc>
          <w:tcPr>
            <w:tcW w:w="2835" w:type="dxa"/>
          </w:tcPr>
          <w:p w14:paraId="57ED95EC"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(1) Applying a multi-theoretical framework within a cross-country context needs further attention from extant work on risk reporting. </w:t>
            </w:r>
          </w:p>
          <w:p w14:paraId="509D768B" w14:textId="77777777" w:rsidR="00610897" w:rsidRPr="00610897" w:rsidRDefault="00610897" w:rsidP="00610897">
            <w:pPr>
              <w:rPr>
                <w:rFonts w:ascii="Garamond" w:eastAsia="Calibri" w:hAnsi="Garamond"/>
                <w:color w:val="000000"/>
                <w:sz w:val="16"/>
                <w:szCs w:val="16"/>
              </w:rPr>
            </w:pPr>
          </w:p>
        </w:tc>
      </w:tr>
      <w:tr w:rsidR="00610897" w:rsidRPr="00610897" w14:paraId="40AB6894" w14:textId="77777777" w:rsidTr="002441E4">
        <w:trPr>
          <w:trHeight w:val="1483"/>
        </w:trPr>
        <w:tc>
          <w:tcPr>
            <w:tcW w:w="995" w:type="dxa"/>
          </w:tcPr>
          <w:p w14:paraId="0E76138F"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Elshandidy et al. (2015)</w:t>
            </w:r>
          </w:p>
        </w:tc>
        <w:tc>
          <w:tcPr>
            <w:tcW w:w="699" w:type="dxa"/>
          </w:tcPr>
          <w:p w14:paraId="62D91F9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BAR</w:t>
            </w:r>
          </w:p>
        </w:tc>
        <w:tc>
          <w:tcPr>
            <w:tcW w:w="1034" w:type="dxa"/>
          </w:tcPr>
          <w:p w14:paraId="3E9D474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Germany, UK, and USA</w:t>
            </w:r>
          </w:p>
        </w:tc>
        <w:tc>
          <w:tcPr>
            <w:tcW w:w="1418" w:type="dxa"/>
          </w:tcPr>
          <w:p w14:paraId="32C573AC"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3685 firm-year observations for Frankfurt (CDAX), FTSE, and NASDAQ all-share non-financial firms from 2005 to 2010</w:t>
            </w:r>
          </w:p>
        </w:tc>
        <w:tc>
          <w:tcPr>
            <w:tcW w:w="1275" w:type="dxa"/>
          </w:tcPr>
          <w:p w14:paraId="5BF35C62"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Automated textual analysis </w:t>
            </w:r>
            <w:r w:rsidRPr="00610897">
              <w:rPr>
                <w:rFonts w:ascii="Garamond" w:eastAsia="Calibri" w:hAnsi="Garamond"/>
                <w:color w:val="000000"/>
                <w:sz w:val="16"/>
                <w:szCs w:val="16"/>
              </w:rPr>
              <w:br/>
              <w:t>(number of sentences)</w:t>
            </w:r>
            <w:r w:rsidRPr="00610897">
              <w:rPr>
                <w:rFonts w:ascii="Garamond" w:eastAsia="Calibri" w:hAnsi="Garamond"/>
                <w:color w:val="000000"/>
                <w:sz w:val="16"/>
                <w:szCs w:val="16"/>
              </w:rPr>
              <w:br/>
            </w:r>
          </w:p>
        </w:tc>
        <w:tc>
          <w:tcPr>
            <w:tcW w:w="6096" w:type="dxa"/>
          </w:tcPr>
          <w:p w14:paraId="222BFFB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The results document that mandatory and voluntary risk reporting (MRR and VRR) are influenced by systematic risk, the legal system, and cultural values. They also find that country and firm characteristics have higher explanatory power over the observed variations in MRR than over those in VRR. They find that the legal system and cultural values have high explanatory power over MRR variations over time, even under the new approach of international convergence. They are less successful, however, in explaining the variations in VRR between firms across countries.</w:t>
            </w:r>
          </w:p>
        </w:tc>
        <w:tc>
          <w:tcPr>
            <w:tcW w:w="1275" w:type="dxa"/>
          </w:tcPr>
          <w:p w14:paraId="0CFD9002"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Institutional theory </w:t>
            </w:r>
          </w:p>
        </w:tc>
        <w:tc>
          <w:tcPr>
            <w:tcW w:w="2835" w:type="dxa"/>
          </w:tcPr>
          <w:p w14:paraId="768A5A9D"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(1) Future work on comparative risk reporting might increase the number of countries so as to account for a wide range of country-specific factors. </w:t>
            </w:r>
          </w:p>
          <w:p w14:paraId="34C33A96"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(2) Further research on comparative quality of mandatory and voluntary risk disclosure is needed.</w:t>
            </w:r>
          </w:p>
        </w:tc>
      </w:tr>
      <w:tr w:rsidR="00610897" w:rsidRPr="00610897" w14:paraId="4184A427" w14:textId="77777777" w:rsidTr="002441E4">
        <w:trPr>
          <w:trHeight w:val="987"/>
        </w:trPr>
        <w:tc>
          <w:tcPr>
            <w:tcW w:w="995" w:type="dxa"/>
          </w:tcPr>
          <w:p w14:paraId="0AD7D8AD" w14:textId="77777777" w:rsidR="00610897" w:rsidRPr="00610897" w:rsidRDefault="00610897" w:rsidP="00610897">
            <w:pPr>
              <w:rPr>
                <w:rFonts w:ascii="Garamond" w:eastAsia="Calibri" w:hAnsi="Garamond"/>
                <w:color w:val="000000"/>
                <w:sz w:val="16"/>
                <w:szCs w:val="16"/>
              </w:rPr>
            </w:pPr>
            <w:proofErr w:type="spellStart"/>
            <w:r w:rsidRPr="00610897">
              <w:rPr>
                <w:rFonts w:ascii="Garamond" w:eastAsia="Calibri" w:hAnsi="Garamond"/>
                <w:color w:val="000000"/>
                <w:sz w:val="16"/>
                <w:szCs w:val="16"/>
              </w:rPr>
              <w:t>Malafronte</w:t>
            </w:r>
            <w:proofErr w:type="spellEnd"/>
            <w:r w:rsidRPr="00610897">
              <w:rPr>
                <w:rFonts w:ascii="Garamond" w:eastAsia="Calibri" w:hAnsi="Garamond"/>
                <w:color w:val="000000"/>
                <w:sz w:val="16"/>
                <w:szCs w:val="16"/>
              </w:rPr>
              <w:t xml:space="preserve"> et al. (2015)</w:t>
            </w:r>
          </w:p>
        </w:tc>
        <w:tc>
          <w:tcPr>
            <w:tcW w:w="699" w:type="dxa"/>
          </w:tcPr>
          <w:p w14:paraId="15A00F5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IRFA</w:t>
            </w:r>
          </w:p>
        </w:tc>
        <w:tc>
          <w:tcPr>
            <w:tcW w:w="1034" w:type="dxa"/>
          </w:tcPr>
          <w:p w14:paraId="3879095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Europe </w:t>
            </w:r>
          </w:p>
        </w:tc>
        <w:tc>
          <w:tcPr>
            <w:tcW w:w="1418" w:type="dxa"/>
          </w:tcPr>
          <w:p w14:paraId="16684A2A"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231 firm-year observations from  </w:t>
            </w:r>
          </w:p>
          <w:p w14:paraId="39F1F4E4"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2005 to 2010</w:t>
            </w:r>
          </w:p>
        </w:tc>
        <w:tc>
          <w:tcPr>
            <w:tcW w:w="1275" w:type="dxa"/>
          </w:tcPr>
          <w:p w14:paraId="124C9B2F"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Automated textual analysis </w:t>
            </w:r>
            <w:r w:rsidRPr="00610897">
              <w:rPr>
                <w:rFonts w:ascii="Garamond" w:eastAsia="Calibri" w:hAnsi="Garamond"/>
                <w:color w:val="000000"/>
                <w:sz w:val="16"/>
                <w:szCs w:val="16"/>
              </w:rPr>
              <w:br/>
              <w:t>(number of sentences)</w:t>
            </w:r>
          </w:p>
        </w:tc>
        <w:tc>
          <w:tcPr>
            <w:tcW w:w="6096" w:type="dxa"/>
          </w:tcPr>
          <w:p w14:paraId="1FEA111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The results show that the amount of risk information provided in the annual report is significantly affected by insurers’ characteristics such as size and technical provision (</w:t>
            </w:r>
            <w:r w:rsidRPr="00610897">
              <w:rPr>
                <w:rFonts w:ascii="Garamond" w:eastAsia="Calibri" w:hAnsi="Garamond"/>
                <w:color w:val="000000"/>
                <w:sz w:val="16"/>
                <w:szCs w:val="16"/>
                <w:lang w:val="en-US"/>
              </w:rPr>
              <w:t>i.e. the main item in the balance sheet of an insurer; a high level of technical provision represents a signal of the strength of an insurance company)</w:t>
            </w:r>
            <w:r w:rsidRPr="00610897">
              <w:rPr>
                <w:rFonts w:ascii="Garamond" w:eastAsia="Calibri" w:hAnsi="Garamond"/>
                <w:color w:val="000000"/>
                <w:sz w:val="16"/>
                <w:szCs w:val="16"/>
              </w:rPr>
              <w:t xml:space="preserve">, and country-level characteristics. The paper also finds that the amount of risk disclosure is affected by the financial crisis as firms are likely to provide more risk information to assure shareholders of the board’s independence from the global crisis. To this end, </w:t>
            </w:r>
            <w:r w:rsidRPr="00610897">
              <w:rPr>
                <w:rFonts w:ascii="Garamond" w:eastAsia="Calibri" w:hAnsi="Garamond"/>
                <w:color w:val="000000"/>
                <w:sz w:val="16"/>
                <w:szCs w:val="16"/>
                <w:lang w:val="en-US"/>
              </w:rPr>
              <w:t>they find that most companies in their sample use their risk disclosure to talk about the financial crisis, as opposed to ignore it, and to explain how they are – or how they enacted strategies to make themselves – independent from it</w:t>
            </w:r>
          </w:p>
          <w:p w14:paraId="719DC5D0" w14:textId="77777777" w:rsidR="00610897" w:rsidRPr="00610897" w:rsidRDefault="00610897" w:rsidP="00610897">
            <w:pPr>
              <w:jc w:val="both"/>
              <w:rPr>
                <w:rFonts w:ascii="Garamond" w:eastAsia="Calibri" w:hAnsi="Garamond"/>
                <w:color w:val="000000"/>
                <w:sz w:val="16"/>
                <w:szCs w:val="16"/>
              </w:rPr>
            </w:pPr>
          </w:p>
        </w:tc>
        <w:tc>
          <w:tcPr>
            <w:tcW w:w="1275" w:type="dxa"/>
          </w:tcPr>
          <w:p w14:paraId="4CBABA7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Not specified</w:t>
            </w:r>
          </w:p>
        </w:tc>
        <w:tc>
          <w:tcPr>
            <w:tcW w:w="2835" w:type="dxa"/>
          </w:tcPr>
          <w:p w14:paraId="328F60E3"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(1) Future work might include comparing the European insurance industry with those of other Western countries and emerging countries.</w:t>
            </w:r>
          </w:p>
        </w:tc>
      </w:tr>
      <w:tr w:rsidR="00610897" w:rsidRPr="00610897" w14:paraId="00346968" w14:textId="77777777" w:rsidTr="002441E4">
        <w:trPr>
          <w:trHeight w:val="993"/>
        </w:trPr>
        <w:tc>
          <w:tcPr>
            <w:tcW w:w="995" w:type="dxa"/>
            <w:tcBorders>
              <w:bottom w:val="single" w:sz="4" w:space="0" w:color="auto"/>
            </w:tcBorders>
          </w:tcPr>
          <w:p w14:paraId="189A5525"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lastRenderedPageBreak/>
              <w:t>Al-</w:t>
            </w:r>
            <w:proofErr w:type="spellStart"/>
            <w:r w:rsidRPr="00610897">
              <w:rPr>
                <w:rFonts w:ascii="Garamond" w:eastAsia="Calibri" w:hAnsi="Garamond"/>
                <w:color w:val="000000"/>
                <w:sz w:val="16"/>
                <w:szCs w:val="16"/>
              </w:rPr>
              <w:t>Hadi</w:t>
            </w:r>
            <w:proofErr w:type="spellEnd"/>
            <w:r w:rsidRPr="00610897">
              <w:rPr>
                <w:rFonts w:ascii="Garamond" w:eastAsia="Calibri" w:hAnsi="Garamond"/>
                <w:color w:val="000000"/>
                <w:sz w:val="16"/>
                <w:szCs w:val="16"/>
              </w:rPr>
              <w:t xml:space="preserve"> et al. </w:t>
            </w:r>
          </w:p>
          <w:p w14:paraId="73C13246"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(2016)</w:t>
            </w:r>
          </w:p>
          <w:p w14:paraId="55B28C5B" w14:textId="77777777" w:rsidR="00610897" w:rsidRPr="00610897" w:rsidRDefault="00610897" w:rsidP="00610897">
            <w:pPr>
              <w:rPr>
                <w:rFonts w:ascii="Garamond" w:eastAsia="Calibri" w:hAnsi="Garamond"/>
                <w:color w:val="000000"/>
                <w:sz w:val="16"/>
                <w:szCs w:val="16"/>
              </w:rPr>
            </w:pPr>
          </w:p>
        </w:tc>
        <w:tc>
          <w:tcPr>
            <w:tcW w:w="699" w:type="dxa"/>
            <w:tcBorders>
              <w:bottom w:val="single" w:sz="4" w:space="0" w:color="auto"/>
            </w:tcBorders>
          </w:tcPr>
          <w:p w14:paraId="3DBF72A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CGIR</w:t>
            </w:r>
          </w:p>
        </w:tc>
        <w:tc>
          <w:tcPr>
            <w:tcW w:w="1034" w:type="dxa"/>
            <w:tcBorders>
              <w:bottom w:val="single" w:sz="4" w:space="0" w:color="auto"/>
            </w:tcBorders>
          </w:tcPr>
          <w:p w14:paraId="749F14B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Gulf Cooperation Council (GCC)</w:t>
            </w:r>
          </w:p>
        </w:tc>
        <w:tc>
          <w:tcPr>
            <w:tcW w:w="1418" w:type="dxa"/>
            <w:tcBorders>
              <w:bottom w:val="single" w:sz="4" w:space="0" w:color="auto"/>
            </w:tcBorders>
          </w:tcPr>
          <w:p w14:paraId="15EB71DA"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677 firm-year observations of financial firms from 2007 to 2011</w:t>
            </w:r>
          </w:p>
        </w:tc>
        <w:tc>
          <w:tcPr>
            <w:tcW w:w="1275" w:type="dxa"/>
            <w:tcBorders>
              <w:bottom w:val="single" w:sz="4" w:space="0" w:color="auto"/>
            </w:tcBorders>
          </w:tcPr>
          <w:p w14:paraId="047B6DEC"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Risk disclosure indices</w:t>
            </w:r>
          </w:p>
          <w:p w14:paraId="0E34B348"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(existence of item(s))</w:t>
            </w:r>
          </w:p>
        </w:tc>
        <w:tc>
          <w:tcPr>
            <w:tcW w:w="6096" w:type="dxa"/>
            <w:tcBorders>
              <w:bottom w:val="single" w:sz="4" w:space="0" w:color="auto"/>
            </w:tcBorders>
          </w:tcPr>
          <w:p w14:paraId="16CE7BA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This paper finds that firms with a separate risk committee are likely to exhibit more market risk disclosure than other firms. These firms’ decision to provide risk information is also influenced by risk committee characteristics including size and qualification. Results are more pronounced for mature-stage firms. </w:t>
            </w:r>
          </w:p>
        </w:tc>
        <w:tc>
          <w:tcPr>
            <w:tcW w:w="1275" w:type="dxa"/>
            <w:tcBorders>
              <w:bottom w:val="single" w:sz="4" w:space="0" w:color="auto"/>
            </w:tcBorders>
          </w:tcPr>
          <w:p w14:paraId="0A6A1C0C"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Agency theory,</w:t>
            </w:r>
          </w:p>
          <w:p w14:paraId="23C2A731"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legitimacy theory, and the resource-based theory</w:t>
            </w:r>
          </w:p>
        </w:tc>
        <w:tc>
          <w:tcPr>
            <w:tcW w:w="2835" w:type="dxa"/>
            <w:tcBorders>
              <w:bottom w:val="single" w:sz="4" w:space="0" w:color="auto"/>
            </w:tcBorders>
          </w:tcPr>
          <w:p w14:paraId="7D94CA6E"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Future work might include:</w:t>
            </w:r>
          </w:p>
          <w:p w14:paraId="5026D0AD"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(1) Examining the impact of institutional factors on firms’ decision to reveal risk information.</w:t>
            </w:r>
          </w:p>
          <w:p w14:paraId="7C205A48"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(2) Observing the effect of market risk disclosure on information asymmetry.</w:t>
            </w:r>
          </w:p>
        </w:tc>
      </w:tr>
    </w:tbl>
    <w:tbl>
      <w:tblPr>
        <w:tblStyle w:val="TableGrid11"/>
        <w:tblpPr w:leftFromText="180" w:rightFromText="180" w:vertAnchor="text" w:horzAnchor="margin" w:tblpXSpec="center" w:tblpY="607"/>
        <w:tblW w:w="1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
        <w:gridCol w:w="3671"/>
        <w:gridCol w:w="1019"/>
        <w:gridCol w:w="973"/>
        <w:gridCol w:w="998"/>
        <w:gridCol w:w="793"/>
        <w:gridCol w:w="1327"/>
        <w:gridCol w:w="1435"/>
        <w:gridCol w:w="1440"/>
        <w:gridCol w:w="1276"/>
        <w:gridCol w:w="2041"/>
        <w:gridCol w:w="12"/>
      </w:tblGrid>
      <w:tr w:rsidR="00610897" w:rsidRPr="00610897" w14:paraId="65C4547B" w14:textId="77777777" w:rsidTr="002441E4">
        <w:trPr>
          <w:trHeight w:val="449"/>
        </w:trPr>
        <w:tc>
          <w:tcPr>
            <w:tcW w:w="15495" w:type="dxa"/>
            <w:gridSpan w:val="12"/>
            <w:tcBorders>
              <w:top w:val="single" w:sz="4" w:space="0" w:color="auto"/>
              <w:bottom w:val="single" w:sz="4" w:space="0" w:color="auto"/>
            </w:tcBorders>
            <w:shd w:val="clear" w:color="auto" w:fill="auto"/>
          </w:tcPr>
          <w:p w14:paraId="75BC67CF" w14:textId="77777777" w:rsidR="00610897" w:rsidRPr="00610897" w:rsidRDefault="00610897" w:rsidP="00610897">
            <w:pPr>
              <w:jc w:val="both"/>
              <w:rPr>
                <w:rFonts w:ascii="Garamond" w:eastAsia="Calibri" w:hAnsi="Garamond"/>
                <w:b/>
                <w:color w:val="000000"/>
                <w:sz w:val="16"/>
                <w:szCs w:val="16"/>
              </w:rPr>
            </w:pPr>
            <w:r w:rsidRPr="00610897">
              <w:rPr>
                <w:rFonts w:ascii="Garamond" w:eastAsia="Calibri" w:hAnsi="Garamond"/>
                <w:b/>
                <w:color w:val="000000"/>
                <w:sz w:val="16"/>
                <w:szCs w:val="16"/>
              </w:rPr>
              <w:t>Table 3</w:t>
            </w:r>
            <w:r w:rsidRPr="00610897">
              <w:rPr>
                <w:rFonts w:ascii="Garamond" w:eastAsia="Calibri" w:hAnsi="Garamond"/>
                <w:b/>
                <w:color w:val="000000"/>
                <w:sz w:val="16"/>
                <w:szCs w:val="16"/>
              </w:rPr>
              <w:tab/>
            </w:r>
          </w:p>
          <w:p w14:paraId="57E776C5"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Areas of divergence for papers on incentives for risk reporting, presented in chronological order (16 papers summarized in Table 2, discussed in Section 2, and categorized in Section 5)</w:t>
            </w:r>
          </w:p>
        </w:tc>
      </w:tr>
      <w:tr w:rsidR="00610897" w:rsidRPr="00610897" w14:paraId="70D9AD78" w14:textId="77777777" w:rsidTr="002441E4">
        <w:trPr>
          <w:trHeight w:val="149"/>
        </w:trPr>
        <w:tc>
          <w:tcPr>
            <w:tcW w:w="510" w:type="dxa"/>
            <w:vMerge w:val="restart"/>
            <w:tcBorders>
              <w:top w:val="single" w:sz="4" w:space="0" w:color="auto"/>
            </w:tcBorders>
            <w:shd w:val="clear" w:color="auto" w:fill="auto"/>
          </w:tcPr>
          <w:p w14:paraId="37E9E89F"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N</w:t>
            </w:r>
          </w:p>
        </w:tc>
        <w:tc>
          <w:tcPr>
            <w:tcW w:w="3671" w:type="dxa"/>
            <w:vMerge w:val="restart"/>
            <w:tcBorders>
              <w:top w:val="single" w:sz="4" w:space="0" w:color="auto"/>
            </w:tcBorders>
            <w:shd w:val="clear" w:color="auto" w:fill="auto"/>
          </w:tcPr>
          <w:p w14:paraId="238DF1DB"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Main classification </w:t>
            </w:r>
            <w:r w:rsidRPr="00610897">
              <w:rPr>
                <w:rFonts w:ascii="Garamond" w:eastAsia="Calibri" w:hAnsi="Garamond"/>
                <w:color w:val="000000"/>
              </w:rPr>
              <w:t xml:space="preserve"> </w:t>
            </w:r>
          </w:p>
          <w:p w14:paraId="17842D16" w14:textId="77777777" w:rsidR="00610897" w:rsidRPr="00610897" w:rsidRDefault="00610897" w:rsidP="00610897">
            <w:pPr>
              <w:jc w:val="both"/>
              <w:rPr>
                <w:rFonts w:ascii="Garamond" w:eastAsia="Calibri" w:hAnsi="Garamond"/>
                <w:color w:val="000000"/>
                <w:sz w:val="16"/>
                <w:szCs w:val="16"/>
              </w:rPr>
            </w:pPr>
          </w:p>
        </w:tc>
        <w:tc>
          <w:tcPr>
            <w:tcW w:w="11314" w:type="dxa"/>
            <w:gridSpan w:val="10"/>
          </w:tcPr>
          <w:p w14:paraId="44C2664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Method and context</w:t>
            </w:r>
          </w:p>
        </w:tc>
      </w:tr>
      <w:tr w:rsidR="00610897" w:rsidRPr="00610897" w14:paraId="3BCD159A" w14:textId="77777777" w:rsidTr="002441E4">
        <w:trPr>
          <w:trHeight w:val="243"/>
        </w:trPr>
        <w:tc>
          <w:tcPr>
            <w:tcW w:w="510" w:type="dxa"/>
            <w:vMerge/>
            <w:shd w:val="clear" w:color="auto" w:fill="auto"/>
          </w:tcPr>
          <w:p w14:paraId="69E0B6F9" w14:textId="77777777" w:rsidR="00610897" w:rsidRPr="00610897" w:rsidRDefault="00610897" w:rsidP="00610897">
            <w:pPr>
              <w:ind w:right="-170"/>
              <w:jc w:val="both"/>
              <w:rPr>
                <w:rFonts w:ascii="Garamond" w:eastAsia="Calibri" w:hAnsi="Garamond"/>
                <w:color w:val="000000"/>
                <w:sz w:val="16"/>
                <w:szCs w:val="16"/>
              </w:rPr>
            </w:pPr>
          </w:p>
        </w:tc>
        <w:tc>
          <w:tcPr>
            <w:tcW w:w="3671" w:type="dxa"/>
            <w:vMerge/>
            <w:shd w:val="clear" w:color="auto" w:fill="auto"/>
          </w:tcPr>
          <w:p w14:paraId="6CD85B53" w14:textId="77777777" w:rsidR="00610897" w:rsidRPr="00610897" w:rsidRDefault="00610897" w:rsidP="00610897">
            <w:pPr>
              <w:jc w:val="both"/>
              <w:rPr>
                <w:rFonts w:ascii="Garamond" w:eastAsia="Calibri" w:hAnsi="Garamond"/>
                <w:color w:val="000000"/>
                <w:sz w:val="16"/>
                <w:szCs w:val="16"/>
              </w:rPr>
            </w:pPr>
          </w:p>
        </w:tc>
        <w:tc>
          <w:tcPr>
            <w:tcW w:w="2990" w:type="dxa"/>
            <w:gridSpan w:val="3"/>
            <w:tcBorders>
              <w:top w:val="single" w:sz="4" w:space="0" w:color="auto"/>
              <w:bottom w:val="single" w:sz="4" w:space="0" w:color="auto"/>
            </w:tcBorders>
          </w:tcPr>
          <w:p w14:paraId="43347C6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Type of disclosure </w:t>
            </w:r>
          </w:p>
        </w:tc>
        <w:tc>
          <w:tcPr>
            <w:tcW w:w="2120" w:type="dxa"/>
            <w:gridSpan w:val="2"/>
            <w:tcBorders>
              <w:top w:val="single" w:sz="4" w:space="0" w:color="auto"/>
              <w:bottom w:val="single" w:sz="4" w:space="0" w:color="auto"/>
            </w:tcBorders>
          </w:tcPr>
          <w:p w14:paraId="4F967CC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Type of content analysis </w:t>
            </w:r>
          </w:p>
        </w:tc>
        <w:tc>
          <w:tcPr>
            <w:tcW w:w="2875" w:type="dxa"/>
            <w:gridSpan w:val="2"/>
            <w:tcBorders>
              <w:top w:val="single" w:sz="4" w:space="0" w:color="auto"/>
              <w:bottom w:val="single" w:sz="4" w:space="0" w:color="auto"/>
            </w:tcBorders>
          </w:tcPr>
          <w:p w14:paraId="5B3D989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Type of analysis</w:t>
            </w:r>
          </w:p>
        </w:tc>
        <w:tc>
          <w:tcPr>
            <w:tcW w:w="3329" w:type="dxa"/>
            <w:gridSpan w:val="3"/>
            <w:tcBorders>
              <w:top w:val="single" w:sz="4" w:space="0" w:color="auto"/>
              <w:bottom w:val="single" w:sz="4" w:space="0" w:color="auto"/>
            </w:tcBorders>
          </w:tcPr>
          <w:p w14:paraId="6513987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Type of sector</w:t>
            </w:r>
          </w:p>
        </w:tc>
      </w:tr>
      <w:tr w:rsidR="00610897" w:rsidRPr="00610897" w14:paraId="5C78A1C9" w14:textId="77777777" w:rsidTr="002441E4">
        <w:trPr>
          <w:gridAfter w:val="1"/>
          <w:wAfter w:w="12" w:type="dxa"/>
          <w:trHeight w:val="293"/>
        </w:trPr>
        <w:tc>
          <w:tcPr>
            <w:tcW w:w="510" w:type="dxa"/>
            <w:vMerge/>
            <w:tcBorders>
              <w:bottom w:val="single" w:sz="4" w:space="0" w:color="auto"/>
            </w:tcBorders>
            <w:shd w:val="clear" w:color="auto" w:fill="auto"/>
          </w:tcPr>
          <w:p w14:paraId="45C27EE6" w14:textId="77777777" w:rsidR="00610897" w:rsidRPr="00610897" w:rsidRDefault="00610897" w:rsidP="00610897">
            <w:pPr>
              <w:ind w:right="-170"/>
              <w:jc w:val="both"/>
              <w:rPr>
                <w:rFonts w:ascii="Garamond" w:eastAsia="Calibri" w:hAnsi="Garamond"/>
                <w:color w:val="000000"/>
                <w:sz w:val="16"/>
                <w:szCs w:val="16"/>
              </w:rPr>
            </w:pPr>
          </w:p>
        </w:tc>
        <w:tc>
          <w:tcPr>
            <w:tcW w:w="3671" w:type="dxa"/>
            <w:vMerge/>
            <w:tcBorders>
              <w:bottom w:val="single" w:sz="4" w:space="0" w:color="auto"/>
            </w:tcBorders>
            <w:shd w:val="clear" w:color="auto" w:fill="auto"/>
          </w:tcPr>
          <w:p w14:paraId="518B221C" w14:textId="77777777" w:rsidR="00610897" w:rsidRPr="00610897" w:rsidRDefault="00610897" w:rsidP="00610897">
            <w:pPr>
              <w:jc w:val="both"/>
              <w:rPr>
                <w:rFonts w:ascii="Garamond" w:eastAsia="Calibri" w:hAnsi="Garamond"/>
                <w:color w:val="000000"/>
                <w:sz w:val="16"/>
                <w:szCs w:val="16"/>
              </w:rPr>
            </w:pPr>
          </w:p>
        </w:tc>
        <w:tc>
          <w:tcPr>
            <w:tcW w:w="1019" w:type="dxa"/>
            <w:tcBorders>
              <w:top w:val="single" w:sz="4" w:space="0" w:color="auto"/>
              <w:bottom w:val="single" w:sz="4" w:space="0" w:color="auto"/>
            </w:tcBorders>
            <w:shd w:val="clear" w:color="auto" w:fill="auto"/>
          </w:tcPr>
          <w:p w14:paraId="61A85CD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Mandatory</w:t>
            </w:r>
          </w:p>
        </w:tc>
        <w:tc>
          <w:tcPr>
            <w:tcW w:w="973" w:type="dxa"/>
            <w:tcBorders>
              <w:top w:val="single" w:sz="4" w:space="0" w:color="auto"/>
              <w:bottom w:val="single" w:sz="4" w:space="0" w:color="auto"/>
            </w:tcBorders>
            <w:shd w:val="clear" w:color="auto" w:fill="auto"/>
          </w:tcPr>
          <w:p w14:paraId="12FFA28B"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Voluntary</w:t>
            </w:r>
          </w:p>
        </w:tc>
        <w:tc>
          <w:tcPr>
            <w:tcW w:w="998" w:type="dxa"/>
            <w:tcBorders>
              <w:top w:val="single" w:sz="4" w:space="0" w:color="auto"/>
              <w:bottom w:val="single" w:sz="4" w:space="0" w:color="auto"/>
            </w:tcBorders>
            <w:shd w:val="clear" w:color="auto" w:fill="auto"/>
          </w:tcPr>
          <w:p w14:paraId="740B659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Aggregate</w:t>
            </w:r>
          </w:p>
        </w:tc>
        <w:tc>
          <w:tcPr>
            <w:tcW w:w="793" w:type="dxa"/>
            <w:tcBorders>
              <w:top w:val="single" w:sz="4" w:space="0" w:color="auto"/>
              <w:bottom w:val="single" w:sz="4" w:space="0" w:color="auto"/>
            </w:tcBorders>
            <w:shd w:val="clear" w:color="auto" w:fill="auto"/>
          </w:tcPr>
          <w:p w14:paraId="744458EB"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Manual </w:t>
            </w:r>
          </w:p>
        </w:tc>
        <w:tc>
          <w:tcPr>
            <w:tcW w:w="1327" w:type="dxa"/>
            <w:tcBorders>
              <w:top w:val="single" w:sz="4" w:space="0" w:color="auto"/>
              <w:bottom w:val="single" w:sz="4" w:space="0" w:color="auto"/>
            </w:tcBorders>
            <w:shd w:val="clear" w:color="auto" w:fill="auto"/>
          </w:tcPr>
          <w:p w14:paraId="7D142920"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Automated</w:t>
            </w:r>
          </w:p>
        </w:tc>
        <w:tc>
          <w:tcPr>
            <w:tcW w:w="1435" w:type="dxa"/>
            <w:tcBorders>
              <w:top w:val="single" w:sz="4" w:space="0" w:color="auto"/>
              <w:bottom w:val="single" w:sz="4" w:space="0" w:color="auto"/>
            </w:tcBorders>
            <w:shd w:val="clear" w:color="auto" w:fill="auto"/>
          </w:tcPr>
          <w:p w14:paraId="097AB74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Within-country</w:t>
            </w:r>
          </w:p>
        </w:tc>
        <w:tc>
          <w:tcPr>
            <w:tcW w:w="1440" w:type="dxa"/>
            <w:tcBorders>
              <w:top w:val="single" w:sz="4" w:space="0" w:color="auto"/>
              <w:bottom w:val="single" w:sz="4" w:space="0" w:color="auto"/>
            </w:tcBorders>
            <w:shd w:val="clear" w:color="auto" w:fill="auto"/>
          </w:tcPr>
          <w:p w14:paraId="43D5BBA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Cross-country</w:t>
            </w:r>
          </w:p>
        </w:tc>
        <w:tc>
          <w:tcPr>
            <w:tcW w:w="1276" w:type="dxa"/>
            <w:tcBorders>
              <w:top w:val="single" w:sz="4" w:space="0" w:color="auto"/>
              <w:bottom w:val="single" w:sz="4" w:space="0" w:color="auto"/>
            </w:tcBorders>
            <w:shd w:val="clear" w:color="auto" w:fill="auto"/>
          </w:tcPr>
          <w:p w14:paraId="798C59CB"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Non-financial </w:t>
            </w:r>
          </w:p>
        </w:tc>
        <w:tc>
          <w:tcPr>
            <w:tcW w:w="2041" w:type="dxa"/>
            <w:tcBorders>
              <w:top w:val="single" w:sz="4" w:space="0" w:color="auto"/>
              <w:bottom w:val="single" w:sz="4" w:space="0" w:color="auto"/>
            </w:tcBorders>
            <w:shd w:val="clear" w:color="auto" w:fill="auto"/>
          </w:tcPr>
          <w:p w14:paraId="185DAB12"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Financial/insurance </w:t>
            </w:r>
          </w:p>
        </w:tc>
      </w:tr>
      <w:tr w:rsidR="00610897" w:rsidRPr="00610897" w14:paraId="72F415FC" w14:textId="77777777" w:rsidTr="002441E4">
        <w:trPr>
          <w:gridAfter w:val="1"/>
          <w:wAfter w:w="12" w:type="dxa"/>
          <w:trHeight w:val="265"/>
        </w:trPr>
        <w:tc>
          <w:tcPr>
            <w:tcW w:w="510" w:type="dxa"/>
            <w:tcBorders>
              <w:top w:val="single" w:sz="4" w:space="0" w:color="auto"/>
            </w:tcBorders>
            <w:shd w:val="clear" w:color="auto" w:fill="auto"/>
          </w:tcPr>
          <w:p w14:paraId="1AE38A77"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 xml:space="preserve">1 </w:t>
            </w:r>
          </w:p>
        </w:tc>
        <w:tc>
          <w:tcPr>
            <w:tcW w:w="3671" w:type="dxa"/>
            <w:tcBorders>
              <w:top w:val="single" w:sz="4" w:space="0" w:color="auto"/>
            </w:tcBorders>
            <w:shd w:val="clear" w:color="auto" w:fill="auto"/>
          </w:tcPr>
          <w:p w14:paraId="2643C70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Solomon (1999)</w:t>
            </w:r>
          </w:p>
        </w:tc>
        <w:tc>
          <w:tcPr>
            <w:tcW w:w="1019" w:type="dxa"/>
            <w:tcBorders>
              <w:top w:val="single" w:sz="4" w:space="0" w:color="auto"/>
            </w:tcBorders>
            <w:shd w:val="clear" w:color="auto" w:fill="auto"/>
          </w:tcPr>
          <w:p w14:paraId="1137428B" w14:textId="77777777" w:rsidR="00610897" w:rsidRPr="00610897" w:rsidRDefault="00610897" w:rsidP="00610897">
            <w:pPr>
              <w:jc w:val="both"/>
              <w:rPr>
                <w:rFonts w:ascii="Garamond" w:eastAsia="Calibri" w:hAnsi="Garamond"/>
                <w:color w:val="000000"/>
                <w:sz w:val="16"/>
                <w:szCs w:val="16"/>
              </w:rPr>
            </w:pPr>
          </w:p>
        </w:tc>
        <w:tc>
          <w:tcPr>
            <w:tcW w:w="973" w:type="dxa"/>
            <w:tcBorders>
              <w:top w:val="single" w:sz="4" w:space="0" w:color="auto"/>
            </w:tcBorders>
            <w:shd w:val="clear" w:color="auto" w:fill="auto"/>
          </w:tcPr>
          <w:p w14:paraId="100090A9" w14:textId="77777777" w:rsidR="00610897" w:rsidRPr="00610897" w:rsidRDefault="00610897" w:rsidP="00610897">
            <w:pPr>
              <w:jc w:val="both"/>
              <w:rPr>
                <w:rFonts w:ascii="Garamond" w:eastAsia="Calibri" w:hAnsi="Garamond"/>
                <w:color w:val="000000"/>
                <w:sz w:val="16"/>
                <w:szCs w:val="16"/>
              </w:rPr>
            </w:pPr>
          </w:p>
        </w:tc>
        <w:tc>
          <w:tcPr>
            <w:tcW w:w="998" w:type="dxa"/>
            <w:tcBorders>
              <w:top w:val="single" w:sz="4" w:space="0" w:color="auto"/>
            </w:tcBorders>
            <w:shd w:val="clear" w:color="auto" w:fill="auto"/>
          </w:tcPr>
          <w:p w14:paraId="00BA65C9"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2120" w:type="dxa"/>
            <w:gridSpan w:val="2"/>
            <w:tcBorders>
              <w:top w:val="single" w:sz="4" w:space="0" w:color="auto"/>
            </w:tcBorders>
            <w:shd w:val="clear" w:color="auto" w:fill="auto"/>
          </w:tcPr>
          <w:p w14:paraId="09DF80F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Not applicable</w:t>
            </w:r>
          </w:p>
        </w:tc>
        <w:tc>
          <w:tcPr>
            <w:tcW w:w="1435" w:type="dxa"/>
            <w:tcBorders>
              <w:top w:val="single" w:sz="4" w:space="0" w:color="auto"/>
            </w:tcBorders>
            <w:shd w:val="clear" w:color="auto" w:fill="auto"/>
          </w:tcPr>
          <w:p w14:paraId="5E62B53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40" w:type="dxa"/>
            <w:tcBorders>
              <w:top w:val="single" w:sz="4" w:space="0" w:color="auto"/>
            </w:tcBorders>
            <w:shd w:val="clear" w:color="auto" w:fill="auto"/>
          </w:tcPr>
          <w:p w14:paraId="0BCE89D0" w14:textId="77777777" w:rsidR="00610897" w:rsidRPr="00610897" w:rsidRDefault="00610897" w:rsidP="00610897">
            <w:pPr>
              <w:jc w:val="both"/>
              <w:rPr>
                <w:rFonts w:ascii="Garamond" w:eastAsia="Calibri" w:hAnsi="Garamond"/>
                <w:color w:val="000000"/>
                <w:sz w:val="16"/>
                <w:szCs w:val="16"/>
              </w:rPr>
            </w:pPr>
          </w:p>
        </w:tc>
        <w:tc>
          <w:tcPr>
            <w:tcW w:w="3317" w:type="dxa"/>
            <w:gridSpan w:val="2"/>
            <w:tcBorders>
              <w:top w:val="single" w:sz="4" w:space="0" w:color="auto"/>
            </w:tcBorders>
            <w:shd w:val="clear" w:color="auto" w:fill="auto"/>
          </w:tcPr>
          <w:p w14:paraId="0D899A60"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Not applicable</w:t>
            </w:r>
          </w:p>
        </w:tc>
      </w:tr>
      <w:tr w:rsidR="00610897" w:rsidRPr="00610897" w14:paraId="53E5BD12" w14:textId="77777777" w:rsidTr="002441E4">
        <w:trPr>
          <w:gridAfter w:val="1"/>
          <w:wAfter w:w="12" w:type="dxa"/>
          <w:trHeight w:val="265"/>
        </w:trPr>
        <w:tc>
          <w:tcPr>
            <w:tcW w:w="510" w:type="dxa"/>
            <w:shd w:val="clear" w:color="auto" w:fill="auto"/>
          </w:tcPr>
          <w:p w14:paraId="18FC5ED5"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 xml:space="preserve">2 </w:t>
            </w:r>
          </w:p>
        </w:tc>
        <w:tc>
          <w:tcPr>
            <w:tcW w:w="3671" w:type="dxa"/>
            <w:shd w:val="clear" w:color="auto" w:fill="auto"/>
          </w:tcPr>
          <w:p w14:paraId="24CED5A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Solomon et al. (2000)</w:t>
            </w:r>
          </w:p>
        </w:tc>
        <w:tc>
          <w:tcPr>
            <w:tcW w:w="1019" w:type="dxa"/>
            <w:shd w:val="clear" w:color="auto" w:fill="auto"/>
          </w:tcPr>
          <w:p w14:paraId="2DE6BA43" w14:textId="77777777" w:rsidR="00610897" w:rsidRPr="00610897" w:rsidRDefault="00610897" w:rsidP="00610897">
            <w:pPr>
              <w:jc w:val="both"/>
              <w:rPr>
                <w:rFonts w:ascii="Garamond" w:eastAsia="Calibri" w:hAnsi="Garamond"/>
                <w:color w:val="000000"/>
                <w:sz w:val="16"/>
                <w:szCs w:val="16"/>
              </w:rPr>
            </w:pPr>
          </w:p>
        </w:tc>
        <w:tc>
          <w:tcPr>
            <w:tcW w:w="973" w:type="dxa"/>
            <w:shd w:val="clear" w:color="auto" w:fill="auto"/>
          </w:tcPr>
          <w:p w14:paraId="0784735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98" w:type="dxa"/>
            <w:shd w:val="clear" w:color="auto" w:fill="auto"/>
          </w:tcPr>
          <w:p w14:paraId="7F49594B"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2120" w:type="dxa"/>
            <w:gridSpan w:val="2"/>
            <w:shd w:val="clear" w:color="auto" w:fill="auto"/>
          </w:tcPr>
          <w:p w14:paraId="3BF3952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Not applicable</w:t>
            </w:r>
          </w:p>
        </w:tc>
        <w:tc>
          <w:tcPr>
            <w:tcW w:w="1435" w:type="dxa"/>
            <w:shd w:val="clear" w:color="auto" w:fill="auto"/>
          </w:tcPr>
          <w:p w14:paraId="0AAD92D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40" w:type="dxa"/>
            <w:shd w:val="clear" w:color="auto" w:fill="auto"/>
          </w:tcPr>
          <w:p w14:paraId="3FE8341A" w14:textId="77777777" w:rsidR="00610897" w:rsidRPr="00610897" w:rsidRDefault="00610897" w:rsidP="00610897">
            <w:pPr>
              <w:jc w:val="both"/>
              <w:rPr>
                <w:rFonts w:ascii="Garamond" w:eastAsia="Calibri" w:hAnsi="Garamond"/>
                <w:color w:val="000000"/>
                <w:sz w:val="16"/>
                <w:szCs w:val="16"/>
              </w:rPr>
            </w:pPr>
          </w:p>
        </w:tc>
        <w:tc>
          <w:tcPr>
            <w:tcW w:w="3317" w:type="dxa"/>
            <w:gridSpan w:val="2"/>
            <w:shd w:val="clear" w:color="auto" w:fill="auto"/>
          </w:tcPr>
          <w:p w14:paraId="4A23A109"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Not applicable</w:t>
            </w:r>
          </w:p>
        </w:tc>
      </w:tr>
      <w:tr w:rsidR="00610897" w:rsidRPr="00610897" w14:paraId="10EDD302" w14:textId="77777777" w:rsidTr="002441E4">
        <w:trPr>
          <w:gridAfter w:val="1"/>
          <w:wAfter w:w="12" w:type="dxa"/>
          <w:trHeight w:val="265"/>
        </w:trPr>
        <w:tc>
          <w:tcPr>
            <w:tcW w:w="510" w:type="dxa"/>
            <w:shd w:val="clear" w:color="auto" w:fill="auto"/>
          </w:tcPr>
          <w:p w14:paraId="2F933D79"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 xml:space="preserve">3 </w:t>
            </w:r>
          </w:p>
        </w:tc>
        <w:tc>
          <w:tcPr>
            <w:tcW w:w="3671" w:type="dxa"/>
            <w:shd w:val="clear" w:color="auto" w:fill="auto"/>
          </w:tcPr>
          <w:p w14:paraId="3EAA0DF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Beretta and </w:t>
            </w:r>
            <w:proofErr w:type="spellStart"/>
            <w:r w:rsidRPr="00610897">
              <w:rPr>
                <w:rFonts w:ascii="Garamond" w:eastAsia="Calibri" w:hAnsi="Garamond"/>
                <w:color w:val="000000"/>
                <w:sz w:val="16"/>
                <w:szCs w:val="16"/>
              </w:rPr>
              <w:t>Bozzolan</w:t>
            </w:r>
            <w:proofErr w:type="spellEnd"/>
            <w:r w:rsidRPr="00610897">
              <w:rPr>
                <w:rFonts w:ascii="Garamond" w:eastAsia="Calibri" w:hAnsi="Garamond"/>
                <w:color w:val="000000"/>
                <w:sz w:val="16"/>
                <w:szCs w:val="16"/>
              </w:rPr>
              <w:t xml:space="preserve"> (2004)</w:t>
            </w:r>
          </w:p>
        </w:tc>
        <w:tc>
          <w:tcPr>
            <w:tcW w:w="1019" w:type="dxa"/>
            <w:shd w:val="clear" w:color="auto" w:fill="auto"/>
          </w:tcPr>
          <w:p w14:paraId="1CE5BF3A" w14:textId="77777777" w:rsidR="00610897" w:rsidRPr="00610897" w:rsidRDefault="00610897" w:rsidP="00610897">
            <w:pPr>
              <w:jc w:val="both"/>
              <w:rPr>
                <w:rFonts w:ascii="Garamond" w:eastAsia="Calibri" w:hAnsi="Garamond"/>
                <w:color w:val="000000"/>
                <w:sz w:val="16"/>
                <w:szCs w:val="16"/>
              </w:rPr>
            </w:pPr>
          </w:p>
        </w:tc>
        <w:tc>
          <w:tcPr>
            <w:tcW w:w="973" w:type="dxa"/>
            <w:shd w:val="clear" w:color="auto" w:fill="auto"/>
          </w:tcPr>
          <w:p w14:paraId="34E5E46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98" w:type="dxa"/>
            <w:shd w:val="clear" w:color="auto" w:fill="auto"/>
          </w:tcPr>
          <w:p w14:paraId="7277C5BD" w14:textId="77777777" w:rsidR="00610897" w:rsidRPr="00610897" w:rsidRDefault="00610897" w:rsidP="00610897">
            <w:pPr>
              <w:jc w:val="both"/>
              <w:rPr>
                <w:rFonts w:ascii="Garamond" w:eastAsia="Calibri" w:hAnsi="Garamond"/>
                <w:color w:val="000000"/>
                <w:sz w:val="16"/>
                <w:szCs w:val="16"/>
              </w:rPr>
            </w:pPr>
          </w:p>
        </w:tc>
        <w:tc>
          <w:tcPr>
            <w:tcW w:w="793" w:type="dxa"/>
            <w:shd w:val="clear" w:color="auto" w:fill="auto"/>
          </w:tcPr>
          <w:p w14:paraId="77E9D5B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327" w:type="dxa"/>
            <w:shd w:val="clear" w:color="auto" w:fill="auto"/>
          </w:tcPr>
          <w:p w14:paraId="60B81F66" w14:textId="77777777" w:rsidR="00610897" w:rsidRPr="00610897" w:rsidRDefault="00610897" w:rsidP="00610897">
            <w:pPr>
              <w:jc w:val="both"/>
              <w:rPr>
                <w:rFonts w:ascii="Garamond" w:eastAsia="Calibri" w:hAnsi="Garamond"/>
                <w:color w:val="000000"/>
                <w:sz w:val="16"/>
                <w:szCs w:val="16"/>
              </w:rPr>
            </w:pPr>
          </w:p>
        </w:tc>
        <w:tc>
          <w:tcPr>
            <w:tcW w:w="1435" w:type="dxa"/>
            <w:shd w:val="clear" w:color="auto" w:fill="auto"/>
          </w:tcPr>
          <w:p w14:paraId="1299712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40" w:type="dxa"/>
            <w:shd w:val="clear" w:color="auto" w:fill="auto"/>
          </w:tcPr>
          <w:p w14:paraId="23960077" w14:textId="77777777" w:rsidR="00610897" w:rsidRPr="00610897" w:rsidRDefault="00610897" w:rsidP="00610897">
            <w:pPr>
              <w:jc w:val="both"/>
              <w:rPr>
                <w:rFonts w:ascii="Garamond" w:eastAsia="Calibri" w:hAnsi="Garamond"/>
                <w:color w:val="000000"/>
                <w:sz w:val="16"/>
                <w:szCs w:val="16"/>
              </w:rPr>
            </w:pPr>
          </w:p>
        </w:tc>
        <w:tc>
          <w:tcPr>
            <w:tcW w:w="1276" w:type="dxa"/>
            <w:shd w:val="clear" w:color="auto" w:fill="auto"/>
          </w:tcPr>
          <w:p w14:paraId="4C9CAA4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2041" w:type="dxa"/>
            <w:shd w:val="clear" w:color="auto" w:fill="auto"/>
          </w:tcPr>
          <w:p w14:paraId="313D1F7D" w14:textId="77777777" w:rsidR="00610897" w:rsidRPr="00610897" w:rsidRDefault="00610897" w:rsidP="00610897">
            <w:pPr>
              <w:jc w:val="both"/>
              <w:rPr>
                <w:rFonts w:ascii="Garamond" w:eastAsia="Calibri" w:hAnsi="Garamond"/>
                <w:color w:val="000000"/>
                <w:sz w:val="16"/>
                <w:szCs w:val="16"/>
              </w:rPr>
            </w:pPr>
          </w:p>
        </w:tc>
      </w:tr>
      <w:tr w:rsidR="00610897" w:rsidRPr="00610897" w14:paraId="5956EACF" w14:textId="77777777" w:rsidTr="002441E4">
        <w:trPr>
          <w:gridAfter w:val="1"/>
          <w:wAfter w:w="12" w:type="dxa"/>
          <w:trHeight w:val="56"/>
        </w:trPr>
        <w:tc>
          <w:tcPr>
            <w:tcW w:w="510" w:type="dxa"/>
            <w:shd w:val="clear" w:color="auto" w:fill="auto"/>
          </w:tcPr>
          <w:p w14:paraId="0EC4A9FA" w14:textId="77777777" w:rsidR="00610897" w:rsidRPr="00610897" w:rsidRDefault="00610897" w:rsidP="00610897">
            <w:pPr>
              <w:spacing w:after="80"/>
              <w:ind w:right="-170"/>
              <w:jc w:val="both"/>
              <w:rPr>
                <w:rFonts w:ascii="Garamond" w:eastAsia="Calibri" w:hAnsi="Garamond"/>
                <w:color w:val="000000"/>
                <w:sz w:val="16"/>
                <w:szCs w:val="16"/>
              </w:rPr>
            </w:pPr>
            <w:r w:rsidRPr="00610897">
              <w:rPr>
                <w:rFonts w:ascii="Garamond" w:eastAsia="Calibri" w:hAnsi="Garamond"/>
                <w:color w:val="000000"/>
                <w:sz w:val="16"/>
                <w:szCs w:val="16"/>
              </w:rPr>
              <w:t xml:space="preserve">4 </w:t>
            </w:r>
          </w:p>
        </w:tc>
        <w:tc>
          <w:tcPr>
            <w:tcW w:w="3671" w:type="dxa"/>
            <w:shd w:val="clear" w:color="auto" w:fill="auto"/>
          </w:tcPr>
          <w:p w14:paraId="29B9A2C7" w14:textId="77777777" w:rsidR="00610897" w:rsidRPr="00610897" w:rsidRDefault="00610897" w:rsidP="00610897">
            <w:pPr>
              <w:spacing w:after="80"/>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Linsley</w:t>
            </w:r>
            <w:proofErr w:type="spellEnd"/>
            <w:r w:rsidRPr="00610897">
              <w:rPr>
                <w:rFonts w:ascii="Garamond" w:eastAsia="Calibri" w:hAnsi="Garamond"/>
                <w:color w:val="000000"/>
                <w:sz w:val="16"/>
                <w:szCs w:val="16"/>
              </w:rPr>
              <w:t xml:space="preserve"> and Shrives (2006)</w:t>
            </w:r>
          </w:p>
        </w:tc>
        <w:tc>
          <w:tcPr>
            <w:tcW w:w="1019" w:type="dxa"/>
            <w:shd w:val="clear" w:color="auto" w:fill="auto"/>
          </w:tcPr>
          <w:p w14:paraId="51A686A8" w14:textId="77777777" w:rsidR="00610897" w:rsidRPr="00610897" w:rsidRDefault="00610897" w:rsidP="00610897">
            <w:pPr>
              <w:spacing w:after="80"/>
              <w:jc w:val="both"/>
              <w:rPr>
                <w:rFonts w:ascii="Garamond" w:eastAsia="Calibri" w:hAnsi="Garamond"/>
                <w:color w:val="000000"/>
                <w:sz w:val="16"/>
                <w:szCs w:val="16"/>
              </w:rPr>
            </w:pPr>
          </w:p>
        </w:tc>
        <w:tc>
          <w:tcPr>
            <w:tcW w:w="973" w:type="dxa"/>
            <w:shd w:val="clear" w:color="auto" w:fill="auto"/>
          </w:tcPr>
          <w:p w14:paraId="7C88B71D" w14:textId="77777777" w:rsidR="00610897" w:rsidRPr="00610897" w:rsidRDefault="00610897" w:rsidP="00610897">
            <w:pPr>
              <w:spacing w:after="80"/>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98" w:type="dxa"/>
            <w:shd w:val="clear" w:color="auto" w:fill="auto"/>
          </w:tcPr>
          <w:p w14:paraId="23E5DCCE" w14:textId="77777777" w:rsidR="00610897" w:rsidRPr="00610897" w:rsidRDefault="00610897" w:rsidP="00610897">
            <w:pPr>
              <w:spacing w:after="80"/>
              <w:jc w:val="both"/>
              <w:rPr>
                <w:rFonts w:ascii="Garamond" w:eastAsia="Calibri" w:hAnsi="Garamond"/>
                <w:color w:val="000000"/>
                <w:sz w:val="16"/>
                <w:szCs w:val="16"/>
              </w:rPr>
            </w:pPr>
          </w:p>
        </w:tc>
        <w:tc>
          <w:tcPr>
            <w:tcW w:w="793" w:type="dxa"/>
            <w:shd w:val="clear" w:color="auto" w:fill="auto"/>
          </w:tcPr>
          <w:p w14:paraId="44549BAF" w14:textId="77777777" w:rsidR="00610897" w:rsidRPr="00610897" w:rsidRDefault="00610897" w:rsidP="00610897">
            <w:pPr>
              <w:spacing w:after="80"/>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327" w:type="dxa"/>
            <w:shd w:val="clear" w:color="auto" w:fill="auto"/>
          </w:tcPr>
          <w:p w14:paraId="7CE56209" w14:textId="77777777" w:rsidR="00610897" w:rsidRPr="00610897" w:rsidRDefault="00610897" w:rsidP="00610897">
            <w:pPr>
              <w:spacing w:after="80"/>
              <w:jc w:val="both"/>
              <w:rPr>
                <w:rFonts w:ascii="Garamond" w:eastAsia="Calibri" w:hAnsi="Garamond"/>
                <w:color w:val="000000"/>
                <w:sz w:val="16"/>
                <w:szCs w:val="16"/>
              </w:rPr>
            </w:pPr>
          </w:p>
        </w:tc>
        <w:tc>
          <w:tcPr>
            <w:tcW w:w="1435" w:type="dxa"/>
            <w:shd w:val="clear" w:color="auto" w:fill="auto"/>
          </w:tcPr>
          <w:p w14:paraId="06EEEED5" w14:textId="77777777" w:rsidR="00610897" w:rsidRPr="00610897" w:rsidRDefault="00610897" w:rsidP="00610897">
            <w:pPr>
              <w:spacing w:after="80"/>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40" w:type="dxa"/>
            <w:shd w:val="clear" w:color="auto" w:fill="auto"/>
          </w:tcPr>
          <w:p w14:paraId="174D02BA" w14:textId="77777777" w:rsidR="00610897" w:rsidRPr="00610897" w:rsidRDefault="00610897" w:rsidP="00610897">
            <w:pPr>
              <w:spacing w:after="80"/>
              <w:jc w:val="both"/>
              <w:rPr>
                <w:rFonts w:ascii="Garamond" w:eastAsia="Calibri" w:hAnsi="Garamond"/>
                <w:color w:val="000000"/>
                <w:sz w:val="16"/>
                <w:szCs w:val="16"/>
              </w:rPr>
            </w:pPr>
          </w:p>
        </w:tc>
        <w:tc>
          <w:tcPr>
            <w:tcW w:w="1276" w:type="dxa"/>
            <w:shd w:val="clear" w:color="auto" w:fill="auto"/>
          </w:tcPr>
          <w:p w14:paraId="006E4688" w14:textId="77777777" w:rsidR="00610897" w:rsidRPr="00610897" w:rsidRDefault="00610897" w:rsidP="00610897">
            <w:pPr>
              <w:spacing w:after="80"/>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2041" w:type="dxa"/>
            <w:shd w:val="clear" w:color="auto" w:fill="auto"/>
          </w:tcPr>
          <w:p w14:paraId="21948249" w14:textId="77777777" w:rsidR="00610897" w:rsidRPr="00610897" w:rsidRDefault="00610897" w:rsidP="00610897">
            <w:pPr>
              <w:spacing w:after="80"/>
              <w:jc w:val="both"/>
              <w:rPr>
                <w:rFonts w:ascii="Garamond" w:eastAsia="Calibri" w:hAnsi="Garamond"/>
                <w:color w:val="000000"/>
                <w:sz w:val="16"/>
                <w:szCs w:val="16"/>
              </w:rPr>
            </w:pPr>
          </w:p>
        </w:tc>
      </w:tr>
      <w:tr w:rsidR="00610897" w:rsidRPr="00610897" w14:paraId="3BC67FC1" w14:textId="77777777" w:rsidTr="002441E4">
        <w:trPr>
          <w:gridAfter w:val="1"/>
          <w:wAfter w:w="12" w:type="dxa"/>
          <w:trHeight w:val="279"/>
        </w:trPr>
        <w:tc>
          <w:tcPr>
            <w:tcW w:w="510" w:type="dxa"/>
            <w:shd w:val="clear" w:color="auto" w:fill="auto"/>
          </w:tcPr>
          <w:p w14:paraId="767AE6B1"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 xml:space="preserve">5 </w:t>
            </w:r>
          </w:p>
        </w:tc>
        <w:tc>
          <w:tcPr>
            <w:tcW w:w="3671" w:type="dxa"/>
            <w:shd w:val="clear" w:color="auto" w:fill="auto"/>
          </w:tcPr>
          <w:p w14:paraId="63F1149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Abraham and Cox (2007)</w:t>
            </w:r>
          </w:p>
        </w:tc>
        <w:tc>
          <w:tcPr>
            <w:tcW w:w="1019" w:type="dxa"/>
            <w:shd w:val="clear" w:color="auto" w:fill="auto"/>
          </w:tcPr>
          <w:p w14:paraId="32AF4A68" w14:textId="77777777" w:rsidR="00610897" w:rsidRPr="00610897" w:rsidRDefault="00610897" w:rsidP="00610897">
            <w:pPr>
              <w:jc w:val="both"/>
              <w:rPr>
                <w:rFonts w:ascii="Garamond" w:eastAsia="Calibri" w:hAnsi="Garamond"/>
                <w:color w:val="000000"/>
                <w:sz w:val="16"/>
                <w:szCs w:val="16"/>
              </w:rPr>
            </w:pPr>
          </w:p>
        </w:tc>
        <w:tc>
          <w:tcPr>
            <w:tcW w:w="973" w:type="dxa"/>
            <w:shd w:val="clear" w:color="auto" w:fill="auto"/>
          </w:tcPr>
          <w:p w14:paraId="09C64D0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98" w:type="dxa"/>
            <w:shd w:val="clear" w:color="auto" w:fill="auto"/>
          </w:tcPr>
          <w:p w14:paraId="1786BA53" w14:textId="77777777" w:rsidR="00610897" w:rsidRPr="00610897" w:rsidRDefault="00610897" w:rsidP="00610897">
            <w:pPr>
              <w:jc w:val="both"/>
              <w:rPr>
                <w:rFonts w:ascii="Garamond" w:eastAsia="Calibri" w:hAnsi="Garamond"/>
                <w:color w:val="000000"/>
                <w:sz w:val="16"/>
                <w:szCs w:val="16"/>
              </w:rPr>
            </w:pPr>
          </w:p>
        </w:tc>
        <w:tc>
          <w:tcPr>
            <w:tcW w:w="793" w:type="dxa"/>
            <w:shd w:val="clear" w:color="auto" w:fill="auto"/>
          </w:tcPr>
          <w:p w14:paraId="26A6CA6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327" w:type="dxa"/>
            <w:shd w:val="clear" w:color="auto" w:fill="auto"/>
          </w:tcPr>
          <w:p w14:paraId="67AEEF56" w14:textId="77777777" w:rsidR="00610897" w:rsidRPr="00610897" w:rsidRDefault="00610897" w:rsidP="00610897">
            <w:pPr>
              <w:jc w:val="both"/>
              <w:rPr>
                <w:rFonts w:ascii="Garamond" w:eastAsia="Calibri" w:hAnsi="Garamond"/>
                <w:color w:val="000000"/>
                <w:sz w:val="16"/>
                <w:szCs w:val="16"/>
              </w:rPr>
            </w:pPr>
          </w:p>
        </w:tc>
        <w:tc>
          <w:tcPr>
            <w:tcW w:w="1435" w:type="dxa"/>
            <w:shd w:val="clear" w:color="auto" w:fill="auto"/>
          </w:tcPr>
          <w:p w14:paraId="3D209900"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40" w:type="dxa"/>
            <w:shd w:val="clear" w:color="auto" w:fill="auto"/>
          </w:tcPr>
          <w:p w14:paraId="269A57EA" w14:textId="77777777" w:rsidR="00610897" w:rsidRPr="00610897" w:rsidRDefault="00610897" w:rsidP="00610897">
            <w:pPr>
              <w:jc w:val="both"/>
              <w:rPr>
                <w:rFonts w:ascii="Garamond" w:eastAsia="Calibri" w:hAnsi="Garamond"/>
                <w:color w:val="000000"/>
                <w:sz w:val="16"/>
                <w:szCs w:val="16"/>
              </w:rPr>
            </w:pPr>
          </w:p>
        </w:tc>
        <w:tc>
          <w:tcPr>
            <w:tcW w:w="1276" w:type="dxa"/>
            <w:shd w:val="clear" w:color="auto" w:fill="auto"/>
          </w:tcPr>
          <w:p w14:paraId="0A2B675B"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2041" w:type="dxa"/>
            <w:shd w:val="clear" w:color="auto" w:fill="auto"/>
          </w:tcPr>
          <w:p w14:paraId="3E28BC24" w14:textId="77777777" w:rsidR="00610897" w:rsidRPr="00610897" w:rsidRDefault="00610897" w:rsidP="00610897">
            <w:pPr>
              <w:jc w:val="both"/>
              <w:rPr>
                <w:rFonts w:ascii="Garamond" w:eastAsia="Calibri" w:hAnsi="Garamond"/>
                <w:color w:val="000000"/>
                <w:sz w:val="16"/>
                <w:szCs w:val="16"/>
              </w:rPr>
            </w:pPr>
          </w:p>
        </w:tc>
      </w:tr>
      <w:tr w:rsidR="00610897" w:rsidRPr="00610897" w14:paraId="1F93BFA4" w14:textId="77777777" w:rsidTr="002441E4">
        <w:trPr>
          <w:gridAfter w:val="1"/>
          <w:wAfter w:w="12" w:type="dxa"/>
          <w:trHeight w:val="279"/>
        </w:trPr>
        <w:tc>
          <w:tcPr>
            <w:tcW w:w="510" w:type="dxa"/>
            <w:shd w:val="clear" w:color="auto" w:fill="auto"/>
          </w:tcPr>
          <w:p w14:paraId="491FDE50"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 xml:space="preserve">6 </w:t>
            </w:r>
          </w:p>
        </w:tc>
        <w:tc>
          <w:tcPr>
            <w:tcW w:w="3671" w:type="dxa"/>
            <w:shd w:val="clear" w:color="auto" w:fill="auto"/>
          </w:tcPr>
          <w:p w14:paraId="66A07CAD"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Marshall and </w:t>
            </w:r>
            <w:proofErr w:type="spellStart"/>
            <w:r w:rsidRPr="00610897">
              <w:rPr>
                <w:rFonts w:ascii="Garamond" w:eastAsia="Calibri" w:hAnsi="Garamond"/>
                <w:color w:val="000000"/>
                <w:sz w:val="16"/>
                <w:szCs w:val="16"/>
              </w:rPr>
              <w:t>Weetman</w:t>
            </w:r>
            <w:proofErr w:type="spellEnd"/>
            <w:r w:rsidRPr="00610897">
              <w:rPr>
                <w:rFonts w:ascii="Garamond" w:eastAsia="Calibri" w:hAnsi="Garamond"/>
                <w:color w:val="000000"/>
                <w:sz w:val="16"/>
                <w:szCs w:val="16"/>
              </w:rPr>
              <w:t xml:space="preserve"> (2007)</w:t>
            </w:r>
          </w:p>
        </w:tc>
        <w:tc>
          <w:tcPr>
            <w:tcW w:w="1019" w:type="dxa"/>
            <w:shd w:val="clear" w:color="auto" w:fill="auto"/>
          </w:tcPr>
          <w:p w14:paraId="35DBDBFB" w14:textId="77777777" w:rsidR="00610897" w:rsidRPr="00610897" w:rsidRDefault="00610897" w:rsidP="00610897">
            <w:pPr>
              <w:jc w:val="both"/>
              <w:rPr>
                <w:rFonts w:ascii="Garamond" w:eastAsia="Calibri" w:hAnsi="Garamond"/>
                <w:color w:val="000000"/>
                <w:sz w:val="16"/>
                <w:szCs w:val="16"/>
              </w:rPr>
            </w:pPr>
          </w:p>
        </w:tc>
        <w:tc>
          <w:tcPr>
            <w:tcW w:w="973" w:type="dxa"/>
            <w:shd w:val="clear" w:color="auto" w:fill="auto"/>
          </w:tcPr>
          <w:p w14:paraId="4E92EB9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98" w:type="dxa"/>
            <w:shd w:val="clear" w:color="auto" w:fill="auto"/>
          </w:tcPr>
          <w:p w14:paraId="75643380" w14:textId="77777777" w:rsidR="00610897" w:rsidRPr="00610897" w:rsidRDefault="00610897" w:rsidP="00610897">
            <w:pPr>
              <w:jc w:val="both"/>
              <w:rPr>
                <w:rFonts w:ascii="Garamond" w:eastAsia="Calibri" w:hAnsi="Garamond"/>
                <w:color w:val="000000"/>
                <w:sz w:val="16"/>
                <w:szCs w:val="16"/>
              </w:rPr>
            </w:pPr>
          </w:p>
        </w:tc>
        <w:tc>
          <w:tcPr>
            <w:tcW w:w="793" w:type="dxa"/>
            <w:shd w:val="clear" w:color="auto" w:fill="auto"/>
          </w:tcPr>
          <w:p w14:paraId="2018B22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327" w:type="dxa"/>
            <w:shd w:val="clear" w:color="auto" w:fill="auto"/>
          </w:tcPr>
          <w:p w14:paraId="6E787223" w14:textId="77777777" w:rsidR="00610897" w:rsidRPr="00610897" w:rsidRDefault="00610897" w:rsidP="00610897">
            <w:pPr>
              <w:jc w:val="both"/>
              <w:rPr>
                <w:rFonts w:ascii="Garamond" w:eastAsia="Calibri" w:hAnsi="Garamond"/>
                <w:color w:val="000000"/>
                <w:sz w:val="16"/>
                <w:szCs w:val="16"/>
              </w:rPr>
            </w:pPr>
          </w:p>
        </w:tc>
        <w:tc>
          <w:tcPr>
            <w:tcW w:w="1435" w:type="dxa"/>
            <w:shd w:val="clear" w:color="auto" w:fill="auto"/>
          </w:tcPr>
          <w:p w14:paraId="1DBFAA58" w14:textId="77777777" w:rsidR="00610897" w:rsidRPr="00610897" w:rsidRDefault="00610897" w:rsidP="00610897">
            <w:pPr>
              <w:jc w:val="both"/>
              <w:rPr>
                <w:rFonts w:ascii="Garamond" w:eastAsia="Calibri" w:hAnsi="Garamond"/>
                <w:color w:val="000000"/>
                <w:sz w:val="16"/>
                <w:szCs w:val="16"/>
              </w:rPr>
            </w:pPr>
          </w:p>
        </w:tc>
        <w:tc>
          <w:tcPr>
            <w:tcW w:w="1440" w:type="dxa"/>
            <w:shd w:val="clear" w:color="auto" w:fill="auto"/>
          </w:tcPr>
          <w:p w14:paraId="5CF6AE9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276" w:type="dxa"/>
            <w:shd w:val="clear" w:color="auto" w:fill="auto"/>
          </w:tcPr>
          <w:p w14:paraId="7E94884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2041" w:type="dxa"/>
            <w:shd w:val="clear" w:color="auto" w:fill="auto"/>
          </w:tcPr>
          <w:p w14:paraId="233E140B" w14:textId="77777777" w:rsidR="00610897" w:rsidRPr="00610897" w:rsidRDefault="00610897" w:rsidP="00610897">
            <w:pPr>
              <w:jc w:val="both"/>
              <w:rPr>
                <w:rFonts w:ascii="Garamond" w:eastAsia="Calibri" w:hAnsi="Garamond"/>
                <w:color w:val="000000"/>
                <w:sz w:val="16"/>
                <w:szCs w:val="16"/>
              </w:rPr>
            </w:pPr>
          </w:p>
        </w:tc>
      </w:tr>
      <w:tr w:rsidR="00610897" w:rsidRPr="00610897" w14:paraId="208DF440" w14:textId="77777777" w:rsidTr="002441E4">
        <w:trPr>
          <w:gridAfter w:val="1"/>
          <w:wAfter w:w="12" w:type="dxa"/>
          <w:trHeight w:val="265"/>
        </w:trPr>
        <w:tc>
          <w:tcPr>
            <w:tcW w:w="510" w:type="dxa"/>
            <w:shd w:val="clear" w:color="auto" w:fill="auto"/>
          </w:tcPr>
          <w:p w14:paraId="022BC1A9"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 xml:space="preserve">7 </w:t>
            </w:r>
          </w:p>
        </w:tc>
        <w:tc>
          <w:tcPr>
            <w:tcW w:w="3671" w:type="dxa"/>
            <w:shd w:val="clear" w:color="auto" w:fill="auto"/>
          </w:tcPr>
          <w:p w14:paraId="63B12405"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Deumes</w:t>
            </w:r>
            <w:proofErr w:type="spellEnd"/>
            <w:r w:rsidRPr="00610897">
              <w:rPr>
                <w:rFonts w:ascii="Garamond" w:eastAsia="Calibri" w:hAnsi="Garamond"/>
                <w:color w:val="000000"/>
                <w:sz w:val="16"/>
                <w:szCs w:val="16"/>
              </w:rPr>
              <w:t xml:space="preserve"> and </w:t>
            </w:r>
            <w:proofErr w:type="spellStart"/>
            <w:r w:rsidRPr="00610897">
              <w:rPr>
                <w:rFonts w:ascii="Garamond" w:eastAsia="Calibri" w:hAnsi="Garamond"/>
                <w:color w:val="000000"/>
                <w:sz w:val="16"/>
                <w:szCs w:val="16"/>
              </w:rPr>
              <w:t>Knechel</w:t>
            </w:r>
            <w:proofErr w:type="spellEnd"/>
            <w:r w:rsidRPr="00610897">
              <w:rPr>
                <w:rFonts w:ascii="Garamond" w:eastAsia="Calibri" w:hAnsi="Garamond"/>
                <w:color w:val="000000"/>
                <w:sz w:val="16"/>
                <w:szCs w:val="16"/>
              </w:rPr>
              <w:t xml:space="preserve"> (2008)</w:t>
            </w:r>
          </w:p>
        </w:tc>
        <w:tc>
          <w:tcPr>
            <w:tcW w:w="1019" w:type="dxa"/>
            <w:shd w:val="clear" w:color="auto" w:fill="auto"/>
          </w:tcPr>
          <w:p w14:paraId="1DBFB36E" w14:textId="77777777" w:rsidR="00610897" w:rsidRPr="00610897" w:rsidRDefault="00610897" w:rsidP="00610897">
            <w:pPr>
              <w:jc w:val="both"/>
              <w:rPr>
                <w:rFonts w:ascii="Garamond" w:eastAsia="Calibri" w:hAnsi="Garamond"/>
                <w:color w:val="000000"/>
                <w:sz w:val="16"/>
                <w:szCs w:val="16"/>
              </w:rPr>
            </w:pPr>
          </w:p>
        </w:tc>
        <w:tc>
          <w:tcPr>
            <w:tcW w:w="973" w:type="dxa"/>
            <w:shd w:val="clear" w:color="auto" w:fill="auto"/>
          </w:tcPr>
          <w:p w14:paraId="5E5344B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98" w:type="dxa"/>
            <w:shd w:val="clear" w:color="auto" w:fill="auto"/>
          </w:tcPr>
          <w:p w14:paraId="3B813FA9" w14:textId="77777777" w:rsidR="00610897" w:rsidRPr="00610897" w:rsidRDefault="00610897" w:rsidP="00610897">
            <w:pPr>
              <w:jc w:val="both"/>
              <w:rPr>
                <w:rFonts w:ascii="Garamond" w:eastAsia="Calibri" w:hAnsi="Garamond"/>
                <w:color w:val="000000"/>
                <w:sz w:val="16"/>
                <w:szCs w:val="16"/>
              </w:rPr>
            </w:pPr>
          </w:p>
        </w:tc>
        <w:tc>
          <w:tcPr>
            <w:tcW w:w="793" w:type="dxa"/>
            <w:shd w:val="clear" w:color="auto" w:fill="auto"/>
          </w:tcPr>
          <w:p w14:paraId="6873FBED"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327" w:type="dxa"/>
            <w:shd w:val="clear" w:color="auto" w:fill="auto"/>
          </w:tcPr>
          <w:p w14:paraId="4494A284" w14:textId="77777777" w:rsidR="00610897" w:rsidRPr="00610897" w:rsidRDefault="00610897" w:rsidP="00610897">
            <w:pPr>
              <w:jc w:val="both"/>
              <w:rPr>
                <w:rFonts w:ascii="Garamond" w:eastAsia="Calibri" w:hAnsi="Garamond"/>
                <w:color w:val="000000"/>
                <w:sz w:val="16"/>
                <w:szCs w:val="16"/>
              </w:rPr>
            </w:pPr>
          </w:p>
        </w:tc>
        <w:tc>
          <w:tcPr>
            <w:tcW w:w="1435" w:type="dxa"/>
            <w:shd w:val="clear" w:color="auto" w:fill="auto"/>
          </w:tcPr>
          <w:p w14:paraId="152B7F9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40" w:type="dxa"/>
            <w:shd w:val="clear" w:color="auto" w:fill="auto"/>
          </w:tcPr>
          <w:p w14:paraId="40CB85D3" w14:textId="77777777" w:rsidR="00610897" w:rsidRPr="00610897" w:rsidRDefault="00610897" w:rsidP="00610897">
            <w:pPr>
              <w:jc w:val="both"/>
              <w:rPr>
                <w:rFonts w:ascii="Garamond" w:eastAsia="Calibri" w:hAnsi="Garamond"/>
                <w:color w:val="000000"/>
                <w:sz w:val="16"/>
                <w:szCs w:val="16"/>
              </w:rPr>
            </w:pPr>
          </w:p>
        </w:tc>
        <w:tc>
          <w:tcPr>
            <w:tcW w:w="1276" w:type="dxa"/>
            <w:shd w:val="clear" w:color="auto" w:fill="auto"/>
          </w:tcPr>
          <w:p w14:paraId="5AD9B6A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2041" w:type="dxa"/>
            <w:shd w:val="clear" w:color="auto" w:fill="auto"/>
          </w:tcPr>
          <w:p w14:paraId="6D4238E7" w14:textId="77777777" w:rsidR="00610897" w:rsidRPr="00610897" w:rsidRDefault="00610897" w:rsidP="00610897">
            <w:pPr>
              <w:jc w:val="both"/>
              <w:rPr>
                <w:rFonts w:ascii="Garamond" w:eastAsia="Calibri" w:hAnsi="Garamond"/>
                <w:color w:val="000000"/>
                <w:sz w:val="16"/>
                <w:szCs w:val="16"/>
              </w:rPr>
            </w:pPr>
          </w:p>
        </w:tc>
      </w:tr>
      <w:tr w:rsidR="00610897" w:rsidRPr="00610897" w14:paraId="0F41A8A4" w14:textId="77777777" w:rsidTr="002441E4">
        <w:trPr>
          <w:gridAfter w:val="1"/>
          <w:wAfter w:w="12" w:type="dxa"/>
          <w:trHeight w:val="265"/>
        </w:trPr>
        <w:tc>
          <w:tcPr>
            <w:tcW w:w="510" w:type="dxa"/>
            <w:shd w:val="clear" w:color="auto" w:fill="auto"/>
          </w:tcPr>
          <w:p w14:paraId="00DFF82C"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8</w:t>
            </w:r>
          </w:p>
        </w:tc>
        <w:tc>
          <w:tcPr>
            <w:tcW w:w="3671" w:type="dxa"/>
            <w:shd w:val="clear" w:color="auto" w:fill="auto"/>
          </w:tcPr>
          <w:p w14:paraId="2B4056F3" w14:textId="77777777" w:rsidR="00610897" w:rsidRPr="00610897" w:rsidRDefault="00610897" w:rsidP="00610897">
            <w:pPr>
              <w:tabs>
                <w:tab w:val="left" w:pos="2330"/>
              </w:tabs>
              <w:jc w:val="both"/>
              <w:rPr>
                <w:rFonts w:ascii="Garamond" w:eastAsia="Calibri" w:hAnsi="Garamond"/>
                <w:color w:val="000000"/>
                <w:sz w:val="16"/>
                <w:szCs w:val="16"/>
              </w:rPr>
            </w:pPr>
            <w:r w:rsidRPr="00610897">
              <w:rPr>
                <w:rFonts w:ascii="Garamond" w:eastAsia="Calibri" w:hAnsi="Garamond"/>
                <w:color w:val="000000"/>
                <w:sz w:val="16"/>
                <w:szCs w:val="16"/>
              </w:rPr>
              <w:t>Hill and Short (2009)</w:t>
            </w:r>
            <w:r w:rsidRPr="00610897">
              <w:rPr>
                <w:rFonts w:ascii="Garamond" w:eastAsia="Calibri" w:hAnsi="Garamond"/>
                <w:color w:val="000000"/>
                <w:sz w:val="16"/>
                <w:szCs w:val="16"/>
              </w:rPr>
              <w:tab/>
            </w:r>
          </w:p>
        </w:tc>
        <w:tc>
          <w:tcPr>
            <w:tcW w:w="1019" w:type="dxa"/>
            <w:shd w:val="clear" w:color="auto" w:fill="auto"/>
          </w:tcPr>
          <w:p w14:paraId="5E546D23" w14:textId="77777777" w:rsidR="00610897" w:rsidRPr="00610897" w:rsidRDefault="00610897" w:rsidP="00610897">
            <w:pPr>
              <w:jc w:val="both"/>
              <w:rPr>
                <w:rFonts w:ascii="Garamond" w:eastAsia="Calibri" w:hAnsi="Garamond"/>
                <w:color w:val="000000"/>
                <w:sz w:val="16"/>
                <w:szCs w:val="16"/>
              </w:rPr>
            </w:pPr>
          </w:p>
        </w:tc>
        <w:tc>
          <w:tcPr>
            <w:tcW w:w="973" w:type="dxa"/>
            <w:shd w:val="clear" w:color="auto" w:fill="auto"/>
          </w:tcPr>
          <w:p w14:paraId="67EBBA48" w14:textId="77777777" w:rsidR="00610897" w:rsidRPr="00610897" w:rsidRDefault="00610897" w:rsidP="00610897">
            <w:pPr>
              <w:jc w:val="both"/>
              <w:rPr>
                <w:rFonts w:ascii="Garamond" w:eastAsia="Calibri" w:hAnsi="Garamond"/>
                <w:color w:val="000000"/>
                <w:sz w:val="16"/>
                <w:szCs w:val="16"/>
              </w:rPr>
            </w:pPr>
          </w:p>
        </w:tc>
        <w:tc>
          <w:tcPr>
            <w:tcW w:w="998" w:type="dxa"/>
            <w:shd w:val="clear" w:color="auto" w:fill="auto"/>
          </w:tcPr>
          <w:p w14:paraId="5956473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793" w:type="dxa"/>
            <w:shd w:val="clear" w:color="auto" w:fill="auto"/>
          </w:tcPr>
          <w:p w14:paraId="5DF76B90"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327" w:type="dxa"/>
            <w:shd w:val="clear" w:color="auto" w:fill="auto"/>
          </w:tcPr>
          <w:p w14:paraId="77E657F0" w14:textId="77777777" w:rsidR="00610897" w:rsidRPr="00610897" w:rsidRDefault="00610897" w:rsidP="00610897">
            <w:pPr>
              <w:jc w:val="both"/>
              <w:rPr>
                <w:rFonts w:ascii="Garamond" w:eastAsia="Calibri" w:hAnsi="Garamond"/>
                <w:color w:val="000000"/>
                <w:sz w:val="16"/>
                <w:szCs w:val="16"/>
              </w:rPr>
            </w:pPr>
          </w:p>
        </w:tc>
        <w:tc>
          <w:tcPr>
            <w:tcW w:w="1435" w:type="dxa"/>
            <w:shd w:val="clear" w:color="auto" w:fill="auto"/>
          </w:tcPr>
          <w:p w14:paraId="5AC8903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40" w:type="dxa"/>
            <w:shd w:val="clear" w:color="auto" w:fill="auto"/>
          </w:tcPr>
          <w:p w14:paraId="5B517BC0" w14:textId="77777777" w:rsidR="00610897" w:rsidRPr="00610897" w:rsidRDefault="00610897" w:rsidP="00610897">
            <w:pPr>
              <w:jc w:val="both"/>
              <w:rPr>
                <w:rFonts w:ascii="Garamond" w:eastAsia="Calibri" w:hAnsi="Garamond"/>
                <w:color w:val="000000"/>
                <w:sz w:val="16"/>
                <w:szCs w:val="16"/>
              </w:rPr>
            </w:pPr>
          </w:p>
        </w:tc>
        <w:tc>
          <w:tcPr>
            <w:tcW w:w="1276" w:type="dxa"/>
            <w:shd w:val="clear" w:color="auto" w:fill="auto"/>
          </w:tcPr>
          <w:p w14:paraId="6005528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2041" w:type="dxa"/>
            <w:shd w:val="clear" w:color="auto" w:fill="auto"/>
          </w:tcPr>
          <w:p w14:paraId="473D21AC" w14:textId="77777777" w:rsidR="00610897" w:rsidRPr="00610897" w:rsidRDefault="00610897" w:rsidP="00610897">
            <w:pPr>
              <w:jc w:val="both"/>
              <w:rPr>
                <w:rFonts w:ascii="Garamond" w:eastAsia="Calibri" w:hAnsi="Garamond"/>
                <w:color w:val="000000"/>
                <w:sz w:val="16"/>
                <w:szCs w:val="16"/>
              </w:rPr>
            </w:pPr>
          </w:p>
        </w:tc>
      </w:tr>
      <w:tr w:rsidR="00610897" w:rsidRPr="00610897" w14:paraId="52067B4C" w14:textId="77777777" w:rsidTr="002441E4">
        <w:trPr>
          <w:gridAfter w:val="1"/>
          <w:wAfter w:w="12" w:type="dxa"/>
          <w:trHeight w:val="265"/>
        </w:trPr>
        <w:tc>
          <w:tcPr>
            <w:tcW w:w="510" w:type="dxa"/>
            <w:shd w:val="clear" w:color="auto" w:fill="auto"/>
          </w:tcPr>
          <w:p w14:paraId="64EF574B"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9</w:t>
            </w:r>
          </w:p>
        </w:tc>
        <w:tc>
          <w:tcPr>
            <w:tcW w:w="3671" w:type="dxa"/>
            <w:shd w:val="clear" w:color="auto" w:fill="auto"/>
          </w:tcPr>
          <w:p w14:paraId="4CF4CF8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Taylor et al. (2010)</w:t>
            </w:r>
          </w:p>
        </w:tc>
        <w:tc>
          <w:tcPr>
            <w:tcW w:w="1019" w:type="dxa"/>
            <w:shd w:val="clear" w:color="auto" w:fill="auto"/>
          </w:tcPr>
          <w:p w14:paraId="66CA74D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73" w:type="dxa"/>
            <w:shd w:val="clear" w:color="auto" w:fill="auto"/>
          </w:tcPr>
          <w:p w14:paraId="7FF12D2D"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98" w:type="dxa"/>
            <w:shd w:val="clear" w:color="auto" w:fill="auto"/>
          </w:tcPr>
          <w:p w14:paraId="625F05B7" w14:textId="77777777" w:rsidR="00610897" w:rsidRPr="00610897" w:rsidRDefault="00610897" w:rsidP="00610897">
            <w:pPr>
              <w:jc w:val="both"/>
              <w:rPr>
                <w:rFonts w:ascii="Garamond" w:eastAsia="Calibri" w:hAnsi="Garamond"/>
                <w:color w:val="000000"/>
                <w:sz w:val="16"/>
                <w:szCs w:val="16"/>
              </w:rPr>
            </w:pPr>
          </w:p>
        </w:tc>
        <w:tc>
          <w:tcPr>
            <w:tcW w:w="793" w:type="dxa"/>
            <w:shd w:val="clear" w:color="auto" w:fill="auto"/>
          </w:tcPr>
          <w:p w14:paraId="726B2CB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327" w:type="dxa"/>
            <w:shd w:val="clear" w:color="auto" w:fill="auto"/>
          </w:tcPr>
          <w:p w14:paraId="14A0917A" w14:textId="77777777" w:rsidR="00610897" w:rsidRPr="00610897" w:rsidRDefault="00610897" w:rsidP="00610897">
            <w:pPr>
              <w:jc w:val="both"/>
              <w:rPr>
                <w:rFonts w:ascii="Garamond" w:eastAsia="Calibri" w:hAnsi="Garamond"/>
                <w:color w:val="000000"/>
                <w:sz w:val="16"/>
                <w:szCs w:val="16"/>
              </w:rPr>
            </w:pPr>
          </w:p>
        </w:tc>
        <w:tc>
          <w:tcPr>
            <w:tcW w:w="1435" w:type="dxa"/>
            <w:shd w:val="clear" w:color="auto" w:fill="auto"/>
          </w:tcPr>
          <w:p w14:paraId="6EF9B2F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40" w:type="dxa"/>
            <w:shd w:val="clear" w:color="auto" w:fill="auto"/>
          </w:tcPr>
          <w:p w14:paraId="7C545A31" w14:textId="77777777" w:rsidR="00610897" w:rsidRPr="00610897" w:rsidRDefault="00610897" w:rsidP="00610897">
            <w:pPr>
              <w:jc w:val="both"/>
              <w:rPr>
                <w:rFonts w:ascii="Garamond" w:eastAsia="Calibri" w:hAnsi="Garamond"/>
                <w:color w:val="000000"/>
                <w:sz w:val="16"/>
                <w:szCs w:val="16"/>
              </w:rPr>
            </w:pPr>
          </w:p>
        </w:tc>
        <w:tc>
          <w:tcPr>
            <w:tcW w:w="1276" w:type="dxa"/>
            <w:shd w:val="clear" w:color="auto" w:fill="auto"/>
          </w:tcPr>
          <w:p w14:paraId="4B14F22D"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2041" w:type="dxa"/>
            <w:shd w:val="clear" w:color="auto" w:fill="auto"/>
          </w:tcPr>
          <w:p w14:paraId="7D9B833B" w14:textId="77777777" w:rsidR="00610897" w:rsidRPr="00610897" w:rsidRDefault="00610897" w:rsidP="00610897">
            <w:pPr>
              <w:jc w:val="both"/>
              <w:rPr>
                <w:rFonts w:ascii="Garamond" w:eastAsia="Calibri" w:hAnsi="Garamond"/>
                <w:color w:val="000000"/>
                <w:sz w:val="16"/>
                <w:szCs w:val="16"/>
              </w:rPr>
            </w:pPr>
          </w:p>
        </w:tc>
      </w:tr>
      <w:tr w:rsidR="00610897" w:rsidRPr="00610897" w14:paraId="5515DFCF" w14:textId="77777777" w:rsidTr="002441E4">
        <w:trPr>
          <w:gridAfter w:val="1"/>
          <w:wAfter w:w="12" w:type="dxa"/>
          <w:trHeight w:val="265"/>
        </w:trPr>
        <w:tc>
          <w:tcPr>
            <w:tcW w:w="510" w:type="dxa"/>
            <w:shd w:val="clear" w:color="auto" w:fill="auto"/>
          </w:tcPr>
          <w:p w14:paraId="5DB4FF07"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 xml:space="preserve">10 </w:t>
            </w:r>
          </w:p>
        </w:tc>
        <w:tc>
          <w:tcPr>
            <w:tcW w:w="3671" w:type="dxa"/>
            <w:shd w:val="clear" w:color="auto" w:fill="auto"/>
          </w:tcPr>
          <w:p w14:paraId="03A8A961"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Miihkinen</w:t>
            </w:r>
            <w:proofErr w:type="spellEnd"/>
            <w:r w:rsidRPr="00610897">
              <w:rPr>
                <w:rFonts w:ascii="Garamond" w:eastAsia="Calibri" w:hAnsi="Garamond"/>
                <w:color w:val="000000"/>
                <w:sz w:val="16"/>
                <w:szCs w:val="16"/>
              </w:rPr>
              <w:t xml:space="preserve"> (2012)</w:t>
            </w:r>
          </w:p>
        </w:tc>
        <w:tc>
          <w:tcPr>
            <w:tcW w:w="1019" w:type="dxa"/>
            <w:shd w:val="clear" w:color="auto" w:fill="auto"/>
          </w:tcPr>
          <w:p w14:paraId="7876AF0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73" w:type="dxa"/>
            <w:shd w:val="clear" w:color="auto" w:fill="auto"/>
          </w:tcPr>
          <w:p w14:paraId="7C26642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98" w:type="dxa"/>
            <w:shd w:val="clear" w:color="auto" w:fill="auto"/>
          </w:tcPr>
          <w:p w14:paraId="67DC4118" w14:textId="77777777" w:rsidR="00610897" w:rsidRPr="00610897" w:rsidRDefault="00610897" w:rsidP="00610897">
            <w:pPr>
              <w:jc w:val="both"/>
              <w:rPr>
                <w:rFonts w:ascii="Garamond" w:eastAsia="Calibri" w:hAnsi="Garamond"/>
                <w:color w:val="000000"/>
                <w:sz w:val="16"/>
                <w:szCs w:val="16"/>
              </w:rPr>
            </w:pPr>
          </w:p>
        </w:tc>
        <w:tc>
          <w:tcPr>
            <w:tcW w:w="793" w:type="dxa"/>
            <w:shd w:val="clear" w:color="auto" w:fill="auto"/>
          </w:tcPr>
          <w:p w14:paraId="07BA205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327" w:type="dxa"/>
            <w:shd w:val="clear" w:color="auto" w:fill="auto"/>
          </w:tcPr>
          <w:p w14:paraId="0A7795A8" w14:textId="77777777" w:rsidR="00610897" w:rsidRPr="00610897" w:rsidRDefault="00610897" w:rsidP="00610897">
            <w:pPr>
              <w:jc w:val="both"/>
              <w:rPr>
                <w:rFonts w:ascii="Garamond" w:eastAsia="Calibri" w:hAnsi="Garamond"/>
                <w:color w:val="000000"/>
                <w:sz w:val="16"/>
                <w:szCs w:val="16"/>
              </w:rPr>
            </w:pPr>
          </w:p>
        </w:tc>
        <w:tc>
          <w:tcPr>
            <w:tcW w:w="1435" w:type="dxa"/>
            <w:shd w:val="clear" w:color="auto" w:fill="auto"/>
          </w:tcPr>
          <w:p w14:paraId="28B4FEA9"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40" w:type="dxa"/>
            <w:shd w:val="clear" w:color="auto" w:fill="auto"/>
          </w:tcPr>
          <w:p w14:paraId="429A6ED0" w14:textId="77777777" w:rsidR="00610897" w:rsidRPr="00610897" w:rsidRDefault="00610897" w:rsidP="00610897">
            <w:pPr>
              <w:jc w:val="both"/>
              <w:rPr>
                <w:rFonts w:ascii="Garamond" w:eastAsia="Calibri" w:hAnsi="Garamond"/>
                <w:color w:val="000000"/>
                <w:sz w:val="16"/>
                <w:szCs w:val="16"/>
              </w:rPr>
            </w:pPr>
          </w:p>
        </w:tc>
        <w:tc>
          <w:tcPr>
            <w:tcW w:w="1276" w:type="dxa"/>
            <w:shd w:val="clear" w:color="auto" w:fill="auto"/>
          </w:tcPr>
          <w:p w14:paraId="3999FE1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2041" w:type="dxa"/>
            <w:shd w:val="clear" w:color="auto" w:fill="auto"/>
          </w:tcPr>
          <w:p w14:paraId="63B5EB6F" w14:textId="77777777" w:rsidR="00610897" w:rsidRPr="00610897" w:rsidRDefault="00610897" w:rsidP="00610897">
            <w:pPr>
              <w:jc w:val="both"/>
              <w:rPr>
                <w:rFonts w:ascii="Garamond" w:eastAsia="Calibri" w:hAnsi="Garamond"/>
                <w:color w:val="000000"/>
                <w:sz w:val="16"/>
                <w:szCs w:val="16"/>
              </w:rPr>
            </w:pPr>
          </w:p>
        </w:tc>
      </w:tr>
      <w:tr w:rsidR="00610897" w:rsidRPr="00610897" w14:paraId="61DB7AB9" w14:textId="77777777" w:rsidTr="002441E4">
        <w:trPr>
          <w:gridAfter w:val="1"/>
          <w:wAfter w:w="12" w:type="dxa"/>
          <w:trHeight w:val="265"/>
        </w:trPr>
        <w:tc>
          <w:tcPr>
            <w:tcW w:w="510" w:type="dxa"/>
            <w:shd w:val="clear" w:color="auto" w:fill="auto"/>
          </w:tcPr>
          <w:p w14:paraId="4337E3E9"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 xml:space="preserve">11 </w:t>
            </w:r>
          </w:p>
        </w:tc>
        <w:tc>
          <w:tcPr>
            <w:tcW w:w="3671" w:type="dxa"/>
            <w:shd w:val="clear" w:color="auto" w:fill="auto"/>
          </w:tcPr>
          <w:p w14:paraId="522F4812"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Barakat</w:t>
            </w:r>
            <w:proofErr w:type="spellEnd"/>
            <w:r w:rsidRPr="00610897">
              <w:rPr>
                <w:rFonts w:ascii="Garamond" w:eastAsia="Calibri" w:hAnsi="Garamond"/>
                <w:color w:val="000000"/>
                <w:sz w:val="16"/>
                <w:szCs w:val="16"/>
              </w:rPr>
              <w:t xml:space="preserve"> and Hussainey (2013)</w:t>
            </w:r>
          </w:p>
        </w:tc>
        <w:tc>
          <w:tcPr>
            <w:tcW w:w="1019" w:type="dxa"/>
            <w:shd w:val="clear" w:color="auto" w:fill="auto"/>
          </w:tcPr>
          <w:p w14:paraId="7AECBFFD" w14:textId="77777777" w:rsidR="00610897" w:rsidRPr="00610897" w:rsidRDefault="00610897" w:rsidP="00610897">
            <w:pPr>
              <w:jc w:val="both"/>
              <w:rPr>
                <w:rFonts w:ascii="Garamond" w:eastAsia="Calibri" w:hAnsi="Garamond"/>
                <w:color w:val="000000"/>
                <w:sz w:val="16"/>
                <w:szCs w:val="16"/>
              </w:rPr>
            </w:pPr>
          </w:p>
        </w:tc>
        <w:tc>
          <w:tcPr>
            <w:tcW w:w="973" w:type="dxa"/>
            <w:shd w:val="clear" w:color="auto" w:fill="auto"/>
          </w:tcPr>
          <w:p w14:paraId="678E4ADD"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98" w:type="dxa"/>
            <w:shd w:val="clear" w:color="auto" w:fill="auto"/>
          </w:tcPr>
          <w:p w14:paraId="58DAE729" w14:textId="77777777" w:rsidR="00610897" w:rsidRPr="00610897" w:rsidRDefault="00610897" w:rsidP="00610897">
            <w:pPr>
              <w:jc w:val="both"/>
              <w:rPr>
                <w:rFonts w:ascii="Garamond" w:eastAsia="Calibri" w:hAnsi="Garamond"/>
                <w:color w:val="000000"/>
                <w:sz w:val="16"/>
                <w:szCs w:val="16"/>
              </w:rPr>
            </w:pPr>
          </w:p>
        </w:tc>
        <w:tc>
          <w:tcPr>
            <w:tcW w:w="793" w:type="dxa"/>
            <w:shd w:val="clear" w:color="auto" w:fill="auto"/>
          </w:tcPr>
          <w:p w14:paraId="60E2F8CB"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327" w:type="dxa"/>
            <w:shd w:val="clear" w:color="auto" w:fill="auto"/>
          </w:tcPr>
          <w:p w14:paraId="7E6F68F9" w14:textId="77777777" w:rsidR="00610897" w:rsidRPr="00610897" w:rsidRDefault="00610897" w:rsidP="00610897">
            <w:pPr>
              <w:jc w:val="both"/>
              <w:rPr>
                <w:rFonts w:ascii="Garamond" w:eastAsia="Calibri" w:hAnsi="Garamond"/>
                <w:color w:val="000000"/>
                <w:sz w:val="16"/>
                <w:szCs w:val="16"/>
              </w:rPr>
            </w:pPr>
          </w:p>
        </w:tc>
        <w:tc>
          <w:tcPr>
            <w:tcW w:w="1435" w:type="dxa"/>
            <w:shd w:val="clear" w:color="auto" w:fill="auto"/>
          </w:tcPr>
          <w:p w14:paraId="131B0182"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40" w:type="dxa"/>
            <w:shd w:val="clear" w:color="auto" w:fill="auto"/>
          </w:tcPr>
          <w:p w14:paraId="0E15A508" w14:textId="77777777" w:rsidR="00610897" w:rsidRPr="00610897" w:rsidRDefault="00610897" w:rsidP="00610897">
            <w:pPr>
              <w:jc w:val="both"/>
              <w:rPr>
                <w:rFonts w:ascii="Garamond" w:eastAsia="Calibri" w:hAnsi="Garamond"/>
                <w:color w:val="000000"/>
                <w:sz w:val="16"/>
                <w:szCs w:val="16"/>
              </w:rPr>
            </w:pPr>
          </w:p>
        </w:tc>
        <w:tc>
          <w:tcPr>
            <w:tcW w:w="1276" w:type="dxa"/>
            <w:shd w:val="clear" w:color="auto" w:fill="auto"/>
          </w:tcPr>
          <w:p w14:paraId="6F68DE59" w14:textId="77777777" w:rsidR="00610897" w:rsidRPr="00610897" w:rsidRDefault="00610897" w:rsidP="00610897">
            <w:pPr>
              <w:jc w:val="both"/>
              <w:rPr>
                <w:rFonts w:ascii="Garamond" w:eastAsia="Calibri" w:hAnsi="Garamond"/>
                <w:color w:val="000000"/>
                <w:sz w:val="16"/>
                <w:szCs w:val="16"/>
              </w:rPr>
            </w:pPr>
          </w:p>
        </w:tc>
        <w:tc>
          <w:tcPr>
            <w:tcW w:w="2041" w:type="dxa"/>
            <w:shd w:val="clear" w:color="auto" w:fill="auto"/>
          </w:tcPr>
          <w:p w14:paraId="2526F040"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r>
      <w:tr w:rsidR="00610897" w:rsidRPr="00610897" w14:paraId="6649EBF2" w14:textId="77777777" w:rsidTr="002441E4">
        <w:trPr>
          <w:gridAfter w:val="1"/>
          <w:wAfter w:w="12" w:type="dxa"/>
          <w:trHeight w:val="265"/>
        </w:trPr>
        <w:tc>
          <w:tcPr>
            <w:tcW w:w="510" w:type="dxa"/>
            <w:shd w:val="clear" w:color="auto" w:fill="auto"/>
          </w:tcPr>
          <w:p w14:paraId="3C00033E"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 xml:space="preserve">12 </w:t>
            </w:r>
          </w:p>
        </w:tc>
        <w:tc>
          <w:tcPr>
            <w:tcW w:w="3671" w:type="dxa"/>
            <w:shd w:val="clear" w:color="auto" w:fill="auto"/>
          </w:tcPr>
          <w:p w14:paraId="67893AE9"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Elshandidy et al. (2013)</w:t>
            </w:r>
          </w:p>
        </w:tc>
        <w:tc>
          <w:tcPr>
            <w:tcW w:w="1019" w:type="dxa"/>
            <w:shd w:val="clear" w:color="auto" w:fill="auto"/>
          </w:tcPr>
          <w:p w14:paraId="16A5F13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73" w:type="dxa"/>
            <w:shd w:val="clear" w:color="auto" w:fill="auto"/>
          </w:tcPr>
          <w:p w14:paraId="7724568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98" w:type="dxa"/>
            <w:shd w:val="clear" w:color="auto" w:fill="auto"/>
          </w:tcPr>
          <w:p w14:paraId="48192B3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793" w:type="dxa"/>
            <w:shd w:val="clear" w:color="auto" w:fill="auto"/>
          </w:tcPr>
          <w:p w14:paraId="089B246A" w14:textId="77777777" w:rsidR="00610897" w:rsidRPr="00610897" w:rsidRDefault="00610897" w:rsidP="00610897">
            <w:pPr>
              <w:jc w:val="both"/>
              <w:rPr>
                <w:rFonts w:ascii="Garamond" w:eastAsia="Calibri" w:hAnsi="Garamond"/>
                <w:color w:val="000000"/>
                <w:sz w:val="16"/>
                <w:szCs w:val="16"/>
              </w:rPr>
            </w:pPr>
          </w:p>
        </w:tc>
        <w:tc>
          <w:tcPr>
            <w:tcW w:w="1327" w:type="dxa"/>
            <w:shd w:val="clear" w:color="auto" w:fill="auto"/>
          </w:tcPr>
          <w:p w14:paraId="42D0A4A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35" w:type="dxa"/>
            <w:shd w:val="clear" w:color="auto" w:fill="auto"/>
          </w:tcPr>
          <w:p w14:paraId="5949E36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40" w:type="dxa"/>
            <w:shd w:val="clear" w:color="auto" w:fill="auto"/>
          </w:tcPr>
          <w:p w14:paraId="02A5B180" w14:textId="77777777" w:rsidR="00610897" w:rsidRPr="00610897" w:rsidRDefault="00610897" w:rsidP="00610897">
            <w:pPr>
              <w:jc w:val="both"/>
              <w:rPr>
                <w:rFonts w:ascii="Garamond" w:eastAsia="Calibri" w:hAnsi="Garamond"/>
                <w:color w:val="000000"/>
                <w:sz w:val="16"/>
                <w:szCs w:val="16"/>
              </w:rPr>
            </w:pPr>
          </w:p>
        </w:tc>
        <w:tc>
          <w:tcPr>
            <w:tcW w:w="1276" w:type="dxa"/>
            <w:shd w:val="clear" w:color="auto" w:fill="auto"/>
          </w:tcPr>
          <w:p w14:paraId="29972F2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2041" w:type="dxa"/>
            <w:shd w:val="clear" w:color="auto" w:fill="auto"/>
          </w:tcPr>
          <w:p w14:paraId="27F7BE3D" w14:textId="77777777" w:rsidR="00610897" w:rsidRPr="00610897" w:rsidRDefault="00610897" w:rsidP="00610897">
            <w:pPr>
              <w:jc w:val="both"/>
              <w:rPr>
                <w:rFonts w:ascii="Garamond" w:eastAsia="Calibri" w:hAnsi="Garamond"/>
                <w:color w:val="000000"/>
                <w:sz w:val="16"/>
                <w:szCs w:val="16"/>
              </w:rPr>
            </w:pPr>
          </w:p>
        </w:tc>
      </w:tr>
      <w:tr w:rsidR="00610897" w:rsidRPr="00610897" w14:paraId="53BE1B87" w14:textId="77777777" w:rsidTr="002441E4">
        <w:trPr>
          <w:gridAfter w:val="1"/>
          <w:wAfter w:w="12" w:type="dxa"/>
          <w:trHeight w:val="279"/>
        </w:trPr>
        <w:tc>
          <w:tcPr>
            <w:tcW w:w="510" w:type="dxa"/>
            <w:shd w:val="clear" w:color="auto" w:fill="auto"/>
          </w:tcPr>
          <w:p w14:paraId="3CED8F30"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 xml:space="preserve">13 </w:t>
            </w:r>
          </w:p>
        </w:tc>
        <w:tc>
          <w:tcPr>
            <w:tcW w:w="3671" w:type="dxa"/>
            <w:shd w:val="clear" w:color="auto" w:fill="auto"/>
          </w:tcPr>
          <w:p w14:paraId="009AE9F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Ntim et al. (2013)</w:t>
            </w:r>
          </w:p>
        </w:tc>
        <w:tc>
          <w:tcPr>
            <w:tcW w:w="1019" w:type="dxa"/>
            <w:shd w:val="clear" w:color="auto" w:fill="auto"/>
          </w:tcPr>
          <w:p w14:paraId="520EBE83" w14:textId="77777777" w:rsidR="00610897" w:rsidRPr="00610897" w:rsidRDefault="00610897" w:rsidP="00610897">
            <w:pPr>
              <w:jc w:val="both"/>
              <w:rPr>
                <w:rFonts w:ascii="Garamond" w:eastAsia="Calibri" w:hAnsi="Garamond"/>
                <w:color w:val="000000"/>
                <w:sz w:val="16"/>
                <w:szCs w:val="16"/>
              </w:rPr>
            </w:pPr>
          </w:p>
        </w:tc>
        <w:tc>
          <w:tcPr>
            <w:tcW w:w="973" w:type="dxa"/>
            <w:shd w:val="clear" w:color="auto" w:fill="auto"/>
          </w:tcPr>
          <w:p w14:paraId="1AAF854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98" w:type="dxa"/>
            <w:shd w:val="clear" w:color="auto" w:fill="auto"/>
          </w:tcPr>
          <w:p w14:paraId="5A97CF80" w14:textId="77777777" w:rsidR="00610897" w:rsidRPr="00610897" w:rsidRDefault="00610897" w:rsidP="00610897">
            <w:pPr>
              <w:jc w:val="both"/>
              <w:rPr>
                <w:rFonts w:ascii="Garamond" w:eastAsia="Calibri" w:hAnsi="Garamond"/>
                <w:color w:val="000000"/>
                <w:sz w:val="16"/>
                <w:szCs w:val="16"/>
              </w:rPr>
            </w:pPr>
          </w:p>
        </w:tc>
        <w:tc>
          <w:tcPr>
            <w:tcW w:w="793" w:type="dxa"/>
            <w:shd w:val="clear" w:color="auto" w:fill="auto"/>
          </w:tcPr>
          <w:p w14:paraId="0D0046E2"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327" w:type="dxa"/>
            <w:shd w:val="clear" w:color="auto" w:fill="auto"/>
          </w:tcPr>
          <w:p w14:paraId="5EABF65C" w14:textId="77777777" w:rsidR="00610897" w:rsidRPr="00610897" w:rsidRDefault="00610897" w:rsidP="00610897">
            <w:pPr>
              <w:jc w:val="both"/>
              <w:rPr>
                <w:rFonts w:ascii="Garamond" w:eastAsia="Calibri" w:hAnsi="Garamond"/>
                <w:color w:val="000000"/>
                <w:sz w:val="16"/>
                <w:szCs w:val="16"/>
              </w:rPr>
            </w:pPr>
          </w:p>
        </w:tc>
        <w:tc>
          <w:tcPr>
            <w:tcW w:w="1435" w:type="dxa"/>
            <w:shd w:val="clear" w:color="auto" w:fill="auto"/>
          </w:tcPr>
          <w:p w14:paraId="06171259"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40" w:type="dxa"/>
            <w:shd w:val="clear" w:color="auto" w:fill="auto"/>
          </w:tcPr>
          <w:p w14:paraId="3E279B87" w14:textId="77777777" w:rsidR="00610897" w:rsidRPr="00610897" w:rsidRDefault="00610897" w:rsidP="00610897">
            <w:pPr>
              <w:jc w:val="both"/>
              <w:rPr>
                <w:rFonts w:ascii="Garamond" w:eastAsia="Calibri" w:hAnsi="Garamond"/>
                <w:color w:val="000000"/>
                <w:sz w:val="16"/>
                <w:szCs w:val="16"/>
              </w:rPr>
            </w:pPr>
          </w:p>
        </w:tc>
        <w:tc>
          <w:tcPr>
            <w:tcW w:w="1276" w:type="dxa"/>
            <w:shd w:val="clear" w:color="auto" w:fill="auto"/>
          </w:tcPr>
          <w:p w14:paraId="1086508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2041" w:type="dxa"/>
            <w:shd w:val="clear" w:color="auto" w:fill="auto"/>
          </w:tcPr>
          <w:p w14:paraId="0BCD0825" w14:textId="77777777" w:rsidR="00610897" w:rsidRPr="00610897" w:rsidRDefault="00610897" w:rsidP="00610897">
            <w:pPr>
              <w:jc w:val="both"/>
              <w:rPr>
                <w:rFonts w:ascii="Garamond" w:eastAsia="Calibri" w:hAnsi="Garamond"/>
                <w:color w:val="000000"/>
                <w:sz w:val="16"/>
                <w:szCs w:val="16"/>
              </w:rPr>
            </w:pPr>
          </w:p>
        </w:tc>
      </w:tr>
      <w:tr w:rsidR="00610897" w:rsidRPr="00610897" w14:paraId="3FB46117" w14:textId="77777777" w:rsidTr="002441E4">
        <w:trPr>
          <w:gridAfter w:val="1"/>
          <w:wAfter w:w="12" w:type="dxa"/>
          <w:trHeight w:val="279"/>
        </w:trPr>
        <w:tc>
          <w:tcPr>
            <w:tcW w:w="510" w:type="dxa"/>
            <w:shd w:val="clear" w:color="auto" w:fill="auto"/>
          </w:tcPr>
          <w:p w14:paraId="3F32EAB3"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14</w:t>
            </w:r>
          </w:p>
        </w:tc>
        <w:tc>
          <w:tcPr>
            <w:tcW w:w="3671" w:type="dxa"/>
            <w:shd w:val="clear" w:color="auto" w:fill="auto"/>
          </w:tcPr>
          <w:p w14:paraId="1F62BB02"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Elshandidy et al. (2015)</w:t>
            </w:r>
          </w:p>
        </w:tc>
        <w:tc>
          <w:tcPr>
            <w:tcW w:w="1019" w:type="dxa"/>
            <w:shd w:val="clear" w:color="auto" w:fill="auto"/>
          </w:tcPr>
          <w:p w14:paraId="29ACF75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73" w:type="dxa"/>
            <w:shd w:val="clear" w:color="auto" w:fill="auto"/>
          </w:tcPr>
          <w:p w14:paraId="6B9AC17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98" w:type="dxa"/>
            <w:shd w:val="clear" w:color="auto" w:fill="auto"/>
          </w:tcPr>
          <w:p w14:paraId="2AFCD6C9" w14:textId="77777777" w:rsidR="00610897" w:rsidRPr="00610897" w:rsidRDefault="00610897" w:rsidP="00610897">
            <w:pPr>
              <w:jc w:val="both"/>
              <w:rPr>
                <w:rFonts w:ascii="Garamond" w:eastAsia="Calibri" w:hAnsi="Garamond"/>
                <w:color w:val="000000"/>
                <w:sz w:val="16"/>
                <w:szCs w:val="16"/>
              </w:rPr>
            </w:pPr>
          </w:p>
        </w:tc>
        <w:tc>
          <w:tcPr>
            <w:tcW w:w="793" w:type="dxa"/>
            <w:shd w:val="clear" w:color="auto" w:fill="auto"/>
          </w:tcPr>
          <w:p w14:paraId="40C8ADB8" w14:textId="77777777" w:rsidR="00610897" w:rsidRPr="00610897" w:rsidRDefault="00610897" w:rsidP="00610897">
            <w:pPr>
              <w:jc w:val="both"/>
              <w:rPr>
                <w:rFonts w:ascii="Garamond" w:eastAsia="Calibri" w:hAnsi="Garamond"/>
                <w:color w:val="000000"/>
                <w:sz w:val="16"/>
                <w:szCs w:val="16"/>
              </w:rPr>
            </w:pPr>
          </w:p>
        </w:tc>
        <w:tc>
          <w:tcPr>
            <w:tcW w:w="1327" w:type="dxa"/>
            <w:shd w:val="clear" w:color="auto" w:fill="auto"/>
          </w:tcPr>
          <w:p w14:paraId="6DBD375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35" w:type="dxa"/>
            <w:shd w:val="clear" w:color="auto" w:fill="auto"/>
          </w:tcPr>
          <w:p w14:paraId="0F0214F3" w14:textId="77777777" w:rsidR="00610897" w:rsidRPr="00610897" w:rsidRDefault="00610897" w:rsidP="00610897">
            <w:pPr>
              <w:jc w:val="both"/>
              <w:rPr>
                <w:rFonts w:ascii="Garamond" w:eastAsia="Calibri" w:hAnsi="Garamond"/>
                <w:color w:val="000000"/>
                <w:sz w:val="16"/>
                <w:szCs w:val="16"/>
              </w:rPr>
            </w:pPr>
          </w:p>
        </w:tc>
        <w:tc>
          <w:tcPr>
            <w:tcW w:w="1440" w:type="dxa"/>
            <w:shd w:val="clear" w:color="auto" w:fill="auto"/>
          </w:tcPr>
          <w:p w14:paraId="5DEA753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276" w:type="dxa"/>
            <w:shd w:val="clear" w:color="auto" w:fill="auto"/>
          </w:tcPr>
          <w:p w14:paraId="06A0592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2041" w:type="dxa"/>
            <w:shd w:val="clear" w:color="auto" w:fill="auto"/>
          </w:tcPr>
          <w:p w14:paraId="508955FB" w14:textId="77777777" w:rsidR="00610897" w:rsidRPr="00610897" w:rsidRDefault="00610897" w:rsidP="00610897">
            <w:pPr>
              <w:jc w:val="both"/>
              <w:rPr>
                <w:rFonts w:ascii="Garamond" w:eastAsia="Calibri" w:hAnsi="Garamond"/>
                <w:color w:val="000000"/>
                <w:sz w:val="16"/>
                <w:szCs w:val="16"/>
              </w:rPr>
            </w:pPr>
          </w:p>
        </w:tc>
      </w:tr>
      <w:tr w:rsidR="00610897" w:rsidRPr="00610897" w14:paraId="205DCB97" w14:textId="77777777" w:rsidTr="002441E4">
        <w:trPr>
          <w:gridAfter w:val="1"/>
          <w:wAfter w:w="12" w:type="dxa"/>
          <w:trHeight w:val="279"/>
        </w:trPr>
        <w:tc>
          <w:tcPr>
            <w:tcW w:w="510" w:type="dxa"/>
            <w:shd w:val="clear" w:color="auto" w:fill="auto"/>
          </w:tcPr>
          <w:p w14:paraId="05FD8035"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15</w:t>
            </w:r>
          </w:p>
        </w:tc>
        <w:tc>
          <w:tcPr>
            <w:tcW w:w="3671" w:type="dxa"/>
            <w:shd w:val="clear" w:color="auto" w:fill="auto"/>
          </w:tcPr>
          <w:p w14:paraId="692C245A"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Malafronte</w:t>
            </w:r>
            <w:proofErr w:type="spellEnd"/>
            <w:r w:rsidRPr="00610897">
              <w:rPr>
                <w:rFonts w:ascii="Garamond" w:eastAsia="Calibri" w:hAnsi="Garamond"/>
                <w:color w:val="000000"/>
                <w:sz w:val="16"/>
                <w:szCs w:val="16"/>
              </w:rPr>
              <w:t xml:space="preserve"> et al. (2016)</w:t>
            </w:r>
          </w:p>
        </w:tc>
        <w:tc>
          <w:tcPr>
            <w:tcW w:w="1019" w:type="dxa"/>
            <w:shd w:val="clear" w:color="auto" w:fill="auto"/>
          </w:tcPr>
          <w:p w14:paraId="5D7B8C40" w14:textId="77777777" w:rsidR="00610897" w:rsidRPr="00610897" w:rsidRDefault="00610897" w:rsidP="00610897">
            <w:pPr>
              <w:jc w:val="both"/>
              <w:rPr>
                <w:rFonts w:ascii="Garamond" w:eastAsia="Calibri" w:hAnsi="Garamond"/>
                <w:color w:val="000000"/>
                <w:sz w:val="16"/>
                <w:szCs w:val="16"/>
              </w:rPr>
            </w:pPr>
          </w:p>
        </w:tc>
        <w:tc>
          <w:tcPr>
            <w:tcW w:w="973" w:type="dxa"/>
            <w:shd w:val="clear" w:color="auto" w:fill="auto"/>
          </w:tcPr>
          <w:p w14:paraId="67C0613E" w14:textId="77777777" w:rsidR="00610897" w:rsidRPr="00610897" w:rsidRDefault="00610897" w:rsidP="00610897">
            <w:pPr>
              <w:jc w:val="both"/>
              <w:rPr>
                <w:rFonts w:ascii="Garamond" w:eastAsia="Calibri" w:hAnsi="Garamond"/>
                <w:color w:val="000000"/>
                <w:sz w:val="16"/>
                <w:szCs w:val="16"/>
              </w:rPr>
            </w:pPr>
          </w:p>
        </w:tc>
        <w:tc>
          <w:tcPr>
            <w:tcW w:w="998" w:type="dxa"/>
            <w:shd w:val="clear" w:color="auto" w:fill="auto"/>
          </w:tcPr>
          <w:p w14:paraId="5A5F7A3D"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793" w:type="dxa"/>
            <w:shd w:val="clear" w:color="auto" w:fill="auto"/>
          </w:tcPr>
          <w:p w14:paraId="1BE15386" w14:textId="77777777" w:rsidR="00610897" w:rsidRPr="00610897" w:rsidRDefault="00610897" w:rsidP="00610897">
            <w:pPr>
              <w:jc w:val="both"/>
              <w:rPr>
                <w:rFonts w:ascii="Garamond" w:eastAsia="Calibri" w:hAnsi="Garamond"/>
                <w:color w:val="000000"/>
                <w:sz w:val="16"/>
                <w:szCs w:val="16"/>
              </w:rPr>
            </w:pPr>
          </w:p>
        </w:tc>
        <w:tc>
          <w:tcPr>
            <w:tcW w:w="1327" w:type="dxa"/>
            <w:shd w:val="clear" w:color="auto" w:fill="auto"/>
          </w:tcPr>
          <w:p w14:paraId="2E4DFB9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35" w:type="dxa"/>
            <w:shd w:val="clear" w:color="auto" w:fill="auto"/>
          </w:tcPr>
          <w:p w14:paraId="00B9CDBD" w14:textId="77777777" w:rsidR="00610897" w:rsidRPr="00610897" w:rsidRDefault="00610897" w:rsidP="00610897">
            <w:pPr>
              <w:jc w:val="both"/>
              <w:rPr>
                <w:rFonts w:ascii="Garamond" w:eastAsia="Calibri" w:hAnsi="Garamond"/>
                <w:color w:val="000000"/>
                <w:sz w:val="16"/>
                <w:szCs w:val="16"/>
              </w:rPr>
            </w:pPr>
          </w:p>
        </w:tc>
        <w:tc>
          <w:tcPr>
            <w:tcW w:w="1440" w:type="dxa"/>
            <w:shd w:val="clear" w:color="auto" w:fill="auto"/>
          </w:tcPr>
          <w:p w14:paraId="7316852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276" w:type="dxa"/>
            <w:shd w:val="clear" w:color="auto" w:fill="auto"/>
          </w:tcPr>
          <w:p w14:paraId="41FE290B" w14:textId="77777777" w:rsidR="00610897" w:rsidRPr="00610897" w:rsidRDefault="00610897" w:rsidP="00610897">
            <w:pPr>
              <w:jc w:val="both"/>
              <w:rPr>
                <w:rFonts w:ascii="Garamond" w:eastAsia="Calibri" w:hAnsi="Garamond"/>
                <w:color w:val="000000"/>
                <w:sz w:val="16"/>
                <w:szCs w:val="16"/>
              </w:rPr>
            </w:pPr>
          </w:p>
        </w:tc>
        <w:tc>
          <w:tcPr>
            <w:tcW w:w="2041" w:type="dxa"/>
            <w:shd w:val="clear" w:color="auto" w:fill="auto"/>
          </w:tcPr>
          <w:p w14:paraId="4E79592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r>
      <w:tr w:rsidR="00610897" w:rsidRPr="00610897" w14:paraId="7E3D34FC" w14:textId="77777777" w:rsidTr="002441E4">
        <w:trPr>
          <w:gridAfter w:val="1"/>
          <w:wAfter w:w="12" w:type="dxa"/>
          <w:trHeight w:val="265"/>
        </w:trPr>
        <w:tc>
          <w:tcPr>
            <w:tcW w:w="510" w:type="dxa"/>
            <w:tcBorders>
              <w:bottom w:val="single" w:sz="4" w:space="0" w:color="auto"/>
            </w:tcBorders>
            <w:shd w:val="clear" w:color="auto" w:fill="auto"/>
          </w:tcPr>
          <w:p w14:paraId="49582FF4"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16</w:t>
            </w:r>
          </w:p>
        </w:tc>
        <w:tc>
          <w:tcPr>
            <w:tcW w:w="3671" w:type="dxa"/>
            <w:tcBorders>
              <w:bottom w:val="single" w:sz="4" w:space="0" w:color="auto"/>
            </w:tcBorders>
            <w:shd w:val="clear" w:color="auto" w:fill="auto"/>
          </w:tcPr>
          <w:p w14:paraId="5734842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Al-</w:t>
            </w:r>
            <w:proofErr w:type="spellStart"/>
            <w:r w:rsidRPr="00610897">
              <w:rPr>
                <w:rFonts w:ascii="Garamond" w:eastAsia="Calibri" w:hAnsi="Garamond"/>
                <w:color w:val="000000"/>
                <w:sz w:val="16"/>
                <w:szCs w:val="16"/>
              </w:rPr>
              <w:t>Hadi</w:t>
            </w:r>
            <w:proofErr w:type="spellEnd"/>
            <w:r w:rsidRPr="00610897">
              <w:rPr>
                <w:rFonts w:ascii="Garamond" w:eastAsia="Calibri" w:hAnsi="Garamond"/>
                <w:color w:val="000000"/>
                <w:sz w:val="16"/>
                <w:szCs w:val="16"/>
              </w:rPr>
              <w:t xml:space="preserve"> et al. (2016)</w:t>
            </w:r>
          </w:p>
        </w:tc>
        <w:tc>
          <w:tcPr>
            <w:tcW w:w="1019" w:type="dxa"/>
            <w:tcBorders>
              <w:bottom w:val="single" w:sz="4" w:space="0" w:color="auto"/>
            </w:tcBorders>
            <w:shd w:val="clear" w:color="auto" w:fill="auto"/>
          </w:tcPr>
          <w:p w14:paraId="14BE7DD9"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73" w:type="dxa"/>
            <w:tcBorders>
              <w:bottom w:val="single" w:sz="4" w:space="0" w:color="auto"/>
            </w:tcBorders>
            <w:shd w:val="clear" w:color="auto" w:fill="auto"/>
          </w:tcPr>
          <w:p w14:paraId="6AEEB1B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98" w:type="dxa"/>
            <w:tcBorders>
              <w:bottom w:val="single" w:sz="4" w:space="0" w:color="auto"/>
            </w:tcBorders>
            <w:shd w:val="clear" w:color="auto" w:fill="auto"/>
          </w:tcPr>
          <w:p w14:paraId="6224A90C" w14:textId="77777777" w:rsidR="00610897" w:rsidRPr="00610897" w:rsidRDefault="00610897" w:rsidP="00610897">
            <w:pPr>
              <w:jc w:val="both"/>
              <w:rPr>
                <w:rFonts w:ascii="Garamond" w:eastAsia="Calibri" w:hAnsi="Garamond"/>
                <w:color w:val="000000"/>
                <w:sz w:val="16"/>
                <w:szCs w:val="16"/>
              </w:rPr>
            </w:pPr>
          </w:p>
        </w:tc>
        <w:tc>
          <w:tcPr>
            <w:tcW w:w="793" w:type="dxa"/>
            <w:tcBorders>
              <w:bottom w:val="single" w:sz="4" w:space="0" w:color="auto"/>
            </w:tcBorders>
            <w:shd w:val="clear" w:color="auto" w:fill="auto"/>
          </w:tcPr>
          <w:p w14:paraId="33761D0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327" w:type="dxa"/>
            <w:tcBorders>
              <w:bottom w:val="single" w:sz="4" w:space="0" w:color="auto"/>
            </w:tcBorders>
            <w:shd w:val="clear" w:color="auto" w:fill="auto"/>
          </w:tcPr>
          <w:p w14:paraId="5544966B" w14:textId="77777777" w:rsidR="00610897" w:rsidRPr="00610897" w:rsidRDefault="00610897" w:rsidP="00610897">
            <w:pPr>
              <w:jc w:val="both"/>
              <w:rPr>
                <w:rFonts w:ascii="Garamond" w:eastAsia="Calibri" w:hAnsi="Garamond"/>
                <w:color w:val="000000"/>
                <w:sz w:val="16"/>
                <w:szCs w:val="16"/>
              </w:rPr>
            </w:pPr>
          </w:p>
        </w:tc>
        <w:tc>
          <w:tcPr>
            <w:tcW w:w="1435" w:type="dxa"/>
            <w:tcBorders>
              <w:bottom w:val="single" w:sz="4" w:space="0" w:color="auto"/>
            </w:tcBorders>
            <w:shd w:val="clear" w:color="auto" w:fill="auto"/>
          </w:tcPr>
          <w:p w14:paraId="434B70E5" w14:textId="77777777" w:rsidR="00610897" w:rsidRPr="00610897" w:rsidRDefault="00610897" w:rsidP="00610897">
            <w:pPr>
              <w:jc w:val="both"/>
              <w:rPr>
                <w:rFonts w:ascii="Garamond" w:eastAsia="Calibri" w:hAnsi="Garamond"/>
                <w:color w:val="000000"/>
                <w:sz w:val="16"/>
                <w:szCs w:val="16"/>
              </w:rPr>
            </w:pPr>
          </w:p>
        </w:tc>
        <w:tc>
          <w:tcPr>
            <w:tcW w:w="1440" w:type="dxa"/>
            <w:tcBorders>
              <w:bottom w:val="single" w:sz="4" w:space="0" w:color="auto"/>
            </w:tcBorders>
            <w:shd w:val="clear" w:color="auto" w:fill="auto"/>
          </w:tcPr>
          <w:p w14:paraId="4036DBDB"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276" w:type="dxa"/>
            <w:tcBorders>
              <w:bottom w:val="single" w:sz="4" w:space="0" w:color="auto"/>
            </w:tcBorders>
            <w:shd w:val="clear" w:color="auto" w:fill="auto"/>
          </w:tcPr>
          <w:p w14:paraId="139D3229" w14:textId="77777777" w:rsidR="00610897" w:rsidRPr="00610897" w:rsidRDefault="00610897" w:rsidP="00610897">
            <w:pPr>
              <w:jc w:val="both"/>
              <w:rPr>
                <w:rFonts w:ascii="Garamond" w:eastAsia="Calibri" w:hAnsi="Garamond"/>
                <w:color w:val="000000"/>
                <w:sz w:val="16"/>
                <w:szCs w:val="16"/>
              </w:rPr>
            </w:pPr>
          </w:p>
        </w:tc>
        <w:tc>
          <w:tcPr>
            <w:tcW w:w="2041" w:type="dxa"/>
            <w:tcBorders>
              <w:bottom w:val="single" w:sz="4" w:space="0" w:color="auto"/>
            </w:tcBorders>
            <w:shd w:val="clear" w:color="auto" w:fill="auto"/>
          </w:tcPr>
          <w:p w14:paraId="1099FAF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r>
    </w:tbl>
    <w:p w14:paraId="0D26994B" w14:textId="77777777" w:rsidR="00610897" w:rsidRPr="00610897" w:rsidRDefault="00610897" w:rsidP="00610897">
      <w:pPr>
        <w:rPr>
          <w:rFonts w:eastAsia="Calibri"/>
          <w:color w:val="000000"/>
          <w:kern w:val="0"/>
          <w:sz w:val="16"/>
          <w:szCs w:val="16"/>
        </w:rPr>
      </w:pPr>
    </w:p>
    <w:p w14:paraId="1CD37B62" w14:textId="77777777" w:rsidR="00610897" w:rsidRPr="00610897" w:rsidRDefault="00610897" w:rsidP="00610897">
      <w:pPr>
        <w:rPr>
          <w:rFonts w:eastAsia="Calibri"/>
          <w:color w:val="000000"/>
          <w:kern w:val="0"/>
          <w:sz w:val="16"/>
          <w:szCs w:val="16"/>
        </w:rPr>
      </w:pPr>
    </w:p>
    <w:p w14:paraId="78312DB9" w14:textId="77777777" w:rsidR="00610897" w:rsidRPr="00610897" w:rsidRDefault="00610897" w:rsidP="00610897">
      <w:pPr>
        <w:rPr>
          <w:rFonts w:eastAsia="Calibri"/>
          <w:color w:val="000000"/>
          <w:kern w:val="0"/>
          <w:sz w:val="16"/>
          <w:szCs w:val="16"/>
        </w:rPr>
      </w:pPr>
    </w:p>
    <w:p w14:paraId="11B40B38" w14:textId="77777777" w:rsidR="00610897" w:rsidRPr="00610897" w:rsidRDefault="00610897" w:rsidP="00610897">
      <w:pPr>
        <w:rPr>
          <w:rFonts w:eastAsia="Calibri"/>
          <w:color w:val="000000"/>
          <w:kern w:val="0"/>
          <w:sz w:val="16"/>
          <w:szCs w:val="16"/>
        </w:rPr>
        <w:sectPr w:rsidR="00610897" w:rsidRPr="00610897" w:rsidSect="00610897">
          <w:pgSz w:w="16838" w:h="11906" w:orient="landscape"/>
          <w:pgMar w:top="1440" w:right="1440" w:bottom="993" w:left="1440" w:header="709" w:footer="709" w:gutter="0"/>
          <w:pgNumType w:start="42"/>
          <w:cols w:space="708"/>
          <w:docGrid w:linePitch="360"/>
        </w:sectPr>
      </w:pPr>
    </w:p>
    <w:tbl>
      <w:tblPr>
        <w:tblStyle w:val="TableGrid2"/>
        <w:tblW w:w="1561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09"/>
        <w:gridCol w:w="992"/>
        <w:gridCol w:w="1177"/>
        <w:gridCol w:w="1370"/>
        <w:gridCol w:w="5984"/>
        <w:gridCol w:w="1276"/>
        <w:gridCol w:w="3118"/>
      </w:tblGrid>
      <w:tr w:rsidR="00610897" w:rsidRPr="00610897" w14:paraId="2746F614" w14:textId="77777777" w:rsidTr="002441E4">
        <w:trPr>
          <w:trHeight w:val="260"/>
        </w:trPr>
        <w:tc>
          <w:tcPr>
            <w:tcW w:w="15619" w:type="dxa"/>
            <w:gridSpan w:val="8"/>
            <w:tcBorders>
              <w:top w:val="single" w:sz="4" w:space="0" w:color="auto"/>
              <w:bottom w:val="single" w:sz="4" w:space="0" w:color="auto"/>
            </w:tcBorders>
          </w:tcPr>
          <w:p w14:paraId="431F244F" w14:textId="77777777" w:rsidR="00610897" w:rsidRPr="00610897" w:rsidRDefault="00610897" w:rsidP="00610897">
            <w:pPr>
              <w:tabs>
                <w:tab w:val="left" w:pos="4147"/>
              </w:tabs>
              <w:jc w:val="both"/>
              <w:rPr>
                <w:rFonts w:ascii="Garamond" w:eastAsia="Calibri" w:hAnsi="Garamond"/>
                <w:b/>
                <w:bCs/>
                <w:color w:val="000000"/>
                <w:sz w:val="16"/>
                <w:szCs w:val="16"/>
              </w:rPr>
            </w:pPr>
            <w:r w:rsidRPr="00610897">
              <w:rPr>
                <w:rFonts w:ascii="Garamond" w:eastAsia="Calibri" w:hAnsi="Garamond"/>
                <w:b/>
                <w:bCs/>
                <w:color w:val="000000"/>
                <w:sz w:val="16"/>
                <w:szCs w:val="16"/>
              </w:rPr>
              <w:lastRenderedPageBreak/>
              <w:t>Table 4</w:t>
            </w:r>
            <w:r w:rsidRPr="00610897">
              <w:rPr>
                <w:rFonts w:ascii="Garamond" w:eastAsia="Calibri" w:hAnsi="Garamond"/>
                <w:b/>
                <w:bCs/>
                <w:color w:val="000000"/>
                <w:sz w:val="16"/>
                <w:szCs w:val="16"/>
              </w:rPr>
              <w:tab/>
            </w:r>
          </w:p>
          <w:p w14:paraId="1CC0B0AF" w14:textId="77777777" w:rsidR="00610897" w:rsidRPr="00610897" w:rsidRDefault="00610897" w:rsidP="00610897">
            <w:pPr>
              <w:jc w:val="both"/>
              <w:rPr>
                <w:rFonts w:ascii="Garamond" w:eastAsia="Calibri" w:hAnsi="Garamond"/>
                <w:b/>
                <w:bCs/>
                <w:color w:val="000000"/>
                <w:sz w:val="16"/>
                <w:szCs w:val="16"/>
              </w:rPr>
            </w:pPr>
            <w:r w:rsidRPr="00610897">
              <w:rPr>
                <w:rFonts w:ascii="Garamond" w:eastAsia="Calibri" w:hAnsi="Garamond"/>
                <w:bCs/>
                <w:color w:val="000000"/>
                <w:sz w:val="16"/>
                <w:szCs w:val="16"/>
              </w:rPr>
              <w:t xml:space="preserve">Summary of empirical papers on risk-reporting </w:t>
            </w:r>
            <w:proofErr w:type="spellStart"/>
            <w:r w:rsidRPr="00610897">
              <w:rPr>
                <w:rFonts w:ascii="Garamond" w:eastAsia="Calibri" w:hAnsi="Garamond"/>
                <w:bCs/>
                <w:color w:val="000000"/>
                <w:sz w:val="16"/>
                <w:szCs w:val="16"/>
              </w:rPr>
              <w:t>informativeness</w:t>
            </w:r>
            <w:proofErr w:type="spellEnd"/>
            <w:r w:rsidRPr="00610897">
              <w:rPr>
                <w:rFonts w:ascii="Garamond" w:eastAsia="Calibri" w:hAnsi="Garamond"/>
                <w:bCs/>
                <w:color w:val="000000"/>
                <w:sz w:val="16"/>
                <w:szCs w:val="16"/>
              </w:rPr>
              <w:t>, presented in chronological order</w:t>
            </w:r>
          </w:p>
        </w:tc>
      </w:tr>
      <w:tr w:rsidR="00610897" w:rsidRPr="00610897" w14:paraId="6C404C17" w14:textId="77777777" w:rsidTr="002441E4">
        <w:trPr>
          <w:trHeight w:val="260"/>
        </w:trPr>
        <w:tc>
          <w:tcPr>
            <w:tcW w:w="993" w:type="dxa"/>
            <w:tcBorders>
              <w:top w:val="single" w:sz="4" w:space="0" w:color="auto"/>
              <w:bottom w:val="single" w:sz="4" w:space="0" w:color="auto"/>
            </w:tcBorders>
          </w:tcPr>
          <w:p w14:paraId="685B223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Study name (year)</w:t>
            </w:r>
          </w:p>
        </w:tc>
        <w:tc>
          <w:tcPr>
            <w:tcW w:w="709" w:type="dxa"/>
            <w:tcBorders>
              <w:top w:val="single" w:sz="4" w:space="0" w:color="auto"/>
              <w:bottom w:val="single" w:sz="4" w:space="0" w:color="auto"/>
            </w:tcBorders>
          </w:tcPr>
          <w:p w14:paraId="0B3BDC9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Journal</w:t>
            </w:r>
          </w:p>
        </w:tc>
        <w:tc>
          <w:tcPr>
            <w:tcW w:w="992" w:type="dxa"/>
          </w:tcPr>
          <w:p w14:paraId="1289589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Jurisdiction</w:t>
            </w:r>
          </w:p>
        </w:tc>
        <w:tc>
          <w:tcPr>
            <w:tcW w:w="1177" w:type="dxa"/>
          </w:tcPr>
          <w:p w14:paraId="3A17FE8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Sample</w:t>
            </w:r>
          </w:p>
        </w:tc>
        <w:tc>
          <w:tcPr>
            <w:tcW w:w="1370" w:type="dxa"/>
            <w:tcBorders>
              <w:top w:val="single" w:sz="4" w:space="0" w:color="auto"/>
              <w:bottom w:val="single" w:sz="4" w:space="0" w:color="auto"/>
            </w:tcBorders>
          </w:tcPr>
          <w:p w14:paraId="458D70C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Content analysis</w:t>
            </w:r>
          </w:p>
          <w:p w14:paraId="5E2CE21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(code unit)</w:t>
            </w:r>
          </w:p>
        </w:tc>
        <w:tc>
          <w:tcPr>
            <w:tcW w:w="5984" w:type="dxa"/>
            <w:tcBorders>
              <w:top w:val="single" w:sz="4" w:space="0" w:color="auto"/>
              <w:bottom w:val="single" w:sz="4" w:space="0" w:color="auto"/>
            </w:tcBorders>
          </w:tcPr>
          <w:p w14:paraId="7AEAEEC9"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Findings</w:t>
            </w:r>
          </w:p>
        </w:tc>
        <w:tc>
          <w:tcPr>
            <w:tcW w:w="1276" w:type="dxa"/>
            <w:tcBorders>
              <w:top w:val="single" w:sz="4" w:space="0" w:color="auto"/>
              <w:bottom w:val="single" w:sz="4" w:space="0" w:color="auto"/>
            </w:tcBorders>
          </w:tcPr>
          <w:p w14:paraId="21D7921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Theoretical underpinnings</w:t>
            </w:r>
          </w:p>
        </w:tc>
        <w:tc>
          <w:tcPr>
            <w:tcW w:w="3118" w:type="dxa"/>
            <w:tcBorders>
              <w:top w:val="single" w:sz="4" w:space="0" w:color="auto"/>
              <w:bottom w:val="single" w:sz="4" w:space="0" w:color="auto"/>
            </w:tcBorders>
          </w:tcPr>
          <w:p w14:paraId="660BC2E2"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Limitations and/or related suggestions</w:t>
            </w:r>
          </w:p>
        </w:tc>
      </w:tr>
      <w:tr w:rsidR="00610897" w:rsidRPr="00610897" w14:paraId="3E374924" w14:textId="77777777" w:rsidTr="002441E4">
        <w:trPr>
          <w:trHeight w:val="1234"/>
        </w:trPr>
        <w:tc>
          <w:tcPr>
            <w:tcW w:w="993" w:type="dxa"/>
            <w:tcBorders>
              <w:top w:val="single" w:sz="4" w:space="0" w:color="auto"/>
            </w:tcBorders>
          </w:tcPr>
          <w:p w14:paraId="79B3EF16"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Rajgopal</w:t>
            </w:r>
            <w:proofErr w:type="spellEnd"/>
            <w:r w:rsidRPr="00610897">
              <w:rPr>
                <w:rFonts w:ascii="Garamond" w:eastAsia="Calibri" w:hAnsi="Garamond"/>
                <w:color w:val="000000"/>
                <w:sz w:val="16"/>
                <w:szCs w:val="16"/>
              </w:rPr>
              <w:t xml:space="preserve"> (1999)</w:t>
            </w:r>
          </w:p>
          <w:p w14:paraId="06E80C04" w14:textId="77777777" w:rsidR="00610897" w:rsidRPr="00610897" w:rsidRDefault="00610897" w:rsidP="00610897">
            <w:pPr>
              <w:rPr>
                <w:rFonts w:ascii="Garamond" w:eastAsia="Calibri" w:hAnsi="Garamond"/>
                <w:b/>
                <w:color w:val="000000"/>
                <w:sz w:val="16"/>
                <w:szCs w:val="16"/>
              </w:rPr>
            </w:pPr>
          </w:p>
          <w:p w14:paraId="0F21B406" w14:textId="77777777" w:rsidR="00610897" w:rsidRPr="00610897" w:rsidRDefault="00610897" w:rsidP="00610897">
            <w:pPr>
              <w:rPr>
                <w:rFonts w:ascii="Garamond" w:eastAsia="Calibri" w:hAnsi="Garamond"/>
                <w:color w:val="000000"/>
                <w:sz w:val="16"/>
                <w:szCs w:val="16"/>
              </w:rPr>
            </w:pPr>
          </w:p>
        </w:tc>
        <w:tc>
          <w:tcPr>
            <w:tcW w:w="709" w:type="dxa"/>
            <w:tcBorders>
              <w:top w:val="single" w:sz="4" w:space="0" w:color="auto"/>
            </w:tcBorders>
          </w:tcPr>
          <w:p w14:paraId="1B03F0F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TAR</w:t>
            </w:r>
          </w:p>
        </w:tc>
        <w:tc>
          <w:tcPr>
            <w:tcW w:w="992" w:type="dxa"/>
            <w:tcBorders>
              <w:top w:val="single" w:sz="4" w:space="0" w:color="auto"/>
            </w:tcBorders>
          </w:tcPr>
          <w:p w14:paraId="01411D90"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USA</w:t>
            </w:r>
          </w:p>
        </w:tc>
        <w:tc>
          <w:tcPr>
            <w:tcW w:w="1177" w:type="dxa"/>
            <w:tcBorders>
              <w:top w:val="single" w:sz="4" w:space="0" w:color="auto"/>
            </w:tcBorders>
          </w:tcPr>
          <w:p w14:paraId="3A17D642"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149 oil and gas firm-years from 1993 to 1996</w:t>
            </w:r>
          </w:p>
          <w:p w14:paraId="3F837D9E" w14:textId="77777777" w:rsidR="00610897" w:rsidRPr="00610897" w:rsidRDefault="00610897" w:rsidP="00610897">
            <w:pPr>
              <w:jc w:val="both"/>
              <w:rPr>
                <w:rFonts w:ascii="Garamond" w:eastAsia="Calibri" w:hAnsi="Garamond"/>
                <w:color w:val="000000"/>
                <w:sz w:val="16"/>
                <w:szCs w:val="16"/>
              </w:rPr>
            </w:pPr>
          </w:p>
          <w:p w14:paraId="3276DAF5" w14:textId="77777777" w:rsidR="00610897" w:rsidRPr="00610897" w:rsidRDefault="00610897" w:rsidP="00610897">
            <w:pPr>
              <w:jc w:val="both"/>
              <w:rPr>
                <w:rFonts w:ascii="Garamond" w:eastAsia="Calibri" w:hAnsi="Garamond"/>
                <w:color w:val="000000"/>
                <w:sz w:val="16"/>
                <w:szCs w:val="16"/>
              </w:rPr>
            </w:pPr>
          </w:p>
        </w:tc>
        <w:tc>
          <w:tcPr>
            <w:tcW w:w="1370" w:type="dxa"/>
            <w:tcBorders>
              <w:top w:val="single" w:sz="4" w:space="0" w:color="auto"/>
            </w:tcBorders>
          </w:tcPr>
          <w:p w14:paraId="14BACA90"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Manual content analysis </w:t>
            </w:r>
          </w:p>
          <w:p w14:paraId="5CF9BCD2"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(number of sentences)</w:t>
            </w:r>
          </w:p>
        </w:tc>
        <w:tc>
          <w:tcPr>
            <w:tcW w:w="5984" w:type="dxa"/>
            <w:tcBorders>
              <w:top w:val="single" w:sz="4" w:space="0" w:color="auto"/>
            </w:tcBorders>
          </w:tcPr>
          <w:p w14:paraId="73CD9B34" w14:textId="77777777" w:rsidR="00610897" w:rsidRPr="00610897" w:rsidRDefault="00610897" w:rsidP="00610897">
            <w:pPr>
              <w:jc w:val="both"/>
              <w:rPr>
                <w:rFonts w:ascii="Garamond" w:eastAsia="Calibri" w:hAnsi="Garamond"/>
                <w:color w:val="000000"/>
                <w:sz w:val="16"/>
                <w:szCs w:val="16"/>
                <w:lang w:val="en-US"/>
              </w:rPr>
            </w:pPr>
            <w:r w:rsidRPr="00610897">
              <w:rPr>
                <w:rFonts w:ascii="Garamond" w:eastAsia="Calibri" w:hAnsi="Garamond"/>
                <w:color w:val="000000"/>
                <w:sz w:val="16"/>
                <w:szCs w:val="16"/>
              </w:rPr>
              <w:t xml:space="preserve">The paper finds that both disclosure formats (tabular and sensitivity) are informative (i.e., equity price sensitive to a change in oil and gas prices). </w:t>
            </w:r>
            <w:r w:rsidRPr="00610897">
              <w:rPr>
                <w:rFonts w:ascii="Garamond" w:eastAsia="Calibri" w:hAnsi="Garamond"/>
                <w:color w:val="000000"/>
                <w:sz w:val="16"/>
                <w:szCs w:val="16"/>
                <w:lang w:val="en-US"/>
              </w:rPr>
              <w:t>These findings suggest that these FRR No.48 disclosures are useful for investors wanting to assess commodity contracts and prices in specific circumstances (</w:t>
            </w:r>
            <w:r w:rsidRPr="00610897">
              <w:rPr>
                <w:rFonts w:ascii="Garamond" w:eastAsia="Calibri" w:hAnsi="Garamond"/>
                <w:bCs/>
                <w:color w:val="000000"/>
                <w:sz w:val="16"/>
                <w:szCs w:val="16"/>
                <w:lang w:val="en-US"/>
              </w:rPr>
              <w:t xml:space="preserve">e.g., </w:t>
            </w:r>
            <w:r w:rsidRPr="00610897">
              <w:rPr>
                <w:rFonts w:ascii="Garamond" w:eastAsia="Calibri" w:hAnsi="Garamond"/>
                <w:color w:val="000000"/>
                <w:sz w:val="16"/>
                <w:szCs w:val="16"/>
                <w:lang w:val="en-US"/>
              </w:rPr>
              <w:t>oil and gas firms). However, the risk-relevance of market risk disclosures related to more complex forms of risk and in broader contexts is weak and inconsistent.</w:t>
            </w:r>
          </w:p>
        </w:tc>
        <w:tc>
          <w:tcPr>
            <w:tcW w:w="1276" w:type="dxa"/>
            <w:tcBorders>
              <w:top w:val="single" w:sz="4" w:space="0" w:color="auto"/>
            </w:tcBorders>
          </w:tcPr>
          <w:p w14:paraId="31C80EB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Neo-classical economic theory</w:t>
            </w:r>
          </w:p>
        </w:tc>
        <w:tc>
          <w:tcPr>
            <w:tcW w:w="3118" w:type="dxa"/>
            <w:tcBorders>
              <w:top w:val="single" w:sz="4" w:space="0" w:color="auto"/>
            </w:tcBorders>
          </w:tcPr>
          <w:p w14:paraId="62E8F01F"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 (1) Research is needed to investigate how investors interpret the results of risk management activities which are presented under different formats of risk disclosure (i.e. sensitivity analysis, tabular, Value at Risk). </w:t>
            </w:r>
          </w:p>
          <w:p w14:paraId="1D50C236" w14:textId="77777777" w:rsidR="00610897" w:rsidRPr="00610897" w:rsidRDefault="00610897" w:rsidP="00610897">
            <w:pPr>
              <w:rPr>
                <w:rFonts w:ascii="Garamond" w:eastAsia="Calibri" w:hAnsi="Garamond"/>
                <w:color w:val="000000"/>
                <w:sz w:val="16"/>
                <w:szCs w:val="16"/>
              </w:rPr>
            </w:pPr>
          </w:p>
        </w:tc>
      </w:tr>
      <w:tr w:rsidR="00610897" w:rsidRPr="00610897" w14:paraId="5E41824C" w14:textId="77777777" w:rsidTr="002441E4">
        <w:trPr>
          <w:trHeight w:val="1025"/>
        </w:trPr>
        <w:tc>
          <w:tcPr>
            <w:tcW w:w="993" w:type="dxa"/>
          </w:tcPr>
          <w:p w14:paraId="69FDB468"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Roulstone</w:t>
            </w:r>
            <w:proofErr w:type="spellEnd"/>
            <w:r w:rsidRPr="00610897">
              <w:rPr>
                <w:rFonts w:ascii="Garamond" w:eastAsia="Calibri" w:hAnsi="Garamond"/>
                <w:color w:val="000000"/>
                <w:sz w:val="16"/>
                <w:szCs w:val="16"/>
              </w:rPr>
              <w:t xml:space="preserve"> (1999)</w:t>
            </w:r>
          </w:p>
        </w:tc>
        <w:tc>
          <w:tcPr>
            <w:tcW w:w="709" w:type="dxa"/>
          </w:tcPr>
          <w:p w14:paraId="44FEDAD0"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AH</w:t>
            </w:r>
          </w:p>
        </w:tc>
        <w:tc>
          <w:tcPr>
            <w:tcW w:w="992" w:type="dxa"/>
          </w:tcPr>
          <w:p w14:paraId="001D400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USA</w:t>
            </w:r>
          </w:p>
        </w:tc>
        <w:tc>
          <w:tcPr>
            <w:tcW w:w="1177" w:type="dxa"/>
          </w:tcPr>
          <w:p w14:paraId="7D2DCD37"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25 non-financial firms from </w:t>
            </w:r>
          </w:p>
          <w:p w14:paraId="6126A92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1996 to 1997</w:t>
            </w:r>
          </w:p>
        </w:tc>
        <w:tc>
          <w:tcPr>
            <w:tcW w:w="1370" w:type="dxa"/>
          </w:tcPr>
          <w:p w14:paraId="2334DE51"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Manual content analysis </w:t>
            </w:r>
          </w:p>
          <w:p w14:paraId="3E41A164"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(number of words)</w:t>
            </w:r>
          </w:p>
        </w:tc>
        <w:tc>
          <w:tcPr>
            <w:tcW w:w="5984" w:type="dxa"/>
          </w:tcPr>
          <w:p w14:paraId="76D95C9B"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The paper finds that the majority of the sampled firms report derivative use. The majority of registrants provide quantitative and qualitative disclosures of market risk; however, only around half of these firms discuss the details and limitations of their risk measurement models and disclosures. Overall, while registrants have greatly increased their disclosures about market risk, there is room for improvement in future filings.</w:t>
            </w:r>
          </w:p>
        </w:tc>
        <w:tc>
          <w:tcPr>
            <w:tcW w:w="1276" w:type="dxa"/>
          </w:tcPr>
          <w:p w14:paraId="0BC29A00"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Not specified </w:t>
            </w:r>
          </w:p>
        </w:tc>
        <w:tc>
          <w:tcPr>
            <w:tcW w:w="3118" w:type="dxa"/>
          </w:tcPr>
          <w:p w14:paraId="439AB6DC"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(1) Further research is needed on whether firms will change their focus due to the change in regulations (i.e., FAS No.133).</w:t>
            </w:r>
          </w:p>
          <w:p w14:paraId="2165ECFE" w14:textId="77777777" w:rsidR="00610897" w:rsidRPr="00610897" w:rsidRDefault="00610897" w:rsidP="00610897">
            <w:pPr>
              <w:rPr>
                <w:rFonts w:ascii="Garamond" w:eastAsia="Calibri" w:hAnsi="Garamond"/>
                <w:color w:val="000000"/>
                <w:sz w:val="16"/>
                <w:szCs w:val="16"/>
              </w:rPr>
            </w:pPr>
          </w:p>
        </w:tc>
      </w:tr>
      <w:tr w:rsidR="00610897" w:rsidRPr="00610897" w14:paraId="51341BCC" w14:textId="77777777" w:rsidTr="002441E4">
        <w:trPr>
          <w:trHeight w:val="714"/>
        </w:trPr>
        <w:tc>
          <w:tcPr>
            <w:tcW w:w="993" w:type="dxa"/>
          </w:tcPr>
          <w:p w14:paraId="12307607"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Hodder and </w:t>
            </w:r>
            <w:proofErr w:type="spellStart"/>
            <w:r w:rsidRPr="00610897">
              <w:rPr>
                <w:rFonts w:ascii="Garamond" w:eastAsia="Calibri" w:hAnsi="Garamond"/>
                <w:color w:val="000000"/>
                <w:sz w:val="16"/>
                <w:szCs w:val="16"/>
              </w:rPr>
              <w:t>McAnally</w:t>
            </w:r>
            <w:proofErr w:type="spellEnd"/>
            <w:r w:rsidRPr="00610897">
              <w:rPr>
                <w:rFonts w:ascii="Garamond" w:eastAsia="Calibri" w:hAnsi="Garamond"/>
                <w:color w:val="000000"/>
                <w:sz w:val="16"/>
                <w:szCs w:val="16"/>
              </w:rPr>
              <w:t xml:space="preserve"> (2001)</w:t>
            </w:r>
          </w:p>
        </w:tc>
        <w:tc>
          <w:tcPr>
            <w:tcW w:w="709" w:type="dxa"/>
          </w:tcPr>
          <w:p w14:paraId="682CAAE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FAJ</w:t>
            </w:r>
          </w:p>
        </w:tc>
        <w:tc>
          <w:tcPr>
            <w:tcW w:w="992" w:type="dxa"/>
          </w:tcPr>
          <w:p w14:paraId="14A5613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USA</w:t>
            </w:r>
          </w:p>
        </w:tc>
        <w:tc>
          <w:tcPr>
            <w:tcW w:w="1177" w:type="dxa"/>
          </w:tcPr>
          <w:p w14:paraId="279074F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4 financial firms’ 10-K disclosures in 1999</w:t>
            </w:r>
          </w:p>
        </w:tc>
        <w:tc>
          <w:tcPr>
            <w:tcW w:w="1370" w:type="dxa"/>
          </w:tcPr>
          <w:p w14:paraId="6BE51C92"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Manually reviewed 10-K disclosures</w:t>
            </w:r>
          </w:p>
          <w:p w14:paraId="4F86073F"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(sentences)</w:t>
            </w:r>
          </w:p>
          <w:p w14:paraId="63D0DF9D" w14:textId="77777777" w:rsidR="00610897" w:rsidRPr="00610897" w:rsidRDefault="00610897" w:rsidP="00610897">
            <w:pPr>
              <w:rPr>
                <w:rFonts w:ascii="Garamond" w:eastAsia="Calibri" w:hAnsi="Garamond"/>
                <w:color w:val="000000"/>
                <w:sz w:val="16"/>
                <w:szCs w:val="16"/>
              </w:rPr>
            </w:pPr>
          </w:p>
        </w:tc>
        <w:tc>
          <w:tcPr>
            <w:tcW w:w="5984" w:type="dxa"/>
          </w:tcPr>
          <w:p w14:paraId="5F1F812B"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The paper proposes a methodology for comparing the tabular format to the </w:t>
            </w:r>
            <w:proofErr w:type="spellStart"/>
            <w:r w:rsidRPr="00610897">
              <w:rPr>
                <w:rFonts w:ascii="Garamond" w:eastAsia="Calibri" w:hAnsi="Garamond"/>
                <w:color w:val="000000"/>
                <w:sz w:val="16"/>
                <w:szCs w:val="16"/>
              </w:rPr>
              <w:t>VaR</w:t>
            </w:r>
            <w:proofErr w:type="spellEnd"/>
            <w:r w:rsidRPr="00610897">
              <w:rPr>
                <w:rFonts w:ascii="Garamond" w:eastAsia="Calibri" w:hAnsi="Garamond"/>
                <w:color w:val="000000"/>
                <w:sz w:val="16"/>
                <w:szCs w:val="16"/>
              </w:rPr>
              <w:t xml:space="preserve"> format for FRR No. 48 disclosures. It finds that the tabular format provides useful information about firms’ market risk (subject to limitations).</w:t>
            </w:r>
          </w:p>
          <w:p w14:paraId="56AB477B" w14:textId="77777777" w:rsidR="00610897" w:rsidRPr="00610897" w:rsidRDefault="00610897" w:rsidP="00610897">
            <w:pPr>
              <w:jc w:val="both"/>
              <w:rPr>
                <w:rFonts w:ascii="Garamond" w:eastAsia="Calibri" w:hAnsi="Garamond"/>
                <w:color w:val="000000"/>
                <w:sz w:val="16"/>
                <w:szCs w:val="16"/>
              </w:rPr>
            </w:pPr>
          </w:p>
        </w:tc>
        <w:tc>
          <w:tcPr>
            <w:tcW w:w="1276" w:type="dxa"/>
          </w:tcPr>
          <w:p w14:paraId="03E2130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Not specified </w:t>
            </w:r>
          </w:p>
          <w:p w14:paraId="12FFAE43" w14:textId="77777777" w:rsidR="00610897" w:rsidRPr="00610897" w:rsidRDefault="00610897" w:rsidP="00610897">
            <w:pPr>
              <w:jc w:val="both"/>
              <w:rPr>
                <w:rFonts w:ascii="Garamond" w:eastAsia="Calibri" w:hAnsi="Garamond"/>
                <w:color w:val="000000"/>
                <w:sz w:val="16"/>
                <w:szCs w:val="16"/>
              </w:rPr>
            </w:pPr>
          </w:p>
        </w:tc>
        <w:tc>
          <w:tcPr>
            <w:tcW w:w="3118" w:type="dxa"/>
            <w:shd w:val="clear" w:color="auto" w:fill="auto"/>
          </w:tcPr>
          <w:p w14:paraId="75CCE9D9"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(1) Does not directly measure the </w:t>
            </w:r>
            <w:proofErr w:type="spellStart"/>
            <w:r w:rsidRPr="00610897">
              <w:rPr>
                <w:rFonts w:ascii="Garamond" w:eastAsia="Calibri" w:hAnsi="Garamond"/>
                <w:color w:val="000000"/>
                <w:sz w:val="16"/>
                <w:szCs w:val="16"/>
              </w:rPr>
              <w:t>informativeness</w:t>
            </w:r>
            <w:proofErr w:type="spellEnd"/>
            <w:r w:rsidRPr="00610897">
              <w:rPr>
                <w:rFonts w:ascii="Garamond" w:eastAsia="Calibri" w:hAnsi="Garamond"/>
                <w:color w:val="000000"/>
                <w:sz w:val="16"/>
                <w:szCs w:val="16"/>
              </w:rPr>
              <w:t xml:space="preserve"> of the information required by FRR No.48.</w:t>
            </w:r>
          </w:p>
        </w:tc>
      </w:tr>
      <w:tr w:rsidR="00610897" w:rsidRPr="00610897" w14:paraId="66D2D094" w14:textId="77777777" w:rsidTr="002441E4">
        <w:trPr>
          <w:trHeight w:val="515"/>
        </w:trPr>
        <w:tc>
          <w:tcPr>
            <w:tcW w:w="993" w:type="dxa"/>
          </w:tcPr>
          <w:p w14:paraId="571B4596"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Jorion</w:t>
            </w:r>
            <w:proofErr w:type="spellEnd"/>
            <w:r w:rsidRPr="00610897">
              <w:rPr>
                <w:rFonts w:ascii="Garamond" w:eastAsia="Calibri" w:hAnsi="Garamond"/>
                <w:color w:val="000000"/>
                <w:sz w:val="16"/>
                <w:szCs w:val="16"/>
              </w:rPr>
              <w:t xml:space="preserve"> (2002)</w:t>
            </w:r>
          </w:p>
        </w:tc>
        <w:tc>
          <w:tcPr>
            <w:tcW w:w="709" w:type="dxa"/>
          </w:tcPr>
          <w:p w14:paraId="4C497B9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TAR</w:t>
            </w:r>
          </w:p>
        </w:tc>
        <w:tc>
          <w:tcPr>
            <w:tcW w:w="992" w:type="dxa"/>
          </w:tcPr>
          <w:p w14:paraId="3A16F92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USA</w:t>
            </w:r>
          </w:p>
        </w:tc>
        <w:tc>
          <w:tcPr>
            <w:tcW w:w="1177" w:type="dxa"/>
          </w:tcPr>
          <w:p w14:paraId="1E60B72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Eight banks from 1995 to 1999</w:t>
            </w:r>
          </w:p>
        </w:tc>
        <w:tc>
          <w:tcPr>
            <w:tcW w:w="1370" w:type="dxa"/>
          </w:tcPr>
          <w:p w14:paraId="7F5EAA7A"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Manual </w:t>
            </w:r>
          </w:p>
          <w:p w14:paraId="6DBF18AE"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(number of sentences)</w:t>
            </w:r>
          </w:p>
        </w:tc>
        <w:tc>
          <w:tcPr>
            <w:tcW w:w="5984" w:type="dxa"/>
          </w:tcPr>
          <w:p w14:paraId="5722CFE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The paper finds that </w:t>
            </w:r>
            <w:proofErr w:type="spellStart"/>
            <w:r w:rsidRPr="00610897">
              <w:rPr>
                <w:rFonts w:ascii="Garamond" w:eastAsia="Calibri" w:hAnsi="Garamond"/>
                <w:color w:val="000000"/>
                <w:sz w:val="16"/>
                <w:szCs w:val="16"/>
              </w:rPr>
              <w:t>VaR</w:t>
            </w:r>
            <w:proofErr w:type="spellEnd"/>
            <w:r w:rsidRPr="00610897">
              <w:rPr>
                <w:rFonts w:ascii="Garamond" w:eastAsia="Calibri" w:hAnsi="Garamond"/>
                <w:color w:val="000000"/>
                <w:sz w:val="16"/>
                <w:szCs w:val="16"/>
              </w:rPr>
              <w:t xml:space="preserve"> disclosures are informative since they enable investors to predict variability in trading revenues and make adequate comparisons of trading portfolios.</w:t>
            </w:r>
          </w:p>
        </w:tc>
        <w:tc>
          <w:tcPr>
            <w:tcW w:w="1276" w:type="dxa"/>
          </w:tcPr>
          <w:p w14:paraId="6D8EEB7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Not specified</w:t>
            </w:r>
          </w:p>
        </w:tc>
        <w:tc>
          <w:tcPr>
            <w:tcW w:w="3118" w:type="dxa"/>
            <w:shd w:val="clear" w:color="auto" w:fill="auto"/>
          </w:tcPr>
          <w:p w14:paraId="1EED366A"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(1) Methodology affects the observed quality of </w:t>
            </w:r>
            <w:proofErr w:type="spellStart"/>
            <w:r w:rsidRPr="00610897">
              <w:rPr>
                <w:rFonts w:ascii="Garamond" w:eastAsia="Calibri" w:hAnsi="Garamond"/>
                <w:color w:val="000000"/>
                <w:sz w:val="16"/>
                <w:szCs w:val="16"/>
              </w:rPr>
              <w:t>VaR</w:t>
            </w:r>
            <w:proofErr w:type="spellEnd"/>
            <w:r w:rsidRPr="00610897">
              <w:rPr>
                <w:rFonts w:ascii="Garamond" w:eastAsia="Calibri" w:hAnsi="Garamond"/>
                <w:color w:val="000000"/>
                <w:sz w:val="16"/>
                <w:szCs w:val="16"/>
              </w:rPr>
              <w:t xml:space="preserve"> disclosures.</w:t>
            </w:r>
          </w:p>
          <w:p w14:paraId="0D4D3ABB"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(2) Does not quantify the information revealed in </w:t>
            </w:r>
            <w:proofErr w:type="spellStart"/>
            <w:r w:rsidRPr="00610897">
              <w:rPr>
                <w:rFonts w:ascii="Garamond" w:eastAsia="Calibri" w:hAnsi="Garamond"/>
                <w:color w:val="000000"/>
                <w:sz w:val="16"/>
                <w:szCs w:val="16"/>
              </w:rPr>
              <w:t>VaR</w:t>
            </w:r>
            <w:proofErr w:type="spellEnd"/>
            <w:r w:rsidRPr="00610897">
              <w:rPr>
                <w:rFonts w:ascii="Garamond" w:eastAsia="Calibri" w:hAnsi="Garamond"/>
                <w:color w:val="000000"/>
                <w:sz w:val="16"/>
                <w:szCs w:val="16"/>
              </w:rPr>
              <w:t xml:space="preserve"> disclosures. </w:t>
            </w:r>
          </w:p>
        </w:tc>
      </w:tr>
      <w:tr w:rsidR="00610897" w:rsidRPr="00610897" w14:paraId="0616ACF2" w14:textId="77777777" w:rsidTr="002441E4">
        <w:trPr>
          <w:trHeight w:val="780"/>
        </w:trPr>
        <w:tc>
          <w:tcPr>
            <w:tcW w:w="993" w:type="dxa"/>
          </w:tcPr>
          <w:p w14:paraId="4098A3E5" w14:textId="77777777" w:rsidR="00610897" w:rsidRPr="00610897" w:rsidRDefault="00610897" w:rsidP="00610897">
            <w:pPr>
              <w:rPr>
                <w:rFonts w:ascii="Garamond" w:eastAsia="Calibri" w:hAnsi="Garamond"/>
                <w:color w:val="000000"/>
                <w:sz w:val="16"/>
                <w:szCs w:val="16"/>
              </w:rPr>
            </w:pPr>
            <w:proofErr w:type="spellStart"/>
            <w:r w:rsidRPr="00610897">
              <w:rPr>
                <w:rFonts w:ascii="Garamond" w:eastAsia="Calibri" w:hAnsi="Garamond"/>
                <w:color w:val="000000"/>
                <w:sz w:val="16"/>
                <w:szCs w:val="16"/>
              </w:rPr>
              <w:t>Linsley</w:t>
            </w:r>
            <w:proofErr w:type="spellEnd"/>
            <w:r w:rsidRPr="00610897">
              <w:rPr>
                <w:rFonts w:ascii="Garamond" w:eastAsia="Calibri" w:hAnsi="Garamond"/>
                <w:color w:val="000000"/>
                <w:sz w:val="16"/>
                <w:szCs w:val="16"/>
              </w:rPr>
              <w:t xml:space="preserve"> and Lawrence (2007)</w:t>
            </w:r>
          </w:p>
        </w:tc>
        <w:tc>
          <w:tcPr>
            <w:tcW w:w="709" w:type="dxa"/>
          </w:tcPr>
          <w:p w14:paraId="3AD451C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AAAJ</w:t>
            </w:r>
          </w:p>
          <w:p w14:paraId="7E51DAA3" w14:textId="77777777" w:rsidR="00610897" w:rsidRPr="00610897" w:rsidRDefault="00610897" w:rsidP="00610897">
            <w:pPr>
              <w:rPr>
                <w:rFonts w:ascii="Garamond" w:eastAsia="Calibri" w:hAnsi="Garamond"/>
                <w:color w:val="000000"/>
                <w:sz w:val="16"/>
                <w:szCs w:val="16"/>
              </w:rPr>
            </w:pPr>
          </w:p>
          <w:p w14:paraId="253DAAE2" w14:textId="77777777" w:rsidR="00610897" w:rsidRPr="00610897" w:rsidRDefault="00610897" w:rsidP="00610897">
            <w:pPr>
              <w:rPr>
                <w:rFonts w:ascii="Garamond" w:eastAsia="Calibri" w:hAnsi="Garamond"/>
                <w:color w:val="000000"/>
                <w:sz w:val="16"/>
                <w:szCs w:val="16"/>
              </w:rPr>
            </w:pPr>
          </w:p>
        </w:tc>
        <w:tc>
          <w:tcPr>
            <w:tcW w:w="992" w:type="dxa"/>
          </w:tcPr>
          <w:p w14:paraId="49D169C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UK</w:t>
            </w:r>
          </w:p>
        </w:tc>
        <w:tc>
          <w:tcPr>
            <w:tcW w:w="1177" w:type="dxa"/>
          </w:tcPr>
          <w:p w14:paraId="01D30029"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25 FTSE 100 non-financial in 2001</w:t>
            </w:r>
          </w:p>
        </w:tc>
        <w:tc>
          <w:tcPr>
            <w:tcW w:w="1370" w:type="dxa"/>
          </w:tcPr>
          <w:p w14:paraId="16B9DFB7"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Manual content analysis </w:t>
            </w:r>
          </w:p>
          <w:p w14:paraId="73C83982"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(number of sentences)</w:t>
            </w:r>
          </w:p>
        </w:tc>
        <w:tc>
          <w:tcPr>
            <w:tcW w:w="5984" w:type="dxa"/>
          </w:tcPr>
          <w:p w14:paraId="635332C0"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The paper finds the readability of the risk disclosures to be poor or very poor. However, no evidence is found to suggest that directors are deliberately obfuscating or concealing bad risk news through their writing style.</w:t>
            </w:r>
          </w:p>
          <w:p w14:paraId="09CED9A1" w14:textId="77777777" w:rsidR="00610897" w:rsidRPr="00610897" w:rsidRDefault="00610897" w:rsidP="00610897">
            <w:pPr>
              <w:jc w:val="both"/>
              <w:rPr>
                <w:rFonts w:ascii="Garamond" w:eastAsia="Calibri" w:hAnsi="Garamond"/>
                <w:color w:val="000000"/>
                <w:sz w:val="16"/>
                <w:szCs w:val="16"/>
              </w:rPr>
            </w:pPr>
          </w:p>
        </w:tc>
        <w:tc>
          <w:tcPr>
            <w:tcW w:w="1276" w:type="dxa"/>
          </w:tcPr>
          <w:p w14:paraId="5F7F9BD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Not specified</w:t>
            </w:r>
          </w:p>
        </w:tc>
        <w:tc>
          <w:tcPr>
            <w:tcW w:w="3118" w:type="dxa"/>
            <w:shd w:val="clear" w:color="auto" w:fill="auto"/>
          </w:tcPr>
          <w:p w14:paraId="3D8AD409"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(1) The principal formula for readability only considers writing style, ignoring content, organization, and format, all of which can also affect reader understanding. </w:t>
            </w:r>
          </w:p>
          <w:p w14:paraId="11F52EF2" w14:textId="77777777" w:rsidR="00610897" w:rsidRPr="00610897" w:rsidRDefault="00610897" w:rsidP="00610897">
            <w:pPr>
              <w:rPr>
                <w:rFonts w:ascii="Garamond" w:eastAsia="Calibri" w:hAnsi="Garamond"/>
                <w:color w:val="000000"/>
                <w:sz w:val="16"/>
                <w:szCs w:val="16"/>
              </w:rPr>
            </w:pPr>
          </w:p>
        </w:tc>
      </w:tr>
      <w:tr w:rsidR="00610897" w:rsidRPr="00610897" w14:paraId="5F20A6E6" w14:textId="77777777" w:rsidTr="002441E4">
        <w:trPr>
          <w:trHeight w:val="750"/>
        </w:trPr>
        <w:tc>
          <w:tcPr>
            <w:tcW w:w="993" w:type="dxa"/>
          </w:tcPr>
          <w:p w14:paraId="2EF567C7" w14:textId="77777777" w:rsidR="00610897" w:rsidRPr="00610897" w:rsidRDefault="00610897" w:rsidP="00610897">
            <w:pPr>
              <w:rPr>
                <w:rFonts w:ascii="Garamond" w:eastAsia="Calibri" w:hAnsi="Garamond"/>
                <w:color w:val="000000"/>
                <w:sz w:val="16"/>
                <w:szCs w:val="16"/>
              </w:rPr>
            </w:pPr>
            <w:proofErr w:type="spellStart"/>
            <w:r w:rsidRPr="00610897">
              <w:rPr>
                <w:rFonts w:ascii="Garamond" w:eastAsia="Calibri" w:hAnsi="Garamond"/>
                <w:color w:val="000000"/>
                <w:sz w:val="16"/>
                <w:szCs w:val="16"/>
              </w:rPr>
              <w:t>Akhigbe</w:t>
            </w:r>
            <w:proofErr w:type="spellEnd"/>
            <w:r w:rsidRPr="00610897">
              <w:rPr>
                <w:rFonts w:ascii="Garamond" w:eastAsia="Calibri" w:hAnsi="Garamond"/>
                <w:color w:val="000000"/>
                <w:sz w:val="16"/>
                <w:szCs w:val="16"/>
              </w:rPr>
              <w:t xml:space="preserve"> and Martin (2008)</w:t>
            </w:r>
          </w:p>
        </w:tc>
        <w:tc>
          <w:tcPr>
            <w:tcW w:w="709" w:type="dxa"/>
          </w:tcPr>
          <w:p w14:paraId="179B090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JBF</w:t>
            </w:r>
          </w:p>
        </w:tc>
        <w:tc>
          <w:tcPr>
            <w:tcW w:w="992" w:type="dxa"/>
          </w:tcPr>
          <w:p w14:paraId="31B6DD5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USA</w:t>
            </w:r>
          </w:p>
        </w:tc>
        <w:tc>
          <w:tcPr>
            <w:tcW w:w="1177" w:type="dxa"/>
          </w:tcPr>
          <w:p w14:paraId="4F560D20"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Sample of 392 banks as at the end of 2001</w:t>
            </w:r>
          </w:p>
        </w:tc>
        <w:tc>
          <w:tcPr>
            <w:tcW w:w="1370" w:type="dxa"/>
          </w:tcPr>
          <w:p w14:paraId="33425925"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Manual content analysis (number of pages)</w:t>
            </w:r>
          </w:p>
          <w:p w14:paraId="1362B616" w14:textId="77777777" w:rsidR="00610897" w:rsidRPr="00610897" w:rsidRDefault="00610897" w:rsidP="00610897">
            <w:pPr>
              <w:rPr>
                <w:rFonts w:ascii="Garamond" w:eastAsia="Calibri" w:hAnsi="Garamond"/>
                <w:color w:val="000000"/>
                <w:sz w:val="16"/>
                <w:szCs w:val="16"/>
              </w:rPr>
            </w:pPr>
          </w:p>
        </w:tc>
        <w:tc>
          <w:tcPr>
            <w:tcW w:w="5984" w:type="dxa"/>
          </w:tcPr>
          <w:p w14:paraId="4CF03512"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The paper studies changes in risk measures after the passage of Sarbanes Oxley. These are divided into shorter-term and longer-term measures of risk. They find that the former shift positively on average, whereas the latter shift negatively on average. They suggest that the positive shift in shorter-term measures of risk is consistent with the </w:t>
            </w:r>
            <w:proofErr w:type="spellStart"/>
            <w:r w:rsidRPr="00610897">
              <w:rPr>
                <w:rFonts w:ascii="Garamond" w:eastAsia="Calibri" w:hAnsi="Garamond"/>
                <w:color w:val="000000"/>
                <w:sz w:val="16"/>
                <w:szCs w:val="16"/>
              </w:rPr>
              <w:t>mandation</w:t>
            </w:r>
            <w:proofErr w:type="spellEnd"/>
            <w:r w:rsidRPr="00610897">
              <w:rPr>
                <w:rFonts w:ascii="Garamond" w:eastAsia="Calibri" w:hAnsi="Garamond"/>
                <w:color w:val="000000"/>
                <w:sz w:val="16"/>
                <w:szCs w:val="16"/>
              </w:rPr>
              <w:t xml:space="preserve"> of risk disclosure and corporate governance. They suggest that the negative shift in longer-term measures of risk is consistent with an improvement in transparency and a corresponding reduction in investor uncertainty.  </w:t>
            </w:r>
          </w:p>
          <w:p w14:paraId="3630CD8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lang w:val="en-US"/>
              </w:rPr>
              <w:t xml:space="preserve"> </w:t>
            </w:r>
            <w:r w:rsidRPr="00610897">
              <w:rPr>
                <w:rFonts w:ascii="Garamond" w:eastAsia="Calibri" w:hAnsi="Garamond"/>
                <w:color w:val="000000"/>
                <w:sz w:val="16"/>
                <w:szCs w:val="16"/>
              </w:rPr>
              <w:t xml:space="preserve"> </w:t>
            </w:r>
            <w:r w:rsidRPr="00610897">
              <w:rPr>
                <w:rFonts w:ascii="Garamond" w:eastAsia="Calibri" w:hAnsi="Garamond"/>
                <w:color w:val="000000"/>
                <w:sz w:val="16"/>
                <w:szCs w:val="16"/>
              </w:rPr>
              <w:tab/>
            </w:r>
          </w:p>
        </w:tc>
        <w:tc>
          <w:tcPr>
            <w:tcW w:w="1276" w:type="dxa"/>
          </w:tcPr>
          <w:p w14:paraId="094993A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Agency theory</w:t>
            </w:r>
          </w:p>
        </w:tc>
        <w:tc>
          <w:tcPr>
            <w:tcW w:w="3118" w:type="dxa"/>
            <w:shd w:val="clear" w:color="auto" w:fill="auto"/>
          </w:tcPr>
          <w:p w14:paraId="66B23ED0"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(1) Explore the validity, costs and benefits of the assumptions made about higher (lower) levels of disclosure transparency vis-à-vis increases (reductions) in investor uncertainty.</w:t>
            </w:r>
          </w:p>
        </w:tc>
      </w:tr>
      <w:tr w:rsidR="00610897" w:rsidRPr="00610897" w14:paraId="77F9259F" w14:textId="77777777" w:rsidTr="002441E4">
        <w:trPr>
          <w:trHeight w:val="822"/>
        </w:trPr>
        <w:tc>
          <w:tcPr>
            <w:tcW w:w="993" w:type="dxa"/>
          </w:tcPr>
          <w:p w14:paraId="02AFB0A2" w14:textId="77777777" w:rsidR="00610897" w:rsidRPr="00610897" w:rsidRDefault="00610897" w:rsidP="00610897">
            <w:pPr>
              <w:rPr>
                <w:rFonts w:ascii="Garamond" w:eastAsia="Calibri" w:hAnsi="Garamond"/>
                <w:color w:val="000000"/>
                <w:sz w:val="16"/>
                <w:szCs w:val="16"/>
              </w:rPr>
            </w:pPr>
            <w:proofErr w:type="spellStart"/>
            <w:r w:rsidRPr="00610897">
              <w:rPr>
                <w:rFonts w:ascii="Garamond" w:eastAsia="Calibri" w:hAnsi="Garamond"/>
                <w:color w:val="000000"/>
                <w:sz w:val="16"/>
                <w:szCs w:val="16"/>
              </w:rPr>
              <w:t>Pérignon</w:t>
            </w:r>
            <w:proofErr w:type="spellEnd"/>
            <w:r w:rsidRPr="00610897">
              <w:rPr>
                <w:rFonts w:ascii="Garamond" w:eastAsia="Calibri" w:hAnsi="Garamond"/>
                <w:color w:val="000000"/>
                <w:sz w:val="16"/>
                <w:szCs w:val="16"/>
              </w:rPr>
              <w:t xml:space="preserve"> and Smith (2010)</w:t>
            </w:r>
          </w:p>
        </w:tc>
        <w:tc>
          <w:tcPr>
            <w:tcW w:w="709" w:type="dxa"/>
          </w:tcPr>
          <w:p w14:paraId="2917D99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JBF</w:t>
            </w:r>
          </w:p>
        </w:tc>
        <w:tc>
          <w:tcPr>
            <w:tcW w:w="992" w:type="dxa"/>
          </w:tcPr>
          <w:p w14:paraId="1304670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USA</w:t>
            </w:r>
          </w:p>
        </w:tc>
        <w:tc>
          <w:tcPr>
            <w:tcW w:w="1177" w:type="dxa"/>
          </w:tcPr>
          <w:p w14:paraId="2AF16637"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The largest 10 US banks from 1996 to 2005.</w:t>
            </w:r>
          </w:p>
        </w:tc>
        <w:tc>
          <w:tcPr>
            <w:tcW w:w="1370" w:type="dxa"/>
          </w:tcPr>
          <w:p w14:paraId="09EB0A53"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A self-constructed disclosure index to measure the </w:t>
            </w:r>
            <w:proofErr w:type="spellStart"/>
            <w:r w:rsidRPr="00610897">
              <w:rPr>
                <w:rFonts w:ascii="Garamond" w:eastAsia="Calibri" w:hAnsi="Garamond"/>
                <w:color w:val="000000"/>
                <w:sz w:val="16"/>
                <w:szCs w:val="16"/>
              </w:rPr>
              <w:t>VaR</w:t>
            </w:r>
            <w:proofErr w:type="spellEnd"/>
            <w:r w:rsidRPr="00610897">
              <w:rPr>
                <w:rFonts w:ascii="Garamond" w:eastAsia="Calibri" w:hAnsi="Garamond"/>
                <w:color w:val="000000"/>
                <w:sz w:val="16"/>
                <w:szCs w:val="16"/>
              </w:rPr>
              <w:t xml:space="preserve"> disclosure</w:t>
            </w:r>
          </w:p>
        </w:tc>
        <w:tc>
          <w:tcPr>
            <w:tcW w:w="5984" w:type="dxa"/>
          </w:tcPr>
          <w:p w14:paraId="18F7CA6D"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The paper studies levels of </w:t>
            </w:r>
            <w:proofErr w:type="spellStart"/>
            <w:r w:rsidRPr="00610897">
              <w:rPr>
                <w:rFonts w:ascii="Garamond" w:eastAsia="Calibri" w:hAnsi="Garamond"/>
                <w:color w:val="000000"/>
                <w:sz w:val="16"/>
                <w:szCs w:val="16"/>
              </w:rPr>
              <w:t>VaR</w:t>
            </w:r>
            <w:proofErr w:type="spellEnd"/>
            <w:r w:rsidRPr="00610897">
              <w:rPr>
                <w:rFonts w:ascii="Garamond" w:eastAsia="Calibri" w:hAnsi="Garamond"/>
                <w:color w:val="000000"/>
                <w:sz w:val="16"/>
                <w:szCs w:val="16"/>
              </w:rPr>
              <w:t xml:space="preserve"> disclosure (measured by an index) and the accuracy of such disclosure (measured by number of </w:t>
            </w:r>
            <w:proofErr w:type="spellStart"/>
            <w:r w:rsidRPr="00610897">
              <w:rPr>
                <w:rFonts w:ascii="Garamond" w:eastAsia="Calibri" w:hAnsi="Garamond"/>
                <w:color w:val="000000"/>
                <w:sz w:val="16"/>
                <w:szCs w:val="16"/>
              </w:rPr>
              <w:t>VaR</w:t>
            </w:r>
            <w:proofErr w:type="spellEnd"/>
            <w:r w:rsidRPr="00610897">
              <w:rPr>
                <w:rFonts w:ascii="Garamond" w:eastAsia="Calibri" w:hAnsi="Garamond"/>
                <w:color w:val="000000"/>
                <w:sz w:val="16"/>
                <w:szCs w:val="16"/>
              </w:rPr>
              <w:t xml:space="preserve"> exceedances and whether </w:t>
            </w:r>
            <w:proofErr w:type="spellStart"/>
            <w:r w:rsidRPr="00610897">
              <w:rPr>
                <w:rFonts w:ascii="Garamond" w:eastAsia="Calibri" w:hAnsi="Garamond"/>
                <w:color w:val="000000"/>
                <w:sz w:val="16"/>
                <w:szCs w:val="16"/>
              </w:rPr>
              <w:t>VaR</w:t>
            </w:r>
            <w:proofErr w:type="spellEnd"/>
            <w:r w:rsidRPr="00610897">
              <w:rPr>
                <w:rFonts w:ascii="Garamond" w:eastAsia="Calibri" w:hAnsi="Garamond"/>
                <w:color w:val="000000"/>
                <w:sz w:val="16"/>
                <w:szCs w:val="16"/>
              </w:rPr>
              <w:t xml:space="preserve"> disclosure is associated with volatility of subsequent trading revenues). They find an upward trend in the quantity of </w:t>
            </w:r>
            <w:proofErr w:type="spellStart"/>
            <w:r w:rsidRPr="00610897">
              <w:rPr>
                <w:rFonts w:ascii="Garamond" w:eastAsia="Calibri" w:hAnsi="Garamond"/>
                <w:color w:val="000000"/>
                <w:sz w:val="16"/>
                <w:szCs w:val="16"/>
              </w:rPr>
              <w:t>VaR</w:t>
            </w:r>
            <w:proofErr w:type="spellEnd"/>
            <w:r w:rsidRPr="00610897">
              <w:rPr>
                <w:rFonts w:ascii="Garamond" w:eastAsia="Calibri" w:hAnsi="Garamond"/>
                <w:color w:val="000000"/>
                <w:sz w:val="16"/>
                <w:szCs w:val="16"/>
              </w:rPr>
              <w:t xml:space="preserve"> disclosure and that historical simulation is by far the most common method in calculating </w:t>
            </w:r>
            <w:proofErr w:type="spellStart"/>
            <w:r w:rsidRPr="00610897">
              <w:rPr>
                <w:rFonts w:ascii="Garamond" w:eastAsia="Calibri" w:hAnsi="Garamond"/>
                <w:color w:val="000000"/>
                <w:sz w:val="16"/>
                <w:szCs w:val="16"/>
              </w:rPr>
              <w:t>VaR.</w:t>
            </w:r>
            <w:proofErr w:type="spellEnd"/>
            <w:r w:rsidRPr="00610897">
              <w:rPr>
                <w:rFonts w:ascii="Garamond" w:eastAsia="Calibri" w:hAnsi="Garamond"/>
                <w:color w:val="000000"/>
                <w:sz w:val="16"/>
                <w:szCs w:val="16"/>
              </w:rPr>
              <w:t xml:space="preserve"> They also find that </w:t>
            </w:r>
            <w:proofErr w:type="spellStart"/>
            <w:r w:rsidRPr="00610897">
              <w:rPr>
                <w:rFonts w:ascii="Garamond" w:eastAsia="Calibri" w:hAnsi="Garamond"/>
                <w:color w:val="000000"/>
                <w:sz w:val="16"/>
                <w:szCs w:val="16"/>
              </w:rPr>
              <w:t>VaR</w:t>
            </w:r>
            <w:proofErr w:type="spellEnd"/>
            <w:r w:rsidRPr="00610897">
              <w:rPr>
                <w:rFonts w:ascii="Garamond" w:eastAsia="Calibri" w:hAnsi="Garamond"/>
                <w:color w:val="000000"/>
                <w:sz w:val="16"/>
                <w:szCs w:val="16"/>
              </w:rPr>
              <w:t xml:space="preserve"> disclosure is less informative as it does not impact future volatility. </w:t>
            </w:r>
          </w:p>
          <w:p w14:paraId="751D7AE1" w14:textId="77777777" w:rsidR="00610897" w:rsidRPr="00610897" w:rsidRDefault="00610897" w:rsidP="00610897">
            <w:pPr>
              <w:jc w:val="both"/>
              <w:rPr>
                <w:rFonts w:ascii="Garamond" w:eastAsia="Calibri" w:hAnsi="Garamond"/>
                <w:color w:val="000000"/>
                <w:sz w:val="16"/>
                <w:szCs w:val="16"/>
              </w:rPr>
            </w:pPr>
          </w:p>
        </w:tc>
        <w:tc>
          <w:tcPr>
            <w:tcW w:w="1276" w:type="dxa"/>
          </w:tcPr>
          <w:p w14:paraId="07000E4A"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Not specified</w:t>
            </w:r>
          </w:p>
        </w:tc>
        <w:tc>
          <w:tcPr>
            <w:tcW w:w="3118" w:type="dxa"/>
          </w:tcPr>
          <w:p w14:paraId="2830ECCC"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(1) Limited sample size which might question the generalization of the paper findings </w:t>
            </w:r>
          </w:p>
        </w:tc>
      </w:tr>
      <w:tr w:rsidR="00610897" w:rsidRPr="00610897" w14:paraId="4142BE75" w14:textId="77777777" w:rsidTr="002441E4">
        <w:trPr>
          <w:trHeight w:val="851"/>
        </w:trPr>
        <w:tc>
          <w:tcPr>
            <w:tcW w:w="993" w:type="dxa"/>
          </w:tcPr>
          <w:p w14:paraId="2C254AF6" w14:textId="77777777" w:rsidR="00610897" w:rsidRPr="00610897" w:rsidRDefault="00610897" w:rsidP="00610897">
            <w:pPr>
              <w:rPr>
                <w:rFonts w:ascii="Garamond" w:eastAsia="Calibri" w:hAnsi="Garamond"/>
                <w:color w:val="000000"/>
                <w:sz w:val="16"/>
                <w:szCs w:val="16"/>
              </w:rPr>
            </w:pPr>
            <w:proofErr w:type="spellStart"/>
            <w:r w:rsidRPr="00610897">
              <w:rPr>
                <w:rFonts w:ascii="Garamond" w:eastAsia="Calibri" w:hAnsi="Garamond"/>
                <w:color w:val="000000"/>
                <w:sz w:val="16"/>
                <w:szCs w:val="16"/>
              </w:rPr>
              <w:lastRenderedPageBreak/>
              <w:t>Kravet</w:t>
            </w:r>
            <w:proofErr w:type="spellEnd"/>
            <w:r w:rsidRPr="00610897">
              <w:rPr>
                <w:rFonts w:ascii="Garamond" w:eastAsia="Calibri" w:hAnsi="Garamond"/>
                <w:color w:val="000000"/>
                <w:sz w:val="16"/>
                <w:szCs w:val="16"/>
              </w:rPr>
              <w:t xml:space="preserve"> and </w:t>
            </w:r>
            <w:proofErr w:type="spellStart"/>
            <w:r w:rsidRPr="00610897">
              <w:rPr>
                <w:rFonts w:ascii="Garamond" w:eastAsia="Calibri" w:hAnsi="Garamond"/>
                <w:color w:val="000000"/>
                <w:sz w:val="16"/>
                <w:szCs w:val="16"/>
              </w:rPr>
              <w:t>Muslu</w:t>
            </w:r>
            <w:proofErr w:type="spellEnd"/>
            <w:r w:rsidRPr="00610897">
              <w:rPr>
                <w:rFonts w:ascii="Garamond" w:eastAsia="Calibri" w:hAnsi="Garamond"/>
                <w:color w:val="000000"/>
                <w:sz w:val="16"/>
                <w:szCs w:val="16"/>
              </w:rPr>
              <w:t xml:space="preserve"> (2013)</w:t>
            </w:r>
          </w:p>
        </w:tc>
        <w:tc>
          <w:tcPr>
            <w:tcW w:w="709" w:type="dxa"/>
          </w:tcPr>
          <w:p w14:paraId="2DB97F22"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RAST</w:t>
            </w:r>
          </w:p>
        </w:tc>
        <w:tc>
          <w:tcPr>
            <w:tcW w:w="992" w:type="dxa"/>
          </w:tcPr>
          <w:p w14:paraId="404F04E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USA</w:t>
            </w:r>
          </w:p>
        </w:tc>
        <w:tc>
          <w:tcPr>
            <w:tcW w:w="1177" w:type="dxa"/>
          </w:tcPr>
          <w:p w14:paraId="327D068A"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28,110 firm-year</w:t>
            </w:r>
          </w:p>
          <w:p w14:paraId="01709B14"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observations from 1994 to 2007</w:t>
            </w:r>
          </w:p>
        </w:tc>
        <w:tc>
          <w:tcPr>
            <w:tcW w:w="1370" w:type="dxa"/>
          </w:tcPr>
          <w:p w14:paraId="57F9F18E"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Automated textual analysis (number of sentences) </w:t>
            </w:r>
          </w:p>
        </w:tc>
        <w:tc>
          <w:tcPr>
            <w:tcW w:w="5984" w:type="dxa"/>
          </w:tcPr>
          <w:p w14:paraId="2AB4C3A2"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The paper finds that annual increases in risk disclosure were associated with increased stock return volatility and trading volumes around and after the filings, and with more dispersed forecast revisions around the filings. It also finds the results are less pronounced for firm-level disclosures that deviate from those of other companies in the same industry and year. </w:t>
            </w:r>
          </w:p>
        </w:tc>
        <w:tc>
          <w:tcPr>
            <w:tcW w:w="1276" w:type="dxa"/>
          </w:tcPr>
          <w:p w14:paraId="73C1E422"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Not specified</w:t>
            </w:r>
          </w:p>
        </w:tc>
        <w:tc>
          <w:tcPr>
            <w:tcW w:w="3118" w:type="dxa"/>
          </w:tcPr>
          <w:p w14:paraId="7059D4B9"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 (1) Further research is needed to explore the usefulness of risk information in the debt market.</w:t>
            </w:r>
          </w:p>
        </w:tc>
      </w:tr>
      <w:tr w:rsidR="00610897" w:rsidRPr="00610897" w14:paraId="63027067" w14:textId="77777777" w:rsidTr="002441E4">
        <w:trPr>
          <w:trHeight w:val="528"/>
        </w:trPr>
        <w:tc>
          <w:tcPr>
            <w:tcW w:w="993" w:type="dxa"/>
          </w:tcPr>
          <w:p w14:paraId="3891751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Abraham and Shrives </w:t>
            </w:r>
          </w:p>
          <w:p w14:paraId="3F4573A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(2014)</w:t>
            </w:r>
          </w:p>
        </w:tc>
        <w:tc>
          <w:tcPr>
            <w:tcW w:w="709" w:type="dxa"/>
          </w:tcPr>
          <w:p w14:paraId="6672C36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BAR</w:t>
            </w:r>
          </w:p>
        </w:tc>
        <w:tc>
          <w:tcPr>
            <w:tcW w:w="992" w:type="dxa"/>
          </w:tcPr>
          <w:p w14:paraId="5BBE47C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UK</w:t>
            </w:r>
          </w:p>
        </w:tc>
        <w:tc>
          <w:tcPr>
            <w:tcW w:w="1177" w:type="dxa"/>
          </w:tcPr>
          <w:p w14:paraId="2DD4EB46"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Four food producer firms from the FTSE 100 from 2002 to 2007</w:t>
            </w:r>
          </w:p>
        </w:tc>
        <w:tc>
          <w:tcPr>
            <w:tcW w:w="1370" w:type="dxa"/>
          </w:tcPr>
          <w:p w14:paraId="5C529C91"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Manual content analysis</w:t>
            </w:r>
          </w:p>
          <w:p w14:paraId="684D5318"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(number of sentences)</w:t>
            </w:r>
          </w:p>
          <w:p w14:paraId="7979B98D" w14:textId="77777777" w:rsidR="00610897" w:rsidRPr="00610897" w:rsidRDefault="00610897" w:rsidP="00610897">
            <w:pPr>
              <w:rPr>
                <w:rFonts w:ascii="Garamond" w:eastAsia="Calibri" w:hAnsi="Garamond"/>
                <w:color w:val="000000"/>
                <w:sz w:val="16"/>
                <w:szCs w:val="16"/>
              </w:rPr>
            </w:pPr>
          </w:p>
        </w:tc>
        <w:tc>
          <w:tcPr>
            <w:tcW w:w="5984" w:type="dxa"/>
          </w:tcPr>
          <w:p w14:paraId="4DD03D6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Results suggest that company managers prefer providing symbolic than substantive disclosure. In suggesting a way forward, the authors emphasize the role that stakeholders, including managers, users, regulators, and auditors, could play in improving the quality of risk reporting. </w:t>
            </w:r>
          </w:p>
        </w:tc>
        <w:tc>
          <w:tcPr>
            <w:tcW w:w="1276" w:type="dxa"/>
          </w:tcPr>
          <w:p w14:paraId="48D0508A"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Institutional and proprietary costs theories</w:t>
            </w:r>
          </w:p>
        </w:tc>
        <w:tc>
          <w:tcPr>
            <w:tcW w:w="3118" w:type="dxa"/>
          </w:tcPr>
          <w:p w14:paraId="7AAE99D7"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(1) Applying the suggested framework to more companies. </w:t>
            </w:r>
          </w:p>
          <w:p w14:paraId="1750D9E6"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(2) More field work needed, utilizing case studies.</w:t>
            </w:r>
          </w:p>
          <w:p w14:paraId="13C40BB9" w14:textId="77777777" w:rsidR="00610897" w:rsidRPr="00610897" w:rsidRDefault="00610897" w:rsidP="00610897">
            <w:pPr>
              <w:rPr>
                <w:rFonts w:ascii="Garamond" w:eastAsia="Calibri" w:hAnsi="Garamond"/>
                <w:color w:val="000000"/>
                <w:sz w:val="16"/>
                <w:szCs w:val="16"/>
              </w:rPr>
            </w:pPr>
          </w:p>
        </w:tc>
      </w:tr>
      <w:tr w:rsidR="00610897" w:rsidRPr="00610897" w14:paraId="656AFB37" w14:textId="77777777" w:rsidTr="002441E4">
        <w:trPr>
          <w:trHeight w:val="748"/>
        </w:trPr>
        <w:tc>
          <w:tcPr>
            <w:tcW w:w="993" w:type="dxa"/>
          </w:tcPr>
          <w:p w14:paraId="6F9F0219" w14:textId="77777777" w:rsidR="00610897" w:rsidRPr="00610897" w:rsidRDefault="00610897" w:rsidP="00610897">
            <w:pPr>
              <w:rPr>
                <w:rFonts w:ascii="Garamond" w:eastAsia="Calibri" w:hAnsi="Garamond"/>
                <w:color w:val="000000"/>
                <w:sz w:val="16"/>
                <w:szCs w:val="16"/>
              </w:rPr>
            </w:pPr>
            <w:proofErr w:type="spellStart"/>
            <w:r w:rsidRPr="00610897">
              <w:rPr>
                <w:rFonts w:ascii="Garamond" w:eastAsia="Calibri" w:hAnsi="Garamond"/>
                <w:color w:val="000000"/>
                <w:sz w:val="16"/>
                <w:szCs w:val="16"/>
              </w:rPr>
              <w:t>Bao</w:t>
            </w:r>
            <w:proofErr w:type="spellEnd"/>
            <w:r w:rsidRPr="00610897">
              <w:rPr>
                <w:rFonts w:ascii="Garamond" w:eastAsia="Calibri" w:hAnsi="Garamond"/>
                <w:color w:val="000000"/>
                <w:sz w:val="16"/>
                <w:szCs w:val="16"/>
              </w:rPr>
              <w:t xml:space="preserve"> and </w:t>
            </w:r>
            <w:proofErr w:type="spellStart"/>
            <w:r w:rsidRPr="00610897">
              <w:rPr>
                <w:rFonts w:ascii="Garamond" w:eastAsia="Calibri" w:hAnsi="Garamond"/>
                <w:color w:val="000000"/>
                <w:sz w:val="16"/>
                <w:szCs w:val="16"/>
              </w:rPr>
              <w:t>Datta</w:t>
            </w:r>
            <w:proofErr w:type="spellEnd"/>
            <w:r w:rsidRPr="00610897">
              <w:rPr>
                <w:rFonts w:ascii="Garamond" w:eastAsia="Calibri" w:hAnsi="Garamond"/>
                <w:color w:val="000000"/>
                <w:sz w:val="16"/>
                <w:szCs w:val="16"/>
              </w:rPr>
              <w:t xml:space="preserve"> (2014)</w:t>
            </w:r>
          </w:p>
        </w:tc>
        <w:tc>
          <w:tcPr>
            <w:tcW w:w="709" w:type="dxa"/>
          </w:tcPr>
          <w:p w14:paraId="42205B6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MS</w:t>
            </w:r>
          </w:p>
        </w:tc>
        <w:tc>
          <w:tcPr>
            <w:tcW w:w="992" w:type="dxa"/>
          </w:tcPr>
          <w:p w14:paraId="6E5ECAC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USA</w:t>
            </w:r>
          </w:p>
        </w:tc>
        <w:tc>
          <w:tcPr>
            <w:tcW w:w="1177" w:type="dxa"/>
          </w:tcPr>
          <w:p w14:paraId="4596A1D1"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7679 firm-year observations</w:t>
            </w:r>
          </w:p>
          <w:p w14:paraId="3ECAA11F"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2006-2010</w:t>
            </w:r>
          </w:p>
          <w:p w14:paraId="7E940610" w14:textId="77777777" w:rsidR="00610897" w:rsidRPr="00610897" w:rsidRDefault="00610897" w:rsidP="00610897">
            <w:pPr>
              <w:rPr>
                <w:rFonts w:ascii="Garamond" w:eastAsia="Calibri" w:hAnsi="Garamond"/>
                <w:color w:val="000000"/>
                <w:sz w:val="16"/>
                <w:szCs w:val="16"/>
              </w:rPr>
            </w:pPr>
          </w:p>
        </w:tc>
        <w:tc>
          <w:tcPr>
            <w:tcW w:w="1370" w:type="dxa"/>
          </w:tcPr>
          <w:p w14:paraId="0FB991EC"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Automated textual analysis </w:t>
            </w:r>
          </w:p>
          <w:p w14:paraId="5D1FB2D2"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(number of words)</w:t>
            </w:r>
          </w:p>
        </w:tc>
        <w:tc>
          <w:tcPr>
            <w:tcW w:w="5984" w:type="dxa"/>
          </w:tcPr>
          <w:p w14:paraId="241C02F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The authors find that around two-thirds of the types of risk disclosure lack </w:t>
            </w:r>
            <w:proofErr w:type="spellStart"/>
            <w:r w:rsidRPr="00610897">
              <w:rPr>
                <w:rFonts w:ascii="Garamond" w:eastAsia="Calibri" w:hAnsi="Garamond"/>
                <w:color w:val="000000"/>
                <w:sz w:val="16"/>
                <w:szCs w:val="16"/>
              </w:rPr>
              <w:t>informativeness</w:t>
            </w:r>
            <w:proofErr w:type="spellEnd"/>
            <w:r w:rsidRPr="00610897">
              <w:rPr>
                <w:rFonts w:ascii="Garamond" w:eastAsia="Calibri" w:hAnsi="Garamond"/>
                <w:color w:val="000000"/>
                <w:sz w:val="16"/>
                <w:szCs w:val="16"/>
              </w:rPr>
              <w:t xml:space="preserve"> and have no significant influence on investors’ perception of risk. Moreover, they find that the informative risk types do not necessarily increase investors’ perception of risk.</w:t>
            </w:r>
          </w:p>
        </w:tc>
        <w:tc>
          <w:tcPr>
            <w:tcW w:w="1276" w:type="dxa"/>
          </w:tcPr>
          <w:p w14:paraId="61A9E3E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Not specified</w:t>
            </w:r>
          </w:p>
        </w:tc>
        <w:tc>
          <w:tcPr>
            <w:tcW w:w="3118" w:type="dxa"/>
            <w:shd w:val="clear" w:color="auto" w:fill="auto"/>
          </w:tcPr>
          <w:p w14:paraId="4D9883D5"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(1) Further research is required to examine how some risks might be correlated to each other and the possibilities of merging them.</w:t>
            </w:r>
          </w:p>
          <w:p w14:paraId="6F0672B2" w14:textId="77777777" w:rsidR="00610897" w:rsidRPr="00610897" w:rsidRDefault="00610897" w:rsidP="00610897">
            <w:pPr>
              <w:rPr>
                <w:rFonts w:ascii="Garamond" w:eastAsia="Calibri" w:hAnsi="Garamond"/>
                <w:color w:val="000000"/>
                <w:sz w:val="16"/>
                <w:szCs w:val="16"/>
              </w:rPr>
            </w:pPr>
          </w:p>
        </w:tc>
      </w:tr>
      <w:tr w:rsidR="00610897" w:rsidRPr="00610897" w14:paraId="2404FDB9" w14:textId="77777777" w:rsidTr="002441E4">
        <w:trPr>
          <w:trHeight w:val="846"/>
        </w:trPr>
        <w:tc>
          <w:tcPr>
            <w:tcW w:w="993" w:type="dxa"/>
          </w:tcPr>
          <w:p w14:paraId="5434640A"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Elbannan</w:t>
            </w:r>
            <w:proofErr w:type="spellEnd"/>
            <w:r w:rsidRPr="00610897">
              <w:rPr>
                <w:rFonts w:ascii="Garamond" w:eastAsia="Calibri" w:hAnsi="Garamond"/>
                <w:color w:val="000000"/>
                <w:sz w:val="16"/>
                <w:szCs w:val="16"/>
              </w:rPr>
              <w:t xml:space="preserve"> and </w:t>
            </w:r>
            <w:proofErr w:type="spellStart"/>
            <w:r w:rsidRPr="00610897">
              <w:rPr>
                <w:rFonts w:ascii="Garamond" w:eastAsia="Calibri" w:hAnsi="Garamond"/>
                <w:color w:val="000000"/>
                <w:sz w:val="16"/>
                <w:szCs w:val="16"/>
              </w:rPr>
              <w:t>Elbannan</w:t>
            </w:r>
            <w:proofErr w:type="spellEnd"/>
            <w:r w:rsidRPr="00610897">
              <w:rPr>
                <w:rFonts w:ascii="Garamond" w:eastAsia="Calibri" w:hAnsi="Garamond"/>
                <w:color w:val="000000"/>
                <w:sz w:val="16"/>
                <w:szCs w:val="16"/>
              </w:rPr>
              <w:t xml:space="preserve"> (2015)</w:t>
            </w:r>
          </w:p>
        </w:tc>
        <w:tc>
          <w:tcPr>
            <w:tcW w:w="709" w:type="dxa"/>
          </w:tcPr>
          <w:p w14:paraId="78EEC58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JAAF</w:t>
            </w:r>
          </w:p>
        </w:tc>
        <w:tc>
          <w:tcPr>
            <w:tcW w:w="992" w:type="dxa"/>
          </w:tcPr>
          <w:p w14:paraId="7B1C831D"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Egypt</w:t>
            </w:r>
          </w:p>
          <w:p w14:paraId="0FDEDCDC" w14:textId="77777777" w:rsidR="00610897" w:rsidRPr="00610897" w:rsidRDefault="00610897" w:rsidP="00610897">
            <w:pPr>
              <w:rPr>
                <w:rFonts w:ascii="Garamond" w:eastAsia="Calibri" w:hAnsi="Garamond"/>
                <w:color w:val="000000"/>
                <w:sz w:val="16"/>
                <w:szCs w:val="16"/>
              </w:rPr>
            </w:pPr>
          </w:p>
          <w:p w14:paraId="73CB97FF" w14:textId="77777777" w:rsidR="00610897" w:rsidRPr="00610897" w:rsidRDefault="00610897" w:rsidP="00610897">
            <w:pPr>
              <w:rPr>
                <w:rFonts w:ascii="Garamond" w:eastAsia="Calibri" w:hAnsi="Garamond"/>
                <w:color w:val="000000"/>
                <w:sz w:val="16"/>
                <w:szCs w:val="16"/>
              </w:rPr>
            </w:pPr>
          </w:p>
          <w:p w14:paraId="6492F4B1" w14:textId="77777777" w:rsidR="00610897" w:rsidRPr="00610897" w:rsidRDefault="00610897" w:rsidP="00610897">
            <w:pPr>
              <w:rPr>
                <w:rFonts w:ascii="Garamond" w:eastAsia="Calibri" w:hAnsi="Garamond"/>
                <w:color w:val="000000"/>
                <w:sz w:val="16"/>
                <w:szCs w:val="16"/>
              </w:rPr>
            </w:pPr>
          </w:p>
          <w:p w14:paraId="74C20915" w14:textId="77777777" w:rsidR="00610897" w:rsidRPr="00610897" w:rsidRDefault="00610897" w:rsidP="00610897">
            <w:pPr>
              <w:rPr>
                <w:rFonts w:ascii="Garamond" w:eastAsia="Calibri" w:hAnsi="Garamond"/>
                <w:color w:val="000000"/>
                <w:sz w:val="16"/>
                <w:szCs w:val="16"/>
              </w:rPr>
            </w:pPr>
          </w:p>
        </w:tc>
        <w:tc>
          <w:tcPr>
            <w:tcW w:w="1177" w:type="dxa"/>
          </w:tcPr>
          <w:p w14:paraId="52E36237"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283 firm-year observations 2002-2011 </w:t>
            </w:r>
          </w:p>
          <w:p w14:paraId="783BADEC"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of financial firms</w:t>
            </w:r>
          </w:p>
        </w:tc>
        <w:tc>
          <w:tcPr>
            <w:tcW w:w="1370" w:type="dxa"/>
          </w:tcPr>
          <w:p w14:paraId="248C1DB0"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Risk disclosure indices (existence of item(s))</w:t>
            </w:r>
          </w:p>
        </w:tc>
        <w:tc>
          <w:tcPr>
            <w:tcW w:w="5984" w:type="dxa"/>
          </w:tcPr>
          <w:p w14:paraId="2E5BB272"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They find that risk disclosure significantly influences Egyptian banks’ performance and evaluation. The observed effects are weaker during than prior to the period of financial crisis. In emerging markets, such as Egypt, the regulatory supervision might not be sufficient to ensure that information provided by banks is incorporated into stock prices. </w:t>
            </w:r>
          </w:p>
          <w:p w14:paraId="0ED97A29" w14:textId="77777777" w:rsidR="00610897" w:rsidRPr="00610897" w:rsidRDefault="00610897" w:rsidP="00610897">
            <w:pPr>
              <w:jc w:val="both"/>
              <w:rPr>
                <w:rFonts w:ascii="Garamond" w:eastAsia="Calibri" w:hAnsi="Garamond"/>
                <w:color w:val="000000"/>
                <w:sz w:val="16"/>
                <w:szCs w:val="16"/>
              </w:rPr>
            </w:pPr>
          </w:p>
        </w:tc>
        <w:tc>
          <w:tcPr>
            <w:tcW w:w="1276" w:type="dxa"/>
          </w:tcPr>
          <w:p w14:paraId="483039F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Not specified</w:t>
            </w:r>
          </w:p>
        </w:tc>
        <w:tc>
          <w:tcPr>
            <w:tcW w:w="3118" w:type="dxa"/>
            <w:shd w:val="clear" w:color="auto" w:fill="auto"/>
          </w:tcPr>
          <w:p w14:paraId="7D2C3548"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(1) Examining the impact of regulations and the level of supervision of Egyptian banks on performance and valuation is still an open question. </w:t>
            </w:r>
          </w:p>
        </w:tc>
      </w:tr>
      <w:tr w:rsidR="00610897" w:rsidRPr="00610897" w14:paraId="3477CCEE" w14:textId="77777777" w:rsidTr="002441E4">
        <w:trPr>
          <w:trHeight w:val="780"/>
        </w:trPr>
        <w:tc>
          <w:tcPr>
            <w:tcW w:w="993" w:type="dxa"/>
            <w:tcBorders>
              <w:bottom w:val="single" w:sz="4" w:space="0" w:color="auto"/>
            </w:tcBorders>
          </w:tcPr>
          <w:p w14:paraId="6E8671B4" w14:textId="77777777" w:rsidR="00610897" w:rsidRPr="00610897" w:rsidRDefault="00610897" w:rsidP="00610897">
            <w:pPr>
              <w:rPr>
                <w:rFonts w:ascii="Garamond" w:eastAsia="Calibri" w:hAnsi="Garamond"/>
                <w:color w:val="000000"/>
                <w:sz w:val="16"/>
                <w:szCs w:val="16"/>
              </w:rPr>
            </w:pPr>
            <w:proofErr w:type="spellStart"/>
            <w:r w:rsidRPr="00610897">
              <w:rPr>
                <w:rFonts w:ascii="Garamond" w:eastAsia="Calibri" w:hAnsi="Garamond"/>
                <w:color w:val="000000"/>
                <w:sz w:val="16"/>
                <w:szCs w:val="16"/>
              </w:rPr>
              <w:t>Filzen</w:t>
            </w:r>
            <w:proofErr w:type="spellEnd"/>
            <w:r w:rsidRPr="00610897">
              <w:rPr>
                <w:rFonts w:ascii="Garamond" w:eastAsia="Calibri" w:hAnsi="Garamond"/>
                <w:color w:val="000000"/>
                <w:sz w:val="16"/>
                <w:szCs w:val="16"/>
              </w:rPr>
              <w:t xml:space="preserve"> (2015) </w:t>
            </w:r>
          </w:p>
        </w:tc>
        <w:tc>
          <w:tcPr>
            <w:tcW w:w="709" w:type="dxa"/>
            <w:tcBorders>
              <w:bottom w:val="single" w:sz="4" w:space="0" w:color="auto"/>
            </w:tcBorders>
          </w:tcPr>
          <w:p w14:paraId="36C4FBE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AH</w:t>
            </w:r>
          </w:p>
        </w:tc>
        <w:tc>
          <w:tcPr>
            <w:tcW w:w="992" w:type="dxa"/>
            <w:tcBorders>
              <w:bottom w:val="single" w:sz="4" w:space="0" w:color="auto"/>
            </w:tcBorders>
          </w:tcPr>
          <w:p w14:paraId="3DFFB962"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USA</w:t>
            </w:r>
          </w:p>
        </w:tc>
        <w:tc>
          <w:tcPr>
            <w:tcW w:w="1177" w:type="dxa"/>
            <w:tcBorders>
              <w:bottom w:val="single" w:sz="4" w:space="0" w:color="auto"/>
            </w:tcBorders>
          </w:tcPr>
          <w:p w14:paraId="1677CBDB"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13,165 firm-year observations from 2006 to 2010</w:t>
            </w:r>
          </w:p>
        </w:tc>
        <w:tc>
          <w:tcPr>
            <w:tcW w:w="1370" w:type="dxa"/>
            <w:tcBorders>
              <w:bottom w:val="single" w:sz="4" w:space="0" w:color="auto"/>
            </w:tcBorders>
          </w:tcPr>
          <w:p w14:paraId="0CD44F94"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Automated textual analysis </w:t>
            </w:r>
          </w:p>
          <w:p w14:paraId="47FD8B06"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(the presence of a risk factor update)</w:t>
            </w:r>
          </w:p>
        </w:tc>
        <w:tc>
          <w:tcPr>
            <w:tcW w:w="5984" w:type="dxa"/>
            <w:tcBorders>
              <w:bottom w:val="single" w:sz="4" w:space="0" w:color="auto"/>
            </w:tcBorders>
          </w:tcPr>
          <w:p w14:paraId="64CB501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This paper examines the impact of risk factor updates in quarterly reports (10-Q) on negative abnormal returns. It finds firms that update their risk disclosures in these reports to have significantly lower future earnings, more extreme negative future earnings, and lower abnormal returns around the filing dates of the 10-Q.  </w:t>
            </w:r>
          </w:p>
        </w:tc>
        <w:tc>
          <w:tcPr>
            <w:tcW w:w="1276" w:type="dxa"/>
            <w:tcBorders>
              <w:bottom w:val="single" w:sz="4" w:space="0" w:color="auto"/>
            </w:tcBorders>
          </w:tcPr>
          <w:p w14:paraId="66CCD700"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Not specified</w:t>
            </w:r>
          </w:p>
        </w:tc>
        <w:tc>
          <w:tcPr>
            <w:tcW w:w="3118" w:type="dxa"/>
            <w:tcBorders>
              <w:bottom w:val="single" w:sz="4" w:space="0" w:color="auto"/>
            </w:tcBorders>
            <w:shd w:val="clear" w:color="auto" w:fill="auto"/>
          </w:tcPr>
          <w:p w14:paraId="5B6107DF"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(1) Future research might examine whether there is any association between risk factor disclosures and positive abnormal returns.</w:t>
            </w:r>
          </w:p>
        </w:tc>
      </w:tr>
    </w:tbl>
    <w:tbl>
      <w:tblPr>
        <w:tblStyle w:val="TableGrid11"/>
        <w:tblpPr w:leftFromText="180" w:rightFromText="180" w:vertAnchor="text" w:horzAnchor="margin" w:tblpXSpec="center" w:tblpY="313"/>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1"/>
        <w:gridCol w:w="2619"/>
        <w:gridCol w:w="1902"/>
        <w:gridCol w:w="1110"/>
        <w:gridCol w:w="1114"/>
        <w:gridCol w:w="1268"/>
        <w:gridCol w:w="1111"/>
        <w:gridCol w:w="1587"/>
        <w:gridCol w:w="1427"/>
        <w:gridCol w:w="1268"/>
        <w:gridCol w:w="1582"/>
      </w:tblGrid>
      <w:tr w:rsidR="00610897" w:rsidRPr="00610897" w14:paraId="7EF462F2" w14:textId="77777777" w:rsidTr="002441E4">
        <w:trPr>
          <w:trHeight w:val="301"/>
        </w:trPr>
        <w:tc>
          <w:tcPr>
            <w:tcW w:w="15559" w:type="dxa"/>
            <w:gridSpan w:val="11"/>
            <w:tcBorders>
              <w:top w:val="single" w:sz="4" w:space="0" w:color="auto"/>
              <w:bottom w:val="single" w:sz="4" w:space="0" w:color="auto"/>
            </w:tcBorders>
          </w:tcPr>
          <w:p w14:paraId="72FD94E8" w14:textId="77777777" w:rsidR="00610897" w:rsidRPr="00610897" w:rsidRDefault="00610897" w:rsidP="00610897">
            <w:pPr>
              <w:jc w:val="both"/>
              <w:rPr>
                <w:rFonts w:ascii="Garamond" w:eastAsia="Calibri" w:hAnsi="Garamond"/>
                <w:b/>
                <w:color w:val="000000"/>
                <w:sz w:val="16"/>
                <w:szCs w:val="16"/>
              </w:rPr>
            </w:pPr>
            <w:r w:rsidRPr="00610897">
              <w:rPr>
                <w:rFonts w:ascii="Garamond" w:eastAsia="Calibri" w:hAnsi="Garamond"/>
                <w:b/>
                <w:color w:val="000000"/>
                <w:sz w:val="16"/>
                <w:szCs w:val="16"/>
              </w:rPr>
              <w:t>Table 5</w:t>
            </w:r>
            <w:r w:rsidRPr="00610897">
              <w:rPr>
                <w:rFonts w:ascii="Garamond" w:eastAsia="Calibri" w:hAnsi="Garamond"/>
                <w:b/>
                <w:color w:val="000000"/>
                <w:sz w:val="16"/>
                <w:szCs w:val="16"/>
              </w:rPr>
              <w:tab/>
            </w:r>
          </w:p>
          <w:p w14:paraId="05468F4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Areas of divergence for papers on </w:t>
            </w:r>
            <w:proofErr w:type="spellStart"/>
            <w:r w:rsidRPr="00610897">
              <w:rPr>
                <w:rFonts w:ascii="Garamond" w:eastAsia="Calibri" w:hAnsi="Garamond"/>
                <w:color w:val="000000"/>
                <w:sz w:val="16"/>
                <w:szCs w:val="16"/>
              </w:rPr>
              <w:t>informativeness</w:t>
            </w:r>
            <w:proofErr w:type="spellEnd"/>
            <w:r w:rsidRPr="00610897">
              <w:rPr>
                <w:rFonts w:ascii="Garamond" w:eastAsia="Calibri" w:hAnsi="Garamond"/>
                <w:color w:val="000000"/>
                <w:sz w:val="16"/>
                <w:szCs w:val="16"/>
              </w:rPr>
              <w:t xml:space="preserve"> of risk reporting, presented in chronological order (12 papers summarized in Table 4, discussed in Section 3, and categorized in Section 5)</w:t>
            </w:r>
          </w:p>
        </w:tc>
      </w:tr>
      <w:tr w:rsidR="00610897" w:rsidRPr="00610897" w14:paraId="088533CB" w14:textId="77777777" w:rsidTr="002441E4">
        <w:trPr>
          <w:trHeight w:val="138"/>
        </w:trPr>
        <w:tc>
          <w:tcPr>
            <w:tcW w:w="571" w:type="dxa"/>
            <w:vMerge w:val="restart"/>
          </w:tcPr>
          <w:p w14:paraId="0084E64A"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N</w:t>
            </w:r>
          </w:p>
        </w:tc>
        <w:tc>
          <w:tcPr>
            <w:tcW w:w="2619" w:type="dxa"/>
            <w:vMerge w:val="restart"/>
          </w:tcPr>
          <w:p w14:paraId="0583487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Main classification </w:t>
            </w:r>
          </w:p>
        </w:tc>
        <w:tc>
          <w:tcPr>
            <w:tcW w:w="12369" w:type="dxa"/>
            <w:gridSpan w:val="9"/>
          </w:tcPr>
          <w:p w14:paraId="18802E8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Method and context</w:t>
            </w:r>
          </w:p>
        </w:tc>
      </w:tr>
      <w:tr w:rsidR="00610897" w:rsidRPr="00610897" w14:paraId="7887D906" w14:textId="77777777" w:rsidTr="002441E4">
        <w:trPr>
          <w:trHeight w:val="252"/>
        </w:trPr>
        <w:tc>
          <w:tcPr>
            <w:tcW w:w="571" w:type="dxa"/>
            <w:vMerge/>
          </w:tcPr>
          <w:p w14:paraId="7920A68E" w14:textId="77777777" w:rsidR="00610897" w:rsidRPr="00610897" w:rsidRDefault="00610897" w:rsidP="00610897">
            <w:pPr>
              <w:ind w:right="-170"/>
              <w:jc w:val="both"/>
              <w:rPr>
                <w:rFonts w:ascii="Garamond" w:eastAsia="Calibri" w:hAnsi="Garamond"/>
                <w:color w:val="000000"/>
                <w:sz w:val="16"/>
                <w:szCs w:val="16"/>
              </w:rPr>
            </w:pPr>
          </w:p>
        </w:tc>
        <w:tc>
          <w:tcPr>
            <w:tcW w:w="2619" w:type="dxa"/>
            <w:vMerge/>
          </w:tcPr>
          <w:p w14:paraId="74A299CB" w14:textId="77777777" w:rsidR="00610897" w:rsidRPr="00610897" w:rsidRDefault="00610897" w:rsidP="00610897">
            <w:pPr>
              <w:jc w:val="both"/>
              <w:rPr>
                <w:rFonts w:ascii="Garamond" w:eastAsia="Calibri" w:hAnsi="Garamond"/>
                <w:color w:val="000000"/>
                <w:sz w:val="16"/>
                <w:szCs w:val="16"/>
              </w:rPr>
            </w:pPr>
          </w:p>
        </w:tc>
        <w:tc>
          <w:tcPr>
            <w:tcW w:w="4126" w:type="dxa"/>
            <w:gridSpan w:val="3"/>
            <w:tcBorders>
              <w:top w:val="single" w:sz="4" w:space="0" w:color="auto"/>
              <w:bottom w:val="single" w:sz="4" w:space="0" w:color="auto"/>
            </w:tcBorders>
          </w:tcPr>
          <w:p w14:paraId="1CF3011A" w14:textId="77777777" w:rsidR="00610897" w:rsidRPr="00610897" w:rsidRDefault="00610897" w:rsidP="00610897">
            <w:pPr>
              <w:tabs>
                <w:tab w:val="center" w:pos="1810"/>
              </w:tabs>
              <w:jc w:val="both"/>
              <w:rPr>
                <w:rFonts w:ascii="Garamond" w:eastAsia="Calibri" w:hAnsi="Garamond"/>
                <w:color w:val="000000"/>
                <w:sz w:val="16"/>
                <w:szCs w:val="16"/>
              </w:rPr>
            </w:pPr>
            <w:r w:rsidRPr="00610897">
              <w:rPr>
                <w:rFonts w:ascii="Garamond" w:eastAsia="Calibri" w:hAnsi="Garamond"/>
                <w:color w:val="000000"/>
                <w:sz w:val="16"/>
                <w:szCs w:val="16"/>
              </w:rPr>
              <w:t xml:space="preserve">Type of disclosure </w:t>
            </w:r>
            <w:r w:rsidRPr="00610897">
              <w:rPr>
                <w:rFonts w:ascii="Garamond" w:eastAsia="Calibri" w:hAnsi="Garamond"/>
                <w:color w:val="000000"/>
                <w:sz w:val="16"/>
                <w:szCs w:val="16"/>
              </w:rPr>
              <w:tab/>
            </w:r>
          </w:p>
        </w:tc>
        <w:tc>
          <w:tcPr>
            <w:tcW w:w="2379" w:type="dxa"/>
            <w:gridSpan w:val="2"/>
            <w:tcBorders>
              <w:top w:val="single" w:sz="4" w:space="0" w:color="auto"/>
              <w:bottom w:val="single" w:sz="4" w:space="0" w:color="auto"/>
            </w:tcBorders>
          </w:tcPr>
          <w:p w14:paraId="317DFBC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Type of content analysis </w:t>
            </w:r>
          </w:p>
        </w:tc>
        <w:tc>
          <w:tcPr>
            <w:tcW w:w="3014" w:type="dxa"/>
            <w:gridSpan w:val="2"/>
            <w:tcBorders>
              <w:top w:val="single" w:sz="4" w:space="0" w:color="auto"/>
              <w:bottom w:val="single" w:sz="4" w:space="0" w:color="auto"/>
            </w:tcBorders>
          </w:tcPr>
          <w:p w14:paraId="49306652"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Type of analysis</w:t>
            </w:r>
          </w:p>
        </w:tc>
        <w:tc>
          <w:tcPr>
            <w:tcW w:w="2850" w:type="dxa"/>
            <w:gridSpan w:val="2"/>
            <w:tcBorders>
              <w:top w:val="single" w:sz="4" w:space="0" w:color="auto"/>
              <w:bottom w:val="single" w:sz="4" w:space="0" w:color="auto"/>
            </w:tcBorders>
          </w:tcPr>
          <w:p w14:paraId="60D222A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Type of sector</w:t>
            </w:r>
          </w:p>
        </w:tc>
      </w:tr>
      <w:tr w:rsidR="00610897" w:rsidRPr="00610897" w14:paraId="012123DD" w14:textId="77777777" w:rsidTr="002441E4">
        <w:trPr>
          <w:trHeight w:val="130"/>
        </w:trPr>
        <w:tc>
          <w:tcPr>
            <w:tcW w:w="571" w:type="dxa"/>
            <w:vMerge/>
            <w:tcBorders>
              <w:bottom w:val="single" w:sz="4" w:space="0" w:color="auto"/>
            </w:tcBorders>
          </w:tcPr>
          <w:p w14:paraId="0E9DA728" w14:textId="77777777" w:rsidR="00610897" w:rsidRPr="00610897" w:rsidRDefault="00610897" w:rsidP="00610897">
            <w:pPr>
              <w:ind w:right="-170"/>
              <w:jc w:val="both"/>
              <w:rPr>
                <w:rFonts w:ascii="Garamond" w:eastAsia="Calibri" w:hAnsi="Garamond"/>
                <w:color w:val="000000"/>
                <w:sz w:val="16"/>
                <w:szCs w:val="16"/>
              </w:rPr>
            </w:pPr>
          </w:p>
        </w:tc>
        <w:tc>
          <w:tcPr>
            <w:tcW w:w="2619" w:type="dxa"/>
            <w:vMerge/>
            <w:tcBorders>
              <w:bottom w:val="single" w:sz="4" w:space="0" w:color="auto"/>
            </w:tcBorders>
          </w:tcPr>
          <w:p w14:paraId="51225344" w14:textId="77777777" w:rsidR="00610897" w:rsidRPr="00610897" w:rsidRDefault="00610897" w:rsidP="00610897">
            <w:pPr>
              <w:jc w:val="both"/>
              <w:rPr>
                <w:rFonts w:ascii="Garamond" w:eastAsia="Calibri" w:hAnsi="Garamond"/>
                <w:color w:val="000000"/>
                <w:sz w:val="16"/>
                <w:szCs w:val="16"/>
              </w:rPr>
            </w:pPr>
          </w:p>
        </w:tc>
        <w:tc>
          <w:tcPr>
            <w:tcW w:w="1902" w:type="dxa"/>
            <w:tcBorders>
              <w:top w:val="single" w:sz="4" w:space="0" w:color="auto"/>
              <w:bottom w:val="single" w:sz="4" w:space="0" w:color="auto"/>
            </w:tcBorders>
          </w:tcPr>
          <w:p w14:paraId="2CE1383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Mandatory</w:t>
            </w:r>
          </w:p>
        </w:tc>
        <w:tc>
          <w:tcPr>
            <w:tcW w:w="1110" w:type="dxa"/>
            <w:tcBorders>
              <w:top w:val="single" w:sz="4" w:space="0" w:color="auto"/>
              <w:bottom w:val="single" w:sz="4" w:space="0" w:color="auto"/>
            </w:tcBorders>
          </w:tcPr>
          <w:p w14:paraId="573647A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Voluntary</w:t>
            </w:r>
          </w:p>
        </w:tc>
        <w:tc>
          <w:tcPr>
            <w:tcW w:w="1114" w:type="dxa"/>
            <w:tcBorders>
              <w:top w:val="single" w:sz="4" w:space="0" w:color="auto"/>
              <w:bottom w:val="single" w:sz="4" w:space="0" w:color="auto"/>
            </w:tcBorders>
          </w:tcPr>
          <w:p w14:paraId="5867E24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Aggregate</w:t>
            </w:r>
          </w:p>
        </w:tc>
        <w:tc>
          <w:tcPr>
            <w:tcW w:w="1268" w:type="dxa"/>
            <w:tcBorders>
              <w:top w:val="single" w:sz="4" w:space="0" w:color="auto"/>
              <w:bottom w:val="single" w:sz="4" w:space="0" w:color="auto"/>
            </w:tcBorders>
          </w:tcPr>
          <w:p w14:paraId="2460AD5D"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Manual </w:t>
            </w:r>
          </w:p>
        </w:tc>
        <w:tc>
          <w:tcPr>
            <w:tcW w:w="1111" w:type="dxa"/>
            <w:tcBorders>
              <w:top w:val="single" w:sz="4" w:space="0" w:color="auto"/>
              <w:bottom w:val="single" w:sz="4" w:space="0" w:color="auto"/>
            </w:tcBorders>
          </w:tcPr>
          <w:p w14:paraId="2BE78E0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Automated</w:t>
            </w:r>
          </w:p>
        </w:tc>
        <w:tc>
          <w:tcPr>
            <w:tcW w:w="1587" w:type="dxa"/>
            <w:tcBorders>
              <w:top w:val="single" w:sz="4" w:space="0" w:color="auto"/>
              <w:bottom w:val="single" w:sz="4" w:space="0" w:color="auto"/>
            </w:tcBorders>
          </w:tcPr>
          <w:p w14:paraId="6D40295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Within-country</w:t>
            </w:r>
          </w:p>
        </w:tc>
        <w:tc>
          <w:tcPr>
            <w:tcW w:w="1427" w:type="dxa"/>
            <w:tcBorders>
              <w:top w:val="single" w:sz="4" w:space="0" w:color="auto"/>
              <w:bottom w:val="single" w:sz="4" w:space="0" w:color="auto"/>
            </w:tcBorders>
          </w:tcPr>
          <w:p w14:paraId="517F9C9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Cross-country</w:t>
            </w:r>
          </w:p>
        </w:tc>
        <w:tc>
          <w:tcPr>
            <w:tcW w:w="1268" w:type="dxa"/>
            <w:tcBorders>
              <w:top w:val="single" w:sz="4" w:space="0" w:color="auto"/>
              <w:bottom w:val="single" w:sz="4" w:space="0" w:color="auto"/>
            </w:tcBorders>
          </w:tcPr>
          <w:p w14:paraId="27A640F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Non-financial </w:t>
            </w:r>
          </w:p>
        </w:tc>
        <w:tc>
          <w:tcPr>
            <w:tcW w:w="1582" w:type="dxa"/>
            <w:tcBorders>
              <w:top w:val="single" w:sz="4" w:space="0" w:color="auto"/>
              <w:bottom w:val="single" w:sz="4" w:space="0" w:color="auto"/>
            </w:tcBorders>
          </w:tcPr>
          <w:p w14:paraId="301718D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Financial/insurance </w:t>
            </w:r>
          </w:p>
        </w:tc>
      </w:tr>
      <w:tr w:rsidR="00610897" w:rsidRPr="00610897" w14:paraId="3FF85D1E" w14:textId="77777777" w:rsidTr="002441E4">
        <w:trPr>
          <w:trHeight w:val="272"/>
        </w:trPr>
        <w:tc>
          <w:tcPr>
            <w:tcW w:w="571" w:type="dxa"/>
            <w:tcBorders>
              <w:top w:val="single" w:sz="4" w:space="0" w:color="auto"/>
            </w:tcBorders>
          </w:tcPr>
          <w:p w14:paraId="6F697F64"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17</w:t>
            </w:r>
          </w:p>
        </w:tc>
        <w:tc>
          <w:tcPr>
            <w:tcW w:w="2619" w:type="dxa"/>
            <w:tcBorders>
              <w:top w:val="single" w:sz="4" w:space="0" w:color="auto"/>
            </w:tcBorders>
          </w:tcPr>
          <w:p w14:paraId="3D4922AE"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Rajgopal</w:t>
            </w:r>
            <w:proofErr w:type="spellEnd"/>
            <w:r w:rsidRPr="00610897">
              <w:rPr>
                <w:rFonts w:ascii="Garamond" w:eastAsia="Calibri" w:hAnsi="Garamond"/>
                <w:color w:val="000000"/>
                <w:sz w:val="16"/>
                <w:szCs w:val="16"/>
              </w:rPr>
              <w:t xml:space="preserve"> (1999)</w:t>
            </w:r>
          </w:p>
        </w:tc>
        <w:tc>
          <w:tcPr>
            <w:tcW w:w="1902" w:type="dxa"/>
            <w:tcBorders>
              <w:top w:val="single" w:sz="4" w:space="0" w:color="auto"/>
            </w:tcBorders>
          </w:tcPr>
          <w:p w14:paraId="39C43C1C" w14:textId="77777777" w:rsidR="00610897" w:rsidRPr="00610897" w:rsidRDefault="00610897" w:rsidP="00610897">
            <w:pPr>
              <w:jc w:val="both"/>
              <w:rPr>
                <w:rFonts w:ascii="Garamond" w:eastAsia="Calibri" w:hAnsi="Garamond"/>
                <w:color w:val="000000"/>
                <w:sz w:val="16"/>
                <w:szCs w:val="16"/>
              </w:rPr>
            </w:pPr>
          </w:p>
        </w:tc>
        <w:tc>
          <w:tcPr>
            <w:tcW w:w="1110" w:type="dxa"/>
            <w:tcBorders>
              <w:top w:val="single" w:sz="4" w:space="0" w:color="auto"/>
            </w:tcBorders>
          </w:tcPr>
          <w:p w14:paraId="3842E24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114" w:type="dxa"/>
            <w:tcBorders>
              <w:top w:val="single" w:sz="4" w:space="0" w:color="auto"/>
            </w:tcBorders>
          </w:tcPr>
          <w:p w14:paraId="78EF8B0A" w14:textId="77777777" w:rsidR="00610897" w:rsidRPr="00610897" w:rsidRDefault="00610897" w:rsidP="00610897">
            <w:pPr>
              <w:jc w:val="both"/>
              <w:rPr>
                <w:rFonts w:ascii="Garamond" w:eastAsia="Calibri" w:hAnsi="Garamond"/>
                <w:color w:val="000000"/>
                <w:sz w:val="16"/>
                <w:szCs w:val="16"/>
              </w:rPr>
            </w:pPr>
          </w:p>
        </w:tc>
        <w:tc>
          <w:tcPr>
            <w:tcW w:w="2379" w:type="dxa"/>
            <w:gridSpan w:val="2"/>
            <w:tcBorders>
              <w:top w:val="single" w:sz="4" w:space="0" w:color="auto"/>
            </w:tcBorders>
          </w:tcPr>
          <w:p w14:paraId="18B6094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Not applicable</w:t>
            </w:r>
          </w:p>
        </w:tc>
        <w:tc>
          <w:tcPr>
            <w:tcW w:w="1587" w:type="dxa"/>
            <w:tcBorders>
              <w:top w:val="single" w:sz="4" w:space="0" w:color="auto"/>
            </w:tcBorders>
          </w:tcPr>
          <w:p w14:paraId="1A8DB77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27" w:type="dxa"/>
            <w:tcBorders>
              <w:top w:val="single" w:sz="4" w:space="0" w:color="auto"/>
            </w:tcBorders>
          </w:tcPr>
          <w:p w14:paraId="49C31FB3" w14:textId="77777777" w:rsidR="00610897" w:rsidRPr="00610897" w:rsidRDefault="00610897" w:rsidP="00610897">
            <w:pPr>
              <w:jc w:val="both"/>
              <w:rPr>
                <w:rFonts w:ascii="Garamond" w:eastAsia="Calibri" w:hAnsi="Garamond"/>
                <w:color w:val="000000"/>
                <w:sz w:val="16"/>
                <w:szCs w:val="16"/>
              </w:rPr>
            </w:pPr>
          </w:p>
        </w:tc>
        <w:tc>
          <w:tcPr>
            <w:tcW w:w="1268" w:type="dxa"/>
            <w:tcBorders>
              <w:top w:val="single" w:sz="4" w:space="0" w:color="auto"/>
            </w:tcBorders>
          </w:tcPr>
          <w:p w14:paraId="5DA3F1F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582" w:type="dxa"/>
            <w:tcBorders>
              <w:top w:val="single" w:sz="4" w:space="0" w:color="auto"/>
            </w:tcBorders>
          </w:tcPr>
          <w:p w14:paraId="758665B2" w14:textId="77777777" w:rsidR="00610897" w:rsidRPr="00610897" w:rsidRDefault="00610897" w:rsidP="00610897">
            <w:pPr>
              <w:jc w:val="both"/>
              <w:rPr>
                <w:rFonts w:ascii="Garamond" w:eastAsia="Calibri" w:hAnsi="Garamond"/>
                <w:color w:val="000000"/>
                <w:sz w:val="16"/>
                <w:szCs w:val="16"/>
              </w:rPr>
            </w:pPr>
          </w:p>
        </w:tc>
      </w:tr>
      <w:tr w:rsidR="00610897" w:rsidRPr="00610897" w14:paraId="642ADE05" w14:textId="77777777" w:rsidTr="002441E4">
        <w:trPr>
          <w:trHeight w:val="272"/>
        </w:trPr>
        <w:tc>
          <w:tcPr>
            <w:tcW w:w="571" w:type="dxa"/>
          </w:tcPr>
          <w:p w14:paraId="361920B0"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18</w:t>
            </w:r>
          </w:p>
        </w:tc>
        <w:tc>
          <w:tcPr>
            <w:tcW w:w="2619" w:type="dxa"/>
          </w:tcPr>
          <w:p w14:paraId="7D07E324"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Roulstone</w:t>
            </w:r>
            <w:proofErr w:type="spellEnd"/>
            <w:r w:rsidRPr="00610897">
              <w:rPr>
                <w:rFonts w:ascii="Garamond" w:eastAsia="Calibri" w:hAnsi="Garamond"/>
                <w:color w:val="000000"/>
                <w:sz w:val="16"/>
                <w:szCs w:val="16"/>
              </w:rPr>
              <w:t xml:space="preserve"> (1999)</w:t>
            </w:r>
          </w:p>
        </w:tc>
        <w:tc>
          <w:tcPr>
            <w:tcW w:w="1902" w:type="dxa"/>
          </w:tcPr>
          <w:p w14:paraId="32A1C8CD"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110" w:type="dxa"/>
          </w:tcPr>
          <w:p w14:paraId="03A12988" w14:textId="77777777" w:rsidR="00610897" w:rsidRPr="00610897" w:rsidRDefault="00610897" w:rsidP="00610897">
            <w:pPr>
              <w:jc w:val="both"/>
              <w:rPr>
                <w:rFonts w:ascii="Garamond" w:eastAsia="Calibri" w:hAnsi="Garamond"/>
                <w:color w:val="000000"/>
                <w:sz w:val="16"/>
                <w:szCs w:val="16"/>
              </w:rPr>
            </w:pPr>
          </w:p>
        </w:tc>
        <w:tc>
          <w:tcPr>
            <w:tcW w:w="1114" w:type="dxa"/>
          </w:tcPr>
          <w:p w14:paraId="58C2FDB4" w14:textId="77777777" w:rsidR="00610897" w:rsidRPr="00610897" w:rsidRDefault="00610897" w:rsidP="00610897">
            <w:pPr>
              <w:jc w:val="both"/>
              <w:rPr>
                <w:rFonts w:ascii="Garamond" w:eastAsia="Calibri" w:hAnsi="Garamond"/>
                <w:color w:val="000000"/>
                <w:sz w:val="16"/>
                <w:szCs w:val="16"/>
              </w:rPr>
            </w:pPr>
          </w:p>
        </w:tc>
        <w:tc>
          <w:tcPr>
            <w:tcW w:w="1268" w:type="dxa"/>
          </w:tcPr>
          <w:p w14:paraId="4B8BBE2D"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111" w:type="dxa"/>
          </w:tcPr>
          <w:p w14:paraId="4B0BB1BE" w14:textId="77777777" w:rsidR="00610897" w:rsidRPr="00610897" w:rsidRDefault="00610897" w:rsidP="00610897">
            <w:pPr>
              <w:jc w:val="both"/>
              <w:rPr>
                <w:rFonts w:ascii="Garamond" w:eastAsia="Calibri" w:hAnsi="Garamond"/>
                <w:color w:val="000000"/>
                <w:sz w:val="16"/>
                <w:szCs w:val="16"/>
              </w:rPr>
            </w:pPr>
          </w:p>
        </w:tc>
        <w:tc>
          <w:tcPr>
            <w:tcW w:w="1587" w:type="dxa"/>
          </w:tcPr>
          <w:p w14:paraId="1AAEA75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27" w:type="dxa"/>
          </w:tcPr>
          <w:p w14:paraId="39572606" w14:textId="77777777" w:rsidR="00610897" w:rsidRPr="00610897" w:rsidRDefault="00610897" w:rsidP="00610897">
            <w:pPr>
              <w:jc w:val="both"/>
              <w:rPr>
                <w:rFonts w:ascii="Garamond" w:eastAsia="Calibri" w:hAnsi="Garamond"/>
                <w:color w:val="000000"/>
                <w:sz w:val="16"/>
                <w:szCs w:val="16"/>
              </w:rPr>
            </w:pPr>
          </w:p>
        </w:tc>
        <w:tc>
          <w:tcPr>
            <w:tcW w:w="1268" w:type="dxa"/>
          </w:tcPr>
          <w:p w14:paraId="5F5A977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582" w:type="dxa"/>
          </w:tcPr>
          <w:p w14:paraId="31715732" w14:textId="77777777" w:rsidR="00610897" w:rsidRPr="00610897" w:rsidRDefault="00610897" w:rsidP="00610897">
            <w:pPr>
              <w:jc w:val="both"/>
              <w:rPr>
                <w:rFonts w:ascii="Garamond" w:eastAsia="Calibri" w:hAnsi="Garamond"/>
                <w:color w:val="000000"/>
                <w:sz w:val="16"/>
                <w:szCs w:val="16"/>
              </w:rPr>
            </w:pPr>
          </w:p>
        </w:tc>
      </w:tr>
      <w:tr w:rsidR="00610897" w:rsidRPr="00610897" w14:paraId="7A93A055" w14:textId="77777777" w:rsidTr="002441E4">
        <w:trPr>
          <w:trHeight w:val="272"/>
        </w:trPr>
        <w:tc>
          <w:tcPr>
            <w:tcW w:w="571" w:type="dxa"/>
          </w:tcPr>
          <w:p w14:paraId="5B94633F"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19</w:t>
            </w:r>
          </w:p>
        </w:tc>
        <w:tc>
          <w:tcPr>
            <w:tcW w:w="2619" w:type="dxa"/>
          </w:tcPr>
          <w:p w14:paraId="66B0444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Hodder and </w:t>
            </w:r>
            <w:proofErr w:type="spellStart"/>
            <w:r w:rsidRPr="00610897">
              <w:rPr>
                <w:rFonts w:ascii="Garamond" w:eastAsia="Calibri" w:hAnsi="Garamond"/>
                <w:color w:val="000000"/>
                <w:sz w:val="16"/>
                <w:szCs w:val="16"/>
              </w:rPr>
              <w:t>McAnally</w:t>
            </w:r>
            <w:proofErr w:type="spellEnd"/>
            <w:r w:rsidRPr="00610897">
              <w:rPr>
                <w:rFonts w:ascii="Garamond" w:eastAsia="Calibri" w:hAnsi="Garamond"/>
                <w:color w:val="000000"/>
                <w:sz w:val="16"/>
                <w:szCs w:val="16"/>
              </w:rPr>
              <w:t xml:space="preserve"> (2001)</w:t>
            </w:r>
          </w:p>
        </w:tc>
        <w:tc>
          <w:tcPr>
            <w:tcW w:w="1902" w:type="dxa"/>
          </w:tcPr>
          <w:p w14:paraId="133809D9"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110" w:type="dxa"/>
          </w:tcPr>
          <w:p w14:paraId="67DE8A31" w14:textId="77777777" w:rsidR="00610897" w:rsidRPr="00610897" w:rsidRDefault="00610897" w:rsidP="00610897">
            <w:pPr>
              <w:jc w:val="both"/>
              <w:rPr>
                <w:rFonts w:ascii="Garamond" w:eastAsia="Calibri" w:hAnsi="Garamond"/>
                <w:color w:val="000000"/>
                <w:sz w:val="16"/>
                <w:szCs w:val="16"/>
              </w:rPr>
            </w:pPr>
          </w:p>
        </w:tc>
        <w:tc>
          <w:tcPr>
            <w:tcW w:w="1114" w:type="dxa"/>
          </w:tcPr>
          <w:p w14:paraId="5F687B20" w14:textId="77777777" w:rsidR="00610897" w:rsidRPr="00610897" w:rsidRDefault="00610897" w:rsidP="00610897">
            <w:pPr>
              <w:jc w:val="both"/>
              <w:rPr>
                <w:rFonts w:ascii="Garamond" w:eastAsia="Calibri" w:hAnsi="Garamond"/>
                <w:color w:val="000000"/>
                <w:sz w:val="16"/>
                <w:szCs w:val="16"/>
              </w:rPr>
            </w:pPr>
          </w:p>
        </w:tc>
        <w:tc>
          <w:tcPr>
            <w:tcW w:w="1268" w:type="dxa"/>
          </w:tcPr>
          <w:p w14:paraId="4648681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111" w:type="dxa"/>
          </w:tcPr>
          <w:p w14:paraId="62CE4904" w14:textId="77777777" w:rsidR="00610897" w:rsidRPr="00610897" w:rsidRDefault="00610897" w:rsidP="00610897">
            <w:pPr>
              <w:jc w:val="both"/>
              <w:rPr>
                <w:rFonts w:ascii="Garamond" w:eastAsia="Calibri" w:hAnsi="Garamond"/>
                <w:color w:val="000000"/>
                <w:sz w:val="16"/>
                <w:szCs w:val="16"/>
              </w:rPr>
            </w:pPr>
          </w:p>
        </w:tc>
        <w:tc>
          <w:tcPr>
            <w:tcW w:w="1587" w:type="dxa"/>
          </w:tcPr>
          <w:p w14:paraId="1ED418A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27" w:type="dxa"/>
          </w:tcPr>
          <w:p w14:paraId="49C2EF0D" w14:textId="77777777" w:rsidR="00610897" w:rsidRPr="00610897" w:rsidRDefault="00610897" w:rsidP="00610897">
            <w:pPr>
              <w:jc w:val="both"/>
              <w:rPr>
                <w:rFonts w:ascii="Garamond" w:eastAsia="Calibri" w:hAnsi="Garamond"/>
                <w:color w:val="000000"/>
                <w:sz w:val="16"/>
                <w:szCs w:val="16"/>
              </w:rPr>
            </w:pPr>
          </w:p>
        </w:tc>
        <w:tc>
          <w:tcPr>
            <w:tcW w:w="1268" w:type="dxa"/>
          </w:tcPr>
          <w:p w14:paraId="56598F8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582" w:type="dxa"/>
          </w:tcPr>
          <w:p w14:paraId="44E404A9" w14:textId="77777777" w:rsidR="00610897" w:rsidRPr="00610897" w:rsidRDefault="00610897" w:rsidP="00610897">
            <w:pPr>
              <w:jc w:val="both"/>
              <w:rPr>
                <w:rFonts w:ascii="Garamond" w:eastAsia="Calibri" w:hAnsi="Garamond"/>
                <w:color w:val="000000"/>
                <w:sz w:val="16"/>
                <w:szCs w:val="16"/>
              </w:rPr>
            </w:pPr>
          </w:p>
        </w:tc>
      </w:tr>
      <w:tr w:rsidR="00610897" w:rsidRPr="00610897" w14:paraId="6A76ED9D" w14:textId="77777777" w:rsidTr="002441E4">
        <w:trPr>
          <w:trHeight w:val="272"/>
        </w:trPr>
        <w:tc>
          <w:tcPr>
            <w:tcW w:w="571" w:type="dxa"/>
          </w:tcPr>
          <w:p w14:paraId="0C7ACE06"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20</w:t>
            </w:r>
          </w:p>
        </w:tc>
        <w:tc>
          <w:tcPr>
            <w:tcW w:w="2619" w:type="dxa"/>
          </w:tcPr>
          <w:p w14:paraId="5E3E7A4B"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Jorion</w:t>
            </w:r>
            <w:proofErr w:type="spellEnd"/>
            <w:r w:rsidRPr="00610897">
              <w:rPr>
                <w:rFonts w:ascii="Garamond" w:eastAsia="Calibri" w:hAnsi="Garamond"/>
                <w:color w:val="000000"/>
                <w:sz w:val="16"/>
                <w:szCs w:val="16"/>
              </w:rPr>
              <w:t xml:space="preserve"> (2002)</w:t>
            </w:r>
          </w:p>
        </w:tc>
        <w:tc>
          <w:tcPr>
            <w:tcW w:w="1902" w:type="dxa"/>
          </w:tcPr>
          <w:p w14:paraId="1DE67F5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110" w:type="dxa"/>
          </w:tcPr>
          <w:p w14:paraId="2EAFFC41" w14:textId="77777777" w:rsidR="00610897" w:rsidRPr="00610897" w:rsidRDefault="00610897" w:rsidP="00610897">
            <w:pPr>
              <w:jc w:val="both"/>
              <w:rPr>
                <w:rFonts w:ascii="Garamond" w:eastAsia="Calibri" w:hAnsi="Garamond"/>
                <w:color w:val="000000"/>
                <w:sz w:val="16"/>
                <w:szCs w:val="16"/>
              </w:rPr>
            </w:pPr>
          </w:p>
        </w:tc>
        <w:tc>
          <w:tcPr>
            <w:tcW w:w="1114" w:type="dxa"/>
          </w:tcPr>
          <w:p w14:paraId="306D26AD" w14:textId="77777777" w:rsidR="00610897" w:rsidRPr="00610897" w:rsidRDefault="00610897" w:rsidP="00610897">
            <w:pPr>
              <w:jc w:val="both"/>
              <w:rPr>
                <w:rFonts w:ascii="Garamond" w:eastAsia="Calibri" w:hAnsi="Garamond"/>
                <w:color w:val="000000"/>
                <w:sz w:val="16"/>
                <w:szCs w:val="16"/>
              </w:rPr>
            </w:pPr>
          </w:p>
        </w:tc>
        <w:tc>
          <w:tcPr>
            <w:tcW w:w="1268" w:type="dxa"/>
          </w:tcPr>
          <w:p w14:paraId="66718540"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111" w:type="dxa"/>
          </w:tcPr>
          <w:p w14:paraId="2C11D041" w14:textId="77777777" w:rsidR="00610897" w:rsidRPr="00610897" w:rsidRDefault="00610897" w:rsidP="00610897">
            <w:pPr>
              <w:jc w:val="both"/>
              <w:rPr>
                <w:rFonts w:ascii="Garamond" w:eastAsia="Calibri" w:hAnsi="Garamond"/>
                <w:color w:val="000000"/>
                <w:sz w:val="16"/>
                <w:szCs w:val="16"/>
              </w:rPr>
            </w:pPr>
          </w:p>
        </w:tc>
        <w:tc>
          <w:tcPr>
            <w:tcW w:w="1587" w:type="dxa"/>
          </w:tcPr>
          <w:p w14:paraId="426F059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27" w:type="dxa"/>
          </w:tcPr>
          <w:p w14:paraId="38361945" w14:textId="77777777" w:rsidR="00610897" w:rsidRPr="00610897" w:rsidRDefault="00610897" w:rsidP="00610897">
            <w:pPr>
              <w:jc w:val="both"/>
              <w:rPr>
                <w:rFonts w:ascii="Garamond" w:eastAsia="Calibri" w:hAnsi="Garamond"/>
                <w:color w:val="000000"/>
                <w:sz w:val="16"/>
                <w:szCs w:val="16"/>
              </w:rPr>
            </w:pPr>
          </w:p>
        </w:tc>
        <w:tc>
          <w:tcPr>
            <w:tcW w:w="1268" w:type="dxa"/>
          </w:tcPr>
          <w:p w14:paraId="0E743460" w14:textId="77777777" w:rsidR="00610897" w:rsidRPr="00610897" w:rsidRDefault="00610897" w:rsidP="00610897">
            <w:pPr>
              <w:jc w:val="both"/>
              <w:rPr>
                <w:rFonts w:ascii="Garamond" w:eastAsia="Calibri" w:hAnsi="Garamond"/>
                <w:color w:val="000000"/>
                <w:sz w:val="16"/>
                <w:szCs w:val="16"/>
              </w:rPr>
            </w:pPr>
          </w:p>
        </w:tc>
        <w:tc>
          <w:tcPr>
            <w:tcW w:w="1582" w:type="dxa"/>
          </w:tcPr>
          <w:p w14:paraId="1B0A053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r>
      <w:tr w:rsidR="00610897" w:rsidRPr="00610897" w14:paraId="4BD90D09" w14:textId="77777777" w:rsidTr="002441E4">
        <w:trPr>
          <w:trHeight w:val="272"/>
        </w:trPr>
        <w:tc>
          <w:tcPr>
            <w:tcW w:w="571" w:type="dxa"/>
          </w:tcPr>
          <w:p w14:paraId="6F8689AE"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21</w:t>
            </w:r>
          </w:p>
        </w:tc>
        <w:tc>
          <w:tcPr>
            <w:tcW w:w="2619" w:type="dxa"/>
          </w:tcPr>
          <w:p w14:paraId="175CDCC3"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Linsley</w:t>
            </w:r>
            <w:proofErr w:type="spellEnd"/>
            <w:r w:rsidRPr="00610897">
              <w:rPr>
                <w:rFonts w:ascii="Garamond" w:eastAsia="Calibri" w:hAnsi="Garamond"/>
                <w:color w:val="000000"/>
                <w:sz w:val="16"/>
                <w:szCs w:val="16"/>
              </w:rPr>
              <w:t xml:space="preserve"> and Lawrence (2007)</w:t>
            </w:r>
          </w:p>
        </w:tc>
        <w:tc>
          <w:tcPr>
            <w:tcW w:w="1902" w:type="dxa"/>
          </w:tcPr>
          <w:p w14:paraId="608DE4C1" w14:textId="77777777" w:rsidR="00610897" w:rsidRPr="00610897" w:rsidRDefault="00610897" w:rsidP="00610897">
            <w:pPr>
              <w:tabs>
                <w:tab w:val="left" w:pos="1290"/>
              </w:tabs>
              <w:jc w:val="both"/>
              <w:rPr>
                <w:rFonts w:ascii="Garamond" w:eastAsia="Calibri" w:hAnsi="Garamond"/>
                <w:color w:val="000000"/>
                <w:sz w:val="16"/>
                <w:szCs w:val="16"/>
              </w:rPr>
            </w:pPr>
            <w:r w:rsidRPr="00610897">
              <w:rPr>
                <w:rFonts w:ascii="Garamond" w:eastAsia="Calibri" w:hAnsi="Garamond"/>
                <w:color w:val="000000"/>
                <w:sz w:val="16"/>
                <w:szCs w:val="16"/>
              </w:rPr>
              <w:tab/>
            </w:r>
          </w:p>
        </w:tc>
        <w:tc>
          <w:tcPr>
            <w:tcW w:w="1110" w:type="dxa"/>
          </w:tcPr>
          <w:p w14:paraId="3E8D97A1" w14:textId="77777777" w:rsidR="00610897" w:rsidRPr="00610897" w:rsidRDefault="00610897" w:rsidP="00610897">
            <w:pPr>
              <w:jc w:val="both"/>
              <w:rPr>
                <w:rFonts w:ascii="Garamond" w:eastAsia="Calibri" w:hAnsi="Garamond"/>
                <w:color w:val="000000"/>
                <w:sz w:val="16"/>
                <w:szCs w:val="16"/>
              </w:rPr>
            </w:pPr>
          </w:p>
        </w:tc>
        <w:tc>
          <w:tcPr>
            <w:tcW w:w="1114" w:type="dxa"/>
          </w:tcPr>
          <w:p w14:paraId="58FEDB52"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268" w:type="dxa"/>
          </w:tcPr>
          <w:p w14:paraId="4430BED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111" w:type="dxa"/>
          </w:tcPr>
          <w:p w14:paraId="1D162715" w14:textId="77777777" w:rsidR="00610897" w:rsidRPr="00610897" w:rsidRDefault="00610897" w:rsidP="00610897">
            <w:pPr>
              <w:jc w:val="both"/>
              <w:rPr>
                <w:rFonts w:ascii="Garamond" w:eastAsia="Calibri" w:hAnsi="Garamond"/>
                <w:color w:val="000000"/>
                <w:sz w:val="16"/>
                <w:szCs w:val="16"/>
              </w:rPr>
            </w:pPr>
          </w:p>
        </w:tc>
        <w:tc>
          <w:tcPr>
            <w:tcW w:w="1587" w:type="dxa"/>
          </w:tcPr>
          <w:p w14:paraId="75E6167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27" w:type="dxa"/>
          </w:tcPr>
          <w:p w14:paraId="16F891CC" w14:textId="77777777" w:rsidR="00610897" w:rsidRPr="00610897" w:rsidRDefault="00610897" w:rsidP="00610897">
            <w:pPr>
              <w:jc w:val="both"/>
              <w:rPr>
                <w:rFonts w:ascii="Garamond" w:eastAsia="Calibri" w:hAnsi="Garamond"/>
                <w:color w:val="000000"/>
                <w:sz w:val="16"/>
                <w:szCs w:val="16"/>
              </w:rPr>
            </w:pPr>
          </w:p>
        </w:tc>
        <w:tc>
          <w:tcPr>
            <w:tcW w:w="1268" w:type="dxa"/>
          </w:tcPr>
          <w:p w14:paraId="58FE0C5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582" w:type="dxa"/>
          </w:tcPr>
          <w:p w14:paraId="252D09AE" w14:textId="77777777" w:rsidR="00610897" w:rsidRPr="00610897" w:rsidRDefault="00610897" w:rsidP="00610897">
            <w:pPr>
              <w:jc w:val="both"/>
              <w:rPr>
                <w:rFonts w:ascii="Garamond" w:eastAsia="Calibri" w:hAnsi="Garamond"/>
                <w:color w:val="000000"/>
                <w:sz w:val="16"/>
                <w:szCs w:val="16"/>
              </w:rPr>
            </w:pPr>
          </w:p>
        </w:tc>
      </w:tr>
      <w:tr w:rsidR="00610897" w:rsidRPr="00610897" w14:paraId="23CB6A86" w14:textId="77777777" w:rsidTr="002441E4">
        <w:trPr>
          <w:trHeight w:val="272"/>
        </w:trPr>
        <w:tc>
          <w:tcPr>
            <w:tcW w:w="571" w:type="dxa"/>
          </w:tcPr>
          <w:p w14:paraId="60D5EE48"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22</w:t>
            </w:r>
          </w:p>
        </w:tc>
        <w:tc>
          <w:tcPr>
            <w:tcW w:w="2619" w:type="dxa"/>
          </w:tcPr>
          <w:p w14:paraId="0A231C19"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Akhigbe</w:t>
            </w:r>
            <w:proofErr w:type="spellEnd"/>
            <w:r w:rsidRPr="00610897">
              <w:rPr>
                <w:rFonts w:ascii="Garamond" w:eastAsia="Calibri" w:hAnsi="Garamond"/>
                <w:color w:val="000000"/>
                <w:sz w:val="16"/>
                <w:szCs w:val="16"/>
              </w:rPr>
              <w:t xml:space="preserve"> and Martin (2008)</w:t>
            </w:r>
          </w:p>
        </w:tc>
        <w:tc>
          <w:tcPr>
            <w:tcW w:w="1902" w:type="dxa"/>
          </w:tcPr>
          <w:p w14:paraId="7FF999A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110" w:type="dxa"/>
          </w:tcPr>
          <w:p w14:paraId="2589CE07" w14:textId="77777777" w:rsidR="00610897" w:rsidRPr="00610897" w:rsidRDefault="00610897" w:rsidP="00610897">
            <w:pPr>
              <w:jc w:val="both"/>
              <w:rPr>
                <w:rFonts w:ascii="Garamond" w:eastAsia="Calibri" w:hAnsi="Garamond"/>
                <w:color w:val="000000"/>
                <w:sz w:val="16"/>
                <w:szCs w:val="16"/>
              </w:rPr>
            </w:pPr>
          </w:p>
        </w:tc>
        <w:tc>
          <w:tcPr>
            <w:tcW w:w="1114" w:type="dxa"/>
          </w:tcPr>
          <w:p w14:paraId="32B1BB56" w14:textId="77777777" w:rsidR="00610897" w:rsidRPr="00610897" w:rsidRDefault="00610897" w:rsidP="00610897">
            <w:pPr>
              <w:jc w:val="both"/>
              <w:rPr>
                <w:rFonts w:ascii="Garamond" w:eastAsia="Calibri" w:hAnsi="Garamond"/>
                <w:color w:val="000000"/>
                <w:sz w:val="16"/>
                <w:szCs w:val="16"/>
              </w:rPr>
            </w:pPr>
          </w:p>
        </w:tc>
        <w:tc>
          <w:tcPr>
            <w:tcW w:w="1268" w:type="dxa"/>
          </w:tcPr>
          <w:p w14:paraId="676C8F1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111" w:type="dxa"/>
          </w:tcPr>
          <w:p w14:paraId="4ABA0559" w14:textId="77777777" w:rsidR="00610897" w:rsidRPr="00610897" w:rsidRDefault="00610897" w:rsidP="00610897">
            <w:pPr>
              <w:jc w:val="both"/>
              <w:rPr>
                <w:rFonts w:ascii="Garamond" w:eastAsia="Calibri" w:hAnsi="Garamond"/>
                <w:color w:val="000000"/>
                <w:sz w:val="16"/>
                <w:szCs w:val="16"/>
              </w:rPr>
            </w:pPr>
          </w:p>
        </w:tc>
        <w:tc>
          <w:tcPr>
            <w:tcW w:w="1587" w:type="dxa"/>
          </w:tcPr>
          <w:p w14:paraId="5D6C16AD"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27" w:type="dxa"/>
          </w:tcPr>
          <w:p w14:paraId="16AEC18B" w14:textId="77777777" w:rsidR="00610897" w:rsidRPr="00610897" w:rsidRDefault="00610897" w:rsidP="00610897">
            <w:pPr>
              <w:jc w:val="both"/>
              <w:rPr>
                <w:rFonts w:ascii="Garamond" w:eastAsia="Calibri" w:hAnsi="Garamond"/>
                <w:color w:val="000000"/>
                <w:sz w:val="16"/>
                <w:szCs w:val="16"/>
              </w:rPr>
            </w:pPr>
          </w:p>
        </w:tc>
        <w:tc>
          <w:tcPr>
            <w:tcW w:w="1268" w:type="dxa"/>
          </w:tcPr>
          <w:p w14:paraId="4943AB0A" w14:textId="77777777" w:rsidR="00610897" w:rsidRPr="00610897" w:rsidRDefault="00610897" w:rsidP="00610897">
            <w:pPr>
              <w:jc w:val="both"/>
              <w:rPr>
                <w:rFonts w:ascii="Garamond" w:eastAsia="Calibri" w:hAnsi="Garamond"/>
                <w:color w:val="000000"/>
                <w:sz w:val="16"/>
                <w:szCs w:val="16"/>
              </w:rPr>
            </w:pPr>
          </w:p>
        </w:tc>
        <w:tc>
          <w:tcPr>
            <w:tcW w:w="1582" w:type="dxa"/>
          </w:tcPr>
          <w:p w14:paraId="44058BA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r>
      <w:tr w:rsidR="00610897" w:rsidRPr="00610897" w14:paraId="21E45658" w14:textId="77777777" w:rsidTr="002441E4">
        <w:trPr>
          <w:trHeight w:val="272"/>
        </w:trPr>
        <w:tc>
          <w:tcPr>
            <w:tcW w:w="571" w:type="dxa"/>
          </w:tcPr>
          <w:p w14:paraId="4DC25CE3"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23</w:t>
            </w:r>
          </w:p>
        </w:tc>
        <w:tc>
          <w:tcPr>
            <w:tcW w:w="2619" w:type="dxa"/>
          </w:tcPr>
          <w:p w14:paraId="347251DF"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Pérignon</w:t>
            </w:r>
            <w:proofErr w:type="spellEnd"/>
            <w:r w:rsidRPr="00610897">
              <w:rPr>
                <w:rFonts w:ascii="Garamond" w:eastAsia="Calibri" w:hAnsi="Garamond"/>
                <w:color w:val="000000"/>
                <w:sz w:val="16"/>
                <w:szCs w:val="16"/>
              </w:rPr>
              <w:t xml:space="preserve"> and Smith (2010)</w:t>
            </w:r>
          </w:p>
        </w:tc>
        <w:tc>
          <w:tcPr>
            <w:tcW w:w="1902" w:type="dxa"/>
          </w:tcPr>
          <w:p w14:paraId="20BBB6F3" w14:textId="77777777" w:rsidR="00610897" w:rsidRPr="00610897" w:rsidRDefault="00610897" w:rsidP="00610897">
            <w:pPr>
              <w:jc w:val="both"/>
              <w:rPr>
                <w:rFonts w:ascii="Garamond" w:eastAsia="Calibri" w:hAnsi="Garamond"/>
                <w:color w:val="000000"/>
                <w:sz w:val="16"/>
                <w:szCs w:val="16"/>
              </w:rPr>
            </w:pPr>
          </w:p>
        </w:tc>
        <w:tc>
          <w:tcPr>
            <w:tcW w:w="1110" w:type="dxa"/>
          </w:tcPr>
          <w:p w14:paraId="5C664112" w14:textId="77777777" w:rsidR="00610897" w:rsidRPr="00610897" w:rsidRDefault="00610897" w:rsidP="00610897">
            <w:pPr>
              <w:jc w:val="both"/>
              <w:rPr>
                <w:rFonts w:ascii="Garamond" w:eastAsia="Calibri" w:hAnsi="Garamond"/>
                <w:color w:val="000000"/>
                <w:sz w:val="16"/>
                <w:szCs w:val="16"/>
              </w:rPr>
            </w:pPr>
          </w:p>
        </w:tc>
        <w:tc>
          <w:tcPr>
            <w:tcW w:w="1114" w:type="dxa"/>
          </w:tcPr>
          <w:p w14:paraId="59DB439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268" w:type="dxa"/>
          </w:tcPr>
          <w:p w14:paraId="4BBD52A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111" w:type="dxa"/>
          </w:tcPr>
          <w:p w14:paraId="39186CC4" w14:textId="77777777" w:rsidR="00610897" w:rsidRPr="00610897" w:rsidRDefault="00610897" w:rsidP="00610897">
            <w:pPr>
              <w:jc w:val="both"/>
              <w:rPr>
                <w:rFonts w:ascii="Garamond" w:eastAsia="Calibri" w:hAnsi="Garamond"/>
                <w:color w:val="000000"/>
                <w:sz w:val="16"/>
                <w:szCs w:val="16"/>
              </w:rPr>
            </w:pPr>
          </w:p>
        </w:tc>
        <w:tc>
          <w:tcPr>
            <w:tcW w:w="1587" w:type="dxa"/>
          </w:tcPr>
          <w:p w14:paraId="7911797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27" w:type="dxa"/>
          </w:tcPr>
          <w:p w14:paraId="2E6D910A" w14:textId="77777777" w:rsidR="00610897" w:rsidRPr="00610897" w:rsidRDefault="00610897" w:rsidP="00610897">
            <w:pPr>
              <w:jc w:val="both"/>
              <w:rPr>
                <w:rFonts w:ascii="Garamond" w:eastAsia="Calibri" w:hAnsi="Garamond"/>
                <w:color w:val="000000"/>
                <w:sz w:val="16"/>
                <w:szCs w:val="16"/>
              </w:rPr>
            </w:pPr>
          </w:p>
        </w:tc>
        <w:tc>
          <w:tcPr>
            <w:tcW w:w="1268" w:type="dxa"/>
          </w:tcPr>
          <w:p w14:paraId="3C61F923" w14:textId="77777777" w:rsidR="00610897" w:rsidRPr="00610897" w:rsidRDefault="00610897" w:rsidP="00610897">
            <w:pPr>
              <w:jc w:val="both"/>
              <w:rPr>
                <w:rFonts w:ascii="Garamond" w:eastAsia="Calibri" w:hAnsi="Garamond"/>
                <w:color w:val="000000"/>
                <w:sz w:val="16"/>
                <w:szCs w:val="16"/>
              </w:rPr>
            </w:pPr>
          </w:p>
        </w:tc>
        <w:tc>
          <w:tcPr>
            <w:tcW w:w="1582" w:type="dxa"/>
          </w:tcPr>
          <w:p w14:paraId="159F78A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r>
      <w:tr w:rsidR="00610897" w:rsidRPr="00610897" w14:paraId="120A3261" w14:textId="77777777" w:rsidTr="002441E4">
        <w:trPr>
          <w:trHeight w:val="287"/>
        </w:trPr>
        <w:tc>
          <w:tcPr>
            <w:tcW w:w="571" w:type="dxa"/>
          </w:tcPr>
          <w:p w14:paraId="4FD11FDF"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24</w:t>
            </w:r>
          </w:p>
        </w:tc>
        <w:tc>
          <w:tcPr>
            <w:tcW w:w="2619" w:type="dxa"/>
          </w:tcPr>
          <w:p w14:paraId="24C086CE"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Kravet</w:t>
            </w:r>
            <w:proofErr w:type="spellEnd"/>
            <w:r w:rsidRPr="00610897">
              <w:rPr>
                <w:rFonts w:ascii="Garamond" w:eastAsia="Calibri" w:hAnsi="Garamond"/>
                <w:color w:val="000000"/>
                <w:sz w:val="16"/>
                <w:szCs w:val="16"/>
              </w:rPr>
              <w:t xml:space="preserve"> and </w:t>
            </w:r>
            <w:proofErr w:type="spellStart"/>
            <w:r w:rsidRPr="00610897">
              <w:rPr>
                <w:rFonts w:ascii="Garamond" w:eastAsia="Calibri" w:hAnsi="Garamond"/>
                <w:color w:val="000000"/>
                <w:sz w:val="16"/>
                <w:szCs w:val="16"/>
              </w:rPr>
              <w:t>Muslu</w:t>
            </w:r>
            <w:proofErr w:type="spellEnd"/>
            <w:r w:rsidRPr="00610897">
              <w:rPr>
                <w:rFonts w:ascii="Garamond" w:eastAsia="Calibri" w:hAnsi="Garamond"/>
                <w:color w:val="000000"/>
                <w:sz w:val="16"/>
                <w:szCs w:val="16"/>
              </w:rPr>
              <w:t xml:space="preserve"> (2013)</w:t>
            </w:r>
          </w:p>
        </w:tc>
        <w:tc>
          <w:tcPr>
            <w:tcW w:w="1902" w:type="dxa"/>
          </w:tcPr>
          <w:p w14:paraId="090049A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110" w:type="dxa"/>
          </w:tcPr>
          <w:p w14:paraId="6B175E91" w14:textId="77777777" w:rsidR="00610897" w:rsidRPr="00610897" w:rsidRDefault="00610897" w:rsidP="00610897">
            <w:pPr>
              <w:jc w:val="both"/>
              <w:rPr>
                <w:rFonts w:ascii="Garamond" w:eastAsia="Calibri" w:hAnsi="Garamond"/>
                <w:color w:val="000000"/>
                <w:sz w:val="16"/>
                <w:szCs w:val="16"/>
              </w:rPr>
            </w:pPr>
          </w:p>
        </w:tc>
        <w:tc>
          <w:tcPr>
            <w:tcW w:w="1114" w:type="dxa"/>
          </w:tcPr>
          <w:p w14:paraId="7A93D004" w14:textId="77777777" w:rsidR="00610897" w:rsidRPr="00610897" w:rsidRDefault="00610897" w:rsidP="00610897">
            <w:pPr>
              <w:jc w:val="both"/>
              <w:rPr>
                <w:rFonts w:ascii="Garamond" w:eastAsia="Calibri" w:hAnsi="Garamond"/>
                <w:color w:val="000000"/>
                <w:sz w:val="16"/>
                <w:szCs w:val="16"/>
              </w:rPr>
            </w:pPr>
          </w:p>
        </w:tc>
        <w:tc>
          <w:tcPr>
            <w:tcW w:w="1268" w:type="dxa"/>
          </w:tcPr>
          <w:p w14:paraId="13A02683" w14:textId="77777777" w:rsidR="00610897" w:rsidRPr="00610897" w:rsidRDefault="00610897" w:rsidP="00610897">
            <w:pPr>
              <w:jc w:val="both"/>
              <w:rPr>
                <w:rFonts w:ascii="Garamond" w:eastAsia="Calibri" w:hAnsi="Garamond"/>
                <w:color w:val="000000"/>
                <w:sz w:val="16"/>
                <w:szCs w:val="16"/>
              </w:rPr>
            </w:pPr>
          </w:p>
        </w:tc>
        <w:tc>
          <w:tcPr>
            <w:tcW w:w="1111" w:type="dxa"/>
          </w:tcPr>
          <w:p w14:paraId="01F2293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587" w:type="dxa"/>
          </w:tcPr>
          <w:p w14:paraId="4223CA3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27" w:type="dxa"/>
          </w:tcPr>
          <w:p w14:paraId="72128D41" w14:textId="77777777" w:rsidR="00610897" w:rsidRPr="00610897" w:rsidRDefault="00610897" w:rsidP="00610897">
            <w:pPr>
              <w:jc w:val="both"/>
              <w:rPr>
                <w:rFonts w:ascii="Garamond" w:eastAsia="Calibri" w:hAnsi="Garamond"/>
                <w:color w:val="000000"/>
                <w:sz w:val="16"/>
                <w:szCs w:val="16"/>
              </w:rPr>
            </w:pPr>
          </w:p>
        </w:tc>
        <w:tc>
          <w:tcPr>
            <w:tcW w:w="1268" w:type="dxa"/>
          </w:tcPr>
          <w:p w14:paraId="4CC1FA90"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582" w:type="dxa"/>
          </w:tcPr>
          <w:p w14:paraId="48B63B35" w14:textId="77777777" w:rsidR="00610897" w:rsidRPr="00610897" w:rsidRDefault="00610897" w:rsidP="00610897">
            <w:pPr>
              <w:jc w:val="both"/>
              <w:rPr>
                <w:rFonts w:ascii="Garamond" w:eastAsia="Calibri" w:hAnsi="Garamond"/>
                <w:color w:val="000000"/>
                <w:sz w:val="16"/>
                <w:szCs w:val="16"/>
              </w:rPr>
            </w:pPr>
          </w:p>
        </w:tc>
      </w:tr>
      <w:tr w:rsidR="00610897" w:rsidRPr="00610897" w14:paraId="067E6B4B" w14:textId="77777777" w:rsidTr="002441E4">
        <w:trPr>
          <w:trHeight w:val="272"/>
        </w:trPr>
        <w:tc>
          <w:tcPr>
            <w:tcW w:w="571" w:type="dxa"/>
          </w:tcPr>
          <w:p w14:paraId="2C3B69B6"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25</w:t>
            </w:r>
          </w:p>
        </w:tc>
        <w:tc>
          <w:tcPr>
            <w:tcW w:w="2619" w:type="dxa"/>
          </w:tcPr>
          <w:p w14:paraId="7E5346F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Abraham and Shrives (2014)</w:t>
            </w:r>
          </w:p>
        </w:tc>
        <w:tc>
          <w:tcPr>
            <w:tcW w:w="1902" w:type="dxa"/>
          </w:tcPr>
          <w:p w14:paraId="5BD6D92F" w14:textId="77777777" w:rsidR="00610897" w:rsidRPr="00610897" w:rsidRDefault="00610897" w:rsidP="00610897">
            <w:pPr>
              <w:jc w:val="both"/>
              <w:rPr>
                <w:rFonts w:ascii="Garamond" w:eastAsia="Calibri" w:hAnsi="Garamond"/>
                <w:color w:val="000000"/>
                <w:sz w:val="16"/>
                <w:szCs w:val="16"/>
              </w:rPr>
            </w:pPr>
          </w:p>
        </w:tc>
        <w:tc>
          <w:tcPr>
            <w:tcW w:w="1110" w:type="dxa"/>
          </w:tcPr>
          <w:p w14:paraId="5C56BD5C" w14:textId="77777777" w:rsidR="00610897" w:rsidRPr="00610897" w:rsidRDefault="00610897" w:rsidP="00610897">
            <w:pPr>
              <w:jc w:val="both"/>
              <w:rPr>
                <w:rFonts w:ascii="Garamond" w:eastAsia="Calibri" w:hAnsi="Garamond"/>
                <w:color w:val="000000"/>
                <w:sz w:val="16"/>
                <w:szCs w:val="16"/>
              </w:rPr>
            </w:pPr>
          </w:p>
        </w:tc>
        <w:tc>
          <w:tcPr>
            <w:tcW w:w="1114" w:type="dxa"/>
          </w:tcPr>
          <w:p w14:paraId="06AB51B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268" w:type="dxa"/>
          </w:tcPr>
          <w:p w14:paraId="756B4E9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111" w:type="dxa"/>
          </w:tcPr>
          <w:p w14:paraId="30B21680" w14:textId="77777777" w:rsidR="00610897" w:rsidRPr="00610897" w:rsidRDefault="00610897" w:rsidP="00610897">
            <w:pPr>
              <w:jc w:val="both"/>
              <w:rPr>
                <w:rFonts w:ascii="Garamond" w:eastAsia="Calibri" w:hAnsi="Garamond"/>
                <w:color w:val="000000"/>
                <w:sz w:val="16"/>
                <w:szCs w:val="16"/>
              </w:rPr>
            </w:pPr>
          </w:p>
        </w:tc>
        <w:tc>
          <w:tcPr>
            <w:tcW w:w="1587" w:type="dxa"/>
          </w:tcPr>
          <w:p w14:paraId="3B15EFB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27" w:type="dxa"/>
          </w:tcPr>
          <w:p w14:paraId="5399F055" w14:textId="77777777" w:rsidR="00610897" w:rsidRPr="00610897" w:rsidRDefault="00610897" w:rsidP="00610897">
            <w:pPr>
              <w:jc w:val="both"/>
              <w:rPr>
                <w:rFonts w:ascii="Garamond" w:eastAsia="Calibri" w:hAnsi="Garamond"/>
                <w:color w:val="000000"/>
                <w:sz w:val="16"/>
                <w:szCs w:val="16"/>
              </w:rPr>
            </w:pPr>
          </w:p>
        </w:tc>
        <w:tc>
          <w:tcPr>
            <w:tcW w:w="1268" w:type="dxa"/>
          </w:tcPr>
          <w:p w14:paraId="53A5D73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582" w:type="dxa"/>
          </w:tcPr>
          <w:p w14:paraId="1C3DB611" w14:textId="77777777" w:rsidR="00610897" w:rsidRPr="00610897" w:rsidRDefault="00610897" w:rsidP="00610897">
            <w:pPr>
              <w:jc w:val="both"/>
              <w:rPr>
                <w:rFonts w:ascii="Garamond" w:eastAsia="Calibri" w:hAnsi="Garamond"/>
                <w:color w:val="000000"/>
                <w:sz w:val="16"/>
                <w:szCs w:val="16"/>
              </w:rPr>
            </w:pPr>
          </w:p>
        </w:tc>
      </w:tr>
      <w:tr w:rsidR="00610897" w:rsidRPr="00610897" w14:paraId="33882C07" w14:textId="77777777" w:rsidTr="002441E4">
        <w:trPr>
          <w:trHeight w:val="272"/>
        </w:trPr>
        <w:tc>
          <w:tcPr>
            <w:tcW w:w="571" w:type="dxa"/>
          </w:tcPr>
          <w:p w14:paraId="3AE6C9CE"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26</w:t>
            </w:r>
          </w:p>
        </w:tc>
        <w:tc>
          <w:tcPr>
            <w:tcW w:w="2619" w:type="dxa"/>
          </w:tcPr>
          <w:p w14:paraId="42D8A819"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Bao</w:t>
            </w:r>
            <w:proofErr w:type="spellEnd"/>
            <w:r w:rsidRPr="00610897">
              <w:rPr>
                <w:rFonts w:ascii="Garamond" w:eastAsia="Calibri" w:hAnsi="Garamond"/>
                <w:color w:val="000000"/>
                <w:sz w:val="16"/>
                <w:szCs w:val="16"/>
              </w:rPr>
              <w:t xml:space="preserve"> and </w:t>
            </w:r>
            <w:proofErr w:type="spellStart"/>
            <w:r w:rsidRPr="00610897">
              <w:rPr>
                <w:rFonts w:ascii="Garamond" w:eastAsia="Calibri" w:hAnsi="Garamond"/>
                <w:color w:val="000000"/>
                <w:sz w:val="16"/>
                <w:szCs w:val="16"/>
              </w:rPr>
              <w:t>Datta</w:t>
            </w:r>
            <w:proofErr w:type="spellEnd"/>
            <w:r w:rsidRPr="00610897">
              <w:rPr>
                <w:rFonts w:ascii="Garamond" w:eastAsia="Calibri" w:hAnsi="Garamond"/>
                <w:color w:val="000000"/>
                <w:sz w:val="16"/>
                <w:szCs w:val="16"/>
              </w:rPr>
              <w:t xml:space="preserve"> (2014)</w:t>
            </w:r>
          </w:p>
        </w:tc>
        <w:tc>
          <w:tcPr>
            <w:tcW w:w="1902" w:type="dxa"/>
          </w:tcPr>
          <w:p w14:paraId="0CB58CC5" w14:textId="77777777" w:rsidR="00610897" w:rsidRPr="00610897" w:rsidRDefault="00610897" w:rsidP="00610897">
            <w:pPr>
              <w:jc w:val="both"/>
              <w:rPr>
                <w:rFonts w:ascii="Garamond" w:eastAsia="Calibri" w:hAnsi="Garamond"/>
                <w:color w:val="000000"/>
                <w:sz w:val="16"/>
                <w:szCs w:val="16"/>
              </w:rPr>
            </w:pPr>
          </w:p>
        </w:tc>
        <w:tc>
          <w:tcPr>
            <w:tcW w:w="1110" w:type="dxa"/>
          </w:tcPr>
          <w:p w14:paraId="2BE61232" w14:textId="77777777" w:rsidR="00610897" w:rsidRPr="00610897" w:rsidRDefault="00610897" w:rsidP="00610897">
            <w:pPr>
              <w:jc w:val="both"/>
              <w:rPr>
                <w:rFonts w:ascii="Garamond" w:eastAsia="Calibri" w:hAnsi="Garamond"/>
                <w:color w:val="000000"/>
                <w:sz w:val="16"/>
                <w:szCs w:val="16"/>
              </w:rPr>
            </w:pPr>
          </w:p>
        </w:tc>
        <w:tc>
          <w:tcPr>
            <w:tcW w:w="1114" w:type="dxa"/>
          </w:tcPr>
          <w:p w14:paraId="3454DD9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268" w:type="dxa"/>
          </w:tcPr>
          <w:p w14:paraId="36C579AB" w14:textId="77777777" w:rsidR="00610897" w:rsidRPr="00610897" w:rsidRDefault="00610897" w:rsidP="00610897">
            <w:pPr>
              <w:jc w:val="both"/>
              <w:rPr>
                <w:rFonts w:ascii="Garamond" w:eastAsia="Calibri" w:hAnsi="Garamond"/>
                <w:color w:val="000000"/>
                <w:sz w:val="16"/>
                <w:szCs w:val="16"/>
              </w:rPr>
            </w:pPr>
          </w:p>
        </w:tc>
        <w:tc>
          <w:tcPr>
            <w:tcW w:w="1111" w:type="dxa"/>
          </w:tcPr>
          <w:p w14:paraId="50D9551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587" w:type="dxa"/>
          </w:tcPr>
          <w:p w14:paraId="3CA2F1A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27" w:type="dxa"/>
          </w:tcPr>
          <w:p w14:paraId="521D95BE" w14:textId="77777777" w:rsidR="00610897" w:rsidRPr="00610897" w:rsidRDefault="00610897" w:rsidP="00610897">
            <w:pPr>
              <w:jc w:val="both"/>
              <w:rPr>
                <w:rFonts w:ascii="Garamond" w:eastAsia="Calibri" w:hAnsi="Garamond"/>
                <w:color w:val="000000"/>
                <w:sz w:val="16"/>
                <w:szCs w:val="16"/>
              </w:rPr>
            </w:pPr>
          </w:p>
        </w:tc>
        <w:tc>
          <w:tcPr>
            <w:tcW w:w="1268" w:type="dxa"/>
          </w:tcPr>
          <w:p w14:paraId="5406807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582" w:type="dxa"/>
          </w:tcPr>
          <w:p w14:paraId="187AA13C" w14:textId="77777777" w:rsidR="00610897" w:rsidRPr="00610897" w:rsidRDefault="00610897" w:rsidP="00610897">
            <w:pPr>
              <w:jc w:val="both"/>
              <w:rPr>
                <w:rFonts w:ascii="Garamond" w:eastAsia="Calibri" w:hAnsi="Garamond"/>
                <w:color w:val="000000"/>
                <w:sz w:val="16"/>
                <w:szCs w:val="16"/>
              </w:rPr>
            </w:pPr>
          </w:p>
        </w:tc>
      </w:tr>
      <w:tr w:rsidR="00610897" w:rsidRPr="00610897" w14:paraId="17E042F7" w14:textId="77777777" w:rsidTr="002441E4">
        <w:trPr>
          <w:trHeight w:val="272"/>
        </w:trPr>
        <w:tc>
          <w:tcPr>
            <w:tcW w:w="571" w:type="dxa"/>
          </w:tcPr>
          <w:p w14:paraId="0A0DC8FC"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27</w:t>
            </w:r>
          </w:p>
        </w:tc>
        <w:tc>
          <w:tcPr>
            <w:tcW w:w="2619" w:type="dxa"/>
          </w:tcPr>
          <w:p w14:paraId="4DE4271D"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Elbannan</w:t>
            </w:r>
            <w:proofErr w:type="spellEnd"/>
            <w:r w:rsidRPr="00610897">
              <w:rPr>
                <w:rFonts w:ascii="Garamond" w:eastAsia="Calibri" w:hAnsi="Garamond"/>
                <w:color w:val="000000"/>
                <w:sz w:val="16"/>
                <w:szCs w:val="16"/>
              </w:rPr>
              <w:t xml:space="preserve"> and </w:t>
            </w:r>
            <w:proofErr w:type="spellStart"/>
            <w:r w:rsidRPr="00610897">
              <w:rPr>
                <w:rFonts w:ascii="Garamond" w:eastAsia="Calibri" w:hAnsi="Garamond"/>
                <w:color w:val="000000"/>
                <w:sz w:val="16"/>
                <w:szCs w:val="16"/>
              </w:rPr>
              <w:t>Elbannan</w:t>
            </w:r>
            <w:proofErr w:type="spellEnd"/>
            <w:r w:rsidRPr="00610897">
              <w:rPr>
                <w:rFonts w:ascii="Garamond" w:eastAsia="Calibri" w:hAnsi="Garamond"/>
                <w:color w:val="000000"/>
                <w:sz w:val="16"/>
                <w:szCs w:val="16"/>
              </w:rPr>
              <w:t xml:space="preserve"> (2015)</w:t>
            </w:r>
          </w:p>
        </w:tc>
        <w:tc>
          <w:tcPr>
            <w:tcW w:w="1902" w:type="dxa"/>
          </w:tcPr>
          <w:p w14:paraId="44BD6CE2" w14:textId="77777777" w:rsidR="00610897" w:rsidRPr="00610897" w:rsidRDefault="00610897" w:rsidP="00610897">
            <w:pPr>
              <w:jc w:val="both"/>
              <w:rPr>
                <w:rFonts w:ascii="Garamond" w:eastAsia="Calibri" w:hAnsi="Garamond"/>
                <w:color w:val="000000"/>
                <w:sz w:val="16"/>
                <w:szCs w:val="16"/>
              </w:rPr>
            </w:pPr>
          </w:p>
        </w:tc>
        <w:tc>
          <w:tcPr>
            <w:tcW w:w="1110" w:type="dxa"/>
          </w:tcPr>
          <w:p w14:paraId="320702C7" w14:textId="77777777" w:rsidR="00610897" w:rsidRPr="00610897" w:rsidRDefault="00610897" w:rsidP="00610897">
            <w:pPr>
              <w:jc w:val="both"/>
              <w:rPr>
                <w:rFonts w:ascii="Garamond" w:eastAsia="Calibri" w:hAnsi="Garamond"/>
                <w:color w:val="000000"/>
                <w:sz w:val="16"/>
                <w:szCs w:val="16"/>
              </w:rPr>
            </w:pPr>
          </w:p>
        </w:tc>
        <w:tc>
          <w:tcPr>
            <w:tcW w:w="1114" w:type="dxa"/>
          </w:tcPr>
          <w:p w14:paraId="52025C9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268" w:type="dxa"/>
          </w:tcPr>
          <w:p w14:paraId="3FA7E87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111" w:type="dxa"/>
          </w:tcPr>
          <w:p w14:paraId="278D4F75" w14:textId="77777777" w:rsidR="00610897" w:rsidRPr="00610897" w:rsidRDefault="00610897" w:rsidP="00610897">
            <w:pPr>
              <w:jc w:val="both"/>
              <w:rPr>
                <w:rFonts w:ascii="Garamond" w:eastAsia="Calibri" w:hAnsi="Garamond"/>
                <w:color w:val="000000"/>
                <w:sz w:val="16"/>
                <w:szCs w:val="16"/>
              </w:rPr>
            </w:pPr>
          </w:p>
        </w:tc>
        <w:tc>
          <w:tcPr>
            <w:tcW w:w="1587" w:type="dxa"/>
          </w:tcPr>
          <w:p w14:paraId="732E008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27" w:type="dxa"/>
          </w:tcPr>
          <w:p w14:paraId="46D68698" w14:textId="77777777" w:rsidR="00610897" w:rsidRPr="00610897" w:rsidRDefault="00610897" w:rsidP="00610897">
            <w:pPr>
              <w:jc w:val="both"/>
              <w:rPr>
                <w:rFonts w:ascii="Garamond" w:eastAsia="Calibri" w:hAnsi="Garamond"/>
                <w:color w:val="000000"/>
                <w:sz w:val="16"/>
                <w:szCs w:val="16"/>
              </w:rPr>
            </w:pPr>
          </w:p>
        </w:tc>
        <w:tc>
          <w:tcPr>
            <w:tcW w:w="1268" w:type="dxa"/>
          </w:tcPr>
          <w:p w14:paraId="2EF6495D" w14:textId="77777777" w:rsidR="00610897" w:rsidRPr="00610897" w:rsidRDefault="00610897" w:rsidP="00610897">
            <w:pPr>
              <w:jc w:val="both"/>
              <w:rPr>
                <w:rFonts w:ascii="Garamond" w:eastAsia="Calibri" w:hAnsi="Garamond"/>
                <w:color w:val="000000"/>
                <w:sz w:val="16"/>
                <w:szCs w:val="16"/>
              </w:rPr>
            </w:pPr>
          </w:p>
        </w:tc>
        <w:tc>
          <w:tcPr>
            <w:tcW w:w="1582" w:type="dxa"/>
          </w:tcPr>
          <w:p w14:paraId="39694DF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r>
      <w:tr w:rsidR="00610897" w:rsidRPr="00610897" w14:paraId="638300B6" w14:textId="77777777" w:rsidTr="002441E4">
        <w:trPr>
          <w:trHeight w:val="272"/>
        </w:trPr>
        <w:tc>
          <w:tcPr>
            <w:tcW w:w="571" w:type="dxa"/>
            <w:tcBorders>
              <w:bottom w:val="single" w:sz="4" w:space="0" w:color="auto"/>
            </w:tcBorders>
          </w:tcPr>
          <w:p w14:paraId="1175AF7C"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28</w:t>
            </w:r>
          </w:p>
        </w:tc>
        <w:tc>
          <w:tcPr>
            <w:tcW w:w="2619" w:type="dxa"/>
            <w:tcBorders>
              <w:bottom w:val="single" w:sz="4" w:space="0" w:color="auto"/>
            </w:tcBorders>
          </w:tcPr>
          <w:p w14:paraId="6AD9F2E6" w14:textId="77777777" w:rsidR="00610897" w:rsidRPr="00610897" w:rsidRDefault="00610897" w:rsidP="00610897">
            <w:pPr>
              <w:jc w:val="both"/>
              <w:rPr>
                <w:rFonts w:ascii="Garamond" w:eastAsia="Calibri" w:hAnsi="Garamond"/>
                <w:color w:val="000000"/>
                <w:sz w:val="16"/>
                <w:szCs w:val="16"/>
              </w:rPr>
            </w:pPr>
            <w:proofErr w:type="spellStart"/>
            <w:r w:rsidRPr="00610897">
              <w:rPr>
                <w:rFonts w:ascii="Garamond" w:eastAsia="Calibri" w:hAnsi="Garamond"/>
                <w:color w:val="000000"/>
                <w:sz w:val="16"/>
                <w:szCs w:val="16"/>
              </w:rPr>
              <w:t>Filzen</w:t>
            </w:r>
            <w:proofErr w:type="spellEnd"/>
            <w:r w:rsidRPr="00610897">
              <w:rPr>
                <w:rFonts w:ascii="Garamond" w:eastAsia="Calibri" w:hAnsi="Garamond"/>
                <w:color w:val="000000"/>
                <w:sz w:val="16"/>
                <w:szCs w:val="16"/>
              </w:rPr>
              <w:t xml:space="preserve"> (2015)</w:t>
            </w:r>
          </w:p>
        </w:tc>
        <w:tc>
          <w:tcPr>
            <w:tcW w:w="1902" w:type="dxa"/>
            <w:tcBorders>
              <w:bottom w:val="single" w:sz="4" w:space="0" w:color="auto"/>
            </w:tcBorders>
          </w:tcPr>
          <w:p w14:paraId="46484D00"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110" w:type="dxa"/>
            <w:tcBorders>
              <w:bottom w:val="single" w:sz="4" w:space="0" w:color="auto"/>
            </w:tcBorders>
          </w:tcPr>
          <w:p w14:paraId="5EBEE4F8" w14:textId="77777777" w:rsidR="00610897" w:rsidRPr="00610897" w:rsidRDefault="00610897" w:rsidP="00610897">
            <w:pPr>
              <w:jc w:val="both"/>
              <w:rPr>
                <w:rFonts w:ascii="Garamond" w:eastAsia="Calibri" w:hAnsi="Garamond"/>
                <w:color w:val="000000"/>
                <w:sz w:val="16"/>
                <w:szCs w:val="16"/>
              </w:rPr>
            </w:pPr>
          </w:p>
        </w:tc>
        <w:tc>
          <w:tcPr>
            <w:tcW w:w="1114" w:type="dxa"/>
            <w:tcBorders>
              <w:bottom w:val="single" w:sz="4" w:space="0" w:color="auto"/>
            </w:tcBorders>
          </w:tcPr>
          <w:p w14:paraId="5C62F47B" w14:textId="77777777" w:rsidR="00610897" w:rsidRPr="00610897" w:rsidRDefault="00610897" w:rsidP="00610897">
            <w:pPr>
              <w:jc w:val="both"/>
              <w:rPr>
                <w:rFonts w:ascii="Garamond" w:eastAsia="Calibri" w:hAnsi="Garamond"/>
                <w:color w:val="000000"/>
                <w:sz w:val="16"/>
                <w:szCs w:val="16"/>
              </w:rPr>
            </w:pPr>
          </w:p>
        </w:tc>
        <w:tc>
          <w:tcPr>
            <w:tcW w:w="1268" w:type="dxa"/>
            <w:tcBorders>
              <w:bottom w:val="single" w:sz="4" w:space="0" w:color="auto"/>
            </w:tcBorders>
          </w:tcPr>
          <w:p w14:paraId="5B49EC39" w14:textId="77777777" w:rsidR="00610897" w:rsidRPr="00610897" w:rsidRDefault="00610897" w:rsidP="00610897">
            <w:pPr>
              <w:jc w:val="both"/>
              <w:rPr>
                <w:rFonts w:ascii="Garamond" w:eastAsia="Calibri" w:hAnsi="Garamond"/>
                <w:color w:val="000000"/>
                <w:sz w:val="16"/>
                <w:szCs w:val="16"/>
              </w:rPr>
            </w:pPr>
          </w:p>
        </w:tc>
        <w:tc>
          <w:tcPr>
            <w:tcW w:w="1111" w:type="dxa"/>
            <w:tcBorders>
              <w:bottom w:val="single" w:sz="4" w:space="0" w:color="auto"/>
            </w:tcBorders>
          </w:tcPr>
          <w:p w14:paraId="3DF822D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587" w:type="dxa"/>
            <w:tcBorders>
              <w:bottom w:val="single" w:sz="4" w:space="0" w:color="auto"/>
            </w:tcBorders>
          </w:tcPr>
          <w:p w14:paraId="735E888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427" w:type="dxa"/>
            <w:tcBorders>
              <w:bottom w:val="single" w:sz="4" w:space="0" w:color="auto"/>
            </w:tcBorders>
          </w:tcPr>
          <w:p w14:paraId="0CA84969" w14:textId="77777777" w:rsidR="00610897" w:rsidRPr="00610897" w:rsidRDefault="00610897" w:rsidP="00610897">
            <w:pPr>
              <w:jc w:val="both"/>
              <w:rPr>
                <w:rFonts w:ascii="Garamond" w:eastAsia="Calibri" w:hAnsi="Garamond"/>
                <w:color w:val="000000"/>
                <w:sz w:val="16"/>
                <w:szCs w:val="16"/>
              </w:rPr>
            </w:pPr>
          </w:p>
        </w:tc>
        <w:tc>
          <w:tcPr>
            <w:tcW w:w="1268" w:type="dxa"/>
            <w:tcBorders>
              <w:bottom w:val="single" w:sz="4" w:space="0" w:color="auto"/>
            </w:tcBorders>
          </w:tcPr>
          <w:p w14:paraId="2F14F49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582" w:type="dxa"/>
            <w:tcBorders>
              <w:bottom w:val="single" w:sz="4" w:space="0" w:color="auto"/>
            </w:tcBorders>
          </w:tcPr>
          <w:p w14:paraId="51F9496F" w14:textId="77777777" w:rsidR="00610897" w:rsidRPr="00610897" w:rsidRDefault="00610897" w:rsidP="00610897">
            <w:pPr>
              <w:jc w:val="both"/>
              <w:rPr>
                <w:rFonts w:ascii="Garamond" w:eastAsia="Calibri" w:hAnsi="Garamond"/>
                <w:color w:val="000000"/>
                <w:sz w:val="16"/>
                <w:szCs w:val="16"/>
              </w:rPr>
            </w:pPr>
          </w:p>
        </w:tc>
      </w:tr>
    </w:tbl>
    <w:p w14:paraId="33BF3AB5" w14:textId="77777777" w:rsidR="00610897" w:rsidRPr="00610897" w:rsidRDefault="00610897" w:rsidP="00610897">
      <w:pPr>
        <w:spacing w:after="0" w:line="240" w:lineRule="auto"/>
        <w:rPr>
          <w:rFonts w:eastAsia="Calibri"/>
          <w:b/>
          <w:bCs/>
          <w:color w:val="000000"/>
          <w:kern w:val="0"/>
          <w:sz w:val="16"/>
          <w:szCs w:val="16"/>
        </w:rPr>
      </w:pPr>
    </w:p>
    <w:p w14:paraId="4A3BFD82" w14:textId="77777777" w:rsidR="00610897" w:rsidRPr="00610897" w:rsidRDefault="00610897" w:rsidP="00610897">
      <w:pPr>
        <w:spacing w:after="0" w:line="240" w:lineRule="auto"/>
        <w:rPr>
          <w:rFonts w:eastAsia="Calibri"/>
          <w:b/>
          <w:bCs/>
          <w:color w:val="000000"/>
          <w:kern w:val="0"/>
          <w:sz w:val="16"/>
          <w:szCs w:val="16"/>
        </w:rPr>
      </w:pPr>
    </w:p>
    <w:tbl>
      <w:tblPr>
        <w:tblStyle w:val="TableGrid2"/>
        <w:tblpPr w:leftFromText="180" w:rightFromText="180" w:vertAnchor="text" w:horzAnchor="margin" w:tblpXSpec="center" w:tblpY="-90"/>
        <w:tblW w:w="15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68"/>
        <w:gridCol w:w="1023"/>
        <w:gridCol w:w="1044"/>
        <w:gridCol w:w="1134"/>
        <w:gridCol w:w="6103"/>
        <w:gridCol w:w="1410"/>
        <w:gridCol w:w="2943"/>
      </w:tblGrid>
      <w:tr w:rsidR="00610897" w:rsidRPr="00610897" w14:paraId="74A54F85" w14:textId="77777777" w:rsidTr="002441E4">
        <w:trPr>
          <w:trHeight w:val="393"/>
        </w:trPr>
        <w:tc>
          <w:tcPr>
            <w:tcW w:w="15701" w:type="dxa"/>
            <w:gridSpan w:val="8"/>
            <w:tcBorders>
              <w:top w:val="single" w:sz="4" w:space="0" w:color="auto"/>
              <w:bottom w:val="single" w:sz="4" w:space="0" w:color="auto"/>
            </w:tcBorders>
          </w:tcPr>
          <w:p w14:paraId="7A793033" w14:textId="77777777" w:rsidR="00610897" w:rsidRPr="00610897" w:rsidRDefault="00610897" w:rsidP="00610897">
            <w:pPr>
              <w:tabs>
                <w:tab w:val="left" w:pos="5979"/>
              </w:tabs>
              <w:jc w:val="both"/>
              <w:rPr>
                <w:rFonts w:ascii="Garamond" w:eastAsia="Calibri" w:hAnsi="Garamond"/>
                <w:b/>
                <w:bCs/>
                <w:color w:val="000000"/>
                <w:sz w:val="16"/>
                <w:szCs w:val="16"/>
              </w:rPr>
            </w:pPr>
            <w:r w:rsidRPr="00610897">
              <w:rPr>
                <w:rFonts w:ascii="Garamond" w:eastAsia="Calibri" w:hAnsi="Garamond"/>
                <w:b/>
                <w:bCs/>
                <w:color w:val="000000"/>
                <w:sz w:val="16"/>
                <w:szCs w:val="16"/>
              </w:rPr>
              <w:t>Table 6</w:t>
            </w:r>
            <w:r w:rsidRPr="00610897">
              <w:rPr>
                <w:rFonts w:ascii="Garamond" w:eastAsia="Calibri" w:hAnsi="Garamond"/>
                <w:b/>
                <w:bCs/>
                <w:color w:val="000000"/>
                <w:sz w:val="16"/>
                <w:szCs w:val="16"/>
              </w:rPr>
              <w:tab/>
            </w:r>
          </w:p>
          <w:p w14:paraId="163B1BC7" w14:textId="77777777" w:rsidR="00610897" w:rsidRPr="00610897" w:rsidRDefault="00610897" w:rsidP="00610897">
            <w:pPr>
              <w:jc w:val="both"/>
              <w:rPr>
                <w:rFonts w:ascii="Garamond" w:eastAsia="Calibri" w:hAnsi="Garamond"/>
                <w:bCs/>
                <w:color w:val="000000"/>
                <w:sz w:val="16"/>
                <w:szCs w:val="16"/>
              </w:rPr>
            </w:pPr>
            <w:r w:rsidRPr="00610897">
              <w:rPr>
                <w:rFonts w:ascii="Garamond" w:eastAsia="Calibri" w:hAnsi="Garamond"/>
                <w:bCs/>
                <w:color w:val="000000"/>
                <w:sz w:val="16"/>
                <w:szCs w:val="16"/>
              </w:rPr>
              <w:t xml:space="preserve">Summary of empirical papers on risk reporting incentives and </w:t>
            </w:r>
            <w:proofErr w:type="spellStart"/>
            <w:r w:rsidRPr="00610897">
              <w:rPr>
                <w:rFonts w:ascii="Garamond" w:eastAsia="Calibri" w:hAnsi="Garamond"/>
                <w:bCs/>
                <w:color w:val="000000"/>
                <w:sz w:val="16"/>
                <w:szCs w:val="16"/>
              </w:rPr>
              <w:t>informativeness</w:t>
            </w:r>
            <w:proofErr w:type="spellEnd"/>
            <w:r w:rsidRPr="00610897">
              <w:rPr>
                <w:rFonts w:ascii="Garamond" w:eastAsia="Calibri" w:hAnsi="Garamond"/>
                <w:bCs/>
                <w:color w:val="000000"/>
                <w:sz w:val="16"/>
                <w:szCs w:val="16"/>
              </w:rPr>
              <w:t>, presented in chronological order</w:t>
            </w:r>
          </w:p>
        </w:tc>
      </w:tr>
      <w:tr w:rsidR="00610897" w:rsidRPr="00610897" w14:paraId="5C3DFB30" w14:textId="77777777" w:rsidTr="002441E4">
        <w:trPr>
          <w:trHeight w:val="583"/>
        </w:trPr>
        <w:tc>
          <w:tcPr>
            <w:tcW w:w="1276" w:type="dxa"/>
            <w:tcBorders>
              <w:top w:val="single" w:sz="4" w:space="0" w:color="auto"/>
              <w:bottom w:val="single" w:sz="4" w:space="0" w:color="auto"/>
            </w:tcBorders>
          </w:tcPr>
          <w:p w14:paraId="04E8A44C"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Study name (year)</w:t>
            </w:r>
          </w:p>
        </w:tc>
        <w:tc>
          <w:tcPr>
            <w:tcW w:w="768" w:type="dxa"/>
            <w:tcBorders>
              <w:top w:val="single" w:sz="4" w:space="0" w:color="auto"/>
              <w:bottom w:val="single" w:sz="4" w:space="0" w:color="auto"/>
            </w:tcBorders>
          </w:tcPr>
          <w:p w14:paraId="6BF3983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Journal</w:t>
            </w:r>
          </w:p>
        </w:tc>
        <w:tc>
          <w:tcPr>
            <w:tcW w:w="1023" w:type="dxa"/>
            <w:tcBorders>
              <w:bottom w:val="single" w:sz="4" w:space="0" w:color="auto"/>
            </w:tcBorders>
          </w:tcPr>
          <w:p w14:paraId="7B22DD40"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Jurisdiction</w:t>
            </w:r>
          </w:p>
        </w:tc>
        <w:tc>
          <w:tcPr>
            <w:tcW w:w="1044" w:type="dxa"/>
            <w:tcBorders>
              <w:bottom w:val="single" w:sz="4" w:space="0" w:color="auto"/>
            </w:tcBorders>
          </w:tcPr>
          <w:p w14:paraId="038EE2B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Sample</w:t>
            </w:r>
          </w:p>
        </w:tc>
        <w:tc>
          <w:tcPr>
            <w:tcW w:w="1134" w:type="dxa"/>
            <w:tcBorders>
              <w:top w:val="single" w:sz="4" w:space="0" w:color="auto"/>
              <w:bottom w:val="single" w:sz="4" w:space="0" w:color="auto"/>
            </w:tcBorders>
          </w:tcPr>
          <w:p w14:paraId="1B9BD00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Content analysis</w:t>
            </w:r>
          </w:p>
          <w:p w14:paraId="4387B48B"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(code unit)</w:t>
            </w:r>
          </w:p>
        </w:tc>
        <w:tc>
          <w:tcPr>
            <w:tcW w:w="6103" w:type="dxa"/>
            <w:tcBorders>
              <w:top w:val="single" w:sz="4" w:space="0" w:color="auto"/>
              <w:bottom w:val="single" w:sz="4" w:space="0" w:color="auto"/>
            </w:tcBorders>
          </w:tcPr>
          <w:p w14:paraId="48260DD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Findings</w:t>
            </w:r>
          </w:p>
        </w:tc>
        <w:tc>
          <w:tcPr>
            <w:tcW w:w="1410" w:type="dxa"/>
            <w:tcBorders>
              <w:top w:val="single" w:sz="4" w:space="0" w:color="auto"/>
              <w:bottom w:val="single" w:sz="4" w:space="0" w:color="auto"/>
            </w:tcBorders>
          </w:tcPr>
          <w:p w14:paraId="76EDC6A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Theoretical underpinnings</w:t>
            </w:r>
          </w:p>
        </w:tc>
        <w:tc>
          <w:tcPr>
            <w:tcW w:w="2943" w:type="dxa"/>
            <w:tcBorders>
              <w:top w:val="single" w:sz="4" w:space="0" w:color="auto"/>
              <w:bottom w:val="single" w:sz="4" w:space="0" w:color="auto"/>
            </w:tcBorders>
          </w:tcPr>
          <w:p w14:paraId="1AEB9EF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Limitations and/or related suggestions</w:t>
            </w:r>
          </w:p>
        </w:tc>
      </w:tr>
      <w:tr w:rsidR="00610897" w:rsidRPr="00610897" w14:paraId="4F052E40" w14:textId="77777777" w:rsidTr="002441E4">
        <w:trPr>
          <w:trHeight w:val="829"/>
        </w:trPr>
        <w:tc>
          <w:tcPr>
            <w:tcW w:w="1276" w:type="dxa"/>
          </w:tcPr>
          <w:p w14:paraId="50DA46A4"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Campbell et al. (2014)</w:t>
            </w:r>
          </w:p>
          <w:p w14:paraId="60D4D220" w14:textId="77777777" w:rsidR="00610897" w:rsidRPr="00610897" w:rsidRDefault="00610897" w:rsidP="00610897">
            <w:pPr>
              <w:rPr>
                <w:rFonts w:ascii="Garamond" w:eastAsia="Calibri" w:hAnsi="Garamond"/>
                <w:color w:val="000000"/>
                <w:sz w:val="16"/>
                <w:szCs w:val="16"/>
              </w:rPr>
            </w:pPr>
          </w:p>
        </w:tc>
        <w:tc>
          <w:tcPr>
            <w:tcW w:w="768" w:type="dxa"/>
          </w:tcPr>
          <w:p w14:paraId="5F8DF99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RAST</w:t>
            </w:r>
          </w:p>
          <w:p w14:paraId="64AC8871" w14:textId="77777777" w:rsidR="00610897" w:rsidRPr="00610897" w:rsidRDefault="00610897" w:rsidP="00610897">
            <w:pPr>
              <w:jc w:val="both"/>
              <w:rPr>
                <w:rFonts w:ascii="Garamond" w:eastAsia="Calibri" w:hAnsi="Garamond"/>
                <w:color w:val="000000"/>
                <w:sz w:val="16"/>
                <w:szCs w:val="16"/>
              </w:rPr>
            </w:pPr>
          </w:p>
        </w:tc>
        <w:tc>
          <w:tcPr>
            <w:tcW w:w="1023" w:type="dxa"/>
            <w:tcBorders>
              <w:top w:val="single" w:sz="4" w:space="0" w:color="auto"/>
            </w:tcBorders>
          </w:tcPr>
          <w:p w14:paraId="49FB438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USA</w:t>
            </w:r>
          </w:p>
        </w:tc>
        <w:tc>
          <w:tcPr>
            <w:tcW w:w="1044" w:type="dxa"/>
            <w:tcBorders>
              <w:top w:val="single" w:sz="4" w:space="0" w:color="auto"/>
            </w:tcBorders>
          </w:tcPr>
          <w:p w14:paraId="475B2C4C"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9076 firm-year observations</w:t>
            </w:r>
          </w:p>
          <w:p w14:paraId="0FBF42AB"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from 2005 to 2008</w:t>
            </w:r>
          </w:p>
          <w:p w14:paraId="376D528B" w14:textId="77777777" w:rsidR="00610897" w:rsidRPr="00610897" w:rsidRDefault="00610897" w:rsidP="00610897">
            <w:pPr>
              <w:rPr>
                <w:rFonts w:ascii="Garamond" w:eastAsia="Calibri" w:hAnsi="Garamond"/>
                <w:color w:val="000000"/>
                <w:sz w:val="16"/>
                <w:szCs w:val="16"/>
              </w:rPr>
            </w:pPr>
          </w:p>
        </w:tc>
        <w:tc>
          <w:tcPr>
            <w:tcW w:w="1134" w:type="dxa"/>
            <w:tcBorders>
              <w:top w:val="single" w:sz="4" w:space="0" w:color="auto"/>
            </w:tcBorders>
          </w:tcPr>
          <w:p w14:paraId="78046FB7"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Automated textual analysis (number of words)</w:t>
            </w:r>
          </w:p>
        </w:tc>
        <w:tc>
          <w:tcPr>
            <w:tcW w:w="6103" w:type="dxa"/>
            <w:tcBorders>
              <w:top w:val="single" w:sz="4" w:space="0" w:color="auto"/>
            </w:tcBorders>
          </w:tcPr>
          <w:p w14:paraId="5D3EBBC9"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Disclosed risk information has a significant association with market value and risk levels, and the authors conclude that risk information is firm-specific and useful to investors. They also find that textual risk disclosure in Section 1A (Risk Factors) of form 10-K is significantly associated with risk levels, and that the information conveyed in risk factor disclosures is reflected in systematic risk, idiosyncratic risk, information asymmetry, and firm value.</w:t>
            </w:r>
          </w:p>
        </w:tc>
        <w:tc>
          <w:tcPr>
            <w:tcW w:w="1410" w:type="dxa"/>
            <w:tcBorders>
              <w:top w:val="single" w:sz="4" w:space="0" w:color="auto"/>
            </w:tcBorders>
          </w:tcPr>
          <w:p w14:paraId="4AB6F50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Not specified </w:t>
            </w:r>
          </w:p>
          <w:p w14:paraId="67E39DD5" w14:textId="77777777" w:rsidR="00610897" w:rsidRPr="00610897" w:rsidRDefault="00610897" w:rsidP="00610897">
            <w:pPr>
              <w:jc w:val="both"/>
              <w:rPr>
                <w:rFonts w:ascii="Garamond" w:eastAsia="Calibri" w:hAnsi="Garamond"/>
                <w:color w:val="000000"/>
                <w:sz w:val="16"/>
                <w:szCs w:val="16"/>
              </w:rPr>
            </w:pPr>
          </w:p>
        </w:tc>
        <w:tc>
          <w:tcPr>
            <w:tcW w:w="2943" w:type="dxa"/>
            <w:tcBorders>
              <w:top w:val="single" w:sz="4" w:space="0" w:color="auto"/>
            </w:tcBorders>
          </w:tcPr>
          <w:p w14:paraId="222AD15E"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(1) Further research is needed to measure the impact of risk disclosure on the increased probability of bankruptcy and credit default.</w:t>
            </w:r>
          </w:p>
          <w:p w14:paraId="5FAEC695" w14:textId="77777777" w:rsidR="00610897" w:rsidRPr="00610897" w:rsidRDefault="00610897" w:rsidP="00610897">
            <w:pPr>
              <w:rPr>
                <w:rFonts w:ascii="Garamond" w:eastAsia="Calibri" w:hAnsi="Garamond"/>
                <w:color w:val="000000"/>
                <w:sz w:val="16"/>
                <w:szCs w:val="16"/>
              </w:rPr>
            </w:pPr>
          </w:p>
        </w:tc>
      </w:tr>
      <w:tr w:rsidR="00610897" w:rsidRPr="00610897" w14:paraId="593CA35F" w14:textId="77777777" w:rsidTr="002441E4">
        <w:trPr>
          <w:trHeight w:val="1038"/>
        </w:trPr>
        <w:tc>
          <w:tcPr>
            <w:tcW w:w="1276" w:type="dxa"/>
          </w:tcPr>
          <w:p w14:paraId="14CC2B37"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Elshandidy and Neri (2015)</w:t>
            </w:r>
          </w:p>
        </w:tc>
        <w:tc>
          <w:tcPr>
            <w:tcW w:w="768" w:type="dxa"/>
          </w:tcPr>
          <w:p w14:paraId="77A287E9"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CGIR</w:t>
            </w:r>
          </w:p>
        </w:tc>
        <w:tc>
          <w:tcPr>
            <w:tcW w:w="1023" w:type="dxa"/>
          </w:tcPr>
          <w:p w14:paraId="3144F8EC"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UK and Italy</w:t>
            </w:r>
          </w:p>
        </w:tc>
        <w:tc>
          <w:tcPr>
            <w:tcW w:w="1044" w:type="dxa"/>
          </w:tcPr>
          <w:p w14:paraId="3E0E3234"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Non-financial firms </w:t>
            </w:r>
          </w:p>
          <w:p w14:paraId="41A8BEC5"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June 2005 to June 2010</w:t>
            </w:r>
          </w:p>
          <w:p w14:paraId="01AB6928" w14:textId="77777777" w:rsidR="00610897" w:rsidRPr="00610897" w:rsidRDefault="00610897" w:rsidP="00610897">
            <w:pPr>
              <w:rPr>
                <w:rFonts w:ascii="Garamond" w:eastAsia="Calibri" w:hAnsi="Garamond"/>
                <w:color w:val="000000"/>
                <w:sz w:val="16"/>
                <w:szCs w:val="16"/>
              </w:rPr>
            </w:pPr>
          </w:p>
        </w:tc>
        <w:tc>
          <w:tcPr>
            <w:tcW w:w="1134" w:type="dxa"/>
          </w:tcPr>
          <w:p w14:paraId="27EDD1FD"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Automated textual analysis </w:t>
            </w:r>
          </w:p>
          <w:p w14:paraId="699DA210"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(number of sentences)</w:t>
            </w:r>
          </w:p>
        </w:tc>
        <w:tc>
          <w:tcPr>
            <w:tcW w:w="6103" w:type="dxa"/>
          </w:tcPr>
          <w:p w14:paraId="5F5F37C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The paper finds that governance factors are associated with decisions of UK (Italian) firms over whether to exhibit risk information voluntarily (mandatorily) in their annual report narratives. Furthermore, strongly governed firms in the UK tend to provide more meaningful risk information (observed through market liquidity) to their investors than weakly governed firms. In Italy, however, they find strongly governed firms risk information voluntarily, which significantly improves market liquidity.</w:t>
            </w:r>
          </w:p>
        </w:tc>
        <w:tc>
          <w:tcPr>
            <w:tcW w:w="1410" w:type="dxa"/>
          </w:tcPr>
          <w:p w14:paraId="62EB7959"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Agency theory </w:t>
            </w:r>
          </w:p>
        </w:tc>
        <w:tc>
          <w:tcPr>
            <w:tcW w:w="2943" w:type="dxa"/>
          </w:tcPr>
          <w:p w14:paraId="7E9B440A"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(1) Examining the quality rather than the quantity of risk.</w:t>
            </w:r>
          </w:p>
          <w:p w14:paraId="258E2560"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(2) Scrutinizing other corporate communication outlets (e.g., Li, 2010), such as online resources, conference calls, and/or financial analysts’ reports. </w:t>
            </w:r>
          </w:p>
        </w:tc>
      </w:tr>
      <w:tr w:rsidR="00610897" w:rsidRPr="00610897" w14:paraId="3837E998" w14:textId="77777777" w:rsidTr="002441E4">
        <w:trPr>
          <w:trHeight w:val="1255"/>
        </w:trPr>
        <w:tc>
          <w:tcPr>
            <w:tcW w:w="1276" w:type="dxa"/>
          </w:tcPr>
          <w:p w14:paraId="06546901"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Elshandidy and Shrives</w:t>
            </w:r>
          </w:p>
          <w:p w14:paraId="6F4CF7A5"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(2016)</w:t>
            </w:r>
          </w:p>
        </w:tc>
        <w:tc>
          <w:tcPr>
            <w:tcW w:w="768" w:type="dxa"/>
          </w:tcPr>
          <w:p w14:paraId="76C55C3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IJOA</w:t>
            </w:r>
          </w:p>
        </w:tc>
        <w:tc>
          <w:tcPr>
            <w:tcW w:w="1023" w:type="dxa"/>
          </w:tcPr>
          <w:p w14:paraId="0C6EA92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Germany</w:t>
            </w:r>
          </w:p>
        </w:tc>
        <w:tc>
          <w:tcPr>
            <w:tcW w:w="1044" w:type="dxa"/>
          </w:tcPr>
          <w:p w14:paraId="0C5D1A6A"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Non-financial firms from 2005 to 2009</w:t>
            </w:r>
          </w:p>
        </w:tc>
        <w:tc>
          <w:tcPr>
            <w:tcW w:w="1134" w:type="dxa"/>
          </w:tcPr>
          <w:p w14:paraId="6ACAF9AC"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Automated textual analysis </w:t>
            </w:r>
          </w:p>
          <w:p w14:paraId="07D918EC"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(number of sentences)</w:t>
            </w:r>
          </w:p>
        </w:tc>
        <w:tc>
          <w:tcPr>
            <w:tcW w:w="6103" w:type="dxa"/>
          </w:tcPr>
          <w:p w14:paraId="2E9DDCB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They find that the decision to provide or withhold risk information</w:t>
            </w:r>
            <w:r w:rsidRPr="00610897">
              <w:rPr>
                <w:rFonts w:ascii="Garamond" w:eastAsia="Calibri" w:hAnsi="Garamond"/>
                <w:color w:val="000000"/>
                <w:sz w:val="16"/>
                <w:szCs w:val="16"/>
                <w:lang w:val="en-US"/>
              </w:rPr>
              <w:t xml:space="preserve"> is more significantly associated with the underlying risk of a firm (i.e., market beta) than other environmental incentives (i.e., ownership structure, capital structure, external equity finance, and borrowing). The </w:t>
            </w:r>
            <w:r w:rsidRPr="00610897">
              <w:rPr>
                <w:rFonts w:ascii="Garamond" w:eastAsia="Calibri" w:hAnsi="Garamond"/>
                <w:color w:val="000000"/>
                <w:sz w:val="16"/>
                <w:szCs w:val="16"/>
              </w:rPr>
              <w:t>size and length of firms’ annual reports are the dominant factors that explain (German) firms’ provision of risk information. Also, the German market tends to positively (negatively) price good (bad) news about risk either by improving (worsening) market liquidity by removing (creating) information asymmetries, or by reducing (increasing) investor-perceived risk.</w:t>
            </w:r>
          </w:p>
        </w:tc>
        <w:tc>
          <w:tcPr>
            <w:tcW w:w="1410" w:type="dxa"/>
          </w:tcPr>
          <w:p w14:paraId="79284CA9"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Agency theory,</w:t>
            </w:r>
          </w:p>
          <w:p w14:paraId="1A11F1D9"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economic theory</w:t>
            </w:r>
          </w:p>
        </w:tc>
        <w:tc>
          <w:tcPr>
            <w:tcW w:w="2943" w:type="dxa"/>
          </w:tcPr>
          <w:p w14:paraId="3D77CE73"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(1) Investor-perceived risk can be measured directly through questionnaires rather than by relying on an indirect measure (i.e., volatility of stock returns). </w:t>
            </w:r>
          </w:p>
        </w:tc>
      </w:tr>
      <w:tr w:rsidR="00610897" w:rsidRPr="00610897" w14:paraId="30F070E0" w14:textId="77777777" w:rsidTr="002441E4">
        <w:trPr>
          <w:trHeight w:val="918"/>
        </w:trPr>
        <w:tc>
          <w:tcPr>
            <w:tcW w:w="1276" w:type="dxa"/>
            <w:tcBorders>
              <w:bottom w:val="single" w:sz="4" w:space="0" w:color="auto"/>
            </w:tcBorders>
          </w:tcPr>
          <w:p w14:paraId="54094190"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Hope et al. (2016)</w:t>
            </w:r>
          </w:p>
        </w:tc>
        <w:tc>
          <w:tcPr>
            <w:tcW w:w="768" w:type="dxa"/>
            <w:tcBorders>
              <w:bottom w:val="single" w:sz="4" w:space="0" w:color="auto"/>
            </w:tcBorders>
          </w:tcPr>
          <w:p w14:paraId="022506E2"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RAST</w:t>
            </w:r>
          </w:p>
        </w:tc>
        <w:tc>
          <w:tcPr>
            <w:tcW w:w="1023" w:type="dxa"/>
            <w:tcBorders>
              <w:bottom w:val="single" w:sz="4" w:space="0" w:color="auto"/>
            </w:tcBorders>
          </w:tcPr>
          <w:p w14:paraId="6185D03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USA</w:t>
            </w:r>
          </w:p>
        </w:tc>
        <w:tc>
          <w:tcPr>
            <w:tcW w:w="1044" w:type="dxa"/>
            <w:tcBorders>
              <w:bottom w:val="single" w:sz="4" w:space="0" w:color="auto"/>
            </w:tcBorders>
          </w:tcPr>
          <w:p w14:paraId="659185BA"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14,865 firm-year observations from 2006 to 2011</w:t>
            </w:r>
          </w:p>
        </w:tc>
        <w:tc>
          <w:tcPr>
            <w:tcW w:w="1134" w:type="dxa"/>
            <w:tcBorders>
              <w:bottom w:val="single" w:sz="4" w:space="0" w:color="auto"/>
            </w:tcBorders>
          </w:tcPr>
          <w:p w14:paraId="1AC426CF"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Automated textual analysis </w:t>
            </w:r>
          </w:p>
          <w:p w14:paraId="72119ECD"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(number of words)</w:t>
            </w:r>
          </w:p>
          <w:p w14:paraId="290602E1" w14:textId="77777777" w:rsidR="00610897" w:rsidRPr="00610897" w:rsidRDefault="00610897" w:rsidP="00610897">
            <w:pPr>
              <w:rPr>
                <w:rFonts w:ascii="Garamond" w:eastAsia="Calibri" w:hAnsi="Garamond"/>
                <w:color w:val="000000"/>
                <w:sz w:val="16"/>
                <w:szCs w:val="16"/>
              </w:rPr>
            </w:pPr>
          </w:p>
        </w:tc>
        <w:tc>
          <w:tcPr>
            <w:tcW w:w="6103" w:type="dxa"/>
            <w:tcBorders>
              <w:bottom w:val="single" w:sz="4" w:space="0" w:color="auto"/>
            </w:tcBorders>
          </w:tcPr>
          <w:p w14:paraId="66A9347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They find significant evidence that more specific risk factors enable analysts to better assess firms’ fundamental risk analysis. Their results suggest that risk factor disclosure is not boilerplate as some prior research has suggested (</w:t>
            </w:r>
            <w:proofErr w:type="spellStart"/>
            <w:r w:rsidRPr="00610897">
              <w:rPr>
                <w:rFonts w:ascii="Garamond" w:eastAsia="Calibri" w:hAnsi="Garamond"/>
                <w:color w:val="000000"/>
                <w:sz w:val="16"/>
                <w:szCs w:val="16"/>
              </w:rPr>
              <w:t>Kravet</w:t>
            </w:r>
            <w:proofErr w:type="spellEnd"/>
            <w:r w:rsidRPr="00610897">
              <w:rPr>
                <w:rFonts w:ascii="Garamond" w:eastAsia="Calibri" w:hAnsi="Garamond"/>
                <w:color w:val="000000"/>
                <w:sz w:val="16"/>
                <w:szCs w:val="16"/>
              </w:rPr>
              <w:t xml:space="preserve"> &amp; </w:t>
            </w:r>
            <w:proofErr w:type="spellStart"/>
            <w:r w:rsidRPr="00610897">
              <w:rPr>
                <w:rFonts w:ascii="Garamond" w:eastAsia="Calibri" w:hAnsi="Garamond"/>
                <w:color w:val="000000"/>
                <w:sz w:val="16"/>
                <w:szCs w:val="16"/>
              </w:rPr>
              <w:t>Muslu</w:t>
            </w:r>
            <w:proofErr w:type="spellEnd"/>
            <w:r w:rsidRPr="00610897">
              <w:rPr>
                <w:rFonts w:ascii="Garamond" w:eastAsia="Calibri" w:hAnsi="Garamond"/>
                <w:color w:val="000000"/>
                <w:sz w:val="16"/>
                <w:szCs w:val="16"/>
              </w:rPr>
              <w:t xml:space="preserve">, 2013). </w:t>
            </w:r>
          </w:p>
          <w:p w14:paraId="044FE646" w14:textId="77777777" w:rsidR="00610897" w:rsidRPr="00610897" w:rsidRDefault="00610897" w:rsidP="00610897">
            <w:pPr>
              <w:jc w:val="both"/>
              <w:rPr>
                <w:rFonts w:ascii="Garamond" w:eastAsia="Calibri" w:hAnsi="Garamond"/>
                <w:color w:val="000000"/>
                <w:sz w:val="16"/>
                <w:szCs w:val="16"/>
              </w:rPr>
            </w:pPr>
          </w:p>
        </w:tc>
        <w:tc>
          <w:tcPr>
            <w:tcW w:w="1410" w:type="dxa"/>
            <w:tcBorders>
              <w:bottom w:val="single" w:sz="4" w:space="0" w:color="auto"/>
            </w:tcBorders>
          </w:tcPr>
          <w:p w14:paraId="0841C1C2"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Proprietary costs theory</w:t>
            </w:r>
          </w:p>
        </w:tc>
        <w:tc>
          <w:tcPr>
            <w:tcW w:w="2943" w:type="dxa"/>
            <w:tcBorders>
              <w:bottom w:val="single" w:sz="4" w:space="0" w:color="auto"/>
            </w:tcBorders>
            <w:shd w:val="clear" w:color="auto" w:fill="auto"/>
          </w:tcPr>
          <w:p w14:paraId="5DB2D70A"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(1) Results are based on a relatively small hand-collected sample of firms covered by the analysts from one financial institution.</w:t>
            </w:r>
          </w:p>
        </w:tc>
      </w:tr>
    </w:tbl>
    <w:p w14:paraId="13271DD7" w14:textId="77777777" w:rsidR="00610897" w:rsidRPr="00610897" w:rsidRDefault="00610897" w:rsidP="00610897">
      <w:pPr>
        <w:rPr>
          <w:rFonts w:eastAsia="Calibri"/>
          <w:color w:val="000000"/>
          <w:kern w:val="0"/>
          <w:sz w:val="16"/>
          <w:szCs w:val="16"/>
        </w:rPr>
      </w:pPr>
    </w:p>
    <w:tbl>
      <w:tblPr>
        <w:tblStyle w:val="TableGrid11"/>
        <w:tblpPr w:leftFromText="180" w:rightFromText="180" w:vertAnchor="text" w:horzAnchor="margin" w:tblpXSpec="center" w:tblpY="164"/>
        <w:tblW w:w="15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3540"/>
        <w:gridCol w:w="956"/>
        <w:gridCol w:w="1145"/>
        <w:gridCol w:w="1034"/>
        <w:gridCol w:w="884"/>
        <w:gridCol w:w="1180"/>
        <w:gridCol w:w="2065"/>
        <w:gridCol w:w="1180"/>
        <w:gridCol w:w="1180"/>
        <w:gridCol w:w="2214"/>
      </w:tblGrid>
      <w:tr w:rsidR="00610897" w:rsidRPr="00610897" w14:paraId="38F7B2C6" w14:textId="77777777" w:rsidTr="002441E4">
        <w:trPr>
          <w:trHeight w:val="280"/>
        </w:trPr>
        <w:tc>
          <w:tcPr>
            <w:tcW w:w="15821" w:type="dxa"/>
            <w:gridSpan w:val="11"/>
            <w:tcBorders>
              <w:top w:val="single" w:sz="4" w:space="0" w:color="auto"/>
              <w:bottom w:val="single" w:sz="4" w:space="0" w:color="auto"/>
            </w:tcBorders>
          </w:tcPr>
          <w:p w14:paraId="5EB07A20" w14:textId="77777777" w:rsidR="00610897" w:rsidRPr="00610897" w:rsidRDefault="00610897" w:rsidP="00610897">
            <w:pPr>
              <w:jc w:val="both"/>
              <w:rPr>
                <w:rFonts w:ascii="Garamond" w:eastAsia="Calibri" w:hAnsi="Garamond"/>
                <w:b/>
                <w:color w:val="000000"/>
                <w:sz w:val="16"/>
                <w:szCs w:val="16"/>
              </w:rPr>
            </w:pPr>
            <w:r w:rsidRPr="00610897">
              <w:rPr>
                <w:rFonts w:ascii="Garamond" w:eastAsia="Calibri" w:hAnsi="Garamond"/>
                <w:b/>
                <w:color w:val="000000"/>
                <w:sz w:val="16"/>
                <w:szCs w:val="16"/>
              </w:rPr>
              <w:t>Table 7</w:t>
            </w:r>
            <w:r w:rsidRPr="00610897">
              <w:rPr>
                <w:rFonts w:ascii="Garamond" w:eastAsia="Calibri" w:hAnsi="Garamond"/>
                <w:b/>
                <w:color w:val="000000"/>
                <w:sz w:val="16"/>
                <w:szCs w:val="16"/>
              </w:rPr>
              <w:tab/>
            </w:r>
          </w:p>
          <w:p w14:paraId="334A003B"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Areas of divergence papers on</w:t>
            </w:r>
            <w:r w:rsidRPr="00610897">
              <w:rPr>
                <w:rFonts w:ascii="Garamond" w:eastAsia="Calibri" w:hAnsi="Garamond"/>
                <w:color w:val="000000"/>
              </w:rPr>
              <w:t xml:space="preserve"> </w:t>
            </w:r>
            <w:r w:rsidRPr="00610897">
              <w:rPr>
                <w:rFonts w:ascii="Garamond" w:eastAsia="Calibri" w:hAnsi="Garamond"/>
                <w:color w:val="000000"/>
                <w:sz w:val="16"/>
                <w:szCs w:val="16"/>
              </w:rPr>
              <w:t xml:space="preserve">risk reporting incentives and </w:t>
            </w:r>
            <w:proofErr w:type="spellStart"/>
            <w:r w:rsidRPr="00610897">
              <w:rPr>
                <w:rFonts w:ascii="Garamond" w:eastAsia="Calibri" w:hAnsi="Garamond"/>
                <w:color w:val="000000"/>
                <w:sz w:val="16"/>
                <w:szCs w:val="16"/>
              </w:rPr>
              <w:t>informativeness</w:t>
            </w:r>
            <w:proofErr w:type="spellEnd"/>
            <w:r w:rsidRPr="00610897">
              <w:rPr>
                <w:rFonts w:ascii="Garamond" w:eastAsia="Calibri" w:hAnsi="Garamond"/>
                <w:color w:val="000000"/>
                <w:sz w:val="16"/>
                <w:szCs w:val="16"/>
              </w:rPr>
              <w:t xml:space="preserve"> (four papers summarized in Table 6, discussed in Section 4, and categorized in Section 5)</w:t>
            </w:r>
          </w:p>
        </w:tc>
      </w:tr>
      <w:tr w:rsidR="00610897" w:rsidRPr="00610897" w14:paraId="2B30063A" w14:textId="77777777" w:rsidTr="002441E4">
        <w:trPr>
          <w:trHeight w:val="272"/>
        </w:trPr>
        <w:tc>
          <w:tcPr>
            <w:tcW w:w="443" w:type="dxa"/>
            <w:vMerge w:val="restart"/>
            <w:tcBorders>
              <w:top w:val="single" w:sz="4" w:space="0" w:color="auto"/>
            </w:tcBorders>
          </w:tcPr>
          <w:p w14:paraId="11921985"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N</w:t>
            </w:r>
          </w:p>
        </w:tc>
        <w:tc>
          <w:tcPr>
            <w:tcW w:w="3540" w:type="dxa"/>
            <w:vMerge w:val="restart"/>
            <w:tcBorders>
              <w:top w:val="single" w:sz="4" w:space="0" w:color="auto"/>
            </w:tcBorders>
          </w:tcPr>
          <w:p w14:paraId="2CE9B0A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Main classification </w:t>
            </w:r>
          </w:p>
        </w:tc>
        <w:tc>
          <w:tcPr>
            <w:tcW w:w="11838" w:type="dxa"/>
            <w:gridSpan w:val="9"/>
          </w:tcPr>
          <w:p w14:paraId="1C2AA60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Method and context</w:t>
            </w:r>
          </w:p>
        </w:tc>
      </w:tr>
      <w:tr w:rsidR="00610897" w:rsidRPr="00610897" w14:paraId="1443C677" w14:textId="77777777" w:rsidTr="002441E4">
        <w:trPr>
          <w:trHeight w:val="282"/>
        </w:trPr>
        <w:tc>
          <w:tcPr>
            <w:tcW w:w="443" w:type="dxa"/>
            <w:vMerge/>
          </w:tcPr>
          <w:p w14:paraId="6C6BB4F0" w14:textId="77777777" w:rsidR="00610897" w:rsidRPr="00610897" w:rsidRDefault="00610897" w:rsidP="00610897">
            <w:pPr>
              <w:ind w:right="-170"/>
              <w:jc w:val="both"/>
              <w:rPr>
                <w:rFonts w:ascii="Garamond" w:eastAsia="Calibri" w:hAnsi="Garamond"/>
                <w:color w:val="000000"/>
                <w:sz w:val="16"/>
                <w:szCs w:val="16"/>
              </w:rPr>
            </w:pPr>
          </w:p>
        </w:tc>
        <w:tc>
          <w:tcPr>
            <w:tcW w:w="3540" w:type="dxa"/>
            <w:vMerge/>
          </w:tcPr>
          <w:p w14:paraId="7B093B2B" w14:textId="77777777" w:rsidR="00610897" w:rsidRPr="00610897" w:rsidRDefault="00610897" w:rsidP="00610897">
            <w:pPr>
              <w:jc w:val="both"/>
              <w:rPr>
                <w:rFonts w:ascii="Garamond" w:eastAsia="Calibri" w:hAnsi="Garamond"/>
                <w:color w:val="000000"/>
                <w:sz w:val="16"/>
                <w:szCs w:val="16"/>
              </w:rPr>
            </w:pPr>
          </w:p>
        </w:tc>
        <w:tc>
          <w:tcPr>
            <w:tcW w:w="3135" w:type="dxa"/>
            <w:gridSpan w:val="3"/>
            <w:tcBorders>
              <w:top w:val="single" w:sz="4" w:space="0" w:color="auto"/>
              <w:bottom w:val="single" w:sz="4" w:space="0" w:color="auto"/>
            </w:tcBorders>
          </w:tcPr>
          <w:p w14:paraId="2C2FD4B0"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Type of disclosure </w:t>
            </w:r>
          </w:p>
        </w:tc>
        <w:tc>
          <w:tcPr>
            <w:tcW w:w="2064" w:type="dxa"/>
            <w:gridSpan w:val="2"/>
            <w:tcBorders>
              <w:top w:val="single" w:sz="4" w:space="0" w:color="auto"/>
              <w:bottom w:val="single" w:sz="4" w:space="0" w:color="auto"/>
            </w:tcBorders>
          </w:tcPr>
          <w:p w14:paraId="41FF255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Type of content analysis </w:t>
            </w:r>
          </w:p>
        </w:tc>
        <w:tc>
          <w:tcPr>
            <w:tcW w:w="3245" w:type="dxa"/>
            <w:gridSpan w:val="2"/>
            <w:tcBorders>
              <w:top w:val="single" w:sz="4" w:space="0" w:color="auto"/>
              <w:bottom w:val="single" w:sz="4" w:space="0" w:color="auto"/>
            </w:tcBorders>
          </w:tcPr>
          <w:p w14:paraId="7448B71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Type of analysis</w:t>
            </w:r>
          </w:p>
        </w:tc>
        <w:tc>
          <w:tcPr>
            <w:tcW w:w="3394" w:type="dxa"/>
            <w:gridSpan w:val="2"/>
            <w:tcBorders>
              <w:top w:val="single" w:sz="4" w:space="0" w:color="auto"/>
              <w:bottom w:val="single" w:sz="4" w:space="0" w:color="auto"/>
            </w:tcBorders>
          </w:tcPr>
          <w:p w14:paraId="24A620C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Type of sector</w:t>
            </w:r>
          </w:p>
        </w:tc>
      </w:tr>
      <w:tr w:rsidR="00610897" w:rsidRPr="00610897" w14:paraId="1F82483D" w14:textId="77777777" w:rsidTr="002441E4">
        <w:trPr>
          <w:trHeight w:val="175"/>
        </w:trPr>
        <w:tc>
          <w:tcPr>
            <w:tcW w:w="443" w:type="dxa"/>
            <w:vMerge/>
            <w:tcBorders>
              <w:bottom w:val="single" w:sz="4" w:space="0" w:color="auto"/>
            </w:tcBorders>
          </w:tcPr>
          <w:p w14:paraId="07216CBF" w14:textId="77777777" w:rsidR="00610897" w:rsidRPr="00610897" w:rsidRDefault="00610897" w:rsidP="00610897">
            <w:pPr>
              <w:ind w:right="-170"/>
              <w:jc w:val="both"/>
              <w:rPr>
                <w:rFonts w:ascii="Garamond" w:eastAsia="Calibri" w:hAnsi="Garamond"/>
                <w:color w:val="000000"/>
                <w:sz w:val="16"/>
                <w:szCs w:val="16"/>
              </w:rPr>
            </w:pPr>
          </w:p>
        </w:tc>
        <w:tc>
          <w:tcPr>
            <w:tcW w:w="3540" w:type="dxa"/>
            <w:vMerge/>
            <w:tcBorders>
              <w:bottom w:val="single" w:sz="4" w:space="0" w:color="auto"/>
            </w:tcBorders>
          </w:tcPr>
          <w:p w14:paraId="285580A1" w14:textId="77777777" w:rsidR="00610897" w:rsidRPr="00610897" w:rsidRDefault="00610897" w:rsidP="00610897">
            <w:pPr>
              <w:jc w:val="both"/>
              <w:rPr>
                <w:rFonts w:ascii="Garamond" w:eastAsia="Calibri" w:hAnsi="Garamond"/>
                <w:color w:val="000000"/>
                <w:sz w:val="16"/>
                <w:szCs w:val="16"/>
              </w:rPr>
            </w:pPr>
          </w:p>
        </w:tc>
        <w:tc>
          <w:tcPr>
            <w:tcW w:w="956" w:type="dxa"/>
            <w:tcBorders>
              <w:top w:val="single" w:sz="4" w:space="0" w:color="auto"/>
              <w:bottom w:val="single" w:sz="4" w:space="0" w:color="auto"/>
            </w:tcBorders>
          </w:tcPr>
          <w:p w14:paraId="73345E8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Mandatory</w:t>
            </w:r>
          </w:p>
        </w:tc>
        <w:tc>
          <w:tcPr>
            <w:tcW w:w="1145" w:type="dxa"/>
            <w:tcBorders>
              <w:top w:val="single" w:sz="4" w:space="0" w:color="auto"/>
              <w:bottom w:val="single" w:sz="4" w:space="0" w:color="auto"/>
            </w:tcBorders>
          </w:tcPr>
          <w:p w14:paraId="3B1B4A2B"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Voluntary</w:t>
            </w:r>
          </w:p>
        </w:tc>
        <w:tc>
          <w:tcPr>
            <w:tcW w:w="1034" w:type="dxa"/>
            <w:tcBorders>
              <w:top w:val="single" w:sz="4" w:space="0" w:color="auto"/>
              <w:bottom w:val="single" w:sz="4" w:space="0" w:color="auto"/>
            </w:tcBorders>
          </w:tcPr>
          <w:p w14:paraId="20F9277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Aggregate</w:t>
            </w:r>
          </w:p>
        </w:tc>
        <w:tc>
          <w:tcPr>
            <w:tcW w:w="884" w:type="dxa"/>
            <w:tcBorders>
              <w:top w:val="single" w:sz="4" w:space="0" w:color="auto"/>
              <w:bottom w:val="single" w:sz="4" w:space="0" w:color="auto"/>
            </w:tcBorders>
          </w:tcPr>
          <w:p w14:paraId="116BE3E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Manual </w:t>
            </w:r>
          </w:p>
        </w:tc>
        <w:tc>
          <w:tcPr>
            <w:tcW w:w="1180" w:type="dxa"/>
            <w:tcBorders>
              <w:top w:val="single" w:sz="4" w:space="0" w:color="auto"/>
              <w:bottom w:val="single" w:sz="4" w:space="0" w:color="auto"/>
            </w:tcBorders>
          </w:tcPr>
          <w:p w14:paraId="7312454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Automated</w:t>
            </w:r>
          </w:p>
        </w:tc>
        <w:tc>
          <w:tcPr>
            <w:tcW w:w="2065" w:type="dxa"/>
            <w:tcBorders>
              <w:top w:val="single" w:sz="4" w:space="0" w:color="auto"/>
              <w:bottom w:val="single" w:sz="4" w:space="0" w:color="auto"/>
            </w:tcBorders>
          </w:tcPr>
          <w:p w14:paraId="1EF83EB0"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Within-country</w:t>
            </w:r>
          </w:p>
        </w:tc>
        <w:tc>
          <w:tcPr>
            <w:tcW w:w="1180" w:type="dxa"/>
            <w:tcBorders>
              <w:top w:val="single" w:sz="4" w:space="0" w:color="auto"/>
              <w:bottom w:val="single" w:sz="4" w:space="0" w:color="auto"/>
            </w:tcBorders>
          </w:tcPr>
          <w:p w14:paraId="3489988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Cross-country</w:t>
            </w:r>
          </w:p>
        </w:tc>
        <w:tc>
          <w:tcPr>
            <w:tcW w:w="1180" w:type="dxa"/>
            <w:tcBorders>
              <w:top w:val="single" w:sz="4" w:space="0" w:color="auto"/>
              <w:bottom w:val="single" w:sz="4" w:space="0" w:color="auto"/>
            </w:tcBorders>
          </w:tcPr>
          <w:p w14:paraId="1DACCAB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Non-financial </w:t>
            </w:r>
          </w:p>
        </w:tc>
        <w:tc>
          <w:tcPr>
            <w:tcW w:w="2214" w:type="dxa"/>
            <w:tcBorders>
              <w:top w:val="single" w:sz="4" w:space="0" w:color="auto"/>
              <w:bottom w:val="single" w:sz="4" w:space="0" w:color="auto"/>
            </w:tcBorders>
          </w:tcPr>
          <w:p w14:paraId="08EA4C6B"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Financial/insurance </w:t>
            </w:r>
          </w:p>
        </w:tc>
      </w:tr>
      <w:tr w:rsidR="00610897" w:rsidRPr="00610897" w14:paraId="6B65F5D5" w14:textId="77777777" w:rsidTr="002441E4">
        <w:trPr>
          <w:trHeight w:val="254"/>
        </w:trPr>
        <w:tc>
          <w:tcPr>
            <w:tcW w:w="443" w:type="dxa"/>
            <w:tcBorders>
              <w:top w:val="single" w:sz="4" w:space="0" w:color="auto"/>
            </w:tcBorders>
          </w:tcPr>
          <w:p w14:paraId="641A1BCF"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29</w:t>
            </w:r>
          </w:p>
        </w:tc>
        <w:tc>
          <w:tcPr>
            <w:tcW w:w="3540" w:type="dxa"/>
            <w:tcBorders>
              <w:top w:val="single" w:sz="4" w:space="0" w:color="auto"/>
            </w:tcBorders>
          </w:tcPr>
          <w:p w14:paraId="58A9B142" w14:textId="77777777" w:rsidR="00610897" w:rsidRPr="00610897" w:rsidRDefault="00610897" w:rsidP="00610897">
            <w:pPr>
              <w:spacing w:after="80"/>
              <w:rPr>
                <w:rFonts w:ascii="Garamond" w:eastAsia="Calibri" w:hAnsi="Garamond"/>
                <w:color w:val="000000"/>
                <w:sz w:val="16"/>
                <w:szCs w:val="16"/>
              </w:rPr>
            </w:pPr>
            <w:r w:rsidRPr="00610897">
              <w:rPr>
                <w:rFonts w:ascii="Garamond" w:eastAsia="Calibri" w:hAnsi="Garamond"/>
                <w:color w:val="000000"/>
                <w:sz w:val="16"/>
                <w:szCs w:val="16"/>
              </w:rPr>
              <w:t>Campbell et al. (2014)</w:t>
            </w:r>
          </w:p>
        </w:tc>
        <w:tc>
          <w:tcPr>
            <w:tcW w:w="956" w:type="dxa"/>
            <w:tcBorders>
              <w:top w:val="single" w:sz="4" w:space="0" w:color="auto"/>
            </w:tcBorders>
          </w:tcPr>
          <w:p w14:paraId="010221B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145" w:type="dxa"/>
            <w:tcBorders>
              <w:top w:val="single" w:sz="4" w:space="0" w:color="auto"/>
            </w:tcBorders>
          </w:tcPr>
          <w:p w14:paraId="49D55E06" w14:textId="77777777" w:rsidR="00610897" w:rsidRPr="00610897" w:rsidRDefault="00610897" w:rsidP="00610897">
            <w:pPr>
              <w:jc w:val="both"/>
              <w:rPr>
                <w:rFonts w:ascii="Garamond" w:eastAsia="Calibri" w:hAnsi="Garamond"/>
                <w:color w:val="000000"/>
                <w:sz w:val="16"/>
                <w:szCs w:val="16"/>
              </w:rPr>
            </w:pPr>
          </w:p>
        </w:tc>
        <w:tc>
          <w:tcPr>
            <w:tcW w:w="1034" w:type="dxa"/>
            <w:tcBorders>
              <w:top w:val="single" w:sz="4" w:space="0" w:color="auto"/>
            </w:tcBorders>
          </w:tcPr>
          <w:p w14:paraId="1984EA85" w14:textId="77777777" w:rsidR="00610897" w:rsidRPr="00610897" w:rsidRDefault="00610897" w:rsidP="00610897">
            <w:pPr>
              <w:jc w:val="both"/>
              <w:rPr>
                <w:rFonts w:ascii="Garamond" w:eastAsia="Calibri" w:hAnsi="Garamond"/>
                <w:color w:val="000000"/>
                <w:sz w:val="16"/>
                <w:szCs w:val="16"/>
              </w:rPr>
            </w:pPr>
          </w:p>
        </w:tc>
        <w:tc>
          <w:tcPr>
            <w:tcW w:w="884" w:type="dxa"/>
            <w:tcBorders>
              <w:top w:val="single" w:sz="4" w:space="0" w:color="auto"/>
            </w:tcBorders>
          </w:tcPr>
          <w:p w14:paraId="1B25A332" w14:textId="77777777" w:rsidR="00610897" w:rsidRPr="00610897" w:rsidRDefault="00610897" w:rsidP="00610897">
            <w:pPr>
              <w:jc w:val="both"/>
              <w:rPr>
                <w:rFonts w:ascii="Garamond" w:eastAsia="Calibri" w:hAnsi="Garamond"/>
                <w:color w:val="000000"/>
                <w:sz w:val="16"/>
                <w:szCs w:val="16"/>
              </w:rPr>
            </w:pPr>
          </w:p>
        </w:tc>
        <w:tc>
          <w:tcPr>
            <w:tcW w:w="1180" w:type="dxa"/>
            <w:tcBorders>
              <w:top w:val="single" w:sz="4" w:space="0" w:color="auto"/>
            </w:tcBorders>
          </w:tcPr>
          <w:p w14:paraId="0DF2757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2065" w:type="dxa"/>
            <w:tcBorders>
              <w:top w:val="single" w:sz="4" w:space="0" w:color="auto"/>
            </w:tcBorders>
          </w:tcPr>
          <w:p w14:paraId="2990B72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180" w:type="dxa"/>
            <w:tcBorders>
              <w:top w:val="single" w:sz="4" w:space="0" w:color="auto"/>
            </w:tcBorders>
          </w:tcPr>
          <w:p w14:paraId="2FCE84F2" w14:textId="77777777" w:rsidR="00610897" w:rsidRPr="00610897" w:rsidRDefault="00610897" w:rsidP="00610897">
            <w:pPr>
              <w:jc w:val="both"/>
              <w:rPr>
                <w:rFonts w:ascii="Garamond" w:eastAsia="Calibri" w:hAnsi="Garamond"/>
                <w:color w:val="000000"/>
                <w:sz w:val="16"/>
                <w:szCs w:val="16"/>
              </w:rPr>
            </w:pPr>
          </w:p>
        </w:tc>
        <w:tc>
          <w:tcPr>
            <w:tcW w:w="1180" w:type="dxa"/>
            <w:tcBorders>
              <w:top w:val="single" w:sz="4" w:space="0" w:color="auto"/>
            </w:tcBorders>
          </w:tcPr>
          <w:p w14:paraId="20CEF97B"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2214" w:type="dxa"/>
            <w:tcBorders>
              <w:top w:val="single" w:sz="4" w:space="0" w:color="auto"/>
            </w:tcBorders>
          </w:tcPr>
          <w:p w14:paraId="3F4594B0" w14:textId="77777777" w:rsidR="00610897" w:rsidRPr="00610897" w:rsidRDefault="00610897" w:rsidP="00610897">
            <w:pPr>
              <w:jc w:val="both"/>
              <w:rPr>
                <w:rFonts w:ascii="Garamond" w:eastAsia="Calibri" w:hAnsi="Garamond"/>
                <w:color w:val="000000"/>
                <w:sz w:val="16"/>
                <w:szCs w:val="16"/>
              </w:rPr>
            </w:pPr>
          </w:p>
        </w:tc>
      </w:tr>
      <w:tr w:rsidR="00610897" w:rsidRPr="00610897" w14:paraId="6386190F" w14:textId="77777777" w:rsidTr="002441E4">
        <w:trPr>
          <w:trHeight w:val="254"/>
        </w:trPr>
        <w:tc>
          <w:tcPr>
            <w:tcW w:w="443" w:type="dxa"/>
          </w:tcPr>
          <w:p w14:paraId="4194DAAC"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30</w:t>
            </w:r>
          </w:p>
        </w:tc>
        <w:tc>
          <w:tcPr>
            <w:tcW w:w="3540" w:type="dxa"/>
          </w:tcPr>
          <w:p w14:paraId="0695E0B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Elshandidy and Neri (2015)</w:t>
            </w:r>
          </w:p>
        </w:tc>
        <w:tc>
          <w:tcPr>
            <w:tcW w:w="956" w:type="dxa"/>
          </w:tcPr>
          <w:p w14:paraId="3EDA72F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145" w:type="dxa"/>
          </w:tcPr>
          <w:p w14:paraId="5D7A620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034" w:type="dxa"/>
          </w:tcPr>
          <w:p w14:paraId="3B105627" w14:textId="77777777" w:rsidR="00610897" w:rsidRPr="00610897" w:rsidRDefault="00610897" w:rsidP="00610897">
            <w:pPr>
              <w:jc w:val="both"/>
              <w:rPr>
                <w:rFonts w:ascii="Garamond" w:eastAsia="Calibri" w:hAnsi="Garamond"/>
                <w:color w:val="000000"/>
                <w:sz w:val="16"/>
                <w:szCs w:val="16"/>
              </w:rPr>
            </w:pPr>
          </w:p>
        </w:tc>
        <w:tc>
          <w:tcPr>
            <w:tcW w:w="884" w:type="dxa"/>
          </w:tcPr>
          <w:p w14:paraId="7CC5F04E" w14:textId="77777777" w:rsidR="00610897" w:rsidRPr="00610897" w:rsidRDefault="00610897" w:rsidP="00610897">
            <w:pPr>
              <w:jc w:val="both"/>
              <w:rPr>
                <w:rFonts w:ascii="Garamond" w:eastAsia="Calibri" w:hAnsi="Garamond"/>
                <w:color w:val="000000"/>
                <w:sz w:val="16"/>
                <w:szCs w:val="16"/>
              </w:rPr>
            </w:pPr>
          </w:p>
        </w:tc>
        <w:tc>
          <w:tcPr>
            <w:tcW w:w="1180" w:type="dxa"/>
          </w:tcPr>
          <w:p w14:paraId="50A0CDE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2065" w:type="dxa"/>
          </w:tcPr>
          <w:p w14:paraId="44072002" w14:textId="77777777" w:rsidR="00610897" w:rsidRPr="00610897" w:rsidRDefault="00610897" w:rsidP="00610897">
            <w:pPr>
              <w:jc w:val="both"/>
              <w:rPr>
                <w:rFonts w:ascii="Garamond" w:eastAsia="Calibri" w:hAnsi="Garamond"/>
                <w:color w:val="000000"/>
                <w:sz w:val="16"/>
                <w:szCs w:val="16"/>
              </w:rPr>
            </w:pPr>
          </w:p>
        </w:tc>
        <w:tc>
          <w:tcPr>
            <w:tcW w:w="1180" w:type="dxa"/>
          </w:tcPr>
          <w:p w14:paraId="6063BC7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180" w:type="dxa"/>
          </w:tcPr>
          <w:p w14:paraId="6D416BC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2214" w:type="dxa"/>
          </w:tcPr>
          <w:p w14:paraId="01D1AA7C" w14:textId="77777777" w:rsidR="00610897" w:rsidRPr="00610897" w:rsidRDefault="00610897" w:rsidP="00610897">
            <w:pPr>
              <w:jc w:val="both"/>
              <w:rPr>
                <w:rFonts w:ascii="Garamond" w:eastAsia="Calibri" w:hAnsi="Garamond"/>
                <w:color w:val="000000"/>
                <w:sz w:val="16"/>
                <w:szCs w:val="16"/>
              </w:rPr>
            </w:pPr>
          </w:p>
        </w:tc>
      </w:tr>
      <w:tr w:rsidR="00610897" w:rsidRPr="00610897" w14:paraId="60AD12C6" w14:textId="77777777" w:rsidTr="002441E4">
        <w:trPr>
          <w:trHeight w:val="266"/>
        </w:trPr>
        <w:tc>
          <w:tcPr>
            <w:tcW w:w="443" w:type="dxa"/>
          </w:tcPr>
          <w:p w14:paraId="2A7C2F44"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31</w:t>
            </w:r>
          </w:p>
        </w:tc>
        <w:tc>
          <w:tcPr>
            <w:tcW w:w="3540" w:type="dxa"/>
          </w:tcPr>
          <w:p w14:paraId="792E13E0"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Elshandidy and Shrives (2016)</w:t>
            </w:r>
          </w:p>
        </w:tc>
        <w:tc>
          <w:tcPr>
            <w:tcW w:w="956" w:type="dxa"/>
          </w:tcPr>
          <w:p w14:paraId="77BD5FD9" w14:textId="77777777" w:rsidR="00610897" w:rsidRPr="00610897" w:rsidRDefault="00610897" w:rsidP="00610897">
            <w:pPr>
              <w:jc w:val="both"/>
              <w:rPr>
                <w:rFonts w:ascii="Garamond" w:eastAsia="Calibri" w:hAnsi="Garamond"/>
                <w:color w:val="000000"/>
                <w:sz w:val="16"/>
                <w:szCs w:val="16"/>
              </w:rPr>
            </w:pPr>
          </w:p>
        </w:tc>
        <w:tc>
          <w:tcPr>
            <w:tcW w:w="1145" w:type="dxa"/>
          </w:tcPr>
          <w:p w14:paraId="37130231" w14:textId="77777777" w:rsidR="00610897" w:rsidRPr="00610897" w:rsidRDefault="00610897" w:rsidP="00610897">
            <w:pPr>
              <w:jc w:val="both"/>
              <w:rPr>
                <w:rFonts w:ascii="Garamond" w:eastAsia="Calibri" w:hAnsi="Garamond"/>
                <w:color w:val="000000"/>
                <w:sz w:val="16"/>
                <w:szCs w:val="16"/>
              </w:rPr>
            </w:pPr>
          </w:p>
        </w:tc>
        <w:tc>
          <w:tcPr>
            <w:tcW w:w="1034" w:type="dxa"/>
          </w:tcPr>
          <w:p w14:paraId="6F47DD1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884" w:type="dxa"/>
          </w:tcPr>
          <w:p w14:paraId="32FA1D57" w14:textId="77777777" w:rsidR="00610897" w:rsidRPr="00610897" w:rsidRDefault="00610897" w:rsidP="00610897">
            <w:pPr>
              <w:jc w:val="both"/>
              <w:rPr>
                <w:rFonts w:ascii="Garamond" w:eastAsia="Calibri" w:hAnsi="Garamond"/>
                <w:color w:val="000000"/>
                <w:sz w:val="16"/>
                <w:szCs w:val="16"/>
              </w:rPr>
            </w:pPr>
          </w:p>
        </w:tc>
        <w:tc>
          <w:tcPr>
            <w:tcW w:w="1180" w:type="dxa"/>
          </w:tcPr>
          <w:p w14:paraId="404465D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2065" w:type="dxa"/>
          </w:tcPr>
          <w:p w14:paraId="1B042E7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180" w:type="dxa"/>
          </w:tcPr>
          <w:p w14:paraId="0A777602" w14:textId="77777777" w:rsidR="00610897" w:rsidRPr="00610897" w:rsidRDefault="00610897" w:rsidP="00610897">
            <w:pPr>
              <w:jc w:val="both"/>
              <w:rPr>
                <w:rFonts w:ascii="Garamond" w:eastAsia="Calibri" w:hAnsi="Garamond"/>
                <w:color w:val="000000"/>
                <w:sz w:val="16"/>
                <w:szCs w:val="16"/>
              </w:rPr>
            </w:pPr>
          </w:p>
        </w:tc>
        <w:tc>
          <w:tcPr>
            <w:tcW w:w="1180" w:type="dxa"/>
          </w:tcPr>
          <w:p w14:paraId="23F6D7FC" w14:textId="77777777" w:rsidR="00610897" w:rsidRPr="00610897" w:rsidRDefault="00610897" w:rsidP="00610897">
            <w:pPr>
              <w:jc w:val="both"/>
              <w:rPr>
                <w:rFonts w:ascii="Garamond" w:eastAsia="Calibri" w:hAnsi="Garamond"/>
                <w:color w:val="000000"/>
                <w:sz w:val="16"/>
                <w:szCs w:val="16"/>
                <w:u w:val="single"/>
              </w:rPr>
            </w:pPr>
            <w:r w:rsidRPr="00610897">
              <w:rPr>
                <w:rFonts w:ascii="Garamond" w:eastAsia="Calibri" w:hAnsi="Garamond"/>
                <w:color w:val="000000"/>
                <w:sz w:val="16"/>
                <w:szCs w:val="16"/>
              </w:rPr>
              <w:sym w:font="Wingdings" w:char="F0FC"/>
            </w:r>
          </w:p>
        </w:tc>
        <w:tc>
          <w:tcPr>
            <w:tcW w:w="2214" w:type="dxa"/>
          </w:tcPr>
          <w:p w14:paraId="4FC8AD4C" w14:textId="77777777" w:rsidR="00610897" w:rsidRPr="00610897" w:rsidRDefault="00610897" w:rsidP="00610897">
            <w:pPr>
              <w:jc w:val="both"/>
              <w:rPr>
                <w:rFonts w:ascii="Garamond" w:eastAsia="Calibri" w:hAnsi="Garamond"/>
                <w:color w:val="000000"/>
                <w:sz w:val="16"/>
                <w:szCs w:val="16"/>
                <w:u w:val="single"/>
              </w:rPr>
            </w:pPr>
          </w:p>
        </w:tc>
      </w:tr>
      <w:tr w:rsidR="00610897" w:rsidRPr="00610897" w14:paraId="3DD1476F" w14:textId="77777777" w:rsidTr="002441E4">
        <w:trPr>
          <w:trHeight w:val="266"/>
        </w:trPr>
        <w:tc>
          <w:tcPr>
            <w:tcW w:w="443" w:type="dxa"/>
            <w:tcBorders>
              <w:bottom w:val="single" w:sz="4" w:space="0" w:color="auto"/>
            </w:tcBorders>
          </w:tcPr>
          <w:p w14:paraId="6AB631C9" w14:textId="77777777" w:rsidR="00610897" w:rsidRPr="00610897" w:rsidRDefault="00610897" w:rsidP="00610897">
            <w:pPr>
              <w:ind w:right="-170"/>
              <w:jc w:val="both"/>
              <w:rPr>
                <w:rFonts w:ascii="Garamond" w:eastAsia="Calibri" w:hAnsi="Garamond"/>
                <w:color w:val="000000"/>
                <w:sz w:val="16"/>
                <w:szCs w:val="16"/>
              </w:rPr>
            </w:pPr>
            <w:r w:rsidRPr="00610897">
              <w:rPr>
                <w:rFonts w:ascii="Garamond" w:eastAsia="Calibri" w:hAnsi="Garamond"/>
                <w:color w:val="000000"/>
                <w:sz w:val="16"/>
                <w:szCs w:val="16"/>
              </w:rPr>
              <w:t>32</w:t>
            </w:r>
          </w:p>
        </w:tc>
        <w:tc>
          <w:tcPr>
            <w:tcW w:w="3540" w:type="dxa"/>
            <w:tcBorders>
              <w:bottom w:val="single" w:sz="4" w:space="0" w:color="auto"/>
            </w:tcBorders>
          </w:tcPr>
          <w:p w14:paraId="6AA0CF8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Hope et al. (2016)</w:t>
            </w:r>
          </w:p>
        </w:tc>
        <w:tc>
          <w:tcPr>
            <w:tcW w:w="956" w:type="dxa"/>
            <w:tcBorders>
              <w:bottom w:val="single" w:sz="4" w:space="0" w:color="auto"/>
            </w:tcBorders>
          </w:tcPr>
          <w:p w14:paraId="364629E9" w14:textId="77777777" w:rsidR="00610897" w:rsidRPr="00610897" w:rsidRDefault="00610897" w:rsidP="00610897">
            <w:pPr>
              <w:jc w:val="both"/>
              <w:rPr>
                <w:rFonts w:ascii="Garamond" w:eastAsia="Calibri" w:hAnsi="Garamond"/>
                <w:color w:val="000000"/>
                <w:sz w:val="16"/>
                <w:szCs w:val="16"/>
              </w:rPr>
            </w:pPr>
          </w:p>
        </w:tc>
        <w:tc>
          <w:tcPr>
            <w:tcW w:w="1145" w:type="dxa"/>
            <w:tcBorders>
              <w:bottom w:val="single" w:sz="4" w:space="0" w:color="auto"/>
            </w:tcBorders>
          </w:tcPr>
          <w:p w14:paraId="3CC2AE81" w14:textId="77777777" w:rsidR="00610897" w:rsidRPr="00610897" w:rsidRDefault="00610897" w:rsidP="00610897">
            <w:pPr>
              <w:jc w:val="both"/>
              <w:rPr>
                <w:rFonts w:ascii="Garamond" w:eastAsia="Calibri" w:hAnsi="Garamond"/>
                <w:color w:val="000000"/>
                <w:sz w:val="16"/>
                <w:szCs w:val="16"/>
              </w:rPr>
            </w:pPr>
          </w:p>
        </w:tc>
        <w:tc>
          <w:tcPr>
            <w:tcW w:w="1034" w:type="dxa"/>
            <w:tcBorders>
              <w:bottom w:val="single" w:sz="4" w:space="0" w:color="auto"/>
            </w:tcBorders>
          </w:tcPr>
          <w:p w14:paraId="13AD630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884" w:type="dxa"/>
            <w:tcBorders>
              <w:bottom w:val="single" w:sz="4" w:space="0" w:color="auto"/>
            </w:tcBorders>
          </w:tcPr>
          <w:p w14:paraId="7DBDE1E7" w14:textId="77777777" w:rsidR="00610897" w:rsidRPr="00610897" w:rsidRDefault="00610897" w:rsidP="00610897">
            <w:pPr>
              <w:jc w:val="both"/>
              <w:rPr>
                <w:rFonts w:ascii="Garamond" w:eastAsia="Calibri" w:hAnsi="Garamond"/>
                <w:color w:val="000000"/>
                <w:sz w:val="16"/>
                <w:szCs w:val="16"/>
              </w:rPr>
            </w:pPr>
          </w:p>
        </w:tc>
        <w:tc>
          <w:tcPr>
            <w:tcW w:w="1180" w:type="dxa"/>
            <w:tcBorders>
              <w:bottom w:val="single" w:sz="4" w:space="0" w:color="auto"/>
            </w:tcBorders>
          </w:tcPr>
          <w:p w14:paraId="7890689B"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2065" w:type="dxa"/>
            <w:tcBorders>
              <w:bottom w:val="single" w:sz="4" w:space="0" w:color="auto"/>
            </w:tcBorders>
          </w:tcPr>
          <w:p w14:paraId="5709EEBB"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180" w:type="dxa"/>
            <w:tcBorders>
              <w:bottom w:val="single" w:sz="4" w:space="0" w:color="auto"/>
            </w:tcBorders>
          </w:tcPr>
          <w:p w14:paraId="33184F7B" w14:textId="77777777" w:rsidR="00610897" w:rsidRPr="00610897" w:rsidRDefault="00610897" w:rsidP="00610897">
            <w:pPr>
              <w:jc w:val="both"/>
              <w:rPr>
                <w:rFonts w:ascii="Garamond" w:eastAsia="Calibri" w:hAnsi="Garamond"/>
                <w:color w:val="000000"/>
                <w:sz w:val="16"/>
                <w:szCs w:val="16"/>
              </w:rPr>
            </w:pPr>
          </w:p>
        </w:tc>
        <w:tc>
          <w:tcPr>
            <w:tcW w:w="1180" w:type="dxa"/>
            <w:tcBorders>
              <w:bottom w:val="single" w:sz="4" w:space="0" w:color="auto"/>
            </w:tcBorders>
          </w:tcPr>
          <w:p w14:paraId="46ADE977" w14:textId="77777777" w:rsidR="00610897" w:rsidRPr="00610897" w:rsidRDefault="00610897" w:rsidP="00610897">
            <w:pPr>
              <w:jc w:val="both"/>
              <w:rPr>
                <w:rFonts w:ascii="Garamond" w:eastAsia="Calibri" w:hAnsi="Garamond"/>
                <w:color w:val="000000"/>
                <w:sz w:val="16"/>
                <w:szCs w:val="16"/>
                <w:u w:val="single"/>
              </w:rPr>
            </w:pPr>
            <w:r w:rsidRPr="00610897">
              <w:rPr>
                <w:rFonts w:ascii="Garamond" w:eastAsia="Calibri" w:hAnsi="Garamond"/>
                <w:color w:val="000000"/>
                <w:sz w:val="16"/>
                <w:szCs w:val="16"/>
              </w:rPr>
              <w:sym w:font="Wingdings" w:char="F0FC"/>
            </w:r>
          </w:p>
        </w:tc>
        <w:tc>
          <w:tcPr>
            <w:tcW w:w="2214" w:type="dxa"/>
            <w:tcBorders>
              <w:bottom w:val="single" w:sz="4" w:space="0" w:color="auto"/>
            </w:tcBorders>
          </w:tcPr>
          <w:p w14:paraId="18E25486" w14:textId="77777777" w:rsidR="00610897" w:rsidRPr="00610897" w:rsidRDefault="00610897" w:rsidP="00610897">
            <w:pPr>
              <w:jc w:val="both"/>
              <w:rPr>
                <w:rFonts w:ascii="Garamond" w:eastAsia="Calibri" w:hAnsi="Garamond"/>
                <w:color w:val="000000"/>
                <w:sz w:val="16"/>
                <w:szCs w:val="16"/>
                <w:u w:val="single"/>
              </w:rPr>
            </w:pPr>
          </w:p>
        </w:tc>
      </w:tr>
    </w:tbl>
    <w:p w14:paraId="20AE545A" w14:textId="77777777" w:rsidR="00610897" w:rsidRPr="00610897" w:rsidRDefault="00610897" w:rsidP="00610897">
      <w:pPr>
        <w:rPr>
          <w:rFonts w:eastAsia="Calibri"/>
          <w:color w:val="000000"/>
          <w:kern w:val="0"/>
          <w:sz w:val="16"/>
          <w:szCs w:val="16"/>
        </w:rPr>
        <w:sectPr w:rsidR="00610897" w:rsidRPr="00610897" w:rsidSect="00610897">
          <w:pgSz w:w="16838" w:h="11906" w:orient="landscape"/>
          <w:pgMar w:top="1440" w:right="1440" w:bottom="1440" w:left="1440" w:header="709" w:footer="709" w:gutter="0"/>
          <w:pgNumType w:start="45"/>
          <w:cols w:space="708"/>
          <w:docGrid w:linePitch="360"/>
        </w:sectPr>
      </w:pPr>
    </w:p>
    <w:tbl>
      <w:tblPr>
        <w:tblStyle w:val="TableGrid2"/>
        <w:tblpPr w:leftFromText="180" w:rightFromText="180" w:vertAnchor="text" w:horzAnchor="margin" w:tblpX="-885" w:tblpY="233"/>
        <w:tblW w:w="10984" w:type="dxa"/>
        <w:tblLook w:val="04A0" w:firstRow="1" w:lastRow="0" w:firstColumn="1" w:lastColumn="0" w:noHBand="0" w:noVBand="1"/>
      </w:tblPr>
      <w:tblGrid>
        <w:gridCol w:w="10984"/>
      </w:tblGrid>
      <w:tr w:rsidR="00610897" w:rsidRPr="00610897" w14:paraId="2A932B15" w14:textId="77777777" w:rsidTr="002441E4">
        <w:trPr>
          <w:trHeight w:val="12310"/>
        </w:trPr>
        <w:tc>
          <w:tcPr>
            <w:tcW w:w="10984" w:type="dxa"/>
          </w:tcPr>
          <w:p w14:paraId="5AE6D12B" w14:textId="77777777" w:rsidR="00610897" w:rsidRPr="00610897" w:rsidRDefault="00610897" w:rsidP="00610897">
            <w:pPr>
              <w:rPr>
                <w:rFonts w:eastAsia="Calibri"/>
                <w:color w:val="000000"/>
                <w:sz w:val="16"/>
                <w:szCs w:val="16"/>
              </w:rPr>
            </w:pPr>
          </w:p>
          <w:p w14:paraId="63F33B9B" w14:textId="77777777" w:rsidR="00610897" w:rsidRPr="00610897" w:rsidRDefault="00610897" w:rsidP="00610897">
            <w:pPr>
              <w:rPr>
                <w:rFonts w:eastAsia="Calibri"/>
                <w:color w:val="000000"/>
                <w:sz w:val="16"/>
                <w:szCs w:val="16"/>
              </w:rPr>
            </w:pPr>
            <w:r w:rsidRPr="00610897">
              <w:rPr>
                <w:rFonts w:eastAsia="Calibri"/>
                <w:noProof/>
                <w:color w:val="000000"/>
                <w:sz w:val="16"/>
                <w:szCs w:val="16"/>
                <w:lang w:eastAsia="en-GB"/>
              </w:rPr>
              <mc:AlternateContent>
                <mc:Choice Requires="wps">
                  <w:drawing>
                    <wp:anchor distT="0" distB="0" distL="114300" distR="114300" simplePos="0" relativeHeight="251687936" behindDoc="0" locked="0" layoutInCell="1" allowOverlap="1" wp14:anchorId="0D4DED4C" wp14:editId="01953722">
                      <wp:simplePos x="0" y="0"/>
                      <wp:positionH relativeFrom="column">
                        <wp:posOffset>1074907</wp:posOffset>
                      </wp:positionH>
                      <wp:positionV relativeFrom="paragraph">
                        <wp:posOffset>99858</wp:posOffset>
                      </wp:positionV>
                      <wp:extent cx="3618230" cy="400050"/>
                      <wp:effectExtent l="0" t="0" r="20320" b="19050"/>
                      <wp:wrapNone/>
                      <wp:docPr id="34" name="Oval 34"/>
                      <wp:cNvGraphicFramePr/>
                      <a:graphic xmlns:a="http://schemas.openxmlformats.org/drawingml/2006/main">
                        <a:graphicData uri="http://schemas.microsoft.com/office/word/2010/wordprocessingShape">
                          <wps:wsp>
                            <wps:cNvSpPr/>
                            <wps:spPr>
                              <a:xfrm>
                                <a:off x="0" y="0"/>
                                <a:ext cx="3618230" cy="400050"/>
                              </a:xfrm>
                              <a:prstGeom prst="ellipse">
                                <a:avLst/>
                              </a:prstGeom>
                              <a:solidFill>
                                <a:sysClr val="window" lastClr="FFFFFF"/>
                              </a:solidFill>
                              <a:ln w="12700" cap="flat" cmpd="sng" algn="ctr">
                                <a:solidFill>
                                  <a:srgbClr val="5B9BD5">
                                    <a:shade val="50000"/>
                                  </a:srgbClr>
                                </a:solidFill>
                                <a:prstDash val="solid"/>
                                <a:miter lim="800000"/>
                              </a:ln>
                              <a:effectLst/>
                            </wps:spPr>
                            <wps:txbx>
                              <w:txbxContent>
                                <w:p w14:paraId="18F47A8B" w14:textId="77777777" w:rsidR="00610897" w:rsidRPr="003074A6" w:rsidRDefault="00610897" w:rsidP="00610897">
                                  <w:pPr>
                                    <w:jc w:val="center"/>
                                    <w:rPr>
                                      <w:sz w:val="16"/>
                                      <w:szCs w:val="16"/>
                                    </w:rPr>
                                  </w:pPr>
                                  <w:r w:rsidRPr="003074A6">
                                    <w:rPr>
                                      <w:sz w:val="16"/>
                                      <w:szCs w:val="16"/>
                                    </w:rPr>
                                    <w:t xml:space="preserve">Criteria for selection </w:t>
                                  </w:r>
                                </w:p>
                                <w:p w14:paraId="760DF731" w14:textId="77777777" w:rsidR="00610897" w:rsidRDefault="00610897" w:rsidP="006108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 o:spid="_x0000_s1026" style="position:absolute;margin-left:84.65pt;margin-top:7.85pt;width:284.9pt;height: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" fillcolor="window" strokecolor="#41719c" strokeweight="1pt">
                      <v:stroke joinstyle="miter"/>
                      <v:textbox>
                        <w:txbxContent>
                          <w:p w14:paraId="18F47A8B" w14:textId="77777777" w:rsidR="00610897" w:rsidRPr="003074A6" w:rsidRDefault="00610897" w:rsidP="00610897">
                            <w:pPr>
                              <w:jc w:val="center"/>
                              <w:rPr>
                                <w:sz w:val="16"/>
                                <w:szCs w:val="16"/>
                              </w:rPr>
                            </w:pPr>
                            <w:r w:rsidRPr="003074A6">
                              <w:rPr>
                                <w:sz w:val="16"/>
                                <w:szCs w:val="16"/>
                              </w:rPr>
                              <w:t xml:space="preserve">Criteria for selection </w:t>
                            </w:r>
                          </w:p>
                          <w:p w14:paraId="760DF731" w14:textId="77777777" w:rsidR="00610897" w:rsidRDefault="00610897" w:rsidP="00610897">
                            <w:pPr>
                              <w:jc w:val="center"/>
                            </w:pPr>
                          </w:p>
                        </w:txbxContent>
                      </v:textbox>
                    </v:oval>
                  </w:pict>
                </mc:Fallback>
              </mc:AlternateContent>
            </w:r>
          </w:p>
          <w:p w14:paraId="0542931C" w14:textId="77777777" w:rsidR="00610897" w:rsidRPr="00610897" w:rsidRDefault="00610897" w:rsidP="00610897">
            <w:pPr>
              <w:rPr>
                <w:rFonts w:eastAsia="Calibri"/>
                <w:color w:val="000000"/>
                <w:sz w:val="16"/>
                <w:szCs w:val="16"/>
              </w:rPr>
            </w:pPr>
          </w:p>
          <w:p w14:paraId="66125EEE" w14:textId="77777777" w:rsidR="00610897" w:rsidRPr="00610897" w:rsidRDefault="00610897" w:rsidP="00610897">
            <w:pPr>
              <w:rPr>
                <w:rFonts w:eastAsia="Calibri"/>
                <w:color w:val="000000"/>
                <w:sz w:val="16"/>
                <w:szCs w:val="16"/>
              </w:rPr>
            </w:pPr>
          </w:p>
          <w:p w14:paraId="69D0AE6B" w14:textId="77777777" w:rsidR="00610897" w:rsidRPr="00610897" w:rsidRDefault="00610897" w:rsidP="00610897">
            <w:pPr>
              <w:rPr>
                <w:rFonts w:eastAsia="Calibri"/>
                <w:color w:val="000000"/>
                <w:sz w:val="16"/>
                <w:szCs w:val="16"/>
              </w:rPr>
            </w:pPr>
          </w:p>
          <w:p w14:paraId="05C03689" w14:textId="77777777" w:rsidR="00610897" w:rsidRPr="00610897" w:rsidRDefault="00610897" w:rsidP="00610897">
            <w:pPr>
              <w:rPr>
                <w:rFonts w:eastAsia="Calibri"/>
                <w:color w:val="000000"/>
                <w:sz w:val="16"/>
                <w:szCs w:val="16"/>
              </w:rPr>
            </w:pPr>
            <w:r w:rsidRPr="00610897">
              <w:rPr>
                <w:rFonts w:eastAsia="Calibri"/>
                <w:noProof/>
                <w:color w:val="000000"/>
                <w:sz w:val="16"/>
                <w:szCs w:val="16"/>
                <w:lang w:eastAsia="en-GB"/>
              </w:rPr>
              <mc:AlternateContent>
                <mc:Choice Requires="wps">
                  <w:drawing>
                    <wp:anchor distT="0" distB="0" distL="114300" distR="114300" simplePos="0" relativeHeight="251681792" behindDoc="0" locked="0" layoutInCell="1" allowOverlap="1" wp14:anchorId="5470C182" wp14:editId="04BC6DE0">
                      <wp:simplePos x="0" y="0"/>
                      <wp:positionH relativeFrom="column">
                        <wp:posOffset>2835762</wp:posOffset>
                      </wp:positionH>
                      <wp:positionV relativeFrom="paragraph">
                        <wp:posOffset>59499</wp:posOffset>
                      </wp:positionV>
                      <wp:extent cx="1707840" cy="252568"/>
                      <wp:effectExtent l="0" t="0" r="83185" b="90805"/>
                      <wp:wrapNone/>
                      <wp:docPr id="38" name="Straight Arrow Connector 38"/>
                      <wp:cNvGraphicFramePr/>
                      <a:graphic xmlns:a="http://schemas.openxmlformats.org/drawingml/2006/main">
                        <a:graphicData uri="http://schemas.microsoft.com/office/word/2010/wordprocessingShape">
                          <wps:wsp>
                            <wps:cNvCnPr/>
                            <wps:spPr>
                              <a:xfrm>
                                <a:off x="0" y="0"/>
                                <a:ext cx="1707840" cy="252568"/>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8" o:spid="_x0000_s1026" type="#_x0000_t32" style="position:absolute;margin-left:223.3pt;margin-top:4.7pt;width:134.5pt;height:1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" strokecolor="#5b9bd5" strokeweight=".5pt">
                      <v:stroke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704320" behindDoc="0" locked="0" layoutInCell="1" allowOverlap="1" wp14:anchorId="4BCFDA8E" wp14:editId="00004B90">
                      <wp:simplePos x="0" y="0"/>
                      <wp:positionH relativeFrom="column">
                        <wp:posOffset>2816225</wp:posOffset>
                      </wp:positionH>
                      <wp:positionV relativeFrom="paragraph">
                        <wp:posOffset>66675</wp:posOffset>
                      </wp:positionV>
                      <wp:extent cx="19050" cy="304800"/>
                      <wp:effectExtent l="57150" t="0" r="57150" b="57150"/>
                      <wp:wrapNone/>
                      <wp:docPr id="2" name="Straight Arrow Connector 2"/>
                      <wp:cNvGraphicFramePr/>
                      <a:graphic xmlns:a="http://schemas.openxmlformats.org/drawingml/2006/main">
                        <a:graphicData uri="http://schemas.microsoft.com/office/word/2010/wordprocessingShape">
                          <wps:wsp>
                            <wps:cNvCnPr/>
                            <wps:spPr>
                              <a:xfrm>
                                <a:off x="0" y="0"/>
                                <a:ext cx="19050" cy="3048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221.75pt;margin-top:5.25pt;width: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" strokecolor="#5b9bd5" strokeweight=".5pt">
                      <v:stroke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69504" behindDoc="0" locked="0" layoutInCell="1" allowOverlap="1" wp14:anchorId="265F7BDA" wp14:editId="381F17F0">
                      <wp:simplePos x="0" y="0"/>
                      <wp:positionH relativeFrom="column">
                        <wp:posOffset>1181970</wp:posOffset>
                      </wp:positionH>
                      <wp:positionV relativeFrom="paragraph">
                        <wp:posOffset>54256</wp:posOffset>
                      </wp:positionV>
                      <wp:extent cx="1669312" cy="285439"/>
                      <wp:effectExtent l="38100" t="0" r="26670" b="76835"/>
                      <wp:wrapNone/>
                      <wp:docPr id="9" name="Straight Arrow Connector 9"/>
                      <wp:cNvGraphicFramePr/>
                      <a:graphic xmlns:a="http://schemas.openxmlformats.org/drawingml/2006/main">
                        <a:graphicData uri="http://schemas.microsoft.com/office/word/2010/wordprocessingShape">
                          <wps:wsp>
                            <wps:cNvCnPr/>
                            <wps:spPr>
                              <a:xfrm flipH="1">
                                <a:off x="0" y="0"/>
                                <a:ext cx="1669312" cy="285439"/>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93.05pt;margin-top:4.25pt;width:131.45pt;height:2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" strokecolor="#5b9bd5" strokeweight=".5pt">
                      <v:stroke endarrow="block" joinstyle="miter"/>
                    </v:shape>
                  </w:pict>
                </mc:Fallback>
              </mc:AlternateContent>
            </w:r>
          </w:p>
          <w:p w14:paraId="39F8DC51" w14:textId="77777777" w:rsidR="00610897" w:rsidRPr="00610897" w:rsidRDefault="00610897" w:rsidP="00610897">
            <w:pPr>
              <w:rPr>
                <w:rFonts w:eastAsia="Calibri"/>
                <w:color w:val="000000"/>
                <w:sz w:val="16"/>
                <w:szCs w:val="16"/>
              </w:rPr>
            </w:pPr>
          </w:p>
          <w:p w14:paraId="1B28F242" w14:textId="77777777" w:rsidR="00610897" w:rsidRPr="00610897" w:rsidRDefault="00610897" w:rsidP="00610897">
            <w:pPr>
              <w:rPr>
                <w:rFonts w:eastAsia="Calibri"/>
                <w:color w:val="000000"/>
                <w:sz w:val="16"/>
                <w:szCs w:val="16"/>
              </w:rPr>
            </w:pPr>
          </w:p>
          <w:p w14:paraId="0CE297DC" w14:textId="77777777" w:rsidR="00610897" w:rsidRPr="00610897" w:rsidRDefault="00610897" w:rsidP="00610897">
            <w:pPr>
              <w:tabs>
                <w:tab w:val="left" w:pos="9596"/>
              </w:tabs>
              <w:rPr>
                <w:rFonts w:eastAsia="Calibri"/>
                <w:b/>
                <w:color w:val="000000"/>
                <w:sz w:val="16"/>
                <w:szCs w:val="16"/>
              </w:rPr>
            </w:pPr>
            <w:r w:rsidRPr="00610897">
              <w:rPr>
                <w:rFonts w:eastAsia="Calibri"/>
                <w:noProof/>
                <w:color w:val="000000"/>
                <w:sz w:val="16"/>
                <w:szCs w:val="16"/>
                <w:lang w:eastAsia="en-GB"/>
              </w:rPr>
              <mc:AlternateContent>
                <mc:Choice Requires="wps">
                  <w:drawing>
                    <wp:anchor distT="0" distB="0" distL="114300" distR="114300" simplePos="0" relativeHeight="251714560" behindDoc="0" locked="0" layoutInCell="1" allowOverlap="1" wp14:anchorId="1BE62D3A" wp14:editId="6861D825">
                      <wp:simplePos x="0" y="0"/>
                      <wp:positionH relativeFrom="column">
                        <wp:posOffset>6250210</wp:posOffset>
                      </wp:positionH>
                      <wp:positionV relativeFrom="paragraph">
                        <wp:posOffset>109201</wp:posOffset>
                      </wp:positionV>
                      <wp:extent cx="6824" cy="573206"/>
                      <wp:effectExtent l="38100" t="0" r="69850" b="55880"/>
                      <wp:wrapNone/>
                      <wp:docPr id="57" name="Straight Arrow Connector 57"/>
                      <wp:cNvGraphicFramePr/>
                      <a:graphic xmlns:a="http://schemas.openxmlformats.org/drawingml/2006/main">
                        <a:graphicData uri="http://schemas.microsoft.com/office/word/2010/wordprocessingShape">
                          <wps:wsp>
                            <wps:cNvCnPr/>
                            <wps:spPr>
                              <a:xfrm>
                                <a:off x="0" y="0"/>
                                <a:ext cx="6824" cy="573206"/>
                              </a:xfrm>
                              <a:prstGeom prst="straightConnector1">
                                <a:avLst/>
                              </a:prstGeom>
                              <a:noFill/>
                              <a:ln w="6350" cap="flat" cmpd="sng" algn="ctr">
                                <a:solidFill>
                                  <a:srgbClr val="5B9BD5"/>
                                </a:solidFill>
                                <a:prstDash val="sysDash"/>
                                <a:miter lim="800000"/>
                                <a:tailEnd type="triangle"/>
                              </a:ln>
                              <a:effectLst/>
                            </wps:spPr>
                            <wps:bodyPr/>
                          </wps:wsp>
                        </a:graphicData>
                      </a:graphic>
                    </wp:anchor>
                  </w:drawing>
                </mc:Choice>
                <mc:Fallback>
                  <w:pict>
                    <v:shape id="Straight Arrow Connector 57" o:spid="_x0000_s1026" type="#_x0000_t32" style="position:absolute;margin-left:492.15pt;margin-top:8.6pt;width:.55pt;height:45.1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" strokecolor="#5b9bd5" strokeweight=".5pt">
                      <v:stroke dashstyle="3 1"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713536" behindDoc="0" locked="0" layoutInCell="1" allowOverlap="1" wp14:anchorId="0CADE7A0" wp14:editId="069B92FC">
                      <wp:simplePos x="0" y="0"/>
                      <wp:positionH relativeFrom="column">
                        <wp:posOffset>5891672</wp:posOffset>
                      </wp:positionH>
                      <wp:positionV relativeFrom="paragraph">
                        <wp:posOffset>109201</wp:posOffset>
                      </wp:positionV>
                      <wp:extent cx="379579" cy="0"/>
                      <wp:effectExtent l="0" t="0" r="1905" b="19050"/>
                      <wp:wrapNone/>
                      <wp:docPr id="55" name="Straight Connector 55"/>
                      <wp:cNvGraphicFramePr/>
                      <a:graphic xmlns:a="http://schemas.openxmlformats.org/drawingml/2006/main">
                        <a:graphicData uri="http://schemas.microsoft.com/office/word/2010/wordprocessingShape">
                          <wps:wsp>
                            <wps:cNvCnPr/>
                            <wps:spPr>
                              <a:xfrm>
                                <a:off x="0" y="0"/>
                                <a:ext cx="379579" cy="0"/>
                              </a:xfrm>
                              <a:prstGeom prst="line">
                                <a:avLst/>
                              </a:prstGeom>
                              <a:noFill/>
                              <a:ln w="6350" cap="flat" cmpd="sng" algn="ctr">
                                <a:solidFill>
                                  <a:srgbClr val="5B9BD5"/>
                                </a:solidFill>
                                <a:prstDash val="sysDash"/>
                                <a:miter lim="800000"/>
                              </a:ln>
                              <a:effectLst/>
                            </wps:spPr>
                            <wps:bodyPr/>
                          </wps:wsp>
                        </a:graphicData>
                      </a:graphic>
                    </wp:anchor>
                  </w:drawing>
                </mc:Choice>
                <mc:Fallback>
                  <w:pict>
                    <v:line id="Straight Connector 55"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63.9pt,8.6pt" to="493.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" strokecolor="#5b9bd5" strokeweight=".5pt">
                      <v:stroke dashstyle="3 1" joinstyle="miter"/>
                    </v:lin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709440" behindDoc="0" locked="0" layoutInCell="1" allowOverlap="1" wp14:anchorId="19628752" wp14:editId="73EE09FC">
                      <wp:simplePos x="0" y="0"/>
                      <wp:positionH relativeFrom="column">
                        <wp:posOffset>1931509</wp:posOffset>
                      </wp:positionH>
                      <wp:positionV relativeFrom="paragraph">
                        <wp:posOffset>23183</wp:posOffset>
                      </wp:positionV>
                      <wp:extent cx="1704975" cy="266700"/>
                      <wp:effectExtent l="0" t="0" r="28575" b="19050"/>
                      <wp:wrapNone/>
                      <wp:docPr id="70" name="Rectangle 70"/>
                      <wp:cNvGraphicFramePr/>
                      <a:graphic xmlns:a="http://schemas.openxmlformats.org/drawingml/2006/main">
                        <a:graphicData uri="http://schemas.microsoft.com/office/word/2010/wordprocessingShape">
                          <wps:wsp>
                            <wps:cNvSpPr/>
                            <wps:spPr>
                              <a:xfrm>
                                <a:off x="0" y="0"/>
                                <a:ext cx="1704975" cy="2667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DADD7BD" w14:textId="77777777" w:rsidR="00610897" w:rsidRPr="003074A6" w:rsidRDefault="00610897" w:rsidP="00610897">
                                  <w:pPr>
                                    <w:jc w:val="center"/>
                                    <w:rPr>
                                      <w:sz w:val="16"/>
                                      <w:szCs w:val="16"/>
                                    </w:rPr>
                                  </w:pPr>
                                  <w:r w:rsidRPr="003074A6">
                                    <w:rPr>
                                      <w:sz w:val="16"/>
                                      <w:szCs w:val="16"/>
                                    </w:rPr>
                                    <w:t>Published after 1997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o:spid="_x0000_s1027" style="position:absolute;margin-left:152.1pt;margin-top:1.85pt;width:134.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" fillcolor="window" strokecolor="#41719c" strokeweight="1pt">
                      <v:textbox>
                        <w:txbxContent>
                          <w:p w14:paraId="3DADD7BD" w14:textId="77777777" w:rsidR="00610897" w:rsidRPr="003074A6" w:rsidRDefault="00610897" w:rsidP="00610897">
                            <w:pPr>
                              <w:jc w:val="center"/>
                              <w:rPr>
                                <w:sz w:val="16"/>
                                <w:szCs w:val="16"/>
                              </w:rPr>
                            </w:pPr>
                            <w:r w:rsidRPr="003074A6">
                              <w:rPr>
                                <w:sz w:val="16"/>
                                <w:szCs w:val="16"/>
                              </w:rPr>
                              <w:t>Published after 1997</w:t>
                            </w:r>
                          </w:p>
                        </w:txbxContent>
                      </v:textbox>
                    </v:rect>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77696" behindDoc="0" locked="0" layoutInCell="1" allowOverlap="1" wp14:anchorId="0E020767" wp14:editId="7EE2C1D2">
                      <wp:simplePos x="0" y="0"/>
                      <wp:positionH relativeFrom="column">
                        <wp:posOffset>344246</wp:posOffset>
                      </wp:positionH>
                      <wp:positionV relativeFrom="paragraph">
                        <wp:posOffset>20491</wp:posOffset>
                      </wp:positionV>
                      <wp:extent cx="1453486" cy="295275"/>
                      <wp:effectExtent l="0" t="0" r="13970" b="28575"/>
                      <wp:wrapNone/>
                      <wp:docPr id="4" name="Rectangle 4"/>
                      <wp:cNvGraphicFramePr/>
                      <a:graphic xmlns:a="http://schemas.openxmlformats.org/drawingml/2006/main">
                        <a:graphicData uri="http://schemas.microsoft.com/office/word/2010/wordprocessingShape">
                          <wps:wsp>
                            <wps:cNvSpPr/>
                            <wps:spPr>
                              <a:xfrm>
                                <a:off x="0" y="0"/>
                                <a:ext cx="1453486" cy="2952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0FE8BE4" w14:textId="77777777" w:rsidR="00610897" w:rsidRPr="003074A6" w:rsidRDefault="00610897" w:rsidP="00610897">
                                  <w:pPr>
                                    <w:jc w:val="center"/>
                                    <w:rPr>
                                      <w:sz w:val="16"/>
                                      <w:szCs w:val="16"/>
                                    </w:rPr>
                                  </w:pPr>
                                  <w:r w:rsidRPr="003074A6">
                                    <w:rPr>
                                      <w:sz w:val="16"/>
                                      <w:szCs w:val="16"/>
                                    </w:rPr>
                                    <w:t>Concerns risk reporting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margin-left:27.1pt;margin-top:1.6pt;width:114.4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" fillcolor="window" strokecolor="#41719c" strokeweight="1pt">
                      <v:textbox>
                        <w:txbxContent>
                          <w:p w14:paraId="40FE8BE4" w14:textId="77777777" w:rsidR="00610897" w:rsidRPr="003074A6" w:rsidRDefault="00610897" w:rsidP="00610897">
                            <w:pPr>
                              <w:jc w:val="center"/>
                              <w:rPr>
                                <w:sz w:val="16"/>
                                <w:szCs w:val="16"/>
                              </w:rPr>
                            </w:pPr>
                            <w:r w:rsidRPr="003074A6">
                              <w:rPr>
                                <w:sz w:val="16"/>
                                <w:szCs w:val="16"/>
                              </w:rPr>
                              <w:t>Concerns risk reporting</w:t>
                            </w:r>
                          </w:p>
                        </w:txbxContent>
                      </v:textbox>
                    </v:rect>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83840" behindDoc="0" locked="0" layoutInCell="1" allowOverlap="1" wp14:anchorId="5C329976" wp14:editId="1C362D98">
                      <wp:simplePos x="0" y="0"/>
                      <wp:positionH relativeFrom="column">
                        <wp:posOffset>3742008</wp:posOffset>
                      </wp:positionH>
                      <wp:positionV relativeFrom="paragraph">
                        <wp:posOffset>-1895</wp:posOffset>
                      </wp:positionV>
                      <wp:extent cx="2152650" cy="2762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152650" cy="2762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0415DCD" w14:textId="77777777" w:rsidR="00610897" w:rsidRPr="003074A6" w:rsidRDefault="00610897" w:rsidP="00610897">
                                  <w:pPr>
                                    <w:jc w:val="center"/>
                                    <w:rPr>
                                      <w:sz w:val="16"/>
                                      <w:szCs w:val="16"/>
                                    </w:rPr>
                                  </w:pPr>
                                  <w:r w:rsidRPr="003074A6">
                                    <w:rPr>
                                      <w:sz w:val="16"/>
                                      <w:szCs w:val="16"/>
                                    </w:rPr>
                                    <w:t>Published in a ranked journal 3*(A) or 4*(A*)</w:t>
                                  </w:r>
                                </w:p>
                                <w:p w14:paraId="06B855D9" w14:textId="77777777" w:rsidR="00610897" w:rsidRPr="00D93C38" w:rsidRDefault="00610897" w:rsidP="00610897">
                                  <w:pPr>
                                    <w:jc w:val="cente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294.65pt;margin-top:-.15pt;width:169.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" fillcolor="window" strokecolor="#41719c" strokeweight="1pt">
                      <v:textbox>
                        <w:txbxContent>
                          <w:p w14:paraId="20415DCD" w14:textId="77777777" w:rsidR="00610897" w:rsidRPr="003074A6" w:rsidRDefault="00610897" w:rsidP="00610897">
                            <w:pPr>
                              <w:jc w:val="center"/>
                              <w:rPr>
                                <w:sz w:val="16"/>
                                <w:szCs w:val="16"/>
                              </w:rPr>
                            </w:pPr>
                            <w:r w:rsidRPr="003074A6">
                              <w:rPr>
                                <w:sz w:val="16"/>
                                <w:szCs w:val="16"/>
                              </w:rPr>
                              <w:t>Published in a ranked journal 3*(A) or 4*(A*)</w:t>
                            </w:r>
                          </w:p>
                          <w:p w14:paraId="06B855D9" w14:textId="77777777" w:rsidR="00610897" w:rsidRPr="00D93C38" w:rsidRDefault="00610897" w:rsidP="00610897">
                            <w:pPr>
                              <w:jc w:val="center"/>
                              <w:rPr>
                                <w:rFonts w:ascii="Times New Roman" w:hAnsi="Times New Roman"/>
                                <w:sz w:val="16"/>
                                <w:szCs w:val="16"/>
                              </w:rPr>
                            </w:pPr>
                          </w:p>
                        </w:txbxContent>
                      </v:textbox>
                    </v:rect>
                  </w:pict>
                </mc:Fallback>
              </mc:AlternateContent>
            </w:r>
            <w:r w:rsidRPr="00610897">
              <w:rPr>
                <w:rFonts w:eastAsia="Calibri"/>
                <w:color w:val="000000"/>
                <w:sz w:val="16"/>
                <w:szCs w:val="16"/>
              </w:rPr>
              <w:t xml:space="preserve">                                                                                                                                                                                                                                         </w:t>
            </w:r>
            <w:r w:rsidRPr="00610897">
              <w:rPr>
                <w:rFonts w:eastAsia="Calibri"/>
                <w:b/>
                <w:color w:val="000000"/>
                <w:sz w:val="16"/>
                <w:szCs w:val="16"/>
              </w:rPr>
              <w:t>If Not</w:t>
            </w:r>
          </w:p>
          <w:p w14:paraId="6BE88A24" w14:textId="77777777" w:rsidR="00610897" w:rsidRPr="00610897" w:rsidRDefault="00610897" w:rsidP="00610897">
            <w:pPr>
              <w:rPr>
                <w:rFonts w:eastAsia="Calibri"/>
                <w:color w:val="000000"/>
                <w:sz w:val="16"/>
                <w:szCs w:val="16"/>
              </w:rPr>
            </w:pPr>
          </w:p>
          <w:p w14:paraId="53088242" w14:textId="77777777" w:rsidR="00610897" w:rsidRPr="00610897" w:rsidRDefault="00610897" w:rsidP="00610897">
            <w:pPr>
              <w:rPr>
                <w:rFonts w:eastAsia="Calibri"/>
                <w:color w:val="000000"/>
                <w:sz w:val="16"/>
                <w:szCs w:val="16"/>
              </w:rPr>
            </w:pPr>
            <w:r w:rsidRPr="00610897">
              <w:rPr>
                <w:rFonts w:eastAsia="Calibri"/>
                <w:noProof/>
                <w:color w:val="000000"/>
                <w:sz w:val="16"/>
                <w:szCs w:val="16"/>
                <w:lang w:eastAsia="en-GB"/>
              </w:rPr>
              <mc:AlternateContent>
                <mc:Choice Requires="wps">
                  <w:drawing>
                    <wp:anchor distT="0" distB="0" distL="114300" distR="114300" simplePos="0" relativeHeight="251680768" behindDoc="0" locked="0" layoutInCell="1" allowOverlap="1" wp14:anchorId="657FDF02" wp14:editId="759B31CE">
                      <wp:simplePos x="0" y="0"/>
                      <wp:positionH relativeFrom="column">
                        <wp:posOffset>1200563</wp:posOffset>
                      </wp:positionH>
                      <wp:positionV relativeFrom="paragraph">
                        <wp:posOffset>104685</wp:posOffset>
                      </wp:positionV>
                      <wp:extent cx="1616223" cy="319095"/>
                      <wp:effectExtent l="0" t="0" r="60325" b="81280"/>
                      <wp:wrapNone/>
                      <wp:docPr id="40" name="Straight Arrow Connector 40"/>
                      <wp:cNvGraphicFramePr/>
                      <a:graphic xmlns:a="http://schemas.openxmlformats.org/drawingml/2006/main">
                        <a:graphicData uri="http://schemas.microsoft.com/office/word/2010/wordprocessingShape">
                          <wps:wsp>
                            <wps:cNvCnPr/>
                            <wps:spPr>
                              <a:xfrm>
                                <a:off x="0" y="0"/>
                                <a:ext cx="1616223" cy="31909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94.55pt;margin-top:8.25pt;width:127.25pt;height:2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" strokecolor="#5b9bd5" strokeweight=".5pt">
                      <v:stroke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718656" behindDoc="0" locked="0" layoutInCell="1" allowOverlap="1" wp14:anchorId="5DD2A31F" wp14:editId="74C8BCB1">
                      <wp:simplePos x="0" y="0"/>
                      <wp:positionH relativeFrom="column">
                        <wp:posOffset>2849880</wp:posOffset>
                      </wp:positionH>
                      <wp:positionV relativeFrom="paragraph">
                        <wp:posOffset>69215</wp:posOffset>
                      </wp:positionV>
                      <wp:extent cx="12700" cy="406400"/>
                      <wp:effectExtent l="38100" t="0" r="63500" b="50800"/>
                      <wp:wrapNone/>
                      <wp:docPr id="54" name="Straight Arrow Connector 54"/>
                      <wp:cNvGraphicFramePr/>
                      <a:graphic xmlns:a="http://schemas.openxmlformats.org/drawingml/2006/main">
                        <a:graphicData uri="http://schemas.microsoft.com/office/word/2010/wordprocessingShape">
                          <wps:wsp>
                            <wps:cNvCnPr/>
                            <wps:spPr>
                              <a:xfrm>
                                <a:off x="0" y="0"/>
                                <a:ext cx="12700" cy="4064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54" o:spid="_x0000_s1026" type="#_x0000_t32" style="position:absolute;margin-left:224.4pt;margin-top:5.45pt;width:1pt;height:32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" strokecolor="#5b9bd5" strokeweight=".5pt">
                      <v:stroke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86912" behindDoc="0" locked="0" layoutInCell="1" allowOverlap="1" wp14:anchorId="53FBC9BC" wp14:editId="7D771FAA">
                      <wp:simplePos x="0" y="0"/>
                      <wp:positionH relativeFrom="column">
                        <wp:posOffset>2901314</wp:posOffset>
                      </wp:positionH>
                      <wp:positionV relativeFrom="paragraph">
                        <wp:posOffset>59055</wp:posOffset>
                      </wp:positionV>
                      <wp:extent cx="1617345" cy="371475"/>
                      <wp:effectExtent l="38100" t="0" r="20955" b="85725"/>
                      <wp:wrapNone/>
                      <wp:docPr id="43" name="Straight Arrow Connector 43"/>
                      <wp:cNvGraphicFramePr/>
                      <a:graphic xmlns:a="http://schemas.openxmlformats.org/drawingml/2006/main">
                        <a:graphicData uri="http://schemas.microsoft.com/office/word/2010/wordprocessingShape">
                          <wps:wsp>
                            <wps:cNvCnPr/>
                            <wps:spPr>
                              <a:xfrm flipH="1">
                                <a:off x="0" y="0"/>
                                <a:ext cx="1617345" cy="3714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3" o:spid="_x0000_s1026" type="#_x0000_t32" style="position:absolute;margin-left:228.45pt;margin-top:4.65pt;width:127.35pt;height:29.2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" strokecolor="#5b9bd5" strokeweight=".5pt">
                      <v:stroke endarrow="block" joinstyle="miter"/>
                    </v:shape>
                  </w:pict>
                </mc:Fallback>
              </mc:AlternateContent>
            </w:r>
          </w:p>
          <w:p w14:paraId="087A0F7F" w14:textId="77777777" w:rsidR="00610897" w:rsidRPr="00610897" w:rsidRDefault="00610897" w:rsidP="00610897">
            <w:pPr>
              <w:rPr>
                <w:rFonts w:eastAsia="Calibri"/>
                <w:color w:val="000000"/>
                <w:sz w:val="16"/>
                <w:szCs w:val="16"/>
              </w:rPr>
            </w:pPr>
          </w:p>
          <w:p w14:paraId="4DB135BB" w14:textId="77777777" w:rsidR="00610897" w:rsidRPr="00610897" w:rsidRDefault="00610897" w:rsidP="00610897">
            <w:pPr>
              <w:rPr>
                <w:rFonts w:eastAsia="Calibri"/>
                <w:color w:val="000000"/>
                <w:sz w:val="16"/>
                <w:szCs w:val="16"/>
              </w:rPr>
            </w:pPr>
          </w:p>
          <w:p w14:paraId="2267226C" w14:textId="77777777" w:rsidR="00610897" w:rsidRPr="00610897" w:rsidRDefault="00610897" w:rsidP="00610897">
            <w:pPr>
              <w:rPr>
                <w:rFonts w:eastAsia="Calibri"/>
                <w:color w:val="000000"/>
                <w:sz w:val="16"/>
                <w:szCs w:val="16"/>
              </w:rPr>
            </w:pPr>
            <w:r w:rsidRPr="00610897">
              <w:rPr>
                <w:rFonts w:eastAsia="Calibri"/>
                <w:noProof/>
                <w:color w:val="000000"/>
                <w:sz w:val="16"/>
                <w:szCs w:val="16"/>
                <w:lang w:eastAsia="en-GB"/>
              </w:rPr>
              <mc:AlternateContent>
                <mc:Choice Requires="wps">
                  <w:drawing>
                    <wp:anchor distT="0" distB="0" distL="114300" distR="114300" simplePos="0" relativeHeight="251712512" behindDoc="0" locked="0" layoutInCell="1" allowOverlap="1" wp14:anchorId="5E06ABF3" wp14:editId="40FF7865">
                      <wp:simplePos x="0" y="0"/>
                      <wp:positionH relativeFrom="column">
                        <wp:posOffset>4291756</wp:posOffset>
                      </wp:positionH>
                      <wp:positionV relativeFrom="paragraph">
                        <wp:posOffset>111855</wp:posOffset>
                      </wp:positionV>
                      <wp:extent cx="2442950" cy="323850"/>
                      <wp:effectExtent l="0" t="0" r="14605" b="19050"/>
                      <wp:wrapNone/>
                      <wp:docPr id="29" name="Rectangle 29"/>
                      <wp:cNvGraphicFramePr/>
                      <a:graphic xmlns:a="http://schemas.openxmlformats.org/drawingml/2006/main">
                        <a:graphicData uri="http://schemas.microsoft.com/office/word/2010/wordprocessingShape">
                          <wps:wsp>
                            <wps:cNvSpPr/>
                            <wps:spPr>
                              <a:xfrm>
                                <a:off x="0" y="0"/>
                                <a:ext cx="2442950" cy="3238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78C203D6" w14:textId="77777777" w:rsidR="00610897" w:rsidRPr="003074A6" w:rsidRDefault="00610897" w:rsidP="00610897">
                                  <w:pPr>
                                    <w:rPr>
                                      <w:sz w:val="16"/>
                                      <w:szCs w:val="16"/>
                                    </w:rPr>
                                  </w:pPr>
                                  <w:r>
                                    <w:rPr>
                                      <w:sz w:val="16"/>
                                      <w:szCs w:val="16"/>
                                    </w:rPr>
                                    <w:t>Other papers</w:t>
                                  </w:r>
                                  <w:r w:rsidRPr="003074A6">
                                    <w:rPr>
                                      <w:sz w:val="16"/>
                                      <w:szCs w:val="16"/>
                                    </w:rPr>
                                    <w:t xml:space="preserve"> (</w:t>
                                  </w:r>
                                  <w:r>
                                    <w:rPr>
                                      <w:sz w:val="16"/>
                                      <w:szCs w:val="16"/>
                                    </w:rPr>
                                    <w:t>11 papers are summarized and categorized in Appendix 1</w:t>
                                  </w:r>
                                  <w:r w:rsidRPr="003074A6">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0" style="position:absolute;margin-left:337.95pt;margin-top:8.8pt;width:192.35pt;height: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" fillcolor="window" strokecolor="#41719c" strokeweight="1pt">
                      <v:textbox>
                        <w:txbxContent>
                          <w:p w14:paraId="78C203D6" w14:textId="77777777" w:rsidR="00610897" w:rsidRPr="003074A6" w:rsidRDefault="00610897" w:rsidP="00610897">
                            <w:pPr>
                              <w:rPr>
                                <w:sz w:val="16"/>
                                <w:szCs w:val="16"/>
                              </w:rPr>
                            </w:pPr>
                            <w:r>
                              <w:rPr>
                                <w:sz w:val="16"/>
                                <w:szCs w:val="16"/>
                              </w:rPr>
                              <w:t>Other papers</w:t>
                            </w:r>
                            <w:r w:rsidRPr="003074A6">
                              <w:rPr>
                                <w:sz w:val="16"/>
                                <w:szCs w:val="16"/>
                              </w:rPr>
                              <w:t xml:space="preserve"> (</w:t>
                            </w:r>
                            <w:r>
                              <w:rPr>
                                <w:sz w:val="16"/>
                                <w:szCs w:val="16"/>
                              </w:rPr>
                              <w:t>11 papers are summarized and categorized in Appendix 1</w:t>
                            </w:r>
                            <w:r w:rsidRPr="003074A6">
                              <w:rPr>
                                <w:sz w:val="16"/>
                                <w:szCs w:val="16"/>
                              </w:rPr>
                              <w:t>)</w:t>
                            </w:r>
                          </w:p>
                        </w:txbxContent>
                      </v:textbox>
                    </v:rect>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89984" behindDoc="0" locked="0" layoutInCell="1" allowOverlap="1" wp14:anchorId="23BAA2D8" wp14:editId="4A05FE60">
                      <wp:simplePos x="0" y="0"/>
                      <wp:positionH relativeFrom="column">
                        <wp:posOffset>1214234</wp:posOffset>
                      </wp:positionH>
                      <wp:positionV relativeFrom="paragraph">
                        <wp:posOffset>114821</wp:posOffset>
                      </wp:positionV>
                      <wp:extent cx="2961564" cy="323850"/>
                      <wp:effectExtent l="0" t="0" r="10795" b="19050"/>
                      <wp:wrapNone/>
                      <wp:docPr id="11" name="Rectangle 11"/>
                      <wp:cNvGraphicFramePr/>
                      <a:graphic xmlns:a="http://schemas.openxmlformats.org/drawingml/2006/main">
                        <a:graphicData uri="http://schemas.microsoft.com/office/word/2010/wordprocessingShape">
                          <wps:wsp>
                            <wps:cNvSpPr/>
                            <wps:spPr>
                              <a:xfrm>
                                <a:off x="0" y="0"/>
                                <a:ext cx="2961564" cy="3238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70F2C814" w14:textId="77777777" w:rsidR="00610897" w:rsidRPr="003074A6" w:rsidRDefault="00610897" w:rsidP="00610897">
                                  <w:pPr>
                                    <w:jc w:val="center"/>
                                    <w:rPr>
                                      <w:sz w:val="16"/>
                                      <w:szCs w:val="16"/>
                                    </w:rPr>
                                  </w:pPr>
                                  <w:r w:rsidRPr="003D126F">
                                    <w:rPr>
                                      <w:sz w:val="16"/>
                                      <w:szCs w:val="16"/>
                                    </w:rPr>
                                    <w:t>Reviewed papers (32 papers as detailed in Table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1" style="position:absolute;margin-left:95.6pt;margin-top:9.05pt;width:233.2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" fillcolor="window" strokecolor="#41719c" strokeweight="1pt">
                      <v:textbox>
                        <w:txbxContent>
                          <w:p w14:paraId="70F2C814" w14:textId="77777777" w:rsidR="00610897" w:rsidRPr="003074A6" w:rsidRDefault="00610897" w:rsidP="00610897">
                            <w:pPr>
                              <w:jc w:val="center"/>
                              <w:rPr>
                                <w:sz w:val="16"/>
                                <w:szCs w:val="16"/>
                              </w:rPr>
                            </w:pPr>
                            <w:r w:rsidRPr="003D126F">
                              <w:rPr>
                                <w:sz w:val="16"/>
                                <w:szCs w:val="16"/>
                              </w:rPr>
                              <w:t>Reviewed papers (32 papers as detailed in Table 1)</w:t>
                            </w:r>
                          </w:p>
                        </w:txbxContent>
                      </v:textbox>
                    </v:rect>
                  </w:pict>
                </mc:Fallback>
              </mc:AlternateContent>
            </w:r>
          </w:p>
          <w:p w14:paraId="69A05AC1" w14:textId="77777777" w:rsidR="00610897" w:rsidRPr="00610897" w:rsidRDefault="00610897" w:rsidP="00610897">
            <w:pPr>
              <w:rPr>
                <w:rFonts w:eastAsia="Calibri"/>
                <w:color w:val="000000"/>
                <w:sz w:val="16"/>
                <w:szCs w:val="16"/>
              </w:rPr>
            </w:pPr>
          </w:p>
          <w:p w14:paraId="47C68FEE" w14:textId="77777777" w:rsidR="00610897" w:rsidRPr="00610897" w:rsidRDefault="00610897" w:rsidP="00610897">
            <w:pPr>
              <w:rPr>
                <w:rFonts w:eastAsia="Calibri"/>
                <w:color w:val="000000"/>
                <w:sz w:val="16"/>
                <w:szCs w:val="16"/>
              </w:rPr>
            </w:pPr>
          </w:p>
          <w:p w14:paraId="278C73EE" w14:textId="77777777" w:rsidR="00610897" w:rsidRPr="00610897" w:rsidRDefault="00610897" w:rsidP="00610897">
            <w:pPr>
              <w:rPr>
                <w:rFonts w:eastAsia="Calibri"/>
                <w:color w:val="000000"/>
                <w:sz w:val="16"/>
                <w:szCs w:val="16"/>
              </w:rPr>
            </w:pPr>
            <w:r w:rsidRPr="00610897">
              <w:rPr>
                <w:rFonts w:eastAsia="Calibri"/>
                <w:noProof/>
                <w:color w:val="000000"/>
                <w:sz w:val="16"/>
                <w:szCs w:val="16"/>
                <w:lang w:eastAsia="en-GB"/>
              </w:rPr>
              <mc:AlternateContent>
                <mc:Choice Requires="wps">
                  <w:drawing>
                    <wp:anchor distT="0" distB="0" distL="114300" distR="114300" simplePos="0" relativeHeight="251708416" behindDoc="0" locked="0" layoutInCell="1" allowOverlap="1" wp14:anchorId="62FC94C5" wp14:editId="0EE438FD">
                      <wp:simplePos x="0" y="0"/>
                      <wp:positionH relativeFrom="column">
                        <wp:posOffset>2864485</wp:posOffset>
                      </wp:positionH>
                      <wp:positionV relativeFrom="paragraph">
                        <wp:posOffset>101228</wp:posOffset>
                      </wp:positionV>
                      <wp:extent cx="19050" cy="304800"/>
                      <wp:effectExtent l="57150" t="0" r="57150" b="57150"/>
                      <wp:wrapNone/>
                      <wp:docPr id="50" name="Straight Arrow Connector 50"/>
                      <wp:cNvGraphicFramePr/>
                      <a:graphic xmlns:a="http://schemas.openxmlformats.org/drawingml/2006/main">
                        <a:graphicData uri="http://schemas.microsoft.com/office/word/2010/wordprocessingShape">
                          <wps:wsp>
                            <wps:cNvCnPr/>
                            <wps:spPr>
                              <a:xfrm>
                                <a:off x="0" y="0"/>
                                <a:ext cx="1905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50" o:spid="_x0000_s1026" type="#_x0000_t32" style="position:absolute;margin-left:225.55pt;margin-top:7.95pt;width:1.5pt;height:24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" strokecolor="#5b9bd5" strokeweight=".5pt">
                      <v:stroke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715584" behindDoc="0" locked="0" layoutInCell="1" allowOverlap="1" wp14:anchorId="646AF935" wp14:editId="76E7420A">
                      <wp:simplePos x="0" y="0"/>
                      <wp:positionH relativeFrom="column">
                        <wp:posOffset>6270682</wp:posOffset>
                      </wp:positionH>
                      <wp:positionV relativeFrom="paragraph">
                        <wp:posOffset>75234</wp:posOffset>
                      </wp:positionV>
                      <wp:extent cx="0" cy="2859206"/>
                      <wp:effectExtent l="0" t="0" r="19050" b="17780"/>
                      <wp:wrapNone/>
                      <wp:docPr id="59" name="Straight Connector 59"/>
                      <wp:cNvGraphicFramePr/>
                      <a:graphic xmlns:a="http://schemas.openxmlformats.org/drawingml/2006/main">
                        <a:graphicData uri="http://schemas.microsoft.com/office/word/2010/wordprocessingShape">
                          <wps:wsp>
                            <wps:cNvCnPr/>
                            <wps:spPr>
                              <a:xfrm>
                                <a:off x="0" y="0"/>
                                <a:ext cx="0" cy="2859206"/>
                              </a:xfrm>
                              <a:prstGeom prst="line">
                                <a:avLst/>
                              </a:prstGeom>
                              <a:noFill/>
                              <a:ln w="6350"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9"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3.75pt,5.9pt" to="493.75pt,2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" strokecolor="#5b9bd5" strokeweight=".5pt">
                      <v:stroke dashstyle="3 1" joinstyle="miter"/>
                    </v:line>
                  </w:pict>
                </mc:Fallback>
              </mc:AlternateContent>
            </w:r>
          </w:p>
          <w:p w14:paraId="52483C77" w14:textId="77777777" w:rsidR="00610897" w:rsidRPr="00610897" w:rsidRDefault="00610897" w:rsidP="00610897">
            <w:pPr>
              <w:rPr>
                <w:rFonts w:eastAsia="Calibri"/>
                <w:color w:val="000000"/>
                <w:sz w:val="16"/>
                <w:szCs w:val="16"/>
              </w:rPr>
            </w:pPr>
          </w:p>
          <w:p w14:paraId="38447440" w14:textId="77777777" w:rsidR="00610897" w:rsidRPr="00610897" w:rsidRDefault="00610897" w:rsidP="00610897">
            <w:pPr>
              <w:rPr>
                <w:rFonts w:eastAsia="Calibri"/>
                <w:color w:val="000000"/>
                <w:sz w:val="16"/>
                <w:szCs w:val="16"/>
              </w:rPr>
            </w:pPr>
          </w:p>
          <w:p w14:paraId="352C9EFB" w14:textId="77777777" w:rsidR="00610897" w:rsidRPr="00610897" w:rsidRDefault="00610897" w:rsidP="00610897">
            <w:pPr>
              <w:rPr>
                <w:rFonts w:eastAsia="Calibri"/>
                <w:color w:val="000000"/>
                <w:sz w:val="16"/>
                <w:szCs w:val="16"/>
              </w:rPr>
            </w:pPr>
            <w:r w:rsidRPr="00610897">
              <w:rPr>
                <w:rFonts w:eastAsia="Calibri"/>
                <w:noProof/>
                <w:color w:val="000000"/>
                <w:sz w:val="16"/>
                <w:szCs w:val="16"/>
                <w:lang w:eastAsia="en-GB"/>
              </w:rPr>
              <mc:AlternateContent>
                <mc:Choice Requires="wps">
                  <w:drawing>
                    <wp:anchor distT="0" distB="0" distL="114300" distR="114300" simplePos="0" relativeHeight="251696128" behindDoc="0" locked="0" layoutInCell="1" allowOverlap="1" wp14:anchorId="20DD6708" wp14:editId="68C658DF">
                      <wp:simplePos x="0" y="0"/>
                      <wp:positionH relativeFrom="column">
                        <wp:posOffset>1167131</wp:posOffset>
                      </wp:positionH>
                      <wp:positionV relativeFrom="paragraph">
                        <wp:posOffset>45720</wp:posOffset>
                      </wp:positionV>
                      <wp:extent cx="3676650" cy="447675"/>
                      <wp:effectExtent l="0" t="0" r="19050" b="28575"/>
                      <wp:wrapNone/>
                      <wp:docPr id="69" name="Oval 69"/>
                      <wp:cNvGraphicFramePr/>
                      <a:graphic xmlns:a="http://schemas.openxmlformats.org/drawingml/2006/main">
                        <a:graphicData uri="http://schemas.microsoft.com/office/word/2010/wordprocessingShape">
                          <wps:wsp>
                            <wps:cNvSpPr/>
                            <wps:spPr>
                              <a:xfrm>
                                <a:off x="0" y="0"/>
                                <a:ext cx="3676650" cy="447675"/>
                              </a:xfrm>
                              <a:prstGeom prst="ellipse">
                                <a:avLst/>
                              </a:prstGeom>
                              <a:solidFill>
                                <a:sysClr val="window" lastClr="FFFFFF"/>
                              </a:solidFill>
                              <a:ln w="12700" cap="flat" cmpd="sng" algn="ctr">
                                <a:solidFill>
                                  <a:srgbClr val="5B9BD5">
                                    <a:shade val="50000"/>
                                  </a:srgbClr>
                                </a:solidFill>
                                <a:prstDash val="solid"/>
                                <a:miter lim="800000"/>
                              </a:ln>
                              <a:effectLst/>
                            </wps:spPr>
                            <wps:txbx>
                              <w:txbxContent>
                                <w:p w14:paraId="70A2BFB5" w14:textId="77777777" w:rsidR="00610897" w:rsidRPr="005B4CE5" w:rsidRDefault="00610897" w:rsidP="00610897">
                                  <w:pPr>
                                    <w:jc w:val="center"/>
                                    <w:rPr>
                                      <w:sz w:val="16"/>
                                      <w:szCs w:val="16"/>
                                    </w:rPr>
                                  </w:pPr>
                                  <w:r w:rsidRPr="005B4CE5">
                                    <w:rPr>
                                      <w:sz w:val="16"/>
                                      <w:szCs w:val="16"/>
                                    </w:rPr>
                                    <w:t>Main themes</w:t>
                                  </w:r>
                                </w:p>
                                <w:p w14:paraId="2EA17971" w14:textId="77777777" w:rsidR="00610897" w:rsidRDefault="00610897" w:rsidP="006108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 o:spid="_x0000_s1032" style="position:absolute;margin-left:91.9pt;margin-top:3.6pt;width:289.5pt;height:3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" fillcolor="window" strokecolor="#41719c" strokeweight="1pt">
                      <v:stroke joinstyle="miter"/>
                      <v:textbox>
                        <w:txbxContent>
                          <w:p w14:paraId="70A2BFB5" w14:textId="77777777" w:rsidR="00610897" w:rsidRPr="005B4CE5" w:rsidRDefault="00610897" w:rsidP="00610897">
                            <w:pPr>
                              <w:jc w:val="center"/>
                              <w:rPr>
                                <w:sz w:val="16"/>
                                <w:szCs w:val="16"/>
                              </w:rPr>
                            </w:pPr>
                            <w:r w:rsidRPr="005B4CE5">
                              <w:rPr>
                                <w:sz w:val="16"/>
                                <w:szCs w:val="16"/>
                              </w:rPr>
                              <w:t>Main themes</w:t>
                            </w:r>
                          </w:p>
                          <w:p w14:paraId="2EA17971" w14:textId="77777777" w:rsidR="00610897" w:rsidRDefault="00610897" w:rsidP="00610897">
                            <w:pPr>
                              <w:jc w:val="center"/>
                            </w:pPr>
                          </w:p>
                        </w:txbxContent>
                      </v:textbox>
                    </v:oval>
                  </w:pict>
                </mc:Fallback>
              </mc:AlternateContent>
            </w:r>
          </w:p>
          <w:p w14:paraId="0BDBD3F6" w14:textId="77777777" w:rsidR="00610897" w:rsidRPr="00610897" w:rsidRDefault="00610897" w:rsidP="00610897">
            <w:pPr>
              <w:rPr>
                <w:rFonts w:eastAsia="Calibri"/>
                <w:color w:val="000000"/>
                <w:sz w:val="16"/>
                <w:szCs w:val="16"/>
              </w:rPr>
            </w:pPr>
          </w:p>
          <w:p w14:paraId="0B5F3081" w14:textId="77777777" w:rsidR="00610897" w:rsidRPr="00610897" w:rsidRDefault="00610897" w:rsidP="00610897">
            <w:pPr>
              <w:rPr>
                <w:rFonts w:eastAsia="Calibri"/>
                <w:color w:val="000000"/>
                <w:sz w:val="16"/>
                <w:szCs w:val="16"/>
              </w:rPr>
            </w:pPr>
          </w:p>
          <w:p w14:paraId="5DD477D0" w14:textId="77777777" w:rsidR="00610897" w:rsidRPr="00610897" w:rsidRDefault="00610897" w:rsidP="00610897">
            <w:pPr>
              <w:rPr>
                <w:rFonts w:eastAsia="Calibri"/>
                <w:color w:val="000000"/>
                <w:sz w:val="16"/>
                <w:szCs w:val="16"/>
              </w:rPr>
            </w:pPr>
          </w:p>
          <w:p w14:paraId="3B05542F" w14:textId="77777777" w:rsidR="00610897" w:rsidRPr="00610897" w:rsidRDefault="00610897" w:rsidP="00610897">
            <w:pPr>
              <w:rPr>
                <w:rFonts w:eastAsia="Calibri"/>
                <w:color w:val="000000"/>
                <w:sz w:val="16"/>
                <w:szCs w:val="16"/>
              </w:rPr>
            </w:pPr>
            <w:r w:rsidRPr="00610897">
              <w:rPr>
                <w:rFonts w:eastAsia="Calibri"/>
                <w:noProof/>
                <w:color w:val="000000"/>
                <w:sz w:val="16"/>
                <w:szCs w:val="16"/>
                <w:lang w:eastAsia="en-GB"/>
              </w:rPr>
              <mc:AlternateContent>
                <mc:Choice Requires="wps">
                  <w:drawing>
                    <wp:anchor distT="0" distB="0" distL="114300" distR="114300" simplePos="0" relativeHeight="251721728" behindDoc="0" locked="0" layoutInCell="1" allowOverlap="1" wp14:anchorId="1C4C6158" wp14:editId="393F29E3">
                      <wp:simplePos x="0" y="0"/>
                      <wp:positionH relativeFrom="column">
                        <wp:posOffset>2899080</wp:posOffset>
                      </wp:positionH>
                      <wp:positionV relativeFrom="paragraph">
                        <wp:posOffset>56185</wp:posOffset>
                      </wp:positionV>
                      <wp:extent cx="19050" cy="273050"/>
                      <wp:effectExtent l="57150" t="0" r="57150" b="50800"/>
                      <wp:wrapNone/>
                      <wp:docPr id="16" name="Straight Arrow Connector 16"/>
                      <wp:cNvGraphicFramePr/>
                      <a:graphic xmlns:a="http://schemas.openxmlformats.org/drawingml/2006/main">
                        <a:graphicData uri="http://schemas.microsoft.com/office/word/2010/wordprocessingShape">
                          <wps:wsp>
                            <wps:cNvCnPr/>
                            <wps:spPr>
                              <a:xfrm>
                                <a:off x="0" y="0"/>
                                <a:ext cx="19050" cy="2730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28.25pt;margin-top:4.4pt;width:1.5pt;height:2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" strokecolor="#5b9bd5" strokeweight=".5pt">
                      <v:stroke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67456" behindDoc="0" locked="0" layoutInCell="1" allowOverlap="1" wp14:anchorId="4736B6CA" wp14:editId="190F4E9C">
                      <wp:simplePos x="0" y="0"/>
                      <wp:positionH relativeFrom="column">
                        <wp:posOffset>1238885</wp:posOffset>
                      </wp:positionH>
                      <wp:positionV relativeFrom="paragraph">
                        <wp:posOffset>49530</wp:posOffset>
                      </wp:positionV>
                      <wp:extent cx="1657350" cy="209550"/>
                      <wp:effectExtent l="38100" t="0" r="19050" b="76200"/>
                      <wp:wrapNone/>
                      <wp:docPr id="46" name="Straight Arrow Connector 46"/>
                      <wp:cNvGraphicFramePr/>
                      <a:graphic xmlns:a="http://schemas.openxmlformats.org/drawingml/2006/main">
                        <a:graphicData uri="http://schemas.microsoft.com/office/word/2010/wordprocessingShape">
                          <wps:wsp>
                            <wps:cNvCnPr/>
                            <wps:spPr>
                              <a:xfrm flipH="1">
                                <a:off x="0" y="0"/>
                                <a:ext cx="1657350" cy="2095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6" o:spid="_x0000_s1026" type="#_x0000_t32" style="position:absolute;margin-left:97.55pt;margin-top:3.9pt;width:130.5pt;height:1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" strokecolor="#5b9bd5" strokeweight=".5pt">
                      <v:stroke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73600" behindDoc="0" locked="0" layoutInCell="1" allowOverlap="1" wp14:anchorId="7B47675F" wp14:editId="7D55AA42">
                      <wp:simplePos x="0" y="0"/>
                      <wp:positionH relativeFrom="column">
                        <wp:posOffset>2896236</wp:posOffset>
                      </wp:positionH>
                      <wp:positionV relativeFrom="paragraph">
                        <wp:posOffset>49531</wp:posOffset>
                      </wp:positionV>
                      <wp:extent cx="1714500" cy="171450"/>
                      <wp:effectExtent l="0" t="0" r="76200" b="95250"/>
                      <wp:wrapNone/>
                      <wp:docPr id="47" name="Straight Arrow Connector 47"/>
                      <wp:cNvGraphicFramePr/>
                      <a:graphic xmlns:a="http://schemas.openxmlformats.org/drawingml/2006/main">
                        <a:graphicData uri="http://schemas.microsoft.com/office/word/2010/wordprocessingShape">
                          <wps:wsp>
                            <wps:cNvCnPr/>
                            <wps:spPr>
                              <a:xfrm>
                                <a:off x="0" y="0"/>
                                <a:ext cx="1714500" cy="1714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7" o:spid="_x0000_s1026" type="#_x0000_t32" style="position:absolute;margin-left:228.05pt;margin-top:3.9pt;width:13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" strokecolor="#5b9bd5" strokeweight=".5pt">
                      <v:stroke endarrow="block" joinstyle="miter"/>
                    </v:shape>
                  </w:pict>
                </mc:Fallback>
              </mc:AlternateContent>
            </w:r>
          </w:p>
          <w:p w14:paraId="567B5EF2" w14:textId="77777777" w:rsidR="00610897" w:rsidRPr="00610897" w:rsidRDefault="00610897" w:rsidP="00610897">
            <w:pPr>
              <w:rPr>
                <w:rFonts w:eastAsia="Calibri"/>
                <w:color w:val="000000"/>
                <w:sz w:val="16"/>
                <w:szCs w:val="16"/>
              </w:rPr>
            </w:pPr>
          </w:p>
          <w:p w14:paraId="55F65BE1" w14:textId="77777777" w:rsidR="00610897" w:rsidRPr="00610897" w:rsidRDefault="00610897" w:rsidP="00610897">
            <w:pPr>
              <w:rPr>
                <w:rFonts w:eastAsia="Calibri"/>
                <w:color w:val="000000"/>
                <w:sz w:val="16"/>
                <w:szCs w:val="16"/>
              </w:rPr>
            </w:pPr>
            <w:r w:rsidRPr="00610897">
              <w:rPr>
                <w:rFonts w:eastAsia="Calibri"/>
                <w:noProof/>
                <w:color w:val="000000"/>
                <w:sz w:val="16"/>
                <w:szCs w:val="16"/>
                <w:lang w:eastAsia="en-GB"/>
              </w:rPr>
              <mc:AlternateContent>
                <mc:Choice Requires="wps">
                  <w:drawing>
                    <wp:anchor distT="0" distB="0" distL="114300" distR="114300" simplePos="0" relativeHeight="251711488" behindDoc="0" locked="0" layoutInCell="1" allowOverlap="1" wp14:anchorId="5A71A4D4" wp14:editId="54CD46C9">
                      <wp:simplePos x="0" y="0"/>
                      <wp:positionH relativeFrom="column">
                        <wp:posOffset>4175751</wp:posOffset>
                      </wp:positionH>
                      <wp:positionV relativeFrom="paragraph">
                        <wp:posOffset>40431</wp:posOffset>
                      </wp:positionV>
                      <wp:extent cx="1999397" cy="466725"/>
                      <wp:effectExtent l="0" t="0" r="20320" b="28575"/>
                      <wp:wrapNone/>
                      <wp:docPr id="3" name="Rectangle 3"/>
                      <wp:cNvGraphicFramePr/>
                      <a:graphic xmlns:a="http://schemas.openxmlformats.org/drawingml/2006/main">
                        <a:graphicData uri="http://schemas.microsoft.com/office/word/2010/wordprocessingShape">
                          <wps:wsp>
                            <wps:cNvSpPr/>
                            <wps:spPr>
                              <a:xfrm>
                                <a:off x="0" y="0"/>
                                <a:ext cx="1999397" cy="4667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792FB81F" w14:textId="77777777" w:rsidR="00610897" w:rsidRPr="00964993" w:rsidRDefault="00610897" w:rsidP="00610897">
                                  <w:pPr>
                                    <w:jc w:val="center"/>
                                    <w:rPr>
                                      <w:sz w:val="16"/>
                                      <w:szCs w:val="16"/>
                                    </w:rPr>
                                  </w:pPr>
                                  <w:r w:rsidRPr="00964993">
                                    <w:rPr>
                                      <w:sz w:val="16"/>
                                      <w:szCs w:val="16"/>
                                    </w:rPr>
                                    <w:t xml:space="preserve">Incentives and </w:t>
                                  </w:r>
                                  <w:proofErr w:type="spellStart"/>
                                  <w:r w:rsidRPr="00964993">
                                    <w:rPr>
                                      <w:sz w:val="16"/>
                                      <w:szCs w:val="16"/>
                                    </w:rPr>
                                    <w:t>informativeness</w:t>
                                  </w:r>
                                  <w:proofErr w:type="spellEnd"/>
                                  <w:r w:rsidRPr="00964993">
                                    <w:rPr>
                                      <w:sz w:val="16"/>
                                      <w:szCs w:val="16"/>
                                    </w:rPr>
                                    <w:t xml:space="preserve"> (4 papers)</w:t>
                                  </w:r>
                                </w:p>
                                <w:p w14:paraId="36B768A3" w14:textId="77777777" w:rsidR="00610897" w:rsidRPr="003074A6" w:rsidRDefault="00610897" w:rsidP="00610897">
                                  <w:pPr>
                                    <w:jc w:val="center"/>
                                    <w:rPr>
                                      <w:sz w:val="16"/>
                                      <w:szCs w:val="16"/>
                                    </w:rPr>
                                  </w:pPr>
                                  <w:r w:rsidRPr="00964993">
                                    <w:rPr>
                                      <w:sz w:val="16"/>
                                      <w:szCs w:val="16"/>
                                    </w:rPr>
                                    <w:t>Discussed in Section 4</w:t>
                                  </w:r>
                                </w:p>
                                <w:p w14:paraId="3535F3EE" w14:textId="77777777" w:rsidR="00610897" w:rsidRPr="00D93C38" w:rsidRDefault="00610897" w:rsidP="00610897">
                                  <w:pPr>
                                    <w:jc w:val="cente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3" style="position:absolute;margin-left:328.8pt;margin-top:3.2pt;width:157.45pt;height:3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" fillcolor="window" strokecolor="#41719c" strokeweight="1pt">
                      <v:textbox>
                        <w:txbxContent>
                          <w:p w14:paraId="792FB81F" w14:textId="77777777" w:rsidR="00610897" w:rsidRPr="00964993" w:rsidRDefault="00610897" w:rsidP="00610897">
                            <w:pPr>
                              <w:jc w:val="center"/>
                              <w:rPr>
                                <w:sz w:val="16"/>
                                <w:szCs w:val="16"/>
                              </w:rPr>
                            </w:pPr>
                            <w:r w:rsidRPr="00964993">
                              <w:rPr>
                                <w:sz w:val="16"/>
                                <w:szCs w:val="16"/>
                              </w:rPr>
                              <w:t xml:space="preserve">Incentives and </w:t>
                            </w:r>
                            <w:proofErr w:type="spellStart"/>
                            <w:r w:rsidRPr="00964993">
                              <w:rPr>
                                <w:sz w:val="16"/>
                                <w:szCs w:val="16"/>
                              </w:rPr>
                              <w:t>informativeness</w:t>
                            </w:r>
                            <w:proofErr w:type="spellEnd"/>
                            <w:r w:rsidRPr="00964993">
                              <w:rPr>
                                <w:sz w:val="16"/>
                                <w:szCs w:val="16"/>
                              </w:rPr>
                              <w:t xml:space="preserve"> (4 papers)</w:t>
                            </w:r>
                          </w:p>
                          <w:p w14:paraId="36B768A3" w14:textId="77777777" w:rsidR="00610897" w:rsidRPr="003074A6" w:rsidRDefault="00610897" w:rsidP="00610897">
                            <w:pPr>
                              <w:jc w:val="center"/>
                              <w:rPr>
                                <w:sz w:val="16"/>
                                <w:szCs w:val="16"/>
                              </w:rPr>
                            </w:pPr>
                            <w:r w:rsidRPr="00964993">
                              <w:rPr>
                                <w:sz w:val="16"/>
                                <w:szCs w:val="16"/>
                              </w:rPr>
                              <w:t>Discussed in Section 4</w:t>
                            </w:r>
                          </w:p>
                          <w:p w14:paraId="3535F3EE" w14:textId="77777777" w:rsidR="00610897" w:rsidRPr="00D93C38" w:rsidRDefault="00610897" w:rsidP="00610897">
                            <w:pPr>
                              <w:jc w:val="center"/>
                              <w:rPr>
                                <w:rFonts w:ascii="Times New Roman" w:hAnsi="Times New Roman"/>
                                <w:sz w:val="16"/>
                                <w:szCs w:val="16"/>
                              </w:rPr>
                            </w:pPr>
                          </w:p>
                        </w:txbxContent>
                      </v:textbox>
                    </v:rect>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71552" behindDoc="0" locked="0" layoutInCell="1" allowOverlap="1" wp14:anchorId="62216AD4" wp14:editId="370C30BE">
                      <wp:simplePos x="0" y="0"/>
                      <wp:positionH relativeFrom="column">
                        <wp:posOffset>2010410</wp:posOffset>
                      </wp:positionH>
                      <wp:positionV relativeFrom="paragraph">
                        <wp:posOffset>78105</wp:posOffset>
                      </wp:positionV>
                      <wp:extent cx="1962150" cy="4381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962150" cy="4381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843F873" w14:textId="77777777" w:rsidR="00610897" w:rsidRPr="003D126F" w:rsidRDefault="00610897" w:rsidP="00610897">
                                  <w:pPr>
                                    <w:jc w:val="center"/>
                                    <w:rPr>
                                      <w:sz w:val="16"/>
                                      <w:szCs w:val="16"/>
                                    </w:rPr>
                                  </w:pPr>
                                  <w:proofErr w:type="spellStart"/>
                                  <w:r w:rsidRPr="003D126F">
                                    <w:rPr>
                                      <w:sz w:val="16"/>
                                      <w:szCs w:val="16"/>
                                    </w:rPr>
                                    <w:t>Informativeness</w:t>
                                  </w:r>
                                  <w:proofErr w:type="spellEnd"/>
                                  <w:r w:rsidRPr="003D126F">
                                    <w:rPr>
                                      <w:sz w:val="16"/>
                                      <w:szCs w:val="16"/>
                                    </w:rPr>
                                    <w:t xml:space="preserve"> (12 papers)</w:t>
                                  </w:r>
                                </w:p>
                                <w:p w14:paraId="029F0D8D" w14:textId="77777777" w:rsidR="00610897" w:rsidRPr="003074A6" w:rsidRDefault="00610897" w:rsidP="00610897">
                                  <w:pPr>
                                    <w:jc w:val="center"/>
                                    <w:rPr>
                                      <w:sz w:val="16"/>
                                      <w:szCs w:val="16"/>
                                    </w:rPr>
                                  </w:pPr>
                                  <w:r w:rsidRPr="003D126F">
                                    <w:rPr>
                                      <w:sz w:val="16"/>
                                      <w:szCs w:val="16"/>
                                    </w:rPr>
                                    <w:t>Discussed in Section 3</w:t>
                                  </w:r>
                                </w:p>
                                <w:p w14:paraId="2AD78F6C" w14:textId="77777777" w:rsidR="00610897" w:rsidRPr="00D93C38" w:rsidRDefault="00610897" w:rsidP="00610897">
                                  <w:pPr>
                                    <w:jc w:val="cente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4" style="position:absolute;margin-left:158.3pt;margin-top:6.15pt;width:154.5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" fillcolor="window" strokecolor="#41719c" strokeweight="1pt">
                      <v:textbox>
                        <w:txbxContent>
                          <w:p w14:paraId="1843F873" w14:textId="77777777" w:rsidR="00610897" w:rsidRPr="003D126F" w:rsidRDefault="00610897" w:rsidP="00610897">
                            <w:pPr>
                              <w:jc w:val="center"/>
                              <w:rPr>
                                <w:sz w:val="16"/>
                                <w:szCs w:val="16"/>
                              </w:rPr>
                            </w:pPr>
                            <w:proofErr w:type="spellStart"/>
                            <w:r w:rsidRPr="003D126F">
                              <w:rPr>
                                <w:sz w:val="16"/>
                                <w:szCs w:val="16"/>
                              </w:rPr>
                              <w:t>Informativeness</w:t>
                            </w:r>
                            <w:proofErr w:type="spellEnd"/>
                            <w:r w:rsidRPr="003D126F">
                              <w:rPr>
                                <w:sz w:val="16"/>
                                <w:szCs w:val="16"/>
                              </w:rPr>
                              <w:t xml:space="preserve"> (12 papers)</w:t>
                            </w:r>
                          </w:p>
                          <w:p w14:paraId="029F0D8D" w14:textId="77777777" w:rsidR="00610897" w:rsidRPr="003074A6" w:rsidRDefault="00610897" w:rsidP="00610897">
                            <w:pPr>
                              <w:jc w:val="center"/>
                              <w:rPr>
                                <w:sz w:val="16"/>
                                <w:szCs w:val="16"/>
                              </w:rPr>
                            </w:pPr>
                            <w:r w:rsidRPr="003D126F">
                              <w:rPr>
                                <w:sz w:val="16"/>
                                <w:szCs w:val="16"/>
                              </w:rPr>
                              <w:t>Discussed in Section 3</w:t>
                            </w:r>
                          </w:p>
                          <w:p w14:paraId="2AD78F6C" w14:textId="77777777" w:rsidR="00610897" w:rsidRPr="00D93C38" w:rsidRDefault="00610897" w:rsidP="00610897">
                            <w:pPr>
                              <w:jc w:val="center"/>
                              <w:rPr>
                                <w:rFonts w:ascii="Times New Roman" w:hAnsi="Times New Roman"/>
                                <w:sz w:val="16"/>
                                <w:szCs w:val="16"/>
                              </w:rPr>
                            </w:pPr>
                          </w:p>
                        </w:txbxContent>
                      </v:textbox>
                    </v:rect>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70528" behindDoc="0" locked="0" layoutInCell="1" allowOverlap="1" wp14:anchorId="69B6A7D0" wp14:editId="1F50B8A5">
                      <wp:simplePos x="0" y="0"/>
                      <wp:positionH relativeFrom="column">
                        <wp:posOffset>48260</wp:posOffset>
                      </wp:positionH>
                      <wp:positionV relativeFrom="paragraph">
                        <wp:posOffset>49530</wp:posOffset>
                      </wp:positionV>
                      <wp:extent cx="1695450" cy="4381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695450" cy="4381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C908FE8" w14:textId="77777777" w:rsidR="00610897" w:rsidRPr="003074A6" w:rsidRDefault="00610897" w:rsidP="00610897">
                                  <w:pPr>
                                    <w:jc w:val="center"/>
                                    <w:rPr>
                                      <w:sz w:val="16"/>
                                      <w:szCs w:val="16"/>
                                    </w:rPr>
                                  </w:pPr>
                                  <w:r w:rsidRPr="003074A6">
                                    <w:rPr>
                                      <w:sz w:val="16"/>
                                      <w:szCs w:val="16"/>
                                    </w:rPr>
                                    <w:t>Incentives (16 papers)</w:t>
                                  </w:r>
                                </w:p>
                                <w:p w14:paraId="10ED850F" w14:textId="77777777" w:rsidR="00610897" w:rsidRDefault="00610897" w:rsidP="00610897">
                                  <w:pPr>
                                    <w:jc w:val="center"/>
                                    <w:rPr>
                                      <w:rFonts w:ascii="Times New Roman" w:hAnsi="Times New Roman"/>
                                      <w:sz w:val="16"/>
                                      <w:szCs w:val="16"/>
                                    </w:rPr>
                                  </w:pPr>
                                  <w:r>
                                    <w:rPr>
                                      <w:sz w:val="16"/>
                                      <w:szCs w:val="16"/>
                                    </w:rPr>
                                    <w:t>Discussed in Section 2</w:t>
                                  </w:r>
                                </w:p>
                                <w:p w14:paraId="031658C2" w14:textId="77777777" w:rsidR="00610897" w:rsidRPr="00D93C38" w:rsidRDefault="00610897" w:rsidP="00610897">
                                  <w:pPr>
                                    <w:jc w:val="center"/>
                                    <w:rPr>
                                      <w:rFonts w:ascii="Times New Roman" w:hAnsi="Times New Roman"/>
                                      <w:sz w:val="16"/>
                                      <w:szCs w:val="16"/>
                                    </w:rPr>
                                  </w:pPr>
                                  <w:r w:rsidRPr="00D93C38">
                                    <w:rPr>
                                      <w:rFonts w:ascii="Times New Roman" w:hAnsi="Times New Roman"/>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5" style="position:absolute;margin-left:3.8pt;margin-top:3.9pt;width:133.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" fillcolor="window" strokecolor="#41719c" strokeweight="1pt">
                      <v:textbox>
                        <w:txbxContent>
                          <w:p w14:paraId="3C908FE8" w14:textId="77777777" w:rsidR="00610897" w:rsidRPr="003074A6" w:rsidRDefault="00610897" w:rsidP="00610897">
                            <w:pPr>
                              <w:jc w:val="center"/>
                              <w:rPr>
                                <w:sz w:val="16"/>
                                <w:szCs w:val="16"/>
                              </w:rPr>
                            </w:pPr>
                            <w:r w:rsidRPr="003074A6">
                              <w:rPr>
                                <w:sz w:val="16"/>
                                <w:szCs w:val="16"/>
                              </w:rPr>
                              <w:t>Incentives (16 papers)</w:t>
                            </w:r>
                          </w:p>
                          <w:p w14:paraId="10ED850F" w14:textId="77777777" w:rsidR="00610897" w:rsidRDefault="00610897" w:rsidP="00610897">
                            <w:pPr>
                              <w:jc w:val="center"/>
                              <w:rPr>
                                <w:rFonts w:ascii="Times New Roman" w:hAnsi="Times New Roman"/>
                                <w:sz w:val="16"/>
                                <w:szCs w:val="16"/>
                              </w:rPr>
                            </w:pPr>
                            <w:r>
                              <w:rPr>
                                <w:sz w:val="16"/>
                                <w:szCs w:val="16"/>
                              </w:rPr>
                              <w:t>Discussed in Section 2</w:t>
                            </w:r>
                          </w:p>
                          <w:p w14:paraId="031658C2" w14:textId="77777777" w:rsidR="00610897" w:rsidRPr="00D93C38" w:rsidRDefault="00610897" w:rsidP="00610897">
                            <w:pPr>
                              <w:jc w:val="center"/>
                              <w:rPr>
                                <w:rFonts w:ascii="Times New Roman" w:hAnsi="Times New Roman"/>
                                <w:sz w:val="16"/>
                                <w:szCs w:val="16"/>
                              </w:rPr>
                            </w:pPr>
                            <w:r w:rsidRPr="00D93C38">
                              <w:rPr>
                                <w:rFonts w:ascii="Times New Roman" w:hAnsi="Times New Roman"/>
                                <w:sz w:val="16"/>
                                <w:szCs w:val="16"/>
                              </w:rPr>
                              <w:t xml:space="preserve"> </w:t>
                            </w:r>
                          </w:p>
                        </w:txbxContent>
                      </v:textbox>
                    </v:rect>
                  </w:pict>
                </mc:Fallback>
              </mc:AlternateContent>
            </w:r>
          </w:p>
          <w:p w14:paraId="672FAB24" w14:textId="77777777" w:rsidR="00610897" w:rsidRPr="00610897" w:rsidRDefault="00610897" w:rsidP="00610897">
            <w:pPr>
              <w:rPr>
                <w:rFonts w:eastAsia="Calibri"/>
                <w:color w:val="000000"/>
                <w:sz w:val="16"/>
                <w:szCs w:val="16"/>
              </w:rPr>
            </w:pPr>
          </w:p>
          <w:p w14:paraId="2AC56D34" w14:textId="77777777" w:rsidR="00610897" w:rsidRPr="00610897" w:rsidRDefault="00610897" w:rsidP="00610897">
            <w:pPr>
              <w:rPr>
                <w:rFonts w:eastAsia="Calibri"/>
                <w:color w:val="000000"/>
                <w:sz w:val="16"/>
                <w:szCs w:val="16"/>
              </w:rPr>
            </w:pPr>
          </w:p>
          <w:p w14:paraId="72FB37A8" w14:textId="77777777" w:rsidR="00610897" w:rsidRPr="00610897" w:rsidRDefault="00610897" w:rsidP="00610897">
            <w:pPr>
              <w:rPr>
                <w:rFonts w:eastAsia="Calibri"/>
                <w:color w:val="000000"/>
                <w:sz w:val="16"/>
                <w:szCs w:val="16"/>
              </w:rPr>
            </w:pPr>
            <w:r w:rsidRPr="00610897">
              <w:rPr>
                <w:rFonts w:eastAsia="Calibri"/>
                <w:noProof/>
                <w:color w:val="000000"/>
                <w:sz w:val="16"/>
                <w:szCs w:val="16"/>
                <w:lang w:eastAsia="en-GB"/>
              </w:rPr>
              <mc:AlternateContent>
                <mc:Choice Requires="wps">
                  <w:drawing>
                    <wp:anchor distT="0" distB="0" distL="114300" distR="114300" simplePos="0" relativeHeight="251706368" behindDoc="0" locked="0" layoutInCell="1" allowOverlap="1" wp14:anchorId="76C862DC" wp14:editId="008598B9">
                      <wp:simplePos x="0" y="0"/>
                      <wp:positionH relativeFrom="column">
                        <wp:posOffset>2900368</wp:posOffset>
                      </wp:positionH>
                      <wp:positionV relativeFrom="paragraph">
                        <wp:posOffset>1786136</wp:posOffset>
                      </wp:positionV>
                      <wp:extent cx="1377423" cy="536048"/>
                      <wp:effectExtent l="0" t="0" r="70485" b="73660"/>
                      <wp:wrapNone/>
                      <wp:docPr id="39" name="Straight Arrow Connector 39"/>
                      <wp:cNvGraphicFramePr/>
                      <a:graphic xmlns:a="http://schemas.openxmlformats.org/drawingml/2006/main">
                        <a:graphicData uri="http://schemas.microsoft.com/office/word/2010/wordprocessingShape">
                          <wps:wsp>
                            <wps:cNvCnPr/>
                            <wps:spPr>
                              <a:xfrm>
                                <a:off x="0" y="0"/>
                                <a:ext cx="1377423" cy="536048"/>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228.4pt;margin-top:140.65pt;width:108.45pt;height:42.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" strokecolor="#5b9bd5" strokeweight=".5pt">
                      <v:stroke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716608" behindDoc="0" locked="0" layoutInCell="1" allowOverlap="1" wp14:anchorId="20409BFE" wp14:editId="69AD2E3F">
                      <wp:simplePos x="0" y="0"/>
                      <wp:positionH relativeFrom="column">
                        <wp:posOffset>2908630</wp:posOffset>
                      </wp:positionH>
                      <wp:positionV relativeFrom="paragraph">
                        <wp:posOffset>166370</wp:posOffset>
                      </wp:positionV>
                      <wp:extent cx="23928" cy="342350"/>
                      <wp:effectExtent l="57150" t="0" r="71755" b="57785"/>
                      <wp:wrapNone/>
                      <wp:docPr id="10" name="Straight Arrow Connector 10"/>
                      <wp:cNvGraphicFramePr/>
                      <a:graphic xmlns:a="http://schemas.openxmlformats.org/drawingml/2006/main">
                        <a:graphicData uri="http://schemas.microsoft.com/office/word/2010/wordprocessingShape">
                          <wps:wsp>
                            <wps:cNvCnPr/>
                            <wps:spPr>
                              <a:xfrm>
                                <a:off x="0" y="0"/>
                                <a:ext cx="23928" cy="3423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229.05pt;margin-top:13.1pt;width:1.9pt;height:26.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" strokecolor="#5b9bd5" strokeweight=".5pt">
                      <v:stroke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710464" behindDoc="0" locked="0" layoutInCell="1" allowOverlap="1" wp14:anchorId="33D41D76" wp14:editId="6B7B0FAE">
                      <wp:simplePos x="0" y="0"/>
                      <wp:positionH relativeFrom="column">
                        <wp:posOffset>2779115</wp:posOffset>
                      </wp:positionH>
                      <wp:positionV relativeFrom="paragraph">
                        <wp:posOffset>1767916</wp:posOffset>
                      </wp:positionV>
                      <wp:extent cx="117043" cy="555955"/>
                      <wp:effectExtent l="38100" t="0" r="35560" b="53975"/>
                      <wp:wrapNone/>
                      <wp:docPr id="52" name="Straight Arrow Connector 52"/>
                      <wp:cNvGraphicFramePr/>
                      <a:graphic xmlns:a="http://schemas.openxmlformats.org/drawingml/2006/main">
                        <a:graphicData uri="http://schemas.microsoft.com/office/word/2010/wordprocessingShape">
                          <wps:wsp>
                            <wps:cNvCnPr/>
                            <wps:spPr>
                              <a:xfrm flipH="1">
                                <a:off x="0" y="0"/>
                                <a:ext cx="117043" cy="55595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2" o:spid="_x0000_s1026" type="#_x0000_t32" style="position:absolute;margin-left:218.85pt;margin-top:139.2pt;width:9.2pt;height:43.8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" strokecolor="#5b9bd5" strokeweight=".5pt">
                      <v:stroke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59264" behindDoc="0" locked="0" layoutInCell="1" allowOverlap="1" wp14:anchorId="6B1581EA" wp14:editId="3325EA04">
                      <wp:simplePos x="0" y="0"/>
                      <wp:positionH relativeFrom="column">
                        <wp:posOffset>1200785</wp:posOffset>
                      </wp:positionH>
                      <wp:positionV relativeFrom="paragraph">
                        <wp:posOffset>516256</wp:posOffset>
                      </wp:positionV>
                      <wp:extent cx="3657600" cy="590550"/>
                      <wp:effectExtent l="0" t="0" r="19050" b="19050"/>
                      <wp:wrapNone/>
                      <wp:docPr id="15" name="Oval 15"/>
                      <wp:cNvGraphicFramePr/>
                      <a:graphic xmlns:a="http://schemas.openxmlformats.org/drawingml/2006/main">
                        <a:graphicData uri="http://schemas.microsoft.com/office/word/2010/wordprocessingShape">
                          <wps:wsp>
                            <wps:cNvSpPr/>
                            <wps:spPr>
                              <a:xfrm>
                                <a:off x="0" y="0"/>
                                <a:ext cx="3657600" cy="590550"/>
                              </a:xfrm>
                              <a:prstGeom prst="ellipse">
                                <a:avLst/>
                              </a:prstGeom>
                              <a:solidFill>
                                <a:sysClr val="window" lastClr="FFFFFF"/>
                              </a:solidFill>
                              <a:ln w="12700" cap="flat" cmpd="sng" algn="ctr">
                                <a:solidFill>
                                  <a:srgbClr val="5B9BD5">
                                    <a:shade val="50000"/>
                                  </a:srgbClr>
                                </a:solidFill>
                                <a:prstDash val="solid"/>
                                <a:miter lim="800000"/>
                              </a:ln>
                              <a:effectLst/>
                            </wps:spPr>
                            <wps:txbx>
                              <w:txbxContent>
                                <w:p w14:paraId="41BFD890" w14:textId="77777777" w:rsidR="00610897" w:rsidRPr="003074A6" w:rsidRDefault="00610897" w:rsidP="00610897">
                                  <w:pPr>
                                    <w:jc w:val="center"/>
                                    <w:rPr>
                                      <w:sz w:val="16"/>
                                      <w:szCs w:val="16"/>
                                    </w:rPr>
                                  </w:pPr>
                                  <w:r>
                                    <w:rPr>
                                      <w:sz w:val="16"/>
                                      <w:szCs w:val="16"/>
                                    </w:rPr>
                                    <w:t>Areas of</w:t>
                                  </w:r>
                                  <w:r w:rsidRPr="003074A6">
                                    <w:rPr>
                                      <w:sz w:val="16"/>
                                      <w:szCs w:val="16"/>
                                    </w:rPr>
                                    <w:t xml:space="preserve"> divergence</w:t>
                                  </w:r>
                                </w:p>
                                <w:p w14:paraId="77E3E697" w14:textId="77777777" w:rsidR="00610897" w:rsidRPr="003074A6" w:rsidRDefault="00610897" w:rsidP="00610897">
                                  <w:pPr>
                                    <w:jc w:val="center"/>
                                    <w:rPr>
                                      <w:sz w:val="16"/>
                                      <w:szCs w:val="16"/>
                                    </w:rPr>
                                  </w:pPr>
                                  <w:r>
                                    <w:rPr>
                                      <w:sz w:val="16"/>
                                      <w:szCs w:val="16"/>
                                    </w:rPr>
                                    <w:t>Discussed in S</w:t>
                                  </w:r>
                                  <w:r w:rsidRPr="003074A6">
                                    <w:rPr>
                                      <w:sz w:val="16"/>
                                      <w:szCs w:val="16"/>
                                    </w:rPr>
                                    <w:t xml:space="preserve">ection </w:t>
                                  </w:r>
                                  <w:r>
                                    <w:rPr>
                                      <w:sz w:val="16"/>
                                      <w:szCs w:val="16"/>
                                    </w:rPr>
                                    <w:t>5</w:t>
                                  </w:r>
                                </w:p>
                                <w:p w14:paraId="7D121B0C" w14:textId="77777777" w:rsidR="00610897" w:rsidRPr="00D93C38" w:rsidRDefault="00610897" w:rsidP="00610897">
                                  <w:pPr>
                                    <w:jc w:val="cente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36" style="position:absolute;margin-left:94.55pt;margin-top:40.65pt;width:4in;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" fillcolor="window" strokecolor="#41719c" strokeweight="1pt">
                      <v:stroke joinstyle="miter"/>
                      <v:textbox>
                        <w:txbxContent>
                          <w:p w14:paraId="41BFD890" w14:textId="77777777" w:rsidR="00610897" w:rsidRPr="003074A6" w:rsidRDefault="00610897" w:rsidP="00610897">
                            <w:pPr>
                              <w:jc w:val="center"/>
                              <w:rPr>
                                <w:sz w:val="16"/>
                                <w:szCs w:val="16"/>
                              </w:rPr>
                            </w:pPr>
                            <w:r>
                              <w:rPr>
                                <w:sz w:val="16"/>
                                <w:szCs w:val="16"/>
                              </w:rPr>
                              <w:t>Areas of</w:t>
                            </w:r>
                            <w:r w:rsidRPr="003074A6">
                              <w:rPr>
                                <w:sz w:val="16"/>
                                <w:szCs w:val="16"/>
                              </w:rPr>
                              <w:t xml:space="preserve"> divergence</w:t>
                            </w:r>
                          </w:p>
                          <w:p w14:paraId="77E3E697" w14:textId="77777777" w:rsidR="00610897" w:rsidRPr="003074A6" w:rsidRDefault="00610897" w:rsidP="00610897">
                            <w:pPr>
                              <w:jc w:val="center"/>
                              <w:rPr>
                                <w:sz w:val="16"/>
                                <w:szCs w:val="16"/>
                              </w:rPr>
                            </w:pPr>
                            <w:r>
                              <w:rPr>
                                <w:sz w:val="16"/>
                                <w:szCs w:val="16"/>
                              </w:rPr>
                              <w:t>Discussed in S</w:t>
                            </w:r>
                            <w:r w:rsidRPr="003074A6">
                              <w:rPr>
                                <w:sz w:val="16"/>
                                <w:szCs w:val="16"/>
                              </w:rPr>
                              <w:t xml:space="preserve">ection </w:t>
                            </w:r>
                            <w:r>
                              <w:rPr>
                                <w:sz w:val="16"/>
                                <w:szCs w:val="16"/>
                              </w:rPr>
                              <w:t>5</w:t>
                            </w:r>
                          </w:p>
                          <w:p w14:paraId="7D121B0C" w14:textId="77777777" w:rsidR="00610897" w:rsidRPr="00D93C38" w:rsidRDefault="00610897" w:rsidP="00610897">
                            <w:pPr>
                              <w:jc w:val="center"/>
                              <w:rPr>
                                <w:rFonts w:ascii="Times New Roman" w:hAnsi="Times New Roman"/>
                                <w:sz w:val="16"/>
                                <w:szCs w:val="16"/>
                              </w:rPr>
                            </w:pPr>
                          </w:p>
                        </w:txbxContent>
                      </v:textbox>
                    </v:oval>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717632" behindDoc="0" locked="0" layoutInCell="1" allowOverlap="1" wp14:anchorId="508F669B" wp14:editId="28602944">
                      <wp:simplePos x="0" y="0"/>
                      <wp:positionH relativeFrom="column">
                        <wp:posOffset>2926080</wp:posOffset>
                      </wp:positionH>
                      <wp:positionV relativeFrom="paragraph">
                        <wp:posOffset>1087755</wp:posOffset>
                      </wp:positionV>
                      <wp:extent cx="11430" cy="260985"/>
                      <wp:effectExtent l="57150" t="0" r="64770" b="62865"/>
                      <wp:wrapNone/>
                      <wp:docPr id="44" name="Straight Arrow Connector 44"/>
                      <wp:cNvGraphicFramePr/>
                      <a:graphic xmlns:a="http://schemas.openxmlformats.org/drawingml/2006/main">
                        <a:graphicData uri="http://schemas.microsoft.com/office/word/2010/wordprocessingShape">
                          <wps:wsp>
                            <wps:cNvCnPr/>
                            <wps:spPr>
                              <a:xfrm>
                                <a:off x="0" y="0"/>
                                <a:ext cx="11430" cy="26098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4" o:spid="_x0000_s1026" type="#_x0000_t32" style="position:absolute;margin-left:230.4pt;margin-top:85.65pt;width:.9pt;height:20.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" strokecolor="#5b9bd5" strokeweight=".5pt">
                      <v:stroke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98176" behindDoc="0" locked="0" layoutInCell="1" allowOverlap="1" wp14:anchorId="0C1BF132" wp14:editId="2700B653">
                      <wp:simplePos x="0" y="0"/>
                      <wp:positionH relativeFrom="column">
                        <wp:posOffset>876935</wp:posOffset>
                      </wp:positionH>
                      <wp:positionV relativeFrom="paragraph">
                        <wp:posOffset>1764031</wp:posOffset>
                      </wp:positionV>
                      <wp:extent cx="2026920" cy="514350"/>
                      <wp:effectExtent l="38100" t="0" r="30480" b="76200"/>
                      <wp:wrapNone/>
                      <wp:docPr id="28" name="Straight Arrow Connector 28"/>
                      <wp:cNvGraphicFramePr/>
                      <a:graphic xmlns:a="http://schemas.openxmlformats.org/drawingml/2006/main">
                        <a:graphicData uri="http://schemas.microsoft.com/office/word/2010/wordprocessingShape">
                          <wps:wsp>
                            <wps:cNvCnPr/>
                            <wps:spPr>
                              <a:xfrm flipH="1">
                                <a:off x="0" y="0"/>
                                <a:ext cx="2026920" cy="5143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69.05pt;margin-top:138.9pt;width:159.6pt;height:4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" strokecolor="#5b9bd5" strokeweight=".5pt">
                      <v:stroke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719680" behindDoc="0" locked="0" layoutInCell="1" allowOverlap="1" wp14:anchorId="615F599A" wp14:editId="21FD65C7">
                      <wp:simplePos x="0" y="0"/>
                      <wp:positionH relativeFrom="column">
                        <wp:posOffset>4866640</wp:posOffset>
                      </wp:positionH>
                      <wp:positionV relativeFrom="paragraph">
                        <wp:posOffset>840105</wp:posOffset>
                      </wp:positionV>
                      <wp:extent cx="1409501" cy="0"/>
                      <wp:effectExtent l="38100" t="76200" r="0" b="95250"/>
                      <wp:wrapNone/>
                      <wp:docPr id="73" name="Straight Arrow Connector 73"/>
                      <wp:cNvGraphicFramePr/>
                      <a:graphic xmlns:a="http://schemas.openxmlformats.org/drawingml/2006/main">
                        <a:graphicData uri="http://schemas.microsoft.com/office/word/2010/wordprocessingShape">
                          <wps:wsp>
                            <wps:cNvCnPr/>
                            <wps:spPr>
                              <a:xfrm flipH="1">
                                <a:off x="0" y="0"/>
                                <a:ext cx="1409501" cy="0"/>
                              </a:xfrm>
                              <a:prstGeom prst="straightConnector1">
                                <a:avLst/>
                              </a:prstGeom>
                              <a:noFill/>
                              <a:ln w="6350" cap="flat" cmpd="sng" algn="ctr">
                                <a:solidFill>
                                  <a:srgbClr val="5B9BD5"/>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3" o:spid="_x0000_s1026" type="#_x0000_t32" style="position:absolute;margin-left:383.2pt;margin-top:66.15pt;width:111pt;height: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" strokecolor="#5b9bd5" strokeweight=".5pt">
                      <v:stroke dashstyle="3 1"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66432" behindDoc="0" locked="0" layoutInCell="1" allowOverlap="1" wp14:anchorId="11364E4D" wp14:editId="6B668CA1">
                      <wp:simplePos x="0" y="0"/>
                      <wp:positionH relativeFrom="column">
                        <wp:posOffset>2962909</wp:posOffset>
                      </wp:positionH>
                      <wp:positionV relativeFrom="paragraph">
                        <wp:posOffset>163831</wp:posOffset>
                      </wp:positionV>
                      <wp:extent cx="1628775" cy="323850"/>
                      <wp:effectExtent l="19050" t="0" r="28575" b="76200"/>
                      <wp:wrapNone/>
                      <wp:docPr id="71" name="Straight Arrow Connector 71"/>
                      <wp:cNvGraphicFramePr/>
                      <a:graphic xmlns:a="http://schemas.openxmlformats.org/drawingml/2006/main">
                        <a:graphicData uri="http://schemas.microsoft.com/office/word/2010/wordprocessingShape">
                          <wps:wsp>
                            <wps:cNvCnPr/>
                            <wps:spPr>
                              <a:xfrm flipH="1">
                                <a:off x="0" y="0"/>
                                <a:ext cx="1628775" cy="3238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1" o:spid="_x0000_s1026" type="#_x0000_t32" style="position:absolute;margin-left:233.3pt;margin-top:12.9pt;width:128.25pt;height:2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" strokecolor="#5b9bd5" strokeweight=".5pt">
                      <v:stroke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68480" behindDoc="0" locked="0" layoutInCell="1" allowOverlap="1" wp14:anchorId="582DE037" wp14:editId="72FF9530">
                      <wp:simplePos x="0" y="0"/>
                      <wp:positionH relativeFrom="column">
                        <wp:posOffset>1257935</wp:posOffset>
                      </wp:positionH>
                      <wp:positionV relativeFrom="paragraph">
                        <wp:posOffset>144780</wp:posOffset>
                      </wp:positionV>
                      <wp:extent cx="1638300" cy="342900"/>
                      <wp:effectExtent l="0" t="0" r="38100" b="76200"/>
                      <wp:wrapNone/>
                      <wp:docPr id="72" name="Straight Arrow Connector 72"/>
                      <wp:cNvGraphicFramePr/>
                      <a:graphic xmlns:a="http://schemas.openxmlformats.org/drawingml/2006/main">
                        <a:graphicData uri="http://schemas.microsoft.com/office/word/2010/wordprocessingShape">
                          <wps:wsp>
                            <wps:cNvCnPr/>
                            <wps:spPr>
                              <a:xfrm>
                                <a:off x="0" y="0"/>
                                <a:ext cx="1638300" cy="3429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2" o:spid="_x0000_s1026" type="#_x0000_t32" style="position:absolute;margin-left:99.05pt;margin-top:11.4pt;width:129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" strokecolor="#5b9bd5" strokeweight=".5pt">
                      <v:stroke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91008" behindDoc="0" locked="0" layoutInCell="1" allowOverlap="1" wp14:anchorId="520B5244" wp14:editId="175FCFE6">
                      <wp:simplePos x="0" y="0"/>
                      <wp:positionH relativeFrom="column">
                        <wp:posOffset>1261955</wp:posOffset>
                      </wp:positionH>
                      <wp:positionV relativeFrom="paragraph">
                        <wp:posOffset>1334467</wp:posOffset>
                      </wp:positionV>
                      <wp:extent cx="3616656" cy="419100"/>
                      <wp:effectExtent l="0" t="0" r="22225" b="19050"/>
                      <wp:wrapNone/>
                      <wp:docPr id="1" name="Oval 1"/>
                      <wp:cNvGraphicFramePr/>
                      <a:graphic xmlns:a="http://schemas.openxmlformats.org/drawingml/2006/main">
                        <a:graphicData uri="http://schemas.microsoft.com/office/word/2010/wordprocessingShape">
                          <wps:wsp>
                            <wps:cNvSpPr/>
                            <wps:spPr>
                              <a:xfrm>
                                <a:off x="0" y="0"/>
                                <a:ext cx="3616656" cy="419100"/>
                              </a:xfrm>
                              <a:prstGeom prst="ellipse">
                                <a:avLst/>
                              </a:prstGeom>
                              <a:solidFill>
                                <a:sysClr val="window" lastClr="FFFFFF"/>
                              </a:solidFill>
                              <a:ln w="12700" cap="flat" cmpd="sng" algn="ctr">
                                <a:solidFill>
                                  <a:srgbClr val="5B9BD5">
                                    <a:shade val="50000"/>
                                  </a:srgbClr>
                                </a:solidFill>
                                <a:prstDash val="solid"/>
                                <a:miter lim="800000"/>
                              </a:ln>
                              <a:effectLst/>
                            </wps:spPr>
                            <wps:txbx>
                              <w:txbxContent>
                                <w:p w14:paraId="599A21EB" w14:textId="77777777" w:rsidR="00610897" w:rsidRPr="003074A6" w:rsidRDefault="00610897" w:rsidP="00610897">
                                  <w:pPr>
                                    <w:jc w:val="center"/>
                                    <w:rPr>
                                      <w:sz w:val="16"/>
                                      <w:szCs w:val="16"/>
                                    </w:rPr>
                                  </w:pPr>
                                  <w:r w:rsidRPr="003074A6">
                                    <w:rPr>
                                      <w:sz w:val="16"/>
                                      <w:szCs w:val="16"/>
                                    </w:rPr>
                                    <w:t>Method and context</w:t>
                                  </w:r>
                                </w:p>
                                <w:p w14:paraId="091418A1" w14:textId="77777777" w:rsidR="00610897" w:rsidRPr="00D93C38" w:rsidRDefault="00610897" w:rsidP="00610897">
                                  <w:pPr>
                                    <w:jc w:val="cente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37" style="position:absolute;margin-left:99.35pt;margin-top:105.1pt;width:284.8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" fillcolor="window" strokecolor="#41719c" strokeweight="1pt">
                      <v:stroke joinstyle="miter"/>
                      <v:textbox>
                        <w:txbxContent>
                          <w:p w14:paraId="599A21EB" w14:textId="77777777" w:rsidR="00610897" w:rsidRPr="003074A6" w:rsidRDefault="00610897" w:rsidP="00610897">
                            <w:pPr>
                              <w:jc w:val="center"/>
                              <w:rPr>
                                <w:sz w:val="16"/>
                                <w:szCs w:val="16"/>
                              </w:rPr>
                            </w:pPr>
                            <w:r w:rsidRPr="003074A6">
                              <w:rPr>
                                <w:sz w:val="16"/>
                                <w:szCs w:val="16"/>
                              </w:rPr>
                              <w:t>Method and context</w:t>
                            </w:r>
                          </w:p>
                          <w:p w14:paraId="091418A1" w14:textId="77777777" w:rsidR="00610897" w:rsidRPr="00D93C38" w:rsidRDefault="00610897" w:rsidP="00610897">
                            <w:pPr>
                              <w:jc w:val="center"/>
                              <w:rPr>
                                <w:rFonts w:ascii="Times New Roman" w:hAnsi="Times New Roman"/>
                                <w:sz w:val="16"/>
                                <w:szCs w:val="16"/>
                              </w:rPr>
                            </w:pPr>
                          </w:p>
                        </w:txbxContent>
                      </v:textbox>
                    </v:oval>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720704" behindDoc="0" locked="0" layoutInCell="1" allowOverlap="1" wp14:anchorId="51B7722F" wp14:editId="05A467CB">
                      <wp:simplePos x="0" y="0"/>
                      <wp:positionH relativeFrom="column">
                        <wp:posOffset>4865853</wp:posOffset>
                      </wp:positionH>
                      <wp:positionV relativeFrom="paragraph">
                        <wp:posOffset>1532890</wp:posOffset>
                      </wp:positionV>
                      <wp:extent cx="1409501" cy="0"/>
                      <wp:effectExtent l="38100" t="76200" r="0" b="95250"/>
                      <wp:wrapNone/>
                      <wp:docPr id="75" name="Straight Arrow Connector 75"/>
                      <wp:cNvGraphicFramePr/>
                      <a:graphic xmlns:a="http://schemas.openxmlformats.org/drawingml/2006/main">
                        <a:graphicData uri="http://schemas.microsoft.com/office/word/2010/wordprocessingShape">
                          <wps:wsp>
                            <wps:cNvCnPr/>
                            <wps:spPr>
                              <a:xfrm flipH="1">
                                <a:off x="0" y="0"/>
                                <a:ext cx="1409501" cy="0"/>
                              </a:xfrm>
                              <a:prstGeom prst="straightConnector1">
                                <a:avLst/>
                              </a:prstGeom>
                              <a:noFill/>
                              <a:ln w="6350" cap="flat" cmpd="sng" algn="ctr">
                                <a:solidFill>
                                  <a:srgbClr val="5B9BD5"/>
                                </a:solidFill>
                                <a:prstDash val="sysDash"/>
                                <a:miter lim="800000"/>
                                <a:tailEnd type="triangle"/>
                              </a:ln>
                              <a:effectLst/>
                            </wps:spPr>
                            <wps:bodyPr/>
                          </wps:wsp>
                        </a:graphicData>
                      </a:graphic>
                    </wp:anchor>
                  </w:drawing>
                </mc:Choice>
                <mc:Fallback>
                  <w:pict>
                    <v:shape id="Straight Arrow Connector 75" o:spid="_x0000_s1026" type="#_x0000_t32" style="position:absolute;margin-left:383.15pt;margin-top:120.7pt;width:111pt;height:0;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" strokecolor="#5b9bd5" strokeweight=".5pt">
                      <v:stroke dashstyle="3 1"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65408" behindDoc="0" locked="0" layoutInCell="1" allowOverlap="1" wp14:anchorId="0F2E8DBF" wp14:editId="0800984E">
                      <wp:simplePos x="0" y="0"/>
                      <wp:positionH relativeFrom="column">
                        <wp:posOffset>5672455</wp:posOffset>
                      </wp:positionH>
                      <wp:positionV relativeFrom="paragraph">
                        <wp:posOffset>2908934</wp:posOffset>
                      </wp:positionV>
                      <wp:extent cx="1171575" cy="27622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1171575" cy="2762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D971213" w14:textId="77777777" w:rsidR="00610897" w:rsidRPr="003074A6" w:rsidRDefault="00610897" w:rsidP="00610897">
                                  <w:pPr>
                                    <w:jc w:val="center"/>
                                    <w:rPr>
                                      <w:sz w:val="16"/>
                                      <w:szCs w:val="16"/>
                                    </w:rPr>
                                  </w:pPr>
                                  <w:r w:rsidRPr="003074A6">
                                    <w:rPr>
                                      <w:sz w:val="16"/>
                                      <w:szCs w:val="16"/>
                                    </w:rPr>
                                    <w:t>Financial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8" style="position:absolute;margin-left:446.65pt;margin-top:229.05pt;width:92.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" fillcolor="window" strokecolor="#41719c" strokeweight="1pt">
                      <v:textbox>
                        <w:txbxContent>
                          <w:p w14:paraId="4D971213" w14:textId="77777777" w:rsidR="00610897" w:rsidRPr="003074A6" w:rsidRDefault="00610897" w:rsidP="00610897">
                            <w:pPr>
                              <w:jc w:val="center"/>
                              <w:rPr>
                                <w:sz w:val="16"/>
                                <w:szCs w:val="16"/>
                              </w:rPr>
                            </w:pPr>
                            <w:r w:rsidRPr="003074A6">
                              <w:rPr>
                                <w:sz w:val="16"/>
                                <w:szCs w:val="16"/>
                              </w:rPr>
                              <w:t>Financial</w:t>
                            </w:r>
                          </w:p>
                        </w:txbxContent>
                      </v:textbox>
                    </v:rect>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62336" behindDoc="0" locked="0" layoutInCell="1" allowOverlap="1" wp14:anchorId="19DF997E" wp14:editId="3210303F">
                      <wp:simplePos x="0" y="0"/>
                      <wp:positionH relativeFrom="column">
                        <wp:posOffset>3843655</wp:posOffset>
                      </wp:positionH>
                      <wp:positionV relativeFrom="paragraph">
                        <wp:posOffset>2908935</wp:posOffset>
                      </wp:positionV>
                      <wp:extent cx="1184910" cy="295275"/>
                      <wp:effectExtent l="0" t="0" r="15240" b="28575"/>
                      <wp:wrapNone/>
                      <wp:docPr id="30" name="Rectangle 30"/>
                      <wp:cNvGraphicFramePr/>
                      <a:graphic xmlns:a="http://schemas.openxmlformats.org/drawingml/2006/main">
                        <a:graphicData uri="http://schemas.microsoft.com/office/word/2010/wordprocessingShape">
                          <wps:wsp>
                            <wps:cNvSpPr/>
                            <wps:spPr>
                              <a:xfrm>
                                <a:off x="0" y="0"/>
                                <a:ext cx="1184910" cy="295275"/>
                              </a:xfrm>
                              <a:prstGeom prst="rect">
                                <a:avLst/>
                              </a:prstGeom>
                              <a:noFill/>
                              <a:ln w="12700" cap="flat" cmpd="sng" algn="ctr">
                                <a:solidFill>
                                  <a:srgbClr val="5B9BD5">
                                    <a:shade val="50000"/>
                                  </a:srgbClr>
                                </a:solidFill>
                                <a:prstDash val="solid"/>
                                <a:miter lim="800000"/>
                              </a:ln>
                              <a:effectLst/>
                            </wps:spPr>
                            <wps:txbx>
                              <w:txbxContent>
                                <w:p w14:paraId="26809313" w14:textId="77777777" w:rsidR="00610897" w:rsidRPr="003074A6" w:rsidRDefault="00610897" w:rsidP="00610897">
                                  <w:pPr>
                                    <w:jc w:val="center"/>
                                    <w:rPr>
                                      <w:sz w:val="16"/>
                                      <w:szCs w:val="16"/>
                                    </w:rPr>
                                  </w:pPr>
                                  <w:r w:rsidRPr="003074A6">
                                    <w:rPr>
                                      <w:sz w:val="16"/>
                                      <w:szCs w:val="16"/>
                                    </w:rPr>
                                    <w:t>Within-country</w:t>
                                  </w:r>
                                </w:p>
                                <w:p w14:paraId="2D9718FE" w14:textId="77777777" w:rsidR="00610897" w:rsidRPr="00D93C38" w:rsidRDefault="00610897" w:rsidP="00610897">
                                  <w:pPr>
                                    <w:jc w:val="cente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9" style="position:absolute;margin-left:302.65pt;margin-top:229.05pt;width:93.3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" filled="f" strokecolor="#41719c" strokeweight="1pt">
                      <v:textbox>
                        <w:txbxContent>
                          <w:p w14:paraId="26809313" w14:textId="77777777" w:rsidR="00610897" w:rsidRPr="003074A6" w:rsidRDefault="00610897" w:rsidP="00610897">
                            <w:pPr>
                              <w:jc w:val="center"/>
                              <w:rPr>
                                <w:sz w:val="16"/>
                                <w:szCs w:val="16"/>
                              </w:rPr>
                            </w:pPr>
                            <w:r w:rsidRPr="003074A6">
                              <w:rPr>
                                <w:sz w:val="16"/>
                                <w:szCs w:val="16"/>
                              </w:rPr>
                              <w:t>Within-country</w:t>
                            </w:r>
                          </w:p>
                          <w:p w14:paraId="2D9718FE" w14:textId="77777777" w:rsidR="00610897" w:rsidRPr="00D93C38" w:rsidRDefault="00610897" w:rsidP="00610897">
                            <w:pPr>
                              <w:jc w:val="center"/>
                              <w:rPr>
                                <w:rFonts w:ascii="Times New Roman" w:hAnsi="Times New Roman"/>
                                <w:sz w:val="16"/>
                                <w:szCs w:val="16"/>
                              </w:rPr>
                            </w:pPr>
                          </w:p>
                        </w:txbxContent>
                      </v:textbox>
                    </v:rect>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63360" behindDoc="0" locked="0" layoutInCell="1" allowOverlap="1" wp14:anchorId="3217A094" wp14:editId="4F781060">
                      <wp:simplePos x="0" y="0"/>
                      <wp:positionH relativeFrom="column">
                        <wp:posOffset>3834130</wp:posOffset>
                      </wp:positionH>
                      <wp:positionV relativeFrom="paragraph">
                        <wp:posOffset>3623309</wp:posOffset>
                      </wp:positionV>
                      <wp:extent cx="1214120" cy="314325"/>
                      <wp:effectExtent l="0" t="0" r="24130" b="28575"/>
                      <wp:wrapNone/>
                      <wp:docPr id="31" name="Rectangle 31"/>
                      <wp:cNvGraphicFramePr/>
                      <a:graphic xmlns:a="http://schemas.openxmlformats.org/drawingml/2006/main">
                        <a:graphicData uri="http://schemas.microsoft.com/office/word/2010/wordprocessingShape">
                          <wps:wsp>
                            <wps:cNvSpPr/>
                            <wps:spPr>
                              <a:xfrm>
                                <a:off x="0" y="0"/>
                                <a:ext cx="1214120" cy="3143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B7AE626" w14:textId="77777777" w:rsidR="00610897" w:rsidRPr="003074A6" w:rsidRDefault="00610897" w:rsidP="00610897">
                                  <w:pPr>
                                    <w:jc w:val="center"/>
                                    <w:rPr>
                                      <w:sz w:val="16"/>
                                      <w:szCs w:val="16"/>
                                    </w:rPr>
                                  </w:pPr>
                                  <w:r w:rsidRPr="003074A6">
                                    <w:rPr>
                                      <w:sz w:val="16"/>
                                      <w:szCs w:val="16"/>
                                    </w:rPr>
                                    <w:t>Cross-country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40" style="position:absolute;margin-left:301.9pt;margin-top:285.3pt;width:95.6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" fillcolor="window" strokecolor="#41719c" strokeweight="1pt">
                      <v:textbox>
                        <w:txbxContent>
                          <w:p w14:paraId="4B7AE626" w14:textId="77777777" w:rsidR="00610897" w:rsidRPr="003074A6" w:rsidRDefault="00610897" w:rsidP="00610897">
                            <w:pPr>
                              <w:jc w:val="center"/>
                              <w:rPr>
                                <w:sz w:val="16"/>
                                <w:szCs w:val="16"/>
                              </w:rPr>
                            </w:pPr>
                            <w:r w:rsidRPr="003074A6">
                              <w:rPr>
                                <w:sz w:val="16"/>
                                <w:szCs w:val="16"/>
                              </w:rPr>
                              <w:t>Cross-country</w:t>
                            </w:r>
                          </w:p>
                        </w:txbxContent>
                      </v:textbox>
                    </v:rect>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64384" behindDoc="0" locked="0" layoutInCell="1" allowOverlap="1" wp14:anchorId="4C191F12" wp14:editId="7AC9DA77">
                      <wp:simplePos x="0" y="0"/>
                      <wp:positionH relativeFrom="column">
                        <wp:posOffset>5672455</wp:posOffset>
                      </wp:positionH>
                      <wp:positionV relativeFrom="paragraph">
                        <wp:posOffset>3622675</wp:posOffset>
                      </wp:positionV>
                      <wp:extent cx="1171575" cy="2571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171575" cy="2571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8835B20" w14:textId="77777777" w:rsidR="00610897" w:rsidRPr="003074A6" w:rsidRDefault="00610897" w:rsidP="00610897">
                                  <w:pPr>
                                    <w:jc w:val="center"/>
                                    <w:rPr>
                                      <w:sz w:val="16"/>
                                      <w:szCs w:val="16"/>
                                    </w:rPr>
                                  </w:pPr>
                                  <w:r w:rsidRPr="003074A6">
                                    <w:rPr>
                                      <w:sz w:val="16"/>
                                      <w:szCs w:val="16"/>
                                    </w:rPr>
                                    <w:t>Non-financial</w:t>
                                  </w:r>
                                </w:p>
                                <w:p w14:paraId="724BB4D6" w14:textId="77777777" w:rsidR="00610897" w:rsidRPr="00D93C38" w:rsidRDefault="00610897" w:rsidP="00610897">
                                  <w:pPr>
                                    <w:jc w:val="cente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41" style="position:absolute;margin-left:446.65pt;margin-top:285.25pt;width:92.2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" fillcolor="window" strokecolor="#41719c" strokeweight="1pt">
                      <v:textbox>
                        <w:txbxContent>
                          <w:p w14:paraId="48835B20" w14:textId="77777777" w:rsidR="00610897" w:rsidRPr="003074A6" w:rsidRDefault="00610897" w:rsidP="00610897">
                            <w:pPr>
                              <w:jc w:val="center"/>
                              <w:rPr>
                                <w:sz w:val="16"/>
                                <w:szCs w:val="16"/>
                              </w:rPr>
                            </w:pPr>
                            <w:r w:rsidRPr="003074A6">
                              <w:rPr>
                                <w:sz w:val="16"/>
                                <w:szCs w:val="16"/>
                              </w:rPr>
                              <w:t>Non-financial</w:t>
                            </w:r>
                          </w:p>
                          <w:p w14:paraId="724BB4D6" w14:textId="77777777" w:rsidR="00610897" w:rsidRPr="00D93C38" w:rsidRDefault="00610897" w:rsidP="00610897">
                            <w:pPr>
                              <w:jc w:val="center"/>
                              <w:rPr>
                                <w:rFonts w:ascii="Times New Roman" w:hAnsi="Times New Roman"/>
                                <w:sz w:val="16"/>
                                <w:szCs w:val="16"/>
                              </w:rPr>
                            </w:pPr>
                          </w:p>
                        </w:txbxContent>
                      </v:textbox>
                    </v:rect>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60288" behindDoc="0" locked="0" layoutInCell="1" allowOverlap="1" wp14:anchorId="2CCEFAC5" wp14:editId="1B7734DB">
                      <wp:simplePos x="0" y="0"/>
                      <wp:positionH relativeFrom="column">
                        <wp:posOffset>158750</wp:posOffset>
                      </wp:positionH>
                      <wp:positionV relativeFrom="paragraph">
                        <wp:posOffset>2948305</wp:posOffset>
                      </wp:positionV>
                      <wp:extent cx="1257300" cy="292608"/>
                      <wp:effectExtent l="0" t="0" r="19050" b="12700"/>
                      <wp:wrapNone/>
                      <wp:docPr id="21" name="Rectangle 21"/>
                      <wp:cNvGraphicFramePr/>
                      <a:graphic xmlns:a="http://schemas.openxmlformats.org/drawingml/2006/main">
                        <a:graphicData uri="http://schemas.microsoft.com/office/word/2010/wordprocessingShape">
                          <wps:wsp>
                            <wps:cNvSpPr/>
                            <wps:spPr>
                              <a:xfrm>
                                <a:off x="0" y="0"/>
                                <a:ext cx="1257300" cy="292608"/>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6AA2AD7" w14:textId="77777777" w:rsidR="00610897" w:rsidRPr="003074A6" w:rsidRDefault="00610897" w:rsidP="00610897">
                                  <w:pPr>
                                    <w:jc w:val="center"/>
                                    <w:rPr>
                                      <w:sz w:val="16"/>
                                      <w:szCs w:val="16"/>
                                    </w:rPr>
                                  </w:pPr>
                                  <w:r w:rsidRPr="003074A6">
                                    <w:rPr>
                                      <w:sz w:val="16"/>
                                      <w:szCs w:val="16"/>
                                    </w:rPr>
                                    <w:t xml:space="preserve">Mandatory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42" style="position:absolute;margin-left:12.5pt;margin-top:232.15pt;width:99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" fillcolor="window" strokecolor="#41719c" strokeweight="1pt">
                      <v:textbox>
                        <w:txbxContent>
                          <w:p w14:paraId="16AA2AD7" w14:textId="77777777" w:rsidR="00610897" w:rsidRPr="003074A6" w:rsidRDefault="00610897" w:rsidP="00610897">
                            <w:pPr>
                              <w:jc w:val="center"/>
                              <w:rPr>
                                <w:sz w:val="16"/>
                                <w:szCs w:val="16"/>
                              </w:rPr>
                            </w:pPr>
                            <w:r w:rsidRPr="003074A6">
                              <w:rPr>
                                <w:sz w:val="16"/>
                                <w:szCs w:val="16"/>
                              </w:rPr>
                              <w:t xml:space="preserve">Mandatory </w:t>
                            </w:r>
                          </w:p>
                        </w:txbxContent>
                      </v:textbox>
                    </v:rect>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61312" behindDoc="0" locked="0" layoutInCell="1" allowOverlap="1" wp14:anchorId="47336E81" wp14:editId="1B232681">
                      <wp:simplePos x="0" y="0"/>
                      <wp:positionH relativeFrom="column">
                        <wp:posOffset>2024380</wp:posOffset>
                      </wp:positionH>
                      <wp:positionV relativeFrom="paragraph">
                        <wp:posOffset>2927985</wp:posOffset>
                      </wp:positionV>
                      <wp:extent cx="1314450" cy="292100"/>
                      <wp:effectExtent l="0" t="0" r="19050" b="12700"/>
                      <wp:wrapNone/>
                      <wp:docPr id="26" name="Rectangle 26"/>
                      <wp:cNvGraphicFramePr/>
                      <a:graphic xmlns:a="http://schemas.openxmlformats.org/drawingml/2006/main">
                        <a:graphicData uri="http://schemas.microsoft.com/office/word/2010/wordprocessingShape">
                          <wps:wsp>
                            <wps:cNvSpPr/>
                            <wps:spPr>
                              <a:xfrm>
                                <a:off x="0" y="0"/>
                                <a:ext cx="1314450" cy="2921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7892395" w14:textId="77777777" w:rsidR="00610897" w:rsidRPr="003074A6" w:rsidRDefault="00610897" w:rsidP="00610897">
                                  <w:pPr>
                                    <w:jc w:val="center"/>
                                    <w:rPr>
                                      <w:sz w:val="16"/>
                                      <w:szCs w:val="16"/>
                                    </w:rPr>
                                  </w:pPr>
                                  <w:r w:rsidRPr="003074A6">
                                    <w:rPr>
                                      <w:sz w:val="16"/>
                                      <w:szCs w:val="16"/>
                                    </w:rPr>
                                    <w:t xml:space="preserve">Manual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43" style="position:absolute;margin-left:159.4pt;margin-top:230.55pt;width:103.5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" fillcolor="window" strokecolor="#41719c" strokeweight="1pt">
                      <v:textbox>
                        <w:txbxContent>
                          <w:p w14:paraId="67892395" w14:textId="77777777" w:rsidR="00610897" w:rsidRPr="003074A6" w:rsidRDefault="00610897" w:rsidP="00610897">
                            <w:pPr>
                              <w:jc w:val="center"/>
                              <w:rPr>
                                <w:sz w:val="16"/>
                                <w:szCs w:val="16"/>
                              </w:rPr>
                            </w:pPr>
                            <w:r w:rsidRPr="003074A6">
                              <w:rPr>
                                <w:sz w:val="16"/>
                                <w:szCs w:val="16"/>
                              </w:rPr>
                              <w:t xml:space="preserve">Manual </w:t>
                            </w:r>
                          </w:p>
                        </w:txbxContent>
                      </v:textbox>
                    </v:rect>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700224" behindDoc="0" locked="0" layoutInCell="1" allowOverlap="1" wp14:anchorId="2E88DBF6" wp14:editId="536B2F94">
                      <wp:simplePos x="0" y="0"/>
                      <wp:positionH relativeFrom="column">
                        <wp:posOffset>2908300</wp:posOffset>
                      </wp:positionH>
                      <wp:positionV relativeFrom="paragraph">
                        <wp:posOffset>1765935</wp:posOffset>
                      </wp:positionV>
                      <wp:extent cx="3145155" cy="548640"/>
                      <wp:effectExtent l="0" t="0" r="55245" b="80010"/>
                      <wp:wrapNone/>
                      <wp:docPr id="35" name="Straight Arrow Connector 35"/>
                      <wp:cNvGraphicFramePr/>
                      <a:graphic xmlns:a="http://schemas.openxmlformats.org/drawingml/2006/main">
                        <a:graphicData uri="http://schemas.microsoft.com/office/word/2010/wordprocessingShape">
                          <wps:wsp>
                            <wps:cNvCnPr/>
                            <wps:spPr>
                              <a:xfrm>
                                <a:off x="0" y="0"/>
                                <a:ext cx="3145155" cy="54864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229pt;margin-top:139.05pt;width:247.65pt;height:4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" strokecolor="#5b9bd5" strokeweight=".5pt">
                      <v:stroke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707392" behindDoc="0" locked="0" layoutInCell="1" allowOverlap="1" wp14:anchorId="520D17FB" wp14:editId="5B5DE281">
                      <wp:simplePos x="0" y="0"/>
                      <wp:positionH relativeFrom="column">
                        <wp:posOffset>2929255</wp:posOffset>
                      </wp:positionH>
                      <wp:positionV relativeFrom="paragraph">
                        <wp:posOffset>51435</wp:posOffset>
                      </wp:positionV>
                      <wp:extent cx="0" cy="0"/>
                      <wp:effectExtent l="0" t="0" r="0" b="0"/>
                      <wp:wrapNone/>
                      <wp:docPr id="41" name="Straight Arrow Connector 41"/>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41" o:spid="_x0000_s1026" type="#_x0000_t32" style="position:absolute;margin-left:230.65pt;margin-top:4.05pt;width:0;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" strokecolor="#5b9bd5" strokeweight=".5pt">
                      <v:stroke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92032" behindDoc="0" locked="0" layoutInCell="1" allowOverlap="1" wp14:anchorId="3BC76567" wp14:editId="6B89E187">
                      <wp:simplePos x="0" y="0"/>
                      <wp:positionH relativeFrom="column">
                        <wp:posOffset>1736989</wp:posOffset>
                      </wp:positionH>
                      <wp:positionV relativeFrom="paragraph">
                        <wp:posOffset>2538718</wp:posOffset>
                      </wp:positionV>
                      <wp:extent cx="15073" cy="1225899"/>
                      <wp:effectExtent l="0" t="0" r="23495" b="31750"/>
                      <wp:wrapNone/>
                      <wp:docPr id="74" name="Straight Connector 74"/>
                      <wp:cNvGraphicFramePr/>
                      <a:graphic xmlns:a="http://schemas.openxmlformats.org/drawingml/2006/main">
                        <a:graphicData uri="http://schemas.microsoft.com/office/word/2010/wordprocessingShape">
                          <wps:wsp>
                            <wps:cNvCnPr/>
                            <wps:spPr>
                              <a:xfrm>
                                <a:off x="0" y="0"/>
                                <a:ext cx="15073" cy="1225899"/>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75pt,199.9pt" to="137.95pt,2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" strokecolor="#5b9bd5" strokeweight=".5pt">
                      <v:stroke joinstyle="miter"/>
                    </v:lin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702272" behindDoc="0" locked="0" layoutInCell="1" allowOverlap="1" wp14:anchorId="239DF254" wp14:editId="7D6644C6">
                      <wp:simplePos x="0" y="0"/>
                      <wp:positionH relativeFrom="column">
                        <wp:posOffset>3538332</wp:posOffset>
                      </wp:positionH>
                      <wp:positionV relativeFrom="paragraph">
                        <wp:posOffset>3020583</wp:posOffset>
                      </wp:positionV>
                      <wp:extent cx="295275" cy="0"/>
                      <wp:effectExtent l="0" t="76200" r="9525" b="95250"/>
                      <wp:wrapNone/>
                      <wp:docPr id="42" name="Straight Arrow Connector 42"/>
                      <wp:cNvGraphicFramePr/>
                      <a:graphic xmlns:a="http://schemas.openxmlformats.org/drawingml/2006/main">
                        <a:graphicData uri="http://schemas.microsoft.com/office/word/2010/wordprocessingShape">
                          <wps:wsp>
                            <wps:cNvCnPr/>
                            <wps:spPr>
                              <a:xfrm>
                                <a:off x="0" y="0"/>
                                <a:ext cx="295275"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42" o:spid="_x0000_s1026" type="#_x0000_t32" style="position:absolute;margin-left:278.6pt;margin-top:237.85pt;width:23.2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" strokecolor="#5b9bd5" strokeweight=".5pt">
                      <v:stroke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94080" behindDoc="0" locked="0" layoutInCell="1" allowOverlap="1" wp14:anchorId="57694BFA" wp14:editId="7D948CCF">
                      <wp:simplePos x="0" y="0"/>
                      <wp:positionH relativeFrom="column">
                        <wp:posOffset>1740647</wp:posOffset>
                      </wp:positionH>
                      <wp:positionV relativeFrom="paragraph">
                        <wp:posOffset>3751259</wp:posOffset>
                      </wp:positionV>
                      <wp:extent cx="295275" cy="9525"/>
                      <wp:effectExtent l="0" t="57150" r="28575" b="85725"/>
                      <wp:wrapNone/>
                      <wp:docPr id="8" name="Straight Arrow Connector 8"/>
                      <wp:cNvGraphicFramePr/>
                      <a:graphic xmlns:a="http://schemas.openxmlformats.org/drawingml/2006/main">
                        <a:graphicData uri="http://schemas.microsoft.com/office/word/2010/wordprocessingShape">
                          <wps:wsp>
                            <wps:cNvCnPr/>
                            <wps:spPr>
                              <a:xfrm>
                                <a:off x="0" y="0"/>
                                <a:ext cx="295275" cy="95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37.05pt;margin-top:295.35pt;width:23.25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" strokecolor="#5b9bd5" strokeweight=".5pt">
                      <v:stroke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82816" behindDoc="0" locked="0" layoutInCell="1" allowOverlap="1" wp14:anchorId="46EADCFB" wp14:editId="3B2C65B8">
                      <wp:simplePos x="0" y="0"/>
                      <wp:positionH relativeFrom="column">
                        <wp:posOffset>2028317</wp:posOffset>
                      </wp:positionH>
                      <wp:positionV relativeFrom="paragraph">
                        <wp:posOffset>3627781</wp:posOffset>
                      </wp:positionV>
                      <wp:extent cx="1295400" cy="2762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295400" cy="2762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BB3F002" w14:textId="77777777" w:rsidR="00610897" w:rsidRPr="003074A6" w:rsidRDefault="00610897" w:rsidP="00610897">
                                  <w:pPr>
                                    <w:jc w:val="center"/>
                                    <w:rPr>
                                      <w:sz w:val="16"/>
                                      <w:szCs w:val="16"/>
                                    </w:rPr>
                                  </w:pPr>
                                  <w:r w:rsidRPr="003074A6">
                                    <w:rPr>
                                      <w:sz w:val="16"/>
                                      <w:szCs w:val="16"/>
                                    </w:rPr>
                                    <w:t xml:space="preserve">Automated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44" style="position:absolute;margin-left:159.7pt;margin-top:285.65pt;width:102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" fillcolor="window" strokecolor="#41719c" strokeweight="1pt">
                      <v:textbox>
                        <w:txbxContent>
                          <w:p w14:paraId="5BB3F002" w14:textId="77777777" w:rsidR="00610897" w:rsidRPr="003074A6" w:rsidRDefault="00610897" w:rsidP="00610897">
                            <w:pPr>
                              <w:jc w:val="center"/>
                              <w:rPr>
                                <w:sz w:val="16"/>
                                <w:szCs w:val="16"/>
                              </w:rPr>
                            </w:pPr>
                            <w:r w:rsidRPr="003074A6">
                              <w:rPr>
                                <w:sz w:val="16"/>
                                <w:szCs w:val="16"/>
                              </w:rPr>
                              <w:t xml:space="preserve">Automated </w:t>
                            </w:r>
                          </w:p>
                        </w:txbxContent>
                      </v:textbox>
                    </v:rect>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74624" behindDoc="0" locked="0" layoutInCell="1" allowOverlap="1" wp14:anchorId="31472A32" wp14:editId="122A9EA7">
                      <wp:simplePos x="0" y="0"/>
                      <wp:positionH relativeFrom="column">
                        <wp:posOffset>174625</wp:posOffset>
                      </wp:positionH>
                      <wp:positionV relativeFrom="paragraph">
                        <wp:posOffset>4134485</wp:posOffset>
                      </wp:positionV>
                      <wp:extent cx="1266825" cy="2571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266825" cy="2571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B2FE868" w14:textId="77777777" w:rsidR="00610897" w:rsidRPr="003074A6" w:rsidRDefault="00610897" w:rsidP="00610897">
                                  <w:pPr>
                                    <w:jc w:val="center"/>
                                    <w:rPr>
                                      <w:sz w:val="16"/>
                                      <w:szCs w:val="16"/>
                                    </w:rPr>
                                  </w:pPr>
                                  <w:r w:rsidRPr="003074A6">
                                    <w:rPr>
                                      <w:sz w:val="16"/>
                                      <w:szCs w:val="16"/>
                                    </w:rPr>
                                    <w:t>Aggregate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45" style="position:absolute;margin-left:13.75pt;margin-top:325.55pt;width:99.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" fillcolor="window" strokecolor="#41719c" strokeweight="1pt">
                      <v:textbox>
                        <w:txbxContent>
                          <w:p w14:paraId="4B2FE868" w14:textId="77777777" w:rsidR="00610897" w:rsidRPr="003074A6" w:rsidRDefault="00610897" w:rsidP="00610897">
                            <w:pPr>
                              <w:jc w:val="center"/>
                              <w:rPr>
                                <w:sz w:val="16"/>
                                <w:szCs w:val="16"/>
                              </w:rPr>
                            </w:pPr>
                            <w:r w:rsidRPr="003074A6">
                              <w:rPr>
                                <w:sz w:val="16"/>
                                <w:szCs w:val="16"/>
                              </w:rPr>
                              <w:t>Aggregate</w:t>
                            </w:r>
                          </w:p>
                        </w:txbxContent>
                      </v:textbox>
                    </v:rect>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75648" behindDoc="0" locked="0" layoutInCell="1" allowOverlap="1" wp14:anchorId="08152205" wp14:editId="2DC6D9E2">
                      <wp:simplePos x="0" y="0"/>
                      <wp:positionH relativeFrom="column">
                        <wp:posOffset>182245</wp:posOffset>
                      </wp:positionH>
                      <wp:positionV relativeFrom="paragraph">
                        <wp:posOffset>3617773</wp:posOffset>
                      </wp:positionV>
                      <wp:extent cx="1219200" cy="2857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219200" cy="2857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E02E77A" w14:textId="77777777" w:rsidR="00610897" w:rsidRPr="003074A6" w:rsidRDefault="00610897" w:rsidP="00610897">
                                  <w:pPr>
                                    <w:jc w:val="center"/>
                                    <w:rPr>
                                      <w:sz w:val="16"/>
                                      <w:szCs w:val="16"/>
                                    </w:rPr>
                                  </w:pPr>
                                  <w:r w:rsidRPr="003074A6">
                                    <w:rPr>
                                      <w:sz w:val="16"/>
                                      <w:szCs w:val="16"/>
                                    </w:rPr>
                                    <w:t xml:space="preserve">Voluntary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46" style="position:absolute;margin-left:14.35pt;margin-top:284.85pt;width:96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" fillcolor="window" strokecolor="#41719c" strokeweight="1pt">
                      <v:textbox>
                        <w:txbxContent>
                          <w:p w14:paraId="2E02E77A" w14:textId="77777777" w:rsidR="00610897" w:rsidRPr="003074A6" w:rsidRDefault="00610897" w:rsidP="00610897">
                            <w:pPr>
                              <w:jc w:val="center"/>
                              <w:rPr>
                                <w:sz w:val="16"/>
                                <w:szCs w:val="16"/>
                              </w:rPr>
                            </w:pPr>
                            <w:r w:rsidRPr="003074A6">
                              <w:rPr>
                                <w:sz w:val="16"/>
                                <w:szCs w:val="16"/>
                              </w:rPr>
                              <w:t xml:space="preserve">Voluntary </w:t>
                            </w:r>
                          </w:p>
                        </w:txbxContent>
                      </v:textbox>
                    </v:rect>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88960" behindDoc="0" locked="0" layoutInCell="1" allowOverlap="1" wp14:anchorId="40A17231" wp14:editId="0CA69965">
                      <wp:simplePos x="0" y="0"/>
                      <wp:positionH relativeFrom="column">
                        <wp:posOffset>-13614</wp:posOffset>
                      </wp:positionH>
                      <wp:positionV relativeFrom="paragraph">
                        <wp:posOffset>3756203</wp:posOffset>
                      </wp:positionV>
                      <wp:extent cx="192505" cy="0"/>
                      <wp:effectExtent l="0" t="76200" r="17145" b="95250"/>
                      <wp:wrapNone/>
                      <wp:docPr id="64" name="Straight Arrow Connector 64"/>
                      <wp:cNvGraphicFramePr/>
                      <a:graphic xmlns:a="http://schemas.openxmlformats.org/drawingml/2006/main">
                        <a:graphicData uri="http://schemas.microsoft.com/office/word/2010/wordprocessingShape">
                          <wps:wsp>
                            <wps:cNvCnPr/>
                            <wps:spPr>
                              <a:xfrm>
                                <a:off x="0" y="0"/>
                                <a:ext cx="19250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4" o:spid="_x0000_s1026" type="#_x0000_t32" style="position:absolute;margin-left:-1.05pt;margin-top:295.75pt;width:15.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" strokecolor="#5b9bd5" strokeweight=".5pt">
                      <v:stroke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705344" behindDoc="0" locked="0" layoutInCell="1" allowOverlap="1" wp14:anchorId="6E577821" wp14:editId="2CA86BEC">
                      <wp:simplePos x="0" y="0"/>
                      <wp:positionH relativeFrom="column">
                        <wp:posOffset>-14656</wp:posOffset>
                      </wp:positionH>
                      <wp:positionV relativeFrom="paragraph">
                        <wp:posOffset>4260952</wp:posOffset>
                      </wp:positionV>
                      <wp:extent cx="192505" cy="0"/>
                      <wp:effectExtent l="0" t="76200" r="17145" b="95250"/>
                      <wp:wrapNone/>
                      <wp:docPr id="6" name="Straight Arrow Connector 6"/>
                      <wp:cNvGraphicFramePr/>
                      <a:graphic xmlns:a="http://schemas.openxmlformats.org/drawingml/2006/main">
                        <a:graphicData uri="http://schemas.microsoft.com/office/word/2010/wordprocessingShape">
                          <wps:wsp>
                            <wps:cNvCnPr/>
                            <wps:spPr>
                              <a:xfrm>
                                <a:off x="0" y="0"/>
                                <a:ext cx="19250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15pt;margin-top:335.5pt;width:15.1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" strokecolor="#5b9bd5" strokeweight=".5pt">
                      <v:stroke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84864" behindDoc="0" locked="0" layoutInCell="1" allowOverlap="1" wp14:anchorId="5440FFCB" wp14:editId="5CA1FE63">
                      <wp:simplePos x="0" y="0"/>
                      <wp:positionH relativeFrom="column">
                        <wp:posOffset>-35839</wp:posOffset>
                      </wp:positionH>
                      <wp:positionV relativeFrom="paragraph">
                        <wp:posOffset>2490978</wp:posOffset>
                      </wp:positionV>
                      <wp:extent cx="29260" cy="1770278"/>
                      <wp:effectExtent l="0" t="0" r="27940" b="20955"/>
                      <wp:wrapNone/>
                      <wp:docPr id="62" name="Straight Connector 62"/>
                      <wp:cNvGraphicFramePr/>
                      <a:graphic xmlns:a="http://schemas.openxmlformats.org/drawingml/2006/main">
                        <a:graphicData uri="http://schemas.microsoft.com/office/word/2010/wordprocessingShape">
                          <wps:wsp>
                            <wps:cNvCnPr/>
                            <wps:spPr>
                              <a:xfrm>
                                <a:off x="0" y="0"/>
                                <a:ext cx="29260" cy="1770278"/>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196.15pt" to="-.5pt,3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" strokecolor="#5b9bd5" strokeweight=".5pt">
                      <v:stroke joinstyle="miter"/>
                    </v:lin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85888" behindDoc="0" locked="0" layoutInCell="1" allowOverlap="1" wp14:anchorId="4DA90E88" wp14:editId="699F46D4">
                      <wp:simplePos x="0" y="0"/>
                      <wp:positionH relativeFrom="column">
                        <wp:posOffset>-37795</wp:posOffset>
                      </wp:positionH>
                      <wp:positionV relativeFrom="paragraph">
                        <wp:posOffset>3122498</wp:posOffset>
                      </wp:positionV>
                      <wp:extent cx="192405" cy="0"/>
                      <wp:effectExtent l="0" t="76200" r="17145" b="95250"/>
                      <wp:wrapNone/>
                      <wp:docPr id="63" name="Straight Arrow Connector 63"/>
                      <wp:cNvGraphicFramePr/>
                      <a:graphic xmlns:a="http://schemas.openxmlformats.org/drawingml/2006/main">
                        <a:graphicData uri="http://schemas.microsoft.com/office/word/2010/wordprocessingShape">
                          <wps:wsp>
                            <wps:cNvCnPr/>
                            <wps:spPr>
                              <a:xfrm>
                                <a:off x="0" y="0"/>
                                <a:ext cx="192405"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63" o:spid="_x0000_s1026" type="#_x0000_t32" style="position:absolute;margin-left:-3pt;margin-top:245.85pt;width:15.1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" strokecolor="#5b9bd5" strokeweight=".5pt">
                      <v:stroke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76672" behindDoc="0" locked="0" layoutInCell="1" allowOverlap="1" wp14:anchorId="1E6D218A" wp14:editId="5BAC5B89">
                      <wp:simplePos x="0" y="0"/>
                      <wp:positionH relativeFrom="column">
                        <wp:posOffset>5390870</wp:posOffset>
                      </wp:positionH>
                      <wp:positionV relativeFrom="paragraph">
                        <wp:posOffset>2336826</wp:posOffset>
                      </wp:positionV>
                      <wp:extent cx="1476375" cy="409575"/>
                      <wp:effectExtent l="0" t="0" r="28575" b="28575"/>
                      <wp:wrapNone/>
                      <wp:docPr id="22" name="Oval 22"/>
                      <wp:cNvGraphicFramePr/>
                      <a:graphic xmlns:a="http://schemas.openxmlformats.org/drawingml/2006/main">
                        <a:graphicData uri="http://schemas.microsoft.com/office/word/2010/wordprocessingShape">
                          <wps:wsp>
                            <wps:cNvSpPr/>
                            <wps:spPr>
                              <a:xfrm>
                                <a:off x="0" y="0"/>
                                <a:ext cx="1476375" cy="409575"/>
                              </a:xfrm>
                              <a:prstGeom prst="ellipse">
                                <a:avLst/>
                              </a:prstGeom>
                              <a:solidFill>
                                <a:sysClr val="window" lastClr="FFFFFF"/>
                              </a:solidFill>
                              <a:ln w="12700" cap="flat" cmpd="sng" algn="ctr">
                                <a:solidFill>
                                  <a:srgbClr val="5B9BD5">
                                    <a:shade val="50000"/>
                                  </a:srgbClr>
                                </a:solidFill>
                                <a:prstDash val="solid"/>
                                <a:miter lim="800000"/>
                              </a:ln>
                              <a:effectLst/>
                            </wps:spPr>
                            <wps:txbx>
                              <w:txbxContent>
                                <w:p w14:paraId="2DF980D7" w14:textId="77777777" w:rsidR="00610897" w:rsidRPr="003074A6" w:rsidRDefault="00610897" w:rsidP="00610897">
                                  <w:pPr>
                                    <w:jc w:val="center"/>
                                    <w:rPr>
                                      <w:sz w:val="16"/>
                                      <w:szCs w:val="16"/>
                                    </w:rPr>
                                  </w:pPr>
                                  <w:r w:rsidRPr="003074A6">
                                    <w:rPr>
                                      <w:sz w:val="16"/>
                                      <w:szCs w:val="16"/>
                                    </w:rPr>
                                    <w:t xml:space="preserve">Type of sector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47" style="position:absolute;margin-left:424.5pt;margin-top:184pt;width:116.2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" fillcolor="window" strokecolor="#41719c" strokeweight="1pt">
                      <v:stroke joinstyle="miter"/>
                      <v:textbox>
                        <w:txbxContent>
                          <w:p w14:paraId="2DF980D7" w14:textId="77777777" w:rsidR="00610897" w:rsidRPr="003074A6" w:rsidRDefault="00610897" w:rsidP="00610897">
                            <w:pPr>
                              <w:jc w:val="center"/>
                              <w:rPr>
                                <w:sz w:val="16"/>
                                <w:szCs w:val="16"/>
                              </w:rPr>
                            </w:pPr>
                            <w:r w:rsidRPr="003074A6">
                              <w:rPr>
                                <w:sz w:val="16"/>
                                <w:szCs w:val="16"/>
                              </w:rPr>
                              <w:t xml:space="preserve">Type of sector </w:t>
                            </w:r>
                          </w:p>
                        </w:txbxContent>
                      </v:textbox>
                    </v:oval>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97152" behindDoc="0" locked="0" layoutInCell="1" allowOverlap="1" wp14:anchorId="7E407DA5" wp14:editId="0B210BD8">
                      <wp:simplePos x="0" y="0"/>
                      <wp:positionH relativeFrom="column">
                        <wp:posOffset>5370093</wp:posOffset>
                      </wp:positionH>
                      <wp:positionV relativeFrom="paragraph">
                        <wp:posOffset>2556815</wp:posOffset>
                      </wp:positionV>
                      <wp:extent cx="7316" cy="1254252"/>
                      <wp:effectExtent l="0" t="0" r="31115" b="22225"/>
                      <wp:wrapNone/>
                      <wp:docPr id="27" name="Straight Connector 27"/>
                      <wp:cNvGraphicFramePr/>
                      <a:graphic xmlns:a="http://schemas.openxmlformats.org/drawingml/2006/main">
                        <a:graphicData uri="http://schemas.microsoft.com/office/word/2010/wordprocessingShape">
                          <wps:wsp>
                            <wps:cNvCnPr/>
                            <wps:spPr>
                              <a:xfrm flipH="1">
                                <a:off x="0" y="0"/>
                                <a:ext cx="7316" cy="1254252"/>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85pt,201.3pt" to="423.45pt,3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" strokecolor="#5b9bd5" strokeweight=".5pt">
                      <v:stroke joinstyle="miter"/>
                    </v:lin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99200" behindDoc="0" locked="0" layoutInCell="1" allowOverlap="1" wp14:anchorId="0DD01C56" wp14:editId="03DBD1EF">
                      <wp:simplePos x="0" y="0"/>
                      <wp:positionH relativeFrom="column">
                        <wp:posOffset>5369864</wp:posOffset>
                      </wp:positionH>
                      <wp:positionV relativeFrom="paragraph">
                        <wp:posOffset>3809339</wp:posOffset>
                      </wp:positionV>
                      <wp:extent cx="295275" cy="0"/>
                      <wp:effectExtent l="0" t="76200" r="9525" b="95250"/>
                      <wp:wrapNone/>
                      <wp:docPr id="36" name="Straight Arrow Connector 36"/>
                      <wp:cNvGraphicFramePr/>
                      <a:graphic xmlns:a="http://schemas.openxmlformats.org/drawingml/2006/main">
                        <a:graphicData uri="http://schemas.microsoft.com/office/word/2010/wordprocessingShape">
                          <wps:wsp>
                            <wps:cNvCnPr/>
                            <wps:spPr>
                              <a:xfrm>
                                <a:off x="0" y="0"/>
                                <a:ext cx="295275"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36" o:spid="_x0000_s1026" type="#_x0000_t32" style="position:absolute;margin-left:422.8pt;margin-top:299.95pt;width:23.2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" strokecolor="#5b9bd5" strokeweight=".5pt">
                      <v:stroke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701248" behindDoc="0" locked="0" layoutInCell="1" allowOverlap="1" wp14:anchorId="23116444" wp14:editId="6D403F25">
                      <wp:simplePos x="0" y="0"/>
                      <wp:positionH relativeFrom="column">
                        <wp:posOffset>5373039</wp:posOffset>
                      </wp:positionH>
                      <wp:positionV relativeFrom="paragraph">
                        <wp:posOffset>3066390</wp:posOffset>
                      </wp:positionV>
                      <wp:extent cx="295275" cy="0"/>
                      <wp:effectExtent l="0" t="76200" r="9525" b="95250"/>
                      <wp:wrapNone/>
                      <wp:docPr id="37" name="Straight Arrow Connector 37"/>
                      <wp:cNvGraphicFramePr/>
                      <a:graphic xmlns:a="http://schemas.openxmlformats.org/drawingml/2006/main">
                        <a:graphicData uri="http://schemas.microsoft.com/office/word/2010/wordprocessingShape">
                          <wps:wsp>
                            <wps:cNvCnPr/>
                            <wps:spPr>
                              <a:xfrm>
                                <a:off x="0" y="0"/>
                                <a:ext cx="29527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423.05pt;margin-top:241.45pt;width:23.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" strokecolor="#5b9bd5" strokeweight=".5pt">
                      <v:stroke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93056" behindDoc="0" locked="0" layoutInCell="1" allowOverlap="1" wp14:anchorId="54C3625B" wp14:editId="66A116E5">
                      <wp:simplePos x="0" y="0"/>
                      <wp:positionH relativeFrom="column">
                        <wp:posOffset>1735531</wp:posOffset>
                      </wp:positionH>
                      <wp:positionV relativeFrom="paragraph">
                        <wp:posOffset>3090011</wp:posOffset>
                      </wp:positionV>
                      <wp:extent cx="295275" cy="0"/>
                      <wp:effectExtent l="0" t="76200" r="9525" b="95250"/>
                      <wp:wrapNone/>
                      <wp:docPr id="7" name="Straight Arrow Connector 7"/>
                      <wp:cNvGraphicFramePr/>
                      <a:graphic xmlns:a="http://schemas.openxmlformats.org/drawingml/2006/main">
                        <a:graphicData uri="http://schemas.microsoft.com/office/word/2010/wordprocessingShape">
                          <wps:wsp>
                            <wps:cNvCnPr/>
                            <wps:spPr>
                              <a:xfrm>
                                <a:off x="0" y="0"/>
                                <a:ext cx="295275"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7" o:spid="_x0000_s1026" type="#_x0000_t32" style="position:absolute;margin-left:136.65pt;margin-top:243.3pt;width:23.2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" strokecolor="#5b9bd5" strokeweight=".5pt">
                      <v:stroke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703296" behindDoc="0" locked="0" layoutInCell="1" allowOverlap="1" wp14:anchorId="4CF8473A" wp14:editId="6BD15575">
                      <wp:simplePos x="0" y="0"/>
                      <wp:positionH relativeFrom="column">
                        <wp:posOffset>3532581</wp:posOffset>
                      </wp:positionH>
                      <wp:positionV relativeFrom="paragraph">
                        <wp:posOffset>3753866</wp:posOffset>
                      </wp:positionV>
                      <wp:extent cx="295275" cy="0"/>
                      <wp:effectExtent l="0" t="76200" r="9525" b="95250"/>
                      <wp:wrapNone/>
                      <wp:docPr id="48" name="Straight Arrow Connector 48"/>
                      <wp:cNvGraphicFramePr/>
                      <a:graphic xmlns:a="http://schemas.openxmlformats.org/drawingml/2006/main">
                        <a:graphicData uri="http://schemas.microsoft.com/office/word/2010/wordprocessingShape">
                          <wps:wsp>
                            <wps:cNvCnPr/>
                            <wps:spPr>
                              <a:xfrm>
                                <a:off x="0" y="0"/>
                                <a:ext cx="295275"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48" o:spid="_x0000_s1026" type="#_x0000_t32" style="position:absolute;margin-left:278.15pt;margin-top:295.6pt;width:23.2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" strokecolor="#5b9bd5" strokeweight=".5pt">
                      <v:stroke endarrow="block" joinstyle="miter"/>
                    </v:shap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95104" behindDoc="0" locked="0" layoutInCell="1" allowOverlap="1" wp14:anchorId="58C85E17" wp14:editId="19CE8A79">
                      <wp:simplePos x="0" y="0"/>
                      <wp:positionH relativeFrom="column">
                        <wp:posOffset>3535426</wp:posOffset>
                      </wp:positionH>
                      <wp:positionV relativeFrom="paragraph">
                        <wp:posOffset>2575738</wp:posOffset>
                      </wp:positionV>
                      <wp:extent cx="0" cy="118110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11811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4pt,202.8pt" to="278.4pt,2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" strokecolor="#5b9bd5" strokeweight=".5pt">
                      <v:stroke joinstyle="miter"/>
                    </v:line>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79744" behindDoc="0" locked="0" layoutInCell="1" allowOverlap="1" wp14:anchorId="23A30FF0" wp14:editId="41A724B5">
                      <wp:simplePos x="0" y="0"/>
                      <wp:positionH relativeFrom="column">
                        <wp:posOffset>1741551</wp:posOffset>
                      </wp:positionH>
                      <wp:positionV relativeFrom="paragraph">
                        <wp:posOffset>2307310</wp:posOffset>
                      </wp:positionV>
                      <wp:extent cx="1714500" cy="431597"/>
                      <wp:effectExtent l="0" t="0" r="19050" b="26035"/>
                      <wp:wrapNone/>
                      <wp:docPr id="24" name="Oval 24"/>
                      <wp:cNvGraphicFramePr/>
                      <a:graphic xmlns:a="http://schemas.openxmlformats.org/drawingml/2006/main">
                        <a:graphicData uri="http://schemas.microsoft.com/office/word/2010/wordprocessingShape">
                          <wps:wsp>
                            <wps:cNvSpPr/>
                            <wps:spPr>
                              <a:xfrm>
                                <a:off x="0" y="0"/>
                                <a:ext cx="1714500" cy="431597"/>
                              </a:xfrm>
                              <a:prstGeom prst="ellipse">
                                <a:avLst/>
                              </a:prstGeom>
                              <a:solidFill>
                                <a:sysClr val="window" lastClr="FFFFFF"/>
                              </a:solidFill>
                              <a:ln w="12700" cap="flat" cmpd="sng" algn="ctr">
                                <a:solidFill>
                                  <a:srgbClr val="5B9BD5">
                                    <a:shade val="50000"/>
                                  </a:srgbClr>
                                </a:solidFill>
                                <a:prstDash val="solid"/>
                                <a:miter lim="800000"/>
                              </a:ln>
                              <a:effectLst/>
                            </wps:spPr>
                            <wps:txbx>
                              <w:txbxContent>
                                <w:p w14:paraId="77002825" w14:textId="77777777" w:rsidR="00610897" w:rsidRPr="003074A6" w:rsidRDefault="00610897" w:rsidP="00610897">
                                  <w:pPr>
                                    <w:jc w:val="center"/>
                                    <w:rPr>
                                      <w:sz w:val="16"/>
                                      <w:szCs w:val="16"/>
                                    </w:rPr>
                                  </w:pPr>
                                  <w:r w:rsidRPr="003074A6">
                                    <w:rPr>
                                      <w:sz w:val="16"/>
                                      <w:szCs w:val="16"/>
                                    </w:rPr>
                                    <w:t xml:space="preserve">Type of content analysis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 o:spid="_x0000_s1048" style="position:absolute;margin-left:137.15pt;margin-top:181.7pt;width:135pt;height: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" fillcolor="window" strokecolor="#41719c" strokeweight="1pt">
                      <v:stroke joinstyle="miter"/>
                      <v:textbox>
                        <w:txbxContent>
                          <w:p w14:paraId="77002825" w14:textId="77777777" w:rsidR="00610897" w:rsidRPr="003074A6" w:rsidRDefault="00610897" w:rsidP="00610897">
                            <w:pPr>
                              <w:jc w:val="center"/>
                              <w:rPr>
                                <w:sz w:val="16"/>
                                <w:szCs w:val="16"/>
                              </w:rPr>
                            </w:pPr>
                            <w:r w:rsidRPr="003074A6">
                              <w:rPr>
                                <w:sz w:val="16"/>
                                <w:szCs w:val="16"/>
                              </w:rPr>
                              <w:t xml:space="preserve">Type of content analysis </w:t>
                            </w:r>
                          </w:p>
                        </w:txbxContent>
                      </v:textbox>
                    </v:oval>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78720" behindDoc="0" locked="0" layoutInCell="1" allowOverlap="1" wp14:anchorId="44380846" wp14:editId="34A23B13">
                      <wp:simplePos x="0" y="0"/>
                      <wp:positionH relativeFrom="column">
                        <wp:posOffset>3532937</wp:posOffset>
                      </wp:positionH>
                      <wp:positionV relativeFrom="paragraph">
                        <wp:posOffset>2337079</wp:posOffset>
                      </wp:positionV>
                      <wp:extent cx="1494790" cy="409575"/>
                      <wp:effectExtent l="0" t="0" r="10160" b="28575"/>
                      <wp:wrapNone/>
                      <wp:docPr id="23" name="Oval 23"/>
                      <wp:cNvGraphicFramePr/>
                      <a:graphic xmlns:a="http://schemas.openxmlformats.org/drawingml/2006/main">
                        <a:graphicData uri="http://schemas.microsoft.com/office/word/2010/wordprocessingShape">
                          <wps:wsp>
                            <wps:cNvSpPr/>
                            <wps:spPr>
                              <a:xfrm>
                                <a:off x="0" y="0"/>
                                <a:ext cx="1494790" cy="409575"/>
                              </a:xfrm>
                              <a:prstGeom prst="ellipse">
                                <a:avLst/>
                              </a:prstGeom>
                              <a:solidFill>
                                <a:sysClr val="window" lastClr="FFFFFF"/>
                              </a:solidFill>
                              <a:ln w="12700" cap="flat" cmpd="sng" algn="ctr">
                                <a:solidFill>
                                  <a:srgbClr val="5B9BD5">
                                    <a:shade val="50000"/>
                                  </a:srgbClr>
                                </a:solidFill>
                                <a:prstDash val="solid"/>
                                <a:miter lim="800000"/>
                              </a:ln>
                              <a:effectLst/>
                            </wps:spPr>
                            <wps:txbx>
                              <w:txbxContent>
                                <w:p w14:paraId="13E9AC9C" w14:textId="77777777" w:rsidR="00610897" w:rsidRPr="003074A6" w:rsidRDefault="00610897" w:rsidP="00610897">
                                  <w:pPr>
                                    <w:jc w:val="center"/>
                                    <w:rPr>
                                      <w:sz w:val="16"/>
                                      <w:szCs w:val="16"/>
                                    </w:rPr>
                                  </w:pPr>
                                  <w:r w:rsidRPr="003074A6">
                                    <w:rPr>
                                      <w:sz w:val="16"/>
                                      <w:szCs w:val="16"/>
                                    </w:rPr>
                                    <w:t>Type of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 o:spid="_x0000_s1049" style="position:absolute;margin-left:278.2pt;margin-top:184pt;width:117.7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" fillcolor="window" strokecolor="#41719c" strokeweight="1pt">
                      <v:stroke joinstyle="miter"/>
                      <v:textbox>
                        <w:txbxContent>
                          <w:p w14:paraId="13E9AC9C" w14:textId="77777777" w:rsidR="00610897" w:rsidRPr="003074A6" w:rsidRDefault="00610897" w:rsidP="00610897">
                            <w:pPr>
                              <w:jc w:val="center"/>
                              <w:rPr>
                                <w:sz w:val="16"/>
                                <w:szCs w:val="16"/>
                              </w:rPr>
                            </w:pPr>
                            <w:r w:rsidRPr="003074A6">
                              <w:rPr>
                                <w:sz w:val="16"/>
                                <w:szCs w:val="16"/>
                              </w:rPr>
                              <w:t>Type of analysis</w:t>
                            </w:r>
                          </w:p>
                        </w:txbxContent>
                      </v:textbox>
                    </v:oval>
                  </w:pict>
                </mc:Fallback>
              </mc:AlternateContent>
            </w:r>
            <w:r w:rsidRPr="00610897">
              <w:rPr>
                <w:rFonts w:eastAsia="Calibri"/>
                <w:noProof/>
                <w:color w:val="000000"/>
                <w:sz w:val="16"/>
                <w:szCs w:val="16"/>
                <w:lang w:eastAsia="en-GB"/>
              </w:rPr>
              <mc:AlternateContent>
                <mc:Choice Requires="wps">
                  <w:drawing>
                    <wp:anchor distT="0" distB="0" distL="114300" distR="114300" simplePos="0" relativeHeight="251672576" behindDoc="0" locked="0" layoutInCell="1" allowOverlap="1" wp14:anchorId="4EC112FB" wp14:editId="6002012C">
                      <wp:simplePos x="0" y="0"/>
                      <wp:positionH relativeFrom="column">
                        <wp:posOffset>-46761</wp:posOffset>
                      </wp:positionH>
                      <wp:positionV relativeFrom="paragraph">
                        <wp:posOffset>2297430</wp:posOffset>
                      </wp:positionV>
                      <wp:extent cx="1720850" cy="438150"/>
                      <wp:effectExtent l="0" t="0" r="12700" b="19050"/>
                      <wp:wrapNone/>
                      <wp:docPr id="18" name="Oval 18"/>
                      <wp:cNvGraphicFramePr/>
                      <a:graphic xmlns:a="http://schemas.openxmlformats.org/drawingml/2006/main">
                        <a:graphicData uri="http://schemas.microsoft.com/office/word/2010/wordprocessingShape">
                          <wps:wsp>
                            <wps:cNvSpPr/>
                            <wps:spPr>
                              <a:xfrm>
                                <a:off x="0" y="0"/>
                                <a:ext cx="1720850" cy="438150"/>
                              </a:xfrm>
                              <a:prstGeom prst="ellipse">
                                <a:avLst/>
                              </a:prstGeom>
                              <a:solidFill>
                                <a:sysClr val="window" lastClr="FFFFFF"/>
                              </a:solidFill>
                              <a:ln w="12700" cap="flat" cmpd="sng" algn="ctr">
                                <a:solidFill>
                                  <a:srgbClr val="5B9BD5">
                                    <a:shade val="50000"/>
                                  </a:srgbClr>
                                </a:solidFill>
                                <a:prstDash val="solid"/>
                                <a:miter lim="800000"/>
                              </a:ln>
                              <a:effectLst/>
                            </wps:spPr>
                            <wps:txbx>
                              <w:txbxContent>
                                <w:p w14:paraId="4FEF8D11" w14:textId="77777777" w:rsidR="00610897" w:rsidRPr="003074A6" w:rsidRDefault="00610897" w:rsidP="00610897">
                                  <w:pPr>
                                    <w:jc w:val="center"/>
                                    <w:rPr>
                                      <w:sz w:val="16"/>
                                      <w:szCs w:val="16"/>
                                    </w:rPr>
                                  </w:pPr>
                                  <w:r w:rsidRPr="003074A6">
                                    <w:rPr>
                                      <w:sz w:val="16"/>
                                      <w:szCs w:val="16"/>
                                    </w:rPr>
                                    <w:t>Type of disclosure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50" style="position:absolute;margin-left:-3.7pt;margin-top:180.9pt;width:135.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" fillcolor="window" strokecolor="#41719c" strokeweight="1pt">
                      <v:stroke joinstyle="miter"/>
                      <v:textbox>
                        <w:txbxContent>
                          <w:p w14:paraId="4FEF8D11" w14:textId="77777777" w:rsidR="00610897" w:rsidRPr="003074A6" w:rsidRDefault="00610897" w:rsidP="00610897">
                            <w:pPr>
                              <w:jc w:val="center"/>
                              <w:rPr>
                                <w:sz w:val="16"/>
                                <w:szCs w:val="16"/>
                              </w:rPr>
                            </w:pPr>
                            <w:r w:rsidRPr="003074A6">
                              <w:rPr>
                                <w:sz w:val="16"/>
                                <w:szCs w:val="16"/>
                              </w:rPr>
                              <w:t>Type of disclosure</w:t>
                            </w:r>
                          </w:p>
                        </w:txbxContent>
                      </v:textbox>
                    </v:oval>
                  </w:pict>
                </mc:Fallback>
              </mc:AlternateContent>
            </w:r>
          </w:p>
        </w:tc>
      </w:tr>
    </w:tbl>
    <w:p w14:paraId="6AE892A1" w14:textId="77777777" w:rsidR="00610897" w:rsidRPr="00610897" w:rsidRDefault="00610897" w:rsidP="00610897">
      <w:pPr>
        <w:spacing w:after="0"/>
        <w:rPr>
          <w:rFonts w:eastAsia="Calibri"/>
          <w:color w:val="000000"/>
          <w:kern w:val="0"/>
          <w:sz w:val="16"/>
          <w:szCs w:val="16"/>
        </w:rPr>
      </w:pPr>
    </w:p>
    <w:p w14:paraId="774E07B2" w14:textId="77777777" w:rsidR="00610897" w:rsidRPr="00610897" w:rsidRDefault="00610897" w:rsidP="00610897">
      <w:pPr>
        <w:spacing w:after="0"/>
        <w:rPr>
          <w:rFonts w:eastAsia="Calibri"/>
          <w:b/>
          <w:color w:val="000000"/>
          <w:kern w:val="0"/>
          <w:sz w:val="16"/>
          <w:szCs w:val="16"/>
        </w:rPr>
      </w:pPr>
      <w:r w:rsidRPr="00610897">
        <w:rPr>
          <w:rFonts w:eastAsia="Calibri"/>
          <w:b/>
          <w:color w:val="000000"/>
          <w:kern w:val="0"/>
          <w:sz w:val="16"/>
          <w:szCs w:val="16"/>
        </w:rPr>
        <w:t xml:space="preserve">Fig.1. </w:t>
      </w:r>
      <w:r w:rsidRPr="00610897">
        <w:rPr>
          <w:rFonts w:eastAsia="Calibri"/>
          <w:color w:val="000000"/>
          <w:kern w:val="0"/>
          <w:sz w:val="16"/>
          <w:szCs w:val="16"/>
        </w:rPr>
        <w:t>Criteria for selection of reviewed papers, main themes, and areas of divergence</w:t>
      </w:r>
    </w:p>
    <w:p w14:paraId="078A365F" w14:textId="77777777" w:rsidR="00610897" w:rsidRPr="00610897" w:rsidRDefault="00610897" w:rsidP="00610897">
      <w:pPr>
        <w:tabs>
          <w:tab w:val="left" w:pos="3722"/>
        </w:tabs>
        <w:rPr>
          <w:rFonts w:eastAsia="Calibri"/>
          <w:color w:val="000000"/>
          <w:kern w:val="0"/>
          <w:sz w:val="16"/>
          <w:szCs w:val="16"/>
        </w:rPr>
      </w:pPr>
      <w:r w:rsidRPr="00610897">
        <w:rPr>
          <w:rFonts w:eastAsia="Calibri"/>
          <w:color w:val="000000"/>
          <w:kern w:val="0"/>
          <w:sz w:val="16"/>
          <w:szCs w:val="16"/>
        </w:rPr>
        <w:tab/>
      </w:r>
    </w:p>
    <w:p w14:paraId="5C5493FB" w14:textId="77777777" w:rsidR="00610897" w:rsidRPr="00610897" w:rsidRDefault="00610897" w:rsidP="00610897">
      <w:pPr>
        <w:tabs>
          <w:tab w:val="left" w:pos="3722"/>
        </w:tabs>
        <w:rPr>
          <w:rFonts w:eastAsia="Calibri"/>
          <w:color w:val="000000"/>
          <w:kern w:val="0"/>
          <w:sz w:val="16"/>
          <w:szCs w:val="16"/>
        </w:rPr>
        <w:sectPr w:rsidR="00610897" w:rsidRPr="00610897" w:rsidSect="00610897">
          <w:pgSz w:w="11906" w:h="16838"/>
          <w:pgMar w:top="1440" w:right="1440" w:bottom="1440" w:left="1440" w:header="709" w:footer="709" w:gutter="0"/>
          <w:pgNumType w:start="48"/>
          <w:cols w:space="708"/>
          <w:docGrid w:linePitch="360"/>
        </w:sectPr>
      </w:pPr>
      <w:r w:rsidRPr="00610897">
        <w:rPr>
          <w:rFonts w:eastAsia="Calibri"/>
          <w:color w:val="000000"/>
          <w:kern w:val="0"/>
          <w:sz w:val="16"/>
          <w:szCs w:val="16"/>
        </w:rPr>
        <w:tab/>
      </w:r>
    </w:p>
    <w:tbl>
      <w:tblPr>
        <w:tblStyle w:val="TableGrid2"/>
        <w:tblpPr w:leftFromText="180" w:rightFromText="180" w:vertAnchor="text" w:horzAnchor="margin" w:tblpXSpec="center" w:tblpY="1"/>
        <w:tblW w:w="16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134"/>
        <w:gridCol w:w="1134"/>
        <w:gridCol w:w="4771"/>
        <w:gridCol w:w="975"/>
        <w:gridCol w:w="6"/>
        <w:gridCol w:w="994"/>
        <w:gridCol w:w="1002"/>
        <w:gridCol w:w="841"/>
        <w:gridCol w:w="995"/>
        <w:gridCol w:w="853"/>
        <w:gridCol w:w="709"/>
        <w:gridCol w:w="909"/>
        <w:gridCol w:w="938"/>
      </w:tblGrid>
      <w:tr w:rsidR="00610897" w:rsidRPr="00610897" w14:paraId="1E21B9C4" w14:textId="77777777" w:rsidTr="002441E4">
        <w:trPr>
          <w:trHeight w:val="393"/>
        </w:trPr>
        <w:tc>
          <w:tcPr>
            <w:tcW w:w="16254" w:type="dxa"/>
            <w:gridSpan w:val="14"/>
            <w:tcBorders>
              <w:top w:val="single" w:sz="4" w:space="0" w:color="auto"/>
              <w:bottom w:val="single" w:sz="4" w:space="0" w:color="auto"/>
            </w:tcBorders>
          </w:tcPr>
          <w:p w14:paraId="33BDEA3D" w14:textId="77777777" w:rsidR="00610897" w:rsidRPr="00610897" w:rsidRDefault="00610897" w:rsidP="00610897">
            <w:pPr>
              <w:jc w:val="both"/>
              <w:rPr>
                <w:rFonts w:ascii="Garamond" w:eastAsia="Calibri" w:hAnsi="Garamond"/>
                <w:b/>
                <w:bCs/>
                <w:color w:val="000000"/>
                <w:sz w:val="16"/>
                <w:szCs w:val="16"/>
              </w:rPr>
            </w:pPr>
            <w:r w:rsidRPr="00610897">
              <w:rPr>
                <w:rFonts w:ascii="Garamond" w:eastAsia="Calibri" w:hAnsi="Garamond"/>
                <w:b/>
                <w:bCs/>
                <w:color w:val="000000"/>
                <w:sz w:val="16"/>
                <w:szCs w:val="16"/>
              </w:rPr>
              <w:lastRenderedPageBreak/>
              <w:t>Appendix 1</w:t>
            </w:r>
          </w:p>
          <w:p w14:paraId="17CFE8C6" w14:textId="77777777" w:rsidR="00610897" w:rsidRPr="00610897" w:rsidRDefault="00610897" w:rsidP="00610897">
            <w:pPr>
              <w:rPr>
                <w:rFonts w:ascii="Garamond" w:eastAsia="Calibri" w:hAnsi="Garamond"/>
                <w:bCs/>
                <w:color w:val="000000"/>
                <w:sz w:val="16"/>
                <w:szCs w:val="16"/>
              </w:rPr>
            </w:pPr>
            <w:r w:rsidRPr="00610897">
              <w:rPr>
                <w:rFonts w:ascii="Garamond" w:eastAsia="Calibri" w:hAnsi="Garamond"/>
                <w:bCs/>
                <w:color w:val="000000"/>
                <w:sz w:val="16"/>
                <w:szCs w:val="16"/>
              </w:rPr>
              <w:t>Summary of other empirical risk reporting papers, presented in chronological order, that have been mentioned in our discussion in Section 5 rather than in the main review as they do not comply with the criteria mentioned in Section 1</w:t>
            </w:r>
          </w:p>
        </w:tc>
      </w:tr>
      <w:tr w:rsidR="00610897" w:rsidRPr="00610897" w14:paraId="4ED41CBE" w14:textId="77777777" w:rsidTr="002441E4">
        <w:trPr>
          <w:trHeight w:val="294"/>
        </w:trPr>
        <w:tc>
          <w:tcPr>
            <w:tcW w:w="16254" w:type="dxa"/>
            <w:gridSpan w:val="14"/>
            <w:tcBorders>
              <w:top w:val="single" w:sz="4" w:space="0" w:color="auto"/>
              <w:bottom w:val="single" w:sz="4" w:space="0" w:color="auto"/>
            </w:tcBorders>
          </w:tcPr>
          <w:p w14:paraId="0EE052C6" w14:textId="77777777" w:rsidR="00610897" w:rsidRPr="00610897" w:rsidRDefault="00610897" w:rsidP="00610897">
            <w:pPr>
              <w:jc w:val="both"/>
              <w:rPr>
                <w:rFonts w:ascii="Garamond" w:eastAsia="Calibri" w:hAnsi="Garamond"/>
                <w:b/>
                <w:bCs/>
                <w:color w:val="000000"/>
                <w:sz w:val="16"/>
                <w:szCs w:val="16"/>
              </w:rPr>
            </w:pPr>
            <w:r w:rsidRPr="00610897">
              <w:rPr>
                <w:rFonts w:ascii="Garamond" w:eastAsia="Calibri" w:hAnsi="Garamond"/>
                <w:b/>
                <w:color w:val="000000"/>
                <w:sz w:val="16"/>
                <w:szCs w:val="16"/>
              </w:rPr>
              <w:t>Panel A</w:t>
            </w:r>
            <w:r w:rsidRPr="00610897">
              <w:rPr>
                <w:rFonts w:ascii="Garamond" w:eastAsia="Calibri" w:hAnsi="Garamond"/>
                <w:color w:val="000000"/>
                <w:sz w:val="16"/>
                <w:szCs w:val="16"/>
              </w:rPr>
              <w:t xml:space="preserve">: </w:t>
            </w:r>
            <w:r w:rsidRPr="00610897">
              <w:rPr>
                <w:rFonts w:ascii="Garamond" w:eastAsia="Calibri" w:hAnsi="Garamond"/>
                <w:b/>
                <w:color w:val="000000"/>
                <w:sz w:val="16"/>
                <w:szCs w:val="16"/>
              </w:rPr>
              <w:t>papers on risk reporting incentives</w:t>
            </w:r>
          </w:p>
        </w:tc>
      </w:tr>
      <w:tr w:rsidR="00610897" w:rsidRPr="00610897" w14:paraId="50CE030F" w14:textId="77777777" w:rsidTr="002441E4">
        <w:trPr>
          <w:trHeight w:val="232"/>
        </w:trPr>
        <w:tc>
          <w:tcPr>
            <w:tcW w:w="993" w:type="dxa"/>
            <w:vMerge w:val="restart"/>
            <w:tcBorders>
              <w:top w:val="single" w:sz="4" w:space="0" w:color="auto"/>
            </w:tcBorders>
          </w:tcPr>
          <w:p w14:paraId="3A5F824F"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Study name (year)</w:t>
            </w:r>
          </w:p>
        </w:tc>
        <w:tc>
          <w:tcPr>
            <w:tcW w:w="1134" w:type="dxa"/>
            <w:vMerge w:val="restart"/>
            <w:tcBorders>
              <w:top w:val="single" w:sz="4" w:space="0" w:color="auto"/>
            </w:tcBorders>
          </w:tcPr>
          <w:p w14:paraId="7D16F00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Jurisdiction</w:t>
            </w:r>
          </w:p>
        </w:tc>
        <w:tc>
          <w:tcPr>
            <w:tcW w:w="1134" w:type="dxa"/>
            <w:vMerge w:val="restart"/>
            <w:tcBorders>
              <w:top w:val="single" w:sz="4" w:space="0" w:color="auto"/>
            </w:tcBorders>
          </w:tcPr>
          <w:p w14:paraId="7402585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Sample</w:t>
            </w:r>
          </w:p>
        </w:tc>
        <w:tc>
          <w:tcPr>
            <w:tcW w:w="4771" w:type="dxa"/>
            <w:vMerge w:val="restart"/>
            <w:tcBorders>
              <w:top w:val="single" w:sz="4" w:space="0" w:color="auto"/>
            </w:tcBorders>
          </w:tcPr>
          <w:p w14:paraId="1904C752"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Findings</w:t>
            </w:r>
          </w:p>
        </w:tc>
        <w:tc>
          <w:tcPr>
            <w:tcW w:w="8222" w:type="dxa"/>
            <w:gridSpan w:val="10"/>
            <w:tcBorders>
              <w:top w:val="single" w:sz="4" w:space="0" w:color="auto"/>
              <w:bottom w:val="single" w:sz="4" w:space="0" w:color="auto"/>
            </w:tcBorders>
          </w:tcPr>
          <w:p w14:paraId="675F5F0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Areas of divergence</w:t>
            </w:r>
          </w:p>
        </w:tc>
      </w:tr>
      <w:tr w:rsidR="00610897" w:rsidRPr="00610897" w14:paraId="52F1D97F" w14:textId="77777777" w:rsidTr="002441E4">
        <w:trPr>
          <w:trHeight w:val="195"/>
        </w:trPr>
        <w:tc>
          <w:tcPr>
            <w:tcW w:w="993" w:type="dxa"/>
            <w:vMerge/>
            <w:tcBorders>
              <w:top w:val="single" w:sz="4" w:space="0" w:color="auto"/>
            </w:tcBorders>
          </w:tcPr>
          <w:p w14:paraId="0A583D08" w14:textId="77777777" w:rsidR="00610897" w:rsidRPr="00610897" w:rsidRDefault="00610897" w:rsidP="00610897">
            <w:pPr>
              <w:jc w:val="both"/>
              <w:rPr>
                <w:rFonts w:ascii="Garamond" w:eastAsia="Calibri" w:hAnsi="Garamond"/>
                <w:color w:val="000000"/>
                <w:sz w:val="16"/>
                <w:szCs w:val="16"/>
              </w:rPr>
            </w:pPr>
          </w:p>
        </w:tc>
        <w:tc>
          <w:tcPr>
            <w:tcW w:w="1134" w:type="dxa"/>
            <w:vMerge/>
            <w:tcBorders>
              <w:top w:val="single" w:sz="4" w:space="0" w:color="auto"/>
            </w:tcBorders>
          </w:tcPr>
          <w:p w14:paraId="762A0291" w14:textId="77777777" w:rsidR="00610897" w:rsidRPr="00610897" w:rsidRDefault="00610897" w:rsidP="00610897">
            <w:pPr>
              <w:jc w:val="both"/>
              <w:rPr>
                <w:rFonts w:ascii="Garamond" w:eastAsia="Calibri" w:hAnsi="Garamond"/>
                <w:color w:val="000000"/>
                <w:sz w:val="16"/>
                <w:szCs w:val="16"/>
              </w:rPr>
            </w:pPr>
          </w:p>
        </w:tc>
        <w:tc>
          <w:tcPr>
            <w:tcW w:w="1134" w:type="dxa"/>
            <w:vMerge/>
            <w:tcBorders>
              <w:top w:val="single" w:sz="4" w:space="0" w:color="auto"/>
            </w:tcBorders>
          </w:tcPr>
          <w:p w14:paraId="44B16A63" w14:textId="77777777" w:rsidR="00610897" w:rsidRPr="00610897" w:rsidRDefault="00610897" w:rsidP="00610897">
            <w:pPr>
              <w:jc w:val="both"/>
              <w:rPr>
                <w:rFonts w:ascii="Garamond" w:eastAsia="Calibri" w:hAnsi="Garamond"/>
                <w:color w:val="000000"/>
                <w:sz w:val="16"/>
                <w:szCs w:val="16"/>
              </w:rPr>
            </w:pPr>
          </w:p>
        </w:tc>
        <w:tc>
          <w:tcPr>
            <w:tcW w:w="4771" w:type="dxa"/>
            <w:vMerge/>
            <w:tcBorders>
              <w:top w:val="single" w:sz="4" w:space="0" w:color="auto"/>
            </w:tcBorders>
          </w:tcPr>
          <w:p w14:paraId="654B3F97" w14:textId="77777777" w:rsidR="00610897" w:rsidRPr="00610897" w:rsidRDefault="00610897" w:rsidP="00610897">
            <w:pPr>
              <w:jc w:val="both"/>
              <w:rPr>
                <w:rFonts w:ascii="Garamond" w:eastAsia="Calibri" w:hAnsi="Garamond"/>
                <w:color w:val="000000"/>
                <w:sz w:val="16"/>
                <w:szCs w:val="16"/>
              </w:rPr>
            </w:pPr>
          </w:p>
        </w:tc>
        <w:tc>
          <w:tcPr>
            <w:tcW w:w="8222" w:type="dxa"/>
            <w:gridSpan w:val="10"/>
            <w:tcBorders>
              <w:top w:val="single" w:sz="4" w:space="0" w:color="auto"/>
              <w:bottom w:val="single" w:sz="4" w:space="0" w:color="auto"/>
            </w:tcBorders>
          </w:tcPr>
          <w:p w14:paraId="12D365B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Method and context</w:t>
            </w:r>
          </w:p>
        </w:tc>
      </w:tr>
      <w:tr w:rsidR="00610897" w:rsidRPr="00610897" w14:paraId="796AE293" w14:textId="77777777" w:rsidTr="002441E4">
        <w:trPr>
          <w:trHeight w:val="290"/>
        </w:trPr>
        <w:tc>
          <w:tcPr>
            <w:tcW w:w="993" w:type="dxa"/>
            <w:vMerge/>
            <w:tcBorders>
              <w:top w:val="single" w:sz="4" w:space="0" w:color="auto"/>
            </w:tcBorders>
          </w:tcPr>
          <w:p w14:paraId="2331C9EF" w14:textId="77777777" w:rsidR="00610897" w:rsidRPr="00610897" w:rsidRDefault="00610897" w:rsidP="00610897">
            <w:pPr>
              <w:jc w:val="both"/>
              <w:rPr>
                <w:rFonts w:ascii="Garamond" w:eastAsia="Calibri" w:hAnsi="Garamond"/>
                <w:color w:val="000000"/>
                <w:sz w:val="16"/>
                <w:szCs w:val="16"/>
              </w:rPr>
            </w:pPr>
          </w:p>
        </w:tc>
        <w:tc>
          <w:tcPr>
            <w:tcW w:w="1134" w:type="dxa"/>
            <w:vMerge/>
            <w:tcBorders>
              <w:top w:val="single" w:sz="4" w:space="0" w:color="auto"/>
            </w:tcBorders>
          </w:tcPr>
          <w:p w14:paraId="481CA5C6" w14:textId="77777777" w:rsidR="00610897" w:rsidRPr="00610897" w:rsidRDefault="00610897" w:rsidP="00610897">
            <w:pPr>
              <w:jc w:val="both"/>
              <w:rPr>
                <w:rFonts w:ascii="Garamond" w:eastAsia="Calibri" w:hAnsi="Garamond"/>
                <w:color w:val="000000"/>
                <w:sz w:val="16"/>
                <w:szCs w:val="16"/>
              </w:rPr>
            </w:pPr>
          </w:p>
        </w:tc>
        <w:tc>
          <w:tcPr>
            <w:tcW w:w="1134" w:type="dxa"/>
            <w:vMerge/>
            <w:tcBorders>
              <w:top w:val="single" w:sz="4" w:space="0" w:color="auto"/>
            </w:tcBorders>
          </w:tcPr>
          <w:p w14:paraId="0E106F81" w14:textId="77777777" w:rsidR="00610897" w:rsidRPr="00610897" w:rsidRDefault="00610897" w:rsidP="00610897">
            <w:pPr>
              <w:jc w:val="both"/>
              <w:rPr>
                <w:rFonts w:ascii="Garamond" w:eastAsia="Calibri" w:hAnsi="Garamond"/>
                <w:color w:val="000000"/>
                <w:sz w:val="16"/>
                <w:szCs w:val="16"/>
              </w:rPr>
            </w:pPr>
          </w:p>
        </w:tc>
        <w:tc>
          <w:tcPr>
            <w:tcW w:w="4771" w:type="dxa"/>
            <w:vMerge/>
            <w:tcBorders>
              <w:top w:val="single" w:sz="4" w:space="0" w:color="auto"/>
            </w:tcBorders>
          </w:tcPr>
          <w:p w14:paraId="279261C9" w14:textId="77777777" w:rsidR="00610897" w:rsidRPr="00610897" w:rsidRDefault="00610897" w:rsidP="00610897">
            <w:pPr>
              <w:jc w:val="both"/>
              <w:rPr>
                <w:rFonts w:ascii="Garamond" w:eastAsia="Calibri" w:hAnsi="Garamond"/>
                <w:color w:val="000000"/>
                <w:sz w:val="16"/>
                <w:szCs w:val="16"/>
              </w:rPr>
            </w:pPr>
          </w:p>
        </w:tc>
        <w:tc>
          <w:tcPr>
            <w:tcW w:w="2977" w:type="dxa"/>
            <w:gridSpan w:val="4"/>
            <w:tcBorders>
              <w:top w:val="single" w:sz="4" w:space="0" w:color="auto"/>
              <w:bottom w:val="single" w:sz="4" w:space="0" w:color="auto"/>
            </w:tcBorders>
          </w:tcPr>
          <w:p w14:paraId="35BE1F2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Type of disclosure </w:t>
            </w:r>
          </w:p>
        </w:tc>
        <w:tc>
          <w:tcPr>
            <w:tcW w:w="1836" w:type="dxa"/>
            <w:gridSpan w:val="2"/>
            <w:tcBorders>
              <w:top w:val="single" w:sz="4" w:space="0" w:color="auto"/>
              <w:bottom w:val="single" w:sz="4" w:space="0" w:color="auto"/>
            </w:tcBorders>
          </w:tcPr>
          <w:p w14:paraId="59BE11C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Type of content analysis </w:t>
            </w:r>
          </w:p>
        </w:tc>
        <w:tc>
          <w:tcPr>
            <w:tcW w:w="1562" w:type="dxa"/>
            <w:gridSpan w:val="2"/>
            <w:tcBorders>
              <w:top w:val="single" w:sz="4" w:space="0" w:color="auto"/>
              <w:bottom w:val="single" w:sz="4" w:space="0" w:color="auto"/>
            </w:tcBorders>
          </w:tcPr>
          <w:p w14:paraId="6BBCEDB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Type of analysis</w:t>
            </w:r>
          </w:p>
        </w:tc>
        <w:tc>
          <w:tcPr>
            <w:tcW w:w="1847" w:type="dxa"/>
            <w:gridSpan w:val="2"/>
            <w:tcBorders>
              <w:top w:val="single" w:sz="4" w:space="0" w:color="auto"/>
              <w:bottom w:val="single" w:sz="4" w:space="0" w:color="auto"/>
            </w:tcBorders>
          </w:tcPr>
          <w:p w14:paraId="49F93B7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Type of sector </w:t>
            </w:r>
          </w:p>
        </w:tc>
      </w:tr>
      <w:tr w:rsidR="00610897" w:rsidRPr="00610897" w14:paraId="46A90CFD" w14:textId="77777777" w:rsidTr="002441E4">
        <w:trPr>
          <w:trHeight w:val="290"/>
        </w:trPr>
        <w:tc>
          <w:tcPr>
            <w:tcW w:w="993" w:type="dxa"/>
            <w:vMerge/>
            <w:tcBorders>
              <w:bottom w:val="single" w:sz="4" w:space="0" w:color="auto"/>
            </w:tcBorders>
          </w:tcPr>
          <w:p w14:paraId="148310E6" w14:textId="77777777" w:rsidR="00610897" w:rsidRPr="00610897" w:rsidRDefault="00610897" w:rsidP="00610897">
            <w:pPr>
              <w:jc w:val="both"/>
              <w:rPr>
                <w:rFonts w:ascii="Garamond" w:eastAsia="Calibri" w:hAnsi="Garamond"/>
                <w:color w:val="000000"/>
                <w:sz w:val="16"/>
                <w:szCs w:val="16"/>
              </w:rPr>
            </w:pPr>
          </w:p>
        </w:tc>
        <w:tc>
          <w:tcPr>
            <w:tcW w:w="1134" w:type="dxa"/>
            <w:vMerge/>
            <w:tcBorders>
              <w:bottom w:val="single" w:sz="4" w:space="0" w:color="auto"/>
            </w:tcBorders>
          </w:tcPr>
          <w:p w14:paraId="032C05D3" w14:textId="77777777" w:rsidR="00610897" w:rsidRPr="00610897" w:rsidRDefault="00610897" w:rsidP="00610897">
            <w:pPr>
              <w:jc w:val="both"/>
              <w:rPr>
                <w:rFonts w:ascii="Garamond" w:eastAsia="Calibri" w:hAnsi="Garamond"/>
                <w:color w:val="000000"/>
                <w:sz w:val="16"/>
                <w:szCs w:val="16"/>
              </w:rPr>
            </w:pPr>
          </w:p>
        </w:tc>
        <w:tc>
          <w:tcPr>
            <w:tcW w:w="1134" w:type="dxa"/>
            <w:vMerge/>
            <w:tcBorders>
              <w:bottom w:val="single" w:sz="4" w:space="0" w:color="auto"/>
            </w:tcBorders>
          </w:tcPr>
          <w:p w14:paraId="4AE820F4" w14:textId="77777777" w:rsidR="00610897" w:rsidRPr="00610897" w:rsidRDefault="00610897" w:rsidP="00610897">
            <w:pPr>
              <w:jc w:val="both"/>
              <w:rPr>
                <w:rFonts w:ascii="Garamond" w:eastAsia="Calibri" w:hAnsi="Garamond"/>
                <w:color w:val="000000"/>
                <w:sz w:val="16"/>
                <w:szCs w:val="16"/>
              </w:rPr>
            </w:pPr>
          </w:p>
        </w:tc>
        <w:tc>
          <w:tcPr>
            <w:tcW w:w="4771" w:type="dxa"/>
            <w:vMerge/>
            <w:tcBorders>
              <w:bottom w:val="single" w:sz="4" w:space="0" w:color="auto"/>
            </w:tcBorders>
          </w:tcPr>
          <w:p w14:paraId="46451E6A" w14:textId="77777777" w:rsidR="00610897" w:rsidRPr="00610897" w:rsidRDefault="00610897" w:rsidP="00610897">
            <w:pPr>
              <w:jc w:val="both"/>
              <w:rPr>
                <w:rFonts w:ascii="Garamond" w:eastAsia="Calibri" w:hAnsi="Garamond"/>
                <w:color w:val="000000"/>
                <w:sz w:val="16"/>
                <w:szCs w:val="16"/>
              </w:rPr>
            </w:pPr>
          </w:p>
        </w:tc>
        <w:tc>
          <w:tcPr>
            <w:tcW w:w="981" w:type="dxa"/>
            <w:gridSpan w:val="2"/>
            <w:tcBorders>
              <w:top w:val="single" w:sz="4" w:space="0" w:color="auto"/>
              <w:bottom w:val="single" w:sz="4" w:space="0" w:color="auto"/>
            </w:tcBorders>
          </w:tcPr>
          <w:p w14:paraId="64AC96F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Mandatory </w:t>
            </w:r>
          </w:p>
        </w:tc>
        <w:tc>
          <w:tcPr>
            <w:tcW w:w="994" w:type="dxa"/>
            <w:tcBorders>
              <w:top w:val="single" w:sz="4" w:space="0" w:color="auto"/>
              <w:bottom w:val="single" w:sz="4" w:space="0" w:color="auto"/>
            </w:tcBorders>
          </w:tcPr>
          <w:p w14:paraId="4C2815A9"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Voluntary</w:t>
            </w:r>
          </w:p>
        </w:tc>
        <w:tc>
          <w:tcPr>
            <w:tcW w:w="1002" w:type="dxa"/>
            <w:tcBorders>
              <w:top w:val="single" w:sz="4" w:space="0" w:color="auto"/>
              <w:bottom w:val="single" w:sz="4" w:space="0" w:color="auto"/>
            </w:tcBorders>
          </w:tcPr>
          <w:p w14:paraId="38D3DA5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Aggregate </w:t>
            </w:r>
          </w:p>
        </w:tc>
        <w:tc>
          <w:tcPr>
            <w:tcW w:w="841" w:type="dxa"/>
            <w:tcBorders>
              <w:top w:val="single" w:sz="4" w:space="0" w:color="auto"/>
              <w:bottom w:val="single" w:sz="4" w:space="0" w:color="auto"/>
            </w:tcBorders>
          </w:tcPr>
          <w:p w14:paraId="326D508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Manual </w:t>
            </w:r>
          </w:p>
        </w:tc>
        <w:tc>
          <w:tcPr>
            <w:tcW w:w="995" w:type="dxa"/>
            <w:tcBorders>
              <w:top w:val="single" w:sz="4" w:space="0" w:color="auto"/>
              <w:bottom w:val="single" w:sz="4" w:space="0" w:color="auto"/>
            </w:tcBorders>
          </w:tcPr>
          <w:p w14:paraId="26B6C84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Automated</w:t>
            </w:r>
          </w:p>
        </w:tc>
        <w:tc>
          <w:tcPr>
            <w:tcW w:w="853" w:type="dxa"/>
            <w:tcBorders>
              <w:top w:val="single" w:sz="4" w:space="0" w:color="auto"/>
              <w:bottom w:val="single" w:sz="4" w:space="0" w:color="auto"/>
            </w:tcBorders>
          </w:tcPr>
          <w:p w14:paraId="4D2DE39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Within-</w:t>
            </w:r>
          </w:p>
          <w:p w14:paraId="74821B7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Country </w:t>
            </w:r>
          </w:p>
        </w:tc>
        <w:tc>
          <w:tcPr>
            <w:tcW w:w="709" w:type="dxa"/>
            <w:tcBorders>
              <w:top w:val="single" w:sz="4" w:space="0" w:color="auto"/>
              <w:bottom w:val="single" w:sz="4" w:space="0" w:color="auto"/>
            </w:tcBorders>
          </w:tcPr>
          <w:p w14:paraId="3E64496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Cross-country</w:t>
            </w:r>
          </w:p>
        </w:tc>
        <w:tc>
          <w:tcPr>
            <w:tcW w:w="909" w:type="dxa"/>
            <w:tcBorders>
              <w:top w:val="single" w:sz="4" w:space="0" w:color="auto"/>
              <w:bottom w:val="single" w:sz="4" w:space="0" w:color="auto"/>
            </w:tcBorders>
          </w:tcPr>
          <w:p w14:paraId="2860852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Non-financial </w:t>
            </w:r>
          </w:p>
        </w:tc>
        <w:tc>
          <w:tcPr>
            <w:tcW w:w="938" w:type="dxa"/>
            <w:tcBorders>
              <w:top w:val="single" w:sz="4" w:space="0" w:color="auto"/>
              <w:bottom w:val="single" w:sz="4" w:space="0" w:color="auto"/>
            </w:tcBorders>
          </w:tcPr>
          <w:p w14:paraId="19E009E0"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Financial/</w:t>
            </w:r>
          </w:p>
          <w:p w14:paraId="42E7836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insurance </w:t>
            </w:r>
          </w:p>
        </w:tc>
      </w:tr>
      <w:tr w:rsidR="00610897" w:rsidRPr="00610897" w14:paraId="2C7E0EB7" w14:textId="77777777" w:rsidTr="002441E4">
        <w:trPr>
          <w:trHeight w:val="1149"/>
        </w:trPr>
        <w:tc>
          <w:tcPr>
            <w:tcW w:w="993" w:type="dxa"/>
          </w:tcPr>
          <w:p w14:paraId="5E642870" w14:textId="77777777" w:rsidR="00610897" w:rsidRPr="00610897" w:rsidRDefault="00610897" w:rsidP="00610897">
            <w:pPr>
              <w:rPr>
                <w:rFonts w:ascii="Garamond" w:eastAsia="Calibri" w:hAnsi="Garamond"/>
                <w:color w:val="000000"/>
                <w:sz w:val="16"/>
                <w:szCs w:val="16"/>
              </w:rPr>
            </w:pPr>
            <w:proofErr w:type="spellStart"/>
            <w:r w:rsidRPr="00610897">
              <w:rPr>
                <w:rFonts w:ascii="Garamond" w:eastAsia="Calibri" w:hAnsi="Garamond"/>
                <w:color w:val="000000"/>
                <w:sz w:val="16"/>
                <w:szCs w:val="16"/>
              </w:rPr>
              <w:t>Lajili</w:t>
            </w:r>
            <w:proofErr w:type="spellEnd"/>
            <w:r w:rsidRPr="00610897">
              <w:rPr>
                <w:rFonts w:ascii="Garamond" w:eastAsia="Calibri" w:hAnsi="Garamond"/>
                <w:color w:val="000000"/>
                <w:sz w:val="16"/>
                <w:szCs w:val="16"/>
              </w:rPr>
              <w:t xml:space="preserve"> and  </w:t>
            </w:r>
            <w:proofErr w:type="spellStart"/>
            <w:r w:rsidRPr="00610897">
              <w:rPr>
                <w:rFonts w:ascii="Garamond" w:eastAsia="Calibri" w:hAnsi="Garamond"/>
                <w:color w:val="000000"/>
                <w:sz w:val="16"/>
                <w:szCs w:val="16"/>
              </w:rPr>
              <w:t>Zéghal</w:t>
            </w:r>
            <w:proofErr w:type="spellEnd"/>
          </w:p>
          <w:p w14:paraId="43704B6C"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(2005)</w:t>
            </w:r>
          </w:p>
        </w:tc>
        <w:tc>
          <w:tcPr>
            <w:tcW w:w="1134" w:type="dxa"/>
          </w:tcPr>
          <w:p w14:paraId="460A35F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Canada</w:t>
            </w:r>
          </w:p>
        </w:tc>
        <w:tc>
          <w:tcPr>
            <w:tcW w:w="1134" w:type="dxa"/>
          </w:tcPr>
          <w:p w14:paraId="10C431E0"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300 firms from the year 1999</w:t>
            </w:r>
          </w:p>
        </w:tc>
        <w:tc>
          <w:tcPr>
            <w:tcW w:w="4771" w:type="dxa"/>
          </w:tcPr>
          <w:p w14:paraId="51BA1140"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This paper finds firms provide a high degree of mandatory and voluntary risk information. After analytically reviewing such information, the paper concludes that most of this information tends to lack uniformity, clarity, and quantification, suggesting a limited role for such disclosure. The paper concludes that more reforms are required to improve the quality of risk information, which could reduce information asymmetry. </w:t>
            </w:r>
          </w:p>
          <w:p w14:paraId="6A34AAE6" w14:textId="77777777" w:rsidR="00610897" w:rsidRPr="00610897" w:rsidRDefault="00610897" w:rsidP="00610897">
            <w:pPr>
              <w:jc w:val="both"/>
              <w:rPr>
                <w:rFonts w:ascii="Garamond" w:eastAsia="Calibri" w:hAnsi="Garamond"/>
                <w:color w:val="000000"/>
                <w:sz w:val="16"/>
                <w:szCs w:val="16"/>
              </w:rPr>
            </w:pPr>
          </w:p>
        </w:tc>
        <w:tc>
          <w:tcPr>
            <w:tcW w:w="981" w:type="dxa"/>
            <w:gridSpan w:val="2"/>
          </w:tcPr>
          <w:p w14:paraId="018D33EB"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94" w:type="dxa"/>
          </w:tcPr>
          <w:p w14:paraId="210D633D"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002" w:type="dxa"/>
          </w:tcPr>
          <w:p w14:paraId="19A4DCB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841" w:type="dxa"/>
          </w:tcPr>
          <w:p w14:paraId="64B4881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95" w:type="dxa"/>
          </w:tcPr>
          <w:p w14:paraId="7CD52172" w14:textId="77777777" w:rsidR="00610897" w:rsidRPr="00610897" w:rsidRDefault="00610897" w:rsidP="00610897">
            <w:pPr>
              <w:jc w:val="both"/>
              <w:rPr>
                <w:rFonts w:ascii="Garamond" w:eastAsia="Calibri" w:hAnsi="Garamond"/>
                <w:color w:val="000000"/>
                <w:sz w:val="16"/>
                <w:szCs w:val="16"/>
              </w:rPr>
            </w:pPr>
          </w:p>
        </w:tc>
        <w:tc>
          <w:tcPr>
            <w:tcW w:w="853" w:type="dxa"/>
          </w:tcPr>
          <w:p w14:paraId="17710129"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709" w:type="dxa"/>
          </w:tcPr>
          <w:p w14:paraId="65464734" w14:textId="77777777" w:rsidR="00610897" w:rsidRPr="00610897" w:rsidRDefault="00610897" w:rsidP="00610897">
            <w:pPr>
              <w:jc w:val="both"/>
              <w:rPr>
                <w:rFonts w:ascii="Garamond" w:eastAsia="Calibri" w:hAnsi="Garamond"/>
                <w:color w:val="000000"/>
                <w:sz w:val="16"/>
                <w:szCs w:val="16"/>
              </w:rPr>
            </w:pPr>
          </w:p>
        </w:tc>
        <w:tc>
          <w:tcPr>
            <w:tcW w:w="909" w:type="dxa"/>
          </w:tcPr>
          <w:p w14:paraId="5426706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38" w:type="dxa"/>
          </w:tcPr>
          <w:p w14:paraId="61B30971" w14:textId="77777777" w:rsidR="00610897" w:rsidRPr="00610897" w:rsidRDefault="00610897" w:rsidP="00610897">
            <w:pPr>
              <w:jc w:val="both"/>
              <w:rPr>
                <w:rFonts w:ascii="Garamond" w:eastAsia="Calibri" w:hAnsi="Garamond"/>
                <w:color w:val="000000"/>
                <w:sz w:val="16"/>
                <w:szCs w:val="16"/>
              </w:rPr>
            </w:pPr>
          </w:p>
        </w:tc>
      </w:tr>
      <w:tr w:rsidR="00610897" w:rsidRPr="00610897" w14:paraId="6B35D81E" w14:textId="77777777" w:rsidTr="002441E4">
        <w:trPr>
          <w:trHeight w:val="454"/>
        </w:trPr>
        <w:tc>
          <w:tcPr>
            <w:tcW w:w="993" w:type="dxa"/>
          </w:tcPr>
          <w:p w14:paraId="7B075413"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Hassan (2009)</w:t>
            </w:r>
          </w:p>
        </w:tc>
        <w:tc>
          <w:tcPr>
            <w:tcW w:w="1134" w:type="dxa"/>
          </w:tcPr>
          <w:p w14:paraId="633155AF"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United Arab Emirates </w:t>
            </w:r>
          </w:p>
          <w:p w14:paraId="76B1134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(UAE)</w:t>
            </w:r>
          </w:p>
        </w:tc>
        <w:tc>
          <w:tcPr>
            <w:tcW w:w="1134" w:type="dxa"/>
          </w:tcPr>
          <w:p w14:paraId="023DA2E7"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41 firms from the year 2005</w:t>
            </w:r>
          </w:p>
          <w:p w14:paraId="119F210F" w14:textId="77777777" w:rsidR="00610897" w:rsidRPr="00610897" w:rsidRDefault="00610897" w:rsidP="00610897">
            <w:pPr>
              <w:tabs>
                <w:tab w:val="left" w:pos="276"/>
                <w:tab w:val="left" w:pos="668"/>
              </w:tabs>
              <w:rPr>
                <w:rFonts w:ascii="Garamond" w:eastAsia="Calibri" w:hAnsi="Garamond"/>
                <w:color w:val="000000"/>
                <w:sz w:val="16"/>
                <w:szCs w:val="16"/>
              </w:rPr>
            </w:pPr>
          </w:p>
          <w:p w14:paraId="20C3E537" w14:textId="77777777" w:rsidR="00610897" w:rsidRPr="00610897" w:rsidRDefault="00610897" w:rsidP="00610897">
            <w:pPr>
              <w:tabs>
                <w:tab w:val="left" w:pos="276"/>
                <w:tab w:val="left" w:pos="668"/>
              </w:tabs>
              <w:rPr>
                <w:rFonts w:ascii="Garamond" w:eastAsia="Calibri" w:hAnsi="Garamond"/>
                <w:color w:val="000000"/>
                <w:sz w:val="16"/>
                <w:szCs w:val="16"/>
              </w:rPr>
            </w:pPr>
          </w:p>
        </w:tc>
        <w:tc>
          <w:tcPr>
            <w:tcW w:w="4771" w:type="dxa"/>
          </w:tcPr>
          <w:p w14:paraId="163D324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This paper finds that leverage and industry type significantly influence risk disclosure by UAE firms.</w:t>
            </w:r>
          </w:p>
        </w:tc>
        <w:tc>
          <w:tcPr>
            <w:tcW w:w="981" w:type="dxa"/>
            <w:gridSpan w:val="2"/>
          </w:tcPr>
          <w:p w14:paraId="44BE38E3" w14:textId="77777777" w:rsidR="00610897" w:rsidRPr="00610897" w:rsidRDefault="00610897" w:rsidP="00610897">
            <w:pPr>
              <w:jc w:val="both"/>
              <w:rPr>
                <w:rFonts w:ascii="Garamond" w:eastAsia="Calibri" w:hAnsi="Garamond"/>
                <w:color w:val="000000"/>
                <w:sz w:val="16"/>
                <w:szCs w:val="16"/>
              </w:rPr>
            </w:pPr>
          </w:p>
        </w:tc>
        <w:tc>
          <w:tcPr>
            <w:tcW w:w="994" w:type="dxa"/>
          </w:tcPr>
          <w:p w14:paraId="509942AB" w14:textId="77777777" w:rsidR="00610897" w:rsidRPr="00610897" w:rsidRDefault="00610897" w:rsidP="00610897">
            <w:pPr>
              <w:jc w:val="both"/>
              <w:rPr>
                <w:rFonts w:ascii="Garamond" w:eastAsia="Calibri" w:hAnsi="Garamond"/>
                <w:color w:val="000000"/>
                <w:sz w:val="16"/>
                <w:szCs w:val="16"/>
              </w:rPr>
            </w:pPr>
          </w:p>
        </w:tc>
        <w:tc>
          <w:tcPr>
            <w:tcW w:w="1002" w:type="dxa"/>
          </w:tcPr>
          <w:p w14:paraId="229F6AA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841" w:type="dxa"/>
          </w:tcPr>
          <w:p w14:paraId="58CC061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95" w:type="dxa"/>
          </w:tcPr>
          <w:p w14:paraId="2611EC95" w14:textId="77777777" w:rsidR="00610897" w:rsidRPr="00610897" w:rsidRDefault="00610897" w:rsidP="00610897">
            <w:pPr>
              <w:jc w:val="both"/>
              <w:rPr>
                <w:rFonts w:ascii="Garamond" w:eastAsia="Calibri" w:hAnsi="Garamond"/>
                <w:color w:val="000000"/>
                <w:sz w:val="16"/>
                <w:szCs w:val="16"/>
              </w:rPr>
            </w:pPr>
          </w:p>
        </w:tc>
        <w:tc>
          <w:tcPr>
            <w:tcW w:w="853" w:type="dxa"/>
          </w:tcPr>
          <w:p w14:paraId="18ADD64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709" w:type="dxa"/>
          </w:tcPr>
          <w:p w14:paraId="6001A2C7" w14:textId="77777777" w:rsidR="00610897" w:rsidRPr="00610897" w:rsidRDefault="00610897" w:rsidP="00610897">
            <w:pPr>
              <w:jc w:val="both"/>
              <w:rPr>
                <w:rFonts w:ascii="Garamond" w:eastAsia="Calibri" w:hAnsi="Garamond"/>
                <w:color w:val="000000"/>
                <w:sz w:val="16"/>
                <w:szCs w:val="16"/>
              </w:rPr>
            </w:pPr>
          </w:p>
        </w:tc>
        <w:tc>
          <w:tcPr>
            <w:tcW w:w="909" w:type="dxa"/>
          </w:tcPr>
          <w:p w14:paraId="39CE8F59"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38" w:type="dxa"/>
          </w:tcPr>
          <w:p w14:paraId="445E281E" w14:textId="77777777" w:rsidR="00610897" w:rsidRPr="00610897" w:rsidRDefault="00610897" w:rsidP="00610897">
            <w:pPr>
              <w:jc w:val="both"/>
              <w:rPr>
                <w:rFonts w:ascii="Garamond" w:eastAsia="Calibri" w:hAnsi="Garamond"/>
                <w:color w:val="000000"/>
                <w:sz w:val="16"/>
                <w:szCs w:val="16"/>
              </w:rPr>
            </w:pPr>
          </w:p>
        </w:tc>
      </w:tr>
      <w:tr w:rsidR="00610897" w:rsidRPr="00610897" w14:paraId="56424AD1" w14:textId="77777777" w:rsidTr="002441E4">
        <w:trPr>
          <w:trHeight w:val="1429"/>
        </w:trPr>
        <w:tc>
          <w:tcPr>
            <w:tcW w:w="993" w:type="dxa"/>
          </w:tcPr>
          <w:p w14:paraId="0BB0F335" w14:textId="77777777" w:rsidR="00610897" w:rsidRPr="00610897" w:rsidRDefault="00610897" w:rsidP="00610897">
            <w:pPr>
              <w:rPr>
                <w:rFonts w:ascii="Garamond" w:eastAsia="Calibri" w:hAnsi="Garamond"/>
                <w:color w:val="000000"/>
                <w:sz w:val="16"/>
                <w:szCs w:val="16"/>
              </w:rPr>
            </w:pPr>
            <w:proofErr w:type="spellStart"/>
            <w:r w:rsidRPr="00610897">
              <w:rPr>
                <w:rFonts w:ascii="Garamond" w:eastAsia="Calibri" w:hAnsi="Garamond"/>
                <w:color w:val="000000"/>
                <w:sz w:val="16"/>
                <w:szCs w:val="16"/>
              </w:rPr>
              <w:t>Dobler</w:t>
            </w:r>
            <w:proofErr w:type="spellEnd"/>
            <w:r w:rsidRPr="00610897">
              <w:rPr>
                <w:rFonts w:ascii="Garamond" w:eastAsia="Calibri" w:hAnsi="Garamond"/>
                <w:color w:val="000000"/>
                <w:sz w:val="16"/>
                <w:szCs w:val="16"/>
              </w:rPr>
              <w:t xml:space="preserve"> et al. (2011)</w:t>
            </w:r>
          </w:p>
        </w:tc>
        <w:tc>
          <w:tcPr>
            <w:tcW w:w="1134" w:type="dxa"/>
          </w:tcPr>
          <w:p w14:paraId="1E6EF8EB"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Canada,</w:t>
            </w:r>
          </w:p>
          <w:p w14:paraId="22501FD9"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Germany,</w:t>
            </w:r>
          </w:p>
          <w:p w14:paraId="76E27E74"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UK, and  USA</w:t>
            </w:r>
          </w:p>
        </w:tc>
        <w:tc>
          <w:tcPr>
            <w:tcW w:w="1134" w:type="dxa"/>
          </w:tcPr>
          <w:p w14:paraId="6A1A11F0"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160 firm-year observations from the year 2005</w:t>
            </w:r>
          </w:p>
          <w:p w14:paraId="052F1050" w14:textId="77777777" w:rsidR="00610897" w:rsidRPr="00610897" w:rsidRDefault="00610897" w:rsidP="00610897">
            <w:pPr>
              <w:rPr>
                <w:rFonts w:ascii="Garamond" w:eastAsia="Calibri" w:hAnsi="Garamond"/>
                <w:color w:val="000000"/>
                <w:sz w:val="16"/>
                <w:szCs w:val="16"/>
              </w:rPr>
            </w:pPr>
          </w:p>
        </w:tc>
        <w:tc>
          <w:tcPr>
            <w:tcW w:w="4771" w:type="dxa"/>
          </w:tcPr>
          <w:p w14:paraId="799184A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This paper finds that firms do not reveal quantitative and forward-looking attributes related to risk disclosure, but qualitative and retrospective information. Observed variations in the quantity of risk disclosure are partially associated with domestic regulation, playing an important role in firm incentives. The impacts of risk factors vary by country, as US and Canadian firms’ risk disclosures are positively associated with their risk levels, German firms’ negatively, and UK firms’ not significantly related at all.</w:t>
            </w:r>
          </w:p>
        </w:tc>
        <w:tc>
          <w:tcPr>
            <w:tcW w:w="981" w:type="dxa"/>
            <w:gridSpan w:val="2"/>
          </w:tcPr>
          <w:p w14:paraId="5E9B18B1" w14:textId="77777777" w:rsidR="00610897" w:rsidRPr="00610897" w:rsidRDefault="00610897" w:rsidP="00610897">
            <w:pPr>
              <w:jc w:val="both"/>
              <w:rPr>
                <w:rFonts w:ascii="Garamond" w:eastAsia="Calibri" w:hAnsi="Garamond"/>
                <w:color w:val="000000"/>
                <w:sz w:val="16"/>
                <w:szCs w:val="16"/>
              </w:rPr>
            </w:pPr>
          </w:p>
        </w:tc>
        <w:tc>
          <w:tcPr>
            <w:tcW w:w="994" w:type="dxa"/>
          </w:tcPr>
          <w:p w14:paraId="7F0F1B49" w14:textId="77777777" w:rsidR="00610897" w:rsidRPr="00610897" w:rsidRDefault="00610897" w:rsidP="00610897">
            <w:pPr>
              <w:jc w:val="both"/>
              <w:rPr>
                <w:rFonts w:ascii="Garamond" w:eastAsia="Calibri" w:hAnsi="Garamond"/>
                <w:color w:val="000000"/>
                <w:sz w:val="16"/>
                <w:szCs w:val="16"/>
              </w:rPr>
            </w:pPr>
          </w:p>
          <w:p w14:paraId="0196A953" w14:textId="77777777" w:rsidR="00610897" w:rsidRPr="00610897" w:rsidRDefault="00610897" w:rsidP="00610897">
            <w:pPr>
              <w:rPr>
                <w:rFonts w:ascii="Garamond" w:eastAsia="Calibri" w:hAnsi="Garamond"/>
                <w:color w:val="000000"/>
                <w:sz w:val="16"/>
                <w:szCs w:val="16"/>
              </w:rPr>
            </w:pPr>
          </w:p>
          <w:p w14:paraId="0BEA748D" w14:textId="77777777" w:rsidR="00610897" w:rsidRPr="00610897" w:rsidRDefault="00610897" w:rsidP="00610897">
            <w:pPr>
              <w:rPr>
                <w:rFonts w:ascii="Garamond" w:eastAsia="Calibri" w:hAnsi="Garamond"/>
                <w:color w:val="000000"/>
                <w:sz w:val="16"/>
                <w:szCs w:val="16"/>
              </w:rPr>
            </w:pPr>
          </w:p>
          <w:p w14:paraId="3C85FCD2" w14:textId="77777777" w:rsidR="00610897" w:rsidRPr="00610897" w:rsidRDefault="00610897" w:rsidP="00610897">
            <w:pPr>
              <w:rPr>
                <w:rFonts w:ascii="Garamond" w:eastAsia="Calibri" w:hAnsi="Garamond"/>
                <w:color w:val="000000"/>
                <w:sz w:val="16"/>
                <w:szCs w:val="16"/>
              </w:rPr>
            </w:pPr>
          </w:p>
          <w:p w14:paraId="7B40E116" w14:textId="77777777" w:rsidR="00610897" w:rsidRPr="00610897" w:rsidRDefault="00610897" w:rsidP="00610897">
            <w:pPr>
              <w:rPr>
                <w:rFonts w:ascii="Garamond" w:eastAsia="Calibri" w:hAnsi="Garamond"/>
                <w:color w:val="000000"/>
                <w:sz w:val="16"/>
                <w:szCs w:val="16"/>
              </w:rPr>
            </w:pPr>
          </w:p>
          <w:p w14:paraId="0307F498" w14:textId="77777777" w:rsidR="00610897" w:rsidRPr="00610897" w:rsidRDefault="00610897" w:rsidP="00610897">
            <w:pPr>
              <w:rPr>
                <w:rFonts w:ascii="Garamond" w:eastAsia="Calibri" w:hAnsi="Garamond"/>
                <w:color w:val="000000"/>
                <w:sz w:val="16"/>
                <w:szCs w:val="16"/>
              </w:rPr>
            </w:pPr>
          </w:p>
          <w:p w14:paraId="633F1866" w14:textId="77777777" w:rsidR="00610897" w:rsidRPr="00610897" w:rsidRDefault="00610897" w:rsidP="00610897">
            <w:pPr>
              <w:rPr>
                <w:rFonts w:ascii="Garamond" w:eastAsia="Calibri" w:hAnsi="Garamond"/>
                <w:color w:val="000000"/>
                <w:sz w:val="16"/>
                <w:szCs w:val="16"/>
              </w:rPr>
            </w:pPr>
          </w:p>
          <w:p w14:paraId="0697EF35" w14:textId="77777777" w:rsidR="00610897" w:rsidRPr="00610897" w:rsidRDefault="00610897" w:rsidP="00610897">
            <w:pPr>
              <w:jc w:val="both"/>
              <w:rPr>
                <w:rFonts w:ascii="Garamond" w:eastAsia="Calibri" w:hAnsi="Garamond"/>
                <w:color w:val="000000"/>
                <w:sz w:val="16"/>
                <w:szCs w:val="16"/>
              </w:rPr>
            </w:pPr>
          </w:p>
          <w:p w14:paraId="0DC068D3" w14:textId="77777777" w:rsidR="00610897" w:rsidRPr="00610897" w:rsidRDefault="00610897" w:rsidP="00610897">
            <w:pPr>
              <w:jc w:val="both"/>
              <w:rPr>
                <w:rFonts w:ascii="Garamond" w:eastAsia="Calibri" w:hAnsi="Garamond"/>
                <w:color w:val="000000"/>
                <w:sz w:val="16"/>
                <w:szCs w:val="16"/>
              </w:rPr>
            </w:pPr>
          </w:p>
        </w:tc>
        <w:tc>
          <w:tcPr>
            <w:tcW w:w="1002" w:type="dxa"/>
          </w:tcPr>
          <w:p w14:paraId="29820C5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841" w:type="dxa"/>
          </w:tcPr>
          <w:p w14:paraId="7D204D7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95" w:type="dxa"/>
          </w:tcPr>
          <w:p w14:paraId="5B4851E7" w14:textId="77777777" w:rsidR="00610897" w:rsidRPr="00610897" w:rsidRDefault="00610897" w:rsidP="00610897">
            <w:pPr>
              <w:jc w:val="both"/>
              <w:rPr>
                <w:rFonts w:ascii="Garamond" w:eastAsia="Calibri" w:hAnsi="Garamond"/>
                <w:color w:val="000000"/>
                <w:sz w:val="16"/>
                <w:szCs w:val="16"/>
              </w:rPr>
            </w:pPr>
          </w:p>
        </w:tc>
        <w:tc>
          <w:tcPr>
            <w:tcW w:w="853" w:type="dxa"/>
          </w:tcPr>
          <w:p w14:paraId="007AE104" w14:textId="77777777" w:rsidR="00610897" w:rsidRPr="00610897" w:rsidRDefault="00610897" w:rsidP="00610897">
            <w:pPr>
              <w:jc w:val="both"/>
              <w:rPr>
                <w:rFonts w:ascii="Garamond" w:eastAsia="Calibri" w:hAnsi="Garamond"/>
                <w:color w:val="000000"/>
                <w:sz w:val="16"/>
                <w:szCs w:val="16"/>
              </w:rPr>
            </w:pPr>
          </w:p>
        </w:tc>
        <w:tc>
          <w:tcPr>
            <w:tcW w:w="709" w:type="dxa"/>
          </w:tcPr>
          <w:p w14:paraId="0516FE9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09" w:type="dxa"/>
          </w:tcPr>
          <w:p w14:paraId="5E32B4A9"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38" w:type="dxa"/>
          </w:tcPr>
          <w:p w14:paraId="5A49A4C0" w14:textId="77777777" w:rsidR="00610897" w:rsidRPr="00610897" w:rsidRDefault="00610897" w:rsidP="00610897">
            <w:pPr>
              <w:jc w:val="both"/>
              <w:rPr>
                <w:rFonts w:ascii="Garamond" w:eastAsia="Calibri" w:hAnsi="Garamond"/>
                <w:color w:val="000000"/>
                <w:sz w:val="16"/>
                <w:szCs w:val="16"/>
              </w:rPr>
            </w:pPr>
          </w:p>
        </w:tc>
      </w:tr>
      <w:tr w:rsidR="00610897" w:rsidRPr="00610897" w14:paraId="4F09FCE2" w14:textId="77777777" w:rsidTr="002441E4">
        <w:trPr>
          <w:trHeight w:val="890"/>
        </w:trPr>
        <w:tc>
          <w:tcPr>
            <w:tcW w:w="993" w:type="dxa"/>
          </w:tcPr>
          <w:p w14:paraId="483D1170"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Oliveira et al. (2011)</w:t>
            </w:r>
          </w:p>
        </w:tc>
        <w:tc>
          <w:tcPr>
            <w:tcW w:w="1134" w:type="dxa"/>
          </w:tcPr>
          <w:p w14:paraId="69D2C389"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Portugal</w:t>
            </w:r>
          </w:p>
        </w:tc>
        <w:tc>
          <w:tcPr>
            <w:tcW w:w="1134" w:type="dxa"/>
          </w:tcPr>
          <w:p w14:paraId="55A45468"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81 non-financial firms from the year 2005</w:t>
            </w:r>
          </w:p>
        </w:tc>
        <w:tc>
          <w:tcPr>
            <w:tcW w:w="4771" w:type="dxa"/>
          </w:tcPr>
          <w:p w14:paraId="1C46FA5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This paper finds a non-significant impact of regulations on risk-reporting practices. Risk disclosure practices are likely to be categorized as generic, qualitative, and backward-looking. It finds (consistent with the agency theory) significant impacts of leverage and the board of directors on risk-reporting practices. </w:t>
            </w:r>
          </w:p>
          <w:p w14:paraId="69FFA0CB" w14:textId="77777777" w:rsidR="00610897" w:rsidRPr="00610897" w:rsidRDefault="00610897" w:rsidP="00610897">
            <w:pPr>
              <w:jc w:val="both"/>
              <w:rPr>
                <w:rFonts w:ascii="Garamond" w:eastAsia="Calibri" w:hAnsi="Garamond"/>
                <w:color w:val="000000"/>
                <w:sz w:val="16"/>
                <w:szCs w:val="16"/>
              </w:rPr>
            </w:pPr>
          </w:p>
        </w:tc>
        <w:tc>
          <w:tcPr>
            <w:tcW w:w="975" w:type="dxa"/>
          </w:tcPr>
          <w:p w14:paraId="0EC871E0" w14:textId="77777777" w:rsidR="00610897" w:rsidRPr="00610897" w:rsidRDefault="00610897" w:rsidP="00610897">
            <w:pPr>
              <w:jc w:val="both"/>
              <w:rPr>
                <w:rFonts w:ascii="Garamond" w:eastAsia="Calibri" w:hAnsi="Garamond"/>
                <w:color w:val="000000"/>
                <w:sz w:val="16"/>
                <w:szCs w:val="16"/>
              </w:rPr>
            </w:pPr>
          </w:p>
        </w:tc>
        <w:tc>
          <w:tcPr>
            <w:tcW w:w="1000" w:type="dxa"/>
            <w:gridSpan w:val="2"/>
          </w:tcPr>
          <w:p w14:paraId="3AC567F5" w14:textId="77777777" w:rsidR="00610897" w:rsidRPr="00610897" w:rsidRDefault="00610897" w:rsidP="00610897">
            <w:pPr>
              <w:jc w:val="both"/>
              <w:rPr>
                <w:rFonts w:ascii="Garamond" w:eastAsia="Calibri" w:hAnsi="Garamond"/>
                <w:color w:val="000000"/>
                <w:sz w:val="16"/>
                <w:szCs w:val="16"/>
              </w:rPr>
            </w:pPr>
          </w:p>
        </w:tc>
        <w:tc>
          <w:tcPr>
            <w:tcW w:w="1002" w:type="dxa"/>
          </w:tcPr>
          <w:p w14:paraId="4231E3B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841" w:type="dxa"/>
          </w:tcPr>
          <w:p w14:paraId="0EF9C8C9"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95" w:type="dxa"/>
          </w:tcPr>
          <w:p w14:paraId="1F9890AD" w14:textId="77777777" w:rsidR="00610897" w:rsidRPr="00610897" w:rsidRDefault="00610897" w:rsidP="00610897">
            <w:pPr>
              <w:jc w:val="both"/>
              <w:rPr>
                <w:rFonts w:ascii="Garamond" w:eastAsia="Calibri" w:hAnsi="Garamond"/>
                <w:color w:val="000000"/>
                <w:sz w:val="16"/>
                <w:szCs w:val="16"/>
              </w:rPr>
            </w:pPr>
          </w:p>
        </w:tc>
        <w:tc>
          <w:tcPr>
            <w:tcW w:w="853" w:type="dxa"/>
          </w:tcPr>
          <w:p w14:paraId="3AF3058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709" w:type="dxa"/>
          </w:tcPr>
          <w:p w14:paraId="1827ED3A" w14:textId="77777777" w:rsidR="00610897" w:rsidRPr="00610897" w:rsidRDefault="00610897" w:rsidP="00610897">
            <w:pPr>
              <w:jc w:val="both"/>
              <w:rPr>
                <w:rFonts w:ascii="Garamond" w:eastAsia="Calibri" w:hAnsi="Garamond"/>
                <w:color w:val="000000"/>
                <w:sz w:val="16"/>
                <w:szCs w:val="16"/>
              </w:rPr>
            </w:pPr>
          </w:p>
        </w:tc>
        <w:tc>
          <w:tcPr>
            <w:tcW w:w="909" w:type="dxa"/>
          </w:tcPr>
          <w:p w14:paraId="4EC49419"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38" w:type="dxa"/>
          </w:tcPr>
          <w:p w14:paraId="66726E9A" w14:textId="77777777" w:rsidR="00610897" w:rsidRPr="00610897" w:rsidRDefault="00610897" w:rsidP="00610897">
            <w:pPr>
              <w:jc w:val="both"/>
              <w:rPr>
                <w:rFonts w:ascii="Garamond" w:eastAsia="Calibri" w:hAnsi="Garamond"/>
                <w:color w:val="000000"/>
                <w:sz w:val="16"/>
                <w:szCs w:val="16"/>
              </w:rPr>
            </w:pPr>
          </w:p>
        </w:tc>
      </w:tr>
      <w:tr w:rsidR="00610897" w:rsidRPr="00610897" w14:paraId="17F9C7F5" w14:textId="77777777" w:rsidTr="002441E4">
        <w:trPr>
          <w:trHeight w:val="1691"/>
        </w:trPr>
        <w:tc>
          <w:tcPr>
            <w:tcW w:w="993" w:type="dxa"/>
          </w:tcPr>
          <w:p w14:paraId="4D375C5E"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Mokhtar</w:t>
            </w:r>
          </w:p>
          <w:p w14:paraId="5FDF5C10"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and </w:t>
            </w:r>
            <w:proofErr w:type="spellStart"/>
            <w:r w:rsidRPr="00610897">
              <w:rPr>
                <w:rFonts w:ascii="Garamond" w:eastAsia="Calibri" w:hAnsi="Garamond"/>
                <w:color w:val="000000"/>
                <w:sz w:val="16"/>
                <w:szCs w:val="16"/>
              </w:rPr>
              <w:t>Mellett</w:t>
            </w:r>
            <w:proofErr w:type="spellEnd"/>
          </w:p>
          <w:p w14:paraId="16DBAA75"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(2013)</w:t>
            </w:r>
          </w:p>
        </w:tc>
        <w:tc>
          <w:tcPr>
            <w:tcW w:w="1134" w:type="dxa"/>
          </w:tcPr>
          <w:p w14:paraId="0426F96A"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Egypt</w:t>
            </w:r>
          </w:p>
        </w:tc>
        <w:tc>
          <w:tcPr>
            <w:tcW w:w="1134" w:type="dxa"/>
          </w:tcPr>
          <w:p w14:paraId="663AFFBE"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105 firms in the year 2007</w:t>
            </w:r>
          </w:p>
        </w:tc>
        <w:tc>
          <w:tcPr>
            <w:tcW w:w="4771" w:type="dxa"/>
          </w:tcPr>
          <w:p w14:paraId="00720A9F" w14:textId="77777777" w:rsidR="00610897" w:rsidRPr="00610897" w:rsidRDefault="00610897" w:rsidP="00610897">
            <w:pPr>
              <w:tabs>
                <w:tab w:val="left" w:pos="933"/>
              </w:tabs>
              <w:jc w:val="both"/>
              <w:rPr>
                <w:rFonts w:ascii="Garamond" w:eastAsia="Calibri" w:hAnsi="Garamond"/>
                <w:color w:val="000000"/>
                <w:sz w:val="16"/>
                <w:szCs w:val="16"/>
              </w:rPr>
            </w:pPr>
            <w:r w:rsidRPr="00610897">
              <w:rPr>
                <w:rFonts w:ascii="Garamond" w:eastAsia="Calibri" w:hAnsi="Garamond"/>
                <w:color w:val="000000"/>
                <w:sz w:val="16"/>
                <w:szCs w:val="16"/>
              </w:rPr>
              <w:t xml:space="preserve">Consistent with proprietary cost theory, this paper finds firms operating in highly competitive areas (measured by barriers to entry) to be likely to exhibit high levels of voluntary risk information. The results reveal that firms with larger boards, audited by one of the big 4, and with separate leadership are likely to comply with risk regulations. The paper does not observe a statistical impact in relation to sector type, firm size, liquidity, or risk-reporting practices. Generally, the results suggest the direction of association between the main independent variables and mandatory risk disclosure is different from observed trends for voluntary risk disclosure. </w:t>
            </w:r>
          </w:p>
        </w:tc>
        <w:tc>
          <w:tcPr>
            <w:tcW w:w="975" w:type="dxa"/>
          </w:tcPr>
          <w:p w14:paraId="320E2D2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000" w:type="dxa"/>
            <w:gridSpan w:val="2"/>
          </w:tcPr>
          <w:p w14:paraId="64E6541B"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002" w:type="dxa"/>
          </w:tcPr>
          <w:p w14:paraId="73358495" w14:textId="77777777" w:rsidR="00610897" w:rsidRPr="00610897" w:rsidRDefault="00610897" w:rsidP="00610897">
            <w:pPr>
              <w:jc w:val="both"/>
              <w:rPr>
                <w:rFonts w:ascii="Garamond" w:eastAsia="Calibri" w:hAnsi="Garamond"/>
                <w:color w:val="000000"/>
                <w:sz w:val="16"/>
                <w:szCs w:val="16"/>
              </w:rPr>
            </w:pPr>
          </w:p>
        </w:tc>
        <w:tc>
          <w:tcPr>
            <w:tcW w:w="841" w:type="dxa"/>
          </w:tcPr>
          <w:p w14:paraId="672C388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95" w:type="dxa"/>
          </w:tcPr>
          <w:p w14:paraId="268131D7" w14:textId="77777777" w:rsidR="00610897" w:rsidRPr="00610897" w:rsidRDefault="00610897" w:rsidP="00610897">
            <w:pPr>
              <w:jc w:val="both"/>
              <w:rPr>
                <w:rFonts w:ascii="Garamond" w:eastAsia="Calibri" w:hAnsi="Garamond"/>
                <w:color w:val="000000"/>
                <w:sz w:val="16"/>
                <w:szCs w:val="16"/>
              </w:rPr>
            </w:pPr>
          </w:p>
        </w:tc>
        <w:tc>
          <w:tcPr>
            <w:tcW w:w="853" w:type="dxa"/>
          </w:tcPr>
          <w:p w14:paraId="4561D1A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709" w:type="dxa"/>
          </w:tcPr>
          <w:p w14:paraId="54B5F27A" w14:textId="77777777" w:rsidR="00610897" w:rsidRPr="00610897" w:rsidRDefault="00610897" w:rsidP="00610897">
            <w:pPr>
              <w:jc w:val="both"/>
              <w:rPr>
                <w:rFonts w:ascii="Garamond" w:eastAsia="Calibri" w:hAnsi="Garamond"/>
                <w:color w:val="000000"/>
                <w:sz w:val="16"/>
                <w:szCs w:val="16"/>
              </w:rPr>
            </w:pPr>
          </w:p>
        </w:tc>
        <w:tc>
          <w:tcPr>
            <w:tcW w:w="909" w:type="dxa"/>
          </w:tcPr>
          <w:p w14:paraId="63240C3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38" w:type="dxa"/>
          </w:tcPr>
          <w:p w14:paraId="78F6326F" w14:textId="77777777" w:rsidR="00610897" w:rsidRPr="00610897" w:rsidRDefault="00610897" w:rsidP="00610897">
            <w:pPr>
              <w:jc w:val="both"/>
              <w:rPr>
                <w:rFonts w:ascii="Garamond" w:eastAsia="Calibri" w:hAnsi="Garamond"/>
                <w:color w:val="000000"/>
                <w:sz w:val="16"/>
                <w:szCs w:val="16"/>
              </w:rPr>
            </w:pPr>
          </w:p>
        </w:tc>
      </w:tr>
      <w:tr w:rsidR="00610897" w:rsidRPr="00610897" w14:paraId="7D5DED42" w14:textId="77777777" w:rsidTr="002441E4">
        <w:trPr>
          <w:trHeight w:val="1263"/>
        </w:trPr>
        <w:tc>
          <w:tcPr>
            <w:tcW w:w="993" w:type="dxa"/>
          </w:tcPr>
          <w:p w14:paraId="6478D09A"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lastRenderedPageBreak/>
              <w:t xml:space="preserve">Abdallah </w:t>
            </w:r>
          </w:p>
          <w:p w14:paraId="09E7928B"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et al. (2015)</w:t>
            </w:r>
          </w:p>
        </w:tc>
        <w:tc>
          <w:tcPr>
            <w:tcW w:w="1134" w:type="dxa"/>
          </w:tcPr>
          <w:p w14:paraId="13ED95D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The Gulf</w:t>
            </w:r>
          </w:p>
          <w:p w14:paraId="1C9B486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Cooperation Council </w:t>
            </w:r>
          </w:p>
          <w:p w14:paraId="0C3580B2"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(GCC) countries</w:t>
            </w:r>
          </w:p>
        </w:tc>
        <w:tc>
          <w:tcPr>
            <w:tcW w:w="1134" w:type="dxa"/>
          </w:tcPr>
          <w:p w14:paraId="7B96E801"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424 firm-year observations for </w:t>
            </w:r>
          </w:p>
          <w:p w14:paraId="674F692B"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financial firms in  the year 2008 </w:t>
            </w:r>
          </w:p>
        </w:tc>
        <w:tc>
          <w:tcPr>
            <w:tcW w:w="4771" w:type="dxa"/>
          </w:tcPr>
          <w:p w14:paraId="6C828BBB"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This paper finds different patterns in how corporate governance affects risk disclosure practices, between Islamic and conventional financial firms. The study finds that risk disclosure varies between GCC countries, despite sociocultural and regulatory similarities.</w:t>
            </w:r>
          </w:p>
          <w:p w14:paraId="67378176" w14:textId="77777777" w:rsidR="00610897" w:rsidRPr="00610897" w:rsidRDefault="00610897" w:rsidP="00610897">
            <w:pPr>
              <w:tabs>
                <w:tab w:val="left" w:pos="933"/>
              </w:tabs>
              <w:jc w:val="both"/>
              <w:rPr>
                <w:rFonts w:ascii="Garamond" w:eastAsia="Calibri" w:hAnsi="Garamond"/>
                <w:color w:val="000000"/>
                <w:sz w:val="16"/>
                <w:szCs w:val="16"/>
              </w:rPr>
            </w:pPr>
          </w:p>
        </w:tc>
        <w:tc>
          <w:tcPr>
            <w:tcW w:w="975" w:type="dxa"/>
          </w:tcPr>
          <w:p w14:paraId="576E87B9" w14:textId="77777777" w:rsidR="00610897" w:rsidRPr="00610897" w:rsidRDefault="00610897" w:rsidP="00610897">
            <w:pPr>
              <w:jc w:val="both"/>
              <w:rPr>
                <w:rFonts w:ascii="Garamond" w:eastAsia="Calibri" w:hAnsi="Garamond"/>
                <w:color w:val="000000"/>
                <w:sz w:val="16"/>
                <w:szCs w:val="16"/>
              </w:rPr>
            </w:pPr>
          </w:p>
        </w:tc>
        <w:tc>
          <w:tcPr>
            <w:tcW w:w="1000" w:type="dxa"/>
            <w:gridSpan w:val="2"/>
          </w:tcPr>
          <w:p w14:paraId="4659A7B6" w14:textId="77777777" w:rsidR="00610897" w:rsidRPr="00610897" w:rsidRDefault="00610897" w:rsidP="00610897">
            <w:pPr>
              <w:jc w:val="both"/>
              <w:rPr>
                <w:rFonts w:ascii="Garamond" w:eastAsia="Calibri" w:hAnsi="Garamond"/>
                <w:color w:val="000000"/>
                <w:sz w:val="16"/>
                <w:szCs w:val="16"/>
              </w:rPr>
            </w:pPr>
          </w:p>
        </w:tc>
        <w:tc>
          <w:tcPr>
            <w:tcW w:w="1002" w:type="dxa"/>
          </w:tcPr>
          <w:p w14:paraId="7883D35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841" w:type="dxa"/>
          </w:tcPr>
          <w:p w14:paraId="744FDC30"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95" w:type="dxa"/>
          </w:tcPr>
          <w:p w14:paraId="36BF1BF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853" w:type="dxa"/>
          </w:tcPr>
          <w:p w14:paraId="5CA1B12B" w14:textId="77777777" w:rsidR="00610897" w:rsidRPr="00610897" w:rsidRDefault="00610897" w:rsidP="00610897">
            <w:pPr>
              <w:jc w:val="both"/>
              <w:rPr>
                <w:rFonts w:ascii="Garamond" w:eastAsia="Calibri" w:hAnsi="Garamond"/>
                <w:color w:val="000000"/>
                <w:sz w:val="16"/>
                <w:szCs w:val="16"/>
              </w:rPr>
            </w:pPr>
          </w:p>
        </w:tc>
        <w:tc>
          <w:tcPr>
            <w:tcW w:w="709" w:type="dxa"/>
          </w:tcPr>
          <w:p w14:paraId="4216ACE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09" w:type="dxa"/>
          </w:tcPr>
          <w:p w14:paraId="7AF4753B" w14:textId="77777777" w:rsidR="00610897" w:rsidRPr="00610897" w:rsidRDefault="00610897" w:rsidP="00610897">
            <w:pPr>
              <w:jc w:val="both"/>
              <w:rPr>
                <w:rFonts w:ascii="Garamond" w:eastAsia="Calibri" w:hAnsi="Garamond"/>
                <w:color w:val="000000"/>
                <w:sz w:val="16"/>
                <w:szCs w:val="16"/>
              </w:rPr>
            </w:pPr>
          </w:p>
        </w:tc>
        <w:tc>
          <w:tcPr>
            <w:tcW w:w="938" w:type="dxa"/>
          </w:tcPr>
          <w:p w14:paraId="0F424BAD"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r>
      <w:tr w:rsidR="00610897" w:rsidRPr="00610897" w14:paraId="3B72F7EF" w14:textId="77777777" w:rsidTr="002441E4">
        <w:trPr>
          <w:trHeight w:val="858"/>
        </w:trPr>
        <w:tc>
          <w:tcPr>
            <w:tcW w:w="993" w:type="dxa"/>
          </w:tcPr>
          <w:p w14:paraId="1763ECC6" w14:textId="77777777" w:rsidR="00610897" w:rsidRPr="00610897" w:rsidRDefault="00610897" w:rsidP="00610897">
            <w:pPr>
              <w:rPr>
                <w:rFonts w:ascii="Garamond" w:eastAsia="Calibri" w:hAnsi="Garamond"/>
                <w:color w:val="000000"/>
                <w:sz w:val="16"/>
                <w:szCs w:val="16"/>
              </w:rPr>
            </w:pPr>
            <w:proofErr w:type="spellStart"/>
            <w:r w:rsidRPr="00610897">
              <w:rPr>
                <w:rFonts w:ascii="Garamond" w:eastAsia="Calibri" w:hAnsi="Garamond"/>
                <w:color w:val="000000"/>
                <w:sz w:val="16"/>
                <w:szCs w:val="16"/>
              </w:rPr>
              <w:t>Buckby</w:t>
            </w:r>
            <w:proofErr w:type="spellEnd"/>
            <w:r w:rsidRPr="00610897">
              <w:rPr>
                <w:rFonts w:ascii="Garamond" w:eastAsia="Calibri" w:hAnsi="Garamond"/>
                <w:color w:val="000000"/>
                <w:sz w:val="16"/>
                <w:szCs w:val="16"/>
              </w:rPr>
              <w:t xml:space="preserve"> et al. (2015)</w:t>
            </w:r>
          </w:p>
        </w:tc>
        <w:tc>
          <w:tcPr>
            <w:tcW w:w="1134" w:type="dxa"/>
          </w:tcPr>
          <w:p w14:paraId="6F7F1BB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Australia </w:t>
            </w:r>
          </w:p>
          <w:p w14:paraId="7A56B5EF" w14:textId="77777777" w:rsidR="00610897" w:rsidRPr="00610897" w:rsidRDefault="00610897" w:rsidP="00610897">
            <w:pPr>
              <w:rPr>
                <w:rFonts w:ascii="Garamond" w:eastAsia="Calibri" w:hAnsi="Garamond"/>
                <w:color w:val="000000"/>
                <w:sz w:val="16"/>
                <w:szCs w:val="16"/>
              </w:rPr>
            </w:pPr>
          </w:p>
          <w:p w14:paraId="6B8E8117" w14:textId="77777777" w:rsidR="00610897" w:rsidRPr="00610897" w:rsidRDefault="00610897" w:rsidP="00610897">
            <w:pPr>
              <w:rPr>
                <w:rFonts w:ascii="Garamond" w:eastAsia="Calibri" w:hAnsi="Garamond"/>
                <w:color w:val="000000"/>
                <w:sz w:val="16"/>
                <w:szCs w:val="16"/>
              </w:rPr>
            </w:pPr>
          </w:p>
          <w:p w14:paraId="54FB4584" w14:textId="77777777" w:rsidR="00610897" w:rsidRPr="00610897" w:rsidRDefault="00610897" w:rsidP="00610897">
            <w:pPr>
              <w:jc w:val="both"/>
              <w:rPr>
                <w:rFonts w:ascii="Garamond" w:eastAsia="Calibri" w:hAnsi="Garamond"/>
                <w:color w:val="000000"/>
                <w:sz w:val="16"/>
                <w:szCs w:val="16"/>
              </w:rPr>
            </w:pPr>
          </w:p>
        </w:tc>
        <w:tc>
          <w:tcPr>
            <w:tcW w:w="1134" w:type="dxa"/>
          </w:tcPr>
          <w:p w14:paraId="46A6C407"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300 firm-year observations for the year 2010</w:t>
            </w:r>
          </w:p>
          <w:p w14:paraId="06BB09AD" w14:textId="77777777" w:rsidR="00610897" w:rsidRPr="00610897" w:rsidRDefault="00610897" w:rsidP="00610897">
            <w:pPr>
              <w:rPr>
                <w:rFonts w:ascii="Garamond" w:eastAsia="Calibri" w:hAnsi="Garamond"/>
                <w:color w:val="000000"/>
                <w:sz w:val="16"/>
                <w:szCs w:val="16"/>
              </w:rPr>
            </w:pPr>
          </w:p>
          <w:p w14:paraId="506EF01D" w14:textId="77777777" w:rsidR="00610897" w:rsidRPr="00610897" w:rsidRDefault="00610897" w:rsidP="00610897">
            <w:pPr>
              <w:rPr>
                <w:rFonts w:ascii="Garamond" w:eastAsia="Calibri" w:hAnsi="Garamond"/>
                <w:color w:val="000000"/>
                <w:sz w:val="16"/>
                <w:szCs w:val="16"/>
              </w:rPr>
            </w:pPr>
          </w:p>
          <w:p w14:paraId="4AFE6033" w14:textId="77777777" w:rsidR="00610897" w:rsidRPr="00610897" w:rsidRDefault="00610897" w:rsidP="00610897">
            <w:pPr>
              <w:rPr>
                <w:rFonts w:ascii="Garamond" w:eastAsia="Calibri" w:hAnsi="Garamond"/>
                <w:color w:val="000000"/>
                <w:sz w:val="16"/>
                <w:szCs w:val="16"/>
              </w:rPr>
            </w:pPr>
          </w:p>
        </w:tc>
        <w:tc>
          <w:tcPr>
            <w:tcW w:w="4771" w:type="dxa"/>
          </w:tcPr>
          <w:p w14:paraId="1BBD724D"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This paper documents that risk disclosure does not appear to be impacted by board characteristics. It does not find a significant impact, either, for risk levels, big 4, or audit committee independence, on risk disclosure practice. It finds the presence of a risk committee to be a significant factor explaining significant differences between firms’ disclosure of risk information. </w:t>
            </w:r>
          </w:p>
        </w:tc>
        <w:tc>
          <w:tcPr>
            <w:tcW w:w="975" w:type="dxa"/>
          </w:tcPr>
          <w:p w14:paraId="4DD6AB6B" w14:textId="77777777" w:rsidR="00610897" w:rsidRPr="00610897" w:rsidRDefault="00610897" w:rsidP="00610897">
            <w:pPr>
              <w:jc w:val="both"/>
              <w:rPr>
                <w:rFonts w:ascii="Garamond" w:eastAsia="Calibri" w:hAnsi="Garamond"/>
                <w:color w:val="000000"/>
                <w:sz w:val="16"/>
                <w:szCs w:val="16"/>
              </w:rPr>
            </w:pPr>
          </w:p>
        </w:tc>
        <w:tc>
          <w:tcPr>
            <w:tcW w:w="1000" w:type="dxa"/>
            <w:gridSpan w:val="2"/>
          </w:tcPr>
          <w:p w14:paraId="3F7B1198" w14:textId="77777777" w:rsidR="00610897" w:rsidRPr="00610897" w:rsidRDefault="00610897" w:rsidP="00610897">
            <w:pPr>
              <w:jc w:val="both"/>
              <w:rPr>
                <w:rFonts w:ascii="Garamond" w:eastAsia="Calibri" w:hAnsi="Garamond"/>
                <w:color w:val="000000"/>
                <w:sz w:val="16"/>
                <w:szCs w:val="16"/>
              </w:rPr>
            </w:pPr>
          </w:p>
        </w:tc>
        <w:tc>
          <w:tcPr>
            <w:tcW w:w="1002" w:type="dxa"/>
          </w:tcPr>
          <w:p w14:paraId="6F5ED95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841" w:type="dxa"/>
          </w:tcPr>
          <w:p w14:paraId="24C5F39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95" w:type="dxa"/>
          </w:tcPr>
          <w:p w14:paraId="591EDF37" w14:textId="77777777" w:rsidR="00610897" w:rsidRPr="00610897" w:rsidRDefault="00610897" w:rsidP="00610897">
            <w:pPr>
              <w:jc w:val="both"/>
              <w:rPr>
                <w:rFonts w:ascii="Garamond" w:eastAsia="Calibri" w:hAnsi="Garamond"/>
                <w:color w:val="000000"/>
                <w:sz w:val="16"/>
                <w:szCs w:val="16"/>
              </w:rPr>
            </w:pPr>
          </w:p>
        </w:tc>
        <w:tc>
          <w:tcPr>
            <w:tcW w:w="853" w:type="dxa"/>
          </w:tcPr>
          <w:p w14:paraId="10662862"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709" w:type="dxa"/>
          </w:tcPr>
          <w:p w14:paraId="3A28048E" w14:textId="77777777" w:rsidR="00610897" w:rsidRPr="00610897" w:rsidRDefault="00610897" w:rsidP="00610897">
            <w:pPr>
              <w:jc w:val="both"/>
              <w:rPr>
                <w:rFonts w:ascii="Garamond" w:eastAsia="Calibri" w:hAnsi="Garamond"/>
                <w:color w:val="000000"/>
                <w:sz w:val="16"/>
                <w:szCs w:val="16"/>
              </w:rPr>
            </w:pPr>
          </w:p>
        </w:tc>
        <w:tc>
          <w:tcPr>
            <w:tcW w:w="909" w:type="dxa"/>
          </w:tcPr>
          <w:p w14:paraId="2C4383F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38" w:type="dxa"/>
          </w:tcPr>
          <w:p w14:paraId="352A866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r>
      <w:tr w:rsidR="00610897" w:rsidRPr="00610897" w14:paraId="218CF0EA" w14:textId="77777777" w:rsidTr="002441E4">
        <w:trPr>
          <w:trHeight w:val="858"/>
        </w:trPr>
        <w:tc>
          <w:tcPr>
            <w:tcW w:w="993" w:type="dxa"/>
            <w:tcBorders>
              <w:bottom w:val="single" w:sz="4" w:space="0" w:color="auto"/>
            </w:tcBorders>
          </w:tcPr>
          <w:p w14:paraId="449E4F7C" w14:textId="77777777" w:rsidR="00610897" w:rsidRPr="00610897" w:rsidRDefault="00610897" w:rsidP="00610897">
            <w:pPr>
              <w:rPr>
                <w:rFonts w:ascii="Garamond" w:eastAsia="Calibri" w:hAnsi="Garamond"/>
                <w:color w:val="000000"/>
                <w:sz w:val="16"/>
                <w:szCs w:val="16"/>
              </w:rPr>
            </w:pPr>
            <w:proofErr w:type="spellStart"/>
            <w:r w:rsidRPr="00610897">
              <w:rPr>
                <w:rFonts w:ascii="Garamond" w:eastAsia="Calibri" w:hAnsi="Garamond"/>
                <w:color w:val="000000"/>
                <w:sz w:val="16"/>
                <w:szCs w:val="16"/>
              </w:rPr>
              <w:t>Martikainen</w:t>
            </w:r>
            <w:proofErr w:type="spellEnd"/>
            <w:r w:rsidRPr="00610897">
              <w:rPr>
                <w:rFonts w:ascii="Garamond" w:eastAsia="Calibri" w:hAnsi="Garamond"/>
                <w:color w:val="000000"/>
                <w:sz w:val="16"/>
                <w:szCs w:val="16"/>
              </w:rPr>
              <w:t xml:space="preserve"> et al. (2015)</w:t>
            </w:r>
          </w:p>
        </w:tc>
        <w:tc>
          <w:tcPr>
            <w:tcW w:w="1134" w:type="dxa"/>
            <w:tcBorders>
              <w:bottom w:val="single" w:sz="4" w:space="0" w:color="auto"/>
            </w:tcBorders>
          </w:tcPr>
          <w:p w14:paraId="085C22B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Finland</w:t>
            </w:r>
          </w:p>
        </w:tc>
        <w:tc>
          <w:tcPr>
            <w:tcW w:w="1134" w:type="dxa"/>
            <w:tcBorders>
              <w:bottom w:val="single" w:sz="4" w:space="0" w:color="auto"/>
            </w:tcBorders>
          </w:tcPr>
          <w:p w14:paraId="51AC71B7"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59 to 85 firm-year observations for 2006-2009</w:t>
            </w:r>
          </w:p>
        </w:tc>
        <w:tc>
          <w:tcPr>
            <w:tcW w:w="4771" w:type="dxa"/>
            <w:tcBorders>
              <w:bottom w:val="single" w:sz="4" w:space="0" w:color="auto"/>
            </w:tcBorders>
          </w:tcPr>
          <w:p w14:paraId="5F934BE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This paper highlights two slightly new aspects of board characteristics in their relation to (dis)incentivising managers’ revealing of high (quantity and quality) risk information. These are boards’ financial incentives and competence. Directors’ financial incentives (</w:t>
            </w:r>
            <w:proofErr w:type="spellStart"/>
            <w:r w:rsidRPr="00610897">
              <w:rPr>
                <w:rFonts w:ascii="Garamond" w:eastAsia="Calibri" w:hAnsi="Garamond"/>
                <w:color w:val="000000"/>
                <w:sz w:val="16"/>
                <w:szCs w:val="16"/>
              </w:rPr>
              <w:t>proxied</w:t>
            </w:r>
            <w:proofErr w:type="spellEnd"/>
            <w:r w:rsidRPr="00610897">
              <w:rPr>
                <w:rFonts w:ascii="Garamond" w:eastAsia="Calibri" w:hAnsi="Garamond"/>
                <w:color w:val="000000"/>
                <w:sz w:val="16"/>
                <w:szCs w:val="16"/>
              </w:rPr>
              <w:t xml:space="preserve"> by their wealth and compensation) and their competence (experience and education) are found to be empirically significant in relation to risk disclosure. The paper also finds that variations in the quality of risk reporting are significantly explained by board characteristics. </w:t>
            </w:r>
          </w:p>
        </w:tc>
        <w:tc>
          <w:tcPr>
            <w:tcW w:w="975" w:type="dxa"/>
            <w:tcBorders>
              <w:bottom w:val="single" w:sz="4" w:space="0" w:color="auto"/>
            </w:tcBorders>
          </w:tcPr>
          <w:p w14:paraId="30D3AF44" w14:textId="77777777" w:rsidR="00610897" w:rsidRPr="00610897" w:rsidRDefault="00610897" w:rsidP="00610897">
            <w:pPr>
              <w:jc w:val="both"/>
              <w:rPr>
                <w:rFonts w:ascii="Garamond" w:eastAsia="Calibri" w:hAnsi="Garamond"/>
                <w:color w:val="000000"/>
                <w:sz w:val="16"/>
                <w:szCs w:val="16"/>
              </w:rPr>
            </w:pPr>
          </w:p>
        </w:tc>
        <w:tc>
          <w:tcPr>
            <w:tcW w:w="1000" w:type="dxa"/>
            <w:gridSpan w:val="2"/>
            <w:tcBorders>
              <w:bottom w:val="single" w:sz="4" w:space="0" w:color="auto"/>
            </w:tcBorders>
          </w:tcPr>
          <w:p w14:paraId="43F78F1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p w14:paraId="0B38E822" w14:textId="77777777" w:rsidR="00610897" w:rsidRPr="00610897" w:rsidRDefault="00610897" w:rsidP="00610897">
            <w:pPr>
              <w:rPr>
                <w:rFonts w:ascii="Garamond" w:eastAsia="Calibri" w:hAnsi="Garamond"/>
                <w:color w:val="000000"/>
                <w:sz w:val="16"/>
                <w:szCs w:val="16"/>
              </w:rPr>
            </w:pPr>
          </w:p>
          <w:p w14:paraId="212E091D" w14:textId="77777777" w:rsidR="00610897" w:rsidRPr="00610897" w:rsidRDefault="00610897" w:rsidP="00610897">
            <w:pPr>
              <w:rPr>
                <w:rFonts w:ascii="Garamond" w:eastAsia="Calibri" w:hAnsi="Garamond"/>
                <w:color w:val="000000"/>
                <w:sz w:val="16"/>
                <w:szCs w:val="16"/>
              </w:rPr>
            </w:pPr>
          </w:p>
          <w:p w14:paraId="7E20702D" w14:textId="77777777" w:rsidR="00610897" w:rsidRPr="00610897" w:rsidRDefault="00610897" w:rsidP="00610897">
            <w:pPr>
              <w:rPr>
                <w:rFonts w:ascii="Garamond" w:eastAsia="Calibri" w:hAnsi="Garamond"/>
                <w:color w:val="000000"/>
                <w:sz w:val="16"/>
                <w:szCs w:val="16"/>
              </w:rPr>
            </w:pPr>
          </w:p>
          <w:p w14:paraId="3D7C7BF6" w14:textId="77777777" w:rsidR="00610897" w:rsidRPr="00610897" w:rsidRDefault="00610897" w:rsidP="00610897">
            <w:pPr>
              <w:jc w:val="both"/>
              <w:rPr>
                <w:rFonts w:ascii="Garamond" w:eastAsia="Calibri" w:hAnsi="Garamond"/>
                <w:color w:val="000000"/>
                <w:sz w:val="16"/>
                <w:szCs w:val="16"/>
              </w:rPr>
            </w:pPr>
          </w:p>
        </w:tc>
        <w:tc>
          <w:tcPr>
            <w:tcW w:w="1002" w:type="dxa"/>
            <w:tcBorders>
              <w:bottom w:val="single" w:sz="4" w:space="0" w:color="auto"/>
            </w:tcBorders>
          </w:tcPr>
          <w:p w14:paraId="6BAC71BE" w14:textId="77777777" w:rsidR="00610897" w:rsidRPr="00610897" w:rsidRDefault="00610897" w:rsidP="00610897">
            <w:pPr>
              <w:jc w:val="both"/>
              <w:rPr>
                <w:rFonts w:ascii="Garamond" w:eastAsia="Calibri" w:hAnsi="Garamond"/>
                <w:color w:val="000000"/>
                <w:sz w:val="16"/>
                <w:szCs w:val="16"/>
              </w:rPr>
            </w:pPr>
          </w:p>
        </w:tc>
        <w:tc>
          <w:tcPr>
            <w:tcW w:w="841" w:type="dxa"/>
            <w:tcBorders>
              <w:bottom w:val="single" w:sz="4" w:space="0" w:color="auto"/>
            </w:tcBorders>
          </w:tcPr>
          <w:p w14:paraId="51947D02"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95" w:type="dxa"/>
            <w:tcBorders>
              <w:bottom w:val="single" w:sz="4" w:space="0" w:color="auto"/>
            </w:tcBorders>
          </w:tcPr>
          <w:p w14:paraId="488CA0A6" w14:textId="77777777" w:rsidR="00610897" w:rsidRPr="00610897" w:rsidRDefault="00610897" w:rsidP="00610897">
            <w:pPr>
              <w:jc w:val="both"/>
              <w:rPr>
                <w:rFonts w:ascii="Garamond" w:eastAsia="Calibri" w:hAnsi="Garamond"/>
                <w:color w:val="000000"/>
                <w:sz w:val="16"/>
                <w:szCs w:val="16"/>
              </w:rPr>
            </w:pPr>
          </w:p>
        </w:tc>
        <w:tc>
          <w:tcPr>
            <w:tcW w:w="853" w:type="dxa"/>
            <w:tcBorders>
              <w:bottom w:val="single" w:sz="4" w:space="0" w:color="auto"/>
            </w:tcBorders>
          </w:tcPr>
          <w:p w14:paraId="55FBE1D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709" w:type="dxa"/>
            <w:tcBorders>
              <w:bottom w:val="single" w:sz="4" w:space="0" w:color="auto"/>
            </w:tcBorders>
          </w:tcPr>
          <w:p w14:paraId="3B14A1CB" w14:textId="77777777" w:rsidR="00610897" w:rsidRPr="00610897" w:rsidRDefault="00610897" w:rsidP="00610897">
            <w:pPr>
              <w:jc w:val="both"/>
              <w:rPr>
                <w:rFonts w:ascii="Garamond" w:eastAsia="Calibri" w:hAnsi="Garamond"/>
                <w:color w:val="000000"/>
                <w:sz w:val="16"/>
                <w:szCs w:val="16"/>
              </w:rPr>
            </w:pPr>
          </w:p>
        </w:tc>
        <w:tc>
          <w:tcPr>
            <w:tcW w:w="909" w:type="dxa"/>
            <w:tcBorders>
              <w:bottom w:val="single" w:sz="4" w:space="0" w:color="auto"/>
            </w:tcBorders>
          </w:tcPr>
          <w:p w14:paraId="218FBFA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38" w:type="dxa"/>
            <w:tcBorders>
              <w:bottom w:val="single" w:sz="4" w:space="0" w:color="auto"/>
            </w:tcBorders>
          </w:tcPr>
          <w:p w14:paraId="22B8AB36" w14:textId="77777777" w:rsidR="00610897" w:rsidRPr="00610897" w:rsidRDefault="00610897" w:rsidP="00610897">
            <w:pPr>
              <w:jc w:val="both"/>
              <w:rPr>
                <w:rFonts w:ascii="Garamond" w:eastAsia="Calibri" w:hAnsi="Garamond"/>
                <w:color w:val="000000"/>
                <w:sz w:val="16"/>
                <w:szCs w:val="16"/>
              </w:rPr>
            </w:pPr>
          </w:p>
        </w:tc>
      </w:tr>
      <w:tr w:rsidR="00610897" w:rsidRPr="00610897" w14:paraId="093BB5C6" w14:textId="77777777" w:rsidTr="002441E4">
        <w:trPr>
          <w:trHeight w:val="273"/>
        </w:trPr>
        <w:tc>
          <w:tcPr>
            <w:tcW w:w="16254" w:type="dxa"/>
            <w:gridSpan w:val="14"/>
            <w:tcBorders>
              <w:top w:val="single" w:sz="4" w:space="0" w:color="auto"/>
              <w:bottom w:val="single" w:sz="4" w:space="0" w:color="auto"/>
            </w:tcBorders>
          </w:tcPr>
          <w:p w14:paraId="3703009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b/>
                <w:color w:val="000000"/>
                <w:sz w:val="16"/>
                <w:szCs w:val="16"/>
              </w:rPr>
              <w:t>Panel B</w:t>
            </w:r>
            <w:r w:rsidRPr="00610897">
              <w:rPr>
                <w:rFonts w:ascii="Garamond" w:eastAsia="Calibri" w:hAnsi="Garamond"/>
                <w:color w:val="000000"/>
                <w:sz w:val="16"/>
                <w:szCs w:val="16"/>
              </w:rPr>
              <w:t xml:space="preserve">: </w:t>
            </w:r>
            <w:r w:rsidRPr="00610897">
              <w:rPr>
                <w:rFonts w:ascii="Garamond" w:eastAsia="Calibri" w:hAnsi="Garamond"/>
                <w:b/>
                <w:color w:val="000000"/>
                <w:sz w:val="16"/>
                <w:szCs w:val="16"/>
              </w:rPr>
              <w:t xml:space="preserve">Papers on risk reporting </w:t>
            </w:r>
            <w:proofErr w:type="spellStart"/>
            <w:r w:rsidRPr="00610897">
              <w:rPr>
                <w:rFonts w:ascii="Garamond" w:eastAsia="Calibri" w:hAnsi="Garamond"/>
                <w:b/>
                <w:color w:val="000000"/>
                <w:sz w:val="16"/>
                <w:szCs w:val="16"/>
              </w:rPr>
              <w:t>informativeness</w:t>
            </w:r>
            <w:proofErr w:type="spellEnd"/>
          </w:p>
        </w:tc>
      </w:tr>
      <w:tr w:rsidR="00610897" w:rsidRPr="00610897" w14:paraId="77F777A0" w14:textId="77777777" w:rsidTr="002441E4">
        <w:trPr>
          <w:trHeight w:val="273"/>
        </w:trPr>
        <w:tc>
          <w:tcPr>
            <w:tcW w:w="16254" w:type="dxa"/>
            <w:gridSpan w:val="14"/>
            <w:tcBorders>
              <w:top w:val="single" w:sz="4" w:space="0" w:color="auto"/>
              <w:bottom w:val="single" w:sz="4" w:space="0" w:color="auto"/>
            </w:tcBorders>
          </w:tcPr>
          <w:tbl>
            <w:tblPr>
              <w:tblStyle w:val="TableGrid2"/>
              <w:tblpPr w:leftFromText="180" w:rightFromText="180" w:vertAnchor="text" w:horzAnchor="margin" w:tblpXSpec="center" w:tblpY="1"/>
              <w:tblW w:w="16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134"/>
              <w:gridCol w:w="1134"/>
              <w:gridCol w:w="4771"/>
              <w:gridCol w:w="981"/>
              <w:gridCol w:w="994"/>
              <w:gridCol w:w="1002"/>
              <w:gridCol w:w="841"/>
              <w:gridCol w:w="995"/>
              <w:gridCol w:w="853"/>
              <w:gridCol w:w="709"/>
              <w:gridCol w:w="909"/>
              <w:gridCol w:w="938"/>
            </w:tblGrid>
            <w:tr w:rsidR="00610897" w:rsidRPr="00610897" w14:paraId="608BED32" w14:textId="77777777" w:rsidTr="002441E4">
              <w:trPr>
                <w:trHeight w:val="232"/>
              </w:trPr>
              <w:tc>
                <w:tcPr>
                  <w:tcW w:w="993" w:type="dxa"/>
                  <w:vMerge w:val="restart"/>
                </w:tcPr>
                <w:p w14:paraId="52B91085"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Study name (year)</w:t>
                  </w:r>
                </w:p>
              </w:tc>
              <w:tc>
                <w:tcPr>
                  <w:tcW w:w="1134" w:type="dxa"/>
                  <w:vMerge w:val="restart"/>
                </w:tcPr>
                <w:p w14:paraId="20BBA2D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Jurisdiction</w:t>
                  </w:r>
                </w:p>
              </w:tc>
              <w:tc>
                <w:tcPr>
                  <w:tcW w:w="1134" w:type="dxa"/>
                  <w:vMerge w:val="restart"/>
                </w:tcPr>
                <w:p w14:paraId="596415B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Sample</w:t>
                  </w:r>
                </w:p>
              </w:tc>
              <w:tc>
                <w:tcPr>
                  <w:tcW w:w="4771" w:type="dxa"/>
                  <w:vMerge w:val="restart"/>
                </w:tcPr>
                <w:p w14:paraId="6FA1B2A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Findings</w:t>
                  </w:r>
                </w:p>
              </w:tc>
              <w:tc>
                <w:tcPr>
                  <w:tcW w:w="8222" w:type="dxa"/>
                  <w:gridSpan w:val="9"/>
                  <w:tcBorders>
                    <w:bottom w:val="single" w:sz="4" w:space="0" w:color="auto"/>
                  </w:tcBorders>
                </w:tcPr>
                <w:p w14:paraId="294F416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Areas of divergence</w:t>
                  </w:r>
                </w:p>
              </w:tc>
            </w:tr>
            <w:tr w:rsidR="00610897" w:rsidRPr="00610897" w14:paraId="2ED2737B" w14:textId="77777777" w:rsidTr="002441E4">
              <w:trPr>
                <w:trHeight w:val="195"/>
              </w:trPr>
              <w:tc>
                <w:tcPr>
                  <w:tcW w:w="993" w:type="dxa"/>
                  <w:vMerge/>
                </w:tcPr>
                <w:p w14:paraId="73177186" w14:textId="77777777" w:rsidR="00610897" w:rsidRPr="00610897" w:rsidRDefault="00610897" w:rsidP="00610897">
                  <w:pPr>
                    <w:jc w:val="both"/>
                    <w:rPr>
                      <w:rFonts w:ascii="Garamond" w:eastAsia="Calibri" w:hAnsi="Garamond"/>
                      <w:color w:val="000000"/>
                      <w:sz w:val="16"/>
                      <w:szCs w:val="16"/>
                    </w:rPr>
                  </w:pPr>
                </w:p>
              </w:tc>
              <w:tc>
                <w:tcPr>
                  <w:tcW w:w="1134" w:type="dxa"/>
                  <w:vMerge/>
                </w:tcPr>
                <w:p w14:paraId="656B2421" w14:textId="77777777" w:rsidR="00610897" w:rsidRPr="00610897" w:rsidRDefault="00610897" w:rsidP="00610897">
                  <w:pPr>
                    <w:jc w:val="both"/>
                    <w:rPr>
                      <w:rFonts w:ascii="Garamond" w:eastAsia="Calibri" w:hAnsi="Garamond"/>
                      <w:color w:val="000000"/>
                      <w:sz w:val="16"/>
                      <w:szCs w:val="16"/>
                    </w:rPr>
                  </w:pPr>
                </w:p>
              </w:tc>
              <w:tc>
                <w:tcPr>
                  <w:tcW w:w="1134" w:type="dxa"/>
                  <w:vMerge/>
                </w:tcPr>
                <w:p w14:paraId="5A55E8F8" w14:textId="77777777" w:rsidR="00610897" w:rsidRPr="00610897" w:rsidRDefault="00610897" w:rsidP="00610897">
                  <w:pPr>
                    <w:jc w:val="both"/>
                    <w:rPr>
                      <w:rFonts w:ascii="Garamond" w:eastAsia="Calibri" w:hAnsi="Garamond"/>
                      <w:color w:val="000000"/>
                      <w:sz w:val="16"/>
                      <w:szCs w:val="16"/>
                    </w:rPr>
                  </w:pPr>
                </w:p>
              </w:tc>
              <w:tc>
                <w:tcPr>
                  <w:tcW w:w="4771" w:type="dxa"/>
                  <w:vMerge/>
                </w:tcPr>
                <w:p w14:paraId="2CD749E9" w14:textId="77777777" w:rsidR="00610897" w:rsidRPr="00610897" w:rsidRDefault="00610897" w:rsidP="00610897">
                  <w:pPr>
                    <w:jc w:val="both"/>
                    <w:rPr>
                      <w:rFonts w:ascii="Garamond" w:eastAsia="Calibri" w:hAnsi="Garamond"/>
                      <w:color w:val="000000"/>
                      <w:sz w:val="16"/>
                      <w:szCs w:val="16"/>
                    </w:rPr>
                  </w:pPr>
                </w:p>
              </w:tc>
              <w:tc>
                <w:tcPr>
                  <w:tcW w:w="8222" w:type="dxa"/>
                  <w:gridSpan w:val="9"/>
                  <w:tcBorders>
                    <w:top w:val="single" w:sz="4" w:space="0" w:color="auto"/>
                    <w:bottom w:val="single" w:sz="4" w:space="0" w:color="auto"/>
                  </w:tcBorders>
                </w:tcPr>
                <w:p w14:paraId="5A3B44FD"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Method and context</w:t>
                  </w:r>
                </w:p>
              </w:tc>
            </w:tr>
            <w:tr w:rsidR="00610897" w:rsidRPr="00610897" w14:paraId="3B4C4654" w14:textId="77777777" w:rsidTr="002441E4">
              <w:trPr>
                <w:trHeight w:val="290"/>
              </w:trPr>
              <w:tc>
                <w:tcPr>
                  <w:tcW w:w="993" w:type="dxa"/>
                  <w:vMerge/>
                </w:tcPr>
                <w:p w14:paraId="5AA4F9CB" w14:textId="77777777" w:rsidR="00610897" w:rsidRPr="00610897" w:rsidRDefault="00610897" w:rsidP="00610897">
                  <w:pPr>
                    <w:jc w:val="both"/>
                    <w:rPr>
                      <w:rFonts w:ascii="Garamond" w:eastAsia="Calibri" w:hAnsi="Garamond"/>
                      <w:color w:val="000000"/>
                      <w:sz w:val="16"/>
                      <w:szCs w:val="16"/>
                    </w:rPr>
                  </w:pPr>
                </w:p>
              </w:tc>
              <w:tc>
                <w:tcPr>
                  <w:tcW w:w="1134" w:type="dxa"/>
                  <w:vMerge/>
                </w:tcPr>
                <w:p w14:paraId="060FBEDC" w14:textId="77777777" w:rsidR="00610897" w:rsidRPr="00610897" w:rsidRDefault="00610897" w:rsidP="00610897">
                  <w:pPr>
                    <w:jc w:val="both"/>
                    <w:rPr>
                      <w:rFonts w:ascii="Garamond" w:eastAsia="Calibri" w:hAnsi="Garamond"/>
                      <w:color w:val="000000"/>
                      <w:sz w:val="16"/>
                      <w:szCs w:val="16"/>
                    </w:rPr>
                  </w:pPr>
                </w:p>
              </w:tc>
              <w:tc>
                <w:tcPr>
                  <w:tcW w:w="1134" w:type="dxa"/>
                  <w:vMerge/>
                </w:tcPr>
                <w:p w14:paraId="2519B6CB" w14:textId="77777777" w:rsidR="00610897" w:rsidRPr="00610897" w:rsidRDefault="00610897" w:rsidP="00610897">
                  <w:pPr>
                    <w:jc w:val="both"/>
                    <w:rPr>
                      <w:rFonts w:ascii="Garamond" w:eastAsia="Calibri" w:hAnsi="Garamond"/>
                      <w:color w:val="000000"/>
                      <w:sz w:val="16"/>
                      <w:szCs w:val="16"/>
                    </w:rPr>
                  </w:pPr>
                </w:p>
              </w:tc>
              <w:tc>
                <w:tcPr>
                  <w:tcW w:w="4771" w:type="dxa"/>
                  <w:vMerge/>
                </w:tcPr>
                <w:p w14:paraId="66865E6A" w14:textId="77777777" w:rsidR="00610897" w:rsidRPr="00610897" w:rsidRDefault="00610897" w:rsidP="00610897">
                  <w:pPr>
                    <w:jc w:val="both"/>
                    <w:rPr>
                      <w:rFonts w:ascii="Garamond" w:eastAsia="Calibri" w:hAnsi="Garamond"/>
                      <w:color w:val="000000"/>
                      <w:sz w:val="16"/>
                      <w:szCs w:val="16"/>
                    </w:rPr>
                  </w:pPr>
                </w:p>
              </w:tc>
              <w:tc>
                <w:tcPr>
                  <w:tcW w:w="2977" w:type="dxa"/>
                  <w:gridSpan w:val="3"/>
                  <w:tcBorders>
                    <w:top w:val="single" w:sz="4" w:space="0" w:color="auto"/>
                    <w:bottom w:val="single" w:sz="4" w:space="0" w:color="auto"/>
                  </w:tcBorders>
                </w:tcPr>
                <w:p w14:paraId="4BE0EC1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Type of disclosure </w:t>
                  </w:r>
                </w:p>
              </w:tc>
              <w:tc>
                <w:tcPr>
                  <w:tcW w:w="1836" w:type="dxa"/>
                  <w:gridSpan w:val="2"/>
                  <w:tcBorders>
                    <w:top w:val="single" w:sz="4" w:space="0" w:color="auto"/>
                    <w:bottom w:val="single" w:sz="4" w:space="0" w:color="auto"/>
                  </w:tcBorders>
                </w:tcPr>
                <w:p w14:paraId="0ECDF132"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Type of content analysis </w:t>
                  </w:r>
                </w:p>
              </w:tc>
              <w:tc>
                <w:tcPr>
                  <w:tcW w:w="1562" w:type="dxa"/>
                  <w:gridSpan w:val="2"/>
                  <w:tcBorders>
                    <w:top w:val="single" w:sz="4" w:space="0" w:color="auto"/>
                    <w:bottom w:val="single" w:sz="4" w:space="0" w:color="auto"/>
                  </w:tcBorders>
                </w:tcPr>
                <w:p w14:paraId="0DAABF8B"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Type of analysis</w:t>
                  </w:r>
                </w:p>
              </w:tc>
              <w:tc>
                <w:tcPr>
                  <w:tcW w:w="1847" w:type="dxa"/>
                  <w:gridSpan w:val="2"/>
                  <w:tcBorders>
                    <w:top w:val="single" w:sz="4" w:space="0" w:color="auto"/>
                    <w:bottom w:val="single" w:sz="4" w:space="0" w:color="auto"/>
                  </w:tcBorders>
                </w:tcPr>
                <w:p w14:paraId="6A82E9B2"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Type of sector </w:t>
                  </w:r>
                </w:p>
              </w:tc>
            </w:tr>
            <w:tr w:rsidR="00610897" w:rsidRPr="00610897" w14:paraId="709390EE" w14:textId="77777777" w:rsidTr="002441E4">
              <w:trPr>
                <w:trHeight w:val="290"/>
              </w:trPr>
              <w:tc>
                <w:tcPr>
                  <w:tcW w:w="993" w:type="dxa"/>
                  <w:vMerge/>
                </w:tcPr>
                <w:p w14:paraId="7832D73C" w14:textId="77777777" w:rsidR="00610897" w:rsidRPr="00610897" w:rsidRDefault="00610897" w:rsidP="00610897">
                  <w:pPr>
                    <w:jc w:val="both"/>
                    <w:rPr>
                      <w:rFonts w:ascii="Garamond" w:eastAsia="Calibri" w:hAnsi="Garamond"/>
                      <w:color w:val="000000"/>
                      <w:sz w:val="16"/>
                      <w:szCs w:val="16"/>
                    </w:rPr>
                  </w:pPr>
                </w:p>
              </w:tc>
              <w:tc>
                <w:tcPr>
                  <w:tcW w:w="1134" w:type="dxa"/>
                  <w:vMerge/>
                </w:tcPr>
                <w:p w14:paraId="51780704" w14:textId="77777777" w:rsidR="00610897" w:rsidRPr="00610897" w:rsidRDefault="00610897" w:rsidP="00610897">
                  <w:pPr>
                    <w:jc w:val="both"/>
                    <w:rPr>
                      <w:rFonts w:ascii="Garamond" w:eastAsia="Calibri" w:hAnsi="Garamond"/>
                      <w:color w:val="000000"/>
                      <w:sz w:val="16"/>
                      <w:szCs w:val="16"/>
                    </w:rPr>
                  </w:pPr>
                </w:p>
              </w:tc>
              <w:tc>
                <w:tcPr>
                  <w:tcW w:w="1134" w:type="dxa"/>
                  <w:vMerge/>
                </w:tcPr>
                <w:p w14:paraId="04B205CA" w14:textId="77777777" w:rsidR="00610897" w:rsidRPr="00610897" w:rsidRDefault="00610897" w:rsidP="00610897">
                  <w:pPr>
                    <w:jc w:val="both"/>
                    <w:rPr>
                      <w:rFonts w:ascii="Garamond" w:eastAsia="Calibri" w:hAnsi="Garamond"/>
                      <w:color w:val="000000"/>
                      <w:sz w:val="16"/>
                      <w:szCs w:val="16"/>
                    </w:rPr>
                  </w:pPr>
                </w:p>
              </w:tc>
              <w:tc>
                <w:tcPr>
                  <w:tcW w:w="4771" w:type="dxa"/>
                  <w:vMerge/>
                </w:tcPr>
                <w:p w14:paraId="3C94C7FC" w14:textId="77777777" w:rsidR="00610897" w:rsidRPr="00610897" w:rsidRDefault="00610897" w:rsidP="00610897">
                  <w:pPr>
                    <w:jc w:val="both"/>
                    <w:rPr>
                      <w:rFonts w:ascii="Garamond" w:eastAsia="Calibri" w:hAnsi="Garamond"/>
                      <w:color w:val="000000"/>
                      <w:sz w:val="16"/>
                      <w:szCs w:val="16"/>
                    </w:rPr>
                  </w:pPr>
                </w:p>
              </w:tc>
              <w:tc>
                <w:tcPr>
                  <w:tcW w:w="981" w:type="dxa"/>
                  <w:tcBorders>
                    <w:top w:val="single" w:sz="4" w:space="0" w:color="auto"/>
                  </w:tcBorders>
                </w:tcPr>
                <w:p w14:paraId="32C8F1D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Mandatory </w:t>
                  </w:r>
                </w:p>
              </w:tc>
              <w:tc>
                <w:tcPr>
                  <w:tcW w:w="994" w:type="dxa"/>
                  <w:tcBorders>
                    <w:top w:val="single" w:sz="4" w:space="0" w:color="auto"/>
                  </w:tcBorders>
                </w:tcPr>
                <w:p w14:paraId="61F21F5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Voluntary</w:t>
                  </w:r>
                </w:p>
              </w:tc>
              <w:tc>
                <w:tcPr>
                  <w:tcW w:w="1002" w:type="dxa"/>
                  <w:tcBorders>
                    <w:top w:val="single" w:sz="4" w:space="0" w:color="auto"/>
                  </w:tcBorders>
                </w:tcPr>
                <w:p w14:paraId="20A937D5"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Aggregate </w:t>
                  </w:r>
                </w:p>
              </w:tc>
              <w:tc>
                <w:tcPr>
                  <w:tcW w:w="841" w:type="dxa"/>
                  <w:tcBorders>
                    <w:top w:val="single" w:sz="4" w:space="0" w:color="auto"/>
                  </w:tcBorders>
                </w:tcPr>
                <w:p w14:paraId="16CF971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Manual </w:t>
                  </w:r>
                </w:p>
              </w:tc>
              <w:tc>
                <w:tcPr>
                  <w:tcW w:w="995" w:type="dxa"/>
                  <w:tcBorders>
                    <w:top w:val="single" w:sz="4" w:space="0" w:color="auto"/>
                  </w:tcBorders>
                </w:tcPr>
                <w:p w14:paraId="34E3DD0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Automated</w:t>
                  </w:r>
                </w:p>
              </w:tc>
              <w:tc>
                <w:tcPr>
                  <w:tcW w:w="853" w:type="dxa"/>
                  <w:tcBorders>
                    <w:top w:val="single" w:sz="4" w:space="0" w:color="auto"/>
                  </w:tcBorders>
                </w:tcPr>
                <w:p w14:paraId="24A2BAD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Within-</w:t>
                  </w:r>
                </w:p>
                <w:p w14:paraId="11E7BD6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Country </w:t>
                  </w:r>
                </w:p>
              </w:tc>
              <w:tc>
                <w:tcPr>
                  <w:tcW w:w="709" w:type="dxa"/>
                  <w:tcBorders>
                    <w:top w:val="single" w:sz="4" w:space="0" w:color="auto"/>
                  </w:tcBorders>
                </w:tcPr>
                <w:p w14:paraId="0258E6D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Cross-country</w:t>
                  </w:r>
                </w:p>
              </w:tc>
              <w:tc>
                <w:tcPr>
                  <w:tcW w:w="909" w:type="dxa"/>
                  <w:tcBorders>
                    <w:top w:val="single" w:sz="4" w:space="0" w:color="auto"/>
                  </w:tcBorders>
                </w:tcPr>
                <w:p w14:paraId="279C8D3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Non-financial </w:t>
                  </w:r>
                </w:p>
              </w:tc>
              <w:tc>
                <w:tcPr>
                  <w:tcW w:w="938" w:type="dxa"/>
                  <w:tcBorders>
                    <w:top w:val="single" w:sz="4" w:space="0" w:color="auto"/>
                  </w:tcBorders>
                </w:tcPr>
                <w:p w14:paraId="3BE238EC"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Financial/</w:t>
                  </w:r>
                </w:p>
                <w:p w14:paraId="70AE7A37"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insurance </w:t>
                  </w:r>
                </w:p>
              </w:tc>
            </w:tr>
          </w:tbl>
          <w:p w14:paraId="682BEB87" w14:textId="77777777" w:rsidR="00610897" w:rsidRPr="00610897" w:rsidRDefault="00610897" w:rsidP="00610897">
            <w:pPr>
              <w:jc w:val="both"/>
              <w:rPr>
                <w:rFonts w:ascii="Garamond" w:eastAsia="Calibri" w:hAnsi="Garamond"/>
                <w:color w:val="000000"/>
                <w:sz w:val="16"/>
                <w:szCs w:val="16"/>
              </w:rPr>
            </w:pPr>
          </w:p>
        </w:tc>
      </w:tr>
      <w:tr w:rsidR="00610897" w:rsidRPr="00610897" w14:paraId="565E9283" w14:textId="77777777" w:rsidTr="002441E4">
        <w:trPr>
          <w:trHeight w:val="1038"/>
        </w:trPr>
        <w:tc>
          <w:tcPr>
            <w:tcW w:w="993" w:type="dxa"/>
            <w:tcBorders>
              <w:top w:val="single" w:sz="4" w:space="0" w:color="auto"/>
            </w:tcBorders>
          </w:tcPr>
          <w:p w14:paraId="6BB5304E" w14:textId="77777777" w:rsidR="00610897" w:rsidRPr="00610897" w:rsidRDefault="00610897" w:rsidP="00610897">
            <w:pPr>
              <w:rPr>
                <w:rFonts w:ascii="Garamond" w:eastAsia="Calibri" w:hAnsi="Garamond"/>
                <w:color w:val="000000"/>
                <w:sz w:val="16"/>
                <w:szCs w:val="16"/>
              </w:rPr>
            </w:pPr>
            <w:proofErr w:type="spellStart"/>
            <w:r w:rsidRPr="00610897">
              <w:rPr>
                <w:rFonts w:ascii="Garamond" w:eastAsia="Calibri" w:hAnsi="Garamond"/>
                <w:color w:val="000000"/>
                <w:sz w:val="16"/>
                <w:szCs w:val="16"/>
              </w:rPr>
              <w:t>Miihkinen</w:t>
            </w:r>
            <w:proofErr w:type="spellEnd"/>
            <w:r w:rsidRPr="00610897">
              <w:rPr>
                <w:rFonts w:ascii="Garamond" w:eastAsia="Calibri" w:hAnsi="Garamond"/>
                <w:color w:val="000000"/>
                <w:sz w:val="16"/>
                <w:szCs w:val="16"/>
              </w:rPr>
              <w:t xml:space="preserve"> (2013)</w:t>
            </w:r>
          </w:p>
        </w:tc>
        <w:tc>
          <w:tcPr>
            <w:tcW w:w="1134" w:type="dxa"/>
            <w:tcBorders>
              <w:top w:val="single" w:sz="4" w:space="0" w:color="auto"/>
            </w:tcBorders>
          </w:tcPr>
          <w:p w14:paraId="210B11DB"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Finland</w:t>
            </w:r>
          </w:p>
        </w:tc>
        <w:tc>
          <w:tcPr>
            <w:tcW w:w="1134" w:type="dxa"/>
            <w:tcBorders>
              <w:top w:val="single" w:sz="4" w:space="0" w:color="auto"/>
            </w:tcBorders>
          </w:tcPr>
          <w:p w14:paraId="40B8B93A"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386 firm-year observations </w:t>
            </w:r>
          </w:p>
          <w:p w14:paraId="09A6C888" w14:textId="77777777" w:rsidR="00610897" w:rsidRPr="00610897" w:rsidRDefault="00610897" w:rsidP="00610897">
            <w:pPr>
              <w:tabs>
                <w:tab w:val="left" w:pos="657"/>
              </w:tabs>
              <w:rPr>
                <w:rFonts w:ascii="Garamond" w:eastAsia="Calibri" w:hAnsi="Garamond"/>
                <w:color w:val="000000"/>
                <w:sz w:val="16"/>
                <w:szCs w:val="16"/>
              </w:rPr>
            </w:pPr>
            <w:r w:rsidRPr="00610897">
              <w:rPr>
                <w:rFonts w:ascii="Garamond" w:eastAsia="Calibri" w:hAnsi="Garamond"/>
                <w:color w:val="000000"/>
                <w:sz w:val="16"/>
                <w:szCs w:val="16"/>
              </w:rPr>
              <w:t>2006-2009</w:t>
            </w:r>
          </w:p>
        </w:tc>
        <w:tc>
          <w:tcPr>
            <w:tcW w:w="4771" w:type="dxa"/>
            <w:tcBorders>
              <w:top w:val="single" w:sz="4" w:space="0" w:color="auto"/>
            </w:tcBorders>
          </w:tcPr>
          <w:p w14:paraId="5E67B07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This paper finds that the quality of mandatory risk disclosure significantly mitigates information asymmetry between managers and investors, suggesting that this information is firm-specific. The paper also finds that small, high-tech and low-analyst-coverage firms are likely to provide significantly more informative risk information than other firms. </w:t>
            </w:r>
          </w:p>
        </w:tc>
        <w:tc>
          <w:tcPr>
            <w:tcW w:w="975" w:type="dxa"/>
            <w:tcBorders>
              <w:top w:val="single" w:sz="4" w:space="0" w:color="auto"/>
            </w:tcBorders>
          </w:tcPr>
          <w:p w14:paraId="4AE8D13E" w14:textId="77777777" w:rsidR="00610897" w:rsidRPr="00610897" w:rsidRDefault="00610897" w:rsidP="00610897">
            <w:pPr>
              <w:jc w:val="both"/>
              <w:rPr>
                <w:rFonts w:ascii="Garamond" w:eastAsia="Calibri" w:hAnsi="Garamond"/>
                <w:color w:val="000000"/>
                <w:sz w:val="16"/>
                <w:szCs w:val="16"/>
              </w:rPr>
            </w:pPr>
          </w:p>
        </w:tc>
        <w:tc>
          <w:tcPr>
            <w:tcW w:w="1000" w:type="dxa"/>
            <w:gridSpan w:val="2"/>
            <w:tcBorders>
              <w:top w:val="single" w:sz="4" w:space="0" w:color="auto"/>
            </w:tcBorders>
          </w:tcPr>
          <w:p w14:paraId="60B00A78"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002" w:type="dxa"/>
            <w:tcBorders>
              <w:top w:val="single" w:sz="4" w:space="0" w:color="auto"/>
            </w:tcBorders>
          </w:tcPr>
          <w:p w14:paraId="5C8E7A5B" w14:textId="77777777" w:rsidR="00610897" w:rsidRPr="00610897" w:rsidRDefault="00610897" w:rsidP="00610897">
            <w:pPr>
              <w:jc w:val="both"/>
              <w:rPr>
                <w:rFonts w:ascii="Garamond" w:eastAsia="Calibri" w:hAnsi="Garamond"/>
                <w:color w:val="000000"/>
                <w:sz w:val="16"/>
                <w:szCs w:val="16"/>
              </w:rPr>
            </w:pPr>
          </w:p>
        </w:tc>
        <w:tc>
          <w:tcPr>
            <w:tcW w:w="841" w:type="dxa"/>
            <w:tcBorders>
              <w:top w:val="single" w:sz="4" w:space="0" w:color="auto"/>
            </w:tcBorders>
          </w:tcPr>
          <w:p w14:paraId="60F8C9F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95" w:type="dxa"/>
            <w:tcBorders>
              <w:top w:val="single" w:sz="4" w:space="0" w:color="auto"/>
            </w:tcBorders>
          </w:tcPr>
          <w:p w14:paraId="436867C3" w14:textId="77777777" w:rsidR="00610897" w:rsidRPr="00610897" w:rsidRDefault="00610897" w:rsidP="00610897">
            <w:pPr>
              <w:jc w:val="both"/>
              <w:rPr>
                <w:rFonts w:ascii="Garamond" w:eastAsia="Calibri" w:hAnsi="Garamond"/>
                <w:color w:val="000000"/>
                <w:sz w:val="16"/>
                <w:szCs w:val="16"/>
              </w:rPr>
            </w:pPr>
          </w:p>
        </w:tc>
        <w:tc>
          <w:tcPr>
            <w:tcW w:w="853" w:type="dxa"/>
            <w:tcBorders>
              <w:top w:val="single" w:sz="4" w:space="0" w:color="auto"/>
            </w:tcBorders>
          </w:tcPr>
          <w:p w14:paraId="176180AE"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709" w:type="dxa"/>
            <w:tcBorders>
              <w:top w:val="single" w:sz="4" w:space="0" w:color="auto"/>
            </w:tcBorders>
          </w:tcPr>
          <w:p w14:paraId="129248B6" w14:textId="77777777" w:rsidR="00610897" w:rsidRPr="00610897" w:rsidRDefault="00610897" w:rsidP="00610897">
            <w:pPr>
              <w:jc w:val="both"/>
              <w:rPr>
                <w:rFonts w:ascii="Garamond" w:eastAsia="Calibri" w:hAnsi="Garamond"/>
                <w:color w:val="000000"/>
                <w:sz w:val="16"/>
                <w:szCs w:val="16"/>
              </w:rPr>
            </w:pPr>
          </w:p>
        </w:tc>
        <w:tc>
          <w:tcPr>
            <w:tcW w:w="909" w:type="dxa"/>
            <w:tcBorders>
              <w:top w:val="single" w:sz="4" w:space="0" w:color="auto"/>
            </w:tcBorders>
          </w:tcPr>
          <w:p w14:paraId="10FC3C1F"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38" w:type="dxa"/>
            <w:tcBorders>
              <w:top w:val="single" w:sz="4" w:space="0" w:color="auto"/>
            </w:tcBorders>
          </w:tcPr>
          <w:p w14:paraId="379B281C" w14:textId="77777777" w:rsidR="00610897" w:rsidRPr="00610897" w:rsidRDefault="00610897" w:rsidP="00610897">
            <w:pPr>
              <w:jc w:val="both"/>
              <w:rPr>
                <w:rFonts w:ascii="Garamond" w:eastAsia="Calibri" w:hAnsi="Garamond"/>
                <w:color w:val="000000"/>
                <w:sz w:val="16"/>
                <w:szCs w:val="16"/>
              </w:rPr>
            </w:pPr>
          </w:p>
        </w:tc>
      </w:tr>
      <w:tr w:rsidR="00610897" w:rsidRPr="00610897" w14:paraId="7B50DE23" w14:textId="77777777" w:rsidTr="002441E4">
        <w:trPr>
          <w:trHeight w:val="709"/>
        </w:trPr>
        <w:tc>
          <w:tcPr>
            <w:tcW w:w="993" w:type="dxa"/>
          </w:tcPr>
          <w:p w14:paraId="05278B5A"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 xml:space="preserve">Abdullah </w:t>
            </w:r>
          </w:p>
          <w:p w14:paraId="5919B46A"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et al. (2015)</w:t>
            </w:r>
          </w:p>
        </w:tc>
        <w:tc>
          <w:tcPr>
            <w:tcW w:w="1134" w:type="dxa"/>
          </w:tcPr>
          <w:p w14:paraId="4A2B339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Malaysia </w:t>
            </w:r>
          </w:p>
        </w:tc>
        <w:tc>
          <w:tcPr>
            <w:tcW w:w="1134" w:type="dxa"/>
          </w:tcPr>
          <w:p w14:paraId="766786C4"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395 firms from the year 2011</w:t>
            </w:r>
          </w:p>
        </w:tc>
        <w:tc>
          <w:tcPr>
            <w:tcW w:w="4771" w:type="dxa"/>
          </w:tcPr>
          <w:p w14:paraId="7CA9F5A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 xml:space="preserve">This paper finds voluntary risk management disclosure improves firms’ value. This is particularly true for beneficial as opposed to damaging voluntary risk management disclosures. </w:t>
            </w:r>
          </w:p>
        </w:tc>
        <w:tc>
          <w:tcPr>
            <w:tcW w:w="975" w:type="dxa"/>
          </w:tcPr>
          <w:p w14:paraId="1F41E974"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000" w:type="dxa"/>
            <w:gridSpan w:val="2"/>
          </w:tcPr>
          <w:p w14:paraId="3EA5BC44" w14:textId="77777777" w:rsidR="00610897" w:rsidRPr="00610897" w:rsidRDefault="00610897" w:rsidP="00610897">
            <w:pPr>
              <w:jc w:val="both"/>
              <w:rPr>
                <w:rFonts w:ascii="Garamond" w:eastAsia="Calibri" w:hAnsi="Garamond"/>
                <w:color w:val="000000"/>
                <w:sz w:val="16"/>
                <w:szCs w:val="16"/>
              </w:rPr>
            </w:pPr>
          </w:p>
        </w:tc>
        <w:tc>
          <w:tcPr>
            <w:tcW w:w="1002" w:type="dxa"/>
          </w:tcPr>
          <w:p w14:paraId="77344E39" w14:textId="77777777" w:rsidR="00610897" w:rsidRPr="00610897" w:rsidRDefault="00610897" w:rsidP="00610897">
            <w:pPr>
              <w:jc w:val="both"/>
              <w:rPr>
                <w:rFonts w:ascii="Garamond" w:eastAsia="Calibri" w:hAnsi="Garamond"/>
                <w:color w:val="000000"/>
                <w:sz w:val="16"/>
                <w:szCs w:val="16"/>
              </w:rPr>
            </w:pPr>
          </w:p>
        </w:tc>
        <w:tc>
          <w:tcPr>
            <w:tcW w:w="841" w:type="dxa"/>
          </w:tcPr>
          <w:p w14:paraId="2CA9D28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95" w:type="dxa"/>
          </w:tcPr>
          <w:p w14:paraId="09FE353A" w14:textId="77777777" w:rsidR="00610897" w:rsidRPr="00610897" w:rsidRDefault="00610897" w:rsidP="00610897">
            <w:pPr>
              <w:jc w:val="both"/>
              <w:rPr>
                <w:rFonts w:ascii="Garamond" w:eastAsia="Calibri" w:hAnsi="Garamond"/>
                <w:color w:val="000000"/>
                <w:sz w:val="16"/>
                <w:szCs w:val="16"/>
              </w:rPr>
            </w:pPr>
          </w:p>
        </w:tc>
        <w:tc>
          <w:tcPr>
            <w:tcW w:w="853" w:type="dxa"/>
          </w:tcPr>
          <w:p w14:paraId="784C9DAD"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709" w:type="dxa"/>
          </w:tcPr>
          <w:p w14:paraId="2E49EB1D" w14:textId="77777777" w:rsidR="00610897" w:rsidRPr="00610897" w:rsidRDefault="00610897" w:rsidP="00610897">
            <w:pPr>
              <w:jc w:val="both"/>
              <w:rPr>
                <w:rFonts w:ascii="Garamond" w:eastAsia="Calibri" w:hAnsi="Garamond"/>
                <w:color w:val="000000"/>
                <w:sz w:val="16"/>
                <w:szCs w:val="16"/>
              </w:rPr>
            </w:pPr>
          </w:p>
        </w:tc>
        <w:tc>
          <w:tcPr>
            <w:tcW w:w="909" w:type="dxa"/>
          </w:tcPr>
          <w:p w14:paraId="64CD7559"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38" w:type="dxa"/>
          </w:tcPr>
          <w:p w14:paraId="391BD1EA" w14:textId="77777777" w:rsidR="00610897" w:rsidRPr="00610897" w:rsidRDefault="00610897" w:rsidP="00610897">
            <w:pPr>
              <w:jc w:val="both"/>
              <w:rPr>
                <w:rFonts w:ascii="Garamond" w:eastAsia="Calibri" w:hAnsi="Garamond"/>
                <w:color w:val="000000"/>
                <w:sz w:val="16"/>
                <w:szCs w:val="16"/>
              </w:rPr>
            </w:pPr>
          </w:p>
        </w:tc>
      </w:tr>
      <w:tr w:rsidR="00610897" w:rsidRPr="00610897" w14:paraId="218CE740" w14:textId="77777777" w:rsidTr="002441E4">
        <w:trPr>
          <w:trHeight w:val="1026"/>
        </w:trPr>
        <w:tc>
          <w:tcPr>
            <w:tcW w:w="993" w:type="dxa"/>
            <w:tcBorders>
              <w:bottom w:val="single" w:sz="4" w:space="0" w:color="auto"/>
            </w:tcBorders>
          </w:tcPr>
          <w:p w14:paraId="6866E6A3" w14:textId="77777777" w:rsidR="00610897" w:rsidRPr="00610897" w:rsidRDefault="00610897" w:rsidP="00610897">
            <w:pPr>
              <w:rPr>
                <w:rFonts w:ascii="Garamond" w:eastAsia="Calibri" w:hAnsi="Garamond"/>
                <w:color w:val="000000"/>
                <w:sz w:val="16"/>
                <w:szCs w:val="16"/>
              </w:rPr>
            </w:pPr>
            <w:proofErr w:type="spellStart"/>
            <w:r w:rsidRPr="00610897">
              <w:rPr>
                <w:rFonts w:ascii="Garamond" w:eastAsia="Calibri" w:hAnsi="Garamond"/>
                <w:color w:val="000000"/>
                <w:sz w:val="16"/>
                <w:szCs w:val="16"/>
              </w:rPr>
              <w:t>Moumen</w:t>
            </w:r>
            <w:proofErr w:type="spellEnd"/>
            <w:r w:rsidRPr="00610897">
              <w:rPr>
                <w:rFonts w:ascii="Garamond" w:eastAsia="Calibri" w:hAnsi="Garamond"/>
                <w:color w:val="000000"/>
                <w:sz w:val="16"/>
                <w:szCs w:val="16"/>
              </w:rPr>
              <w:t xml:space="preserve"> </w:t>
            </w:r>
          </w:p>
          <w:p w14:paraId="4EAAFA11"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et al. (2015)</w:t>
            </w:r>
          </w:p>
        </w:tc>
        <w:tc>
          <w:tcPr>
            <w:tcW w:w="1134" w:type="dxa"/>
            <w:tcBorders>
              <w:bottom w:val="single" w:sz="4" w:space="0" w:color="auto"/>
            </w:tcBorders>
          </w:tcPr>
          <w:p w14:paraId="10484BE0"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12 Middle Eastern and North African (MENA)  countries</w:t>
            </w:r>
          </w:p>
        </w:tc>
        <w:tc>
          <w:tcPr>
            <w:tcW w:w="1134" w:type="dxa"/>
            <w:tcBorders>
              <w:bottom w:val="single" w:sz="4" w:space="0" w:color="auto"/>
            </w:tcBorders>
          </w:tcPr>
          <w:p w14:paraId="409380DB" w14:textId="77777777" w:rsidR="00610897" w:rsidRPr="00610897" w:rsidRDefault="00610897" w:rsidP="00610897">
            <w:pPr>
              <w:rPr>
                <w:rFonts w:ascii="Garamond" w:eastAsia="Calibri" w:hAnsi="Garamond"/>
                <w:color w:val="000000"/>
                <w:sz w:val="16"/>
                <w:szCs w:val="16"/>
              </w:rPr>
            </w:pPr>
            <w:r w:rsidRPr="00610897">
              <w:rPr>
                <w:rFonts w:ascii="Garamond" w:eastAsia="Calibri" w:hAnsi="Garamond"/>
                <w:color w:val="000000"/>
                <w:sz w:val="16"/>
                <w:szCs w:val="16"/>
              </w:rPr>
              <w:t>809 firm-year observations for non-financial firms during 2007–2009</w:t>
            </w:r>
          </w:p>
        </w:tc>
        <w:tc>
          <w:tcPr>
            <w:tcW w:w="4771" w:type="dxa"/>
            <w:tcBorders>
              <w:bottom w:val="single" w:sz="4" w:space="0" w:color="auto"/>
            </w:tcBorders>
          </w:tcPr>
          <w:p w14:paraId="75C3190A"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t>This paper finds voluntary risk disclosure significantly influenced by future earnings. The observed impact is moderated by the level of proprietary costs.</w:t>
            </w:r>
          </w:p>
        </w:tc>
        <w:tc>
          <w:tcPr>
            <w:tcW w:w="975" w:type="dxa"/>
            <w:tcBorders>
              <w:bottom w:val="single" w:sz="4" w:space="0" w:color="auto"/>
            </w:tcBorders>
          </w:tcPr>
          <w:p w14:paraId="58A47969" w14:textId="77777777" w:rsidR="00610897" w:rsidRPr="00610897" w:rsidRDefault="00610897" w:rsidP="00610897">
            <w:pPr>
              <w:jc w:val="both"/>
              <w:rPr>
                <w:rFonts w:ascii="Garamond" w:eastAsia="Calibri" w:hAnsi="Garamond"/>
                <w:color w:val="000000"/>
                <w:sz w:val="16"/>
                <w:szCs w:val="16"/>
              </w:rPr>
            </w:pPr>
          </w:p>
        </w:tc>
        <w:tc>
          <w:tcPr>
            <w:tcW w:w="1000" w:type="dxa"/>
            <w:gridSpan w:val="2"/>
            <w:tcBorders>
              <w:bottom w:val="single" w:sz="4" w:space="0" w:color="auto"/>
            </w:tcBorders>
          </w:tcPr>
          <w:p w14:paraId="38D296D3"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1002" w:type="dxa"/>
            <w:tcBorders>
              <w:bottom w:val="single" w:sz="4" w:space="0" w:color="auto"/>
            </w:tcBorders>
          </w:tcPr>
          <w:p w14:paraId="01F0E2CA" w14:textId="77777777" w:rsidR="00610897" w:rsidRPr="00610897" w:rsidRDefault="00610897" w:rsidP="00610897">
            <w:pPr>
              <w:jc w:val="both"/>
              <w:rPr>
                <w:rFonts w:ascii="Garamond" w:eastAsia="Calibri" w:hAnsi="Garamond"/>
                <w:color w:val="000000"/>
                <w:sz w:val="16"/>
                <w:szCs w:val="16"/>
              </w:rPr>
            </w:pPr>
          </w:p>
        </w:tc>
        <w:tc>
          <w:tcPr>
            <w:tcW w:w="841" w:type="dxa"/>
            <w:tcBorders>
              <w:bottom w:val="single" w:sz="4" w:space="0" w:color="auto"/>
            </w:tcBorders>
          </w:tcPr>
          <w:p w14:paraId="11391376"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95" w:type="dxa"/>
            <w:tcBorders>
              <w:bottom w:val="single" w:sz="4" w:space="0" w:color="auto"/>
            </w:tcBorders>
          </w:tcPr>
          <w:p w14:paraId="55AC528F" w14:textId="77777777" w:rsidR="00610897" w:rsidRPr="00610897" w:rsidRDefault="00610897" w:rsidP="00610897">
            <w:pPr>
              <w:jc w:val="both"/>
              <w:rPr>
                <w:rFonts w:ascii="Garamond" w:eastAsia="Calibri" w:hAnsi="Garamond"/>
                <w:color w:val="000000"/>
                <w:sz w:val="16"/>
                <w:szCs w:val="16"/>
              </w:rPr>
            </w:pPr>
          </w:p>
        </w:tc>
        <w:tc>
          <w:tcPr>
            <w:tcW w:w="853" w:type="dxa"/>
            <w:tcBorders>
              <w:bottom w:val="single" w:sz="4" w:space="0" w:color="auto"/>
            </w:tcBorders>
          </w:tcPr>
          <w:p w14:paraId="4EE82DBC" w14:textId="77777777" w:rsidR="00610897" w:rsidRPr="00610897" w:rsidRDefault="00610897" w:rsidP="00610897">
            <w:pPr>
              <w:jc w:val="both"/>
              <w:rPr>
                <w:rFonts w:ascii="Garamond" w:eastAsia="Calibri" w:hAnsi="Garamond"/>
                <w:color w:val="000000"/>
                <w:sz w:val="16"/>
                <w:szCs w:val="16"/>
              </w:rPr>
            </w:pPr>
          </w:p>
        </w:tc>
        <w:tc>
          <w:tcPr>
            <w:tcW w:w="709" w:type="dxa"/>
            <w:tcBorders>
              <w:bottom w:val="single" w:sz="4" w:space="0" w:color="auto"/>
            </w:tcBorders>
          </w:tcPr>
          <w:p w14:paraId="3C2F73D1"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09" w:type="dxa"/>
            <w:tcBorders>
              <w:bottom w:val="single" w:sz="4" w:space="0" w:color="auto"/>
            </w:tcBorders>
          </w:tcPr>
          <w:p w14:paraId="037AEFB2" w14:textId="77777777" w:rsidR="00610897" w:rsidRPr="00610897" w:rsidRDefault="00610897" w:rsidP="00610897">
            <w:pPr>
              <w:jc w:val="both"/>
              <w:rPr>
                <w:rFonts w:ascii="Garamond" w:eastAsia="Calibri" w:hAnsi="Garamond"/>
                <w:color w:val="000000"/>
                <w:sz w:val="16"/>
                <w:szCs w:val="16"/>
              </w:rPr>
            </w:pPr>
            <w:r w:rsidRPr="00610897">
              <w:rPr>
                <w:rFonts w:ascii="Garamond" w:eastAsia="Calibri" w:hAnsi="Garamond"/>
                <w:color w:val="000000"/>
                <w:sz w:val="16"/>
                <w:szCs w:val="16"/>
              </w:rPr>
              <w:sym w:font="Wingdings" w:char="F0FC"/>
            </w:r>
          </w:p>
        </w:tc>
        <w:tc>
          <w:tcPr>
            <w:tcW w:w="938" w:type="dxa"/>
            <w:tcBorders>
              <w:bottom w:val="single" w:sz="4" w:space="0" w:color="auto"/>
            </w:tcBorders>
          </w:tcPr>
          <w:p w14:paraId="1E4A402E" w14:textId="77777777" w:rsidR="00610897" w:rsidRPr="00610897" w:rsidRDefault="00610897" w:rsidP="00610897">
            <w:pPr>
              <w:jc w:val="both"/>
              <w:rPr>
                <w:rFonts w:ascii="Garamond" w:eastAsia="Calibri" w:hAnsi="Garamond"/>
                <w:color w:val="000000"/>
                <w:sz w:val="16"/>
                <w:szCs w:val="16"/>
              </w:rPr>
            </w:pPr>
          </w:p>
        </w:tc>
      </w:tr>
    </w:tbl>
    <w:p w14:paraId="3590411E" w14:textId="77777777" w:rsidR="00610897" w:rsidRPr="00610897" w:rsidRDefault="00610897" w:rsidP="00610897">
      <w:pPr>
        <w:ind w:firstLine="720"/>
        <w:rPr>
          <w:rFonts w:eastAsia="Calibri"/>
          <w:color w:val="000000"/>
          <w:kern w:val="0"/>
          <w:sz w:val="16"/>
          <w:szCs w:val="16"/>
        </w:rPr>
      </w:pPr>
    </w:p>
    <w:p w14:paraId="3F28E016" w14:textId="77777777" w:rsidR="00610897" w:rsidRPr="003813C9" w:rsidRDefault="00610897" w:rsidP="00CD3DC4">
      <w:pPr>
        <w:spacing w:after="0" w:line="240" w:lineRule="auto"/>
        <w:ind w:hanging="720"/>
        <w:jc w:val="both"/>
        <w:rPr>
          <w:i/>
          <w:color w:val="auto"/>
          <w:sz w:val="24"/>
          <w:szCs w:val="24"/>
        </w:rPr>
      </w:pPr>
      <w:bookmarkStart w:id="5" w:name="_GoBack"/>
      <w:bookmarkEnd w:id="5"/>
    </w:p>
    <w:sectPr w:rsidR="00610897" w:rsidRPr="003813C9" w:rsidSect="00610897">
      <w:footerReference w:type="default" r:id="rId14"/>
      <w:pgSz w:w="16838" w:h="11906" w:orient="landscape"/>
      <w:pgMar w:top="1440" w:right="1440" w:bottom="1440" w:left="1440" w:header="709" w:footer="709" w:gutter="0"/>
      <w:pgNumType w:start="49"/>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9F3EC9" w15:done="0"/>
  <w15:commentEx w15:paraId="452C5B73" w15:done="0"/>
  <w15:commentEx w15:paraId="5A47E5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570F5" w14:textId="77777777" w:rsidR="00E569C1" w:rsidRDefault="00E569C1" w:rsidP="000A10BB">
      <w:pPr>
        <w:spacing w:after="0" w:line="240" w:lineRule="auto"/>
      </w:pPr>
      <w:r>
        <w:separator/>
      </w:r>
    </w:p>
  </w:endnote>
  <w:endnote w:type="continuationSeparator" w:id="0">
    <w:p w14:paraId="249B7E92" w14:textId="77777777" w:rsidR="00E569C1" w:rsidRDefault="00E569C1" w:rsidP="000A1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Calibri">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Math,Times New Roman">
    <w:altName w:val="Times New Roman"/>
    <w:panose1 w:val="00000000000000000000"/>
    <w:charset w:val="00"/>
    <w:family w:val="roman"/>
    <w:notTrueType/>
    <w:pitch w:val="default"/>
  </w:font>
  <w:font w:name="Times New Roman,Times New Roman">
    <w:altName w:val="Times New Roman"/>
    <w:panose1 w:val="00000000000000000000"/>
    <w:charset w:val="00"/>
    <w:family w:val="roman"/>
    <w:notTrueType/>
    <w:pitch w:val="default"/>
  </w:font>
  <w:font w:name="Times New Roman,宋体">
    <w:altName w:val="MS Gothic"/>
    <w:panose1 w:val="00000000000000000000"/>
    <w:charset w:val="80"/>
    <w:family w:val="roman"/>
    <w:notTrueType/>
    <w:pitch w:val="default"/>
  </w:font>
  <w:font w:name="Times New Roman,Garamond,Times">
    <w:altName w:val="Times New Roman"/>
    <w:panose1 w:val="00000000000000000000"/>
    <w:charset w:val="00"/>
    <w:family w:val="roman"/>
    <w:notTrueType/>
    <w:pitch w:val="default"/>
  </w:font>
  <w:font w:name="Times New Roman,SimSu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219998"/>
      <w:docPartObj>
        <w:docPartGallery w:val="Page Numbers (Bottom of Page)"/>
        <w:docPartUnique/>
      </w:docPartObj>
    </w:sdtPr>
    <w:sdtEndPr>
      <w:rPr>
        <w:rFonts w:ascii="Garamond" w:hAnsi="Garamond"/>
        <w:noProof/>
      </w:rPr>
    </w:sdtEndPr>
    <w:sdtContent>
      <w:p w14:paraId="47F3D498" w14:textId="77777777" w:rsidR="00610897" w:rsidRPr="00984C8E" w:rsidRDefault="00610897">
        <w:pPr>
          <w:pStyle w:val="Footer"/>
          <w:jc w:val="center"/>
          <w:rPr>
            <w:rFonts w:ascii="Garamond" w:hAnsi="Garamond"/>
          </w:rPr>
        </w:pPr>
        <w:r w:rsidRPr="00984C8E">
          <w:rPr>
            <w:rFonts w:ascii="Garamond" w:hAnsi="Garamond"/>
          </w:rPr>
          <w:fldChar w:fldCharType="begin"/>
        </w:r>
        <w:r w:rsidRPr="00984C8E">
          <w:rPr>
            <w:rFonts w:ascii="Garamond" w:hAnsi="Garamond"/>
          </w:rPr>
          <w:instrText xml:space="preserve"> PAGE   \* MERGEFORMAT </w:instrText>
        </w:r>
        <w:r w:rsidRPr="00984C8E">
          <w:rPr>
            <w:rFonts w:ascii="Garamond" w:hAnsi="Garamond"/>
          </w:rPr>
          <w:fldChar w:fldCharType="separate"/>
        </w:r>
        <w:r>
          <w:rPr>
            <w:rFonts w:ascii="Garamond" w:hAnsi="Garamond"/>
            <w:noProof/>
          </w:rPr>
          <w:t>0</w:t>
        </w:r>
        <w:r w:rsidRPr="00984C8E">
          <w:rPr>
            <w:rFonts w:ascii="Garamond" w:hAnsi="Garamond"/>
            <w:noProof/>
          </w:rPr>
          <w:fldChar w:fldCharType="end"/>
        </w:r>
      </w:p>
    </w:sdtContent>
  </w:sdt>
  <w:p w14:paraId="702F9C5D" w14:textId="77777777" w:rsidR="00610897" w:rsidRDefault="00610897" w:rsidP="002B3B7E">
    <w:pPr>
      <w:pStyle w:val="Footer"/>
      <w:tabs>
        <w:tab w:val="left" w:pos="902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503553"/>
      <w:docPartObj>
        <w:docPartGallery w:val="Page Numbers (Bottom of Page)"/>
        <w:docPartUnique/>
      </w:docPartObj>
    </w:sdtPr>
    <w:sdtEndPr>
      <w:rPr>
        <w:noProof/>
        <w:color w:val="auto"/>
      </w:rPr>
    </w:sdtEndPr>
    <w:sdtContent>
      <w:p w14:paraId="41DDAB6D" w14:textId="02FA9A02" w:rsidR="006E5A74" w:rsidRPr="00A55E75" w:rsidRDefault="006E5A74">
        <w:pPr>
          <w:pStyle w:val="Footer"/>
          <w:jc w:val="center"/>
          <w:rPr>
            <w:color w:val="auto"/>
          </w:rPr>
        </w:pPr>
        <w:r w:rsidRPr="00A55E75">
          <w:rPr>
            <w:color w:val="auto"/>
          </w:rPr>
          <w:fldChar w:fldCharType="begin"/>
        </w:r>
        <w:r w:rsidRPr="00A55E75">
          <w:rPr>
            <w:color w:val="auto"/>
          </w:rPr>
          <w:instrText xml:space="preserve"> PAGE   \* MERGEFORMAT </w:instrText>
        </w:r>
        <w:r w:rsidRPr="00A55E75">
          <w:rPr>
            <w:color w:val="auto"/>
          </w:rPr>
          <w:fldChar w:fldCharType="separate"/>
        </w:r>
        <w:r w:rsidR="00610897">
          <w:rPr>
            <w:noProof/>
            <w:color w:val="auto"/>
          </w:rPr>
          <w:t>50</w:t>
        </w:r>
        <w:r w:rsidRPr="00A55E75">
          <w:rPr>
            <w:noProof/>
            <w:color w:val="auto"/>
          </w:rPr>
          <w:fldChar w:fldCharType="end"/>
        </w:r>
      </w:p>
    </w:sdtContent>
  </w:sdt>
  <w:p w14:paraId="7006467E" w14:textId="77777777" w:rsidR="006E5A74" w:rsidRDefault="006E5A74" w:rsidP="00FD011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C500A" w14:textId="77777777" w:rsidR="00E569C1" w:rsidRDefault="00E569C1" w:rsidP="000A10BB">
      <w:pPr>
        <w:spacing w:after="0" w:line="240" w:lineRule="auto"/>
      </w:pPr>
      <w:r>
        <w:separator/>
      </w:r>
    </w:p>
  </w:footnote>
  <w:footnote w:type="continuationSeparator" w:id="0">
    <w:p w14:paraId="204C6FB5" w14:textId="77777777" w:rsidR="00E569C1" w:rsidRDefault="00E569C1" w:rsidP="000A10BB">
      <w:pPr>
        <w:spacing w:after="0" w:line="240" w:lineRule="auto"/>
      </w:pPr>
      <w:r>
        <w:continuationSeparator/>
      </w:r>
    </w:p>
  </w:footnote>
  <w:footnote w:id="1">
    <w:p w14:paraId="7C4B0E4B" w14:textId="77777777" w:rsidR="006E5A74" w:rsidRPr="003E5047" w:rsidRDefault="006E5A74" w:rsidP="0046703C">
      <w:pPr>
        <w:pStyle w:val="FootnoteText"/>
        <w:ind w:firstLine="567"/>
        <w:jc w:val="both"/>
        <w:rPr>
          <w:rFonts w:ascii="Garamond" w:hAnsi="Garamond"/>
          <w:lang w:val="en-CA"/>
        </w:rPr>
      </w:pPr>
      <w:r w:rsidRPr="0020536D">
        <w:rPr>
          <w:rStyle w:val="FootnoteReference"/>
          <w:rFonts w:ascii="Garamond" w:eastAsia="SimSun" w:hAnsi="Garamond"/>
        </w:rPr>
        <w:footnoteRef/>
      </w:r>
      <w:r w:rsidRPr="0020536D">
        <w:rPr>
          <w:rFonts w:ascii="Garamond" w:hAnsi="Garamond"/>
        </w:rPr>
        <w:t xml:space="preserve"> </w:t>
      </w:r>
      <w:r w:rsidRPr="003E5047">
        <w:rPr>
          <w:rFonts w:ascii="Garamond" w:hAnsi="Garamond"/>
        </w:rPr>
        <w:t xml:space="preserve">The definitions of these </w:t>
      </w:r>
      <w:r>
        <w:rPr>
          <w:rFonts w:ascii="Garamond" w:hAnsi="Garamond"/>
        </w:rPr>
        <w:t>dimensions are</w:t>
      </w:r>
      <w:r w:rsidRPr="003E5047">
        <w:rPr>
          <w:rFonts w:ascii="Garamond" w:hAnsi="Garamond"/>
        </w:rPr>
        <w:t xml:space="preserve"> interesting. Rather than being ‘as is’, the raw </w:t>
      </w:r>
      <w:r w:rsidRPr="003E5047">
        <w:rPr>
          <w:rFonts w:ascii="Garamond" w:hAnsi="Garamond"/>
          <w:i/>
        </w:rPr>
        <w:t>quantity</w:t>
      </w:r>
      <w:r w:rsidRPr="003E5047">
        <w:rPr>
          <w:rFonts w:ascii="Garamond" w:hAnsi="Garamond"/>
        </w:rPr>
        <w:t xml:space="preserve"> of disclosure (number of risk-reporting related phrases in</w:t>
      </w:r>
      <w:r w:rsidRPr="003E5047">
        <w:t xml:space="preserve"> </w:t>
      </w:r>
      <w:r w:rsidRPr="003E5047">
        <w:rPr>
          <w:rFonts w:ascii="Garamond" w:hAnsi="Garamond"/>
        </w:rPr>
        <w:t>the</w:t>
      </w:r>
      <w:r w:rsidRPr="003E5047">
        <w:t xml:space="preserve"> </w:t>
      </w:r>
      <w:r>
        <w:rPr>
          <w:rFonts w:ascii="Garamond" w:hAnsi="Garamond"/>
        </w:rPr>
        <w:t>Management Discussion and A</w:t>
      </w:r>
      <w:r w:rsidRPr="003E5047">
        <w:rPr>
          <w:rFonts w:ascii="Garamond" w:hAnsi="Garamond"/>
        </w:rPr>
        <w:t>nalysis</w:t>
      </w:r>
      <w:r>
        <w:rPr>
          <w:rFonts w:ascii="Garamond" w:hAnsi="Garamond"/>
        </w:rPr>
        <w:t xml:space="preserve"> [</w:t>
      </w:r>
      <w:r w:rsidRPr="003E5047">
        <w:rPr>
          <w:rFonts w:ascii="Garamond" w:hAnsi="Garamond"/>
        </w:rPr>
        <w:t>MD&amp;A</w:t>
      </w:r>
      <w:r>
        <w:rPr>
          <w:rFonts w:ascii="Garamond" w:hAnsi="Garamond"/>
        </w:rPr>
        <w:t>]</w:t>
      </w:r>
      <w:r w:rsidRPr="003E5047">
        <w:rPr>
          <w:rFonts w:ascii="Garamond" w:hAnsi="Garamond"/>
        </w:rPr>
        <w:t xml:space="preserve">) is adjusted for two external factors to create a relative measure: (i) industry, and (ii) size. </w:t>
      </w:r>
      <w:r w:rsidRPr="003E5047">
        <w:rPr>
          <w:rFonts w:ascii="Garamond" w:hAnsi="Garamond"/>
          <w:i/>
        </w:rPr>
        <w:t>Density</w:t>
      </w:r>
      <w:r w:rsidRPr="003E5047">
        <w:rPr>
          <w:rFonts w:ascii="Garamond" w:hAnsi="Garamond"/>
        </w:rPr>
        <w:t xml:space="preserve"> is defined as the </w:t>
      </w:r>
      <w:r w:rsidRPr="003E5047">
        <w:rPr>
          <w:rFonts w:ascii="Garamond" w:hAnsi="Garamond"/>
          <w:lang w:val="en-CA"/>
        </w:rPr>
        <w:t xml:space="preserve">ratio between the </w:t>
      </w:r>
      <w:proofErr w:type="gramStart"/>
      <w:r w:rsidRPr="003E5047">
        <w:rPr>
          <w:rFonts w:ascii="Garamond" w:hAnsi="Garamond"/>
          <w:lang w:val="en-CA"/>
        </w:rPr>
        <w:t>number</w:t>
      </w:r>
      <w:proofErr w:type="gramEnd"/>
      <w:r w:rsidRPr="003E5047">
        <w:rPr>
          <w:rFonts w:ascii="Garamond" w:hAnsi="Garamond"/>
          <w:lang w:val="en-CA"/>
        </w:rPr>
        <w:t xml:space="preserve"> of sentences in which risk information is provided over the total number of sentences included in the MD&amp;A. In their framework, </w:t>
      </w:r>
      <w:r w:rsidRPr="003E5047">
        <w:rPr>
          <w:rFonts w:ascii="Garamond" w:hAnsi="Garamond"/>
          <w:i/>
          <w:lang w:val="en-CA"/>
        </w:rPr>
        <w:t>depth</w:t>
      </w:r>
      <w:r w:rsidRPr="003E5047">
        <w:rPr>
          <w:rFonts w:ascii="Garamond" w:hAnsi="Garamond"/>
          <w:lang w:val="en-CA"/>
        </w:rPr>
        <w:t xml:space="preserve"> is defined by two properties: (i) the sign of the economic impact (i.e., positive, negative, equal, or not disclosed) of the risk-related disclosure; and (ii) the measures used to communicate the expected performance. </w:t>
      </w:r>
      <w:r w:rsidRPr="003E5047">
        <w:rPr>
          <w:rFonts w:ascii="Garamond" w:hAnsi="Garamond"/>
          <w:i/>
          <w:lang w:val="en-CA"/>
        </w:rPr>
        <w:t>Outlook profile</w:t>
      </w:r>
      <w:r w:rsidRPr="003E5047">
        <w:rPr>
          <w:rFonts w:ascii="Garamond" w:hAnsi="Garamond"/>
          <w:lang w:val="en-CA"/>
        </w:rPr>
        <w:t xml:space="preserve"> refers to how management communicate the approach adopted to face the risks identified, thus distinguishing between those who simply identify risks and those who provide information about how management intend to mitigate them (Beretta &amp; </w:t>
      </w:r>
      <w:proofErr w:type="spellStart"/>
      <w:r w:rsidRPr="003E5047">
        <w:rPr>
          <w:rFonts w:ascii="Garamond" w:hAnsi="Garamond"/>
          <w:lang w:val="en-CA"/>
        </w:rPr>
        <w:t>Bozzolan</w:t>
      </w:r>
      <w:proofErr w:type="spellEnd"/>
      <w:r w:rsidRPr="003E5047">
        <w:rPr>
          <w:rFonts w:ascii="Garamond" w:hAnsi="Garamond"/>
          <w:lang w:val="en-CA"/>
        </w:rPr>
        <w:t>, 2004: pp. 271-275).</w:t>
      </w:r>
    </w:p>
  </w:footnote>
  <w:footnote w:id="2">
    <w:p w14:paraId="66703B2B" w14:textId="77777777" w:rsidR="006E5A74" w:rsidRPr="003E5047" w:rsidRDefault="006E5A74" w:rsidP="0046703C">
      <w:pPr>
        <w:pStyle w:val="FootnoteText"/>
        <w:ind w:firstLine="567"/>
        <w:jc w:val="both"/>
        <w:rPr>
          <w:rFonts w:ascii="Garamond" w:hAnsi="Garamond"/>
        </w:rPr>
      </w:pPr>
      <w:r w:rsidRPr="003E5047">
        <w:rPr>
          <w:rStyle w:val="FootnoteReference"/>
          <w:rFonts w:ascii="Garamond" w:eastAsia="SimSun" w:hAnsi="Garamond"/>
        </w:rPr>
        <w:footnoteRef/>
      </w:r>
      <w:r w:rsidRPr="003E5047">
        <w:rPr>
          <w:rFonts w:ascii="Garamond" w:hAnsi="Garamond"/>
        </w:rPr>
        <w:t xml:space="preserve"> Technical provisions represent the amount that an insurer requires to fulfil its insurance obligations and settle all expected commitments to policyholders and other beneficiaries arising over the lifetime of the insurer's portfolio of insurance contracts.</w:t>
      </w:r>
    </w:p>
    <w:p w14:paraId="7A9ADE6C" w14:textId="77777777" w:rsidR="006E5A74" w:rsidRPr="0020536D" w:rsidRDefault="006E5A74" w:rsidP="0046703C">
      <w:pPr>
        <w:pStyle w:val="FootnoteText"/>
        <w:ind w:firstLine="567"/>
        <w:jc w:val="both"/>
        <w:rPr>
          <w:rFonts w:ascii="Garamond" w:hAnsi="Garamond"/>
        </w:rPr>
      </w:pPr>
    </w:p>
  </w:footnote>
  <w:footnote w:id="3">
    <w:p w14:paraId="2253D477" w14:textId="77777777" w:rsidR="006E5A74" w:rsidRPr="0020536D" w:rsidRDefault="006E5A74" w:rsidP="0046703C">
      <w:pPr>
        <w:pStyle w:val="FootnoteText"/>
        <w:ind w:firstLine="567"/>
        <w:jc w:val="both"/>
        <w:rPr>
          <w:rFonts w:ascii="Garamond" w:hAnsi="Garamond"/>
        </w:rPr>
      </w:pPr>
      <w:r w:rsidRPr="0020536D">
        <w:rPr>
          <w:rStyle w:val="FootnoteReference"/>
          <w:rFonts w:ascii="Garamond" w:eastAsia="SimSun" w:hAnsi="Garamond"/>
        </w:rPr>
        <w:footnoteRef/>
      </w:r>
      <w:r w:rsidRPr="0020536D">
        <w:rPr>
          <w:rFonts w:ascii="Garamond" w:hAnsi="Garamond"/>
        </w:rPr>
        <w:t xml:space="preserve"> These themes are as follows:</w:t>
      </w:r>
      <w:r>
        <w:rPr>
          <w:rFonts w:ascii="Garamond" w:hAnsi="Garamond"/>
        </w:rPr>
        <w:t xml:space="preserve"> (i) a</w:t>
      </w:r>
      <w:r w:rsidRPr="0020536D">
        <w:rPr>
          <w:rFonts w:ascii="Garamond" w:hAnsi="Garamond"/>
        </w:rPr>
        <w:t>mount of regulatory capi</w:t>
      </w:r>
      <w:r>
        <w:rPr>
          <w:rFonts w:ascii="Garamond" w:hAnsi="Garamond"/>
        </w:rPr>
        <w:t>tal for operational risk; (ii) m</w:t>
      </w:r>
      <w:r w:rsidRPr="0020536D">
        <w:rPr>
          <w:rFonts w:ascii="Garamond" w:hAnsi="Garamond"/>
        </w:rPr>
        <w:t>easurement approach of regulatory capit</w:t>
      </w:r>
      <w:r>
        <w:rPr>
          <w:rFonts w:ascii="Garamond" w:hAnsi="Garamond"/>
        </w:rPr>
        <w:t>al for operational risk; (iii) s</w:t>
      </w:r>
      <w:r w:rsidRPr="0020536D">
        <w:rPr>
          <w:rFonts w:ascii="Garamond" w:hAnsi="Garamond"/>
        </w:rPr>
        <w:t>trategies and processes of ope</w:t>
      </w:r>
      <w:r>
        <w:rPr>
          <w:rFonts w:ascii="Garamond" w:hAnsi="Garamond"/>
        </w:rPr>
        <w:t>rational risk management; (iv) s</w:t>
      </w:r>
      <w:r w:rsidRPr="0020536D">
        <w:rPr>
          <w:rFonts w:ascii="Garamond" w:hAnsi="Garamond"/>
        </w:rPr>
        <w:t xml:space="preserve">tructure and organization of the operational risk management </w:t>
      </w:r>
      <w:r>
        <w:rPr>
          <w:rFonts w:ascii="Garamond" w:hAnsi="Garamond"/>
        </w:rPr>
        <w:t>function; (v) s</w:t>
      </w:r>
      <w:r w:rsidRPr="0020536D">
        <w:rPr>
          <w:rFonts w:ascii="Garamond" w:hAnsi="Garamond"/>
        </w:rPr>
        <w:t>cope and nature of the operation</w:t>
      </w:r>
      <w:r>
        <w:rPr>
          <w:rFonts w:ascii="Garamond" w:hAnsi="Garamond"/>
        </w:rPr>
        <w:t>al risk reporting system; (vi) o</w:t>
      </w:r>
      <w:r w:rsidRPr="0020536D">
        <w:rPr>
          <w:rFonts w:ascii="Garamond" w:hAnsi="Garamond"/>
        </w:rPr>
        <w:t>perational risk transfer/mitiga</w:t>
      </w:r>
      <w:r>
        <w:rPr>
          <w:rFonts w:ascii="Garamond" w:hAnsi="Garamond"/>
        </w:rPr>
        <w:t>tion/hedging techniques; (vii) o</w:t>
      </w:r>
      <w:r w:rsidRPr="0020536D">
        <w:rPr>
          <w:rFonts w:ascii="Garamond" w:hAnsi="Garamond"/>
        </w:rPr>
        <w:t>pe</w:t>
      </w:r>
      <w:r>
        <w:rPr>
          <w:rFonts w:ascii="Garamond" w:hAnsi="Garamond"/>
        </w:rPr>
        <w:t>rational value-at-risk; (viii) i</w:t>
      </w:r>
      <w:r w:rsidRPr="0020536D">
        <w:rPr>
          <w:rFonts w:ascii="Garamond" w:hAnsi="Garamond"/>
        </w:rPr>
        <w:t>nternal audit function/internal control s</w:t>
      </w:r>
      <w:r>
        <w:rPr>
          <w:rFonts w:ascii="Garamond" w:hAnsi="Garamond"/>
        </w:rPr>
        <w:t>ystem; (ix) key risk indicators/</w:t>
      </w:r>
      <w:r w:rsidRPr="0020536D">
        <w:rPr>
          <w:rFonts w:ascii="Garamond" w:hAnsi="Garamond"/>
        </w:rPr>
        <w:t>early w</w:t>
      </w:r>
      <w:r>
        <w:rPr>
          <w:rFonts w:ascii="Garamond" w:hAnsi="Garamond"/>
        </w:rPr>
        <w:t>arning systems; (x) s</w:t>
      </w:r>
      <w:r w:rsidRPr="0020536D">
        <w:rPr>
          <w:rFonts w:ascii="Garamond" w:hAnsi="Garamond"/>
        </w:rPr>
        <w:t>e</w:t>
      </w:r>
      <w:r>
        <w:rPr>
          <w:rFonts w:ascii="Garamond" w:hAnsi="Garamond"/>
        </w:rPr>
        <w:t>lf-assessment techniques; (xi) s</w:t>
      </w:r>
      <w:r w:rsidRPr="0020536D">
        <w:rPr>
          <w:rFonts w:ascii="Garamond" w:hAnsi="Garamond"/>
        </w:rPr>
        <w:t>corecard models/scenari</w:t>
      </w:r>
      <w:r>
        <w:rPr>
          <w:rFonts w:ascii="Garamond" w:hAnsi="Garamond"/>
        </w:rPr>
        <w:t>o analysis/stress tests; (xii) o</w:t>
      </w:r>
      <w:r w:rsidRPr="0020536D">
        <w:rPr>
          <w:rFonts w:ascii="Garamond" w:hAnsi="Garamond"/>
        </w:rPr>
        <w:t>perationa</w:t>
      </w:r>
      <w:r>
        <w:rPr>
          <w:rFonts w:ascii="Garamond" w:hAnsi="Garamond"/>
        </w:rPr>
        <w:t>l risk event databases; (xiii) legal risks; and (xiv) a</w:t>
      </w:r>
      <w:r w:rsidRPr="0020536D">
        <w:rPr>
          <w:rFonts w:ascii="Garamond" w:hAnsi="Garamond"/>
        </w:rPr>
        <w:t>dditional information on operational risk exposure and management.</w:t>
      </w:r>
    </w:p>
  </w:footnote>
  <w:footnote w:id="4">
    <w:p w14:paraId="050A9D32" w14:textId="77777777" w:rsidR="006E5A74" w:rsidRDefault="006E5A74" w:rsidP="0046703C">
      <w:pPr>
        <w:pStyle w:val="FootnoteText"/>
        <w:ind w:firstLine="567"/>
        <w:jc w:val="both"/>
      </w:pPr>
      <w:r w:rsidRPr="0020536D">
        <w:rPr>
          <w:rStyle w:val="FootnoteReference"/>
          <w:rFonts w:ascii="Garamond" w:eastAsia="SimSun" w:hAnsi="Garamond"/>
        </w:rPr>
        <w:footnoteRef/>
      </w:r>
      <w:r w:rsidRPr="0020536D">
        <w:rPr>
          <w:rFonts w:ascii="Garamond" w:hAnsi="Garamond"/>
        </w:rPr>
        <w:t xml:space="preserve"> These 14 main themes have four standardized sub-items which lead to the m</w:t>
      </w:r>
      <w:r>
        <w:rPr>
          <w:rFonts w:ascii="Garamond" w:hAnsi="Garamond"/>
        </w:rPr>
        <w:t>aximum score of 56 points: (i) qualitative information; (ii) quantitative information; (iii) f</w:t>
      </w:r>
      <w:r w:rsidRPr="0020536D">
        <w:rPr>
          <w:rFonts w:ascii="Garamond" w:hAnsi="Garamond"/>
        </w:rPr>
        <w:t>orward</w:t>
      </w:r>
      <w:r>
        <w:rPr>
          <w:rFonts w:ascii="Garamond" w:hAnsi="Garamond"/>
        </w:rPr>
        <w:t xml:space="preserve">-looking information; and </w:t>
      </w:r>
      <w:proofErr w:type="gramStart"/>
      <w:r>
        <w:rPr>
          <w:rFonts w:ascii="Garamond" w:hAnsi="Garamond"/>
        </w:rPr>
        <w:t>(iv) g</w:t>
      </w:r>
      <w:r w:rsidRPr="0020536D">
        <w:rPr>
          <w:rFonts w:ascii="Garamond" w:hAnsi="Garamond"/>
        </w:rPr>
        <w:t>raphical</w:t>
      </w:r>
      <w:proofErr w:type="gramEnd"/>
      <w:r w:rsidRPr="0020536D">
        <w:rPr>
          <w:rFonts w:ascii="Garamond" w:hAnsi="Garamond"/>
        </w:rPr>
        <w:t xml:space="preserve"> illustration or tabular presentation.</w:t>
      </w:r>
    </w:p>
  </w:footnote>
  <w:footnote w:id="5">
    <w:p w14:paraId="033D30FA" w14:textId="77777777" w:rsidR="006E5A74" w:rsidRPr="0020536D" w:rsidRDefault="006E5A74" w:rsidP="00D17DCF">
      <w:pPr>
        <w:spacing w:after="0" w:line="240" w:lineRule="auto"/>
        <w:ind w:firstLine="567"/>
        <w:contextualSpacing/>
        <w:jc w:val="both"/>
        <w:rPr>
          <w:rFonts w:eastAsia="Times New Roman"/>
          <w:lang w:eastAsia="en-GB"/>
        </w:rPr>
      </w:pPr>
      <w:r w:rsidRPr="00206FDB">
        <w:rPr>
          <w:rStyle w:val="FootnoteReference"/>
        </w:rPr>
        <w:footnoteRef/>
      </w:r>
      <w:r w:rsidRPr="00206FDB">
        <w:t xml:space="preserve"> </w:t>
      </w:r>
      <w:r w:rsidRPr="00206FDB">
        <w:rPr>
          <w:rFonts w:eastAsia="Times New Roman"/>
          <w:lang w:eastAsia="en-GB"/>
        </w:rPr>
        <w:t>This Securities and Exchange Commission Financial Reporting Release requires companies to disclose both quantitative and qualitative information about potential losses arising from the use of financial instruments, and covers interest rates, commodity prices, foreign currency rates, and equity investments. In so doing, companies have the choice of disclosure formats - tabular, sensitivity analysis, and Value at Risk (</w:t>
      </w:r>
      <w:proofErr w:type="spellStart"/>
      <w:r w:rsidRPr="00206FDB">
        <w:rPr>
          <w:rFonts w:eastAsia="Times New Roman"/>
          <w:lang w:eastAsia="en-GB"/>
        </w:rPr>
        <w:t>VaR</w:t>
      </w:r>
      <w:proofErr w:type="spellEnd"/>
      <w:r w:rsidRPr="00206FDB">
        <w:rPr>
          <w:rFonts w:eastAsia="Times New Roman"/>
          <w:lang w:eastAsia="en-GB"/>
        </w:rPr>
        <w:t xml:space="preserve">) – as well as three measurement bases - cash flows, earnings, and fair values. </w:t>
      </w:r>
    </w:p>
  </w:footnote>
  <w:footnote w:id="6">
    <w:p w14:paraId="5D8CA7EE" w14:textId="77777777" w:rsidR="006E5A74" w:rsidRDefault="006E5A74" w:rsidP="00206FDB">
      <w:pPr>
        <w:pStyle w:val="FootnoteText"/>
        <w:ind w:firstLine="567"/>
        <w:rPr>
          <w:rFonts w:ascii="Garamond" w:hAnsi="Garamond"/>
        </w:rPr>
      </w:pPr>
      <w:r w:rsidRPr="0020536D">
        <w:rPr>
          <w:rStyle w:val="FootnoteReference"/>
          <w:rFonts w:ascii="Garamond" w:eastAsia="SimSun" w:hAnsi="Garamond"/>
        </w:rPr>
        <w:footnoteRef/>
      </w:r>
      <w:r w:rsidRPr="0020536D">
        <w:rPr>
          <w:rFonts w:ascii="Garamond" w:hAnsi="Garamond"/>
        </w:rPr>
        <w:t xml:space="preserve"> Note</w:t>
      </w:r>
      <w:proofErr w:type="gramStart"/>
      <w:r w:rsidRPr="0020536D">
        <w:rPr>
          <w:rFonts w:ascii="Garamond" w:hAnsi="Garamond"/>
        </w:rPr>
        <w:t>,</w:t>
      </w:r>
      <w:proofErr w:type="gramEnd"/>
      <w:r w:rsidRPr="0020536D">
        <w:rPr>
          <w:rFonts w:ascii="Garamond" w:hAnsi="Garamond"/>
        </w:rPr>
        <w:t xml:space="preserve"> </w:t>
      </w:r>
      <w:proofErr w:type="spellStart"/>
      <w:r w:rsidRPr="0020536D">
        <w:rPr>
          <w:rFonts w:ascii="Garamond" w:hAnsi="Garamond"/>
        </w:rPr>
        <w:t>Rajgopal</w:t>
      </w:r>
      <w:proofErr w:type="spellEnd"/>
      <w:r w:rsidRPr="0020536D">
        <w:rPr>
          <w:rFonts w:ascii="Garamond" w:hAnsi="Garamond"/>
        </w:rPr>
        <w:t xml:space="preserve"> (1999) does not discuss the Value at Risk format</w:t>
      </w:r>
      <w:r>
        <w:rPr>
          <w:rFonts w:ascii="Garamond" w:hAnsi="Garamond"/>
        </w:rPr>
        <w:t>.</w:t>
      </w:r>
    </w:p>
  </w:footnote>
  <w:footnote w:id="7">
    <w:p w14:paraId="78134FBE" w14:textId="77777777" w:rsidR="006E5A74" w:rsidRPr="00FF64E6" w:rsidRDefault="006E5A74" w:rsidP="00206FDB">
      <w:pPr>
        <w:pStyle w:val="FootnoteText"/>
        <w:ind w:firstLine="567"/>
        <w:jc w:val="both"/>
        <w:rPr>
          <w:rFonts w:ascii="Garamond" w:hAnsi="Garamond"/>
        </w:rPr>
      </w:pPr>
      <w:r w:rsidRPr="00206FDB">
        <w:rPr>
          <w:rStyle w:val="FootnoteReference"/>
          <w:rFonts w:ascii="Garamond" w:hAnsi="Garamond"/>
        </w:rPr>
        <w:footnoteRef/>
      </w:r>
      <w:r w:rsidRPr="00206FDB">
        <w:rPr>
          <w:rFonts w:ascii="Garamond" w:hAnsi="Garamond"/>
        </w:rPr>
        <w:t xml:space="preserve"> Their index comprises six components: (i) </w:t>
      </w:r>
      <w:proofErr w:type="spellStart"/>
      <w:r w:rsidRPr="00206FDB">
        <w:rPr>
          <w:rFonts w:ascii="Garamond" w:hAnsi="Garamond"/>
        </w:rPr>
        <w:t>VaR</w:t>
      </w:r>
      <w:proofErr w:type="spellEnd"/>
      <w:r w:rsidRPr="00206FDB">
        <w:rPr>
          <w:rFonts w:ascii="Garamond" w:hAnsi="Garamond"/>
        </w:rPr>
        <w:t xml:space="preserve"> characteristics (holding period and confidence level), (ii) summary </w:t>
      </w:r>
      <w:proofErr w:type="spellStart"/>
      <w:r w:rsidRPr="00206FDB">
        <w:rPr>
          <w:rFonts w:ascii="Garamond" w:hAnsi="Garamond"/>
        </w:rPr>
        <w:t>VaR</w:t>
      </w:r>
      <w:proofErr w:type="spellEnd"/>
      <w:r w:rsidRPr="00206FDB">
        <w:rPr>
          <w:rFonts w:ascii="Garamond" w:hAnsi="Garamond"/>
        </w:rPr>
        <w:t xml:space="preserve"> statistics, (iii) summary information about the previous year’s </w:t>
      </w:r>
      <w:proofErr w:type="spellStart"/>
      <w:r w:rsidRPr="00206FDB">
        <w:rPr>
          <w:rFonts w:ascii="Garamond" w:hAnsi="Garamond"/>
        </w:rPr>
        <w:t>VaR</w:t>
      </w:r>
      <w:proofErr w:type="spellEnd"/>
      <w:r w:rsidRPr="00206FDB">
        <w:rPr>
          <w:rFonts w:ascii="Garamond" w:hAnsi="Garamond"/>
        </w:rPr>
        <w:t xml:space="preserve">, (iv) histogram or plot of daily </w:t>
      </w:r>
      <w:proofErr w:type="spellStart"/>
      <w:r w:rsidRPr="00206FDB">
        <w:rPr>
          <w:rFonts w:ascii="Garamond" w:hAnsi="Garamond"/>
        </w:rPr>
        <w:t>VaRs</w:t>
      </w:r>
      <w:proofErr w:type="spellEnd"/>
      <w:r w:rsidRPr="00206FDB">
        <w:rPr>
          <w:rFonts w:ascii="Garamond" w:hAnsi="Garamond"/>
        </w:rPr>
        <w:t xml:space="preserve">, (v) definition of trading revenues (hypothetical revenues and non-inclusion of trading fees) and histogram or plot of daily trading revenues, and (vi) </w:t>
      </w:r>
      <w:proofErr w:type="spellStart"/>
      <w:r w:rsidRPr="00206FDB">
        <w:rPr>
          <w:rFonts w:ascii="Garamond" w:hAnsi="Garamond"/>
        </w:rPr>
        <w:t>backtesting</w:t>
      </w:r>
      <w:proofErr w:type="spellEnd"/>
      <w:r w:rsidRPr="00206FDB">
        <w:rPr>
          <w:rFonts w:ascii="Garamond" w:hAnsi="Garamond"/>
        </w:rPr>
        <w:t xml:space="preserve"> (number of exceptions, i.e., days when actual trading loss is greater than </w:t>
      </w:r>
      <w:proofErr w:type="spellStart"/>
      <w:r w:rsidRPr="00206FDB">
        <w:rPr>
          <w:rFonts w:ascii="Garamond" w:hAnsi="Garamond"/>
        </w:rPr>
        <w:t>VaR</w:t>
      </w:r>
      <w:proofErr w:type="spellEnd"/>
      <w:r w:rsidRPr="00206FDB">
        <w:rPr>
          <w:rFonts w:ascii="Garamond" w:hAnsi="Garamond"/>
        </w:rPr>
        <w:t>, and explanations of these exceptions).</w:t>
      </w:r>
    </w:p>
  </w:footnote>
  <w:footnote w:id="8">
    <w:p w14:paraId="17E72DA7" w14:textId="77777777" w:rsidR="006E5A74" w:rsidRPr="0020536D" w:rsidRDefault="006E5A74" w:rsidP="0046703C">
      <w:pPr>
        <w:pStyle w:val="FootnoteText"/>
        <w:ind w:firstLine="567"/>
        <w:jc w:val="both"/>
        <w:rPr>
          <w:rFonts w:ascii="Garamond" w:hAnsi="Garamond"/>
        </w:rPr>
      </w:pPr>
      <w:r w:rsidRPr="0020536D">
        <w:rPr>
          <w:rStyle w:val="FootnoteReference"/>
          <w:rFonts w:ascii="Garamond" w:eastAsia="SimSun" w:hAnsi="Garamond"/>
          <w:color w:val="000000"/>
        </w:rPr>
        <w:footnoteRef/>
      </w:r>
      <w:r w:rsidRPr="0020536D">
        <w:rPr>
          <w:rFonts w:ascii="Garamond" w:hAnsi="Garamond"/>
          <w:color w:val="000000"/>
        </w:rPr>
        <w:t xml:space="preserve"> Firms’ risk is measured by volatility of stock returns, beta, and the variance of the residuals from t</w:t>
      </w:r>
      <w:r>
        <w:rPr>
          <w:rFonts w:ascii="Garamond" w:hAnsi="Garamond"/>
          <w:color w:val="000000"/>
        </w:rPr>
        <w:t xml:space="preserve">he ordinary least squares </w:t>
      </w:r>
      <w:r w:rsidRPr="0020536D">
        <w:rPr>
          <w:rFonts w:ascii="Garamond" w:hAnsi="Garamond"/>
          <w:color w:val="000000"/>
        </w:rPr>
        <w:t>estimation of the single-factor market model using daily returns.</w:t>
      </w:r>
      <w:r>
        <w:rPr>
          <w:rFonts w:ascii="Garamond" w:hAnsi="Garamond"/>
          <w:color w:val="000000"/>
        </w:rPr>
        <w:t xml:space="preserve"> </w:t>
      </w:r>
    </w:p>
  </w:footnote>
  <w:footnote w:id="9">
    <w:p w14:paraId="1ACF1C70" w14:textId="77777777" w:rsidR="006E5A74" w:rsidRPr="0020536D" w:rsidRDefault="006E5A74" w:rsidP="0046703C">
      <w:pPr>
        <w:pStyle w:val="FootnoteText"/>
        <w:ind w:firstLine="567"/>
        <w:jc w:val="both"/>
        <w:rPr>
          <w:rFonts w:ascii="Garamond" w:hAnsi="Garamond"/>
        </w:rPr>
      </w:pPr>
      <w:r w:rsidRPr="0020536D">
        <w:rPr>
          <w:rStyle w:val="FootnoteReference"/>
          <w:rFonts w:ascii="Garamond" w:eastAsia="SimSun" w:hAnsi="Garamond"/>
        </w:rPr>
        <w:footnoteRef/>
      </w:r>
      <w:r w:rsidRPr="0020536D">
        <w:rPr>
          <w:rFonts w:ascii="Garamond" w:hAnsi="Garamond"/>
        </w:rPr>
        <w:t xml:space="preserve"> The risk-related words are as follows: can/cannot, could, may, might, risk*, uncertain*, likely to, subject to, potential*, vary*/varies, depend*, expos*, </w:t>
      </w:r>
      <w:proofErr w:type="spellStart"/>
      <w:r w:rsidRPr="0020536D">
        <w:rPr>
          <w:rFonts w:ascii="Garamond" w:hAnsi="Garamond"/>
        </w:rPr>
        <w:t>fluctuat</w:t>
      </w:r>
      <w:proofErr w:type="spellEnd"/>
      <w:r w:rsidRPr="0020536D">
        <w:rPr>
          <w:rFonts w:ascii="Garamond" w:hAnsi="Garamond"/>
        </w:rPr>
        <w:t xml:space="preserve">*, </w:t>
      </w:r>
      <w:proofErr w:type="spellStart"/>
      <w:r w:rsidRPr="0020536D">
        <w:rPr>
          <w:rFonts w:ascii="Garamond" w:hAnsi="Garamond"/>
        </w:rPr>
        <w:t>possibl</w:t>
      </w:r>
      <w:proofErr w:type="spellEnd"/>
      <w:r w:rsidRPr="0020536D">
        <w:rPr>
          <w:rFonts w:ascii="Garamond" w:hAnsi="Garamond"/>
        </w:rPr>
        <w:t xml:space="preserve">*, susceptible, affect, </w:t>
      </w:r>
      <w:proofErr w:type="spellStart"/>
      <w:r w:rsidRPr="0020536D">
        <w:rPr>
          <w:rFonts w:ascii="Garamond" w:hAnsi="Garamond"/>
        </w:rPr>
        <w:t>influenc</w:t>
      </w:r>
      <w:proofErr w:type="spellEnd"/>
      <w:r w:rsidRPr="0020536D">
        <w:rPr>
          <w:rFonts w:ascii="Garamond" w:hAnsi="Garamond"/>
        </w:rPr>
        <w:t xml:space="preserve">*, and </w:t>
      </w:r>
      <w:proofErr w:type="spellStart"/>
      <w:r w:rsidRPr="0020536D">
        <w:rPr>
          <w:rFonts w:ascii="Garamond" w:hAnsi="Garamond"/>
        </w:rPr>
        <w:t>hedg</w:t>
      </w:r>
      <w:proofErr w:type="spellEnd"/>
      <w:r w:rsidRPr="0020536D">
        <w:rPr>
          <w:rFonts w:ascii="Garamond" w:hAnsi="Garamond"/>
        </w:rPr>
        <w:t>*. Words marked with a * also include derivatives of the original.</w:t>
      </w:r>
    </w:p>
  </w:footnote>
  <w:footnote w:id="10">
    <w:p w14:paraId="1682B414" w14:textId="77777777" w:rsidR="006E5A74" w:rsidRPr="00C1579E" w:rsidRDefault="006E5A74" w:rsidP="002720DA">
      <w:pPr>
        <w:pStyle w:val="FootnoteText"/>
        <w:ind w:firstLine="567"/>
        <w:jc w:val="both"/>
        <w:rPr>
          <w:rFonts w:ascii="Garamond" w:hAnsi="Garamond"/>
        </w:rPr>
      </w:pPr>
      <w:r w:rsidRPr="00C1579E">
        <w:rPr>
          <w:rStyle w:val="FootnoteReference"/>
          <w:rFonts w:ascii="Garamond" w:eastAsia="SimSun" w:hAnsi="Garamond"/>
        </w:rPr>
        <w:footnoteRef/>
      </w:r>
      <w:r w:rsidRPr="00C1579E">
        <w:rPr>
          <w:rFonts w:ascii="Garamond" w:hAnsi="Garamond"/>
        </w:rPr>
        <w:t xml:space="preserve"> LDA is a probabilistic </w:t>
      </w:r>
      <w:proofErr w:type="spellStart"/>
      <w:r w:rsidRPr="00C1579E">
        <w:rPr>
          <w:rFonts w:ascii="Garamond" w:hAnsi="Garamond"/>
        </w:rPr>
        <w:t>modeling</w:t>
      </w:r>
      <w:proofErr w:type="spellEnd"/>
      <w:r w:rsidRPr="00C1579E">
        <w:rPr>
          <w:rFonts w:ascii="Garamond" w:hAnsi="Garamond"/>
        </w:rPr>
        <w:t xml:space="preserve"> technique used to identify underlying topics that occur within, for example, the risk factors section or any other section of the 10-K filing, or any other events such as conference calls. It extrapolates backwards to those topics that could have generated the outcomes.</w:t>
      </w:r>
    </w:p>
  </w:footnote>
  <w:footnote w:id="11">
    <w:p w14:paraId="2F43305E" w14:textId="5A76B275" w:rsidR="006E5A74" w:rsidRPr="006A1A3E" w:rsidRDefault="006E5A74" w:rsidP="002720DA">
      <w:pPr>
        <w:pStyle w:val="FootnoteText"/>
        <w:ind w:firstLine="567"/>
        <w:jc w:val="both"/>
        <w:rPr>
          <w:rFonts w:ascii="Garamond" w:hAnsi="Garamond"/>
        </w:rPr>
      </w:pPr>
      <w:r w:rsidRPr="00C1579E">
        <w:rPr>
          <w:rStyle w:val="FootnoteReference"/>
          <w:rFonts w:ascii="Garamond" w:hAnsi="Garamond"/>
        </w:rPr>
        <w:footnoteRef/>
      </w:r>
      <w:r w:rsidRPr="00C1579E">
        <w:rPr>
          <w:rFonts w:ascii="Garamond" w:hAnsi="Garamond"/>
        </w:rPr>
        <w:t xml:space="preserve">  </w:t>
      </w:r>
      <w:r w:rsidR="008C3855" w:rsidRPr="008C3855">
        <w:rPr>
          <w:rFonts w:ascii="Garamond" w:hAnsi="Garamond"/>
        </w:rPr>
        <w:t xml:space="preserve">See </w:t>
      </w:r>
      <w:proofErr w:type="spellStart"/>
      <w:r w:rsidR="008C3855" w:rsidRPr="008C3855">
        <w:rPr>
          <w:rFonts w:ascii="Garamond" w:hAnsi="Garamond"/>
        </w:rPr>
        <w:t>Bao</w:t>
      </w:r>
      <w:proofErr w:type="spellEnd"/>
      <w:r w:rsidR="008C3855" w:rsidRPr="008C3855">
        <w:rPr>
          <w:rFonts w:ascii="Garamond" w:hAnsi="Garamond"/>
        </w:rPr>
        <w:t xml:space="preserve"> and </w:t>
      </w:r>
      <w:proofErr w:type="spellStart"/>
      <w:r w:rsidR="008C3855" w:rsidRPr="008C3855">
        <w:rPr>
          <w:rFonts w:ascii="Garamond" w:hAnsi="Garamond"/>
        </w:rPr>
        <w:t>Datta</w:t>
      </w:r>
      <w:proofErr w:type="spellEnd"/>
      <w:r w:rsidR="008C3855" w:rsidRPr="008C3855">
        <w:rPr>
          <w:rFonts w:ascii="Garamond" w:hAnsi="Garamond"/>
        </w:rPr>
        <w:t xml:space="preserve"> (2014, Figure 6, page 1382) for a list of the 30 types of risk.</w:t>
      </w:r>
    </w:p>
  </w:footnote>
  <w:footnote w:id="12">
    <w:p w14:paraId="3FA35C77" w14:textId="77777777" w:rsidR="006E5A74" w:rsidRPr="0020536D" w:rsidRDefault="006E5A74" w:rsidP="0046703C">
      <w:pPr>
        <w:pStyle w:val="FootnoteText"/>
        <w:ind w:firstLine="567"/>
        <w:rPr>
          <w:rFonts w:ascii="Garamond" w:hAnsi="Garamond"/>
        </w:rPr>
      </w:pPr>
      <w:r w:rsidRPr="0020536D">
        <w:rPr>
          <w:rStyle w:val="FootnoteReference"/>
          <w:rFonts w:ascii="Garamond" w:eastAsia="SimSun" w:hAnsi="Garamond"/>
        </w:rPr>
        <w:footnoteRef/>
      </w:r>
      <w:r w:rsidRPr="0020536D">
        <w:rPr>
          <w:rFonts w:ascii="Garamond" w:hAnsi="Garamond"/>
        </w:rPr>
        <w:t xml:space="preserve"> Significant events are identified based on news events with economically significant price changes over a five-year period.</w:t>
      </w:r>
    </w:p>
  </w:footnote>
  <w:footnote w:id="13">
    <w:p w14:paraId="791F24A8" w14:textId="77777777" w:rsidR="006E5A74" w:rsidRDefault="006E5A74" w:rsidP="00206FDB">
      <w:pPr>
        <w:spacing w:after="0" w:line="240" w:lineRule="auto"/>
        <w:ind w:firstLine="567"/>
        <w:jc w:val="both"/>
      </w:pPr>
      <w:r w:rsidRPr="0020536D">
        <w:rPr>
          <w:rStyle w:val="FootnoteReference"/>
        </w:rPr>
        <w:footnoteRef/>
      </w:r>
      <w:r w:rsidRPr="0020536D">
        <w:t xml:space="preserve"> </w:t>
      </w:r>
      <w:r w:rsidRPr="0020536D">
        <w:rPr>
          <w:rFonts w:eastAsia="Times New Roman"/>
        </w:rPr>
        <w:t>Unchanging disclosures may indicate a failure to adapt reporting to specific circumstances, but they may be useful to readers if they clearly indicate that the risk profile of the firm has remained the same. While the text of the disclosure should change as the risk profile alters, changing the structure or minor details of the text’s content for the sole purpose of making it appear different is not desirable. However, an advantage of using a form-oriented content analysis approach is that this issue can be addressed in the analysis.</w:t>
      </w:r>
    </w:p>
  </w:footnote>
  <w:footnote w:id="14">
    <w:p w14:paraId="3ACE42A8" w14:textId="77777777" w:rsidR="006E5A74" w:rsidRPr="00273B50" w:rsidRDefault="006E5A74" w:rsidP="00206FDB">
      <w:pPr>
        <w:pStyle w:val="FootnoteText"/>
        <w:ind w:firstLine="567"/>
        <w:rPr>
          <w:lang w:val="en-US"/>
        </w:rPr>
      </w:pPr>
      <w:r w:rsidRPr="00273B50">
        <w:rPr>
          <w:rStyle w:val="FootnoteReference"/>
          <w:rFonts w:ascii="Garamond" w:hAnsi="Garamond"/>
        </w:rPr>
        <w:footnoteRef/>
      </w:r>
      <w:r w:rsidRPr="00273B50">
        <w:rPr>
          <w:rFonts w:ascii="Garamond" w:hAnsi="Garamond"/>
        </w:rPr>
        <w:t xml:space="preserve"> </w:t>
      </w:r>
      <w:proofErr w:type="spellStart"/>
      <w:r w:rsidRPr="00273B50">
        <w:rPr>
          <w:rFonts w:ascii="Garamond" w:hAnsi="Garamond"/>
        </w:rPr>
        <w:t>Elbannan</w:t>
      </w:r>
      <w:proofErr w:type="spellEnd"/>
      <w:r w:rsidRPr="00273B50">
        <w:rPr>
          <w:rFonts w:ascii="Garamond" w:hAnsi="Garamond"/>
        </w:rPr>
        <w:t xml:space="preserve"> and </w:t>
      </w:r>
      <w:proofErr w:type="spellStart"/>
      <w:r w:rsidRPr="00273B50">
        <w:rPr>
          <w:rFonts w:ascii="Garamond" w:hAnsi="Garamond"/>
        </w:rPr>
        <w:t>Elbannan</w:t>
      </w:r>
      <w:proofErr w:type="spellEnd"/>
      <w:r w:rsidRPr="00273B50">
        <w:rPr>
          <w:rFonts w:ascii="Garamond" w:hAnsi="Garamond"/>
        </w:rPr>
        <w:t xml:space="preserve"> (2015: 193) measure operating performance as a multi-dimensional concept</w:t>
      </w:r>
      <w:r>
        <w:rPr>
          <w:rFonts w:ascii="Garamond" w:hAnsi="Garamond"/>
        </w:rPr>
        <w:t xml:space="preserve"> </w:t>
      </w:r>
      <w:r w:rsidRPr="00273B50">
        <w:rPr>
          <w:rFonts w:ascii="Garamond" w:hAnsi="Garamond"/>
        </w:rPr>
        <w:t>comprised of financial, customer, internal business processes, and learning and growth</w:t>
      </w:r>
      <w:r>
        <w:rPr>
          <w:rFonts w:ascii="Garamond" w:hAnsi="Garamond"/>
        </w:rPr>
        <w:t xml:space="preserve"> </w:t>
      </w:r>
      <w:r w:rsidRPr="00273B50">
        <w:rPr>
          <w:rFonts w:ascii="Garamond" w:hAnsi="Garamond"/>
        </w:rPr>
        <w:t>dimensions.</w:t>
      </w:r>
    </w:p>
  </w:footnote>
  <w:footnote w:id="15">
    <w:p w14:paraId="15E00A2A" w14:textId="77777777" w:rsidR="006E5A74" w:rsidRPr="0020536D" w:rsidRDefault="006E5A74" w:rsidP="0046703C">
      <w:pPr>
        <w:pStyle w:val="FootnoteText"/>
        <w:ind w:firstLine="567"/>
        <w:rPr>
          <w:rFonts w:ascii="Garamond" w:hAnsi="Garamond"/>
        </w:rPr>
      </w:pPr>
      <w:r w:rsidRPr="00C1579E">
        <w:rPr>
          <w:rStyle w:val="FootnoteReference"/>
          <w:rFonts w:ascii="Garamond" w:eastAsia="SimSun" w:hAnsi="Garamond"/>
        </w:rPr>
        <w:footnoteRef/>
      </w:r>
      <w:r w:rsidRPr="00C1579E">
        <w:rPr>
          <w:rFonts w:ascii="Garamond" w:hAnsi="Garamond"/>
        </w:rPr>
        <w:t xml:space="preserve"> For the Campbell et al. (2014) word-list, see their Table 9, Appendix 3, pp. 443-452.</w:t>
      </w:r>
    </w:p>
  </w:footnote>
  <w:footnote w:id="16">
    <w:p w14:paraId="4EF2ACA6" w14:textId="77777777" w:rsidR="006E5A74" w:rsidRPr="0020536D" w:rsidRDefault="006E5A74" w:rsidP="00206FDB">
      <w:pPr>
        <w:pStyle w:val="FootnoteText"/>
        <w:ind w:firstLine="567"/>
        <w:jc w:val="both"/>
        <w:rPr>
          <w:rFonts w:ascii="Garamond" w:hAnsi="Garamond"/>
        </w:rPr>
      </w:pPr>
      <w:r w:rsidRPr="00C1579E">
        <w:rPr>
          <w:rStyle w:val="FootnoteReference"/>
          <w:rFonts w:ascii="Garamond" w:eastAsia="Times New Roman,宋体" w:hAnsi="Garamond"/>
        </w:rPr>
        <w:footnoteRef/>
      </w:r>
      <w:r w:rsidRPr="00C1579E">
        <w:rPr>
          <w:rFonts w:ascii="Garamond" w:eastAsia="Times New Roman,宋体" w:hAnsi="Garamond"/>
        </w:rPr>
        <w:t xml:space="preserve"> </w:t>
      </w:r>
      <w:r w:rsidRPr="00C1579E">
        <w:rPr>
          <w:rFonts w:ascii="Garamond" w:eastAsia="Times New Roman,宋体" w:hAnsi="Garamond"/>
          <w:color w:val="222222"/>
        </w:rPr>
        <w:t xml:space="preserve">In Tables 2 and 4, 88% (14 out of 16) of the reviewed papers concerning incentives are within the context (jurisdiction) of Europe and Australia. Meanwhile, 75% (9 out of 12) of the reviewed papers concerning </w:t>
      </w:r>
      <w:proofErr w:type="spellStart"/>
      <w:r w:rsidRPr="00C1579E">
        <w:rPr>
          <w:rFonts w:ascii="Garamond" w:eastAsia="Times New Roman,宋体" w:hAnsi="Garamond"/>
          <w:color w:val="222222"/>
        </w:rPr>
        <w:t>informativeness</w:t>
      </w:r>
      <w:proofErr w:type="spellEnd"/>
      <w:r w:rsidRPr="00C1579E">
        <w:rPr>
          <w:rFonts w:ascii="Garamond" w:eastAsia="Times New Roman,宋体" w:hAnsi="Garamond"/>
          <w:color w:val="222222"/>
        </w:rPr>
        <w:t xml:space="preserve"> are in a US context.</w:t>
      </w:r>
    </w:p>
  </w:footnote>
  <w:footnote w:id="17">
    <w:p w14:paraId="4ED62968" w14:textId="7D0753F9" w:rsidR="006E5A74" w:rsidRPr="0020536D" w:rsidRDefault="006E5A74" w:rsidP="0046703C">
      <w:pPr>
        <w:spacing w:after="0" w:line="240" w:lineRule="auto"/>
        <w:ind w:firstLine="567"/>
        <w:jc w:val="both"/>
        <w:rPr>
          <w:rFonts w:eastAsia="Times New Roman"/>
          <w:lang w:eastAsia="en-GB"/>
        </w:rPr>
      </w:pPr>
      <w:r w:rsidRPr="00A55E75">
        <w:rPr>
          <w:rStyle w:val="FootnoteReference"/>
          <w:color w:val="auto"/>
        </w:rPr>
        <w:footnoteRef/>
      </w:r>
      <w:r w:rsidRPr="00A55E75">
        <w:rPr>
          <w:color w:val="auto"/>
        </w:rPr>
        <w:t xml:space="preserve"> </w:t>
      </w:r>
      <w:proofErr w:type="spellStart"/>
      <w:r w:rsidRPr="00A55E75">
        <w:rPr>
          <w:rFonts w:eastAsia="Times New Roman,Garamond,Times"/>
          <w:color w:val="auto"/>
          <w:lang w:eastAsia="en-GB"/>
        </w:rPr>
        <w:t>Schrand</w:t>
      </w:r>
      <w:proofErr w:type="spellEnd"/>
      <w:r w:rsidRPr="00A55E75">
        <w:rPr>
          <w:rFonts w:eastAsia="Times New Roman,Garamond,Times"/>
          <w:color w:val="auto"/>
          <w:lang w:eastAsia="en-GB"/>
        </w:rPr>
        <w:t xml:space="preserve"> and Elliott’s (1998) review summarizes</w:t>
      </w:r>
      <w:r w:rsidR="00D368B2">
        <w:rPr>
          <w:rFonts w:eastAsia="Times New Roman,Garamond,Times"/>
          <w:color w:val="auto"/>
          <w:lang w:eastAsia="en-GB"/>
        </w:rPr>
        <w:t xml:space="preserve"> the main discussions from the </w:t>
      </w:r>
      <w:r w:rsidR="00D368B2">
        <w:rPr>
          <w:rFonts w:eastAsia="Times New Roman,Garamond,Times"/>
          <w:lang w:eastAsia="en-GB"/>
        </w:rPr>
        <w:t>American</w:t>
      </w:r>
      <w:r w:rsidR="00D368B2">
        <w:rPr>
          <w:rFonts w:eastAsia="Times New Roman,Garamond,Times"/>
          <w:color w:val="auto"/>
          <w:lang w:eastAsia="en-GB"/>
        </w:rPr>
        <w:t xml:space="preserve"> Accounting Association (A</w:t>
      </w:r>
      <w:r w:rsidRPr="00A55E75">
        <w:rPr>
          <w:rFonts w:eastAsia="Times New Roman,Garamond,Times"/>
          <w:color w:val="auto"/>
          <w:lang w:eastAsia="en-GB"/>
        </w:rPr>
        <w:t>AA</w:t>
      </w:r>
      <w:r w:rsidR="00D368B2">
        <w:rPr>
          <w:rFonts w:eastAsia="Times New Roman,Garamond,Times"/>
          <w:color w:val="auto"/>
          <w:lang w:eastAsia="en-GB"/>
        </w:rPr>
        <w:t>)</w:t>
      </w:r>
      <w:r w:rsidRPr="00A55E75">
        <w:rPr>
          <w:rFonts w:eastAsia="Times New Roman,Garamond,Times"/>
          <w:color w:val="auto"/>
          <w:lang w:eastAsia="en-GB"/>
        </w:rPr>
        <w:t xml:space="preserve"> and F</w:t>
      </w:r>
      <w:r w:rsidR="00D368B2">
        <w:rPr>
          <w:rFonts w:eastAsia="Times New Roman,Garamond,Times"/>
          <w:color w:val="auto"/>
          <w:lang w:eastAsia="en-GB"/>
        </w:rPr>
        <w:t>inancial Accounting Standards Board (F</w:t>
      </w:r>
      <w:r w:rsidRPr="00A55E75">
        <w:rPr>
          <w:rFonts w:eastAsia="Times New Roman,Garamond,Times"/>
          <w:color w:val="auto"/>
          <w:lang w:eastAsia="en-GB"/>
        </w:rPr>
        <w:t>ASB</w:t>
      </w:r>
      <w:r w:rsidR="00D368B2">
        <w:rPr>
          <w:rFonts w:eastAsia="Times New Roman,Garamond,Times"/>
          <w:color w:val="auto"/>
          <w:lang w:eastAsia="en-GB"/>
        </w:rPr>
        <w:t>)</w:t>
      </w:r>
      <w:r w:rsidRPr="00A55E75">
        <w:rPr>
          <w:rFonts w:eastAsia="Times New Roman,Garamond,Times"/>
          <w:color w:val="auto"/>
          <w:lang w:eastAsia="en-GB"/>
        </w:rPr>
        <w:t xml:space="preserve"> conference, addressing obstacles to the issuing of a risk-reporting accounting standard. They highlight that much of the extant research focuses on the </w:t>
      </w:r>
      <w:r w:rsidRPr="00A55E75">
        <w:rPr>
          <w:rFonts w:eastAsia="Times New Roman,Garamond,Times"/>
          <w:i/>
          <w:iCs/>
          <w:color w:val="auto"/>
          <w:lang w:eastAsia="en-GB"/>
        </w:rPr>
        <w:t>effects</w:t>
      </w:r>
      <w:r w:rsidRPr="00A55E75">
        <w:rPr>
          <w:rFonts w:eastAsia="Times New Roman,Garamond,Times"/>
          <w:color w:val="auto"/>
          <w:lang w:eastAsia="en-GB"/>
        </w:rPr>
        <w:t xml:space="preserve"> of risk rather than on how investors </w:t>
      </w:r>
      <w:r w:rsidRPr="00A55E75">
        <w:rPr>
          <w:rFonts w:eastAsia="Times New Roman,Garamond,Times"/>
          <w:i/>
          <w:iCs/>
          <w:color w:val="auto"/>
          <w:lang w:eastAsia="en-GB"/>
        </w:rPr>
        <w:t>assess</w:t>
      </w:r>
      <w:r w:rsidRPr="00A55E75">
        <w:rPr>
          <w:rFonts w:eastAsia="Times New Roman,Garamond,Times"/>
          <w:color w:val="auto"/>
          <w:lang w:eastAsia="en-GB"/>
        </w:rPr>
        <w:t xml:space="preserve"> risk, thus providing little explicit guidance as to which disclosures can aid investors’ risk assessment</w:t>
      </w:r>
      <w:r w:rsidRPr="0020536D">
        <w:rPr>
          <w:rFonts w:eastAsia="Times New Roman,Garamond,Times"/>
          <w:lang w:eastAsia="en-GB"/>
        </w:rPr>
        <w:t xml:space="preserve">. </w:t>
      </w:r>
    </w:p>
    <w:p w14:paraId="08FF511A" w14:textId="77777777" w:rsidR="006E5A74" w:rsidRDefault="006E5A74" w:rsidP="0046703C">
      <w:pPr>
        <w:pStyle w:val="FootnoteText"/>
      </w:pPr>
    </w:p>
  </w:footnote>
  <w:footnote w:id="18">
    <w:p w14:paraId="2D8FE133" w14:textId="6B0C0CE9" w:rsidR="003647FD" w:rsidRPr="0020536D" w:rsidRDefault="003647FD" w:rsidP="003647FD">
      <w:pPr>
        <w:pStyle w:val="FootnoteText"/>
        <w:ind w:firstLine="567"/>
        <w:jc w:val="both"/>
        <w:rPr>
          <w:rFonts w:ascii="Garamond" w:hAnsi="Garamond"/>
        </w:rPr>
      </w:pPr>
      <w:r w:rsidRPr="00AF0302">
        <w:rPr>
          <w:rStyle w:val="FootnoteReference"/>
          <w:rFonts w:ascii="Garamond" w:eastAsia="Times New Roman,宋体" w:hAnsi="Garamond"/>
        </w:rPr>
        <w:footnoteRef/>
      </w:r>
      <w:r w:rsidRPr="00AF0302">
        <w:rPr>
          <w:rFonts w:ascii="Garamond" w:eastAsia="Times New Roman,宋体" w:hAnsi="Garamond"/>
        </w:rPr>
        <w:t xml:space="preserve"> Appendix 1 gives details of the other papers on risk reporting that have been mentioned in this </w:t>
      </w:r>
      <w:r w:rsidR="00AA2E0C" w:rsidRPr="00AF0302">
        <w:rPr>
          <w:rFonts w:ascii="Garamond" w:eastAsia="Times New Roman,宋体" w:hAnsi="Garamond"/>
        </w:rPr>
        <w:t xml:space="preserve">section </w:t>
      </w:r>
      <w:r w:rsidRPr="00AF0302">
        <w:rPr>
          <w:rFonts w:ascii="Garamond" w:eastAsia="Times New Roman,宋体" w:hAnsi="Garamond"/>
        </w:rPr>
        <w:t>and were not reviewed in Sections 3, 4, and 5. It summarizes those papers’ results and further classifies them based on areas of divergence.</w:t>
      </w:r>
      <w:r w:rsidRPr="0020536D">
        <w:rPr>
          <w:rFonts w:ascii="Garamond" w:eastAsia="Times New Roman,宋体" w:hAnsi="Garamond"/>
        </w:rPr>
        <w:t xml:space="preserve"> </w:t>
      </w:r>
    </w:p>
  </w:footnote>
  <w:footnote w:id="19">
    <w:p w14:paraId="667AEFDA" w14:textId="77777777" w:rsidR="006E5A74" w:rsidRPr="001E38F7" w:rsidRDefault="006E5A74" w:rsidP="00206FDB">
      <w:pPr>
        <w:pStyle w:val="FootnoteText"/>
        <w:ind w:firstLine="567"/>
        <w:jc w:val="both"/>
        <w:rPr>
          <w:rFonts w:ascii="Garamond" w:hAnsi="Garamond"/>
        </w:rPr>
      </w:pPr>
      <w:r w:rsidRPr="001E38F7">
        <w:rPr>
          <w:rStyle w:val="FootnoteReference"/>
          <w:rFonts w:ascii="Garamond" w:hAnsi="Garamond"/>
        </w:rPr>
        <w:footnoteRef/>
      </w:r>
      <w:r w:rsidRPr="001E38F7">
        <w:rPr>
          <w:rFonts w:ascii="Garamond" w:hAnsi="Garamond"/>
        </w:rPr>
        <w:t xml:space="preserve"> </w:t>
      </w:r>
      <w:proofErr w:type="spellStart"/>
      <w:r w:rsidRPr="001E38F7">
        <w:rPr>
          <w:rFonts w:ascii="Garamond" w:hAnsi="Garamond"/>
        </w:rPr>
        <w:t>VaR</w:t>
      </w:r>
      <w:proofErr w:type="spellEnd"/>
      <w:r w:rsidRPr="001E38F7">
        <w:rPr>
          <w:rFonts w:ascii="Garamond" w:hAnsi="Garamond"/>
        </w:rPr>
        <w:t xml:space="preserve"> identifies the maximum loss, with a certain degree of probability (i.e., 90%, 95%, and 99%), that is expected specific to a certain item (or items) (e.g., revenues, assets) over the next period (e.g., day, month, and year). For a review of </w:t>
      </w:r>
      <w:proofErr w:type="spellStart"/>
      <w:r w:rsidRPr="001E38F7">
        <w:rPr>
          <w:rFonts w:ascii="Garamond" w:hAnsi="Garamond"/>
        </w:rPr>
        <w:t>VaR’s</w:t>
      </w:r>
      <w:proofErr w:type="spellEnd"/>
      <w:r w:rsidRPr="001E38F7">
        <w:rPr>
          <w:rFonts w:ascii="Garamond" w:hAnsi="Garamond"/>
        </w:rPr>
        <w:t xml:space="preserve"> methods and techniques, see </w:t>
      </w:r>
      <w:proofErr w:type="spellStart"/>
      <w:r w:rsidRPr="001E38F7">
        <w:rPr>
          <w:rFonts w:ascii="Garamond" w:hAnsi="Garamond"/>
        </w:rPr>
        <w:t>Jorion</w:t>
      </w:r>
      <w:proofErr w:type="spellEnd"/>
      <w:r w:rsidRPr="001E38F7">
        <w:rPr>
          <w:rFonts w:ascii="Garamond" w:hAnsi="Garamond"/>
        </w:rPr>
        <w:t xml:space="preserve"> (2006).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C78"/>
    <w:multiLevelType w:val="hybridMultilevel"/>
    <w:tmpl w:val="B38CA3DE"/>
    <w:lvl w:ilvl="0" w:tplc="88A45C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41F5657"/>
    <w:multiLevelType w:val="hybridMultilevel"/>
    <w:tmpl w:val="4D92308C"/>
    <w:lvl w:ilvl="0" w:tplc="79E4A2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693D2C"/>
    <w:multiLevelType w:val="hybridMultilevel"/>
    <w:tmpl w:val="860AA096"/>
    <w:lvl w:ilvl="0" w:tplc="5EEAA8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92775B"/>
    <w:multiLevelType w:val="multilevel"/>
    <w:tmpl w:val="823EE4C6"/>
    <w:lvl w:ilvl="0">
      <w:start w:val="1"/>
      <w:numFmt w:val="decimal"/>
      <w:lvlText w:val="%1."/>
      <w:lvlJc w:val="left"/>
      <w:pPr>
        <w:ind w:left="390" w:hanging="390"/>
      </w:pPr>
      <w:rPr>
        <w:rFonts w:hint="default"/>
      </w:rPr>
    </w:lvl>
    <w:lvl w:ilvl="1">
      <w:start w:val="1"/>
      <w:numFmt w:val="decimal"/>
      <w:pStyle w:val="Heading2"/>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0B64F8"/>
    <w:multiLevelType w:val="hybridMultilevel"/>
    <w:tmpl w:val="AE28BD46"/>
    <w:lvl w:ilvl="0" w:tplc="10FE5A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D91040"/>
    <w:multiLevelType w:val="hybridMultilevel"/>
    <w:tmpl w:val="8CC02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BB283B"/>
    <w:multiLevelType w:val="hybridMultilevel"/>
    <w:tmpl w:val="7F8699B8"/>
    <w:lvl w:ilvl="0" w:tplc="596CFD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3209DB"/>
    <w:multiLevelType w:val="hybridMultilevel"/>
    <w:tmpl w:val="BF3AB8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7346FA"/>
    <w:multiLevelType w:val="hybridMultilevel"/>
    <w:tmpl w:val="FB7EA6E4"/>
    <w:lvl w:ilvl="0" w:tplc="4BDA5C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88042A"/>
    <w:multiLevelType w:val="hybridMultilevel"/>
    <w:tmpl w:val="B368405C"/>
    <w:lvl w:ilvl="0" w:tplc="AC8643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A7090D"/>
    <w:multiLevelType w:val="hybridMultilevel"/>
    <w:tmpl w:val="094E6C88"/>
    <w:lvl w:ilvl="0" w:tplc="A19C82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C812B97"/>
    <w:multiLevelType w:val="hybridMultilevel"/>
    <w:tmpl w:val="9500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0C6B8C"/>
    <w:multiLevelType w:val="hybridMultilevel"/>
    <w:tmpl w:val="F66E7258"/>
    <w:lvl w:ilvl="0" w:tplc="8C7CD76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FDF6B69"/>
    <w:multiLevelType w:val="hybridMultilevel"/>
    <w:tmpl w:val="32066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25F4F51"/>
    <w:multiLevelType w:val="multilevel"/>
    <w:tmpl w:val="59441590"/>
    <w:lvl w:ilvl="0">
      <w:start w:val="6"/>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23830057"/>
    <w:multiLevelType w:val="hybridMultilevel"/>
    <w:tmpl w:val="1494AF14"/>
    <w:lvl w:ilvl="0" w:tplc="046627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26166F9"/>
    <w:multiLevelType w:val="hybridMultilevel"/>
    <w:tmpl w:val="9788D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A1AB3"/>
    <w:multiLevelType w:val="hybridMultilevel"/>
    <w:tmpl w:val="188AE8FC"/>
    <w:lvl w:ilvl="0" w:tplc="15023F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81047A"/>
    <w:multiLevelType w:val="hybridMultilevel"/>
    <w:tmpl w:val="CF78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665D89"/>
    <w:multiLevelType w:val="hybridMultilevel"/>
    <w:tmpl w:val="FECEF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792908"/>
    <w:multiLevelType w:val="hybridMultilevel"/>
    <w:tmpl w:val="1CBCC60C"/>
    <w:lvl w:ilvl="0" w:tplc="44A266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CAC4383"/>
    <w:multiLevelType w:val="hybridMultilevel"/>
    <w:tmpl w:val="CE589530"/>
    <w:lvl w:ilvl="0" w:tplc="589EF7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E1D2251"/>
    <w:multiLevelType w:val="hybridMultilevel"/>
    <w:tmpl w:val="FC668D4C"/>
    <w:lvl w:ilvl="0" w:tplc="C1FEA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3444E99"/>
    <w:multiLevelType w:val="hybridMultilevel"/>
    <w:tmpl w:val="6422D32E"/>
    <w:lvl w:ilvl="0" w:tplc="AAFE5F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56204C4"/>
    <w:multiLevelType w:val="hybridMultilevel"/>
    <w:tmpl w:val="E744A778"/>
    <w:lvl w:ilvl="0" w:tplc="623C26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F31258"/>
    <w:multiLevelType w:val="hybridMultilevel"/>
    <w:tmpl w:val="39FE1180"/>
    <w:lvl w:ilvl="0" w:tplc="9CF845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AB54090"/>
    <w:multiLevelType w:val="hybridMultilevel"/>
    <w:tmpl w:val="5560A872"/>
    <w:lvl w:ilvl="0" w:tplc="BF5470F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nsid w:val="4C912469"/>
    <w:multiLevelType w:val="hybridMultilevel"/>
    <w:tmpl w:val="AD62F8C4"/>
    <w:lvl w:ilvl="0" w:tplc="41944838">
      <w:start w:val="1"/>
      <w:numFmt w:val="decimal"/>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4E0E29BD"/>
    <w:multiLevelType w:val="hybridMultilevel"/>
    <w:tmpl w:val="255C854C"/>
    <w:lvl w:ilvl="0" w:tplc="00229A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2C772BB"/>
    <w:multiLevelType w:val="hybridMultilevel"/>
    <w:tmpl w:val="8C4CE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6454A6E"/>
    <w:multiLevelType w:val="hybridMultilevel"/>
    <w:tmpl w:val="824E825A"/>
    <w:lvl w:ilvl="0" w:tplc="868ACDD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66A67BA"/>
    <w:multiLevelType w:val="hybridMultilevel"/>
    <w:tmpl w:val="0218A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A7F0103"/>
    <w:multiLevelType w:val="hybridMultilevel"/>
    <w:tmpl w:val="1D92AE4C"/>
    <w:lvl w:ilvl="0" w:tplc="77707D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D0E3D53"/>
    <w:multiLevelType w:val="hybridMultilevel"/>
    <w:tmpl w:val="38AA393A"/>
    <w:lvl w:ilvl="0" w:tplc="C25821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D3B75DC"/>
    <w:multiLevelType w:val="hybridMultilevel"/>
    <w:tmpl w:val="B7BAFC94"/>
    <w:lvl w:ilvl="0" w:tplc="690678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5E0D75E1"/>
    <w:multiLevelType w:val="hybridMultilevel"/>
    <w:tmpl w:val="A5E81F78"/>
    <w:lvl w:ilvl="0" w:tplc="6DA84C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0F0172E"/>
    <w:multiLevelType w:val="hybridMultilevel"/>
    <w:tmpl w:val="3C9466D0"/>
    <w:lvl w:ilvl="0" w:tplc="7092F4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94A7FA9"/>
    <w:multiLevelType w:val="hybridMultilevel"/>
    <w:tmpl w:val="4572727E"/>
    <w:lvl w:ilvl="0" w:tplc="BF7804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AE3489D"/>
    <w:multiLevelType w:val="hybridMultilevel"/>
    <w:tmpl w:val="9788D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795FA0"/>
    <w:multiLevelType w:val="hybridMultilevel"/>
    <w:tmpl w:val="A33CADF4"/>
    <w:lvl w:ilvl="0" w:tplc="2E68D8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1C03544"/>
    <w:multiLevelType w:val="hybridMultilevel"/>
    <w:tmpl w:val="2F6EEF4C"/>
    <w:lvl w:ilvl="0" w:tplc="C7405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3FB24C2"/>
    <w:multiLevelType w:val="hybridMultilevel"/>
    <w:tmpl w:val="9A04FFC2"/>
    <w:lvl w:ilvl="0" w:tplc="08090011">
      <w:start w:val="1"/>
      <w:numFmt w:val="decimal"/>
      <w:lvlText w:val="%1)"/>
      <w:lvlJc w:val="left"/>
      <w:pPr>
        <w:ind w:left="2486" w:hanging="360"/>
      </w:pPr>
      <w:rPr>
        <w:rFonts w:hint="default"/>
      </w:rPr>
    </w:lvl>
    <w:lvl w:ilvl="1" w:tplc="08090019" w:tentative="1">
      <w:start w:val="1"/>
      <w:numFmt w:val="lowerLetter"/>
      <w:lvlText w:val="%2."/>
      <w:lvlJc w:val="left"/>
      <w:pPr>
        <w:ind w:left="3206" w:hanging="360"/>
      </w:pPr>
    </w:lvl>
    <w:lvl w:ilvl="2" w:tplc="0809001B" w:tentative="1">
      <w:start w:val="1"/>
      <w:numFmt w:val="lowerRoman"/>
      <w:lvlText w:val="%3."/>
      <w:lvlJc w:val="right"/>
      <w:pPr>
        <w:ind w:left="3926" w:hanging="180"/>
      </w:pPr>
    </w:lvl>
    <w:lvl w:ilvl="3" w:tplc="0809000F" w:tentative="1">
      <w:start w:val="1"/>
      <w:numFmt w:val="decimal"/>
      <w:lvlText w:val="%4."/>
      <w:lvlJc w:val="left"/>
      <w:pPr>
        <w:ind w:left="4646" w:hanging="360"/>
      </w:pPr>
    </w:lvl>
    <w:lvl w:ilvl="4" w:tplc="08090019" w:tentative="1">
      <w:start w:val="1"/>
      <w:numFmt w:val="lowerLetter"/>
      <w:lvlText w:val="%5."/>
      <w:lvlJc w:val="left"/>
      <w:pPr>
        <w:ind w:left="5366" w:hanging="360"/>
      </w:pPr>
    </w:lvl>
    <w:lvl w:ilvl="5" w:tplc="0809001B" w:tentative="1">
      <w:start w:val="1"/>
      <w:numFmt w:val="lowerRoman"/>
      <w:lvlText w:val="%6."/>
      <w:lvlJc w:val="right"/>
      <w:pPr>
        <w:ind w:left="6086" w:hanging="180"/>
      </w:pPr>
    </w:lvl>
    <w:lvl w:ilvl="6" w:tplc="0809000F" w:tentative="1">
      <w:start w:val="1"/>
      <w:numFmt w:val="decimal"/>
      <w:lvlText w:val="%7."/>
      <w:lvlJc w:val="left"/>
      <w:pPr>
        <w:ind w:left="6806" w:hanging="360"/>
      </w:pPr>
    </w:lvl>
    <w:lvl w:ilvl="7" w:tplc="08090019" w:tentative="1">
      <w:start w:val="1"/>
      <w:numFmt w:val="lowerLetter"/>
      <w:lvlText w:val="%8."/>
      <w:lvlJc w:val="left"/>
      <w:pPr>
        <w:ind w:left="7526" w:hanging="360"/>
      </w:pPr>
    </w:lvl>
    <w:lvl w:ilvl="8" w:tplc="0809001B" w:tentative="1">
      <w:start w:val="1"/>
      <w:numFmt w:val="lowerRoman"/>
      <w:lvlText w:val="%9."/>
      <w:lvlJc w:val="right"/>
      <w:pPr>
        <w:ind w:left="8246" w:hanging="180"/>
      </w:pPr>
    </w:lvl>
  </w:abstractNum>
  <w:abstractNum w:abstractNumId="42">
    <w:nsid w:val="7EA3026A"/>
    <w:multiLevelType w:val="hybridMultilevel"/>
    <w:tmpl w:val="14C08C3E"/>
    <w:lvl w:ilvl="0" w:tplc="6756B1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8"/>
  </w:num>
  <w:num w:numId="3">
    <w:abstractNumId w:val="34"/>
  </w:num>
  <w:num w:numId="4">
    <w:abstractNumId w:val="41"/>
  </w:num>
  <w:num w:numId="5">
    <w:abstractNumId w:val="11"/>
  </w:num>
  <w:num w:numId="6">
    <w:abstractNumId w:val="18"/>
  </w:num>
  <w:num w:numId="7">
    <w:abstractNumId w:val="29"/>
  </w:num>
  <w:num w:numId="8">
    <w:abstractNumId w:val="14"/>
  </w:num>
  <w:num w:numId="9">
    <w:abstractNumId w:val="31"/>
  </w:num>
  <w:num w:numId="10">
    <w:abstractNumId w:val="5"/>
  </w:num>
  <w:num w:numId="11">
    <w:abstractNumId w:val="7"/>
  </w:num>
  <w:num w:numId="12">
    <w:abstractNumId w:val="20"/>
  </w:num>
  <w:num w:numId="13">
    <w:abstractNumId w:val="16"/>
  </w:num>
  <w:num w:numId="14">
    <w:abstractNumId w:val="38"/>
  </w:num>
  <w:num w:numId="15">
    <w:abstractNumId w:val="1"/>
  </w:num>
  <w:num w:numId="16">
    <w:abstractNumId w:val="30"/>
  </w:num>
  <w:num w:numId="17">
    <w:abstractNumId w:val="37"/>
  </w:num>
  <w:num w:numId="18">
    <w:abstractNumId w:val="21"/>
  </w:num>
  <w:num w:numId="19">
    <w:abstractNumId w:val="35"/>
  </w:num>
  <w:num w:numId="20">
    <w:abstractNumId w:val="19"/>
  </w:num>
  <w:num w:numId="21">
    <w:abstractNumId w:val="24"/>
  </w:num>
  <w:num w:numId="22">
    <w:abstractNumId w:val="13"/>
  </w:num>
  <w:num w:numId="23">
    <w:abstractNumId w:val="42"/>
  </w:num>
  <w:num w:numId="24">
    <w:abstractNumId w:val="0"/>
  </w:num>
  <w:num w:numId="25">
    <w:abstractNumId w:val="23"/>
  </w:num>
  <w:num w:numId="26">
    <w:abstractNumId w:val="32"/>
  </w:num>
  <w:num w:numId="27">
    <w:abstractNumId w:val="36"/>
  </w:num>
  <w:num w:numId="28">
    <w:abstractNumId w:val="8"/>
  </w:num>
  <w:num w:numId="29">
    <w:abstractNumId w:val="6"/>
  </w:num>
  <w:num w:numId="30">
    <w:abstractNumId w:val="2"/>
  </w:num>
  <w:num w:numId="31">
    <w:abstractNumId w:val="9"/>
  </w:num>
  <w:num w:numId="32">
    <w:abstractNumId w:val="15"/>
  </w:num>
  <w:num w:numId="33">
    <w:abstractNumId w:val="22"/>
  </w:num>
  <w:num w:numId="34">
    <w:abstractNumId w:val="25"/>
  </w:num>
  <w:num w:numId="35">
    <w:abstractNumId w:val="17"/>
  </w:num>
  <w:num w:numId="36">
    <w:abstractNumId w:val="39"/>
  </w:num>
  <w:num w:numId="37">
    <w:abstractNumId w:val="40"/>
  </w:num>
  <w:num w:numId="38">
    <w:abstractNumId w:val="33"/>
  </w:num>
  <w:num w:numId="39">
    <w:abstractNumId w:val="27"/>
  </w:num>
  <w:num w:numId="40">
    <w:abstractNumId w:val="4"/>
  </w:num>
  <w:num w:numId="41">
    <w:abstractNumId w:val="10"/>
  </w:num>
  <w:num w:numId="42">
    <w:abstractNumId w:val="12"/>
  </w:num>
  <w:num w:numId="43">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 Bamber">
    <w15:presenceInfo w15:providerId="AD" w15:userId="S-1-5-21-1229272821-73586283-682003330-92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6" w:nlCheck="1" w:checkStyle="1"/>
  <w:activeWritingStyle w:appName="MSWord" w:lang="en-GB" w:vendorID="64" w:dllVersion="6" w:nlCheck="1" w:checkStyle="0"/>
  <w:activeWritingStyle w:appName="MSWord" w:lang="fr-FR" w:vendorID="64" w:dllVersion="6" w:nlCheck="1" w:checkStyle="0"/>
  <w:activeWritingStyle w:appName="MSWord" w:lang="en-CA"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0BB"/>
    <w:rsid w:val="00002883"/>
    <w:rsid w:val="00003816"/>
    <w:rsid w:val="000040C5"/>
    <w:rsid w:val="00005689"/>
    <w:rsid w:val="00010196"/>
    <w:rsid w:val="0001183B"/>
    <w:rsid w:val="00013B9E"/>
    <w:rsid w:val="000152D3"/>
    <w:rsid w:val="00016642"/>
    <w:rsid w:val="00016989"/>
    <w:rsid w:val="00016C3C"/>
    <w:rsid w:val="000178D8"/>
    <w:rsid w:val="00022238"/>
    <w:rsid w:val="000223E2"/>
    <w:rsid w:val="000224CD"/>
    <w:rsid w:val="00026EFC"/>
    <w:rsid w:val="00030716"/>
    <w:rsid w:val="000318BB"/>
    <w:rsid w:val="00032CA6"/>
    <w:rsid w:val="00034483"/>
    <w:rsid w:val="00035B07"/>
    <w:rsid w:val="00036FF1"/>
    <w:rsid w:val="0003700E"/>
    <w:rsid w:val="000377AD"/>
    <w:rsid w:val="00037B64"/>
    <w:rsid w:val="00040990"/>
    <w:rsid w:val="00040D24"/>
    <w:rsid w:val="0004103D"/>
    <w:rsid w:val="0004267E"/>
    <w:rsid w:val="000428B1"/>
    <w:rsid w:val="00045865"/>
    <w:rsid w:val="00045A1E"/>
    <w:rsid w:val="00047A6A"/>
    <w:rsid w:val="00047EB4"/>
    <w:rsid w:val="000514F1"/>
    <w:rsid w:val="000530BA"/>
    <w:rsid w:val="00053C8E"/>
    <w:rsid w:val="000545A0"/>
    <w:rsid w:val="00054B6F"/>
    <w:rsid w:val="00055689"/>
    <w:rsid w:val="00056FB9"/>
    <w:rsid w:val="00060962"/>
    <w:rsid w:val="00061A4E"/>
    <w:rsid w:val="00061C28"/>
    <w:rsid w:val="00061ED3"/>
    <w:rsid w:val="000622AA"/>
    <w:rsid w:val="00063B5F"/>
    <w:rsid w:val="0006543E"/>
    <w:rsid w:val="000669C1"/>
    <w:rsid w:val="00067323"/>
    <w:rsid w:val="0006786E"/>
    <w:rsid w:val="00067C6D"/>
    <w:rsid w:val="00071E7B"/>
    <w:rsid w:val="00072535"/>
    <w:rsid w:val="000740E6"/>
    <w:rsid w:val="00074B48"/>
    <w:rsid w:val="00075E60"/>
    <w:rsid w:val="000765BB"/>
    <w:rsid w:val="00076A0C"/>
    <w:rsid w:val="00076DE5"/>
    <w:rsid w:val="000773A2"/>
    <w:rsid w:val="00081258"/>
    <w:rsid w:val="000814B4"/>
    <w:rsid w:val="000842D7"/>
    <w:rsid w:val="000869DF"/>
    <w:rsid w:val="000871B5"/>
    <w:rsid w:val="00090439"/>
    <w:rsid w:val="000905B3"/>
    <w:rsid w:val="00092DC5"/>
    <w:rsid w:val="00093283"/>
    <w:rsid w:val="000949FC"/>
    <w:rsid w:val="00095619"/>
    <w:rsid w:val="00096EDA"/>
    <w:rsid w:val="000A10BB"/>
    <w:rsid w:val="000A1F0F"/>
    <w:rsid w:val="000A3886"/>
    <w:rsid w:val="000A4721"/>
    <w:rsid w:val="000A58BA"/>
    <w:rsid w:val="000A6389"/>
    <w:rsid w:val="000A75F6"/>
    <w:rsid w:val="000A76ED"/>
    <w:rsid w:val="000A77B4"/>
    <w:rsid w:val="000A7886"/>
    <w:rsid w:val="000A7EBF"/>
    <w:rsid w:val="000B22BC"/>
    <w:rsid w:val="000B273D"/>
    <w:rsid w:val="000B3B5C"/>
    <w:rsid w:val="000B468C"/>
    <w:rsid w:val="000B5252"/>
    <w:rsid w:val="000B5A5A"/>
    <w:rsid w:val="000B5B31"/>
    <w:rsid w:val="000B7235"/>
    <w:rsid w:val="000B766B"/>
    <w:rsid w:val="000B7B20"/>
    <w:rsid w:val="000C085E"/>
    <w:rsid w:val="000C1BF2"/>
    <w:rsid w:val="000C25ED"/>
    <w:rsid w:val="000C3822"/>
    <w:rsid w:val="000C3857"/>
    <w:rsid w:val="000C5BB2"/>
    <w:rsid w:val="000C61A6"/>
    <w:rsid w:val="000C6690"/>
    <w:rsid w:val="000C6E61"/>
    <w:rsid w:val="000C6FC3"/>
    <w:rsid w:val="000C784F"/>
    <w:rsid w:val="000D0D55"/>
    <w:rsid w:val="000D1095"/>
    <w:rsid w:val="000D1923"/>
    <w:rsid w:val="000D1FB1"/>
    <w:rsid w:val="000D38DE"/>
    <w:rsid w:val="000D3B6D"/>
    <w:rsid w:val="000D45D7"/>
    <w:rsid w:val="000D4B23"/>
    <w:rsid w:val="000D7447"/>
    <w:rsid w:val="000D7E75"/>
    <w:rsid w:val="000E0127"/>
    <w:rsid w:val="000E01FB"/>
    <w:rsid w:val="000E0665"/>
    <w:rsid w:val="000E0920"/>
    <w:rsid w:val="000E1F0D"/>
    <w:rsid w:val="000E2388"/>
    <w:rsid w:val="000E2DEF"/>
    <w:rsid w:val="000E5A7B"/>
    <w:rsid w:val="000E6FFF"/>
    <w:rsid w:val="000F0D57"/>
    <w:rsid w:val="000F1E1E"/>
    <w:rsid w:val="000F2AB2"/>
    <w:rsid w:val="000F35FA"/>
    <w:rsid w:val="000F3737"/>
    <w:rsid w:val="000F4871"/>
    <w:rsid w:val="000F5CF6"/>
    <w:rsid w:val="000F5FBA"/>
    <w:rsid w:val="000F62D7"/>
    <w:rsid w:val="00101486"/>
    <w:rsid w:val="0010155F"/>
    <w:rsid w:val="001021AC"/>
    <w:rsid w:val="0010413A"/>
    <w:rsid w:val="001046CB"/>
    <w:rsid w:val="00104ED6"/>
    <w:rsid w:val="001052A4"/>
    <w:rsid w:val="00106DD4"/>
    <w:rsid w:val="00106E21"/>
    <w:rsid w:val="001077B1"/>
    <w:rsid w:val="00107C69"/>
    <w:rsid w:val="00112436"/>
    <w:rsid w:val="001126B7"/>
    <w:rsid w:val="00113488"/>
    <w:rsid w:val="00113C8E"/>
    <w:rsid w:val="00115CF2"/>
    <w:rsid w:val="00115D0E"/>
    <w:rsid w:val="00115EE0"/>
    <w:rsid w:val="00117E30"/>
    <w:rsid w:val="001214E4"/>
    <w:rsid w:val="00121832"/>
    <w:rsid w:val="00121E13"/>
    <w:rsid w:val="001233CB"/>
    <w:rsid w:val="00125A08"/>
    <w:rsid w:val="00127CBC"/>
    <w:rsid w:val="001303A1"/>
    <w:rsid w:val="00131166"/>
    <w:rsid w:val="00131CD3"/>
    <w:rsid w:val="00132272"/>
    <w:rsid w:val="001333AC"/>
    <w:rsid w:val="00134BD7"/>
    <w:rsid w:val="00134D53"/>
    <w:rsid w:val="001353ED"/>
    <w:rsid w:val="00135A20"/>
    <w:rsid w:val="00136A52"/>
    <w:rsid w:val="0013740E"/>
    <w:rsid w:val="00137DFF"/>
    <w:rsid w:val="001432B9"/>
    <w:rsid w:val="001445ED"/>
    <w:rsid w:val="0014465F"/>
    <w:rsid w:val="0014556B"/>
    <w:rsid w:val="00145C50"/>
    <w:rsid w:val="001479BE"/>
    <w:rsid w:val="00147F82"/>
    <w:rsid w:val="00147FDB"/>
    <w:rsid w:val="0015132C"/>
    <w:rsid w:val="00152C40"/>
    <w:rsid w:val="00153498"/>
    <w:rsid w:val="00153AB4"/>
    <w:rsid w:val="00154A57"/>
    <w:rsid w:val="001572F7"/>
    <w:rsid w:val="001576BE"/>
    <w:rsid w:val="001577A6"/>
    <w:rsid w:val="00161C16"/>
    <w:rsid w:val="00162EB5"/>
    <w:rsid w:val="0016350A"/>
    <w:rsid w:val="00163A30"/>
    <w:rsid w:val="00164443"/>
    <w:rsid w:val="0016574E"/>
    <w:rsid w:val="001659DF"/>
    <w:rsid w:val="0016760A"/>
    <w:rsid w:val="00170C58"/>
    <w:rsid w:val="00173761"/>
    <w:rsid w:val="0017379E"/>
    <w:rsid w:val="00175407"/>
    <w:rsid w:val="00180B7A"/>
    <w:rsid w:val="00182515"/>
    <w:rsid w:val="0018377E"/>
    <w:rsid w:val="001859FA"/>
    <w:rsid w:val="00185CD5"/>
    <w:rsid w:val="00186261"/>
    <w:rsid w:val="001876ED"/>
    <w:rsid w:val="00190990"/>
    <w:rsid w:val="00190CFF"/>
    <w:rsid w:val="001915CD"/>
    <w:rsid w:val="00191D23"/>
    <w:rsid w:val="0019508C"/>
    <w:rsid w:val="00195140"/>
    <w:rsid w:val="00195E45"/>
    <w:rsid w:val="00195EC1"/>
    <w:rsid w:val="00196B60"/>
    <w:rsid w:val="00197613"/>
    <w:rsid w:val="001976F2"/>
    <w:rsid w:val="00197F4E"/>
    <w:rsid w:val="001A0B4A"/>
    <w:rsid w:val="001A0C63"/>
    <w:rsid w:val="001A434A"/>
    <w:rsid w:val="001A6D4D"/>
    <w:rsid w:val="001A7470"/>
    <w:rsid w:val="001B0343"/>
    <w:rsid w:val="001B039A"/>
    <w:rsid w:val="001B1291"/>
    <w:rsid w:val="001B289C"/>
    <w:rsid w:val="001B329C"/>
    <w:rsid w:val="001B40D6"/>
    <w:rsid w:val="001B49BB"/>
    <w:rsid w:val="001B5E7E"/>
    <w:rsid w:val="001B5F7C"/>
    <w:rsid w:val="001B6B7B"/>
    <w:rsid w:val="001C16C4"/>
    <w:rsid w:val="001C1DA4"/>
    <w:rsid w:val="001C1F18"/>
    <w:rsid w:val="001C220E"/>
    <w:rsid w:val="001C2D3A"/>
    <w:rsid w:val="001C4EE3"/>
    <w:rsid w:val="001C63C2"/>
    <w:rsid w:val="001C6D80"/>
    <w:rsid w:val="001C7332"/>
    <w:rsid w:val="001D08DA"/>
    <w:rsid w:val="001D2719"/>
    <w:rsid w:val="001D3FB3"/>
    <w:rsid w:val="001D41E4"/>
    <w:rsid w:val="001D4617"/>
    <w:rsid w:val="001E096D"/>
    <w:rsid w:val="001E0C51"/>
    <w:rsid w:val="001E1C4D"/>
    <w:rsid w:val="001E3670"/>
    <w:rsid w:val="001E38F7"/>
    <w:rsid w:val="001E67F6"/>
    <w:rsid w:val="001E6EF3"/>
    <w:rsid w:val="001E7272"/>
    <w:rsid w:val="001E75B9"/>
    <w:rsid w:val="001E771E"/>
    <w:rsid w:val="001E7DC5"/>
    <w:rsid w:val="001E7FCE"/>
    <w:rsid w:val="001F0F67"/>
    <w:rsid w:val="001F2D3E"/>
    <w:rsid w:val="001F2DF4"/>
    <w:rsid w:val="001F45A2"/>
    <w:rsid w:val="001F5D8F"/>
    <w:rsid w:val="001F6ECA"/>
    <w:rsid w:val="002001BD"/>
    <w:rsid w:val="00204F0C"/>
    <w:rsid w:val="0020536D"/>
    <w:rsid w:val="00206926"/>
    <w:rsid w:val="00206FDB"/>
    <w:rsid w:val="00210314"/>
    <w:rsid w:val="002105EC"/>
    <w:rsid w:val="00213460"/>
    <w:rsid w:val="00213612"/>
    <w:rsid w:val="00213E28"/>
    <w:rsid w:val="002141F6"/>
    <w:rsid w:val="00215743"/>
    <w:rsid w:val="00217B25"/>
    <w:rsid w:val="00217D63"/>
    <w:rsid w:val="00220125"/>
    <w:rsid w:val="00220C1D"/>
    <w:rsid w:val="00222522"/>
    <w:rsid w:val="002229CD"/>
    <w:rsid w:val="002240A1"/>
    <w:rsid w:val="00224C11"/>
    <w:rsid w:val="00227A93"/>
    <w:rsid w:val="0023182A"/>
    <w:rsid w:val="002328B2"/>
    <w:rsid w:val="00232992"/>
    <w:rsid w:val="00233A01"/>
    <w:rsid w:val="00233D5F"/>
    <w:rsid w:val="00234E48"/>
    <w:rsid w:val="002350AD"/>
    <w:rsid w:val="0023576F"/>
    <w:rsid w:val="00236F62"/>
    <w:rsid w:val="0024021A"/>
    <w:rsid w:val="00241979"/>
    <w:rsid w:val="00242733"/>
    <w:rsid w:val="00242B67"/>
    <w:rsid w:val="00243529"/>
    <w:rsid w:val="00245E86"/>
    <w:rsid w:val="00246F28"/>
    <w:rsid w:val="002508BC"/>
    <w:rsid w:val="00250970"/>
    <w:rsid w:val="002522FB"/>
    <w:rsid w:val="002528AF"/>
    <w:rsid w:val="00252D04"/>
    <w:rsid w:val="002547D4"/>
    <w:rsid w:val="00257E64"/>
    <w:rsid w:val="0026092C"/>
    <w:rsid w:val="0026199C"/>
    <w:rsid w:val="002620D4"/>
    <w:rsid w:val="0026302A"/>
    <w:rsid w:val="0026390F"/>
    <w:rsid w:val="00263BCD"/>
    <w:rsid w:val="00264F2C"/>
    <w:rsid w:val="002652C5"/>
    <w:rsid w:val="002669DC"/>
    <w:rsid w:val="002672C6"/>
    <w:rsid w:val="0026737B"/>
    <w:rsid w:val="00270614"/>
    <w:rsid w:val="0027109C"/>
    <w:rsid w:val="002720DA"/>
    <w:rsid w:val="002726E4"/>
    <w:rsid w:val="00272AE8"/>
    <w:rsid w:val="0027376A"/>
    <w:rsid w:val="00273B50"/>
    <w:rsid w:val="00275295"/>
    <w:rsid w:val="002761CA"/>
    <w:rsid w:val="00276F1E"/>
    <w:rsid w:val="002774BA"/>
    <w:rsid w:val="0028071D"/>
    <w:rsid w:val="00280894"/>
    <w:rsid w:val="0028194A"/>
    <w:rsid w:val="00282244"/>
    <w:rsid w:val="00282E70"/>
    <w:rsid w:val="002832EF"/>
    <w:rsid w:val="00283692"/>
    <w:rsid w:val="0028485F"/>
    <w:rsid w:val="002848D0"/>
    <w:rsid w:val="00286690"/>
    <w:rsid w:val="00287A8E"/>
    <w:rsid w:val="00287CFE"/>
    <w:rsid w:val="0029029E"/>
    <w:rsid w:val="0029039B"/>
    <w:rsid w:val="0029045E"/>
    <w:rsid w:val="002917A0"/>
    <w:rsid w:val="00291910"/>
    <w:rsid w:val="00292A3A"/>
    <w:rsid w:val="00293270"/>
    <w:rsid w:val="00294529"/>
    <w:rsid w:val="00294798"/>
    <w:rsid w:val="00294EA1"/>
    <w:rsid w:val="00295030"/>
    <w:rsid w:val="0029587D"/>
    <w:rsid w:val="00296282"/>
    <w:rsid w:val="00296E1A"/>
    <w:rsid w:val="00296F49"/>
    <w:rsid w:val="002972E9"/>
    <w:rsid w:val="002A332E"/>
    <w:rsid w:val="002A3381"/>
    <w:rsid w:val="002A7B06"/>
    <w:rsid w:val="002A7D55"/>
    <w:rsid w:val="002B0461"/>
    <w:rsid w:val="002B0D1C"/>
    <w:rsid w:val="002B0FA9"/>
    <w:rsid w:val="002B1125"/>
    <w:rsid w:val="002B3803"/>
    <w:rsid w:val="002B40CE"/>
    <w:rsid w:val="002B43C1"/>
    <w:rsid w:val="002B47D1"/>
    <w:rsid w:val="002B5740"/>
    <w:rsid w:val="002B5FD0"/>
    <w:rsid w:val="002B768D"/>
    <w:rsid w:val="002B7E9D"/>
    <w:rsid w:val="002C0085"/>
    <w:rsid w:val="002C05E5"/>
    <w:rsid w:val="002C0AFC"/>
    <w:rsid w:val="002C1845"/>
    <w:rsid w:val="002C1AD4"/>
    <w:rsid w:val="002C2341"/>
    <w:rsid w:val="002C3607"/>
    <w:rsid w:val="002C4011"/>
    <w:rsid w:val="002C4B6A"/>
    <w:rsid w:val="002C51DB"/>
    <w:rsid w:val="002C6410"/>
    <w:rsid w:val="002C694A"/>
    <w:rsid w:val="002C6BB7"/>
    <w:rsid w:val="002C6F71"/>
    <w:rsid w:val="002C733C"/>
    <w:rsid w:val="002C7B60"/>
    <w:rsid w:val="002C7E12"/>
    <w:rsid w:val="002D0588"/>
    <w:rsid w:val="002D1DC0"/>
    <w:rsid w:val="002D2254"/>
    <w:rsid w:val="002D2759"/>
    <w:rsid w:val="002D3031"/>
    <w:rsid w:val="002D43E9"/>
    <w:rsid w:val="002D4B5F"/>
    <w:rsid w:val="002D58D5"/>
    <w:rsid w:val="002D59ED"/>
    <w:rsid w:val="002D7928"/>
    <w:rsid w:val="002E0692"/>
    <w:rsid w:val="002E1B17"/>
    <w:rsid w:val="002E3DD4"/>
    <w:rsid w:val="002E3E7C"/>
    <w:rsid w:val="002E4BC1"/>
    <w:rsid w:val="002E5D3D"/>
    <w:rsid w:val="002E6908"/>
    <w:rsid w:val="002E7054"/>
    <w:rsid w:val="002E7ED6"/>
    <w:rsid w:val="002F0596"/>
    <w:rsid w:val="002F1466"/>
    <w:rsid w:val="002F1FAF"/>
    <w:rsid w:val="002F2B66"/>
    <w:rsid w:val="002F4DA2"/>
    <w:rsid w:val="002F5120"/>
    <w:rsid w:val="002F563D"/>
    <w:rsid w:val="002F6559"/>
    <w:rsid w:val="002F797B"/>
    <w:rsid w:val="002F7EA6"/>
    <w:rsid w:val="00300A78"/>
    <w:rsid w:val="00301E3E"/>
    <w:rsid w:val="00304D11"/>
    <w:rsid w:val="003079BA"/>
    <w:rsid w:val="00310546"/>
    <w:rsid w:val="0031142E"/>
    <w:rsid w:val="00311711"/>
    <w:rsid w:val="003130A9"/>
    <w:rsid w:val="003140CA"/>
    <w:rsid w:val="003147AE"/>
    <w:rsid w:val="003154A3"/>
    <w:rsid w:val="00315B01"/>
    <w:rsid w:val="00317C5C"/>
    <w:rsid w:val="0032144C"/>
    <w:rsid w:val="00321585"/>
    <w:rsid w:val="00321873"/>
    <w:rsid w:val="00321B24"/>
    <w:rsid w:val="00321E95"/>
    <w:rsid w:val="003220AE"/>
    <w:rsid w:val="0032263D"/>
    <w:rsid w:val="00323EB4"/>
    <w:rsid w:val="0032490E"/>
    <w:rsid w:val="003261D9"/>
    <w:rsid w:val="003304DE"/>
    <w:rsid w:val="00330899"/>
    <w:rsid w:val="00331998"/>
    <w:rsid w:val="0033285C"/>
    <w:rsid w:val="00332FF5"/>
    <w:rsid w:val="0033312B"/>
    <w:rsid w:val="00333702"/>
    <w:rsid w:val="00333A18"/>
    <w:rsid w:val="00335087"/>
    <w:rsid w:val="00335987"/>
    <w:rsid w:val="003370B4"/>
    <w:rsid w:val="00340716"/>
    <w:rsid w:val="00340AF7"/>
    <w:rsid w:val="0034465B"/>
    <w:rsid w:val="00344CCD"/>
    <w:rsid w:val="00345DEE"/>
    <w:rsid w:val="0034716A"/>
    <w:rsid w:val="003479E8"/>
    <w:rsid w:val="00350694"/>
    <w:rsid w:val="003507CE"/>
    <w:rsid w:val="0035094B"/>
    <w:rsid w:val="00350B86"/>
    <w:rsid w:val="00351504"/>
    <w:rsid w:val="003545F6"/>
    <w:rsid w:val="0035506B"/>
    <w:rsid w:val="00357C9E"/>
    <w:rsid w:val="00357D7E"/>
    <w:rsid w:val="003600AB"/>
    <w:rsid w:val="00361645"/>
    <w:rsid w:val="00361677"/>
    <w:rsid w:val="003628CD"/>
    <w:rsid w:val="00363BF0"/>
    <w:rsid w:val="003647FD"/>
    <w:rsid w:val="003648BF"/>
    <w:rsid w:val="00365867"/>
    <w:rsid w:val="003667E8"/>
    <w:rsid w:val="00366981"/>
    <w:rsid w:val="0036714F"/>
    <w:rsid w:val="003671A4"/>
    <w:rsid w:val="00370078"/>
    <w:rsid w:val="0037067C"/>
    <w:rsid w:val="00371B59"/>
    <w:rsid w:val="00371EE1"/>
    <w:rsid w:val="003724F0"/>
    <w:rsid w:val="0037260E"/>
    <w:rsid w:val="00372E3F"/>
    <w:rsid w:val="00373A8E"/>
    <w:rsid w:val="0037502E"/>
    <w:rsid w:val="0037569F"/>
    <w:rsid w:val="003803E1"/>
    <w:rsid w:val="00380C3B"/>
    <w:rsid w:val="003813C9"/>
    <w:rsid w:val="003814FB"/>
    <w:rsid w:val="00382530"/>
    <w:rsid w:val="00383349"/>
    <w:rsid w:val="0038336C"/>
    <w:rsid w:val="00383394"/>
    <w:rsid w:val="00383D0B"/>
    <w:rsid w:val="00383E60"/>
    <w:rsid w:val="00384BBB"/>
    <w:rsid w:val="00386BE6"/>
    <w:rsid w:val="00391163"/>
    <w:rsid w:val="00391C72"/>
    <w:rsid w:val="00392B05"/>
    <w:rsid w:val="00393B1C"/>
    <w:rsid w:val="00393D3E"/>
    <w:rsid w:val="003941BA"/>
    <w:rsid w:val="00394B20"/>
    <w:rsid w:val="00397D94"/>
    <w:rsid w:val="003A637E"/>
    <w:rsid w:val="003A6A29"/>
    <w:rsid w:val="003A7360"/>
    <w:rsid w:val="003A7B49"/>
    <w:rsid w:val="003B02EC"/>
    <w:rsid w:val="003B1055"/>
    <w:rsid w:val="003B1075"/>
    <w:rsid w:val="003B113B"/>
    <w:rsid w:val="003B23C3"/>
    <w:rsid w:val="003B2949"/>
    <w:rsid w:val="003B3A0F"/>
    <w:rsid w:val="003B3FF3"/>
    <w:rsid w:val="003B5FC7"/>
    <w:rsid w:val="003B6082"/>
    <w:rsid w:val="003B62DA"/>
    <w:rsid w:val="003C0DF6"/>
    <w:rsid w:val="003C1AAF"/>
    <w:rsid w:val="003C1EFB"/>
    <w:rsid w:val="003C3448"/>
    <w:rsid w:val="003C53D1"/>
    <w:rsid w:val="003C549A"/>
    <w:rsid w:val="003C5743"/>
    <w:rsid w:val="003C62EF"/>
    <w:rsid w:val="003C6DF5"/>
    <w:rsid w:val="003C78FE"/>
    <w:rsid w:val="003C7E7A"/>
    <w:rsid w:val="003D097C"/>
    <w:rsid w:val="003D15BC"/>
    <w:rsid w:val="003D3AF4"/>
    <w:rsid w:val="003D3FF1"/>
    <w:rsid w:val="003D4011"/>
    <w:rsid w:val="003D64FF"/>
    <w:rsid w:val="003D72A6"/>
    <w:rsid w:val="003E0605"/>
    <w:rsid w:val="003E1167"/>
    <w:rsid w:val="003E1547"/>
    <w:rsid w:val="003E5047"/>
    <w:rsid w:val="003E511E"/>
    <w:rsid w:val="003E5F96"/>
    <w:rsid w:val="003E6648"/>
    <w:rsid w:val="003E6FFC"/>
    <w:rsid w:val="003F072F"/>
    <w:rsid w:val="003F0CE4"/>
    <w:rsid w:val="003F206C"/>
    <w:rsid w:val="003F272E"/>
    <w:rsid w:val="003F2F40"/>
    <w:rsid w:val="003F3235"/>
    <w:rsid w:val="003F38B6"/>
    <w:rsid w:val="003F3ACE"/>
    <w:rsid w:val="003F503F"/>
    <w:rsid w:val="003F5C78"/>
    <w:rsid w:val="003F69BB"/>
    <w:rsid w:val="00401F18"/>
    <w:rsid w:val="0040255D"/>
    <w:rsid w:val="00403034"/>
    <w:rsid w:val="00403209"/>
    <w:rsid w:val="004062B0"/>
    <w:rsid w:val="00406D53"/>
    <w:rsid w:val="0041114D"/>
    <w:rsid w:val="00412551"/>
    <w:rsid w:val="00412A60"/>
    <w:rsid w:val="004143EC"/>
    <w:rsid w:val="0041595D"/>
    <w:rsid w:val="00415C04"/>
    <w:rsid w:val="00417015"/>
    <w:rsid w:val="00417249"/>
    <w:rsid w:val="004232BC"/>
    <w:rsid w:val="004237B9"/>
    <w:rsid w:val="00424792"/>
    <w:rsid w:val="00424E69"/>
    <w:rsid w:val="004251D1"/>
    <w:rsid w:val="00425713"/>
    <w:rsid w:val="00425772"/>
    <w:rsid w:val="00425E9E"/>
    <w:rsid w:val="00426208"/>
    <w:rsid w:val="0042738A"/>
    <w:rsid w:val="004277FE"/>
    <w:rsid w:val="00427C75"/>
    <w:rsid w:val="00427DD8"/>
    <w:rsid w:val="00430F1B"/>
    <w:rsid w:val="00431500"/>
    <w:rsid w:val="00431678"/>
    <w:rsid w:val="0043299B"/>
    <w:rsid w:val="00434197"/>
    <w:rsid w:val="00436AA1"/>
    <w:rsid w:val="00436F1A"/>
    <w:rsid w:val="00436FF2"/>
    <w:rsid w:val="00437705"/>
    <w:rsid w:val="00437E9B"/>
    <w:rsid w:val="00440FDF"/>
    <w:rsid w:val="00442F05"/>
    <w:rsid w:val="004432AA"/>
    <w:rsid w:val="00444D62"/>
    <w:rsid w:val="004466D4"/>
    <w:rsid w:val="0044672D"/>
    <w:rsid w:val="004511AA"/>
    <w:rsid w:val="00451C07"/>
    <w:rsid w:val="004533E5"/>
    <w:rsid w:val="00460C65"/>
    <w:rsid w:val="00463DFF"/>
    <w:rsid w:val="004655B3"/>
    <w:rsid w:val="00465AC9"/>
    <w:rsid w:val="0046703C"/>
    <w:rsid w:val="0046781D"/>
    <w:rsid w:val="00467C64"/>
    <w:rsid w:val="00467D4C"/>
    <w:rsid w:val="00470922"/>
    <w:rsid w:val="00470989"/>
    <w:rsid w:val="00475517"/>
    <w:rsid w:val="00475C8F"/>
    <w:rsid w:val="0047662A"/>
    <w:rsid w:val="00477708"/>
    <w:rsid w:val="00477904"/>
    <w:rsid w:val="00480A03"/>
    <w:rsid w:val="00481EF8"/>
    <w:rsid w:val="004838FA"/>
    <w:rsid w:val="004864BF"/>
    <w:rsid w:val="00486712"/>
    <w:rsid w:val="0048696E"/>
    <w:rsid w:val="00490EB4"/>
    <w:rsid w:val="004910B7"/>
    <w:rsid w:val="004913B5"/>
    <w:rsid w:val="00491C28"/>
    <w:rsid w:val="00492884"/>
    <w:rsid w:val="00492E49"/>
    <w:rsid w:val="00493342"/>
    <w:rsid w:val="00493932"/>
    <w:rsid w:val="00494EF9"/>
    <w:rsid w:val="004954CB"/>
    <w:rsid w:val="00497036"/>
    <w:rsid w:val="00497B33"/>
    <w:rsid w:val="004A1AF1"/>
    <w:rsid w:val="004A1C84"/>
    <w:rsid w:val="004A2179"/>
    <w:rsid w:val="004A5183"/>
    <w:rsid w:val="004A591D"/>
    <w:rsid w:val="004A5D17"/>
    <w:rsid w:val="004A6A71"/>
    <w:rsid w:val="004A7019"/>
    <w:rsid w:val="004A7CE8"/>
    <w:rsid w:val="004B0B35"/>
    <w:rsid w:val="004B11AA"/>
    <w:rsid w:val="004B2474"/>
    <w:rsid w:val="004B6F67"/>
    <w:rsid w:val="004B7BEF"/>
    <w:rsid w:val="004C042A"/>
    <w:rsid w:val="004C0D4A"/>
    <w:rsid w:val="004C396D"/>
    <w:rsid w:val="004C3AAF"/>
    <w:rsid w:val="004C4E95"/>
    <w:rsid w:val="004C6B11"/>
    <w:rsid w:val="004C748D"/>
    <w:rsid w:val="004D00B5"/>
    <w:rsid w:val="004D07D6"/>
    <w:rsid w:val="004D0CA4"/>
    <w:rsid w:val="004D1BE4"/>
    <w:rsid w:val="004D3BD3"/>
    <w:rsid w:val="004D5AC4"/>
    <w:rsid w:val="004D5D27"/>
    <w:rsid w:val="004D69CD"/>
    <w:rsid w:val="004E078B"/>
    <w:rsid w:val="004E250E"/>
    <w:rsid w:val="004E2622"/>
    <w:rsid w:val="004E267E"/>
    <w:rsid w:val="004E28F1"/>
    <w:rsid w:val="004E2986"/>
    <w:rsid w:val="004E2E9F"/>
    <w:rsid w:val="004E3803"/>
    <w:rsid w:val="004E447F"/>
    <w:rsid w:val="004E4AB2"/>
    <w:rsid w:val="004E6DE2"/>
    <w:rsid w:val="004F05DA"/>
    <w:rsid w:val="004F37B0"/>
    <w:rsid w:val="004F4616"/>
    <w:rsid w:val="004F46AC"/>
    <w:rsid w:val="004F52CC"/>
    <w:rsid w:val="004F764E"/>
    <w:rsid w:val="00500EC9"/>
    <w:rsid w:val="00501057"/>
    <w:rsid w:val="00503E83"/>
    <w:rsid w:val="005059E6"/>
    <w:rsid w:val="00505D43"/>
    <w:rsid w:val="005062F7"/>
    <w:rsid w:val="00507A01"/>
    <w:rsid w:val="0051079C"/>
    <w:rsid w:val="00510C1C"/>
    <w:rsid w:val="0051215E"/>
    <w:rsid w:val="00513D33"/>
    <w:rsid w:val="005149F5"/>
    <w:rsid w:val="00517A3D"/>
    <w:rsid w:val="00520E70"/>
    <w:rsid w:val="0052127C"/>
    <w:rsid w:val="00522BF4"/>
    <w:rsid w:val="00523230"/>
    <w:rsid w:val="00523B3C"/>
    <w:rsid w:val="0052494F"/>
    <w:rsid w:val="00525758"/>
    <w:rsid w:val="00527D83"/>
    <w:rsid w:val="00530D89"/>
    <w:rsid w:val="0053129F"/>
    <w:rsid w:val="005359C9"/>
    <w:rsid w:val="00536117"/>
    <w:rsid w:val="00536632"/>
    <w:rsid w:val="0053665B"/>
    <w:rsid w:val="00537203"/>
    <w:rsid w:val="00540C40"/>
    <w:rsid w:val="00540E96"/>
    <w:rsid w:val="0054202F"/>
    <w:rsid w:val="005420A3"/>
    <w:rsid w:val="005420AE"/>
    <w:rsid w:val="00543F81"/>
    <w:rsid w:val="005448AD"/>
    <w:rsid w:val="00545616"/>
    <w:rsid w:val="00546CE6"/>
    <w:rsid w:val="005470D6"/>
    <w:rsid w:val="005504B8"/>
    <w:rsid w:val="005509ED"/>
    <w:rsid w:val="00550FF6"/>
    <w:rsid w:val="005518B5"/>
    <w:rsid w:val="00551CD4"/>
    <w:rsid w:val="005539E9"/>
    <w:rsid w:val="005547CB"/>
    <w:rsid w:val="0055501F"/>
    <w:rsid w:val="00556424"/>
    <w:rsid w:val="005600E0"/>
    <w:rsid w:val="00560478"/>
    <w:rsid w:val="0056070B"/>
    <w:rsid w:val="00560CC3"/>
    <w:rsid w:val="00562EB3"/>
    <w:rsid w:val="00564F36"/>
    <w:rsid w:val="005659A6"/>
    <w:rsid w:val="00565F96"/>
    <w:rsid w:val="00567DDC"/>
    <w:rsid w:val="00570CEE"/>
    <w:rsid w:val="00572656"/>
    <w:rsid w:val="0057272C"/>
    <w:rsid w:val="005734F8"/>
    <w:rsid w:val="0057367B"/>
    <w:rsid w:val="00573917"/>
    <w:rsid w:val="00575886"/>
    <w:rsid w:val="00576072"/>
    <w:rsid w:val="005771A3"/>
    <w:rsid w:val="00580C2E"/>
    <w:rsid w:val="00581D10"/>
    <w:rsid w:val="00582011"/>
    <w:rsid w:val="005823F9"/>
    <w:rsid w:val="0058267F"/>
    <w:rsid w:val="00582865"/>
    <w:rsid w:val="00583381"/>
    <w:rsid w:val="00583746"/>
    <w:rsid w:val="00584796"/>
    <w:rsid w:val="00584921"/>
    <w:rsid w:val="00585D5F"/>
    <w:rsid w:val="005865E3"/>
    <w:rsid w:val="0058692B"/>
    <w:rsid w:val="00586D45"/>
    <w:rsid w:val="00587726"/>
    <w:rsid w:val="0059381B"/>
    <w:rsid w:val="00593F07"/>
    <w:rsid w:val="005941A2"/>
    <w:rsid w:val="00595A14"/>
    <w:rsid w:val="00596A13"/>
    <w:rsid w:val="005973F9"/>
    <w:rsid w:val="00597763"/>
    <w:rsid w:val="005977F8"/>
    <w:rsid w:val="0059789E"/>
    <w:rsid w:val="00597B94"/>
    <w:rsid w:val="00597BBE"/>
    <w:rsid w:val="005A1EDB"/>
    <w:rsid w:val="005A2818"/>
    <w:rsid w:val="005A41A2"/>
    <w:rsid w:val="005A44FD"/>
    <w:rsid w:val="005A56D7"/>
    <w:rsid w:val="005A609A"/>
    <w:rsid w:val="005A6621"/>
    <w:rsid w:val="005A7CFB"/>
    <w:rsid w:val="005B091C"/>
    <w:rsid w:val="005B0EAC"/>
    <w:rsid w:val="005B196A"/>
    <w:rsid w:val="005B1B29"/>
    <w:rsid w:val="005B1CCE"/>
    <w:rsid w:val="005B26A3"/>
    <w:rsid w:val="005B288A"/>
    <w:rsid w:val="005B4735"/>
    <w:rsid w:val="005B52E7"/>
    <w:rsid w:val="005B53A7"/>
    <w:rsid w:val="005B5AFA"/>
    <w:rsid w:val="005B7C76"/>
    <w:rsid w:val="005B7C9E"/>
    <w:rsid w:val="005C0D15"/>
    <w:rsid w:val="005C1A3D"/>
    <w:rsid w:val="005C1E0B"/>
    <w:rsid w:val="005C5B0F"/>
    <w:rsid w:val="005C79BF"/>
    <w:rsid w:val="005D103C"/>
    <w:rsid w:val="005D1EFC"/>
    <w:rsid w:val="005D248D"/>
    <w:rsid w:val="005D4CC6"/>
    <w:rsid w:val="005D543E"/>
    <w:rsid w:val="005D581A"/>
    <w:rsid w:val="005D5C7D"/>
    <w:rsid w:val="005D6ECA"/>
    <w:rsid w:val="005D71EB"/>
    <w:rsid w:val="005E0224"/>
    <w:rsid w:val="005E090F"/>
    <w:rsid w:val="005E18A5"/>
    <w:rsid w:val="005E1C3D"/>
    <w:rsid w:val="005E2B97"/>
    <w:rsid w:val="005E2E0B"/>
    <w:rsid w:val="005E3270"/>
    <w:rsid w:val="005E3438"/>
    <w:rsid w:val="005E4901"/>
    <w:rsid w:val="005E4EEC"/>
    <w:rsid w:val="005E55EC"/>
    <w:rsid w:val="005E635E"/>
    <w:rsid w:val="005E68F8"/>
    <w:rsid w:val="005E6A43"/>
    <w:rsid w:val="005F07B5"/>
    <w:rsid w:val="005F15DC"/>
    <w:rsid w:val="005F234D"/>
    <w:rsid w:val="005F23E4"/>
    <w:rsid w:val="005F2AC9"/>
    <w:rsid w:val="005F2BB9"/>
    <w:rsid w:val="005F2CC4"/>
    <w:rsid w:val="005F5110"/>
    <w:rsid w:val="005F536A"/>
    <w:rsid w:val="005F5393"/>
    <w:rsid w:val="005F5855"/>
    <w:rsid w:val="005F6759"/>
    <w:rsid w:val="005F7217"/>
    <w:rsid w:val="005F73E6"/>
    <w:rsid w:val="006009E9"/>
    <w:rsid w:val="00601770"/>
    <w:rsid w:val="00602232"/>
    <w:rsid w:val="00602A53"/>
    <w:rsid w:val="00602F4B"/>
    <w:rsid w:val="00603BD5"/>
    <w:rsid w:val="0060466A"/>
    <w:rsid w:val="006070FA"/>
    <w:rsid w:val="00607D19"/>
    <w:rsid w:val="00607F10"/>
    <w:rsid w:val="00610897"/>
    <w:rsid w:val="00611708"/>
    <w:rsid w:val="00614712"/>
    <w:rsid w:val="00615A33"/>
    <w:rsid w:val="00615BB6"/>
    <w:rsid w:val="00615ECF"/>
    <w:rsid w:val="006168FE"/>
    <w:rsid w:val="00616D91"/>
    <w:rsid w:val="00617295"/>
    <w:rsid w:val="0062152A"/>
    <w:rsid w:val="00622E11"/>
    <w:rsid w:val="00623429"/>
    <w:rsid w:val="006234A3"/>
    <w:rsid w:val="00624029"/>
    <w:rsid w:val="00624273"/>
    <w:rsid w:val="0062450C"/>
    <w:rsid w:val="00624CA5"/>
    <w:rsid w:val="0062749F"/>
    <w:rsid w:val="00630832"/>
    <w:rsid w:val="00633381"/>
    <w:rsid w:val="006357B5"/>
    <w:rsid w:val="006360E5"/>
    <w:rsid w:val="006367FA"/>
    <w:rsid w:val="006372B3"/>
    <w:rsid w:val="0063750F"/>
    <w:rsid w:val="0063760F"/>
    <w:rsid w:val="006404BE"/>
    <w:rsid w:val="006411E8"/>
    <w:rsid w:val="006429E7"/>
    <w:rsid w:val="00643699"/>
    <w:rsid w:val="00644732"/>
    <w:rsid w:val="00645866"/>
    <w:rsid w:val="00646E79"/>
    <w:rsid w:val="006473F1"/>
    <w:rsid w:val="00647C3F"/>
    <w:rsid w:val="0065077F"/>
    <w:rsid w:val="00651876"/>
    <w:rsid w:val="00652699"/>
    <w:rsid w:val="00653620"/>
    <w:rsid w:val="006549E1"/>
    <w:rsid w:val="0065571B"/>
    <w:rsid w:val="00656867"/>
    <w:rsid w:val="00656FA8"/>
    <w:rsid w:val="00657CA4"/>
    <w:rsid w:val="0066153D"/>
    <w:rsid w:val="00661A9C"/>
    <w:rsid w:val="00661CAB"/>
    <w:rsid w:val="00663EA8"/>
    <w:rsid w:val="00663EBD"/>
    <w:rsid w:val="00664481"/>
    <w:rsid w:val="006659E8"/>
    <w:rsid w:val="00665E13"/>
    <w:rsid w:val="00665E63"/>
    <w:rsid w:val="00666186"/>
    <w:rsid w:val="0066694A"/>
    <w:rsid w:val="006672F0"/>
    <w:rsid w:val="00667D03"/>
    <w:rsid w:val="00667F6E"/>
    <w:rsid w:val="00670326"/>
    <w:rsid w:val="00670A0A"/>
    <w:rsid w:val="00671151"/>
    <w:rsid w:val="00671E5E"/>
    <w:rsid w:val="00672C4B"/>
    <w:rsid w:val="00672DFA"/>
    <w:rsid w:val="006741C8"/>
    <w:rsid w:val="0067447F"/>
    <w:rsid w:val="00675A46"/>
    <w:rsid w:val="00675ECF"/>
    <w:rsid w:val="00676EDA"/>
    <w:rsid w:val="00677043"/>
    <w:rsid w:val="00677A54"/>
    <w:rsid w:val="00677A66"/>
    <w:rsid w:val="00680BBD"/>
    <w:rsid w:val="00681521"/>
    <w:rsid w:val="00681ADC"/>
    <w:rsid w:val="0068275C"/>
    <w:rsid w:val="006831AF"/>
    <w:rsid w:val="00683433"/>
    <w:rsid w:val="00684965"/>
    <w:rsid w:val="006857AB"/>
    <w:rsid w:val="00685A5B"/>
    <w:rsid w:val="006863E5"/>
    <w:rsid w:val="00690A46"/>
    <w:rsid w:val="00690B91"/>
    <w:rsid w:val="00690EF8"/>
    <w:rsid w:val="00691958"/>
    <w:rsid w:val="00691BAA"/>
    <w:rsid w:val="0069217A"/>
    <w:rsid w:val="0069327C"/>
    <w:rsid w:val="00693A62"/>
    <w:rsid w:val="006A1628"/>
    <w:rsid w:val="006A19C5"/>
    <w:rsid w:val="006A1A3E"/>
    <w:rsid w:val="006A2DB4"/>
    <w:rsid w:val="006A32A2"/>
    <w:rsid w:val="006A670E"/>
    <w:rsid w:val="006A7667"/>
    <w:rsid w:val="006A778D"/>
    <w:rsid w:val="006B1134"/>
    <w:rsid w:val="006B1A71"/>
    <w:rsid w:val="006B1D4D"/>
    <w:rsid w:val="006B2237"/>
    <w:rsid w:val="006B57C7"/>
    <w:rsid w:val="006B7B8B"/>
    <w:rsid w:val="006B7FE1"/>
    <w:rsid w:val="006C0850"/>
    <w:rsid w:val="006C0C97"/>
    <w:rsid w:val="006C16C4"/>
    <w:rsid w:val="006C16D9"/>
    <w:rsid w:val="006C25C8"/>
    <w:rsid w:val="006C3E2C"/>
    <w:rsid w:val="006C4BCC"/>
    <w:rsid w:val="006C6339"/>
    <w:rsid w:val="006C726A"/>
    <w:rsid w:val="006C78D0"/>
    <w:rsid w:val="006D0999"/>
    <w:rsid w:val="006D0C0D"/>
    <w:rsid w:val="006D2E3D"/>
    <w:rsid w:val="006D46BA"/>
    <w:rsid w:val="006D543E"/>
    <w:rsid w:val="006D5D3C"/>
    <w:rsid w:val="006D5F9C"/>
    <w:rsid w:val="006D7EF7"/>
    <w:rsid w:val="006E0DAF"/>
    <w:rsid w:val="006E1362"/>
    <w:rsid w:val="006E1613"/>
    <w:rsid w:val="006E28FB"/>
    <w:rsid w:val="006E3BDD"/>
    <w:rsid w:val="006E3F0D"/>
    <w:rsid w:val="006E3F28"/>
    <w:rsid w:val="006E4D6C"/>
    <w:rsid w:val="006E53F9"/>
    <w:rsid w:val="006E5A74"/>
    <w:rsid w:val="006E7186"/>
    <w:rsid w:val="006E778F"/>
    <w:rsid w:val="006F1FF9"/>
    <w:rsid w:val="006F2379"/>
    <w:rsid w:val="006F42E6"/>
    <w:rsid w:val="006F4D07"/>
    <w:rsid w:val="006F7B2B"/>
    <w:rsid w:val="00700614"/>
    <w:rsid w:val="007029CB"/>
    <w:rsid w:val="00703607"/>
    <w:rsid w:val="007037DE"/>
    <w:rsid w:val="00706041"/>
    <w:rsid w:val="00710AC9"/>
    <w:rsid w:val="0071236A"/>
    <w:rsid w:val="007135C7"/>
    <w:rsid w:val="00713C9D"/>
    <w:rsid w:val="007153CC"/>
    <w:rsid w:val="0071545E"/>
    <w:rsid w:val="0071739B"/>
    <w:rsid w:val="00717426"/>
    <w:rsid w:val="007200FB"/>
    <w:rsid w:val="00721E77"/>
    <w:rsid w:val="00723E7E"/>
    <w:rsid w:val="007244ED"/>
    <w:rsid w:val="00724F7D"/>
    <w:rsid w:val="00725547"/>
    <w:rsid w:val="00726EA3"/>
    <w:rsid w:val="00727207"/>
    <w:rsid w:val="007275BD"/>
    <w:rsid w:val="007309C5"/>
    <w:rsid w:val="007314B4"/>
    <w:rsid w:val="007319DC"/>
    <w:rsid w:val="00734C05"/>
    <w:rsid w:val="0073796A"/>
    <w:rsid w:val="00737BAD"/>
    <w:rsid w:val="00740D3F"/>
    <w:rsid w:val="00741A93"/>
    <w:rsid w:val="007434E2"/>
    <w:rsid w:val="00744197"/>
    <w:rsid w:val="00746329"/>
    <w:rsid w:val="007470AA"/>
    <w:rsid w:val="00747328"/>
    <w:rsid w:val="007476CF"/>
    <w:rsid w:val="00747E54"/>
    <w:rsid w:val="00750C7E"/>
    <w:rsid w:val="00750CC3"/>
    <w:rsid w:val="007533E8"/>
    <w:rsid w:val="00753639"/>
    <w:rsid w:val="00753E48"/>
    <w:rsid w:val="00754FE1"/>
    <w:rsid w:val="0076104F"/>
    <w:rsid w:val="00761CEF"/>
    <w:rsid w:val="0076655D"/>
    <w:rsid w:val="007700A8"/>
    <w:rsid w:val="00770531"/>
    <w:rsid w:val="00770C95"/>
    <w:rsid w:val="00770F0B"/>
    <w:rsid w:val="00776232"/>
    <w:rsid w:val="00780FC2"/>
    <w:rsid w:val="00782A1B"/>
    <w:rsid w:val="00782D68"/>
    <w:rsid w:val="0078392E"/>
    <w:rsid w:val="00784879"/>
    <w:rsid w:val="0078502F"/>
    <w:rsid w:val="00785DF4"/>
    <w:rsid w:val="0078653D"/>
    <w:rsid w:val="007866DA"/>
    <w:rsid w:val="00786848"/>
    <w:rsid w:val="0078692E"/>
    <w:rsid w:val="0078699C"/>
    <w:rsid w:val="0078730A"/>
    <w:rsid w:val="007904B7"/>
    <w:rsid w:val="007906FF"/>
    <w:rsid w:val="00790CD6"/>
    <w:rsid w:val="007942F5"/>
    <w:rsid w:val="00794424"/>
    <w:rsid w:val="007969AE"/>
    <w:rsid w:val="0079795D"/>
    <w:rsid w:val="007A10A9"/>
    <w:rsid w:val="007A1A25"/>
    <w:rsid w:val="007A34FA"/>
    <w:rsid w:val="007A38B4"/>
    <w:rsid w:val="007A39D1"/>
    <w:rsid w:val="007A414E"/>
    <w:rsid w:val="007A4F43"/>
    <w:rsid w:val="007A7592"/>
    <w:rsid w:val="007B0767"/>
    <w:rsid w:val="007B15A9"/>
    <w:rsid w:val="007B171F"/>
    <w:rsid w:val="007B251B"/>
    <w:rsid w:val="007B3DE8"/>
    <w:rsid w:val="007B4E1A"/>
    <w:rsid w:val="007B6EBE"/>
    <w:rsid w:val="007C01A2"/>
    <w:rsid w:val="007C190E"/>
    <w:rsid w:val="007C2466"/>
    <w:rsid w:val="007C4843"/>
    <w:rsid w:val="007C5C98"/>
    <w:rsid w:val="007C5FD2"/>
    <w:rsid w:val="007C63F8"/>
    <w:rsid w:val="007C7502"/>
    <w:rsid w:val="007D00E9"/>
    <w:rsid w:val="007D0514"/>
    <w:rsid w:val="007D2CA5"/>
    <w:rsid w:val="007D53D6"/>
    <w:rsid w:val="007D5560"/>
    <w:rsid w:val="007D6656"/>
    <w:rsid w:val="007D70E6"/>
    <w:rsid w:val="007D76E1"/>
    <w:rsid w:val="007E1F28"/>
    <w:rsid w:val="007E2FD9"/>
    <w:rsid w:val="007E3002"/>
    <w:rsid w:val="007E4068"/>
    <w:rsid w:val="007E486B"/>
    <w:rsid w:val="007E4DC2"/>
    <w:rsid w:val="007E57B1"/>
    <w:rsid w:val="007E6D6F"/>
    <w:rsid w:val="007F080F"/>
    <w:rsid w:val="007F0902"/>
    <w:rsid w:val="007F2B50"/>
    <w:rsid w:val="007F2EDD"/>
    <w:rsid w:val="007F3E97"/>
    <w:rsid w:val="007F3EE5"/>
    <w:rsid w:val="007F408B"/>
    <w:rsid w:val="007F520E"/>
    <w:rsid w:val="007F58A6"/>
    <w:rsid w:val="007F6A1D"/>
    <w:rsid w:val="00800619"/>
    <w:rsid w:val="0080175A"/>
    <w:rsid w:val="00803908"/>
    <w:rsid w:val="00804E5C"/>
    <w:rsid w:val="0081023D"/>
    <w:rsid w:val="008114C4"/>
    <w:rsid w:val="00811D8B"/>
    <w:rsid w:val="00812A72"/>
    <w:rsid w:val="0081351C"/>
    <w:rsid w:val="008135CB"/>
    <w:rsid w:val="00813838"/>
    <w:rsid w:val="00814234"/>
    <w:rsid w:val="00820C73"/>
    <w:rsid w:val="00821D52"/>
    <w:rsid w:val="0082200A"/>
    <w:rsid w:val="00825203"/>
    <w:rsid w:val="008253A3"/>
    <w:rsid w:val="0082785E"/>
    <w:rsid w:val="00831288"/>
    <w:rsid w:val="008315F6"/>
    <w:rsid w:val="0083205D"/>
    <w:rsid w:val="008333FD"/>
    <w:rsid w:val="008352A0"/>
    <w:rsid w:val="00835429"/>
    <w:rsid w:val="00836049"/>
    <w:rsid w:val="00836BD6"/>
    <w:rsid w:val="008373DD"/>
    <w:rsid w:val="008375BA"/>
    <w:rsid w:val="0083779B"/>
    <w:rsid w:val="00837944"/>
    <w:rsid w:val="00840E31"/>
    <w:rsid w:val="0084116D"/>
    <w:rsid w:val="00841DFA"/>
    <w:rsid w:val="00842553"/>
    <w:rsid w:val="008430CF"/>
    <w:rsid w:val="008431CE"/>
    <w:rsid w:val="008435C5"/>
    <w:rsid w:val="0084471E"/>
    <w:rsid w:val="008454DD"/>
    <w:rsid w:val="00846115"/>
    <w:rsid w:val="008507CE"/>
    <w:rsid w:val="00850E24"/>
    <w:rsid w:val="00851084"/>
    <w:rsid w:val="008510C7"/>
    <w:rsid w:val="00854D5E"/>
    <w:rsid w:val="00854E36"/>
    <w:rsid w:val="00855420"/>
    <w:rsid w:val="00855E78"/>
    <w:rsid w:val="008564D6"/>
    <w:rsid w:val="0085659D"/>
    <w:rsid w:val="00857C6A"/>
    <w:rsid w:val="00860FEF"/>
    <w:rsid w:val="00862D2B"/>
    <w:rsid w:val="00862F66"/>
    <w:rsid w:val="00863654"/>
    <w:rsid w:val="00864CFA"/>
    <w:rsid w:val="008659B6"/>
    <w:rsid w:val="0086631C"/>
    <w:rsid w:val="0086645F"/>
    <w:rsid w:val="0086686B"/>
    <w:rsid w:val="0087019C"/>
    <w:rsid w:val="008712C5"/>
    <w:rsid w:val="00871B62"/>
    <w:rsid w:val="0087238F"/>
    <w:rsid w:val="0087368F"/>
    <w:rsid w:val="008747BF"/>
    <w:rsid w:val="008758BF"/>
    <w:rsid w:val="00875945"/>
    <w:rsid w:val="0087707D"/>
    <w:rsid w:val="00880A75"/>
    <w:rsid w:val="00882545"/>
    <w:rsid w:val="00882D0C"/>
    <w:rsid w:val="00883B78"/>
    <w:rsid w:val="00884649"/>
    <w:rsid w:val="00884B41"/>
    <w:rsid w:val="0088542C"/>
    <w:rsid w:val="00885F9C"/>
    <w:rsid w:val="00886089"/>
    <w:rsid w:val="00890168"/>
    <w:rsid w:val="00891CEF"/>
    <w:rsid w:val="008923A5"/>
    <w:rsid w:val="00892959"/>
    <w:rsid w:val="008933D1"/>
    <w:rsid w:val="008947B2"/>
    <w:rsid w:val="008951FA"/>
    <w:rsid w:val="00895C68"/>
    <w:rsid w:val="00895D47"/>
    <w:rsid w:val="008975DE"/>
    <w:rsid w:val="00897DDD"/>
    <w:rsid w:val="008A057A"/>
    <w:rsid w:val="008A1A18"/>
    <w:rsid w:val="008A22D8"/>
    <w:rsid w:val="008A239B"/>
    <w:rsid w:val="008A2673"/>
    <w:rsid w:val="008A391B"/>
    <w:rsid w:val="008A3A6D"/>
    <w:rsid w:val="008A4B79"/>
    <w:rsid w:val="008A6AA3"/>
    <w:rsid w:val="008A6ADE"/>
    <w:rsid w:val="008B0877"/>
    <w:rsid w:val="008B2DC5"/>
    <w:rsid w:val="008B39EA"/>
    <w:rsid w:val="008B6007"/>
    <w:rsid w:val="008B7223"/>
    <w:rsid w:val="008C12BF"/>
    <w:rsid w:val="008C163F"/>
    <w:rsid w:val="008C1D9A"/>
    <w:rsid w:val="008C3855"/>
    <w:rsid w:val="008C588C"/>
    <w:rsid w:val="008C593E"/>
    <w:rsid w:val="008C63F4"/>
    <w:rsid w:val="008D001A"/>
    <w:rsid w:val="008D1025"/>
    <w:rsid w:val="008D1401"/>
    <w:rsid w:val="008D2245"/>
    <w:rsid w:val="008D2258"/>
    <w:rsid w:val="008D2EE7"/>
    <w:rsid w:val="008D3203"/>
    <w:rsid w:val="008D4EDE"/>
    <w:rsid w:val="008D5712"/>
    <w:rsid w:val="008D65F4"/>
    <w:rsid w:val="008E221E"/>
    <w:rsid w:val="008E43A8"/>
    <w:rsid w:val="008E6877"/>
    <w:rsid w:val="008E6E8B"/>
    <w:rsid w:val="008E7416"/>
    <w:rsid w:val="008E79E3"/>
    <w:rsid w:val="008E7F54"/>
    <w:rsid w:val="008F138C"/>
    <w:rsid w:val="008F2318"/>
    <w:rsid w:val="008F27AC"/>
    <w:rsid w:val="008F48FC"/>
    <w:rsid w:val="008F4E20"/>
    <w:rsid w:val="00900165"/>
    <w:rsid w:val="00902A22"/>
    <w:rsid w:val="00904438"/>
    <w:rsid w:val="0090603D"/>
    <w:rsid w:val="009111B1"/>
    <w:rsid w:val="009115F5"/>
    <w:rsid w:val="009118B8"/>
    <w:rsid w:val="0091432A"/>
    <w:rsid w:val="00914997"/>
    <w:rsid w:val="0091607D"/>
    <w:rsid w:val="009161A1"/>
    <w:rsid w:val="0091631D"/>
    <w:rsid w:val="00916BF0"/>
    <w:rsid w:val="009205E5"/>
    <w:rsid w:val="009224FF"/>
    <w:rsid w:val="009239EB"/>
    <w:rsid w:val="00923E86"/>
    <w:rsid w:val="00924CC3"/>
    <w:rsid w:val="00924D77"/>
    <w:rsid w:val="009253EC"/>
    <w:rsid w:val="00925B1F"/>
    <w:rsid w:val="00925C3E"/>
    <w:rsid w:val="00927AC5"/>
    <w:rsid w:val="0093025A"/>
    <w:rsid w:val="00933902"/>
    <w:rsid w:val="00933CAD"/>
    <w:rsid w:val="00933DD3"/>
    <w:rsid w:val="0093738D"/>
    <w:rsid w:val="00942455"/>
    <w:rsid w:val="009440BA"/>
    <w:rsid w:val="00945E5A"/>
    <w:rsid w:val="009462A5"/>
    <w:rsid w:val="00947C60"/>
    <w:rsid w:val="00947D9E"/>
    <w:rsid w:val="0095066A"/>
    <w:rsid w:val="00951E48"/>
    <w:rsid w:val="00951EA6"/>
    <w:rsid w:val="00952D0F"/>
    <w:rsid w:val="00953C8B"/>
    <w:rsid w:val="00953F31"/>
    <w:rsid w:val="00954168"/>
    <w:rsid w:val="00954419"/>
    <w:rsid w:val="0095496E"/>
    <w:rsid w:val="00954EDC"/>
    <w:rsid w:val="00960C33"/>
    <w:rsid w:val="00961472"/>
    <w:rsid w:val="00962277"/>
    <w:rsid w:val="00962E38"/>
    <w:rsid w:val="0096320F"/>
    <w:rsid w:val="009635D5"/>
    <w:rsid w:val="00966055"/>
    <w:rsid w:val="00966E1C"/>
    <w:rsid w:val="00966FF6"/>
    <w:rsid w:val="00967400"/>
    <w:rsid w:val="009677C1"/>
    <w:rsid w:val="009702F7"/>
    <w:rsid w:val="0097106D"/>
    <w:rsid w:val="009720F6"/>
    <w:rsid w:val="009745FF"/>
    <w:rsid w:val="009755DD"/>
    <w:rsid w:val="00975A5D"/>
    <w:rsid w:val="00975F95"/>
    <w:rsid w:val="009762BC"/>
    <w:rsid w:val="00976C06"/>
    <w:rsid w:val="00976E3E"/>
    <w:rsid w:val="00976F21"/>
    <w:rsid w:val="009772D0"/>
    <w:rsid w:val="00980466"/>
    <w:rsid w:val="009817D1"/>
    <w:rsid w:val="009823FA"/>
    <w:rsid w:val="00983957"/>
    <w:rsid w:val="00985A39"/>
    <w:rsid w:val="0098628D"/>
    <w:rsid w:val="00987AD6"/>
    <w:rsid w:val="00987EAD"/>
    <w:rsid w:val="009909D9"/>
    <w:rsid w:val="00991811"/>
    <w:rsid w:val="00992F04"/>
    <w:rsid w:val="0099308C"/>
    <w:rsid w:val="0099358A"/>
    <w:rsid w:val="00993902"/>
    <w:rsid w:val="00993C72"/>
    <w:rsid w:val="009942F5"/>
    <w:rsid w:val="009A0517"/>
    <w:rsid w:val="009A1536"/>
    <w:rsid w:val="009A1C45"/>
    <w:rsid w:val="009A3D94"/>
    <w:rsid w:val="009A4C7E"/>
    <w:rsid w:val="009A561B"/>
    <w:rsid w:val="009A5D70"/>
    <w:rsid w:val="009A5DAB"/>
    <w:rsid w:val="009A791B"/>
    <w:rsid w:val="009B0933"/>
    <w:rsid w:val="009B10B0"/>
    <w:rsid w:val="009B1753"/>
    <w:rsid w:val="009B1AFF"/>
    <w:rsid w:val="009B254B"/>
    <w:rsid w:val="009B3741"/>
    <w:rsid w:val="009B5706"/>
    <w:rsid w:val="009B5E46"/>
    <w:rsid w:val="009B6F96"/>
    <w:rsid w:val="009B7537"/>
    <w:rsid w:val="009B754E"/>
    <w:rsid w:val="009C0CC2"/>
    <w:rsid w:val="009C0D95"/>
    <w:rsid w:val="009C1487"/>
    <w:rsid w:val="009C4394"/>
    <w:rsid w:val="009C4642"/>
    <w:rsid w:val="009C608A"/>
    <w:rsid w:val="009D11B8"/>
    <w:rsid w:val="009D3A6C"/>
    <w:rsid w:val="009D7584"/>
    <w:rsid w:val="009E03DA"/>
    <w:rsid w:val="009E07A7"/>
    <w:rsid w:val="009E0D35"/>
    <w:rsid w:val="009E0F3C"/>
    <w:rsid w:val="009E1FD3"/>
    <w:rsid w:val="009E2468"/>
    <w:rsid w:val="009E3491"/>
    <w:rsid w:val="009E3B69"/>
    <w:rsid w:val="009E4A0F"/>
    <w:rsid w:val="009E5032"/>
    <w:rsid w:val="009E5F3F"/>
    <w:rsid w:val="009E64B2"/>
    <w:rsid w:val="009E6DE1"/>
    <w:rsid w:val="009E72FB"/>
    <w:rsid w:val="009E7F55"/>
    <w:rsid w:val="009E7F80"/>
    <w:rsid w:val="009F0B25"/>
    <w:rsid w:val="009F0F1B"/>
    <w:rsid w:val="009F1929"/>
    <w:rsid w:val="009F1FF8"/>
    <w:rsid w:val="009F2E39"/>
    <w:rsid w:val="009F2F48"/>
    <w:rsid w:val="009F39C3"/>
    <w:rsid w:val="009F428C"/>
    <w:rsid w:val="009F5801"/>
    <w:rsid w:val="00A0004A"/>
    <w:rsid w:val="00A005D5"/>
    <w:rsid w:val="00A00CF3"/>
    <w:rsid w:val="00A024D2"/>
    <w:rsid w:val="00A030B3"/>
    <w:rsid w:val="00A034D4"/>
    <w:rsid w:val="00A03F8B"/>
    <w:rsid w:val="00A04DFA"/>
    <w:rsid w:val="00A053A6"/>
    <w:rsid w:val="00A0595A"/>
    <w:rsid w:val="00A07657"/>
    <w:rsid w:val="00A07812"/>
    <w:rsid w:val="00A07AED"/>
    <w:rsid w:val="00A10824"/>
    <w:rsid w:val="00A1131D"/>
    <w:rsid w:val="00A116B0"/>
    <w:rsid w:val="00A11E1A"/>
    <w:rsid w:val="00A12238"/>
    <w:rsid w:val="00A126DB"/>
    <w:rsid w:val="00A127A2"/>
    <w:rsid w:val="00A1280C"/>
    <w:rsid w:val="00A1363D"/>
    <w:rsid w:val="00A15649"/>
    <w:rsid w:val="00A17B70"/>
    <w:rsid w:val="00A200D6"/>
    <w:rsid w:val="00A200ED"/>
    <w:rsid w:val="00A20B40"/>
    <w:rsid w:val="00A213B8"/>
    <w:rsid w:val="00A21572"/>
    <w:rsid w:val="00A22C01"/>
    <w:rsid w:val="00A23282"/>
    <w:rsid w:val="00A25388"/>
    <w:rsid w:val="00A25E92"/>
    <w:rsid w:val="00A2744A"/>
    <w:rsid w:val="00A27CDB"/>
    <w:rsid w:val="00A30406"/>
    <w:rsid w:val="00A3061E"/>
    <w:rsid w:val="00A32AFA"/>
    <w:rsid w:val="00A32E21"/>
    <w:rsid w:val="00A32E3E"/>
    <w:rsid w:val="00A34053"/>
    <w:rsid w:val="00A34382"/>
    <w:rsid w:val="00A35795"/>
    <w:rsid w:val="00A35BD4"/>
    <w:rsid w:val="00A4029A"/>
    <w:rsid w:val="00A404A7"/>
    <w:rsid w:val="00A407FA"/>
    <w:rsid w:val="00A40AD6"/>
    <w:rsid w:val="00A411D8"/>
    <w:rsid w:val="00A41B4A"/>
    <w:rsid w:val="00A42DA4"/>
    <w:rsid w:val="00A44CCB"/>
    <w:rsid w:val="00A44F56"/>
    <w:rsid w:val="00A46915"/>
    <w:rsid w:val="00A47294"/>
    <w:rsid w:val="00A476F5"/>
    <w:rsid w:val="00A47B90"/>
    <w:rsid w:val="00A51269"/>
    <w:rsid w:val="00A52299"/>
    <w:rsid w:val="00A54F1A"/>
    <w:rsid w:val="00A55411"/>
    <w:rsid w:val="00A55E75"/>
    <w:rsid w:val="00A56F00"/>
    <w:rsid w:val="00A57585"/>
    <w:rsid w:val="00A578BE"/>
    <w:rsid w:val="00A57D44"/>
    <w:rsid w:val="00A60A36"/>
    <w:rsid w:val="00A626AD"/>
    <w:rsid w:val="00A6326D"/>
    <w:rsid w:val="00A63706"/>
    <w:rsid w:val="00A63EB7"/>
    <w:rsid w:val="00A64E7C"/>
    <w:rsid w:val="00A655D3"/>
    <w:rsid w:val="00A66574"/>
    <w:rsid w:val="00A6700B"/>
    <w:rsid w:val="00A67B3F"/>
    <w:rsid w:val="00A705FD"/>
    <w:rsid w:val="00A70972"/>
    <w:rsid w:val="00A7174C"/>
    <w:rsid w:val="00A71D07"/>
    <w:rsid w:val="00A72ED3"/>
    <w:rsid w:val="00A73620"/>
    <w:rsid w:val="00A75268"/>
    <w:rsid w:val="00A77AAC"/>
    <w:rsid w:val="00A80290"/>
    <w:rsid w:val="00A81AC1"/>
    <w:rsid w:val="00A81AC6"/>
    <w:rsid w:val="00A8248C"/>
    <w:rsid w:val="00A8425B"/>
    <w:rsid w:val="00A84288"/>
    <w:rsid w:val="00A867AC"/>
    <w:rsid w:val="00A877F5"/>
    <w:rsid w:val="00A87CAB"/>
    <w:rsid w:val="00A9171B"/>
    <w:rsid w:val="00A91F58"/>
    <w:rsid w:val="00A92113"/>
    <w:rsid w:val="00A930F8"/>
    <w:rsid w:val="00A9340B"/>
    <w:rsid w:val="00A93870"/>
    <w:rsid w:val="00A93C40"/>
    <w:rsid w:val="00A93D25"/>
    <w:rsid w:val="00A95627"/>
    <w:rsid w:val="00A956D9"/>
    <w:rsid w:val="00A9606F"/>
    <w:rsid w:val="00A96686"/>
    <w:rsid w:val="00A9741B"/>
    <w:rsid w:val="00A974CE"/>
    <w:rsid w:val="00A97888"/>
    <w:rsid w:val="00AA1B2A"/>
    <w:rsid w:val="00AA2530"/>
    <w:rsid w:val="00AA2E0C"/>
    <w:rsid w:val="00AA38C2"/>
    <w:rsid w:val="00AA3A6D"/>
    <w:rsid w:val="00AA4A36"/>
    <w:rsid w:val="00AA6B01"/>
    <w:rsid w:val="00AA6D61"/>
    <w:rsid w:val="00AB10AC"/>
    <w:rsid w:val="00AB2295"/>
    <w:rsid w:val="00AB34D6"/>
    <w:rsid w:val="00AB3701"/>
    <w:rsid w:val="00AB421A"/>
    <w:rsid w:val="00AB56A6"/>
    <w:rsid w:val="00AB5E04"/>
    <w:rsid w:val="00AB6DA7"/>
    <w:rsid w:val="00AB6EEC"/>
    <w:rsid w:val="00AB7DFC"/>
    <w:rsid w:val="00AC072F"/>
    <w:rsid w:val="00AC1543"/>
    <w:rsid w:val="00AC26CB"/>
    <w:rsid w:val="00AC3084"/>
    <w:rsid w:val="00AC43F6"/>
    <w:rsid w:val="00AC4B0E"/>
    <w:rsid w:val="00AC4E68"/>
    <w:rsid w:val="00AC6DDA"/>
    <w:rsid w:val="00AC7695"/>
    <w:rsid w:val="00AC77F4"/>
    <w:rsid w:val="00AC7873"/>
    <w:rsid w:val="00AD02F6"/>
    <w:rsid w:val="00AD0B4F"/>
    <w:rsid w:val="00AD0D3A"/>
    <w:rsid w:val="00AD1A1F"/>
    <w:rsid w:val="00AD2E91"/>
    <w:rsid w:val="00AD2EC9"/>
    <w:rsid w:val="00AD44E6"/>
    <w:rsid w:val="00AD5E93"/>
    <w:rsid w:val="00AD603E"/>
    <w:rsid w:val="00AD6B54"/>
    <w:rsid w:val="00AD6DA4"/>
    <w:rsid w:val="00AD6EB4"/>
    <w:rsid w:val="00AD73BB"/>
    <w:rsid w:val="00AE3851"/>
    <w:rsid w:val="00AE439F"/>
    <w:rsid w:val="00AE5B07"/>
    <w:rsid w:val="00AE787E"/>
    <w:rsid w:val="00AE796E"/>
    <w:rsid w:val="00AF0302"/>
    <w:rsid w:val="00AF16A9"/>
    <w:rsid w:val="00AF18E2"/>
    <w:rsid w:val="00AF28DA"/>
    <w:rsid w:val="00AF2C0F"/>
    <w:rsid w:val="00AF3FE6"/>
    <w:rsid w:val="00AF44C0"/>
    <w:rsid w:val="00AF4CC8"/>
    <w:rsid w:val="00AF55B1"/>
    <w:rsid w:val="00AF5B6A"/>
    <w:rsid w:val="00AF5C12"/>
    <w:rsid w:val="00AF6A1B"/>
    <w:rsid w:val="00B0169C"/>
    <w:rsid w:val="00B01D8A"/>
    <w:rsid w:val="00B0200B"/>
    <w:rsid w:val="00B02AF6"/>
    <w:rsid w:val="00B03537"/>
    <w:rsid w:val="00B04514"/>
    <w:rsid w:val="00B05114"/>
    <w:rsid w:val="00B05B31"/>
    <w:rsid w:val="00B05CB7"/>
    <w:rsid w:val="00B07165"/>
    <w:rsid w:val="00B07828"/>
    <w:rsid w:val="00B102DB"/>
    <w:rsid w:val="00B12E8B"/>
    <w:rsid w:val="00B13341"/>
    <w:rsid w:val="00B138A6"/>
    <w:rsid w:val="00B14185"/>
    <w:rsid w:val="00B148DB"/>
    <w:rsid w:val="00B1607B"/>
    <w:rsid w:val="00B205D3"/>
    <w:rsid w:val="00B218CB"/>
    <w:rsid w:val="00B22F91"/>
    <w:rsid w:val="00B243AB"/>
    <w:rsid w:val="00B2543B"/>
    <w:rsid w:val="00B25A21"/>
    <w:rsid w:val="00B2602D"/>
    <w:rsid w:val="00B2612A"/>
    <w:rsid w:val="00B3123A"/>
    <w:rsid w:val="00B3155C"/>
    <w:rsid w:val="00B31D52"/>
    <w:rsid w:val="00B31E3B"/>
    <w:rsid w:val="00B32551"/>
    <w:rsid w:val="00B33809"/>
    <w:rsid w:val="00B3395E"/>
    <w:rsid w:val="00B33E81"/>
    <w:rsid w:val="00B34884"/>
    <w:rsid w:val="00B35A18"/>
    <w:rsid w:val="00B36714"/>
    <w:rsid w:val="00B37734"/>
    <w:rsid w:val="00B407BA"/>
    <w:rsid w:val="00B43C94"/>
    <w:rsid w:val="00B455C8"/>
    <w:rsid w:val="00B46012"/>
    <w:rsid w:val="00B46535"/>
    <w:rsid w:val="00B465FC"/>
    <w:rsid w:val="00B46D97"/>
    <w:rsid w:val="00B475BE"/>
    <w:rsid w:val="00B50FBD"/>
    <w:rsid w:val="00B512DB"/>
    <w:rsid w:val="00B51BB2"/>
    <w:rsid w:val="00B522CF"/>
    <w:rsid w:val="00B52D5B"/>
    <w:rsid w:val="00B53935"/>
    <w:rsid w:val="00B53AAF"/>
    <w:rsid w:val="00B54515"/>
    <w:rsid w:val="00B56ED9"/>
    <w:rsid w:val="00B5787B"/>
    <w:rsid w:val="00B606C0"/>
    <w:rsid w:val="00B60AF9"/>
    <w:rsid w:val="00B61275"/>
    <w:rsid w:val="00B61A05"/>
    <w:rsid w:val="00B624EE"/>
    <w:rsid w:val="00B62F64"/>
    <w:rsid w:val="00B6565D"/>
    <w:rsid w:val="00B658E1"/>
    <w:rsid w:val="00B65B2F"/>
    <w:rsid w:val="00B67C10"/>
    <w:rsid w:val="00B7124A"/>
    <w:rsid w:val="00B722B3"/>
    <w:rsid w:val="00B72C0E"/>
    <w:rsid w:val="00B72E63"/>
    <w:rsid w:val="00B7413B"/>
    <w:rsid w:val="00B7627A"/>
    <w:rsid w:val="00B76865"/>
    <w:rsid w:val="00B772C0"/>
    <w:rsid w:val="00B80634"/>
    <w:rsid w:val="00B819F9"/>
    <w:rsid w:val="00B83CB1"/>
    <w:rsid w:val="00B84E5F"/>
    <w:rsid w:val="00B84F41"/>
    <w:rsid w:val="00B8548B"/>
    <w:rsid w:val="00B858EC"/>
    <w:rsid w:val="00B87033"/>
    <w:rsid w:val="00B90AC4"/>
    <w:rsid w:val="00B91958"/>
    <w:rsid w:val="00B9212C"/>
    <w:rsid w:val="00B92C23"/>
    <w:rsid w:val="00B94C31"/>
    <w:rsid w:val="00B9545D"/>
    <w:rsid w:val="00B966EC"/>
    <w:rsid w:val="00B97150"/>
    <w:rsid w:val="00BA1325"/>
    <w:rsid w:val="00BA3E1C"/>
    <w:rsid w:val="00BA52BB"/>
    <w:rsid w:val="00BA5DE0"/>
    <w:rsid w:val="00BA6784"/>
    <w:rsid w:val="00BB0583"/>
    <w:rsid w:val="00BB0898"/>
    <w:rsid w:val="00BB1AEA"/>
    <w:rsid w:val="00BB5BE1"/>
    <w:rsid w:val="00BB703E"/>
    <w:rsid w:val="00BB76A6"/>
    <w:rsid w:val="00BB7825"/>
    <w:rsid w:val="00BB7969"/>
    <w:rsid w:val="00BC01D2"/>
    <w:rsid w:val="00BC21EE"/>
    <w:rsid w:val="00BC28FE"/>
    <w:rsid w:val="00BC3240"/>
    <w:rsid w:val="00BC34FD"/>
    <w:rsid w:val="00BC3797"/>
    <w:rsid w:val="00BC466F"/>
    <w:rsid w:val="00BD0ECB"/>
    <w:rsid w:val="00BD18C0"/>
    <w:rsid w:val="00BD3316"/>
    <w:rsid w:val="00BD3378"/>
    <w:rsid w:val="00BD3672"/>
    <w:rsid w:val="00BD46A1"/>
    <w:rsid w:val="00BD478C"/>
    <w:rsid w:val="00BD6062"/>
    <w:rsid w:val="00BD61E1"/>
    <w:rsid w:val="00BE0B8C"/>
    <w:rsid w:val="00BE20EE"/>
    <w:rsid w:val="00BE2148"/>
    <w:rsid w:val="00BE28A7"/>
    <w:rsid w:val="00BE2B44"/>
    <w:rsid w:val="00BE700C"/>
    <w:rsid w:val="00BF07E1"/>
    <w:rsid w:val="00BF1129"/>
    <w:rsid w:val="00BF2451"/>
    <w:rsid w:val="00BF2BDD"/>
    <w:rsid w:val="00BF370F"/>
    <w:rsid w:val="00BF3F13"/>
    <w:rsid w:val="00BF483B"/>
    <w:rsid w:val="00BF540B"/>
    <w:rsid w:val="00BF5D53"/>
    <w:rsid w:val="00BF753F"/>
    <w:rsid w:val="00C00765"/>
    <w:rsid w:val="00C008DC"/>
    <w:rsid w:val="00C01DA9"/>
    <w:rsid w:val="00C02732"/>
    <w:rsid w:val="00C033A7"/>
    <w:rsid w:val="00C0410C"/>
    <w:rsid w:val="00C04DFF"/>
    <w:rsid w:val="00C057D4"/>
    <w:rsid w:val="00C058A6"/>
    <w:rsid w:val="00C077EA"/>
    <w:rsid w:val="00C07EC7"/>
    <w:rsid w:val="00C11DAE"/>
    <w:rsid w:val="00C1579E"/>
    <w:rsid w:val="00C15F5B"/>
    <w:rsid w:val="00C17FD7"/>
    <w:rsid w:val="00C202B3"/>
    <w:rsid w:val="00C20FCC"/>
    <w:rsid w:val="00C22146"/>
    <w:rsid w:val="00C23042"/>
    <w:rsid w:val="00C23205"/>
    <w:rsid w:val="00C236C7"/>
    <w:rsid w:val="00C2556F"/>
    <w:rsid w:val="00C25B4B"/>
    <w:rsid w:val="00C2686C"/>
    <w:rsid w:val="00C26D18"/>
    <w:rsid w:val="00C26E93"/>
    <w:rsid w:val="00C27E4E"/>
    <w:rsid w:val="00C307CD"/>
    <w:rsid w:val="00C30A42"/>
    <w:rsid w:val="00C30E07"/>
    <w:rsid w:val="00C31C7D"/>
    <w:rsid w:val="00C32438"/>
    <w:rsid w:val="00C34610"/>
    <w:rsid w:val="00C35469"/>
    <w:rsid w:val="00C35FEB"/>
    <w:rsid w:val="00C37018"/>
    <w:rsid w:val="00C37875"/>
    <w:rsid w:val="00C40CFD"/>
    <w:rsid w:val="00C43E4F"/>
    <w:rsid w:val="00C44AE8"/>
    <w:rsid w:val="00C45F3B"/>
    <w:rsid w:val="00C46084"/>
    <w:rsid w:val="00C476E5"/>
    <w:rsid w:val="00C47D7C"/>
    <w:rsid w:val="00C50A30"/>
    <w:rsid w:val="00C50DD6"/>
    <w:rsid w:val="00C55E0B"/>
    <w:rsid w:val="00C60994"/>
    <w:rsid w:val="00C60E32"/>
    <w:rsid w:val="00C61802"/>
    <w:rsid w:val="00C61FDE"/>
    <w:rsid w:val="00C6223F"/>
    <w:rsid w:val="00C63A5A"/>
    <w:rsid w:val="00C63E58"/>
    <w:rsid w:val="00C6603F"/>
    <w:rsid w:val="00C66096"/>
    <w:rsid w:val="00C6612A"/>
    <w:rsid w:val="00C67D2F"/>
    <w:rsid w:val="00C67E56"/>
    <w:rsid w:val="00C703CB"/>
    <w:rsid w:val="00C717D0"/>
    <w:rsid w:val="00C74629"/>
    <w:rsid w:val="00C762AB"/>
    <w:rsid w:val="00C774CF"/>
    <w:rsid w:val="00C77FE6"/>
    <w:rsid w:val="00C800A7"/>
    <w:rsid w:val="00C81252"/>
    <w:rsid w:val="00C8225B"/>
    <w:rsid w:val="00C833BF"/>
    <w:rsid w:val="00C8487F"/>
    <w:rsid w:val="00C85920"/>
    <w:rsid w:val="00C870EB"/>
    <w:rsid w:val="00C8773F"/>
    <w:rsid w:val="00C8789F"/>
    <w:rsid w:val="00C879C0"/>
    <w:rsid w:val="00C91613"/>
    <w:rsid w:val="00C92D0A"/>
    <w:rsid w:val="00C9460F"/>
    <w:rsid w:val="00C946AF"/>
    <w:rsid w:val="00C9513D"/>
    <w:rsid w:val="00C96B62"/>
    <w:rsid w:val="00C96DC0"/>
    <w:rsid w:val="00C974BE"/>
    <w:rsid w:val="00CA124F"/>
    <w:rsid w:val="00CA257E"/>
    <w:rsid w:val="00CA2972"/>
    <w:rsid w:val="00CA35FC"/>
    <w:rsid w:val="00CA60FA"/>
    <w:rsid w:val="00CB004C"/>
    <w:rsid w:val="00CB03CE"/>
    <w:rsid w:val="00CB04CA"/>
    <w:rsid w:val="00CB1B49"/>
    <w:rsid w:val="00CB20A0"/>
    <w:rsid w:val="00CB31DF"/>
    <w:rsid w:val="00CB346F"/>
    <w:rsid w:val="00CB3630"/>
    <w:rsid w:val="00CB44F5"/>
    <w:rsid w:val="00CB5373"/>
    <w:rsid w:val="00CB6EEA"/>
    <w:rsid w:val="00CB7DA2"/>
    <w:rsid w:val="00CB7EDE"/>
    <w:rsid w:val="00CC1C52"/>
    <w:rsid w:val="00CC30E7"/>
    <w:rsid w:val="00CC3D30"/>
    <w:rsid w:val="00CC4319"/>
    <w:rsid w:val="00CC44A2"/>
    <w:rsid w:val="00CC4692"/>
    <w:rsid w:val="00CC72FC"/>
    <w:rsid w:val="00CD05C7"/>
    <w:rsid w:val="00CD0817"/>
    <w:rsid w:val="00CD3DC4"/>
    <w:rsid w:val="00CD51DF"/>
    <w:rsid w:val="00CD63BE"/>
    <w:rsid w:val="00CD691C"/>
    <w:rsid w:val="00CD790B"/>
    <w:rsid w:val="00CE1A2C"/>
    <w:rsid w:val="00CE2E71"/>
    <w:rsid w:val="00CE2F29"/>
    <w:rsid w:val="00CE403A"/>
    <w:rsid w:val="00CE43B0"/>
    <w:rsid w:val="00CE5237"/>
    <w:rsid w:val="00CE5B30"/>
    <w:rsid w:val="00CE607F"/>
    <w:rsid w:val="00CE7060"/>
    <w:rsid w:val="00CE791D"/>
    <w:rsid w:val="00CF148F"/>
    <w:rsid w:val="00CF1F79"/>
    <w:rsid w:val="00CF29A9"/>
    <w:rsid w:val="00CF52B9"/>
    <w:rsid w:val="00CF6774"/>
    <w:rsid w:val="00CF6975"/>
    <w:rsid w:val="00CF72AF"/>
    <w:rsid w:val="00CF7345"/>
    <w:rsid w:val="00CF7619"/>
    <w:rsid w:val="00CF7CD6"/>
    <w:rsid w:val="00D01CD6"/>
    <w:rsid w:val="00D03A97"/>
    <w:rsid w:val="00D03B76"/>
    <w:rsid w:val="00D03CF9"/>
    <w:rsid w:val="00D03D17"/>
    <w:rsid w:val="00D0409A"/>
    <w:rsid w:val="00D04AB4"/>
    <w:rsid w:val="00D05979"/>
    <w:rsid w:val="00D076AA"/>
    <w:rsid w:val="00D10642"/>
    <w:rsid w:val="00D10768"/>
    <w:rsid w:val="00D10AD2"/>
    <w:rsid w:val="00D114EE"/>
    <w:rsid w:val="00D12E5B"/>
    <w:rsid w:val="00D12F55"/>
    <w:rsid w:val="00D15029"/>
    <w:rsid w:val="00D15DF2"/>
    <w:rsid w:val="00D179CE"/>
    <w:rsid w:val="00D17DCF"/>
    <w:rsid w:val="00D21692"/>
    <w:rsid w:val="00D21EB8"/>
    <w:rsid w:val="00D222AB"/>
    <w:rsid w:val="00D22851"/>
    <w:rsid w:val="00D228D0"/>
    <w:rsid w:val="00D2418F"/>
    <w:rsid w:val="00D24246"/>
    <w:rsid w:val="00D254D7"/>
    <w:rsid w:val="00D25E28"/>
    <w:rsid w:val="00D2700A"/>
    <w:rsid w:val="00D30F13"/>
    <w:rsid w:val="00D31772"/>
    <w:rsid w:val="00D31883"/>
    <w:rsid w:val="00D32C36"/>
    <w:rsid w:val="00D334A9"/>
    <w:rsid w:val="00D33B2A"/>
    <w:rsid w:val="00D340A7"/>
    <w:rsid w:val="00D3485C"/>
    <w:rsid w:val="00D35FCB"/>
    <w:rsid w:val="00D368B2"/>
    <w:rsid w:val="00D368C0"/>
    <w:rsid w:val="00D36CCA"/>
    <w:rsid w:val="00D37BBE"/>
    <w:rsid w:val="00D37EEE"/>
    <w:rsid w:val="00D404A3"/>
    <w:rsid w:val="00D42D39"/>
    <w:rsid w:val="00D4387D"/>
    <w:rsid w:val="00D445B4"/>
    <w:rsid w:val="00D456E7"/>
    <w:rsid w:val="00D508C6"/>
    <w:rsid w:val="00D5212F"/>
    <w:rsid w:val="00D553E0"/>
    <w:rsid w:val="00D561BA"/>
    <w:rsid w:val="00D563DF"/>
    <w:rsid w:val="00D565F4"/>
    <w:rsid w:val="00D60790"/>
    <w:rsid w:val="00D61429"/>
    <w:rsid w:val="00D62EBE"/>
    <w:rsid w:val="00D676FF"/>
    <w:rsid w:val="00D7021F"/>
    <w:rsid w:val="00D702AE"/>
    <w:rsid w:val="00D702EA"/>
    <w:rsid w:val="00D70D8A"/>
    <w:rsid w:val="00D722FC"/>
    <w:rsid w:val="00D73B4D"/>
    <w:rsid w:val="00D740C4"/>
    <w:rsid w:val="00D75FD9"/>
    <w:rsid w:val="00D80B99"/>
    <w:rsid w:val="00D80BD4"/>
    <w:rsid w:val="00D81F86"/>
    <w:rsid w:val="00D826E9"/>
    <w:rsid w:val="00D8283F"/>
    <w:rsid w:val="00D82C7D"/>
    <w:rsid w:val="00D84072"/>
    <w:rsid w:val="00D843B4"/>
    <w:rsid w:val="00D85284"/>
    <w:rsid w:val="00D85778"/>
    <w:rsid w:val="00D87322"/>
    <w:rsid w:val="00D900AD"/>
    <w:rsid w:val="00D92DE1"/>
    <w:rsid w:val="00D93D39"/>
    <w:rsid w:val="00D93E28"/>
    <w:rsid w:val="00D94F3D"/>
    <w:rsid w:val="00D959F6"/>
    <w:rsid w:val="00D95D7D"/>
    <w:rsid w:val="00D961FD"/>
    <w:rsid w:val="00D965E9"/>
    <w:rsid w:val="00D96CBD"/>
    <w:rsid w:val="00D971C7"/>
    <w:rsid w:val="00D971E6"/>
    <w:rsid w:val="00DA0343"/>
    <w:rsid w:val="00DA0468"/>
    <w:rsid w:val="00DA310F"/>
    <w:rsid w:val="00DA3639"/>
    <w:rsid w:val="00DA3676"/>
    <w:rsid w:val="00DA4F7E"/>
    <w:rsid w:val="00DA5864"/>
    <w:rsid w:val="00DA60B0"/>
    <w:rsid w:val="00DA6216"/>
    <w:rsid w:val="00DA6F18"/>
    <w:rsid w:val="00DA7329"/>
    <w:rsid w:val="00DB1A94"/>
    <w:rsid w:val="00DB2BEC"/>
    <w:rsid w:val="00DB309A"/>
    <w:rsid w:val="00DB37B5"/>
    <w:rsid w:val="00DB4457"/>
    <w:rsid w:val="00DB4FA0"/>
    <w:rsid w:val="00DC191D"/>
    <w:rsid w:val="00DC27FA"/>
    <w:rsid w:val="00DC3085"/>
    <w:rsid w:val="00DC6A79"/>
    <w:rsid w:val="00DC70BF"/>
    <w:rsid w:val="00DC7E18"/>
    <w:rsid w:val="00DD0D3E"/>
    <w:rsid w:val="00DD2BF9"/>
    <w:rsid w:val="00DD3AC4"/>
    <w:rsid w:val="00DD48F5"/>
    <w:rsid w:val="00DD75FC"/>
    <w:rsid w:val="00DE20D6"/>
    <w:rsid w:val="00DE25B1"/>
    <w:rsid w:val="00DE2C12"/>
    <w:rsid w:val="00DE2DCE"/>
    <w:rsid w:val="00DE33B5"/>
    <w:rsid w:val="00DE5436"/>
    <w:rsid w:val="00DE57F4"/>
    <w:rsid w:val="00DF041C"/>
    <w:rsid w:val="00DF2686"/>
    <w:rsid w:val="00DF2D24"/>
    <w:rsid w:val="00DF5132"/>
    <w:rsid w:val="00DF5A66"/>
    <w:rsid w:val="00DF5AAA"/>
    <w:rsid w:val="00DF5BEE"/>
    <w:rsid w:val="00DF5D42"/>
    <w:rsid w:val="00DF6047"/>
    <w:rsid w:val="00DF6631"/>
    <w:rsid w:val="00DF7696"/>
    <w:rsid w:val="00E0272E"/>
    <w:rsid w:val="00E0417D"/>
    <w:rsid w:val="00E041DA"/>
    <w:rsid w:val="00E04A90"/>
    <w:rsid w:val="00E058EE"/>
    <w:rsid w:val="00E05C74"/>
    <w:rsid w:val="00E05F8B"/>
    <w:rsid w:val="00E10DF3"/>
    <w:rsid w:val="00E159C4"/>
    <w:rsid w:val="00E15A9A"/>
    <w:rsid w:val="00E1621F"/>
    <w:rsid w:val="00E17EEF"/>
    <w:rsid w:val="00E209A2"/>
    <w:rsid w:val="00E21041"/>
    <w:rsid w:val="00E2108D"/>
    <w:rsid w:val="00E22951"/>
    <w:rsid w:val="00E22C99"/>
    <w:rsid w:val="00E2471D"/>
    <w:rsid w:val="00E26EC8"/>
    <w:rsid w:val="00E27830"/>
    <w:rsid w:val="00E3097D"/>
    <w:rsid w:val="00E30F23"/>
    <w:rsid w:val="00E31BC5"/>
    <w:rsid w:val="00E32358"/>
    <w:rsid w:val="00E3278D"/>
    <w:rsid w:val="00E33463"/>
    <w:rsid w:val="00E362E2"/>
    <w:rsid w:val="00E40661"/>
    <w:rsid w:val="00E414A9"/>
    <w:rsid w:val="00E41A32"/>
    <w:rsid w:val="00E44C20"/>
    <w:rsid w:val="00E50D24"/>
    <w:rsid w:val="00E5122C"/>
    <w:rsid w:val="00E513F4"/>
    <w:rsid w:val="00E51DE3"/>
    <w:rsid w:val="00E526DD"/>
    <w:rsid w:val="00E5398C"/>
    <w:rsid w:val="00E54868"/>
    <w:rsid w:val="00E569C1"/>
    <w:rsid w:val="00E56A8F"/>
    <w:rsid w:val="00E609C8"/>
    <w:rsid w:val="00E60E9D"/>
    <w:rsid w:val="00E61F81"/>
    <w:rsid w:val="00E62A24"/>
    <w:rsid w:val="00E63259"/>
    <w:rsid w:val="00E639E0"/>
    <w:rsid w:val="00E66365"/>
    <w:rsid w:val="00E66DCF"/>
    <w:rsid w:val="00E70AD2"/>
    <w:rsid w:val="00E712AD"/>
    <w:rsid w:val="00E72898"/>
    <w:rsid w:val="00E72D76"/>
    <w:rsid w:val="00E75699"/>
    <w:rsid w:val="00E76D2E"/>
    <w:rsid w:val="00E770BB"/>
    <w:rsid w:val="00E77587"/>
    <w:rsid w:val="00E8105A"/>
    <w:rsid w:val="00E81549"/>
    <w:rsid w:val="00E8351A"/>
    <w:rsid w:val="00E837BB"/>
    <w:rsid w:val="00E83B1E"/>
    <w:rsid w:val="00E843DC"/>
    <w:rsid w:val="00E8468E"/>
    <w:rsid w:val="00E85311"/>
    <w:rsid w:val="00E870A3"/>
    <w:rsid w:val="00E871BF"/>
    <w:rsid w:val="00E877A1"/>
    <w:rsid w:val="00E90CF9"/>
    <w:rsid w:val="00E91807"/>
    <w:rsid w:val="00E9237B"/>
    <w:rsid w:val="00E926C7"/>
    <w:rsid w:val="00E93A2C"/>
    <w:rsid w:val="00E93A7F"/>
    <w:rsid w:val="00E9497B"/>
    <w:rsid w:val="00E95115"/>
    <w:rsid w:val="00EA122F"/>
    <w:rsid w:val="00EA2D8E"/>
    <w:rsid w:val="00EA49A5"/>
    <w:rsid w:val="00EA4F0F"/>
    <w:rsid w:val="00EA7878"/>
    <w:rsid w:val="00EB20C7"/>
    <w:rsid w:val="00EB2411"/>
    <w:rsid w:val="00EB2C13"/>
    <w:rsid w:val="00EB2C8B"/>
    <w:rsid w:val="00EB2F50"/>
    <w:rsid w:val="00EB3C63"/>
    <w:rsid w:val="00EB451A"/>
    <w:rsid w:val="00EB5077"/>
    <w:rsid w:val="00EB6198"/>
    <w:rsid w:val="00EB6295"/>
    <w:rsid w:val="00EB6725"/>
    <w:rsid w:val="00EC07A5"/>
    <w:rsid w:val="00EC1727"/>
    <w:rsid w:val="00EC181C"/>
    <w:rsid w:val="00EC244E"/>
    <w:rsid w:val="00EC29D1"/>
    <w:rsid w:val="00EC657C"/>
    <w:rsid w:val="00EC7956"/>
    <w:rsid w:val="00ED3754"/>
    <w:rsid w:val="00ED3B58"/>
    <w:rsid w:val="00ED3F67"/>
    <w:rsid w:val="00ED4DB4"/>
    <w:rsid w:val="00ED58AE"/>
    <w:rsid w:val="00ED6E82"/>
    <w:rsid w:val="00ED6F5E"/>
    <w:rsid w:val="00ED7F15"/>
    <w:rsid w:val="00EE0228"/>
    <w:rsid w:val="00EE0DF5"/>
    <w:rsid w:val="00EE1E46"/>
    <w:rsid w:val="00EE2327"/>
    <w:rsid w:val="00EE460A"/>
    <w:rsid w:val="00EE4F33"/>
    <w:rsid w:val="00EE5357"/>
    <w:rsid w:val="00EE5B39"/>
    <w:rsid w:val="00EE5FAC"/>
    <w:rsid w:val="00EE654B"/>
    <w:rsid w:val="00EE6E2E"/>
    <w:rsid w:val="00EE7B4D"/>
    <w:rsid w:val="00EF2B7D"/>
    <w:rsid w:val="00EF4877"/>
    <w:rsid w:val="00EF6490"/>
    <w:rsid w:val="00F01175"/>
    <w:rsid w:val="00F019AE"/>
    <w:rsid w:val="00F037F9"/>
    <w:rsid w:val="00F05A4D"/>
    <w:rsid w:val="00F06369"/>
    <w:rsid w:val="00F065FC"/>
    <w:rsid w:val="00F06ADF"/>
    <w:rsid w:val="00F10DCA"/>
    <w:rsid w:val="00F12772"/>
    <w:rsid w:val="00F13D26"/>
    <w:rsid w:val="00F13D37"/>
    <w:rsid w:val="00F147E4"/>
    <w:rsid w:val="00F21452"/>
    <w:rsid w:val="00F25AB6"/>
    <w:rsid w:val="00F27758"/>
    <w:rsid w:val="00F3050B"/>
    <w:rsid w:val="00F31DDC"/>
    <w:rsid w:val="00F321B7"/>
    <w:rsid w:val="00F33417"/>
    <w:rsid w:val="00F34561"/>
    <w:rsid w:val="00F37286"/>
    <w:rsid w:val="00F376BD"/>
    <w:rsid w:val="00F37789"/>
    <w:rsid w:val="00F4339C"/>
    <w:rsid w:val="00F440C2"/>
    <w:rsid w:val="00F45048"/>
    <w:rsid w:val="00F45DC1"/>
    <w:rsid w:val="00F46D1B"/>
    <w:rsid w:val="00F4C41D"/>
    <w:rsid w:val="00F5026B"/>
    <w:rsid w:val="00F52FAB"/>
    <w:rsid w:val="00F60AA1"/>
    <w:rsid w:val="00F63432"/>
    <w:rsid w:val="00F65222"/>
    <w:rsid w:val="00F6529E"/>
    <w:rsid w:val="00F654BE"/>
    <w:rsid w:val="00F7028B"/>
    <w:rsid w:val="00F70FC5"/>
    <w:rsid w:val="00F712AC"/>
    <w:rsid w:val="00F71443"/>
    <w:rsid w:val="00F7199C"/>
    <w:rsid w:val="00F72111"/>
    <w:rsid w:val="00F7476A"/>
    <w:rsid w:val="00F75806"/>
    <w:rsid w:val="00F776E5"/>
    <w:rsid w:val="00F77FBB"/>
    <w:rsid w:val="00F801AC"/>
    <w:rsid w:val="00F808CF"/>
    <w:rsid w:val="00F82DE3"/>
    <w:rsid w:val="00F82E52"/>
    <w:rsid w:val="00F82F3B"/>
    <w:rsid w:val="00F840E1"/>
    <w:rsid w:val="00F85AA9"/>
    <w:rsid w:val="00F861A6"/>
    <w:rsid w:val="00F873F3"/>
    <w:rsid w:val="00F87DD6"/>
    <w:rsid w:val="00F90260"/>
    <w:rsid w:val="00F912E2"/>
    <w:rsid w:val="00F91E2E"/>
    <w:rsid w:val="00F93043"/>
    <w:rsid w:val="00F936F8"/>
    <w:rsid w:val="00F93884"/>
    <w:rsid w:val="00F94BEB"/>
    <w:rsid w:val="00F95BA5"/>
    <w:rsid w:val="00F95D92"/>
    <w:rsid w:val="00FA0842"/>
    <w:rsid w:val="00FA1874"/>
    <w:rsid w:val="00FA2E56"/>
    <w:rsid w:val="00FA3649"/>
    <w:rsid w:val="00FA4E41"/>
    <w:rsid w:val="00FA58F9"/>
    <w:rsid w:val="00FA5B9E"/>
    <w:rsid w:val="00FA68B0"/>
    <w:rsid w:val="00FA77D9"/>
    <w:rsid w:val="00FB0A3A"/>
    <w:rsid w:val="00FB2A82"/>
    <w:rsid w:val="00FB3B9B"/>
    <w:rsid w:val="00FB407C"/>
    <w:rsid w:val="00FB5022"/>
    <w:rsid w:val="00FB7A6D"/>
    <w:rsid w:val="00FC0577"/>
    <w:rsid w:val="00FC08D7"/>
    <w:rsid w:val="00FC1542"/>
    <w:rsid w:val="00FC18AC"/>
    <w:rsid w:val="00FC1D01"/>
    <w:rsid w:val="00FC2DD1"/>
    <w:rsid w:val="00FC4944"/>
    <w:rsid w:val="00FC4B20"/>
    <w:rsid w:val="00FC4FED"/>
    <w:rsid w:val="00FC6D6B"/>
    <w:rsid w:val="00FC77C7"/>
    <w:rsid w:val="00FC7B98"/>
    <w:rsid w:val="00FD0115"/>
    <w:rsid w:val="00FD011B"/>
    <w:rsid w:val="00FD026F"/>
    <w:rsid w:val="00FD181F"/>
    <w:rsid w:val="00FD1FD1"/>
    <w:rsid w:val="00FD2738"/>
    <w:rsid w:val="00FD3D03"/>
    <w:rsid w:val="00FD6013"/>
    <w:rsid w:val="00FD67C3"/>
    <w:rsid w:val="00FD71B7"/>
    <w:rsid w:val="00FD7C10"/>
    <w:rsid w:val="00FE05B9"/>
    <w:rsid w:val="00FE2456"/>
    <w:rsid w:val="00FE3C24"/>
    <w:rsid w:val="00FE481B"/>
    <w:rsid w:val="00FE7515"/>
    <w:rsid w:val="00FF00E3"/>
    <w:rsid w:val="00FF0788"/>
    <w:rsid w:val="00FF2944"/>
    <w:rsid w:val="00FF3686"/>
    <w:rsid w:val="00FF434A"/>
    <w:rsid w:val="00FF47AF"/>
    <w:rsid w:val="00FF64E6"/>
    <w:rsid w:val="01441B4C"/>
    <w:rsid w:val="0178B7BC"/>
    <w:rsid w:val="01BB7C3C"/>
    <w:rsid w:val="01F3CFA2"/>
    <w:rsid w:val="032D8517"/>
    <w:rsid w:val="035592DA"/>
    <w:rsid w:val="03727C92"/>
    <w:rsid w:val="03AEAFB1"/>
    <w:rsid w:val="03C23B89"/>
    <w:rsid w:val="03F0A981"/>
    <w:rsid w:val="043C75CB"/>
    <w:rsid w:val="046043C2"/>
    <w:rsid w:val="0485A305"/>
    <w:rsid w:val="05A0E612"/>
    <w:rsid w:val="05BAD925"/>
    <w:rsid w:val="05CB8EE3"/>
    <w:rsid w:val="0604755B"/>
    <w:rsid w:val="067427B8"/>
    <w:rsid w:val="0736B018"/>
    <w:rsid w:val="074847FB"/>
    <w:rsid w:val="075D73EA"/>
    <w:rsid w:val="07964ED2"/>
    <w:rsid w:val="0891CC31"/>
    <w:rsid w:val="08B2C4A3"/>
    <w:rsid w:val="08F3DA27"/>
    <w:rsid w:val="08FDE6E6"/>
    <w:rsid w:val="09D1D0D7"/>
    <w:rsid w:val="0A0D797A"/>
    <w:rsid w:val="0A25DDAD"/>
    <w:rsid w:val="0AFA1229"/>
    <w:rsid w:val="0B74776F"/>
    <w:rsid w:val="0BEEC5A8"/>
    <w:rsid w:val="0C49DC18"/>
    <w:rsid w:val="0C9983A8"/>
    <w:rsid w:val="0D440B16"/>
    <w:rsid w:val="0DAF996B"/>
    <w:rsid w:val="0DCC71B4"/>
    <w:rsid w:val="0FD9786F"/>
    <w:rsid w:val="100C704F"/>
    <w:rsid w:val="10E31BDF"/>
    <w:rsid w:val="11763664"/>
    <w:rsid w:val="159C464D"/>
    <w:rsid w:val="15E96B4D"/>
    <w:rsid w:val="16264FE9"/>
    <w:rsid w:val="16371BD8"/>
    <w:rsid w:val="165A8F56"/>
    <w:rsid w:val="17087983"/>
    <w:rsid w:val="171878B7"/>
    <w:rsid w:val="17CFFB8C"/>
    <w:rsid w:val="18757ABD"/>
    <w:rsid w:val="194B35F7"/>
    <w:rsid w:val="19C042AF"/>
    <w:rsid w:val="19C4E89B"/>
    <w:rsid w:val="1A6060C7"/>
    <w:rsid w:val="1B423261"/>
    <w:rsid w:val="1B6230E8"/>
    <w:rsid w:val="1B81D6E9"/>
    <w:rsid w:val="1DBCD7B5"/>
    <w:rsid w:val="1E57CD99"/>
    <w:rsid w:val="1E800D02"/>
    <w:rsid w:val="1EF1B2B2"/>
    <w:rsid w:val="1F971E05"/>
    <w:rsid w:val="1FABD7BB"/>
    <w:rsid w:val="205F9D0F"/>
    <w:rsid w:val="20E04875"/>
    <w:rsid w:val="2161AC82"/>
    <w:rsid w:val="221F2106"/>
    <w:rsid w:val="227B384B"/>
    <w:rsid w:val="2319CDEA"/>
    <w:rsid w:val="23388A96"/>
    <w:rsid w:val="234979EE"/>
    <w:rsid w:val="23D2DFF9"/>
    <w:rsid w:val="24086908"/>
    <w:rsid w:val="24604C8A"/>
    <w:rsid w:val="249A8DD3"/>
    <w:rsid w:val="25578C41"/>
    <w:rsid w:val="2596935C"/>
    <w:rsid w:val="25D2C72E"/>
    <w:rsid w:val="25F68D15"/>
    <w:rsid w:val="25FA9785"/>
    <w:rsid w:val="26212EC4"/>
    <w:rsid w:val="26840E12"/>
    <w:rsid w:val="28F271C3"/>
    <w:rsid w:val="294F92EC"/>
    <w:rsid w:val="2983A792"/>
    <w:rsid w:val="2AABDEA8"/>
    <w:rsid w:val="2B0759D2"/>
    <w:rsid w:val="2B584264"/>
    <w:rsid w:val="2C08FA06"/>
    <w:rsid w:val="2C3F170D"/>
    <w:rsid w:val="2CC66EBA"/>
    <w:rsid w:val="2D1D4AE8"/>
    <w:rsid w:val="2D2F074A"/>
    <w:rsid w:val="2DF7B3E6"/>
    <w:rsid w:val="2E60DFCB"/>
    <w:rsid w:val="2F31BCD6"/>
    <w:rsid w:val="2F6496BB"/>
    <w:rsid w:val="2FA12EA0"/>
    <w:rsid w:val="302F3937"/>
    <w:rsid w:val="30C37BC2"/>
    <w:rsid w:val="30C53994"/>
    <w:rsid w:val="30F23D05"/>
    <w:rsid w:val="30F2F3CA"/>
    <w:rsid w:val="31010D38"/>
    <w:rsid w:val="33666E68"/>
    <w:rsid w:val="3379184F"/>
    <w:rsid w:val="348E9617"/>
    <w:rsid w:val="34B58C88"/>
    <w:rsid w:val="34D421D7"/>
    <w:rsid w:val="34DD5C86"/>
    <w:rsid w:val="34DF6240"/>
    <w:rsid w:val="358A73A4"/>
    <w:rsid w:val="35FD3827"/>
    <w:rsid w:val="3628580F"/>
    <w:rsid w:val="36C2881D"/>
    <w:rsid w:val="372F6224"/>
    <w:rsid w:val="37756B01"/>
    <w:rsid w:val="384A6911"/>
    <w:rsid w:val="386F47C3"/>
    <w:rsid w:val="38817289"/>
    <w:rsid w:val="38A71530"/>
    <w:rsid w:val="39AE132C"/>
    <w:rsid w:val="39E3D358"/>
    <w:rsid w:val="3A45A492"/>
    <w:rsid w:val="3AB3198C"/>
    <w:rsid w:val="3AB6A174"/>
    <w:rsid w:val="3ADEC36E"/>
    <w:rsid w:val="3B02D1CB"/>
    <w:rsid w:val="3B2BB490"/>
    <w:rsid w:val="3B4DF438"/>
    <w:rsid w:val="3BEECA59"/>
    <w:rsid w:val="3C7BC5BC"/>
    <w:rsid w:val="3C8135BF"/>
    <w:rsid w:val="3C8504DE"/>
    <w:rsid w:val="3D0E4A58"/>
    <w:rsid w:val="3D549388"/>
    <w:rsid w:val="3D9A0B1F"/>
    <w:rsid w:val="3F55DEAA"/>
    <w:rsid w:val="40841621"/>
    <w:rsid w:val="4097A5E6"/>
    <w:rsid w:val="40D6B9E4"/>
    <w:rsid w:val="4101B7F7"/>
    <w:rsid w:val="416AAE2D"/>
    <w:rsid w:val="41D68974"/>
    <w:rsid w:val="41FAF35C"/>
    <w:rsid w:val="421D10FD"/>
    <w:rsid w:val="42E89A36"/>
    <w:rsid w:val="42FA3BE5"/>
    <w:rsid w:val="430158D4"/>
    <w:rsid w:val="434776D0"/>
    <w:rsid w:val="435ADD98"/>
    <w:rsid w:val="437AF1B8"/>
    <w:rsid w:val="439FE3AB"/>
    <w:rsid w:val="45730C86"/>
    <w:rsid w:val="459538E7"/>
    <w:rsid w:val="45F9769F"/>
    <w:rsid w:val="46BC175E"/>
    <w:rsid w:val="46BE52B1"/>
    <w:rsid w:val="46F602B5"/>
    <w:rsid w:val="471D51B9"/>
    <w:rsid w:val="47786D0F"/>
    <w:rsid w:val="49327D69"/>
    <w:rsid w:val="49BFDAE9"/>
    <w:rsid w:val="49C12894"/>
    <w:rsid w:val="49C90C8F"/>
    <w:rsid w:val="49CD87D0"/>
    <w:rsid w:val="49FC8897"/>
    <w:rsid w:val="4AC4D827"/>
    <w:rsid w:val="4AC67E55"/>
    <w:rsid w:val="4AD6B59A"/>
    <w:rsid w:val="4BFE306F"/>
    <w:rsid w:val="4C027534"/>
    <w:rsid w:val="4C0ACD40"/>
    <w:rsid w:val="4C105622"/>
    <w:rsid w:val="4C213D3B"/>
    <w:rsid w:val="4C6D7ECF"/>
    <w:rsid w:val="4C7F41CA"/>
    <w:rsid w:val="4CE8D08A"/>
    <w:rsid w:val="4D482FD6"/>
    <w:rsid w:val="4D9639AD"/>
    <w:rsid w:val="4DF65EB3"/>
    <w:rsid w:val="4E3598DD"/>
    <w:rsid w:val="4E73DBD0"/>
    <w:rsid w:val="4E8D37DE"/>
    <w:rsid w:val="4EC66317"/>
    <w:rsid w:val="4F5EE26D"/>
    <w:rsid w:val="5025B478"/>
    <w:rsid w:val="50D7C86A"/>
    <w:rsid w:val="51C487D4"/>
    <w:rsid w:val="51ED04EC"/>
    <w:rsid w:val="51F4E441"/>
    <w:rsid w:val="520D3692"/>
    <w:rsid w:val="521BFD0D"/>
    <w:rsid w:val="53380184"/>
    <w:rsid w:val="5423E5D8"/>
    <w:rsid w:val="54441E39"/>
    <w:rsid w:val="55349F5A"/>
    <w:rsid w:val="556665C2"/>
    <w:rsid w:val="55BC4C87"/>
    <w:rsid w:val="55E2EF16"/>
    <w:rsid w:val="56B4E675"/>
    <w:rsid w:val="56DBD0E9"/>
    <w:rsid w:val="577B2A11"/>
    <w:rsid w:val="590C0BF5"/>
    <w:rsid w:val="591E6D26"/>
    <w:rsid w:val="5980FDF2"/>
    <w:rsid w:val="59AB8864"/>
    <w:rsid w:val="59CF0241"/>
    <w:rsid w:val="5A26D5A6"/>
    <w:rsid w:val="5AC072E7"/>
    <w:rsid w:val="5B37FBEA"/>
    <w:rsid w:val="5B50F2EC"/>
    <w:rsid w:val="5B5CE719"/>
    <w:rsid w:val="5B6A1B76"/>
    <w:rsid w:val="5B6B236E"/>
    <w:rsid w:val="5B8F4619"/>
    <w:rsid w:val="5BCB8690"/>
    <w:rsid w:val="5DA3EBA9"/>
    <w:rsid w:val="5E502DD6"/>
    <w:rsid w:val="5E5FB129"/>
    <w:rsid w:val="5E6DA670"/>
    <w:rsid w:val="5EA71B87"/>
    <w:rsid w:val="5EEA5E03"/>
    <w:rsid w:val="5F02FB3C"/>
    <w:rsid w:val="5F2F877D"/>
    <w:rsid w:val="5F3F8E7B"/>
    <w:rsid w:val="5FE92181"/>
    <w:rsid w:val="601A25C3"/>
    <w:rsid w:val="60DD4839"/>
    <w:rsid w:val="61D4A291"/>
    <w:rsid w:val="62A18377"/>
    <w:rsid w:val="63BAC107"/>
    <w:rsid w:val="63E9D71D"/>
    <w:rsid w:val="64C7FB24"/>
    <w:rsid w:val="65BA377C"/>
    <w:rsid w:val="66042220"/>
    <w:rsid w:val="665DA304"/>
    <w:rsid w:val="67BEAB4D"/>
    <w:rsid w:val="68B109B4"/>
    <w:rsid w:val="68B80FEC"/>
    <w:rsid w:val="69294DF7"/>
    <w:rsid w:val="69366A86"/>
    <w:rsid w:val="699CBF67"/>
    <w:rsid w:val="6B3606E9"/>
    <w:rsid w:val="6B5C662E"/>
    <w:rsid w:val="6B7D1088"/>
    <w:rsid w:val="6B7EB657"/>
    <w:rsid w:val="6B9B0DC6"/>
    <w:rsid w:val="6C00DF31"/>
    <w:rsid w:val="6C3A9E4B"/>
    <w:rsid w:val="6C9251F6"/>
    <w:rsid w:val="6D199A92"/>
    <w:rsid w:val="6D1C5573"/>
    <w:rsid w:val="6D1CCA50"/>
    <w:rsid w:val="6E4DCC75"/>
    <w:rsid w:val="6E769058"/>
    <w:rsid w:val="6EF39E34"/>
    <w:rsid w:val="6F6166C2"/>
    <w:rsid w:val="6FC849D8"/>
    <w:rsid w:val="6FE58292"/>
    <w:rsid w:val="70424301"/>
    <w:rsid w:val="70A5DF9F"/>
    <w:rsid w:val="70DA74CB"/>
    <w:rsid w:val="71012AB5"/>
    <w:rsid w:val="71325106"/>
    <w:rsid w:val="717DDFE7"/>
    <w:rsid w:val="7210F6FF"/>
    <w:rsid w:val="721C09F2"/>
    <w:rsid w:val="72310B92"/>
    <w:rsid w:val="72A4AB01"/>
    <w:rsid w:val="72A995B3"/>
    <w:rsid w:val="73DE3D82"/>
    <w:rsid w:val="74854F30"/>
    <w:rsid w:val="74B7C534"/>
    <w:rsid w:val="7522EEE8"/>
    <w:rsid w:val="752CBD99"/>
    <w:rsid w:val="755C3D55"/>
    <w:rsid w:val="757A7680"/>
    <w:rsid w:val="75A4F875"/>
    <w:rsid w:val="75D33465"/>
    <w:rsid w:val="766FB12A"/>
    <w:rsid w:val="768211AE"/>
    <w:rsid w:val="77932C03"/>
    <w:rsid w:val="77E1FD23"/>
    <w:rsid w:val="78A31DA5"/>
    <w:rsid w:val="794761E8"/>
    <w:rsid w:val="79B58D08"/>
    <w:rsid w:val="7A25BDF5"/>
    <w:rsid w:val="7A85452F"/>
    <w:rsid w:val="7A94A810"/>
    <w:rsid w:val="7AABE2E6"/>
    <w:rsid w:val="7B07D46F"/>
    <w:rsid w:val="7B227EAB"/>
    <w:rsid w:val="7B2547F6"/>
    <w:rsid w:val="7B3BC0F4"/>
    <w:rsid w:val="7B8424FD"/>
    <w:rsid w:val="7B8EA501"/>
    <w:rsid w:val="7C22C15A"/>
    <w:rsid w:val="7C84FE3E"/>
    <w:rsid w:val="7CEDAA6E"/>
    <w:rsid w:val="7DA885F4"/>
    <w:rsid w:val="7DC1392B"/>
    <w:rsid w:val="7DC62407"/>
    <w:rsid w:val="7DD96BCB"/>
    <w:rsid w:val="7E4F42A2"/>
    <w:rsid w:val="7F5AEEA0"/>
    <w:rsid w:val="7F9C7E51"/>
    <w:rsid w:val="7FEEB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D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imes New Roman"/>
        <w:color w:val="000000" w:themeColor="text1"/>
        <w:kern w:val="16"/>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qFormat="1"/>
    <w:lsdException w:name="toc 2" w:qFormat="1"/>
    <w:lsdException w:name="toc 3" w:qFormat="1"/>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uiPriority w:val="99"/>
    <w:qFormat/>
    <w:rsid w:val="000A10BB"/>
    <w:pPr>
      <w:keepNext/>
      <w:spacing w:before="240" w:after="60" w:line="276" w:lineRule="auto"/>
      <w:outlineLvl w:val="0"/>
    </w:pPr>
    <w:rPr>
      <w:rFonts w:eastAsia="Calibri" w:cs="Arial"/>
      <w:b/>
      <w:bCs/>
      <w:kern w:val="32"/>
      <w:sz w:val="24"/>
      <w:szCs w:val="24"/>
    </w:rPr>
  </w:style>
  <w:style w:type="paragraph" w:styleId="Heading2">
    <w:name w:val="heading 2"/>
    <w:basedOn w:val="Normal"/>
    <w:next w:val="Normal"/>
    <w:link w:val="Heading2Char"/>
    <w:uiPriority w:val="9"/>
    <w:unhideWhenUsed/>
    <w:qFormat/>
    <w:rsid w:val="000A10BB"/>
    <w:pPr>
      <w:keepNext/>
      <w:keepLines/>
      <w:numPr>
        <w:ilvl w:val="1"/>
        <w:numId w:val="1"/>
      </w:numPr>
      <w:spacing w:before="200" w:after="0" w:line="240" w:lineRule="auto"/>
      <w:outlineLvl w:val="1"/>
    </w:pPr>
    <w:rPr>
      <w:rFonts w:eastAsiaTheme="majorEastAsia" w:cstheme="majorBidi"/>
      <w:b/>
      <w:bCs/>
      <w:sz w:val="24"/>
      <w:szCs w:val="24"/>
      <w:lang w:eastAsia="en-GB"/>
    </w:rPr>
  </w:style>
  <w:style w:type="paragraph" w:styleId="Heading3">
    <w:name w:val="heading 3"/>
    <w:basedOn w:val="Normal"/>
    <w:link w:val="Heading3Char"/>
    <w:uiPriority w:val="99"/>
    <w:qFormat/>
    <w:rsid w:val="000A10BB"/>
    <w:pPr>
      <w:spacing w:before="100" w:beforeAutospacing="1" w:after="100" w:afterAutospacing="1" w:line="240" w:lineRule="auto"/>
      <w:outlineLvl w:val="2"/>
    </w:pPr>
    <w:rPr>
      <w:rFonts w:eastAsia="Times New Roman"/>
      <w:b/>
      <w:bCs/>
      <w:sz w:val="24"/>
      <w:szCs w:val="24"/>
      <w:lang w:eastAsia="en-GB"/>
    </w:rPr>
  </w:style>
  <w:style w:type="paragraph" w:styleId="Heading4">
    <w:name w:val="heading 4"/>
    <w:basedOn w:val="Normal"/>
    <w:next w:val="Normal"/>
    <w:link w:val="Heading4Char"/>
    <w:uiPriority w:val="99"/>
    <w:unhideWhenUsed/>
    <w:qFormat/>
    <w:rsid w:val="000A10BB"/>
    <w:pPr>
      <w:keepNext/>
      <w:keepLines/>
      <w:spacing w:before="200" w:after="0" w:line="240" w:lineRule="auto"/>
      <w:outlineLvl w:val="3"/>
    </w:pPr>
    <w:rPr>
      <w:rFonts w:eastAsiaTheme="majorEastAsia" w:cstheme="majorBidi"/>
      <w:b/>
      <w:bCs/>
      <w:i/>
      <w:iCs/>
      <w:sz w:val="24"/>
      <w:szCs w:val="24"/>
      <w:lang w:eastAsia="en-GB"/>
    </w:rPr>
  </w:style>
  <w:style w:type="paragraph" w:styleId="Heading5">
    <w:name w:val="heading 5"/>
    <w:basedOn w:val="Normal"/>
    <w:next w:val="Normal"/>
    <w:link w:val="Heading5Char"/>
    <w:uiPriority w:val="99"/>
    <w:unhideWhenUsed/>
    <w:qFormat/>
    <w:rsid w:val="000A10BB"/>
    <w:pPr>
      <w:keepNext/>
      <w:keepLines/>
      <w:spacing w:before="200" w:after="0" w:line="240" w:lineRule="auto"/>
      <w:outlineLvl w:val="4"/>
    </w:pPr>
    <w:rPr>
      <w:rFonts w:eastAsiaTheme="majorEastAsia" w:cstheme="majorBidi"/>
      <w:i/>
      <w:iCs/>
      <w:sz w:val="24"/>
      <w:szCs w:val="24"/>
      <w:lang w:eastAsia="en-GB"/>
    </w:rPr>
  </w:style>
  <w:style w:type="paragraph" w:styleId="Heading9">
    <w:name w:val="heading 9"/>
    <w:basedOn w:val="Normal"/>
    <w:next w:val="Normal"/>
    <w:link w:val="Heading9Char"/>
    <w:uiPriority w:val="99"/>
    <w:unhideWhenUsed/>
    <w:qFormat/>
    <w:rsid w:val="000A10BB"/>
    <w:pPr>
      <w:keepNext/>
      <w:keepLines/>
      <w:spacing w:before="200" w:after="0" w:line="240" w:lineRule="auto"/>
      <w:outlineLvl w:val="8"/>
    </w:pPr>
    <w:rPr>
      <w:rFonts w:asciiTheme="majorHAnsi" w:eastAsiaTheme="majorEastAsia" w:hAnsiTheme="majorHAnsi" w:cstheme="majorBidi"/>
      <w:i/>
      <w:iCs/>
      <w:color w:val="404040" w:themeColor="text1" w:themeTint="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10BB"/>
    <w:rPr>
      <w:rFonts w:ascii="Garamond" w:eastAsia="Calibri" w:hAnsi="Garamond" w:cs="Arial"/>
      <w:b/>
      <w:bCs/>
      <w:kern w:val="32"/>
      <w:sz w:val="24"/>
      <w:szCs w:val="24"/>
      <w:lang w:val="en-US"/>
    </w:rPr>
  </w:style>
  <w:style w:type="character" w:customStyle="1" w:styleId="Heading2Char">
    <w:name w:val="Heading 2 Char"/>
    <w:basedOn w:val="DefaultParagraphFont"/>
    <w:link w:val="Heading2"/>
    <w:uiPriority w:val="9"/>
    <w:rsid w:val="000A10BB"/>
    <w:rPr>
      <w:rFonts w:ascii="Garamond" w:eastAsiaTheme="majorEastAsia" w:hAnsi="Garamond" w:cstheme="majorBidi"/>
      <w:b/>
      <w:bCs/>
      <w:kern w:val="16"/>
      <w:sz w:val="24"/>
      <w:szCs w:val="24"/>
      <w:lang w:eastAsia="en-GB"/>
    </w:rPr>
  </w:style>
  <w:style w:type="character" w:customStyle="1" w:styleId="Heading3Char">
    <w:name w:val="Heading 3 Char"/>
    <w:basedOn w:val="DefaultParagraphFont"/>
    <w:link w:val="Heading3"/>
    <w:uiPriority w:val="99"/>
    <w:rsid w:val="000A10BB"/>
    <w:rPr>
      <w:rFonts w:ascii="Garamond" w:eastAsia="Times New Roman" w:hAnsi="Garamond" w:cs="Times New Roman"/>
      <w:b/>
      <w:bCs/>
      <w:sz w:val="24"/>
      <w:szCs w:val="24"/>
      <w:lang w:eastAsia="en-GB"/>
    </w:rPr>
  </w:style>
  <w:style w:type="character" w:customStyle="1" w:styleId="Heading4Char">
    <w:name w:val="Heading 4 Char"/>
    <w:basedOn w:val="DefaultParagraphFont"/>
    <w:link w:val="Heading4"/>
    <w:uiPriority w:val="99"/>
    <w:rsid w:val="000A10BB"/>
    <w:rPr>
      <w:rFonts w:ascii="Garamond" w:eastAsiaTheme="majorEastAsia" w:hAnsi="Garamond" w:cstheme="majorBidi"/>
      <w:b/>
      <w:bCs/>
      <w:i/>
      <w:iCs/>
      <w:kern w:val="16"/>
      <w:sz w:val="24"/>
      <w:szCs w:val="24"/>
      <w:lang w:eastAsia="en-GB"/>
    </w:rPr>
  </w:style>
  <w:style w:type="character" w:customStyle="1" w:styleId="Heading5Char">
    <w:name w:val="Heading 5 Char"/>
    <w:basedOn w:val="DefaultParagraphFont"/>
    <w:link w:val="Heading5"/>
    <w:uiPriority w:val="99"/>
    <w:rsid w:val="000A10BB"/>
    <w:rPr>
      <w:rFonts w:ascii="Garamond" w:eastAsiaTheme="majorEastAsia" w:hAnsi="Garamond" w:cstheme="majorBidi"/>
      <w:i/>
      <w:iCs/>
      <w:kern w:val="16"/>
      <w:sz w:val="24"/>
      <w:szCs w:val="24"/>
      <w:lang w:eastAsia="en-GB"/>
    </w:rPr>
  </w:style>
  <w:style w:type="character" w:customStyle="1" w:styleId="Heading9Char">
    <w:name w:val="Heading 9 Char"/>
    <w:basedOn w:val="DefaultParagraphFont"/>
    <w:link w:val="Heading9"/>
    <w:uiPriority w:val="99"/>
    <w:rsid w:val="000A10BB"/>
    <w:rPr>
      <w:rFonts w:asciiTheme="majorHAnsi" w:eastAsiaTheme="majorEastAsia" w:hAnsiTheme="majorHAnsi" w:cstheme="majorBidi"/>
      <w:i/>
      <w:iCs/>
      <w:color w:val="404040" w:themeColor="text1" w:themeTint="BF"/>
      <w:kern w:val="16"/>
      <w:sz w:val="20"/>
      <w:szCs w:val="20"/>
      <w:lang w:eastAsia="en-GB"/>
    </w:rPr>
  </w:style>
  <w:style w:type="numbering" w:customStyle="1" w:styleId="NoList1">
    <w:name w:val="No List1"/>
    <w:next w:val="NoList"/>
    <w:uiPriority w:val="99"/>
    <w:semiHidden/>
    <w:unhideWhenUsed/>
    <w:rsid w:val="000A10BB"/>
  </w:style>
  <w:style w:type="paragraph" w:styleId="FootnoteText">
    <w:name w:val="footnote text"/>
    <w:basedOn w:val="Normal"/>
    <w:link w:val="FootnoteTextChar"/>
    <w:uiPriority w:val="99"/>
    <w:rsid w:val="000A10BB"/>
    <w:pPr>
      <w:spacing w:after="0" w:line="240" w:lineRule="auto"/>
    </w:pPr>
    <w:rPr>
      <w:rFonts w:ascii="Times New Roman" w:eastAsia="Times New Roman" w:hAnsi="Times New Roman"/>
      <w:lang w:eastAsia="en-GB"/>
    </w:rPr>
  </w:style>
  <w:style w:type="character" w:customStyle="1" w:styleId="FootnoteTextChar">
    <w:name w:val="Footnote Text Char"/>
    <w:basedOn w:val="DefaultParagraphFont"/>
    <w:link w:val="FootnoteText"/>
    <w:uiPriority w:val="99"/>
    <w:rsid w:val="000A10BB"/>
    <w:rPr>
      <w:rFonts w:ascii="Times New Roman" w:eastAsia="Times New Roman" w:hAnsi="Times New Roman" w:cs="Times New Roman"/>
      <w:kern w:val="16"/>
      <w:sz w:val="20"/>
      <w:szCs w:val="20"/>
      <w:lang w:eastAsia="en-GB"/>
    </w:rPr>
  </w:style>
  <w:style w:type="character" w:styleId="FootnoteReference">
    <w:name w:val="footnote reference"/>
    <w:basedOn w:val="DefaultParagraphFont"/>
    <w:uiPriority w:val="99"/>
    <w:semiHidden/>
    <w:rsid w:val="000A10BB"/>
    <w:rPr>
      <w:rFonts w:cs="Times New Roman"/>
      <w:vertAlign w:val="superscript"/>
    </w:rPr>
  </w:style>
  <w:style w:type="character" w:styleId="Hyperlink">
    <w:name w:val="Hyperlink"/>
    <w:basedOn w:val="DefaultParagraphFont"/>
    <w:uiPriority w:val="99"/>
    <w:rsid w:val="000A10BB"/>
    <w:rPr>
      <w:rFonts w:cs="Times New Roman"/>
      <w:color w:val="0000FF"/>
      <w:u w:val="single"/>
    </w:rPr>
  </w:style>
  <w:style w:type="paragraph" w:styleId="NormalWeb">
    <w:name w:val="Normal (Web)"/>
    <w:basedOn w:val="Normal"/>
    <w:uiPriority w:val="99"/>
    <w:rsid w:val="000A10BB"/>
    <w:pPr>
      <w:spacing w:before="100" w:beforeAutospacing="1" w:after="100" w:afterAutospacing="1" w:line="240" w:lineRule="auto"/>
    </w:pPr>
    <w:rPr>
      <w:rFonts w:ascii="Times New Roman" w:eastAsia="Times New Roman" w:hAnsi="Times New Roman"/>
      <w:b/>
      <w:bCs/>
      <w:sz w:val="24"/>
      <w:szCs w:val="24"/>
      <w:lang w:eastAsia="en-GB"/>
    </w:rPr>
  </w:style>
  <w:style w:type="character" w:styleId="FollowedHyperlink">
    <w:name w:val="FollowedHyperlink"/>
    <w:basedOn w:val="DefaultParagraphFont"/>
    <w:uiPriority w:val="99"/>
    <w:rsid w:val="000A10BB"/>
    <w:rPr>
      <w:rFonts w:cs="Times New Roman"/>
      <w:color w:val="606420"/>
      <w:u w:val="single"/>
    </w:rPr>
  </w:style>
  <w:style w:type="character" w:styleId="CommentReference">
    <w:name w:val="annotation reference"/>
    <w:basedOn w:val="DefaultParagraphFont"/>
    <w:uiPriority w:val="99"/>
    <w:semiHidden/>
    <w:rsid w:val="000A10BB"/>
    <w:rPr>
      <w:rFonts w:cs="Times New Roman"/>
      <w:sz w:val="16"/>
      <w:szCs w:val="16"/>
    </w:rPr>
  </w:style>
  <w:style w:type="paragraph" w:styleId="CommentText">
    <w:name w:val="annotation text"/>
    <w:basedOn w:val="Normal"/>
    <w:link w:val="CommentTextChar"/>
    <w:uiPriority w:val="99"/>
    <w:semiHidden/>
    <w:rsid w:val="000A10BB"/>
    <w:pPr>
      <w:spacing w:after="0" w:line="240" w:lineRule="auto"/>
    </w:pPr>
    <w:rPr>
      <w:rFonts w:ascii="Times New Roman" w:eastAsia="Times New Roman" w:hAnsi="Times New Roman"/>
      <w:lang w:eastAsia="en-GB"/>
    </w:rPr>
  </w:style>
  <w:style w:type="character" w:customStyle="1" w:styleId="CommentTextChar">
    <w:name w:val="Comment Text Char"/>
    <w:basedOn w:val="DefaultParagraphFont"/>
    <w:link w:val="CommentText"/>
    <w:uiPriority w:val="99"/>
    <w:semiHidden/>
    <w:rsid w:val="000A10BB"/>
    <w:rPr>
      <w:rFonts w:ascii="Times New Roman" w:eastAsia="Times New Roman" w:hAnsi="Times New Roman" w:cs="Times New Roman"/>
      <w:kern w:val="16"/>
      <w:sz w:val="20"/>
      <w:szCs w:val="20"/>
      <w:lang w:eastAsia="en-GB"/>
    </w:rPr>
  </w:style>
  <w:style w:type="character" w:customStyle="1" w:styleId="BalloonTextChar">
    <w:name w:val="Balloon Text Char"/>
    <w:basedOn w:val="DefaultParagraphFont"/>
    <w:link w:val="BalloonText"/>
    <w:uiPriority w:val="99"/>
    <w:semiHidden/>
    <w:rsid w:val="000A10BB"/>
    <w:rPr>
      <w:rFonts w:ascii="Tahoma" w:eastAsia="Times New Roman" w:hAnsi="Tahoma" w:cs="Tahoma"/>
      <w:kern w:val="16"/>
      <w:sz w:val="16"/>
      <w:szCs w:val="16"/>
      <w:lang w:eastAsia="en-GB"/>
    </w:rPr>
  </w:style>
  <w:style w:type="paragraph" w:styleId="BalloonText">
    <w:name w:val="Balloon Text"/>
    <w:basedOn w:val="Normal"/>
    <w:link w:val="BalloonTextChar"/>
    <w:uiPriority w:val="99"/>
    <w:semiHidden/>
    <w:rsid w:val="000A10BB"/>
    <w:pPr>
      <w:spacing w:after="0" w:line="240" w:lineRule="auto"/>
    </w:pPr>
    <w:rPr>
      <w:rFonts w:ascii="Tahoma" w:eastAsia="Times New Roman" w:hAnsi="Tahoma" w:cs="Tahoma"/>
      <w:sz w:val="16"/>
      <w:szCs w:val="16"/>
      <w:lang w:eastAsia="en-GB"/>
    </w:rPr>
  </w:style>
  <w:style w:type="character" w:customStyle="1" w:styleId="BalloonTextChar1">
    <w:name w:val="Balloon Text Char1"/>
    <w:basedOn w:val="DefaultParagraphFont"/>
    <w:uiPriority w:val="99"/>
    <w:semiHidden/>
    <w:rsid w:val="000A10BB"/>
    <w:rPr>
      <w:rFonts w:ascii="Segoe UI" w:hAnsi="Segoe UI" w:cs="Segoe UI"/>
      <w:sz w:val="18"/>
      <w:szCs w:val="18"/>
    </w:rPr>
  </w:style>
  <w:style w:type="character" w:customStyle="1" w:styleId="mw-headline">
    <w:name w:val="mw-headline"/>
    <w:basedOn w:val="DefaultParagraphFont"/>
    <w:uiPriority w:val="99"/>
    <w:rsid w:val="000A10BB"/>
    <w:rPr>
      <w:rFonts w:cs="Times New Roman"/>
    </w:rPr>
  </w:style>
  <w:style w:type="character" w:customStyle="1" w:styleId="normalbold1">
    <w:name w:val="normalbold1"/>
    <w:basedOn w:val="DefaultParagraphFont"/>
    <w:uiPriority w:val="99"/>
    <w:rsid w:val="000A10BB"/>
    <w:rPr>
      <w:rFonts w:ascii="Verdana" w:hAnsi="Verdana" w:cs="Times New Roman"/>
      <w:b/>
      <w:bCs/>
      <w:color w:val="000000"/>
      <w:sz w:val="20"/>
      <w:szCs w:val="20"/>
    </w:rPr>
  </w:style>
  <w:style w:type="paragraph" w:styleId="Footer">
    <w:name w:val="footer"/>
    <w:aliases w:val="Char, Char"/>
    <w:basedOn w:val="Normal"/>
    <w:link w:val="FooterChar"/>
    <w:uiPriority w:val="99"/>
    <w:rsid w:val="000A10BB"/>
    <w:pPr>
      <w:tabs>
        <w:tab w:val="center" w:pos="4153"/>
        <w:tab w:val="right" w:pos="8306"/>
      </w:tabs>
      <w:spacing w:after="0" w:line="240" w:lineRule="auto"/>
    </w:pPr>
    <w:rPr>
      <w:rFonts w:ascii="Times New Roman" w:eastAsia="Times New Roman" w:hAnsi="Times New Roman"/>
      <w:sz w:val="24"/>
      <w:szCs w:val="24"/>
      <w:lang w:eastAsia="en-GB"/>
    </w:rPr>
  </w:style>
  <w:style w:type="character" w:customStyle="1" w:styleId="FooterChar">
    <w:name w:val="Footer Char"/>
    <w:aliases w:val="Char Char, Char Char"/>
    <w:basedOn w:val="DefaultParagraphFont"/>
    <w:link w:val="Footer"/>
    <w:uiPriority w:val="99"/>
    <w:rsid w:val="000A10BB"/>
    <w:rPr>
      <w:rFonts w:ascii="Times New Roman" w:eastAsia="Times New Roman" w:hAnsi="Times New Roman" w:cs="Times New Roman"/>
      <w:kern w:val="16"/>
      <w:sz w:val="24"/>
      <w:szCs w:val="24"/>
      <w:lang w:eastAsia="en-GB"/>
    </w:rPr>
  </w:style>
  <w:style w:type="character" w:styleId="PageNumber">
    <w:name w:val="page number"/>
    <w:basedOn w:val="DefaultParagraphFont"/>
    <w:uiPriority w:val="99"/>
    <w:rsid w:val="000A10BB"/>
    <w:rPr>
      <w:rFonts w:cs="Times New Roman"/>
    </w:rPr>
  </w:style>
  <w:style w:type="paragraph" w:customStyle="1" w:styleId="modelpcmodelcontainerboxmargins">
    <w:name w:val="model_pc model_container_box_margins"/>
    <w:basedOn w:val="Normal"/>
    <w:uiPriority w:val="99"/>
    <w:rsid w:val="000A10BB"/>
    <w:pPr>
      <w:spacing w:after="0" w:line="240" w:lineRule="auto"/>
    </w:pPr>
    <w:rPr>
      <w:rFonts w:ascii="Verdana" w:eastAsia="Times New Roman" w:hAnsi="Verdana"/>
      <w:color w:val="666666"/>
      <w:sz w:val="15"/>
      <w:szCs w:val="15"/>
      <w:lang w:eastAsia="en-GB"/>
    </w:rPr>
  </w:style>
  <w:style w:type="character" w:customStyle="1" w:styleId="DocumentMapChar">
    <w:name w:val="Document Map Char"/>
    <w:basedOn w:val="DefaultParagraphFont"/>
    <w:link w:val="DocumentMap"/>
    <w:uiPriority w:val="99"/>
    <w:semiHidden/>
    <w:rsid w:val="000A10BB"/>
    <w:rPr>
      <w:rFonts w:ascii="Tahoma" w:eastAsia="Times New Roman" w:hAnsi="Tahoma" w:cs="Tahoma"/>
      <w:kern w:val="16"/>
      <w:sz w:val="20"/>
      <w:szCs w:val="20"/>
      <w:shd w:val="clear" w:color="auto" w:fill="000080"/>
      <w:lang w:eastAsia="en-GB"/>
    </w:rPr>
  </w:style>
  <w:style w:type="paragraph" w:styleId="DocumentMap">
    <w:name w:val="Document Map"/>
    <w:basedOn w:val="Normal"/>
    <w:link w:val="DocumentMapChar"/>
    <w:uiPriority w:val="99"/>
    <w:semiHidden/>
    <w:rsid w:val="000A10BB"/>
    <w:pPr>
      <w:shd w:val="clear" w:color="auto" w:fill="000080"/>
      <w:spacing w:after="0" w:line="240" w:lineRule="auto"/>
    </w:pPr>
    <w:rPr>
      <w:rFonts w:ascii="Tahoma" w:eastAsia="Times New Roman" w:hAnsi="Tahoma" w:cs="Tahoma"/>
      <w:lang w:eastAsia="en-GB"/>
    </w:rPr>
  </w:style>
  <w:style w:type="character" w:customStyle="1" w:styleId="DocumentMapChar1">
    <w:name w:val="Document Map Char1"/>
    <w:basedOn w:val="DefaultParagraphFont"/>
    <w:uiPriority w:val="99"/>
    <w:semiHidden/>
    <w:rsid w:val="000A10BB"/>
    <w:rPr>
      <w:rFonts w:ascii="Segoe UI" w:hAnsi="Segoe UI" w:cs="Segoe UI"/>
      <w:sz w:val="16"/>
      <w:szCs w:val="16"/>
    </w:rPr>
  </w:style>
  <w:style w:type="paragraph" w:styleId="BodyText2">
    <w:name w:val="Body Text 2"/>
    <w:basedOn w:val="Normal"/>
    <w:link w:val="BodyText2Char"/>
    <w:uiPriority w:val="99"/>
    <w:rsid w:val="000A10BB"/>
    <w:pPr>
      <w:spacing w:after="0" w:line="360" w:lineRule="auto"/>
      <w:jc w:val="both"/>
    </w:pPr>
    <w:rPr>
      <w:rFonts w:ascii="Times" w:eastAsia="Times New Roman" w:hAnsi="Times"/>
      <w:color w:val="000000"/>
      <w:sz w:val="24"/>
      <w:szCs w:val="24"/>
    </w:rPr>
  </w:style>
  <w:style w:type="character" w:customStyle="1" w:styleId="BodyText2Char">
    <w:name w:val="Body Text 2 Char"/>
    <w:basedOn w:val="DefaultParagraphFont"/>
    <w:link w:val="BodyText2"/>
    <w:uiPriority w:val="99"/>
    <w:rsid w:val="000A10BB"/>
    <w:rPr>
      <w:rFonts w:ascii="Times" w:eastAsia="Times New Roman" w:hAnsi="Times" w:cs="Times New Roman"/>
      <w:color w:val="000000"/>
      <w:sz w:val="24"/>
      <w:szCs w:val="24"/>
    </w:rPr>
  </w:style>
  <w:style w:type="character" w:customStyle="1" w:styleId="CommentSubjectChar">
    <w:name w:val="Comment Subject Char"/>
    <w:basedOn w:val="CommentTextChar"/>
    <w:link w:val="CommentSubject"/>
    <w:uiPriority w:val="99"/>
    <w:semiHidden/>
    <w:rsid w:val="000A10BB"/>
    <w:rPr>
      <w:rFonts w:ascii="Times New Roman" w:eastAsia="Times New Roman" w:hAnsi="Times New Roman" w:cs="Times New Roman"/>
      <w:b/>
      <w:bCs/>
      <w:kern w:val="16"/>
      <w:sz w:val="20"/>
      <w:szCs w:val="20"/>
      <w:lang w:eastAsia="en-GB"/>
    </w:rPr>
  </w:style>
  <w:style w:type="paragraph" w:styleId="CommentSubject">
    <w:name w:val="annotation subject"/>
    <w:basedOn w:val="CommentText"/>
    <w:next w:val="CommentText"/>
    <w:link w:val="CommentSubjectChar"/>
    <w:uiPriority w:val="99"/>
    <w:semiHidden/>
    <w:rsid w:val="000A10BB"/>
    <w:rPr>
      <w:b/>
      <w:bCs/>
    </w:rPr>
  </w:style>
  <w:style w:type="character" w:customStyle="1" w:styleId="CommentSubjectChar1">
    <w:name w:val="Comment Subject Char1"/>
    <w:basedOn w:val="CommentTextChar"/>
    <w:uiPriority w:val="99"/>
    <w:semiHidden/>
    <w:rsid w:val="000A10BB"/>
    <w:rPr>
      <w:rFonts w:ascii="Times New Roman" w:eastAsia="Times New Roman" w:hAnsi="Times New Roman" w:cs="Times New Roman"/>
      <w:b/>
      <w:bCs/>
      <w:kern w:val="16"/>
      <w:sz w:val="20"/>
      <w:szCs w:val="20"/>
      <w:lang w:eastAsia="en-GB"/>
    </w:rPr>
  </w:style>
  <w:style w:type="paragraph" w:styleId="TableofFigures">
    <w:name w:val="table of figures"/>
    <w:aliases w:val="List of Tables"/>
    <w:basedOn w:val="Normal"/>
    <w:next w:val="Normal"/>
    <w:uiPriority w:val="99"/>
    <w:rsid w:val="000A10BB"/>
    <w:pPr>
      <w:spacing w:after="0" w:line="240" w:lineRule="auto"/>
      <w:ind w:left="480" w:hanging="480"/>
    </w:pPr>
    <w:rPr>
      <w:rFonts w:eastAsia="Times New Roman"/>
      <w:smallCaps/>
      <w:noProof/>
      <w:sz w:val="24"/>
      <w:szCs w:val="24"/>
      <w:lang w:eastAsia="zh-CN"/>
    </w:rPr>
  </w:style>
  <w:style w:type="paragraph" w:styleId="Header">
    <w:name w:val="header"/>
    <w:basedOn w:val="Normal"/>
    <w:link w:val="HeaderChar"/>
    <w:uiPriority w:val="99"/>
    <w:rsid w:val="000A10BB"/>
    <w:pPr>
      <w:tabs>
        <w:tab w:val="center" w:pos="4153"/>
        <w:tab w:val="right" w:pos="830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rsid w:val="000A10BB"/>
    <w:rPr>
      <w:rFonts w:ascii="Times New Roman" w:eastAsia="Times New Roman" w:hAnsi="Times New Roman" w:cs="Times New Roman"/>
      <w:kern w:val="16"/>
      <w:sz w:val="24"/>
      <w:szCs w:val="24"/>
      <w:lang w:eastAsia="en-GB"/>
    </w:rPr>
  </w:style>
  <w:style w:type="paragraph" w:styleId="ListParagraph">
    <w:name w:val="List Paragraph"/>
    <w:basedOn w:val="Normal"/>
    <w:uiPriority w:val="34"/>
    <w:qFormat/>
    <w:rsid w:val="000A10BB"/>
    <w:pPr>
      <w:spacing w:after="0" w:line="240" w:lineRule="auto"/>
      <w:ind w:left="720"/>
    </w:pPr>
    <w:rPr>
      <w:rFonts w:ascii="Times New Roman" w:eastAsia="Times New Roman" w:hAnsi="Times New Roman"/>
      <w:sz w:val="24"/>
      <w:szCs w:val="24"/>
      <w:lang w:eastAsia="en-GB"/>
    </w:rPr>
  </w:style>
  <w:style w:type="character" w:customStyle="1" w:styleId="stir-smallerfont1">
    <w:name w:val="stir-smallerfont1"/>
    <w:basedOn w:val="DefaultParagraphFont"/>
    <w:uiPriority w:val="99"/>
    <w:rsid w:val="000A10BB"/>
    <w:rPr>
      <w:rFonts w:cs="Times New Roman"/>
      <w:color w:val="333333"/>
      <w:sz w:val="23"/>
      <w:szCs w:val="23"/>
      <w:shd w:val="clear" w:color="auto" w:fill="F7F7F7"/>
    </w:rPr>
  </w:style>
  <w:style w:type="character" w:styleId="Emphasis">
    <w:name w:val="Emphasis"/>
    <w:basedOn w:val="DefaultParagraphFont"/>
    <w:uiPriority w:val="99"/>
    <w:qFormat/>
    <w:rsid w:val="000A10BB"/>
    <w:rPr>
      <w:rFonts w:cs="Times New Roman"/>
      <w:i/>
      <w:iCs/>
    </w:rPr>
  </w:style>
  <w:style w:type="character" w:customStyle="1" w:styleId="name1">
    <w:name w:val="name1"/>
    <w:basedOn w:val="DefaultParagraphFont"/>
    <w:uiPriority w:val="99"/>
    <w:rsid w:val="000A10BB"/>
    <w:rPr>
      <w:rFonts w:ascii="Arial" w:hAnsi="Arial" w:cs="Arial"/>
      <w:color w:val="333333"/>
      <w:sz w:val="18"/>
      <w:szCs w:val="18"/>
    </w:rPr>
  </w:style>
  <w:style w:type="character" w:customStyle="1" w:styleId="searchword">
    <w:name w:val="searchword"/>
    <w:basedOn w:val="DefaultParagraphFont"/>
    <w:uiPriority w:val="99"/>
    <w:rsid w:val="000A10BB"/>
    <w:rPr>
      <w:rFonts w:cs="Times New Roman"/>
      <w:shd w:val="clear" w:color="auto" w:fill="FFFF00"/>
    </w:rPr>
  </w:style>
  <w:style w:type="paragraph" w:customStyle="1" w:styleId="MTDisplayEquation">
    <w:name w:val="MTDisplayEquation"/>
    <w:basedOn w:val="Normal"/>
    <w:next w:val="Normal"/>
    <w:link w:val="MTDisplayEquationChar"/>
    <w:uiPriority w:val="99"/>
    <w:rsid w:val="000A10BB"/>
    <w:pPr>
      <w:tabs>
        <w:tab w:val="center" w:pos="4160"/>
        <w:tab w:val="right" w:pos="8300"/>
      </w:tabs>
      <w:spacing w:after="200" w:line="240" w:lineRule="auto"/>
      <w:jc w:val="both"/>
    </w:pPr>
    <w:rPr>
      <w:rFonts w:ascii="Calibri" w:eastAsia="Calibri" w:hAnsi="Calibri"/>
    </w:rPr>
  </w:style>
  <w:style w:type="character" w:customStyle="1" w:styleId="MTDisplayEquationChar">
    <w:name w:val="MTDisplayEquation Char"/>
    <w:basedOn w:val="DefaultParagraphFont"/>
    <w:link w:val="MTDisplayEquation"/>
    <w:uiPriority w:val="99"/>
    <w:locked/>
    <w:rsid w:val="000A10BB"/>
    <w:rPr>
      <w:rFonts w:ascii="Calibri" w:eastAsia="Calibri" w:hAnsi="Calibri" w:cs="Times New Roman"/>
      <w:lang w:val="en-US"/>
    </w:rPr>
  </w:style>
  <w:style w:type="paragraph" w:styleId="NoSpacing">
    <w:name w:val="No Spacing"/>
    <w:link w:val="NoSpacingChar"/>
    <w:uiPriority w:val="99"/>
    <w:qFormat/>
    <w:rsid w:val="000A10BB"/>
    <w:pPr>
      <w:spacing w:after="0" w:line="240" w:lineRule="auto"/>
    </w:pPr>
    <w:rPr>
      <w:rFonts w:ascii="Calibri" w:eastAsia="Times New Roman" w:hAnsi="Calibri" w:cs="Arial"/>
      <w:lang w:val="en-US"/>
    </w:rPr>
  </w:style>
  <w:style w:type="character" w:customStyle="1" w:styleId="NoSpacingChar">
    <w:name w:val="No Spacing Char"/>
    <w:basedOn w:val="DefaultParagraphFont"/>
    <w:link w:val="NoSpacing"/>
    <w:uiPriority w:val="99"/>
    <w:locked/>
    <w:rsid w:val="000A10BB"/>
    <w:rPr>
      <w:rFonts w:ascii="Calibri" w:eastAsia="Times New Roman" w:hAnsi="Calibri" w:cs="Arial"/>
      <w:lang w:val="en-US"/>
    </w:rPr>
  </w:style>
  <w:style w:type="paragraph" w:customStyle="1" w:styleId="text">
    <w:name w:val="text"/>
    <w:aliases w:val="t"/>
    <w:basedOn w:val="Normal"/>
    <w:uiPriority w:val="99"/>
    <w:rsid w:val="000A10BB"/>
    <w:pPr>
      <w:overflowPunct w:val="0"/>
      <w:autoSpaceDE w:val="0"/>
      <w:autoSpaceDN w:val="0"/>
      <w:adjustRightInd w:val="0"/>
      <w:spacing w:after="0" w:line="480" w:lineRule="atLeast"/>
      <w:ind w:firstLine="720"/>
      <w:jc w:val="both"/>
      <w:textAlignment w:val="baseline"/>
    </w:pPr>
    <w:rPr>
      <w:rFonts w:ascii="Times" w:eastAsia="SimSun" w:hAnsi="Times"/>
      <w:sz w:val="24"/>
    </w:rPr>
  </w:style>
  <w:style w:type="paragraph" w:customStyle="1" w:styleId="Default">
    <w:name w:val="Default"/>
    <w:uiPriority w:val="99"/>
    <w:rsid w:val="000A10BB"/>
    <w:pPr>
      <w:autoSpaceDE w:val="0"/>
      <w:autoSpaceDN w:val="0"/>
      <w:adjustRightInd w:val="0"/>
      <w:spacing w:after="0" w:line="240" w:lineRule="auto"/>
    </w:pPr>
    <w:rPr>
      <w:rFonts w:ascii="Times New Roman" w:eastAsia="Calibri" w:hAnsi="Times New Roman"/>
      <w:color w:val="000000"/>
      <w:sz w:val="24"/>
      <w:szCs w:val="24"/>
    </w:rPr>
  </w:style>
  <w:style w:type="paragraph" w:customStyle="1" w:styleId="DecimalAligned">
    <w:name w:val="Decimal Aligned"/>
    <w:basedOn w:val="Normal"/>
    <w:uiPriority w:val="99"/>
    <w:qFormat/>
    <w:rsid w:val="000A10BB"/>
    <w:pPr>
      <w:tabs>
        <w:tab w:val="decimal" w:pos="360"/>
      </w:tabs>
      <w:spacing w:after="200" w:line="276" w:lineRule="auto"/>
    </w:pPr>
    <w:rPr>
      <w:rFonts w:ascii="Calibri" w:eastAsia="Times New Roman" w:hAnsi="Calibri"/>
    </w:rPr>
  </w:style>
  <w:style w:type="character" w:styleId="SubtleEmphasis">
    <w:name w:val="Subtle Emphasis"/>
    <w:basedOn w:val="DefaultParagraphFont"/>
    <w:uiPriority w:val="99"/>
    <w:qFormat/>
    <w:rsid w:val="000A10BB"/>
    <w:rPr>
      <w:rFonts w:eastAsia="Times New Roman" w:cs="Times New Roman"/>
      <w:i/>
      <w:iCs/>
      <w:color w:val="808080"/>
      <w:sz w:val="22"/>
      <w:szCs w:val="22"/>
      <w:lang w:val="en-US"/>
    </w:rPr>
  </w:style>
  <w:style w:type="paragraph" w:styleId="BodyText">
    <w:name w:val="Body Text"/>
    <w:basedOn w:val="Normal"/>
    <w:link w:val="BodyTextChar"/>
    <w:uiPriority w:val="99"/>
    <w:semiHidden/>
    <w:rsid w:val="000A10BB"/>
    <w:pPr>
      <w:spacing w:after="120" w:line="240" w:lineRule="auto"/>
    </w:pPr>
    <w:rPr>
      <w:rFonts w:ascii="Times New Roman" w:eastAsia="Times New Roman" w:hAnsi="Times New Roman"/>
      <w:sz w:val="24"/>
      <w:szCs w:val="24"/>
      <w:lang w:eastAsia="en-GB"/>
    </w:rPr>
  </w:style>
  <w:style w:type="character" w:customStyle="1" w:styleId="BodyTextChar">
    <w:name w:val="Body Text Char"/>
    <w:basedOn w:val="DefaultParagraphFont"/>
    <w:link w:val="BodyText"/>
    <w:uiPriority w:val="99"/>
    <w:semiHidden/>
    <w:rsid w:val="000A10BB"/>
    <w:rPr>
      <w:rFonts w:ascii="Times New Roman" w:eastAsia="Times New Roman" w:hAnsi="Times New Roman" w:cs="Times New Roman"/>
      <w:kern w:val="16"/>
      <w:sz w:val="24"/>
      <w:szCs w:val="24"/>
      <w:lang w:eastAsia="en-GB"/>
    </w:rPr>
  </w:style>
  <w:style w:type="paragraph" w:styleId="TOCHeading">
    <w:name w:val="TOC Heading"/>
    <w:basedOn w:val="Heading1"/>
    <w:next w:val="Normal"/>
    <w:uiPriority w:val="99"/>
    <w:unhideWhenUsed/>
    <w:qFormat/>
    <w:rsid w:val="000A10BB"/>
    <w:pPr>
      <w:keepLines/>
      <w:spacing w:before="480" w:after="0"/>
      <w:outlineLvl w:val="9"/>
    </w:pPr>
    <w:rPr>
      <w:rFonts w:asciiTheme="majorHAnsi" w:eastAsiaTheme="majorEastAsia" w:hAnsiTheme="majorHAnsi" w:cstheme="majorBidi"/>
      <w:color w:val="2E74B5" w:themeColor="accent1" w:themeShade="BF"/>
      <w:kern w:val="0"/>
    </w:rPr>
  </w:style>
  <w:style w:type="paragraph" w:styleId="TOC1">
    <w:name w:val="toc 1"/>
    <w:basedOn w:val="Normal"/>
    <w:next w:val="Normal"/>
    <w:autoRedefine/>
    <w:uiPriority w:val="99"/>
    <w:qFormat/>
    <w:rsid w:val="000A10BB"/>
    <w:pPr>
      <w:tabs>
        <w:tab w:val="right" w:leader="dot" w:pos="8471"/>
      </w:tabs>
      <w:spacing w:after="100" w:line="240" w:lineRule="auto"/>
    </w:pPr>
    <w:rPr>
      <w:rFonts w:eastAsia="Times New Roman"/>
      <w:b/>
      <w:noProof/>
      <w:sz w:val="24"/>
      <w:szCs w:val="24"/>
      <w:lang w:eastAsia="en-GB"/>
    </w:rPr>
  </w:style>
  <w:style w:type="paragraph" w:styleId="TOC2">
    <w:name w:val="toc 2"/>
    <w:basedOn w:val="Normal"/>
    <w:next w:val="Normal"/>
    <w:autoRedefine/>
    <w:uiPriority w:val="99"/>
    <w:qFormat/>
    <w:rsid w:val="000A10BB"/>
    <w:pPr>
      <w:tabs>
        <w:tab w:val="right" w:leader="dot" w:pos="8471"/>
      </w:tabs>
      <w:spacing w:after="100" w:line="240" w:lineRule="auto"/>
      <w:ind w:left="238"/>
      <w:jc w:val="both"/>
    </w:pPr>
    <w:rPr>
      <w:rFonts w:ascii="Times New Roman" w:eastAsia="Times New Roman" w:hAnsi="Times New Roman"/>
      <w:sz w:val="24"/>
      <w:szCs w:val="24"/>
      <w:lang w:eastAsia="en-GB"/>
    </w:rPr>
  </w:style>
  <w:style w:type="paragraph" w:styleId="TOC3">
    <w:name w:val="toc 3"/>
    <w:basedOn w:val="Normal"/>
    <w:next w:val="Normal"/>
    <w:autoRedefine/>
    <w:uiPriority w:val="99"/>
    <w:qFormat/>
    <w:rsid w:val="000A10BB"/>
    <w:pPr>
      <w:spacing w:after="100" w:line="240" w:lineRule="auto"/>
      <w:ind w:left="480"/>
    </w:pPr>
    <w:rPr>
      <w:rFonts w:ascii="Times New Roman" w:eastAsia="Times New Roman" w:hAnsi="Times New Roman"/>
      <w:sz w:val="24"/>
      <w:szCs w:val="24"/>
      <w:lang w:eastAsia="en-GB"/>
    </w:rPr>
  </w:style>
  <w:style w:type="paragraph" w:styleId="TOC4">
    <w:name w:val="toc 4"/>
    <w:basedOn w:val="Normal"/>
    <w:next w:val="Normal"/>
    <w:autoRedefine/>
    <w:uiPriority w:val="99"/>
    <w:unhideWhenUsed/>
    <w:rsid w:val="000A10BB"/>
    <w:pPr>
      <w:spacing w:after="100" w:line="276" w:lineRule="auto"/>
      <w:ind w:left="660"/>
    </w:pPr>
    <w:rPr>
      <w:rFonts w:eastAsiaTheme="minorEastAsia"/>
      <w:lang w:eastAsia="en-GB"/>
    </w:rPr>
  </w:style>
  <w:style w:type="paragraph" w:styleId="TOC5">
    <w:name w:val="toc 5"/>
    <w:basedOn w:val="Normal"/>
    <w:next w:val="Normal"/>
    <w:autoRedefine/>
    <w:uiPriority w:val="99"/>
    <w:unhideWhenUsed/>
    <w:rsid w:val="000A10BB"/>
    <w:pPr>
      <w:spacing w:after="100" w:line="276" w:lineRule="auto"/>
      <w:ind w:left="880"/>
    </w:pPr>
    <w:rPr>
      <w:rFonts w:eastAsiaTheme="minorEastAsia"/>
      <w:lang w:eastAsia="en-GB"/>
    </w:rPr>
  </w:style>
  <w:style w:type="paragraph" w:styleId="TOC6">
    <w:name w:val="toc 6"/>
    <w:basedOn w:val="Normal"/>
    <w:next w:val="Normal"/>
    <w:autoRedefine/>
    <w:uiPriority w:val="99"/>
    <w:unhideWhenUsed/>
    <w:rsid w:val="000A10BB"/>
    <w:pPr>
      <w:spacing w:after="100" w:line="276" w:lineRule="auto"/>
      <w:ind w:left="1100"/>
    </w:pPr>
    <w:rPr>
      <w:rFonts w:eastAsiaTheme="minorEastAsia"/>
      <w:lang w:eastAsia="en-GB"/>
    </w:rPr>
  </w:style>
  <w:style w:type="paragraph" w:styleId="TOC7">
    <w:name w:val="toc 7"/>
    <w:basedOn w:val="Normal"/>
    <w:next w:val="Normal"/>
    <w:autoRedefine/>
    <w:uiPriority w:val="99"/>
    <w:unhideWhenUsed/>
    <w:rsid w:val="000A10BB"/>
    <w:pPr>
      <w:spacing w:after="100" w:line="276" w:lineRule="auto"/>
      <w:ind w:left="1320"/>
    </w:pPr>
    <w:rPr>
      <w:rFonts w:eastAsiaTheme="minorEastAsia"/>
      <w:lang w:eastAsia="en-GB"/>
    </w:rPr>
  </w:style>
  <w:style w:type="paragraph" w:styleId="TOC8">
    <w:name w:val="toc 8"/>
    <w:basedOn w:val="Normal"/>
    <w:next w:val="Normal"/>
    <w:autoRedefine/>
    <w:uiPriority w:val="99"/>
    <w:unhideWhenUsed/>
    <w:rsid w:val="000A10BB"/>
    <w:pPr>
      <w:spacing w:after="100" w:line="276" w:lineRule="auto"/>
      <w:ind w:left="1540"/>
    </w:pPr>
    <w:rPr>
      <w:rFonts w:eastAsiaTheme="minorEastAsia"/>
      <w:lang w:eastAsia="en-GB"/>
    </w:rPr>
  </w:style>
  <w:style w:type="paragraph" w:styleId="TOC9">
    <w:name w:val="toc 9"/>
    <w:basedOn w:val="Normal"/>
    <w:next w:val="Normal"/>
    <w:autoRedefine/>
    <w:uiPriority w:val="99"/>
    <w:unhideWhenUsed/>
    <w:rsid w:val="000A10BB"/>
    <w:pPr>
      <w:spacing w:after="100" w:line="276" w:lineRule="auto"/>
      <w:ind w:left="1760"/>
    </w:pPr>
    <w:rPr>
      <w:rFonts w:eastAsiaTheme="minorEastAsia"/>
      <w:lang w:eastAsia="en-GB"/>
    </w:rPr>
  </w:style>
  <w:style w:type="character" w:styleId="Strong">
    <w:name w:val="Strong"/>
    <w:basedOn w:val="DefaultParagraphFont"/>
    <w:uiPriority w:val="22"/>
    <w:qFormat/>
    <w:rsid w:val="000A10BB"/>
    <w:rPr>
      <w:b/>
      <w:bCs/>
    </w:rPr>
  </w:style>
  <w:style w:type="paragraph" w:styleId="Quote">
    <w:name w:val="Quote"/>
    <w:basedOn w:val="Normal"/>
    <w:next w:val="Normal"/>
    <w:link w:val="QuoteChar"/>
    <w:uiPriority w:val="99"/>
    <w:qFormat/>
    <w:rsid w:val="000A10BB"/>
    <w:pPr>
      <w:spacing w:after="0" w:line="240" w:lineRule="auto"/>
    </w:pPr>
    <w:rPr>
      <w:rFonts w:ascii="Times New Roman" w:eastAsia="Times New Roman" w:hAnsi="Times New Roman"/>
      <w:i/>
      <w:iCs/>
      <w:sz w:val="24"/>
      <w:szCs w:val="24"/>
      <w:lang w:eastAsia="en-GB"/>
    </w:rPr>
  </w:style>
  <w:style w:type="character" w:customStyle="1" w:styleId="QuoteChar">
    <w:name w:val="Quote Char"/>
    <w:basedOn w:val="DefaultParagraphFont"/>
    <w:link w:val="Quote"/>
    <w:uiPriority w:val="99"/>
    <w:rsid w:val="000A10BB"/>
    <w:rPr>
      <w:rFonts w:ascii="Times New Roman" w:eastAsia="Times New Roman" w:hAnsi="Times New Roman" w:cs="Times New Roman"/>
      <w:i/>
      <w:iCs/>
      <w:color w:val="000000" w:themeColor="text1"/>
      <w:kern w:val="16"/>
      <w:sz w:val="24"/>
      <w:szCs w:val="24"/>
      <w:lang w:eastAsia="en-GB"/>
    </w:rPr>
  </w:style>
  <w:style w:type="paragraph" w:customStyle="1" w:styleId="xl24">
    <w:name w:val="xl24"/>
    <w:basedOn w:val="Normal"/>
    <w:uiPriority w:val="99"/>
    <w:rsid w:val="000A10BB"/>
    <w:pPr>
      <w:spacing w:before="100" w:beforeAutospacing="1" w:after="100" w:afterAutospacing="1" w:line="240" w:lineRule="auto"/>
      <w:jc w:val="center"/>
    </w:pPr>
    <w:rPr>
      <w:rFonts w:ascii="Arial" w:eastAsia="Arial Unicode MS" w:hAnsi="Arial" w:cs="Arial"/>
      <w:sz w:val="24"/>
      <w:szCs w:val="24"/>
    </w:rPr>
  </w:style>
  <w:style w:type="paragraph" w:styleId="List">
    <w:name w:val="List"/>
    <w:basedOn w:val="Normal"/>
    <w:uiPriority w:val="99"/>
    <w:rsid w:val="000A10BB"/>
    <w:pPr>
      <w:autoSpaceDE w:val="0"/>
      <w:autoSpaceDN w:val="0"/>
      <w:adjustRightInd w:val="0"/>
      <w:spacing w:after="240" w:line="240" w:lineRule="auto"/>
      <w:ind w:left="360" w:hanging="360"/>
      <w:jc w:val="both"/>
    </w:pPr>
    <w:rPr>
      <w:rFonts w:ascii="Times New Roman" w:eastAsia="Times New Roman" w:hAnsi="Times New Roman"/>
      <w:sz w:val="24"/>
      <w:lang w:bidi="ar-EG"/>
    </w:rPr>
  </w:style>
  <w:style w:type="paragraph" w:styleId="Caption">
    <w:name w:val="caption"/>
    <w:basedOn w:val="Normal"/>
    <w:next w:val="Normal"/>
    <w:uiPriority w:val="99"/>
    <w:unhideWhenUsed/>
    <w:qFormat/>
    <w:rsid w:val="000A10BB"/>
    <w:pPr>
      <w:spacing w:after="200" w:line="240" w:lineRule="auto"/>
    </w:pPr>
    <w:rPr>
      <w:rFonts w:eastAsia="Times New Roman"/>
      <w:bCs/>
      <w:sz w:val="24"/>
      <w:szCs w:val="18"/>
      <w:lang w:eastAsia="en-GB"/>
    </w:rPr>
  </w:style>
  <w:style w:type="paragraph" w:styleId="Subtitle">
    <w:name w:val="Subtitle"/>
    <w:basedOn w:val="Normal"/>
    <w:link w:val="SubtitleChar"/>
    <w:uiPriority w:val="99"/>
    <w:qFormat/>
    <w:rsid w:val="000A10BB"/>
    <w:pPr>
      <w:spacing w:after="0" w:line="360" w:lineRule="auto"/>
      <w:jc w:val="center"/>
    </w:pPr>
    <w:rPr>
      <w:rFonts w:ascii="Times New Roman" w:eastAsia="Times New Roman" w:hAnsi="Times New Roman"/>
      <w:b/>
      <w:bCs/>
      <w:sz w:val="28"/>
      <w:szCs w:val="28"/>
    </w:rPr>
  </w:style>
  <w:style w:type="character" w:customStyle="1" w:styleId="SubtitleChar">
    <w:name w:val="Subtitle Char"/>
    <w:basedOn w:val="DefaultParagraphFont"/>
    <w:link w:val="Subtitle"/>
    <w:uiPriority w:val="99"/>
    <w:rsid w:val="000A10BB"/>
    <w:rPr>
      <w:rFonts w:ascii="Times New Roman" w:eastAsia="Times New Roman" w:hAnsi="Times New Roman" w:cs="Times New Roman"/>
      <w:b/>
      <w:bCs/>
      <w:sz w:val="28"/>
      <w:szCs w:val="28"/>
    </w:rPr>
  </w:style>
  <w:style w:type="character" w:customStyle="1" w:styleId="ListChar">
    <w:name w:val="List Char"/>
    <w:basedOn w:val="DefaultParagraphFont"/>
    <w:uiPriority w:val="99"/>
    <w:rsid w:val="000A10BB"/>
    <w:rPr>
      <w:sz w:val="24"/>
      <w:szCs w:val="24"/>
      <w:lang w:val="en-GB" w:eastAsia="en-US" w:bidi="ar-SA"/>
    </w:rPr>
  </w:style>
  <w:style w:type="table" w:styleId="TableGrid">
    <w:name w:val="Table Grid"/>
    <w:basedOn w:val="TableNormal"/>
    <w:uiPriority w:val="99"/>
    <w:rsid w:val="000A10BB"/>
    <w:pPr>
      <w:spacing w:after="0" w:line="240" w:lineRule="auto"/>
    </w:pPr>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searchterm">
    <w:name w:val="highlightedsearchterm"/>
    <w:basedOn w:val="DefaultParagraphFont"/>
    <w:uiPriority w:val="99"/>
    <w:rsid w:val="000A10BB"/>
    <w:rPr>
      <w:rFonts w:cs="Times New Roman"/>
    </w:rPr>
  </w:style>
  <w:style w:type="character" w:customStyle="1" w:styleId="st">
    <w:name w:val="st"/>
    <w:basedOn w:val="DefaultParagraphFont"/>
    <w:rsid w:val="000A10BB"/>
    <w:rPr>
      <w:rFonts w:cs="Times New Roman"/>
    </w:rPr>
  </w:style>
  <w:style w:type="paragraph" w:styleId="Revision">
    <w:name w:val="Revision"/>
    <w:hidden/>
    <w:uiPriority w:val="99"/>
    <w:semiHidden/>
    <w:rsid w:val="009817D1"/>
    <w:pPr>
      <w:spacing w:after="0" w:line="240" w:lineRule="auto"/>
    </w:pPr>
    <w:rPr>
      <w:lang w:val="en-US"/>
    </w:rPr>
  </w:style>
  <w:style w:type="character" w:customStyle="1" w:styleId="apple-converted-space">
    <w:name w:val="apple-converted-space"/>
    <w:basedOn w:val="DefaultParagraphFont"/>
    <w:rsid w:val="00BD3672"/>
  </w:style>
  <w:style w:type="character" w:styleId="SubtleReference">
    <w:name w:val="Subtle Reference"/>
    <w:basedOn w:val="DefaultParagraphFont"/>
    <w:uiPriority w:val="31"/>
    <w:qFormat/>
    <w:rsid w:val="00A93870"/>
    <w:rPr>
      <w:smallCaps/>
      <w:color w:val="5A5A5A" w:themeColor="text1" w:themeTint="A5"/>
    </w:rPr>
  </w:style>
  <w:style w:type="numbering" w:customStyle="1" w:styleId="NoList2">
    <w:name w:val="No List2"/>
    <w:next w:val="NoList"/>
    <w:uiPriority w:val="99"/>
    <w:semiHidden/>
    <w:unhideWhenUsed/>
    <w:rsid w:val="009C1487"/>
  </w:style>
  <w:style w:type="numbering" w:customStyle="1" w:styleId="NoList11">
    <w:name w:val="No List11"/>
    <w:next w:val="NoList"/>
    <w:uiPriority w:val="99"/>
    <w:semiHidden/>
    <w:unhideWhenUsed/>
    <w:rsid w:val="009C1487"/>
  </w:style>
  <w:style w:type="table" w:customStyle="1" w:styleId="TableGrid1">
    <w:name w:val="Table Grid1"/>
    <w:basedOn w:val="TableNormal"/>
    <w:next w:val="TableGrid"/>
    <w:uiPriority w:val="99"/>
    <w:rsid w:val="009C1487"/>
    <w:pPr>
      <w:spacing w:after="0" w:line="240" w:lineRule="auto"/>
    </w:pPr>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10897"/>
  </w:style>
  <w:style w:type="table" w:customStyle="1" w:styleId="TableGrid2">
    <w:name w:val="Table Grid2"/>
    <w:basedOn w:val="TableNormal"/>
    <w:next w:val="TableGrid"/>
    <w:uiPriority w:val="39"/>
    <w:rsid w:val="00610897"/>
    <w:pPr>
      <w:spacing w:after="0" w:line="240" w:lineRule="auto"/>
    </w:pPr>
    <w:rPr>
      <w:rFonts w:ascii="Calibri" w:hAnsi="Calibri" w:cs="Arial"/>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10897"/>
    <w:pPr>
      <w:spacing w:after="0" w:line="240" w:lineRule="auto"/>
    </w:pPr>
    <w:rPr>
      <w:rFonts w:ascii="Calibri" w:hAnsi="Calibri" w:cs="Arial"/>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imes New Roman"/>
        <w:color w:val="000000" w:themeColor="text1"/>
        <w:kern w:val="16"/>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qFormat="1"/>
    <w:lsdException w:name="toc 2" w:qFormat="1"/>
    <w:lsdException w:name="toc 3" w:qFormat="1"/>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uiPriority w:val="99"/>
    <w:qFormat/>
    <w:rsid w:val="000A10BB"/>
    <w:pPr>
      <w:keepNext/>
      <w:spacing w:before="240" w:after="60" w:line="276" w:lineRule="auto"/>
      <w:outlineLvl w:val="0"/>
    </w:pPr>
    <w:rPr>
      <w:rFonts w:eastAsia="Calibri" w:cs="Arial"/>
      <w:b/>
      <w:bCs/>
      <w:kern w:val="32"/>
      <w:sz w:val="24"/>
      <w:szCs w:val="24"/>
    </w:rPr>
  </w:style>
  <w:style w:type="paragraph" w:styleId="Heading2">
    <w:name w:val="heading 2"/>
    <w:basedOn w:val="Normal"/>
    <w:next w:val="Normal"/>
    <w:link w:val="Heading2Char"/>
    <w:uiPriority w:val="9"/>
    <w:unhideWhenUsed/>
    <w:qFormat/>
    <w:rsid w:val="000A10BB"/>
    <w:pPr>
      <w:keepNext/>
      <w:keepLines/>
      <w:numPr>
        <w:ilvl w:val="1"/>
        <w:numId w:val="1"/>
      </w:numPr>
      <w:spacing w:before="200" w:after="0" w:line="240" w:lineRule="auto"/>
      <w:outlineLvl w:val="1"/>
    </w:pPr>
    <w:rPr>
      <w:rFonts w:eastAsiaTheme="majorEastAsia" w:cstheme="majorBidi"/>
      <w:b/>
      <w:bCs/>
      <w:sz w:val="24"/>
      <w:szCs w:val="24"/>
      <w:lang w:eastAsia="en-GB"/>
    </w:rPr>
  </w:style>
  <w:style w:type="paragraph" w:styleId="Heading3">
    <w:name w:val="heading 3"/>
    <w:basedOn w:val="Normal"/>
    <w:link w:val="Heading3Char"/>
    <w:uiPriority w:val="99"/>
    <w:qFormat/>
    <w:rsid w:val="000A10BB"/>
    <w:pPr>
      <w:spacing w:before="100" w:beforeAutospacing="1" w:after="100" w:afterAutospacing="1" w:line="240" w:lineRule="auto"/>
      <w:outlineLvl w:val="2"/>
    </w:pPr>
    <w:rPr>
      <w:rFonts w:eastAsia="Times New Roman"/>
      <w:b/>
      <w:bCs/>
      <w:sz w:val="24"/>
      <w:szCs w:val="24"/>
      <w:lang w:eastAsia="en-GB"/>
    </w:rPr>
  </w:style>
  <w:style w:type="paragraph" w:styleId="Heading4">
    <w:name w:val="heading 4"/>
    <w:basedOn w:val="Normal"/>
    <w:next w:val="Normal"/>
    <w:link w:val="Heading4Char"/>
    <w:uiPriority w:val="99"/>
    <w:unhideWhenUsed/>
    <w:qFormat/>
    <w:rsid w:val="000A10BB"/>
    <w:pPr>
      <w:keepNext/>
      <w:keepLines/>
      <w:spacing w:before="200" w:after="0" w:line="240" w:lineRule="auto"/>
      <w:outlineLvl w:val="3"/>
    </w:pPr>
    <w:rPr>
      <w:rFonts w:eastAsiaTheme="majorEastAsia" w:cstheme="majorBidi"/>
      <w:b/>
      <w:bCs/>
      <w:i/>
      <w:iCs/>
      <w:sz w:val="24"/>
      <w:szCs w:val="24"/>
      <w:lang w:eastAsia="en-GB"/>
    </w:rPr>
  </w:style>
  <w:style w:type="paragraph" w:styleId="Heading5">
    <w:name w:val="heading 5"/>
    <w:basedOn w:val="Normal"/>
    <w:next w:val="Normal"/>
    <w:link w:val="Heading5Char"/>
    <w:uiPriority w:val="99"/>
    <w:unhideWhenUsed/>
    <w:qFormat/>
    <w:rsid w:val="000A10BB"/>
    <w:pPr>
      <w:keepNext/>
      <w:keepLines/>
      <w:spacing w:before="200" w:after="0" w:line="240" w:lineRule="auto"/>
      <w:outlineLvl w:val="4"/>
    </w:pPr>
    <w:rPr>
      <w:rFonts w:eastAsiaTheme="majorEastAsia" w:cstheme="majorBidi"/>
      <w:i/>
      <w:iCs/>
      <w:sz w:val="24"/>
      <w:szCs w:val="24"/>
      <w:lang w:eastAsia="en-GB"/>
    </w:rPr>
  </w:style>
  <w:style w:type="paragraph" w:styleId="Heading9">
    <w:name w:val="heading 9"/>
    <w:basedOn w:val="Normal"/>
    <w:next w:val="Normal"/>
    <w:link w:val="Heading9Char"/>
    <w:uiPriority w:val="99"/>
    <w:unhideWhenUsed/>
    <w:qFormat/>
    <w:rsid w:val="000A10BB"/>
    <w:pPr>
      <w:keepNext/>
      <w:keepLines/>
      <w:spacing w:before="200" w:after="0" w:line="240" w:lineRule="auto"/>
      <w:outlineLvl w:val="8"/>
    </w:pPr>
    <w:rPr>
      <w:rFonts w:asciiTheme="majorHAnsi" w:eastAsiaTheme="majorEastAsia" w:hAnsiTheme="majorHAnsi" w:cstheme="majorBidi"/>
      <w:i/>
      <w:iCs/>
      <w:color w:val="404040" w:themeColor="text1" w:themeTint="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10BB"/>
    <w:rPr>
      <w:rFonts w:ascii="Garamond" w:eastAsia="Calibri" w:hAnsi="Garamond" w:cs="Arial"/>
      <w:b/>
      <w:bCs/>
      <w:kern w:val="32"/>
      <w:sz w:val="24"/>
      <w:szCs w:val="24"/>
      <w:lang w:val="en-US"/>
    </w:rPr>
  </w:style>
  <w:style w:type="character" w:customStyle="1" w:styleId="Heading2Char">
    <w:name w:val="Heading 2 Char"/>
    <w:basedOn w:val="DefaultParagraphFont"/>
    <w:link w:val="Heading2"/>
    <w:uiPriority w:val="9"/>
    <w:rsid w:val="000A10BB"/>
    <w:rPr>
      <w:rFonts w:ascii="Garamond" w:eastAsiaTheme="majorEastAsia" w:hAnsi="Garamond" w:cstheme="majorBidi"/>
      <w:b/>
      <w:bCs/>
      <w:kern w:val="16"/>
      <w:sz w:val="24"/>
      <w:szCs w:val="24"/>
      <w:lang w:eastAsia="en-GB"/>
    </w:rPr>
  </w:style>
  <w:style w:type="character" w:customStyle="1" w:styleId="Heading3Char">
    <w:name w:val="Heading 3 Char"/>
    <w:basedOn w:val="DefaultParagraphFont"/>
    <w:link w:val="Heading3"/>
    <w:uiPriority w:val="99"/>
    <w:rsid w:val="000A10BB"/>
    <w:rPr>
      <w:rFonts w:ascii="Garamond" w:eastAsia="Times New Roman" w:hAnsi="Garamond" w:cs="Times New Roman"/>
      <w:b/>
      <w:bCs/>
      <w:sz w:val="24"/>
      <w:szCs w:val="24"/>
      <w:lang w:eastAsia="en-GB"/>
    </w:rPr>
  </w:style>
  <w:style w:type="character" w:customStyle="1" w:styleId="Heading4Char">
    <w:name w:val="Heading 4 Char"/>
    <w:basedOn w:val="DefaultParagraphFont"/>
    <w:link w:val="Heading4"/>
    <w:uiPriority w:val="99"/>
    <w:rsid w:val="000A10BB"/>
    <w:rPr>
      <w:rFonts w:ascii="Garamond" w:eastAsiaTheme="majorEastAsia" w:hAnsi="Garamond" w:cstheme="majorBidi"/>
      <w:b/>
      <w:bCs/>
      <w:i/>
      <w:iCs/>
      <w:kern w:val="16"/>
      <w:sz w:val="24"/>
      <w:szCs w:val="24"/>
      <w:lang w:eastAsia="en-GB"/>
    </w:rPr>
  </w:style>
  <w:style w:type="character" w:customStyle="1" w:styleId="Heading5Char">
    <w:name w:val="Heading 5 Char"/>
    <w:basedOn w:val="DefaultParagraphFont"/>
    <w:link w:val="Heading5"/>
    <w:uiPriority w:val="99"/>
    <w:rsid w:val="000A10BB"/>
    <w:rPr>
      <w:rFonts w:ascii="Garamond" w:eastAsiaTheme="majorEastAsia" w:hAnsi="Garamond" w:cstheme="majorBidi"/>
      <w:i/>
      <w:iCs/>
      <w:kern w:val="16"/>
      <w:sz w:val="24"/>
      <w:szCs w:val="24"/>
      <w:lang w:eastAsia="en-GB"/>
    </w:rPr>
  </w:style>
  <w:style w:type="character" w:customStyle="1" w:styleId="Heading9Char">
    <w:name w:val="Heading 9 Char"/>
    <w:basedOn w:val="DefaultParagraphFont"/>
    <w:link w:val="Heading9"/>
    <w:uiPriority w:val="99"/>
    <w:rsid w:val="000A10BB"/>
    <w:rPr>
      <w:rFonts w:asciiTheme="majorHAnsi" w:eastAsiaTheme="majorEastAsia" w:hAnsiTheme="majorHAnsi" w:cstheme="majorBidi"/>
      <w:i/>
      <w:iCs/>
      <w:color w:val="404040" w:themeColor="text1" w:themeTint="BF"/>
      <w:kern w:val="16"/>
      <w:sz w:val="20"/>
      <w:szCs w:val="20"/>
      <w:lang w:eastAsia="en-GB"/>
    </w:rPr>
  </w:style>
  <w:style w:type="numbering" w:customStyle="1" w:styleId="NoList1">
    <w:name w:val="No List1"/>
    <w:next w:val="NoList"/>
    <w:uiPriority w:val="99"/>
    <w:semiHidden/>
    <w:unhideWhenUsed/>
    <w:rsid w:val="000A10BB"/>
  </w:style>
  <w:style w:type="paragraph" w:styleId="FootnoteText">
    <w:name w:val="footnote text"/>
    <w:basedOn w:val="Normal"/>
    <w:link w:val="FootnoteTextChar"/>
    <w:uiPriority w:val="99"/>
    <w:rsid w:val="000A10BB"/>
    <w:pPr>
      <w:spacing w:after="0" w:line="240" w:lineRule="auto"/>
    </w:pPr>
    <w:rPr>
      <w:rFonts w:ascii="Times New Roman" w:eastAsia="Times New Roman" w:hAnsi="Times New Roman"/>
      <w:lang w:eastAsia="en-GB"/>
    </w:rPr>
  </w:style>
  <w:style w:type="character" w:customStyle="1" w:styleId="FootnoteTextChar">
    <w:name w:val="Footnote Text Char"/>
    <w:basedOn w:val="DefaultParagraphFont"/>
    <w:link w:val="FootnoteText"/>
    <w:uiPriority w:val="99"/>
    <w:rsid w:val="000A10BB"/>
    <w:rPr>
      <w:rFonts w:ascii="Times New Roman" w:eastAsia="Times New Roman" w:hAnsi="Times New Roman" w:cs="Times New Roman"/>
      <w:kern w:val="16"/>
      <w:sz w:val="20"/>
      <w:szCs w:val="20"/>
      <w:lang w:eastAsia="en-GB"/>
    </w:rPr>
  </w:style>
  <w:style w:type="character" w:styleId="FootnoteReference">
    <w:name w:val="footnote reference"/>
    <w:basedOn w:val="DefaultParagraphFont"/>
    <w:uiPriority w:val="99"/>
    <w:semiHidden/>
    <w:rsid w:val="000A10BB"/>
    <w:rPr>
      <w:rFonts w:cs="Times New Roman"/>
      <w:vertAlign w:val="superscript"/>
    </w:rPr>
  </w:style>
  <w:style w:type="character" w:styleId="Hyperlink">
    <w:name w:val="Hyperlink"/>
    <w:basedOn w:val="DefaultParagraphFont"/>
    <w:uiPriority w:val="99"/>
    <w:rsid w:val="000A10BB"/>
    <w:rPr>
      <w:rFonts w:cs="Times New Roman"/>
      <w:color w:val="0000FF"/>
      <w:u w:val="single"/>
    </w:rPr>
  </w:style>
  <w:style w:type="paragraph" w:styleId="NormalWeb">
    <w:name w:val="Normal (Web)"/>
    <w:basedOn w:val="Normal"/>
    <w:uiPriority w:val="99"/>
    <w:rsid w:val="000A10BB"/>
    <w:pPr>
      <w:spacing w:before="100" w:beforeAutospacing="1" w:after="100" w:afterAutospacing="1" w:line="240" w:lineRule="auto"/>
    </w:pPr>
    <w:rPr>
      <w:rFonts w:ascii="Times New Roman" w:eastAsia="Times New Roman" w:hAnsi="Times New Roman"/>
      <w:b/>
      <w:bCs/>
      <w:sz w:val="24"/>
      <w:szCs w:val="24"/>
      <w:lang w:eastAsia="en-GB"/>
    </w:rPr>
  </w:style>
  <w:style w:type="character" w:styleId="FollowedHyperlink">
    <w:name w:val="FollowedHyperlink"/>
    <w:basedOn w:val="DefaultParagraphFont"/>
    <w:uiPriority w:val="99"/>
    <w:rsid w:val="000A10BB"/>
    <w:rPr>
      <w:rFonts w:cs="Times New Roman"/>
      <w:color w:val="606420"/>
      <w:u w:val="single"/>
    </w:rPr>
  </w:style>
  <w:style w:type="character" w:styleId="CommentReference">
    <w:name w:val="annotation reference"/>
    <w:basedOn w:val="DefaultParagraphFont"/>
    <w:uiPriority w:val="99"/>
    <w:semiHidden/>
    <w:rsid w:val="000A10BB"/>
    <w:rPr>
      <w:rFonts w:cs="Times New Roman"/>
      <w:sz w:val="16"/>
      <w:szCs w:val="16"/>
    </w:rPr>
  </w:style>
  <w:style w:type="paragraph" w:styleId="CommentText">
    <w:name w:val="annotation text"/>
    <w:basedOn w:val="Normal"/>
    <w:link w:val="CommentTextChar"/>
    <w:uiPriority w:val="99"/>
    <w:semiHidden/>
    <w:rsid w:val="000A10BB"/>
    <w:pPr>
      <w:spacing w:after="0" w:line="240" w:lineRule="auto"/>
    </w:pPr>
    <w:rPr>
      <w:rFonts w:ascii="Times New Roman" w:eastAsia="Times New Roman" w:hAnsi="Times New Roman"/>
      <w:lang w:eastAsia="en-GB"/>
    </w:rPr>
  </w:style>
  <w:style w:type="character" w:customStyle="1" w:styleId="CommentTextChar">
    <w:name w:val="Comment Text Char"/>
    <w:basedOn w:val="DefaultParagraphFont"/>
    <w:link w:val="CommentText"/>
    <w:uiPriority w:val="99"/>
    <w:semiHidden/>
    <w:rsid w:val="000A10BB"/>
    <w:rPr>
      <w:rFonts w:ascii="Times New Roman" w:eastAsia="Times New Roman" w:hAnsi="Times New Roman" w:cs="Times New Roman"/>
      <w:kern w:val="16"/>
      <w:sz w:val="20"/>
      <w:szCs w:val="20"/>
      <w:lang w:eastAsia="en-GB"/>
    </w:rPr>
  </w:style>
  <w:style w:type="character" w:customStyle="1" w:styleId="BalloonTextChar">
    <w:name w:val="Balloon Text Char"/>
    <w:basedOn w:val="DefaultParagraphFont"/>
    <w:link w:val="BalloonText"/>
    <w:uiPriority w:val="99"/>
    <w:semiHidden/>
    <w:rsid w:val="000A10BB"/>
    <w:rPr>
      <w:rFonts w:ascii="Tahoma" w:eastAsia="Times New Roman" w:hAnsi="Tahoma" w:cs="Tahoma"/>
      <w:kern w:val="16"/>
      <w:sz w:val="16"/>
      <w:szCs w:val="16"/>
      <w:lang w:eastAsia="en-GB"/>
    </w:rPr>
  </w:style>
  <w:style w:type="paragraph" w:styleId="BalloonText">
    <w:name w:val="Balloon Text"/>
    <w:basedOn w:val="Normal"/>
    <w:link w:val="BalloonTextChar"/>
    <w:uiPriority w:val="99"/>
    <w:semiHidden/>
    <w:rsid w:val="000A10BB"/>
    <w:pPr>
      <w:spacing w:after="0" w:line="240" w:lineRule="auto"/>
    </w:pPr>
    <w:rPr>
      <w:rFonts w:ascii="Tahoma" w:eastAsia="Times New Roman" w:hAnsi="Tahoma" w:cs="Tahoma"/>
      <w:sz w:val="16"/>
      <w:szCs w:val="16"/>
      <w:lang w:eastAsia="en-GB"/>
    </w:rPr>
  </w:style>
  <w:style w:type="character" w:customStyle="1" w:styleId="BalloonTextChar1">
    <w:name w:val="Balloon Text Char1"/>
    <w:basedOn w:val="DefaultParagraphFont"/>
    <w:uiPriority w:val="99"/>
    <w:semiHidden/>
    <w:rsid w:val="000A10BB"/>
    <w:rPr>
      <w:rFonts w:ascii="Segoe UI" w:hAnsi="Segoe UI" w:cs="Segoe UI"/>
      <w:sz w:val="18"/>
      <w:szCs w:val="18"/>
    </w:rPr>
  </w:style>
  <w:style w:type="character" w:customStyle="1" w:styleId="mw-headline">
    <w:name w:val="mw-headline"/>
    <w:basedOn w:val="DefaultParagraphFont"/>
    <w:uiPriority w:val="99"/>
    <w:rsid w:val="000A10BB"/>
    <w:rPr>
      <w:rFonts w:cs="Times New Roman"/>
    </w:rPr>
  </w:style>
  <w:style w:type="character" w:customStyle="1" w:styleId="normalbold1">
    <w:name w:val="normalbold1"/>
    <w:basedOn w:val="DefaultParagraphFont"/>
    <w:uiPriority w:val="99"/>
    <w:rsid w:val="000A10BB"/>
    <w:rPr>
      <w:rFonts w:ascii="Verdana" w:hAnsi="Verdana" w:cs="Times New Roman"/>
      <w:b/>
      <w:bCs/>
      <w:color w:val="000000"/>
      <w:sz w:val="20"/>
      <w:szCs w:val="20"/>
    </w:rPr>
  </w:style>
  <w:style w:type="paragraph" w:styleId="Footer">
    <w:name w:val="footer"/>
    <w:aliases w:val="Char, Char"/>
    <w:basedOn w:val="Normal"/>
    <w:link w:val="FooterChar"/>
    <w:uiPriority w:val="99"/>
    <w:rsid w:val="000A10BB"/>
    <w:pPr>
      <w:tabs>
        <w:tab w:val="center" w:pos="4153"/>
        <w:tab w:val="right" w:pos="8306"/>
      </w:tabs>
      <w:spacing w:after="0" w:line="240" w:lineRule="auto"/>
    </w:pPr>
    <w:rPr>
      <w:rFonts w:ascii="Times New Roman" w:eastAsia="Times New Roman" w:hAnsi="Times New Roman"/>
      <w:sz w:val="24"/>
      <w:szCs w:val="24"/>
      <w:lang w:eastAsia="en-GB"/>
    </w:rPr>
  </w:style>
  <w:style w:type="character" w:customStyle="1" w:styleId="FooterChar">
    <w:name w:val="Footer Char"/>
    <w:aliases w:val="Char Char, Char Char"/>
    <w:basedOn w:val="DefaultParagraphFont"/>
    <w:link w:val="Footer"/>
    <w:uiPriority w:val="99"/>
    <w:rsid w:val="000A10BB"/>
    <w:rPr>
      <w:rFonts w:ascii="Times New Roman" w:eastAsia="Times New Roman" w:hAnsi="Times New Roman" w:cs="Times New Roman"/>
      <w:kern w:val="16"/>
      <w:sz w:val="24"/>
      <w:szCs w:val="24"/>
      <w:lang w:eastAsia="en-GB"/>
    </w:rPr>
  </w:style>
  <w:style w:type="character" w:styleId="PageNumber">
    <w:name w:val="page number"/>
    <w:basedOn w:val="DefaultParagraphFont"/>
    <w:uiPriority w:val="99"/>
    <w:rsid w:val="000A10BB"/>
    <w:rPr>
      <w:rFonts w:cs="Times New Roman"/>
    </w:rPr>
  </w:style>
  <w:style w:type="paragraph" w:customStyle="1" w:styleId="modelpcmodelcontainerboxmargins">
    <w:name w:val="model_pc model_container_box_margins"/>
    <w:basedOn w:val="Normal"/>
    <w:uiPriority w:val="99"/>
    <w:rsid w:val="000A10BB"/>
    <w:pPr>
      <w:spacing w:after="0" w:line="240" w:lineRule="auto"/>
    </w:pPr>
    <w:rPr>
      <w:rFonts w:ascii="Verdana" w:eastAsia="Times New Roman" w:hAnsi="Verdana"/>
      <w:color w:val="666666"/>
      <w:sz w:val="15"/>
      <w:szCs w:val="15"/>
      <w:lang w:eastAsia="en-GB"/>
    </w:rPr>
  </w:style>
  <w:style w:type="character" w:customStyle="1" w:styleId="DocumentMapChar">
    <w:name w:val="Document Map Char"/>
    <w:basedOn w:val="DefaultParagraphFont"/>
    <w:link w:val="DocumentMap"/>
    <w:uiPriority w:val="99"/>
    <w:semiHidden/>
    <w:rsid w:val="000A10BB"/>
    <w:rPr>
      <w:rFonts w:ascii="Tahoma" w:eastAsia="Times New Roman" w:hAnsi="Tahoma" w:cs="Tahoma"/>
      <w:kern w:val="16"/>
      <w:sz w:val="20"/>
      <w:szCs w:val="20"/>
      <w:shd w:val="clear" w:color="auto" w:fill="000080"/>
      <w:lang w:eastAsia="en-GB"/>
    </w:rPr>
  </w:style>
  <w:style w:type="paragraph" w:styleId="DocumentMap">
    <w:name w:val="Document Map"/>
    <w:basedOn w:val="Normal"/>
    <w:link w:val="DocumentMapChar"/>
    <w:uiPriority w:val="99"/>
    <w:semiHidden/>
    <w:rsid w:val="000A10BB"/>
    <w:pPr>
      <w:shd w:val="clear" w:color="auto" w:fill="000080"/>
      <w:spacing w:after="0" w:line="240" w:lineRule="auto"/>
    </w:pPr>
    <w:rPr>
      <w:rFonts w:ascii="Tahoma" w:eastAsia="Times New Roman" w:hAnsi="Tahoma" w:cs="Tahoma"/>
      <w:lang w:eastAsia="en-GB"/>
    </w:rPr>
  </w:style>
  <w:style w:type="character" w:customStyle="1" w:styleId="DocumentMapChar1">
    <w:name w:val="Document Map Char1"/>
    <w:basedOn w:val="DefaultParagraphFont"/>
    <w:uiPriority w:val="99"/>
    <w:semiHidden/>
    <w:rsid w:val="000A10BB"/>
    <w:rPr>
      <w:rFonts w:ascii="Segoe UI" w:hAnsi="Segoe UI" w:cs="Segoe UI"/>
      <w:sz w:val="16"/>
      <w:szCs w:val="16"/>
    </w:rPr>
  </w:style>
  <w:style w:type="paragraph" w:styleId="BodyText2">
    <w:name w:val="Body Text 2"/>
    <w:basedOn w:val="Normal"/>
    <w:link w:val="BodyText2Char"/>
    <w:uiPriority w:val="99"/>
    <w:rsid w:val="000A10BB"/>
    <w:pPr>
      <w:spacing w:after="0" w:line="360" w:lineRule="auto"/>
      <w:jc w:val="both"/>
    </w:pPr>
    <w:rPr>
      <w:rFonts w:ascii="Times" w:eastAsia="Times New Roman" w:hAnsi="Times"/>
      <w:color w:val="000000"/>
      <w:sz w:val="24"/>
      <w:szCs w:val="24"/>
    </w:rPr>
  </w:style>
  <w:style w:type="character" w:customStyle="1" w:styleId="BodyText2Char">
    <w:name w:val="Body Text 2 Char"/>
    <w:basedOn w:val="DefaultParagraphFont"/>
    <w:link w:val="BodyText2"/>
    <w:uiPriority w:val="99"/>
    <w:rsid w:val="000A10BB"/>
    <w:rPr>
      <w:rFonts w:ascii="Times" w:eastAsia="Times New Roman" w:hAnsi="Times" w:cs="Times New Roman"/>
      <w:color w:val="000000"/>
      <w:sz w:val="24"/>
      <w:szCs w:val="24"/>
    </w:rPr>
  </w:style>
  <w:style w:type="character" w:customStyle="1" w:styleId="CommentSubjectChar">
    <w:name w:val="Comment Subject Char"/>
    <w:basedOn w:val="CommentTextChar"/>
    <w:link w:val="CommentSubject"/>
    <w:uiPriority w:val="99"/>
    <w:semiHidden/>
    <w:rsid w:val="000A10BB"/>
    <w:rPr>
      <w:rFonts w:ascii="Times New Roman" w:eastAsia="Times New Roman" w:hAnsi="Times New Roman" w:cs="Times New Roman"/>
      <w:b/>
      <w:bCs/>
      <w:kern w:val="16"/>
      <w:sz w:val="20"/>
      <w:szCs w:val="20"/>
      <w:lang w:eastAsia="en-GB"/>
    </w:rPr>
  </w:style>
  <w:style w:type="paragraph" w:styleId="CommentSubject">
    <w:name w:val="annotation subject"/>
    <w:basedOn w:val="CommentText"/>
    <w:next w:val="CommentText"/>
    <w:link w:val="CommentSubjectChar"/>
    <w:uiPriority w:val="99"/>
    <w:semiHidden/>
    <w:rsid w:val="000A10BB"/>
    <w:rPr>
      <w:b/>
      <w:bCs/>
    </w:rPr>
  </w:style>
  <w:style w:type="character" w:customStyle="1" w:styleId="CommentSubjectChar1">
    <w:name w:val="Comment Subject Char1"/>
    <w:basedOn w:val="CommentTextChar"/>
    <w:uiPriority w:val="99"/>
    <w:semiHidden/>
    <w:rsid w:val="000A10BB"/>
    <w:rPr>
      <w:rFonts w:ascii="Times New Roman" w:eastAsia="Times New Roman" w:hAnsi="Times New Roman" w:cs="Times New Roman"/>
      <w:b/>
      <w:bCs/>
      <w:kern w:val="16"/>
      <w:sz w:val="20"/>
      <w:szCs w:val="20"/>
      <w:lang w:eastAsia="en-GB"/>
    </w:rPr>
  </w:style>
  <w:style w:type="paragraph" w:styleId="TableofFigures">
    <w:name w:val="table of figures"/>
    <w:aliases w:val="List of Tables"/>
    <w:basedOn w:val="Normal"/>
    <w:next w:val="Normal"/>
    <w:uiPriority w:val="99"/>
    <w:rsid w:val="000A10BB"/>
    <w:pPr>
      <w:spacing w:after="0" w:line="240" w:lineRule="auto"/>
      <w:ind w:left="480" w:hanging="480"/>
    </w:pPr>
    <w:rPr>
      <w:rFonts w:eastAsia="Times New Roman"/>
      <w:smallCaps/>
      <w:noProof/>
      <w:sz w:val="24"/>
      <w:szCs w:val="24"/>
      <w:lang w:eastAsia="zh-CN"/>
    </w:rPr>
  </w:style>
  <w:style w:type="paragraph" w:styleId="Header">
    <w:name w:val="header"/>
    <w:basedOn w:val="Normal"/>
    <w:link w:val="HeaderChar"/>
    <w:uiPriority w:val="99"/>
    <w:rsid w:val="000A10BB"/>
    <w:pPr>
      <w:tabs>
        <w:tab w:val="center" w:pos="4153"/>
        <w:tab w:val="right" w:pos="830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rsid w:val="000A10BB"/>
    <w:rPr>
      <w:rFonts w:ascii="Times New Roman" w:eastAsia="Times New Roman" w:hAnsi="Times New Roman" w:cs="Times New Roman"/>
      <w:kern w:val="16"/>
      <w:sz w:val="24"/>
      <w:szCs w:val="24"/>
      <w:lang w:eastAsia="en-GB"/>
    </w:rPr>
  </w:style>
  <w:style w:type="paragraph" w:styleId="ListParagraph">
    <w:name w:val="List Paragraph"/>
    <w:basedOn w:val="Normal"/>
    <w:uiPriority w:val="34"/>
    <w:qFormat/>
    <w:rsid w:val="000A10BB"/>
    <w:pPr>
      <w:spacing w:after="0" w:line="240" w:lineRule="auto"/>
      <w:ind w:left="720"/>
    </w:pPr>
    <w:rPr>
      <w:rFonts w:ascii="Times New Roman" w:eastAsia="Times New Roman" w:hAnsi="Times New Roman"/>
      <w:sz w:val="24"/>
      <w:szCs w:val="24"/>
      <w:lang w:eastAsia="en-GB"/>
    </w:rPr>
  </w:style>
  <w:style w:type="character" w:customStyle="1" w:styleId="stir-smallerfont1">
    <w:name w:val="stir-smallerfont1"/>
    <w:basedOn w:val="DefaultParagraphFont"/>
    <w:uiPriority w:val="99"/>
    <w:rsid w:val="000A10BB"/>
    <w:rPr>
      <w:rFonts w:cs="Times New Roman"/>
      <w:color w:val="333333"/>
      <w:sz w:val="23"/>
      <w:szCs w:val="23"/>
      <w:shd w:val="clear" w:color="auto" w:fill="F7F7F7"/>
    </w:rPr>
  </w:style>
  <w:style w:type="character" w:styleId="Emphasis">
    <w:name w:val="Emphasis"/>
    <w:basedOn w:val="DefaultParagraphFont"/>
    <w:uiPriority w:val="99"/>
    <w:qFormat/>
    <w:rsid w:val="000A10BB"/>
    <w:rPr>
      <w:rFonts w:cs="Times New Roman"/>
      <w:i/>
      <w:iCs/>
    </w:rPr>
  </w:style>
  <w:style w:type="character" w:customStyle="1" w:styleId="name1">
    <w:name w:val="name1"/>
    <w:basedOn w:val="DefaultParagraphFont"/>
    <w:uiPriority w:val="99"/>
    <w:rsid w:val="000A10BB"/>
    <w:rPr>
      <w:rFonts w:ascii="Arial" w:hAnsi="Arial" w:cs="Arial"/>
      <w:color w:val="333333"/>
      <w:sz w:val="18"/>
      <w:szCs w:val="18"/>
    </w:rPr>
  </w:style>
  <w:style w:type="character" w:customStyle="1" w:styleId="searchword">
    <w:name w:val="searchword"/>
    <w:basedOn w:val="DefaultParagraphFont"/>
    <w:uiPriority w:val="99"/>
    <w:rsid w:val="000A10BB"/>
    <w:rPr>
      <w:rFonts w:cs="Times New Roman"/>
      <w:shd w:val="clear" w:color="auto" w:fill="FFFF00"/>
    </w:rPr>
  </w:style>
  <w:style w:type="paragraph" w:customStyle="1" w:styleId="MTDisplayEquation">
    <w:name w:val="MTDisplayEquation"/>
    <w:basedOn w:val="Normal"/>
    <w:next w:val="Normal"/>
    <w:link w:val="MTDisplayEquationChar"/>
    <w:uiPriority w:val="99"/>
    <w:rsid w:val="000A10BB"/>
    <w:pPr>
      <w:tabs>
        <w:tab w:val="center" w:pos="4160"/>
        <w:tab w:val="right" w:pos="8300"/>
      </w:tabs>
      <w:spacing w:after="200" w:line="240" w:lineRule="auto"/>
      <w:jc w:val="both"/>
    </w:pPr>
    <w:rPr>
      <w:rFonts w:ascii="Calibri" w:eastAsia="Calibri" w:hAnsi="Calibri"/>
    </w:rPr>
  </w:style>
  <w:style w:type="character" w:customStyle="1" w:styleId="MTDisplayEquationChar">
    <w:name w:val="MTDisplayEquation Char"/>
    <w:basedOn w:val="DefaultParagraphFont"/>
    <w:link w:val="MTDisplayEquation"/>
    <w:uiPriority w:val="99"/>
    <w:locked/>
    <w:rsid w:val="000A10BB"/>
    <w:rPr>
      <w:rFonts w:ascii="Calibri" w:eastAsia="Calibri" w:hAnsi="Calibri" w:cs="Times New Roman"/>
      <w:lang w:val="en-US"/>
    </w:rPr>
  </w:style>
  <w:style w:type="paragraph" w:styleId="NoSpacing">
    <w:name w:val="No Spacing"/>
    <w:link w:val="NoSpacingChar"/>
    <w:uiPriority w:val="99"/>
    <w:qFormat/>
    <w:rsid w:val="000A10BB"/>
    <w:pPr>
      <w:spacing w:after="0" w:line="240" w:lineRule="auto"/>
    </w:pPr>
    <w:rPr>
      <w:rFonts w:ascii="Calibri" w:eastAsia="Times New Roman" w:hAnsi="Calibri" w:cs="Arial"/>
      <w:lang w:val="en-US"/>
    </w:rPr>
  </w:style>
  <w:style w:type="character" w:customStyle="1" w:styleId="NoSpacingChar">
    <w:name w:val="No Spacing Char"/>
    <w:basedOn w:val="DefaultParagraphFont"/>
    <w:link w:val="NoSpacing"/>
    <w:uiPriority w:val="99"/>
    <w:locked/>
    <w:rsid w:val="000A10BB"/>
    <w:rPr>
      <w:rFonts w:ascii="Calibri" w:eastAsia="Times New Roman" w:hAnsi="Calibri" w:cs="Arial"/>
      <w:lang w:val="en-US"/>
    </w:rPr>
  </w:style>
  <w:style w:type="paragraph" w:customStyle="1" w:styleId="text">
    <w:name w:val="text"/>
    <w:aliases w:val="t"/>
    <w:basedOn w:val="Normal"/>
    <w:uiPriority w:val="99"/>
    <w:rsid w:val="000A10BB"/>
    <w:pPr>
      <w:overflowPunct w:val="0"/>
      <w:autoSpaceDE w:val="0"/>
      <w:autoSpaceDN w:val="0"/>
      <w:adjustRightInd w:val="0"/>
      <w:spacing w:after="0" w:line="480" w:lineRule="atLeast"/>
      <w:ind w:firstLine="720"/>
      <w:jc w:val="both"/>
      <w:textAlignment w:val="baseline"/>
    </w:pPr>
    <w:rPr>
      <w:rFonts w:ascii="Times" w:eastAsia="SimSun" w:hAnsi="Times"/>
      <w:sz w:val="24"/>
    </w:rPr>
  </w:style>
  <w:style w:type="paragraph" w:customStyle="1" w:styleId="Default">
    <w:name w:val="Default"/>
    <w:uiPriority w:val="99"/>
    <w:rsid w:val="000A10BB"/>
    <w:pPr>
      <w:autoSpaceDE w:val="0"/>
      <w:autoSpaceDN w:val="0"/>
      <w:adjustRightInd w:val="0"/>
      <w:spacing w:after="0" w:line="240" w:lineRule="auto"/>
    </w:pPr>
    <w:rPr>
      <w:rFonts w:ascii="Times New Roman" w:eastAsia="Calibri" w:hAnsi="Times New Roman"/>
      <w:color w:val="000000"/>
      <w:sz w:val="24"/>
      <w:szCs w:val="24"/>
    </w:rPr>
  </w:style>
  <w:style w:type="paragraph" w:customStyle="1" w:styleId="DecimalAligned">
    <w:name w:val="Decimal Aligned"/>
    <w:basedOn w:val="Normal"/>
    <w:uiPriority w:val="99"/>
    <w:qFormat/>
    <w:rsid w:val="000A10BB"/>
    <w:pPr>
      <w:tabs>
        <w:tab w:val="decimal" w:pos="360"/>
      </w:tabs>
      <w:spacing w:after="200" w:line="276" w:lineRule="auto"/>
    </w:pPr>
    <w:rPr>
      <w:rFonts w:ascii="Calibri" w:eastAsia="Times New Roman" w:hAnsi="Calibri"/>
    </w:rPr>
  </w:style>
  <w:style w:type="character" w:styleId="SubtleEmphasis">
    <w:name w:val="Subtle Emphasis"/>
    <w:basedOn w:val="DefaultParagraphFont"/>
    <w:uiPriority w:val="99"/>
    <w:qFormat/>
    <w:rsid w:val="000A10BB"/>
    <w:rPr>
      <w:rFonts w:eastAsia="Times New Roman" w:cs="Times New Roman"/>
      <w:i/>
      <w:iCs/>
      <w:color w:val="808080"/>
      <w:sz w:val="22"/>
      <w:szCs w:val="22"/>
      <w:lang w:val="en-US"/>
    </w:rPr>
  </w:style>
  <w:style w:type="paragraph" w:styleId="BodyText">
    <w:name w:val="Body Text"/>
    <w:basedOn w:val="Normal"/>
    <w:link w:val="BodyTextChar"/>
    <w:uiPriority w:val="99"/>
    <w:semiHidden/>
    <w:rsid w:val="000A10BB"/>
    <w:pPr>
      <w:spacing w:after="120" w:line="240" w:lineRule="auto"/>
    </w:pPr>
    <w:rPr>
      <w:rFonts w:ascii="Times New Roman" w:eastAsia="Times New Roman" w:hAnsi="Times New Roman"/>
      <w:sz w:val="24"/>
      <w:szCs w:val="24"/>
      <w:lang w:eastAsia="en-GB"/>
    </w:rPr>
  </w:style>
  <w:style w:type="character" w:customStyle="1" w:styleId="BodyTextChar">
    <w:name w:val="Body Text Char"/>
    <w:basedOn w:val="DefaultParagraphFont"/>
    <w:link w:val="BodyText"/>
    <w:uiPriority w:val="99"/>
    <w:semiHidden/>
    <w:rsid w:val="000A10BB"/>
    <w:rPr>
      <w:rFonts w:ascii="Times New Roman" w:eastAsia="Times New Roman" w:hAnsi="Times New Roman" w:cs="Times New Roman"/>
      <w:kern w:val="16"/>
      <w:sz w:val="24"/>
      <w:szCs w:val="24"/>
      <w:lang w:eastAsia="en-GB"/>
    </w:rPr>
  </w:style>
  <w:style w:type="paragraph" w:styleId="TOCHeading">
    <w:name w:val="TOC Heading"/>
    <w:basedOn w:val="Heading1"/>
    <w:next w:val="Normal"/>
    <w:uiPriority w:val="99"/>
    <w:unhideWhenUsed/>
    <w:qFormat/>
    <w:rsid w:val="000A10BB"/>
    <w:pPr>
      <w:keepLines/>
      <w:spacing w:before="480" w:after="0"/>
      <w:outlineLvl w:val="9"/>
    </w:pPr>
    <w:rPr>
      <w:rFonts w:asciiTheme="majorHAnsi" w:eastAsiaTheme="majorEastAsia" w:hAnsiTheme="majorHAnsi" w:cstheme="majorBidi"/>
      <w:color w:val="2E74B5" w:themeColor="accent1" w:themeShade="BF"/>
      <w:kern w:val="0"/>
    </w:rPr>
  </w:style>
  <w:style w:type="paragraph" w:styleId="TOC1">
    <w:name w:val="toc 1"/>
    <w:basedOn w:val="Normal"/>
    <w:next w:val="Normal"/>
    <w:autoRedefine/>
    <w:uiPriority w:val="99"/>
    <w:qFormat/>
    <w:rsid w:val="000A10BB"/>
    <w:pPr>
      <w:tabs>
        <w:tab w:val="right" w:leader="dot" w:pos="8471"/>
      </w:tabs>
      <w:spacing w:after="100" w:line="240" w:lineRule="auto"/>
    </w:pPr>
    <w:rPr>
      <w:rFonts w:eastAsia="Times New Roman"/>
      <w:b/>
      <w:noProof/>
      <w:sz w:val="24"/>
      <w:szCs w:val="24"/>
      <w:lang w:eastAsia="en-GB"/>
    </w:rPr>
  </w:style>
  <w:style w:type="paragraph" w:styleId="TOC2">
    <w:name w:val="toc 2"/>
    <w:basedOn w:val="Normal"/>
    <w:next w:val="Normal"/>
    <w:autoRedefine/>
    <w:uiPriority w:val="99"/>
    <w:qFormat/>
    <w:rsid w:val="000A10BB"/>
    <w:pPr>
      <w:tabs>
        <w:tab w:val="right" w:leader="dot" w:pos="8471"/>
      </w:tabs>
      <w:spacing w:after="100" w:line="240" w:lineRule="auto"/>
      <w:ind w:left="238"/>
      <w:jc w:val="both"/>
    </w:pPr>
    <w:rPr>
      <w:rFonts w:ascii="Times New Roman" w:eastAsia="Times New Roman" w:hAnsi="Times New Roman"/>
      <w:sz w:val="24"/>
      <w:szCs w:val="24"/>
      <w:lang w:eastAsia="en-GB"/>
    </w:rPr>
  </w:style>
  <w:style w:type="paragraph" w:styleId="TOC3">
    <w:name w:val="toc 3"/>
    <w:basedOn w:val="Normal"/>
    <w:next w:val="Normal"/>
    <w:autoRedefine/>
    <w:uiPriority w:val="99"/>
    <w:qFormat/>
    <w:rsid w:val="000A10BB"/>
    <w:pPr>
      <w:spacing w:after="100" w:line="240" w:lineRule="auto"/>
      <w:ind w:left="480"/>
    </w:pPr>
    <w:rPr>
      <w:rFonts w:ascii="Times New Roman" w:eastAsia="Times New Roman" w:hAnsi="Times New Roman"/>
      <w:sz w:val="24"/>
      <w:szCs w:val="24"/>
      <w:lang w:eastAsia="en-GB"/>
    </w:rPr>
  </w:style>
  <w:style w:type="paragraph" w:styleId="TOC4">
    <w:name w:val="toc 4"/>
    <w:basedOn w:val="Normal"/>
    <w:next w:val="Normal"/>
    <w:autoRedefine/>
    <w:uiPriority w:val="99"/>
    <w:unhideWhenUsed/>
    <w:rsid w:val="000A10BB"/>
    <w:pPr>
      <w:spacing w:after="100" w:line="276" w:lineRule="auto"/>
      <w:ind w:left="660"/>
    </w:pPr>
    <w:rPr>
      <w:rFonts w:eastAsiaTheme="minorEastAsia"/>
      <w:lang w:eastAsia="en-GB"/>
    </w:rPr>
  </w:style>
  <w:style w:type="paragraph" w:styleId="TOC5">
    <w:name w:val="toc 5"/>
    <w:basedOn w:val="Normal"/>
    <w:next w:val="Normal"/>
    <w:autoRedefine/>
    <w:uiPriority w:val="99"/>
    <w:unhideWhenUsed/>
    <w:rsid w:val="000A10BB"/>
    <w:pPr>
      <w:spacing w:after="100" w:line="276" w:lineRule="auto"/>
      <w:ind w:left="880"/>
    </w:pPr>
    <w:rPr>
      <w:rFonts w:eastAsiaTheme="minorEastAsia"/>
      <w:lang w:eastAsia="en-GB"/>
    </w:rPr>
  </w:style>
  <w:style w:type="paragraph" w:styleId="TOC6">
    <w:name w:val="toc 6"/>
    <w:basedOn w:val="Normal"/>
    <w:next w:val="Normal"/>
    <w:autoRedefine/>
    <w:uiPriority w:val="99"/>
    <w:unhideWhenUsed/>
    <w:rsid w:val="000A10BB"/>
    <w:pPr>
      <w:spacing w:after="100" w:line="276" w:lineRule="auto"/>
      <w:ind w:left="1100"/>
    </w:pPr>
    <w:rPr>
      <w:rFonts w:eastAsiaTheme="minorEastAsia"/>
      <w:lang w:eastAsia="en-GB"/>
    </w:rPr>
  </w:style>
  <w:style w:type="paragraph" w:styleId="TOC7">
    <w:name w:val="toc 7"/>
    <w:basedOn w:val="Normal"/>
    <w:next w:val="Normal"/>
    <w:autoRedefine/>
    <w:uiPriority w:val="99"/>
    <w:unhideWhenUsed/>
    <w:rsid w:val="000A10BB"/>
    <w:pPr>
      <w:spacing w:after="100" w:line="276" w:lineRule="auto"/>
      <w:ind w:left="1320"/>
    </w:pPr>
    <w:rPr>
      <w:rFonts w:eastAsiaTheme="minorEastAsia"/>
      <w:lang w:eastAsia="en-GB"/>
    </w:rPr>
  </w:style>
  <w:style w:type="paragraph" w:styleId="TOC8">
    <w:name w:val="toc 8"/>
    <w:basedOn w:val="Normal"/>
    <w:next w:val="Normal"/>
    <w:autoRedefine/>
    <w:uiPriority w:val="99"/>
    <w:unhideWhenUsed/>
    <w:rsid w:val="000A10BB"/>
    <w:pPr>
      <w:spacing w:after="100" w:line="276" w:lineRule="auto"/>
      <w:ind w:left="1540"/>
    </w:pPr>
    <w:rPr>
      <w:rFonts w:eastAsiaTheme="minorEastAsia"/>
      <w:lang w:eastAsia="en-GB"/>
    </w:rPr>
  </w:style>
  <w:style w:type="paragraph" w:styleId="TOC9">
    <w:name w:val="toc 9"/>
    <w:basedOn w:val="Normal"/>
    <w:next w:val="Normal"/>
    <w:autoRedefine/>
    <w:uiPriority w:val="99"/>
    <w:unhideWhenUsed/>
    <w:rsid w:val="000A10BB"/>
    <w:pPr>
      <w:spacing w:after="100" w:line="276" w:lineRule="auto"/>
      <w:ind w:left="1760"/>
    </w:pPr>
    <w:rPr>
      <w:rFonts w:eastAsiaTheme="minorEastAsia"/>
      <w:lang w:eastAsia="en-GB"/>
    </w:rPr>
  </w:style>
  <w:style w:type="character" w:styleId="Strong">
    <w:name w:val="Strong"/>
    <w:basedOn w:val="DefaultParagraphFont"/>
    <w:uiPriority w:val="22"/>
    <w:qFormat/>
    <w:rsid w:val="000A10BB"/>
    <w:rPr>
      <w:b/>
      <w:bCs/>
    </w:rPr>
  </w:style>
  <w:style w:type="paragraph" w:styleId="Quote">
    <w:name w:val="Quote"/>
    <w:basedOn w:val="Normal"/>
    <w:next w:val="Normal"/>
    <w:link w:val="QuoteChar"/>
    <w:uiPriority w:val="99"/>
    <w:qFormat/>
    <w:rsid w:val="000A10BB"/>
    <w:pPr>
      <w:spacing w:after="0" w:line="240" w:lineRule="auto"/>
    </w:pPr>
    <w:rPr>
      <w:rFonts w:ascii="Times New Roman" w:eastAsia="Times New Roman" w:hAnsi="Times New Roman"/>
      <w:i/>
      <w:iCs/>
      <w:sz w:val="24"/>
      <w:szCs w:val="24"/>
      <w:lang w:eastAsia="en-GB"/>
    </w:rPr>
  </w:style>
  <w:style w:type="character" w:customStyle="1" w:styleId="QuoteChar">
    <w:name w:val="Quote Char"/>
    <w:basedOn w:val="DefaultParagraphFont"/>
    <w:link w:val="Quote"/>
    <w:uiPriority w:val="99"/>
    <w:rsid w:val="000A10BB"/>
    <w:rPr>
      <w:rFonts w:ascii="Times New Roman" w:eastAsia="Times New Roman" w:hAnsi="Times New Roman" w:cs="Times New Roman"/>
      <w:i/>
      <w:iCs/>
      <w:color w:val="000000" w:themeColor="text1"/>
      <w:kern w:val="16"/>
      <w:sz w:val="24"/>
      <w:szCs w:val="24"/>
      <w:lang w:eastAsia="en-GB"/>
    </w:rPr>
  </w:style>
  <w:style w:type="paragraph" w:customStyle="1" w:styleId="xl24">
    <w:name w:val="xl24"/>
    <w:basedOn w:val="Normal"/>
    <w:uiPriority w:val="99"/>
    <w:rsid w:val="000A10BB"/>
    <w:pPr>
      <w:spacing w:before="100" w:beforeAutospacing="1" w:after="100" w:afterAutospacing="1" w:line="240" w:lineRule="auto"/>
      <w:jc w:val="center"/>
    </w:pPr>
    <w:rPr>
      <w:rFonts w:ascii="Arial" w:eastAsia="Arial Unicode MS" w:hAnsi="Arial" w:cs="Arial"/>
      <w:sz w:val="24"/>
      <w:szCs w:val="24"/>
    </w:rPr>
  </w:style>
  <w:style w:type="paragraph" w:styleId="List">
    <w:name w:val="List"/>
    <w:basedOn w:val="Normal"/>
    <w:uiPriority w:val="99"/>
    <w:rsid w:val="000A10BB"/>
    <w:pPr>
      <w:autoSpaceDE w:val="0"/>
      <w:autoSpaceDN w:val="0"/>
      <w:adjustRightInd w:val="0"/>
      <w:spacing w:after="240" w:line="240" w:lineRule="auto"/>
      <w:ind w:left="360" w:hanging="360"/>
      <w:jc w:val="both"/>
    </w:pPr>
    <w:rPr>
      <w:rFonts w:ascii="Times New Roman" w:eastAsia="Times New Roman" w:hAnsi="Times New Roman"/>
      <w:sz w:val="24"/>
      <w:lang w:bidi="ar-EG"/>
    </w:rPr>
  </w:style>
  <w:style w:type="paragraph" w:styleId="Caption">
    <w:name w:val="caption"/>
    <w:basedOn w:val="Normal"/>
    <w:next w:val="Normal"/>
    <w:uiPriority w:val="99"/>
    <w:unhideWhenUsed/>
    <w:qFormat/>
    <w:rsid w:val="000A10BB"/>
    <w:pPr>
      <w:spacing w:after="200" w:line="240" w:lineRule="auto"/>
    </w:pPr>
    <w:rPr>
      <w:rFonts w:eastAsia="Times New Roman"/>
      <w:bCs/>
      <w:sz w:val="24"/>
      <w:szCs w:val="18"/>
      <w:lang w:eastAsia="en-GB"/>
    </w:rPr>
  </w:style>
  <w:style w:type="paragraph" w:styleId="Subtitle">
    <w:name w:val="Subtitle"/>
    <w:basedOn w:val="Normal"/>
    <w:link w:val="SubtitleChar"/>
    <w:uiPriority w:val="99"/>
    <w:qFormat/>
    <w:rsid w:val="000A10BB"/>
    <w:pPr>
      <w:spacing w:after="0" w:line="360" w:lineRule="auto"/>
      <w:jc w:val="center"/>
    </w:pPr>
    <w:rPr>
      <w:rFonts w:ascii="Times New Roman" w:eastAsia="Times New Roman" w:hAnsi="Times New Roman"/>
      <w:b/>
      <w:bCs/>
      <w:sz w:val="28"/>
      <w:szCs w:val="28"/>
    </w:rPr>
  </w:style>
  <w:style w:type="character" w:customStyle="1" w:styleId="SubtitleChar">
    <w:name w:val="Subtitle Char"/>
    <w:basedOn w:val="DefaultParagraphFont"/>
    <w:link w:val="Subtitle"/>
    <w:uiPriority w:val="99"/>
    <w:rsid w:val="000A10BB"/>
    <w:rPr>
      <w:rFonts w:ascii="Times New Roman" w:eastAsia="Times New Roman" w:hAnsi="Times New Roman" w:cs="Times New Roman"/>
      <w:b/>
      <w:bCs/>
      <w:sz w:val="28"/>
      <w:szCs w:val="28"/>
    </w:rPr>
  </w:style>
  <w:style w:type="character" w:customStyle="1" w:styleId="ListChar">
    <w:name w:val="List Char"/>
    <w:basedOn w:val="DefaultParagraphFont"/>
    <w:uiPriority w:val="99"/>
    <w:rsid w:val="000A10BB"/>
    <w:rPr>
      <w:sz w:val="24"/>
      <w:szCs w:val="24"/>
      <w:lang w:val="en-GB" w:eastAsia="en-US" w:bidi="ar-SA"/>
    </w:rPr>
  </w:style>
  <w:style w:type="table" w:styleId="TableGrid">
    <w:name w:val="Table Grid"/>
    <w:basedOn w:val="TableNormal"/>
    <w:uiPriority w:val="99"/>
    <w:rsid w:val="000A10BB"/>
    <w:pPr>
      <w:spacing w:after="0" w:line="240" w:lineRule="auto"/>
    </w:pPr>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searchterm">
    <w:name w:val="highlightedsearchterm"/>
    <w:basedOn w:val="DefaultParagraphFont"/>
    <w:uiPriority w:val="99"/>
    <w:rsid w:val="000A10BB"/>
    <w:rPr>
      <w:rFonts w:cs="Times New Roman"/>
    </w:rPr>
  </w:style>
  <w:style w:type="character" w:customStyle="1" w:styleId="st">
    <w:name w:val="st"/>
    <w:basedOn w:val="DefaultParagraphFont"/>
    <w:rsid w:val="000A10BB"/>
    <w:rPr>
      <w:rFonts w:cs="Times New Roman"/>
    </w:rPr>
  </w:style>
  <w:style w:type="paragraph" w:styleId="Revision">
    <w:name w:val="Revision"/>
    <w:hidden/>
    <w:uiPriority w:val="99"/>
    <w:semiHidden/>
    <w:rsid w:val="009817D1"/>
    <w:pPr>
      <w:spacing w:after="0" w:line="240" w:lineRule="auto"/>
    </w:pPr>
    <w:rPr>
      <w:lang w:val="en-US"/>
    </w:rPr>
  </w:style>
  <w:style w:type="character" w:customStyle="1" w:styleId="apple-converted-space">
    <w:name w:val="apple-converted-space"/>
    <w:basedOn w:val="DefaultParagraphFont"/>
    <w:rsid w:val="00BD3672"/>
  </w:style>
  <w:style w:type="character" w:styleId="SubtleReference">
    <w:name w:val="Subtle Reference"/>
    <w:basedOn w:val="DefaultParagraphFont"/>
    <w:uiPriority w:val="31"/>
    <w:qFormat/>
    <w:rsid w:val="00A93870"/>
    <w:rPr>
      <w:smallCaps/>
      <w:color w:val="5A5A5A" w:themeColor="text1" w:themeTint="A5"/>
    </w:rPr>
  </w:style>
  <w:style w:type="numbering" w:customStyle="1" w:styleId="NoList2">
    <w:name w:val="No List2"/>
    <w:next w:val="NoList"/>
    <w:uiPriority w:val="99"/>
    <w:semiHidden/>
    <w:unhideWhenUsed/>
    <w:rsid w:val="009C1487"/>
  </w:style>
  <w:style w:type="numbering" w:customStyle="1" w:styleId="NoList11">
    <w:name w:val="No List11"/>
    <w:next w:val="NoList"/>
    <w:uiPriority w:val="99"/>
    <w:semiHidden/>
    <w:unhideWhenUsed/>
    <w:rsid w:val="009C1487"/>
  </w:style>
  <w:style w:type="table" w:customStyle="1" w:styleId="TableGrid1">
    <w:name w:val="Table Grid1"/>
    <w:basedOn w:val="TableNormal"/>
    <w:next w:val="TableGrid"/>
    <w:uiPriority w:val="99"/>
    <w:rsid w:val="009C1487"/>
    <w:pPr>
      <w:spacing w:after="0" w:line="240" w:lineRule="auto"/>
    </w:pPr>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10897"/>
  </w:style>
  <w:style w:type="table" w:customStyle="1" w:styleId="TableGrid2">
    <w:name w:val="Table Grid2"/>
    <w:basedOn w:val="TableNormal"/>
    <w:next w:val="TableGrid"/>
    <w:uiPriority w:val="39"/>
    <w:rsid w:val="00610897"/>
    <w:pPr>
      <w:spacing w:after="0" w:line="240" w:lineRule="auto"/>
    </w:pPr>
    <w:rPr>
      <w:rFonts w:ascii="Calibri" w:hAnsi="Calibri" w:cs="Arial"/>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10897"/>
    <w:pPr>
      <w:spacing w:after="0" w:line="240" w:lineRule="auto"/>
    </w:pPr>
    <w:rPr>
      <w:rFonts w:ascii="Calibri" w:hAnsi="Calibri" w:cs="Arial"/>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3829">
      <w:bodyDiv w:val="1"/>
      <w:marLeft w:val="0"/>
      <w:marRight w:val="0"/>
      <w:marTop w:val="0"/>
      <w:marBottom w:val="0"/>
      <w:divBdr>
        <w:top w:val="none" w:sz="0" w:space="0" w:color="auto"/>
        <w:left w:val="none" w:sz="0" w:space="0" w:color="auto"/>
        <w:bottom w:val="none" w:sz="0" w:space="0" w:color="auto"/>
        <w:right w:val="none" w:sz="0" w:space="0" w:color="auto"/>
      </w:divBdr>
      <w:divsChild>
        <w:div w:id="661860269">
          <w:marLeft w:val="0"/>
          <w:marRight w:val="0"/>
          <w:marTop w:val="0"/>
          <w:marBottom w:val="0"/>
          <w:divBdr>
            <w:top w:val="none" w:sz="0" w:space="0" w:color="auto"/>
            <w:left w:val="none" w:sz="0" w:space="0" w:color="auto"/>
            <w:bottom w:val="none" w:sz="0" w:space="0" w:color="auto"/>
            <w:right w:val="none" w:sz="0" w:space="0" w:color="auto"/>
          </w:divBdr>
        </w:div>
      </w:divsChild>
    </w:div>
    <w:div w:id="219094860">
      <w:bodyDiv w:val="1"/>
      <w:marLeft w:val="0"/>
      <w:marRight w:val="0"/>
      <w:marTop w:val="0"/>
      <w:marBottom w:val="0"/>
      <w:divBdr>
        <w:top w:val="none" w:sz="0" w:space="0" w:color="auto"/>
        <w:left w:val="none" w:sz="0" w:space="0" w:color="auto"/>
        <w:bottom w:val="none" w:sz="0" w:space="0" w:color="auto"/>
        <w:right w:val="none" w:sz="0" w:space="0" w:color="auto"/>
      </w:divBdr>
      <w:divsChild>
        <w:div w:id="581840769">
          <w:marLeft w:val="0"/>
          <w:marRight w:val="0"/>
          <w:marTop w:val="0"/>
          <w:marBottom w:val="0"/>
          <w:divBdr>
            <w:top w:val="none" w:sz="0" w:space="0" w:color="auto"/>
            <w:left w:val="none" w:sz="0" w:space="0" w:color="auto"/>
            <w:bottom w:val="none" w:sz="0" w:space="0" w:color="auto"/>
            <w:right w:val="none" w:sz="0" w:space="0" w:color="auto"/>
          </w:divBdr>
        </w:div>
      </w:divsChild>
    </w:div>
    <w:div w:id="476068648">
      <w:bodyDiv w:val="1"/>
      <w:marLeft w:val="0"/>
      <w:marRight w:val="0"/>
      <w:marTop w:val="0"/>
      <w:marBottom w:val="0"/>
      <w:divBdr>
        <w:top w:val="none" w:sz="0" w:space="0" w:color="auto"/>
        <w:left w:val="none" w:sz="0" w:space="0" w:color="auto"/>
        <w:bottom w:val="none" w:sz="0" w:space="0" w:color="auto"/>
        <w:right w:val="none" w:sz="0" w:space="0" w:color="auto"/>
      </w:divBdr>
    </w:div>
    <w:div w:id="762920992">
      <w:bodyDiv w:val="1"/>
      <w:marLeft w:val="0"/>
      <w:marRight w:val="0"/>
      <w:marTop w:val="0"/>
      <w:marBottom w:val="0"/>
      <w:divBdr>
        <w:top w:val="none" w:sz="0" w:space="0" w:color="auto"/>
        <w:left w:val="none" w:sz="0" w:space="0" w:color="auto"/>
        <w:bottom w:val="none" w:sz="0" w:space="0" w:color="auto"/>
        <w:right w:val="none" w:sz="0" w:space="0" w:color="auto"/>
      </w:divBdr>
    </w:div>
    <w:div w:id="884095977">
      <w:bodyDiv w:val="1"/>
      <w:marLeft w:val="0"/>
      <w:marRight w:val="0"/>
      <w:marTop w:val="0"/>
      <w:marBottom w:val="0"/>
      <w:divBdr>
        <w:top w:val="none" w:sz="0" w:space="0" w:color="auto"/>
        <w:left w:val="none" w:sz="0" w:space="0" w:color="auto"/>
        <w:bottom w:val="none" w:sz="0" w:space="0" w:color="auto"/>
        <w:right w:val="none" w:sz="0" w:space="0" w:color="auto"/>
      </w:divBdr>
      <w:divsChild>
        <w:div w:id="924991650">
          <w:marLeft w:val="0"/>
          <w:marRight w:val="0"/>
          <w:marTop w:val="0"/>
          <w:marBottom w:val="0"/>
          <w:divBdr>
            <w:top w:val="none" w:sz="0" w:space="0" w:color="auto"/>
            <w:left w:val="none" w:sz="0" w:space="0" w:color="auto"/>
            <w:bottom w:val="none" w:sz="0" w:space="0" w:color="auto"/>
            <w:right w:val="none" w:sz="0" w:space="0" w:color="auto"/>
          </w:divBdr>
        </w:div>
      </w:divsChild>
    </w:div>
    <w:div w:id="931399019">
      <w:bodyDiv w:val="1"/>
      <w:marLeft w:val="0"/>
      <w:marRight w:val="0"/>
      <w:marTop w:val="0"/>
      <w:marBottom w:val="0"/>
      <w:divBdr>
        <w:top w:val="none" w:sz="0" w:space="0" w:color="auto"/>
        <w:left w:val="none" w:sz="0" w:space="0" w:color="auto"/>
        <w:bottom w:val="none" w:sz="0" w:space="0" w:color="auto"/>
        <w:right w:val="none" w:sz="0" w:space="0" w:color="auto"/>
      </w:divBdr>
    </w:div>
    <w:div w:id="1072969333">
      <w:bodyDiv w:val="1"/>
      <w:marLeft w:val="0"/>
      <w:marRight w:val="0"/>
      <w:marTop w:val="0"/>
      <w:marBottom w:val="0"/>
      <w:divBdr>
        <w:top w:val="none" w:sz="0" w:space="0" w:color="auto"/>
        <w:left w:val="none" w:sz="0" w:space="0" w:color="auto"/>
        <w:bottom w:val="none" w:sz="0" w:space="0" w:color="auto"/>
        <w:right w:val="none" w:sz="0" w:space="0" w:color="auto"/>
      </w:divBdr>
      <w:divsChild>
        <w:div w:id="398870328">
          <w:marLeft w:val="0"/>
          <w:marRight w:val="0"/>
          <w:marTop w:val="0"/>
          <w:marBottom w:val="0"/>
          <w:divBdr>
            <w:top w:val="none" w:sz="0" w:space="0" w:color="auto"/>
            <w:left w:val="none" w:sz="0" w:space="0" w:color="auto"/>
            <w:bottom w:val="none" w:sz="0" w:space="0" w:color="auto"/>
            <w:right w:val="none" w:sz="0" w:space="0" w:color="auto"/>
          </w:divBdr>
        </w:div>
        <w:div w:id="1496647919">
          <w:marLeft w:val="0"/>
          <w:marRight w:val="0"/>
          <w:marTop w:val="0"/>
          <w:marBottom w:val="0"/>
          <w:divBdr>
            <w:top w:val="none" w:sz="0" w:space="0" w:color="auto"/>
            <w:left w:val="none" w:sz="0" w:space="0" w:color="auto"/>
            <w:bottom w:val="none" w:sz="0" w:space="0" w:color="auto"/>
            <w:right w:val="none" w:sz="0" w:space="0" w:color="auto"/>
          </w:divBdr>
        </w:div>
      </w:divsChild>
    </w:div>
    <w:div w:id="1405296656">
      <w:bodyDiv w:val="1"/>
      <w:marLeft w:val="0"/>
      <w:marRight w:val="0"/>
      <w:marTop w:val="0"/>
      <w:marBottom w:val="0"/>
      <w:divBdr>
        <w:top w:val="none" w:sz="0" w:space="0" w:color="auto"/>
        <w:left w:val="none" w:sz="0" w:space="0" w:color="auto"/>
        <w:bottom w:val="none" w:sz="0" w:space="0" w:color="auto"/>
        <w:right w:val="none" w:sz="0" w:space="0" w:color="auto"/>
      </w:divBdr>
      <w:divsChild>
        <w:div w:id="724833494">
          <w:marLeft w:val="0"/>
          <w:marRight w:val="0"/>
          <w:marTop w:val="0"/>
          <w:marBottom w:val="0"/>
          <w:divBdr>
            <w:top w:val="none" w:sz="0" w:space="0" w:color="auto"/>
            <w:left w:val="none" w:sz="0" w:space="0" w:color="auto"/>
            <w:bottom w:val="none" w:sz="0" w:space="0" w:color="auto"/>
            <w:right w:val="none" w:sz="0" w:space="0" w:color="auto"/>
          </w:divBdr>
        </w:div>
      </w:divsChild>
    </w:div>
    <w:div w:id="1513647910">
      <w:bodyDiv w:val="1"/>
      <w:marLeft w:val="0"/>
      <w:marRight w:val="0"/>
      <w:marTop w:val="0"/>
      <w:marBottom w:val="0"/>
      <w:divBdr>
        <w:top w:val="none" w:sz="0" w:space="0" w:color="auto"/>
        <w:left w:val="none" w:sz="0" w:space="0" w:color="auto"/>
        <w:bottom w:val="none" w:sz="0" w:space="0" w:color="auto"/>
        <w:right w:val="none" w:sz="0" w:space="0" w:color="auto"/>
      </w:divBdr>
      <w:divsChild>
        <w:div w:id="371267378">
          <w:marLeft w:val="0"/>
          <w:marRight w:val="0"/>
          <w:marTop w:val="0"/>
          <w:marBottom w:val="0"/>
          <w:divBdr>
            <w:top w:val="none" w:sz="0" w:space="0" w:color="auto"/>
            <w:left w:val="none" w:sz="0" w:space="0" w:color="auto"/>
            <w:bottom w:val="none" w:sz="0" w:space="0" w:color="auto"/>
            <w:right w:val="none" w:sz="0" w:space="0" w:color="auto"/>
          </w:divBdr>
        </w:div>
      </w:divsChild>
    </w:div>
    <w:div w:id="1599870425">
      <w:bodyDiv w:val="1"/>
      <w:marLeft w:val="0"/>
      <w:marRight w:val="0"/>
      <w:marTop w:val="0"/>
      <w:marBottom w:val="0"/>
      <w:divBdr>
        <w:top w:val="none" w:sz="0" w:space="0" w:color="auto"/>
        <w:left w:val="none" w:sz="0" w:space="0" w:color="auto"/>
        <w:bottom w:val="none" w:sz="0" w:space="0" w:color="auto"/>
        <w:right w:val="none" w:sz="0" w:space="0" w:color="auto"/>
      </w:divBdr>
      <w:divsChild>
        <w:div w:id="1496456902">
          <w:marLeft w:val="0"/>
          <w:marRight w:val="0"/>
          <w:marTop w:val="0"/>
          <w:marBottom w:val="0"/>
          <w:divBdr>
            <w:top w:val="none" w:sz="0" w:space="0" w:color="auto"/>
            <w:left w:val="none" w:sz="0" w:space="0" w:color="auto"/>
            <w:bottom w:val="none" w:sz="0" w:space="0" w:color="auto"/>
            <w:right w:val="none" w:sz="0" w:space="0" w:color="auto"/>
          </w:divBdr>
        </w:div>
        <w:div w:id="826676069">
          <w:marLeft w:val="0"/>
          <w:marRight w:val="0"/>
          <w:marTop w:val="0"/>
          <w:marBottom w:val="0"/>
          <w:divBdr>
            <w:top w:val="none" w:sz="0" w:space="0" w:color="auto"/>
            <w:left w:val="none" w:sz="0" w:space="0" w:color="auto"/>
            <w:bottom w:val="none" w:sz="0" w:space="0" w:color="auto"/>
            <w:right w:val="none" w:sz="0" w:space="0" w:color="auto"/>
          </w:divBdr>
        </w:div>
        <w:div w:id="248542363">
          <w:marLeft w:val="0"/>
          <w:marRight w:val="0"/>
          <w:marTop w:val="0"/>
          <w:marBottom w:val="0"/>
          <w:divBdr>
            <w:top w:val="none" w:sz="0" w:space="0" w:color="auto"/>
            <w:left w:val="none" w:sz="0" w:space="0" w:color="auto"/>
            <w:bottom w:val="none" w:sz="0" w:space="0" w:color="auto"/>
            <w:right w:val="none" w:sz="0" w:space="0" w:color="auto"/>
          </w:divBdr>
        </w:div>
        <w:div w:id="384834926">
          <w:marLeft w:val="0"/>
          <w:marRight w:val="0"/>
          <w:marTop w:val="0"/>
          <w:marBottom w:val="0"/>
          <w:divBdr>
            <w:top w:val="none" w:sz="0" w:space="0" w:color="auto"/>
            <w:left w:val="none" w:sz="0" w:space="0" w:color="auto"/>
            <w:bottom w:val="none" w:sz="0" w:space="0" w:color="auto"/>
            <w:right w:val="none" w:sz="0" w:space="0" w:color="auto"/>
          </w:divBdr>
        </w:div>
        <w:div w:id="558397945">
          <w:marLeft w:val="0"/>
          <w:marRight w:val="0"/>
          <w:marTop w:val="0"/>
          <w:marBottom w:val="0"/>
          <w:divBdr>
            <w:top w:val="none" w:sz="0" w:space="0" w:color="auto"/>
            <w:left w:val="none" w:sz="0" w:space="0" w:color="auto"/>
            <w:bottom w:val="none" w:sz="0" w:space="0" w:color="auto"/>
            <w:right w:val="none" w:sz="0" w:space="0" w:color="auto"/>
          </w:divBdr>
        </w:div>
      </w:divsChild>
    </w:div>
    <w:div w:id="1642930046">
      <w:bodyDiv w:val="1"/>
      <w:marLeft w:val="0"/>
      <w:marRight w:val="0"/>
      <w:marTop w:val="0"/>
      <w:marBottom w:val="0"/>
      <w:divBdr>
        <w:top w:val="none" w:sz="0" w:space="0" w:color="auto"/>
        <w:left w:val="none" w:sz="0" w:space="0" w:color="auto"/>
        <w:bottom w:val="none" w:sz="0" w:space="0" w:color="auto"/>
        <w:right w:val="none" w:sz="0" w:space="0" w:color="auto"/>
      </w:divBdr>
      <w:divsChild>
        <w:div w:id="2028748870">
          <w:marLeft w:val="0"/>
          <w:marRight w:val="0"/>
          <w:marTop w:val="0"/>
          <w:marBottom w:val="0"/>
          <w:divBdr>
            <w:top w:val="none" w:sz="0" w:space="0" w:color="auto"/>
            <w:left w:val="none" w:sz="0" w:space="0" w:color="auto"/>
            <w:bottom w:val="none" w:sz="0" w:space="0" w:color="auto"/>
            <w:right w:val="none" w:sz="0" w:space="0" w:color="auto"/>
          </w:divBdr>
        </w:div>
        <w:div w:id="1547528776">
          <w:marLeft w:val="0"/>
          <w:marRight w:val="0"/>
          <w:marTop w:val="0"/>
          <w:marBottom w:val="0"/>
          <w:divBdr>
            <w:top w:val="none" w:sz="0" w:space="0" w:color="auto"/>
            <w:left w:val="none" w:sz="0" w:space="0" w:color="auto"/>
            <w:bottom w:val="none" w:sz="0" w:space="0" w:color="auto"/>
            <w:right w:val="none" w:sz="0" w:space="0" w:color="auto"/>
          </w:divBdr>
        </w:div>
        <w:div w:id="1968124751">
          <w:marLeft w:val="0"/>
          <w:marRight w:val="0"/>
          <w:marTop w:val="0"/>
          <w:marBottom w:val="0"/>
          <w:divBdr>
            <w:top w:val="none" w:sz="0" w:space="0" w:color="auto"/>
            <w:left w:val="none" w:sz="0" w:space="0" w:color="auto"/>
            <w:bottom w:val="none" w:sz="0" w:space="0" w:color="auto"/>
            <w:right w:val="none" w:sz="0" w:space="0" w:color="auto"/>
          </w:divBdr>
        </w:div>
        <w:div w:id="1778210101">
          <w:marLeft w:val="0"/>
          <w:marRight w:val="0"/>
          <w:marTop w:val="0"/>
          <w:marBottom w:val="0"/>
          <w:divBdr>
            <w:top w:val="none" w:sz="0" w:space="0" w:color="auto"/>
            <w:left w:val="none" w:sz="0" w:space="0" w:color="auto"/>
            <w:bottom w:val="none" w:sz="0" w:space="0" w:color="auto"/>
            <w:right w:val="none" w:sz="0" w:space="0" w:color="auto"/>
          </w:divBdr>
        </w:div>
      </w:divsChild>
    </w:div>
    <w:div w:id="1958294728">
      <w:bodyDiv w:val="1"/>
      <w:marLeft w:val="0"/>
      <w:marRight w:val="0"/>
      <w:marTop w:val="0"/>
      <w:marBottom w:val="0"/>
      <w:divBdr>
        <w:top w:val="none" w:sz="0" w:space="0" w:color="auto"/>
        <w:left w:val="none" w:sz="0" w:space="0" w:color="auto"/>
        <w:bottom w:val="none" w:sz="0" w:space="0" w:color="auto"/>
        <w:right w:val="none" w:sz="0" w:space="0" w:color="auto"/>
      </w:divBdr>
      <w:divsChild>
        <w:div w:id="1498573898">
          <w:marLeft w:val="0"/>
          <w:marRight w:val="0"/>
          <w:marTop w:val="0"/>
          <w:marBottom w:val="0"/>
          <w:divBdr>
            <w:top w:val="none" w:sz="0" w:space="0" w:color="auto"/>
            <w:left w:val="none" w:sz="0" w:space="0" w:color="auto"/>
            <w:bottom w:val="none" w:sz="0" w:space="0" w:color="auto"/>
            <w:right w:val="none" w:sz="0" w:space="0" w:color="auto"/>
          </w:divBdr>
        </w:div>
      </w:divsChild>
    </w:div>
    <w:div w:id="2019693281">
      <w:bodyDiv w:val="1"/>
      <w:marLeft w:val="0"/>
      <w:marRight w:val="0"/>
      <w:marTop w:val="0"/>
      <w:marBottom w:val="0"/>
      <w:divBdr>
        <w:top w:val="none" w:sz="0" w:space="0" w:color="auto"/>
        <w:left w:val="none" w:sz="0" w:space="0" w:color="auto"/>
        <w:bottom w:val="none" w:sz="0" w:space="0" w:color="auto"/>
        <w:right w:val="none" w:sz="0" w:space="0" w:color="auto"/>
      </w:divBdr>
      <w:divsChild>
        <w:div w:id="1555963022">
          <w:marLeft w:val="0"/>
          <w:marRight w:val="0"/>
          <w:marTop w:val="0"/>
          <w:marBottom w:val="0"/>
          <w:divBdr>
            <w:top w:val="none" w:sz="0" w:space="0" w:color="auto"/>
            <w:left w:val="none" w:sz="0" w:space="0" w:color="auto"/>
            <w:bottom w:val="none" w:sz="0" w:space="0" w:color="auto"/>
            <w:right w:val="none" w:sz="0" w:space="0" w:color="auto"/>
          </w:divBdr>
        </w:div>
      </w:divsChild>
    </w:div>
    <w:div w:id="2079747625">
      <w:bodyDiv w:val="1"/>
      <w:marLeft w:val="0"/>
      <w:marRight w:val="0"/>
      <w:marTop w:val="0"/>
      <w:marBottom w:val="0"/>
      <w:divBdr>
        <w:top w:val="none" w:sz="0" w:space="0" w:color="auto"/>
        <w:left w:val="none" w:sz="0" w:space="0" w:color="auto"/>
        <w:bottom w:val="none" w:sz="0" w:space="0" w:color="auto"/>
        <w:right w:val="none" w:sz="0" w:space="0" w:color="auto"/>
      </w:divBdr>
      <w:divsChild>
        <w:div w:id="862281937">
          <w:marLeft w:val="0"/>
          <w:marRight w:val="0"/>
          <w:marTop w:val="0"/>
          <w:marBottom w:val="0"/>
          <w:divBdr>
            <w:top w:val="none" w:sz="0" w:space="0" w:color="auto"/>
            <w:left w:val="none" w:sz="0" w:space="0" w:color="auto"/>
            <w:bottom w:val="none" w:sz="0" w:space="0" w:color="auto"/>
            <w:right w:val="none" w:sz="0" w:space="0" w:color="auto"/>
          </w:divBdr>
        </w:div>
        <w:div w:id="1157648936">
          <w:marLeft w:val="0"/>
          <w:marRight w:val="0"/>
          <w:marTop w:val="0"/>
          <w:marBottom w:val="0"/>
          <w:divBdr>
            <w:top w:val="none" w:sz="0" w:space="0" w:color="auto"/>
            <w:left w:val="none" w:sz="0" w:space="0" w:color="auto"/>
            <w:bottom w:val="none" w:sz="0" w:space="0" w:color="auto"/>
            <w:right w:val="none" w:sz="0" w:space="0" w:color="auto"/>
          </w:divBdr>
        </w:div>
        <w:div w:id="1513570982">
          <w:marLeft w:val="0"/>
          <w:marRight w:val="0"/>
          <w:marTop w:val="0"/>
          <w:marBottom w:val="0"/>
          <w:divBdr>
            <w:top w:val="none" w:sz="0" w:space="0" w:color="auto"/>
            <w:left w:val="none" w:sz="0" w:space="0" w:color="auto"/>
            <w:bottom w:val="none" w:sz="0" w:space="0" w:color="auto"/>
            <w:right w:val="none" w:sz="0" w:space="0" w:color="auto"/>
          </w:divBdr>
        </w:div>
      </w:divsChild>
    </w:div>
    <w:div w:id="2121953276">
      <w:bodyDiv w:val="1"/>
      <w:marLeft w:val="0"/>
      <w:marRight w:val="0"/>
      <w:marTop w:val="0"/>
      <w:marBottom w:val="0"/>
      <w:divBdr>
        <w:top w:val="none" w:sz="0" w:space="0" w:color="auto"/>
        <w:left w:val="none" w:sz="0" w:space="0" w:color="auto"/>
        <w:bottom w:val="none" w:sz="0" w:space="0" w:color="auto"/>
        <w:right w:val="none" w:sz="0" w:space="0" w:color="auto"/>
      </w:divBdr>
      <w:divsChild>
        <w:div w:id="1371489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Elshandidy@bradford.ac.uk"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braham1@excelsior.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tt.bamber@rotman.utoronto.ca" TargetMode="External"/><Relationship Id="rId4" Type="http://schemas.microsoft.com/office/2007/relationships/stylesWithEffects" Target="stylesWithEffects.xml"/><Relationship Id="rId9" Type="http://schemas.openxmlformats.org/officeDocument/2006/relationships/hyperlink" Target="mailto:Philip.Shrives@northumbria.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ace5d84-7524-498a-8d21-ed6ef4014197">
  <we:reference id="WA104124372"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C2D0A-1C29-4C6C-9CE1-CAD6968E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51</Pages>
  <Words>18886</Words>
  <Characters>107655</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126289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TMFH Elshandidy</dc:creator>
  <cp:lastModifiedBy>TAMER ELSHANDIDY</cp:lastModifiedBy>
  <cp:revision>21</cp:revision>
  <cp:lastPrinted>2017-09-06T13:11:00Z</cp:lastPrinted>
  <dcterms:created xsi:type="dcterms:W3CDTF">2017-09-14T01:04:00Z</dcterms:created>
  <dcterms:modified xsi:type="dcterms:W3CDTF">2017-12-21T05:46:00Z</dcterms:modified>
</cp:coreProperties>
</file>