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D760D" w14:textId="77777777" w:rsidR="00172B20" w:rsidRPr="00DB25FE" w:rsidRDefault="00162C16" w:rsidP="00162154">
      <w:pPr>
        <w:spacing w:line="480" w:lineRule="auto"/>
        <w:jc w:val="center"/>
        <w:rPr>
          <w:rFonts w:ascii="Times New Roman" w:hAnsi="Times New Roman" w:cs="Times New Roman"/>
          <w:b/>
          <w:sz w:val="24"/>
          <w:szCs w:val="24"/>
        </w:rPr>
      </w:pPr>
      <w:r w:rsidRPr="00DB25FE">
        <w:rPr>
          <w:rFonts w:ascii="Times New Roman" w:hAnsi="Times New Roman" w:cs="Times New Roman"/>
          <w:b/>
          <w:sz w:val="24"/>
          <w:szCs w:val="24"/>
        </w:rPr>
        <w:t>C</w:t>
      </w:r>
      <w:r w:rsidR="006C673D" w:rsidRPr="00DB25FE">
        <w:rPr>
          <w:rFonts w:ascii="Times New Roman" w:hAnsi="Times New Roman" w:cs="Times New Roman"/>
          <w:b/>
          <w:sz w:val="24"/>
          <w:szCs w:val="24"/>
        </w:rPr>
        <w:t>onsensual teenage sexting</w:t>
      </w:r>
      <w:r w:rsidR="0056128B" w:rsidRPr="00DB25FE">
        <w:rPr>
          <w:rFonts w:ascii="Times New Roman" w:hAnsi="Times New Roman" w:cs="Times New Roman"/>
          <w:b/>
          <w:sz w:val="24"/>
          <w:szCs w:val="24"/>
        </w:rPr>
        <w:t xml:space="preserve"> </w:t>
      </w:r>
      <w:r w:rsidRPr="00DB25FE">
        <w:rPr>
          <w:rFonts w:ascii="Times New Roman" w:hAnsi="Times New Roman" w:cs="Times New Roman"/>
          <w:b/>
          <w:sz w:val="24"/>
          <w:szCs w:val="24"/>
        </w:rPr>
        <w:t>and</w:t>
      </w:r>
      <w:r w:rsidR="0056128B" w:rsidRPr="00DB25FE">
        <w:rPr>
          <w:rFonts w:ascii="Times New Roman" w:hAnsi="Times New Roman" w:cs="Times New Roman"/>
          <w:b/>
          <w:sz w:val="24"/>
          <w:szCs w:val="24"/>
        </w:rPr>
        <w:t xml:space="preserve"> </w:t>
      </w:r>
      <w:r w:rsidR="006C673D" w:rsidRPr="00DB25FE">
        <w:rPr>
          <w:rFonts w:ascii="Times New Roman" w:hAnsi="Times New Roman" w:cs="Times New Roman"/>
          <w:b/>
          <w:sz w:val="24"/>
          <w:szCs w:val="24"/>
        </w:rPr>
        <w:t>youth criminal records</w:t>
      </w:r>
      <w:r w:rsidR="00D75AF0" w:rsidRPr="00DB25FE">
        <w:rPr>
          <w:rStyle w:val="FootnoteReference"/>
          <w:rFonts w:ascii="Times New Roman" w:hAnsi="Times New Roman" w:cs="Times New Roman"/>
          <w:b/>
          <w:sz w:val="24"/>
          <w:szCs w:val="24"/>
        </w:rPr>
        <w:footnoteReference w:id="1"/>
      </w:r>
      <w:r w:rsidR="006C673D" w:rsidRPr="00DB25FE">
        <w:rPr>
          <w:rFonts w:ascii="Times New Roman" w:hAnsi="Times New Roman" w:cs="Times New Roman"/>
          <w:b/>
          <w:sz w:val="24"/>
          <w:szCs w:val="24"/>
        </w:rPr>
        <w:t xml:space="preserve"> </w:t>
      </w:r>
    </w:p>
    <w:p w14:paraId="56E69E92" w14:textId="1D392FC8" w:rsidR="00C85EA9" w:rsidRDefault="007C51E6" w:rsidP="00C85EA9">
      <w:pPr>
        <w:spacing w:after="0" w:line="480" w:lineRule="auto"/>
        <w:rPr>
          <w:rFonts w:ascii="Times New Roman" w:hAnsi="Times New Roman" w:cs="Times New Roman"/>
          <w:sz w:val="24"/>
          <w:szCs w:val="24"/>
        </w:rPr>
      </w:pPr>
      <w:r>
        <w:rPr>
          <w:rFonts w:ascii="Times New Roman" w:hAnsi="Times New Roman" w:cs="Times New Roman"/>
          <w:sz w:val="24"/>
          <w:szCs w:val="24"/>
        </w:rPr>
        <w:t>By Raymond Artur</w:t>
      </w:r>
    </w:p>
    <w:p w14:paraId="35EADE4E" w14:textId="29E9B215" w:rsidR="007C51E6" w:rsidRPr="00DB25FE" w:rsidRDefault="007C51E6" w:rsidP="00C85EA9">
      <w:pPr>
        <w:spacing w:after="0" w:line="480" w:lineRule="auto"/>
        <w:rPr>
          <w:rFonts w:ascii="Times New Roman" w:hAnsi="Times New Roman" w:cs="Times New Roman"/>
          <w:sz w:val="24"/>
          <w:szCs w:val="24"/>
        </w:rPr>
      </w:pPr>
      <w:r>
        <w:rPr>
          <w:rFonts w:ascii="Times New Roman" w:hAnsi="Times New Roman" w:cs="Times New Roman"/>
          <w:sz w:val="24"/>
          <w:szCs w:val="24"/>
        </w:rPr>
        <w:t>Northumbria Law School</w:t>
      </w:r>
    </w:p>
    <w:p w14:paraId="685E3CAD" w14:textId="77777777" w:rsidR="00C85EA9" w:rsidRPr="00DB25FE" w:rsidRDefault="00C85EA9" w:rsidP="00C85EA9">
      <w:pPr>
        <w:spacing w:after="0" w:line="480" w:lineRule="auto"/>
        <w:rPr>
          <w:rFonts w:ascii="Times New Roman" w:hAnsi="Times New Roman" w:cs="Times New Roman"/>
          <w:sz w:val="24"/>
          <w:szCs w:val="24"/>
        </w:rPr>
      </w:pPr>
      <w:r w:rsidRPr="00DB25FE">
        <w:rPr>
          <w:rFonts w:ascii="Times New Roman" w:hAnsi="Times New Roman" w:cs="Times New Roman"/>
          <w:b/>
          <w:sz w:val="24"/>
          <w:szCs w:val="24"/>
        </w:rPr>
        <w:t xml:space="preserve">Keywords: </w:t>
      </w:r>
      <w:r w:rsidRPr="00DB25FE">
        <w:rPr>
          <w:rFonts w:ascii="Times New Roman" w:hAnsi="Times New Roman" w:cs="Times New Roman"/>
          <w:sz w:val="24"/>
          <w:szCs w:val="24"/>
        </w:rPr>
        <w:t>Teenage sexting, criminal records, right to self-determination and bodily autonomy</w:t>
      </w:r>
      <w:r w:rsidR="005C0CE8" w:rsidRPr="00DB25FE">
        <w:rPr>
          <w:rFonts w:ascii="Times New Roman" w:hAnsi="Times New Roman" w:cs="Times New Roman"/>
          <w:sz w:val="24"/>
          <w:szCs w:val="24"/>
        </w:rPr>
        <w:t>, youth citizenship.</w:t>
      </w:r>
    </w:p>
    <w:p w14:paraId="024A996F" w14:textId="77777777" w:rsidR="00093169" w:rsidRPr="00DB25FE" w:rsidRDefault="00093169" w:rsidP="00C85EA9">
      <w:pPr>
        <w:spacing w:after="0" w:line="480" w:lineRule="auto"/>
        <w:rPr>
          <w:rFonts w:ascii="Times New Roman" w:hAnsi="Times New Roman" w:cs="Times New Roman"/>
          <w:sz w:val="24"/>
          <w:szCs w:val="24"/>
        </w:rPr>
      </w:pPr>
    </w:p>
    <w:p w14:paraId="02ECEFF9" w14:textId="342B0623" w:rsidR="00093169" w:rsidRPr="00DB25FE" w:rsidRDefault="00093169" w:rsidP="0042697C">
      <w:pPr>
        <w:jc w:val="both"/>
        <w:rPr>
          <w:rFonts w:ascii="Times New Roman" w:hAnsi="Times New Roman" w:cs="Times New Roman"/>
          <w:sz w:val="24"/>
          <w:szCs w:val="24"/>
        </w:rPr>
      </w:pPr>
      <w:r w:rsidRPr="00DB25FE">
        <w:rPr>
          <w:rFonts w:ascii="Times New Roman" w:hAnsi="Times New Roman" w:cs="Times New Roman"/>
          <w:b/>
          <w:sz w:val="24"/>
          <w:szCs w:val="24"/>
        </w:rPr>
        <w:t xml:space="preserve">Legislation: </w:t>
      </w:r>
      <w:r w:rsidRPr="0042697C">
        <w:rPr>
          <w:rFonts w:ascii="Times New Roman" w:hAnsi="Times New Roman" w:cs="Times New Roman"/>
          <w:sz w:val="24"/>
          <w:szCs w:val="24"/>
        </w:rPr>
        <w:t xml:space="preserve">Criminal Justice Act 1998, Criminal Justice and Immigration Act 2008, </w:t>
      </w:r>
      <w:r w:rsidR="0042697C" w:rsidRPr="0042697C">
        <w:rPr>
          <w:rStyle w:val="A15"/>
          <w:rFonts w:ascii="Times New Roman" w:hAnsi="Times New Roman" w:cs="Times New Roman"/>
          <w:sz w:val="24"/>
          <w:szCs w:val="24"/>
          <w:u w:val="none"/>
        </w:rPr>
        <w:t xml:space="preserve">Legal Aid, Sentencing and Punishment of Offenders Act 2012, </w:t>
      </w:r>
      <w:r w:rsidR="0042697C" w:rsidRPr="0042697C">
        <w:rPr>
          <w:rFonts w:ascii="Times New Roman" w:hAnsi="Times New Roman" w:cs="Times New Roman"/>
          <w:sz w:val="24"/>
          <w:szCs w:val="24"/>
        </w:rPr>
        <w:t xml:space="preserve">Localism Act 2011, Police Act 1997, </w:t>
      </w:r>
      <w:r w:rsidRPr="0042697C">
        <w:rPr>
          <w:rFonts w:ascii="Times New Roman" w:hAnsi="Times New Roman" w:cs="Times New Roman"/>
          <w:sz w:val="24"/>
          <w:szCs w:val="24"/>
        </w:rPr>
        <w:t>Protection of Children Act 1978</w:t>
      </w:r>
      <w:r w:rsidR="00A9237C" w:rsidRPr="0042697C">
        <w:rPr>
          <w:rFonts w:ascii="Times New Roman" w:hAnsi="Times New Roman" w:cs="Times New Roman"/>
          <w:sz w:val="24"/>
          <w:szCs w:val="24"/>
        </w:rPr>
        <w:t xml:space="preserve">, </w:t>
      </w:r>
      <w:r w:rsidR="00D05AEE" w:rsidRPr="0042697C">
        <w:rPr>
          <w:rFonts w:ascii="Times New Roman" w:hAnsi="Times New Roman" w:cs="Times New Roman"/>
          <w:sz w:val="24"/>
          <w:szCs w:val="24"/>
        </w:rPr>
        <w:t>R</w:t>
      </w:r>
      <w:r w:rsidR="00A9237C" w:rsidRPr="0042697C">
        <w:rPr>
          <w:rFonts w:ascii="Times New Roman" w:hAnsi="Times New Roman" w:cs="Times New Roman"/>
          <w:sz w:val="24"/>
          <w:szCs w:val="24"/>
        </w:rPr>
        <w:t>ehabilitation of Offenders Act 1974</w:t>
      </w:r>
      <w:r w:rsidRPr="0042697C">
        <w:rPr>
          <w:rFonts w:ascii="Times New Roman" w:hAnsi="Times New Roman" w:cs="Times New Roman"/>
          <w:sz w:val="24"/>
          <w:szCs w:val="24"/>
        </w:rPr>
        <w:t xml:space="preserve"> and Sexual </w:t>
      </w:r>
      <w:r w:rsidR="00D05AEE" w:rsidRPr="0042697C">
        <w:rPr>
          <w:rFonts w:ascii="Times New Roman" w:hAnsi="Times New Roman" w:cs="Times New Roman"/>
          <w:sz w:val="24"/>
          <w:szCs w:val="24"/>
        </w:rPr>
        <w:t>O</w:t>
      </w:r>
      <w:r w:rsidRPr="0042697C">
        <w:rPr>
          <w:rFonts w:ascii="Times New Roman" w:hAnsi="Times New Roman" w:cs="Times New Roman"/>
          <w:sz w:val="24"/>
          <w:szCs w:val="24"/>
        </w:rPr>
        <w:t>ffences Act 2003</w:t>
      </w:r>
    </w:p>
    <w:p w14:paraId="56BEE339" w14:textId="77777777" w:rsidR="00C85EA9" w:rsidRPr="00DB25FE" w:rsidRDefault="00C85EA9" w:rsidP="00C85EA9">
      <w:pPr>
        <w:spacing w:after="0" w:line="480" w:lineRule="auto"/>
        <w:rPr>
          <w:rFonts w:ascii="Times New Roman" w:hAnsi="Times New Roman" w:cs="Times New Roman"/>
          <w:sz w:val="24"/>
          <w:szCs w:val="24"/>
        </w:rPr>
      </w:pPr>
    </w:p>
    <w:p w14:paraId="741FE248" w14:textId="77777777" w:rsidR="00BD7DCB" w:rsidRPr="00DB25FE" w:rsidRDefault="00BD7DCB" w:rsidP="00E07B7A">
      <w:pPr>
        <w:spacing w:line="480" w:lineRule="auto"/>
        <w:jc w:val="both"/>
        <w:rPr>
          <w:rFonts w:ascii="Times New Roman" w:hAnsi="Times New Roman" w:cs="Times New Roman"/>
          <w:i/>
          <w:sz w:val="24"/>
          <w:szCs w:val="24"/>
          <w:lang w:val="en"/>
        </w:rPr>
      </w:pPr>
      <w:r w:rsidRPr="00DB25FE">
        <w:rPr>
          <w:rFonts w:ascii="Times New Roman" w:hAnsi="Times New Roman" w:cs="Times New Roman"/>
          <w:i/>
          <w:sz w:val="24"/>
          <w:szCs w:val="24"/>
        </w:rPr>
        <w:t>Currently the law in England and Wales means that young people who engage in consensual teenage s</w:t>
      </w:r>
      <w:bookmarkStart w:id="0" w:name="_GoBack"/>
      <w:bookmarkEnd w:id="0"/>
      <w:r w:rsidRPr="00DB25FE">
        <w:rPr>
          <w:rFonts w:ascii="Times New Roman" w:hAnsi="Times New Roman" w:cs="Times New Roman"/>
          <w:i/>
          <w:sz w:val="24"/>
          <w:szCs w:val="24"/>
        </w:rPr>
        <w:t>exting are at risk of being charged with child pornography and indecency offences. Even where no formal action is taken</w:t>
      </w:r>
      <w:r w:rsidR="003106FF" w:rsidRPr="00DB25FE">
        <w:rPr>
          <w:rFonts w:ascii="Times New Roman" w:hAnsi="Times New Roman" w:cs="Times New Roman"/>
          <w:i/>
          <w:sz w:val="24"/>
          <w:szCs w:val="24"/>
        </w:rPr>
        <w:t>,</w:t>
      </w:r>
      <w:r w:rsidRPr="00DB25FE">
        <w:rPr>
          <w:rFonts w:ascii="Times New Roman" w:hAnsi="Times New Roman" w:cs="Times New Roman"/>
          <w:i/>
          <w:sz w:val="24"/>
          <w:szCs w:val="24"/>
        </w:rPr>
        <w:t xml:space="preserve"> any investigation of such behaviour will be recorded on the young person’s criminal record</w:t>
      </w:r>
      <w:r w:rsidR="00C44BB3" w:rsidRPr="00DB25FE">
        <w:rPr>
          <w:rFonts w:ascii="Times New Roman" w:hAnsi="Times New Roman" w:cs="Times New Roman"/>
          <w:i/>
          <w:sz w:val="24"/>
          <w:szCs w:val="24"/>
        </w:rPr>
        <w:t xml:space="preserve"> where it may be disclosed in a way which impacts upon the young person’s future access to education, employment, travel</w:t>
      </w:r>
      <w:r w:rsidR="003C6AEA" w:rsidRPr="00DB25FE">
        <w:rPr>
          <w:rFonts w:ascii="Times New Roman" w:hAnsi="Times New Roman" w:cs="Times New Roman"/>
          <w:i/>
          <w:sz w:val="24"/>
          <w:szCs w:val="24"/>
        </w:rPr>
        <w:t>, insurance</w:t>
      </w:r>
      <w:r w:rsidR="00C44BB3" w:rsidRPr="00DB25FE">
        <w:rPr>
          <w:rFonts w:ascii="Times New Roman" w:hAnsi="Times New Roman" w:cs="Times New Roman"/>
          <w:i/>
          <w:sz w:val="24"/>
          <w:szCs w:val="24"/>
        </w:rPr>
        <w:t xml:space="preserve"> and housing</w:t>
      </w:r>
      <w:r w:rsidRPr="00DB25FE">
        <w:rPr>
          <w:rFonts w:ascii="Times New Roman" w:hAnsi="Times New Roman" w:cs="Times New Roman"/>
          <w:i/>
          <w:sz w:val="24"/>
          <w:szCs w:val="24"/>
        </w:rPr>
        <w:t xml:space="preserve">. This article will argue </w:t>
      </w:r>
      <w:r w:rsidR="00ED182A" w:rsidRPr="00DB25FE">
        <w:rPr>
          <w:rFonts w:ascii="Times New Roman" w:hAnsi="Times New Roman" w:cs="Times New Roman"/>
          <w:i/>
          <w:sz w:val="24"/>
          <w:szCs w:val="24"/>
        </w:rPr>
        <w:t xml:space="preserve">that it is </w:t>
      </w:r>
      <w:r w:rsidRPr="00DB25FE">
        <w:rPr>
          <w:rFonts w:ascii="Times New Roman" w:hAnsi="Times New Roman" w:cs="Times New Roman"/>
          <w:i/>
          <w:sz w:val="24"/>
          <w:szCs w:val="24"/>
          <w:lang w:val="en"/>
        </w:rPr>
        <w:t xml:space="preserve">critical to find a balance between children’s protection rights and </w:t>
      </w:r>
      <w:r w:rsidR="00D3363F" w:rsidRPr="00DB25FE">
        <w:rPr>
          <w:rFonts w:ascii="Times New Roman" w:hAnsi="Times New Roman" w:cs="Times New Roman"/>
          <w:i/>
          <w:sz w:val="24"/>
          <w:szCs w:val="24"/>
          <w:lang w:val="en"/>
        </w:rPr>
        <w:t>their right to sexual self-determination.</w:t>
      </w:r>
    </w:p>
    <w:p w14:paraId="0638E1E4" w14:textId="77777777" w:rsidR="00BD7DCB" w:rsidRPr="00DB25FE" w:rsidRDefault="00600CB8" w:rsidP="00600CB8">
      <w:pPr>
        <w:rPr>
          <w:rFonts w:ascii="Times New Roman" w:hAnsi="Times New Roman" w:cs="Times New Roman"/>
          <w:sz w:val="24"/>
          <w:szCs w:val="24"/>
        </w:rPr>
      </w:pPr>
      <w:r w:rsidRPr="00DB25FE">
        <w:rPr>
          <w:rFonts w:ascii="Times New Roman" w:hAnsi="Times New Roman" w:cs="Times New Roman"/>
          <w:sz w:val="24"/>
          <w:szCs w:val="24"/>
        </w:rPr>
        <w:br w:type="page"/>
      </w:r>
    </w:p>
    <w:p w14:paraId="4F3E9383" w14:textId="77777777" w:rsidR="00C85EA9" w:rsidRPr="00DB25FE" w:rsidRDefault="00C85EA9" w:rsidP="00FF4BFA">
      <w:pPr>
        <w:spacing w:after="0" w:line="480" w:lineRule="auto"/>
        <w:jc w:val="both"/>
        <w:rPr>
          <w:rFonts w:ascii="Times New Roman" w:hAnsi="Times New Roman" w:cs="Times New Roman"/>
          <w:b/>
          <w:sz w:val="24"/>
          <w:szCs w:val="24"/>
        </w:rPr>
      </w:pPr>
      <w:r w:rsidRPr="00DB25FE">
        <w:rPr>
          <w:rFonts w:ascii="Times New Roman" w:hAnsi="Times New Roman" w:cs="Times New Roman"/>
          <w:b/>
          <w:sz w:val="24"/>
          <w:szCs w:val="24"/>
        </w:rPr>
        <w:lastRenderedPageBreak/>
        <w:t>Introduction</w:t>
      </w:r>
    </w:p>
    <w:p w14:paraId="2EADDE76" w14:textId="77777777" w:rsidR="00C85EA9" w:rsidRPr="00DB25FE" w:rsidRDefault="00C85EA9" w:rsidP="00FF4BFA">
      <w:pPr>
        <w:spacing w:after="0" w:line="480" w:lineRule="auto"/>
        <w:jc w:val="both"/>
        <w:rPr>
          <w:rFonts w:ascii="Times New Roman" w:hAnsi="Times New Roman" w:cs="Times New Roman"/>
          <w:sz w:val="24"/>
          <w:szCs w:val="24"/>
        </w:rPr>
      </w:pPr>
    </w:p>
    <w:p w14:paraId="5F3C0E7C" w14:textId="0ECD6EEB" w:rsidR="003E0C38" w:rsidRPr="00DB25FE" w:rsidRDefault="009859A7" w:rsidP="00FF4B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162154" w:rsidRPr="00DB25FE">
        <w:rPr>
          <w:rFonts w:ascii="Times New Roman" w:hAnsi="Times New Roman" w:cs="Times New Roman"/>
          <w:sz w:val="24"/>
          <w:szCs w:val="24"/>
        </w:rPr>
        <w:t>Sexting</w:t>
      </w:r>
      <w:r>
        <w:rPr>
          <w:rFonts w:ascii="Times New Roman" w:hAnsi="Times New Roman" w:cs="Times New Roman"/>
          <w:sz w:val="24"/>
          <w:szCs w:val="24"/>
        </w:rPr>
        <w:t>’</w:t>
      </w:r>
      <w:r w:rsidR="00162154" w:rsidRPr="00DB25FE">
        <w:rPr>
          <w:rFonts w:ascii="Times New Roman" w:hAnsi="Times New Roman" w:cs="Times New Roman"/>
          <w:sz w:val="24"/>
          <w:szCs w:val="24"/>
        </w:rPr>
        <w:t xml:space="preserve"> refers to the sending or receiving of sexually explicit text message</w:t>
      </w:r>
      <w:r w:rsidR="00643DB9" w:rsidRPr="00DB25FE">
        <w:rPr>
          <w:rFonts w:ascii="Times New Roman" w:hAnsi="Times New Roman" w:cs="Times New Roman"/>
          <w:sz w:val="24"/>
          <w:szCs w:val="24"/>
        </w:rPr>
        <w:t>s</w:t>
      </w:r>
      <w:r w:rsidR="00162154" w:rsidRPr="00DB25FE">
        <w:rPr>
          <w:rFonts w:ascii="Times New Roman" w:hAnsi="Times New Roman" w:cs="Times New Roman"/>
          <w:sz w:val="24"/>
          <w:szCs w:val="24"/>
        </w:rPr>
        <w:t xml:space="preserve"> including the digital recording of naked, semi-naked, sexually suggestive or explicit images and their distribution via mobile phone messaging, email or social network sites.</w:t>
      </w:r>
      <w:r w:rsidR="00162154" w:rsidRPr="00DB25FE">
        <w:rPr>
          <w:rStyle w:val="FootnoteReference"/>
          <w:rFonts w:ascii="Times New Roman" w:hAnsi="Times New Roman" w:cs="Times New Roman"/>
          <w:sz w:val="24"/>
          <w:szCs w:val="24"/>
        </w:rPr>
        <w:footnoteReference w:id="2"/>
      </w:r>
      <w:r w:rsidR="00162154" w:rsidRPr="00DB25FE">
        <w:rPr>
          <w:rFonts w:ascii="Times New Roman" w:hAnsi="Times New Roman" w:cs="Times New Roman"/>
          <w:sz w:val="24"/>
          <w:szCs w:val="24"/>
        </w:rPr>
        <w:t xml:space="preserve"> </w:t>
      </w:r>
      <w:r w:rsidR="00A37B77" w:rsidRPr="00DB25FE">
        <w:rPr>
          <w:rFonts w:ascii="Times New Roman" w:hAnsi="Times New Roman" w:cs="Times New Roman"/>
          <w:sz w:val="24"/>
          <w:szCs w:val="24"/>
        </w:rPr>
        <w:t xml:space="preserve">The </w:t>
      </w:r>
      <w:r w:rsidR="0056128B" w:rsidRPr="00DB25FE">
        <w:rPr>
          <w:rFonts w:ascii="Times New Roman" w:hAnsi="Times New Roman" w:cs="Times New Roman"/>
          <w:sz w:val="24"/>
          <w:szCs w:val="24"/>
        </w:rPr>
        <w:t>current law</w:t>
      </w:r>
      <w:r w:rsidR="00A37B77" w:rsidRPr="00DB25FE">
        <w:rPr>
          <w:rFonts w:ascii="Times New Roman" w:hAnsi="Times New Roman" w:cs="Times New Roman"/>
          <w:sz w:val="24"/>
          <w:szCs w:val="24"/>
        </w:rPr>
        <w:t>s</w:t>
      </w:r>
      <w:r w:rsidR="0056128B" w:rsidRPr="00DB25FE">
        <w:rPr>
          <w:rFonts w:ascii="Times New Roman" w:hAnsi="Times New Roman" w:cs="Times New Roman"/>
          <w:sz w:val="24"/>
          <w:szCs w:val="24"/>
        </w:rPr>
        <w:t xml:space="preserve"> in England and Wales mean that young people who engage in consensual teenage sexting are at risk of being charged with child pornography and indecency offences. </w:t>
      </w:r>
      <w:r w:rsidR="00052A13" w:rsidRPr="00DB25FE">
        <w:rPr>
          <w:rFonts w:ascii="Times New Roman" w:hAnsi="Times New Roman" w:cs="Times New Roman"/>
          <w:sz w:val="24"/>
          <w:szCs w:val="24"/>
        </w:rPr>
        <w:t>As c</w:t>
      </w:r>
      <w:r w:rsidR="007176F4" w:rsidRPr="00DB25FE">
        <w:rPr>
          <w:rFonts w:ascii="Times New Roman" w:hAnsi="Times New Roman" w:cs="Times New Roman"/>
          <w:sz w:val="24"/>
          <w:szCs w:val="24"/>
        </w:rPr>
        <w:t>hild pornography laws do not distinguish consensual teenage sexting from child pornography</w:t>
      </w:r>
      <w:r w:rsidR="00A37B77" w:rsidRPr="00DB25FE">
        <w:rPr>
          <w:rFonts w:ascii="Times New Roman" w:hAnsi="Times New Roman" w:cs="Times New Roman"/>
          <w:sz w:val="24"/>
          <w:szCs w:val="24"/>
        </w:rPr>
        <w:t>,</w:t>
      </w:r>
      <w:r w:rsidR="007176F4" w:rsidRPr="00DB25FE">
        <w:rPr>
          <w:rFonts w:ascii="Times New Roman" w:hAnsi="Times New Roman" w:cs="Times New Roman"/>
          <w:sz w:val="24"/>
          <w:szCs w:val="24"/>
        </w:rPr>
        <w:t xml:space="preserve"> </w:t>
      </w:r>
      <w:r w:rsidR="00052A13" w:rsidRPr="00DB25FE">
        <w:rPr>
          <w:rFonts w:ascii="Times New Roman" w:hAnsi="Times New Roman" w:cs="Times New Roman"/>
          <w:sz w:val="24"/>
          <w:szCs w:val="24"/>
        </w:rPr>
        <w:t>the</w:t>
      </w:r>
      <w:r>
        <w:rPr>
          <w:rFonts w:ascii="Times New Roman" w:hAnsi="Times New Roman" w:cs="Times New Roman"/>
          <w:sz w:val="24"/>
          <w:szCs w:val="24"/>
        </w:rPr>
        <w:t>se laws</w:t>
      </w:r>
      <w:r w:rsidR="00052A13" w:rsidRPr="00DB25FE">
        <w:rPr>
          <w:rFonts w:ascii="Times New Roman" w:hAnsi="Times New Roman" w:cs="Times New Roman"/>
          <w:sz w:val="24"/>
          <w:szCs w:val="24"/>
        </w:rPr>
        <w:t xml:space="preserve"> potentially </w:t>
      </w:r>
      <w:r w:rsidR="007176F4" w:rsidRPr="00DB25FE">
        <w:rPr>
          <w:rFonts w:ascii="Times New Roman" w:hAnsi="Times New Roman" w:cs="Times New Roman"/>
          <w:sz w:val="24"/>
          <w:szCs w:val="24"/>
        </w:rPr>
        <w:t xml:space="preserve">expose both the sender and receiver of youth sexting to the risk of criminal prosecution, </w:t>
      </w:r>
      <w:r>
        <w:rPr>
          <w:rFonts w:ascii="Times New Roman" w:hAnsi="Times New Roman" w:cs="Times New Roman"/>
          <w:sz w:val="24"/>
          <w:szCs w:val="24"/>
        </w:rPr>
        <w:t xml:space="preserve">with consequent </w:t>
      </w:r>
      <w:r w:rsidR="007176F4" w:rsidRPr="00DB25FE">
        <w:rPr>
          <w:rFonts w:ascii="Times New Roman" w:hAnsi="Times New Roman" w:cs="Times New Roman"/>
          <w:sz w:val="24"/>
          <w:szCs w:val="24"/>
        </w:rPr>
        <w:t xml:space="preserve">classification as a sex offender and a permanent criminal record </w:t>
      </w:r>
      <w:r>
        <w:rPr>
          <w:rFonts w:ascii="Times New Roman" w:hAnsi="Times New Roman" w:cs="Times New Roman"/>
          <w:sz w:val="24"/>
          <w:szCs w:val="24"/>
        </w:rPr>
        <w:t>for</w:t>
      </w:r>
      <w:r w:rsidR="007176F4" w:rsidRPr="00DB25FE">
        <w:rPr>
          <w:rFonts w:ascii="Times New Roman" w:hAnsi="Times New Roman" w:cs="Times New Roman"/>
          <w:sz w:val="24"/>
          <w:szCs w:val="24"/>
        </w:rPr>
        <w:t xml:space="preserve"> youthful sexual exploration and experimentation. </w:t>
      </w:r>
    </w:p>
    <w:p w14:paraId="1E049F0A" w14:textId="77777777" w:rsidR="00C85EA9" w:rsidRPr="00DB25FE" w:rsidRDefault="00C85EA9" w:rsidP="00C85EA9">
      <w:pPr>
        <w:spacing w:line="480" w:lineRule="auto"/>
        <w:jc w:val="both"/>
        <w:rPr>
          <w:rFonts w:ascii="Times New Roman" w:hAnsi="Times New Roman" w:cs="Times New Roman"/>
          <w:sz w:val="24"/>
          <w:szCs w:val="24"/>
        </w:rPr>
      </w:pPr>
    </w:p>
    <w:p w14:paraId="3255FD01" w14:textId="7F37EE24" w:rsidR="00F8208E" w:rsidRPr="00DB25FE" w:rsidRDefault="003E0C38" w:rsidP="00C85EA9">
      <w:pPr>
        <w:spacing w:line="480" w:lineRule="auto"/>
        <w:jc w:val="both"/>
        <w:rPr>
          <w:rFonts w:ascii="Times New Roman" w:hAnsi="Times New Roman" w:cs="Times New Roman"/>
          <w:sz w:val="24"/>
          <w:szCs w:val="24"/>
        </w:rPr>
      </w:pPr>
      <w:r w:rsidRPr="00DB25FE">
        <w:rPr>
          <w:rFonts w:ascii="Times New Roman" w:hAnsi="Times New Roman" w:cs="Times New Roman"/>
          <w:sz w:val="24"/>
          <w:szCs w:val="24"/>
        </w:rPr>
        <w:t>This article will consider the state of current legal responses to the practice of consensual sexting amongst teenagers</w:t>
      </w:r>
      <w:r w:rsidR="00ED182A" w:rsidRPr="00DB25FE">
        <w:rPr>
          <w:rFonts w:ascii="Times New Roman" w:hAnsi="Times New Roman" w:cs="Times New Roman"/>
          <w:sz w:val="24"/>
          <w:szCs w:val="24"/>
        </w:rPr>
        <w:t>.</w:t>
      </w:r>
      <w:r w:rsidRPr="00DB25FE">
        <w:rPr>
          <w:rFonts w:ascii="Times New Roman" w:hAnsi="Times New Roman" w:cs="Times New Roman"/>
          <w:sz w:val="24"/>
          <w:szCs w:val="24"/>
        </w:rPr>
        <w:t xml:space="preserve"> </w:t>
      </w:r>
      <w:r w:rsidR="00162C16" w:rsidRPr="00DB25FE">
        <w:rPr>
          <w:rFonts w:ascii="Times New Roman" w:hAnsi="Times New Roman" w:cs="Times New Roman"/>
          <w:sz w:val="24"/>
          <w:szCs w:val="24"/>
        </w:rPr>
        <w:t xml:space="preserve">This article will not be arguing that there should be no protection </w:t>
      </w:r>
      <w:r w:rsidR="009859A7">
        <w:rPr>
          <w:rFonts w:ascii="Times New Roman" w:hAnsi="Times New Roman" w:cs="Times New Roman"/>
          <w:sz w:val="24"/>
          <w:szCs w:val="24"/>
        </w:rPr>
        <w:t>for</w:t>
      </w:r>
      <w:r w:rsidR="00162C16" w:rsidRPr="00DB25FE">
        <w:rPr>
          <w:rFonts w:ascii="Times New Roman" w:hAnsi="Times New Roman" w:cs="Times New Roman"/>
          <w:sz w:val="24"/>
          <w:szCs w:val="24"/>
        </w:rPr>
        <w:t xml:space="preserve"> children in the context of sexting, child exploitation and the creation and distribution of child pornography. </w:t>
      </w:r>
      <w:r w:rsidR="00F8208E" w:rsidRPr="00DB25FE">
        <w:rPr>
          <w:rFonts w:ascii="Times New Roman" w:hAnsi="Times New Roman" w:cs="Times New Roman"/>
          <w:sz w:val="24"/>
          <w:szCs w:val="24"/>
        </w:rPr>
        <w:t xml:space="preserve">The law needs to protect young people from the unauthorised showing and distribution of pornographic images of children. </w:t>
      </w:r>
      <w:r w:rsidR="00EF79CF" w:rsidRPr="00DB25FE">
        <w:rPr>
          <w:rFonts w:ascii="Times New Roman" w:hAnsi="Times New Roman" w:cs="Times New Roman"/>
          <w:sz w:val="24"/>
          <w:szCs w:val="24"/>
        </w:rPr>
        <w:t>However</w:t>
      </w:r>
      <w:r w:rsidR="00D05AEE" w:rsidRPr="00DB25FE">
        <w:rPr>
          <w:rFonts w:ascii="Times New Roman" w:hAnsi="Times New Roman" w:cs="Times New Roman"/>
          <w:sz w:val="24"/>
          <w:szCs w:val="24"/>
        </w:rPr>
        <w:t>,</w:t>
      </w:r>
      <w:r w:rsidR="00EF79CF" w:rsidRPr="00DB25FE">
        <w:rPr>
          <w:rFonts w:ascii="Times New Roman" w:hAnsi="Times New Roman" w:cs="Times New Roman"/>
          <w:sz w:val="24"/>
          <w:szCs w:val="24"/>
        </w:rPr>
        <w:t xml:space="preserve"> r</w:t>
      </w:r>
      <w:r w:rsidR="00162C16" w:rsidRPr="00DB25FE">
        <w:rPr>
          <w:rFonts w:ascii="Times New Roman" w:hAnsi="Times New Roman" w:cs="Times New Roman"/>
          <w:sz w:val="24"/>
          <w:szCs w:val="24"/>
        </w:rPr>
        <w:t xml:space="preserve">emedies already exist for non-consensual sexting or exploitation such as laws which criminalise revenge porn, offences against indecency, stalking and harassment. It is </w:t>
      </w:r>
      <w:r w:rsidR="00EF79CF" w:rsidRPr="00DB25FE">
        <w:rPr>
          <w:rFonts w:ascii="Times New Roman" w:hAnsi="Times New Roman" w:cs="Times New Roman"/>
          <w:sz w:val="24"/>
          <w:szCs w:val="24"/>
        </w:rPr>
        <w:t xml:space="preserve">also </w:t>
      </w:r>
      <w:r w:rsidR="00162C16" w:rsidRPr="00DB25FE">
        <w:rPr>
          <w:rFonts w:ascii="Times New Roman" w:hAnsi="Times New Roman" w:cs="Times New Roman"/>
          <w:sz w:val="24"/>
          <w:szCs w:val="24"/>
        </w:rPr>
        <w:t>possible to bring an action for breach of privacy, breach of confidence, nuisance and sexual harassment. This article will argue that t</w:t>
      </w:r>
      <w:r w:rsidRPr="00DB25FE">
        <w:rPr>
          <w:rFonts w:ascii="Times New Roman" w:hAnsi="Times New Roman" w:cs="Times New Roman"/>
          <w:sz w:val="24"/>
          <w:szCs w:val="24"/>
        </w:rPr>
        <w:t xml:space="preserve">he </w:t>
      </w:r>
      <w:r w:rsidR="003106FF" w:rsidRPr="00DB25FE">
        <w:rPr>
          <w:rFonts w:ascii="Times New Roman" w:hAnsi="Times New Roman" w:cs="Times New Roman"/>
          <w:sz w:val="24"/>
          <w:szCs w:val="24"/>
        </w:rPr>
        <w:t>criminal justice</w:t>
      </w:r>
      <w:r w:rsidRPr="00DB25FE">
        <w:rPr>
          <w:rFonts w:ascii="Times New Roman" w:hAnsi="Times New Roman" w:cs="Times New Roman"/>
          <w:sz w:val="24"/>
          <w:szCs w:val="24"/>
        </w:rPr>
        <w:t xml:space="preserve"> response to </w:t>
      </w:r>
      <w:r w:rsidR="00162C16" w:rsidRPr="00DB25FE">
        <w:rPr>
          <w:rFonts w:ascii="Times New Roman" w:hAnsi="Times New Roman" w:cs="Times New Roman"/>
          <w:sz w:val="24"/>
          <w:szCs w:val="24"/>
        </w:rPr>
        <w:t xml:space="preserve">consensual </w:t>
      </w:r>
      <w:r w:rsidRPr="00DB25FE">
        <w:rPr>
          <w:rFonts w:ascii="Times New Roman" w:hAnsi="Times New Roman" w:cs="Times New Roman"/>
          <w:sz w:val="24"/>
          <w:szCs w:val="24"/>
        </w:rPr>
        <w:t xml:space="preserve">teenage sexting </w:t>
      </w:r>
      <w:r w:rsidR="00DD4FC3" w:rsidRPr="00DB25FE">
        <w:rPr>
          <w:rFonts w:ascii="Times New Roman" w:hAnsi="Times New Roman" w:cs="Times New Roman"/>
          <w:sz w:val="24"/>
          <w:szCs w:val="24"/>
        </w:rPr>
        <w:t xml:space="preserve">which categorises young people who engage in sexting as producers and distributors of their own </w:t>
      </w:r>
      <w:r w:rsidR="003106FF" w:rsidRPr="00DB25FE">
        <w:rPr>
          <w:rFonts w:ascii="Times New Roman" w:hAnsi="Times New Roman" w:cs="Times New Roman"/>
          <w:sz w:val="24"/>
          <w:szCs w:val="24"/>
        </w:rPr>
        <w:t xml:space="preserve">child </w:t>
      </w:r>
      <w:r w:rsidR="00DD4FC3" w:rsidRPr="00DB25FE">
        <w:rPr>
          <w:rFonts w:ascii="Times New Roman" w:hAnsi="Times New Roman" w:cs="Times New Roman"/>
          <w:sz w:val="24"/>
          <w:szCs w:val="24"/>
        </w:rPr>
        <w:t xml:space="preserve">pornography </w:t>
      </w:r>
      <w:r w:rsidRPr="00DB25FE">
        <w:rPr>
          <w:rFonts w:ascii="Times New Roman" w:hAnsi="Times New Roman" w:cs="Times New Roman"/>
          <w:sz w:val="24"/>
          <w:szCs w:val="24"/>
        </w:rPr>
        <w:t>needs to be redrawn</w:t>
      </w:r>
      <w:r w:rsidR="00F8208E" w:rsidRPr="00DB25FE">
        <w:rPr>
          <w:rFonts w:ascii="Times New Roman" w:hAnsi="Times New Roman" w:cs="Times New Roman"/>
          <w:sz w:val="24"/>
          <w:szCs w:val="24"/>
        </w:rPr>
        <w:t xml:space="preserve"> in a way which provides a more individualised approach to how adolescents who are exploring their sexuality are treated by the criminal justice system.</w:t>
      </w:r>
    </w:p>
    <w:p w14:paraId="27D7D5F3" w14:textId="77777777" w:rsidR="00FF4BFA" w:rsidRPr="00DB25FE" w:rsidRDefault="00560393" w:rsidP="00C85EA9">
      <w:pPr>
        <w:spacing w:line="480" w:lineRule="auto"/>
        <w:jc w:val="both"/>
        <w:rPr>
          <w:rFonts w:ascii="Times New Roman" w:hAnsi="Times New Roman" w:cs="Times New Roman"/>
          <w:sz w:val="24"/>
          <w:szCs w:val="24"/>
        </w:rPr>
      </w:pPr>
      <w:r w:rsidRPr="00DB25FE">
        <w:rPr>
          <w:rFonts w:ascii="Times New Roman" w:hAnsi="Times New Roman" w:cs="Times New Roman"/>
          <w:sz w:val="24"/>
          <w:szCs w:val="24"/>
        </w:rPr>
        <w:t xml:space="preserve"> </w:t>
      </w:r>
    </w:p>
    <w:p w14:paraId="1E3782CD" w14:textId="77777777" w:rsidR="00B34107" w:rsidRPr="00DB25FE" w:rsidRDefault="00B34107" w:rsidP="00C85EA9">
      <w:pPr>
        <w:pStyle w:val="ListParagraph"/>
        <w:numPr>
          <w:ilvl w:val="0"/>
          <w:numId w:val="3"/>
        </w:numPr>
        <w:spacing w:after="0" w:line="480" w:lineRule="auto"/>
        <w:rPr>
          <w:rFonts w:ascii="Times New Roman" w:hAnsi="Times New Roman" w:cs="Times New Roman"/>
          <w:b/>
          <w:sz w:val="24"/>
          <w:szCs w:val="24"/>
        </w:rPr>
      </w:pPr>
      <w:r w:rsidRPr="00DB25FE">
        <w:rPr>
          <w:rFonts w:ascii="Times New Roman" w:hAnsi="Times New Roman" w:cs="Times New Roman"/>
          <w:b/>
          <w:sz w:val="24"/>
          <w:szCs w:val="24"/>
        </w:rPr>
        <w:t>The legal response to youth consensual sexting</w:t>
      </w:r>
    </w:p>
    <w:p w14:paraId="52A1BCCD" w14:textId="77777777" w:rsidR="00C85EA9" w:rsidRPr="00DB25FE" w:rsidRDefault="00C85EA9" w:rsidP="0093068F">
      <w:pPr>
        <w:pStyle w:val="NormalWeb"/>
        <w:spacing w:line="480" w:lineRule="auto"/>
        <w:jc w:val="both"/>
      </w:pPr>
    </w:p>
    <w:p w14:paraId="21D4E582" w14:textId="487CCF5D" w:rsidR="00AA1D13" w:rsidRPr="00DB25FE" w:rsidRDefault="00A37B77" w:rsidP="0093068F">
      <w:pPr>
        <w:pStyle w:val="NormalWeb"/>
        <w:spacing w:line="480" w:lineRule="auto"/>
        <w:jc w:val="both"/>
        <w:rPr>
          <w:lang w:val="en"/>
        </w:rPr>
      </w:pPr>
      <w:r w:rsidRPr="00DB25FE">
        <w:t>T</w:t>
      </w:r>
      <w:r w:rsidR="00314A1F" w:rsidRPr="00DB25FE">
        <w:t xml:space="preserve">he age at which young people can lawfully consent to engage in sexual activity is </w:t>
      </w:r>
      <w:r w:rsidR="00DB086E" w:rsidRPr="00DB25FE">
        <w:t xml:space="preserve">currently </w:t>
      </w:r>
      <w:r w:rsidR="00314A1F" w:rsidRPr="00DB25FE">
        <w:t>16 years</w:t>
      </w:r>
      <w:r w:rsidR="00DB086E" w:rsidRPr="00DB25FE">
        <w:t xml:space="preserve"> in England and Wales</w:t>
      </w:r>
      <w:r w:rsidR="00314A1F" w:rsidRPr="00DB25FE">
        <w:t xml:space="preserve">. </w:t>
      </w:r>
      <w:r w:rsidR="001B6ECF" w:rsidRPr="00DB25FE">
        <w:t>The</w:t>
      </w:r>
      <w:r w:rsidR="00D05AEE" w:rsidRPr="00DB25FE">
        <w:t xml:space="preserve"> laws governing the</w:t>
      </w:r>
      <w:r w:rsidR="001B6ECF" w:rsidRPr="00DB25FE">
        <w:t xml:space="preserve"> age of consent laws intended to protect children from sexual relations by criminalising all forms of sexual behaviour involving young people</w:t>
      </w:r>
      <w:r w:rsidR="00E0475A" w:rsidRPr="00DB25FE">
        <w:t xml:space="preserve"> below the age of consent</w:t>
      </w:r>
      <w:r w:rsidR="001B6ECF" w:rsidRPr="00DB25FE">
        <w:t xml:space="preserve">. </w:t>
      </w:r>
      <w:r w:rsidR="00AA1D13" w:rsidRPr="00DB25FE">
        <w:t xml:space="preserve">Anyone who engages in sexual activity with a child younger than 16 years of age </w:t>
      </w:r>
      <w:r w:rsidR="006E500B" w:rsidRPr="00DB25FE">
        <w:t>commit</w:t>
      </w:r>
      <w:r w:rsidR="0056128B" w:rsidRPr="00DB25FE">
        <w:t>s</w:t>
      </w:r>
      <w:r w:rsidR="006E500B" w:rsidRPr="00DB25FE">
        <w:t xml:space="preserve"> a criminal offence and </w:t>
      </w:r>
      <w:r w:rsidR="0056128B" w:rsidRPr="00DB25FE">
        <w:t xml:space="preserve">will </w:t>
      </w:r>
      <w:r w:rsidR="00AA1D13" w:rsidRPr="00DB25FE">
        <w:t>be subject to the penalties set out in the Sexual Offences Act 2003</w:t>
      </w:r>
      <w:r w:rsidR="004C5DAC" w:rsidRPr="00DB25FE">
        <w:t xml:space="preserve"> unless they reasonably believed the young person was at least 16 years old</w:t>
      </w:r>
      <w:r w:rsidR="00AA1D13" w:rsidRPr="00DB25FE">
        <w:t>.</w:t>
      </w:r>
      <w:r w:rsidR="004C5DAC" w:rsidRPr="00DB25FE">
        <w:rPr>
          <w:rStyle w:val="FootnoteReference"/>
        </w:rPr>
        <w:footnoteReference w:id="3"/>
      </w:r>
      <w:r w:rsidR="00AA1D13" w:rsidRPr="00DB25FE">
        <w:t xml:space="preserve"> Home Office </w:t>
      </w:r>
      <w:r w:rsidR="00AA1D13" w:rsidRPr="007C51E6">
        <w:t>Guidance</w:t>
      </w:r>
      <w:r w:rsidR="00AA1D13" w:rsidRPr="00DB25FE">
        <w:rPr>
          <w:i/>
        </w:rPr>
        <w:t xml:space="preserve"> </w:t>
      </w:r>
      <w:r w:rsidR="00AA1D13" w:rsidRPr="00DB25FE">
        <w:t xml:space="preserve">issued with the Sexual Offences Act 2003 </w:t>
      </w:r>
      <w:r w:rsidR="00E468FF" w:rsidRPr="00DB25FE">
        <w:t xml:space="preserve">sought to reassure </w:t>
      </w:r>
      <w:r w:rsidR="007C51E6">
        <w:t xml:space="preserve">society </w:t>
      </w:r>
      <w:r w:rsidR="00AA1D13" w:rsidRPr="00DB25FE">
        <w:t xml:space="preserve">that these laws are designed to </w:t>
      </w:r>
      <w:r w:rsidR="00AA1D13" w:rsidRPr="00DB25FE">
        <w:rPr>
          <w:lang w:val="en"/>
        </w:rPr>
        <w:t xml:space="preserve">protect children from abuse and exploitation and not to prosecute under-16s who have mutually consenting sexual activity: </w:t>
      </w:r>
    </w:p>
    <w:p w14:paraId="7F756851" w14:textId="77777777" w:rsidR="00AA1D13" w:rsidRPr="00DB25FE" w:rsidRDefault="00AA1D13" w:rsidP="006E500B">
      <w:pPr>
        <w:pStyle w:val="NormalWeb"/>
        <w:ind w:left="720"/>
        <w:jc w:val="both"/>
        <w:rPr>
          <w:lang w:val="en"/>
        </w:rPr>
      </w:pPr>
      <w:r w:rsidRPr="00DB25FE">
        <w:t>Although the age of consent remains at 16, the law is</w:t>
      </w:r>
      <w:r w:rsidRPr="00DB25FE">
        <w:rPr>
          <w:iCs/>
        </w:rPr>
        <w:t xml:space="preserve"> </w:t>
      </w:r>
      <w:r w:rsidRPr="00DB25FE">
        <w:t>not intended to prosecute mutually agreed sexual activity between two young people of a similar age, unless</w:t>
      </w:r>
      <w:r w:rsidRPr="00DB25FE">
        <w:rPr>
          <w:iCs/>
        </w:rPr>
        <w:t xml:space="preserve"> </w:t>
      </w:r>
      <w:r w:rsidRPr="00DB25FE">
        <w:t>it involves abuse or exploitation.</w:t>
      </w:r>
      <w:r w:rsidRPr="00DB25FE">
        <w:rPr>
          <w:rStyle w:val="FootnoteReference"/>
        </w:rPr>
        <w:footnoteReference w:id="4"/>
      </w:r>
    </w:p>
    <w:p w14:paraId="562FDF30" w14:textId="528FF3C4" w:rsidR="00E468FF" w:rsidRPr="00DB25FE" w:rsidRDefault="003106FF" w:rsidP="00E468FF">
      <w:pPr>
        <w:pStyle w:val="NormalWeb"/>
        <w:spacing w:line="480" w:lineRule="auto"/>
        <w:jc w:val="both"/>
      </w:pPr>
      <w:r w:rsidRPr="00DB25FE">
        <w:t xml:space="preserve">The guidance suggests that </w:t>
      </w:r>
      <w:r w:rsidR="007C51E6">
        <w:t xml:space="preserve">it may be more appropriate for </w:t>
      </w:r>
      <w:r w:rsidRPr="00DB25FE">
        <w:t>s</w:t>
      </w:r>
      <w:r w:rsidR="0080586C" w:rsidRPr="00DB25FE">
        <w:t xml:space="preserve">ocial welfare agencies </w:t>
      </w:r>
      <w:r w:rsidR="007C51E6">
        <w:t xml:space="preserve">rather </w:t>
      </w:r>
      <w:r w:rsidR="0080586C" w:rsidRPr="00DB25FE">
        <w:t xml:space="preserve">than criminal justice authorities </w:t>
      </w:r>
      <w:r w:rsidR="007C51E6" w:rsidRPr="00DB25FE">
        <w:t xml:space="preserve">to take a lead role </w:t>
      </w:r>
      <w:r w:rsidR="0080586C" w:rsidRPr="00DB25FE">
        <w:t>in the regulation of sexual behaviour</w:t>
      </w:r>
      <w:r w:rsidR="007C51E6">
        <w:t xml:space="preserve"> between</w:t>
      </w:r>
      <w:r w:rsidRPr="00DB25FE">
        <w:t xml:space="preserve"> </w:t>
      </w:r>
      <w:r w:rsidR="007C51E6" w:rsidRPr="00DB25FE">
        <w:t>youth</w:t>
      </w:r>
      <w:r w:rsidR="007C51E6">
        <w:t>s</w:t>
      </w:r>
      <w:r w:rsidR="007C51E6" w:rsidRPr="00DB25FE">
        <w:t xml:space="preserve"> </w:t>
      </w:r>
      <w:r w:rsidRPr="00DB25FE">
        <w:t>and that t</w:t>
      </w:r>
      <w:r w:rsidR="00E468FF" w:rsidRPr="00DB25FE">
        <w:t xml:space="preserve">he criminal law should only be considered where the activity is also clearly </w:t>
      </w:r>
      <w:r w:rsidR="00EF79CF" w:rsidRPr="00DB25FE">
        <w:t xml:space="preserve">coercive or </w:t>
      </w:r>
      <w:r w:rsidR="00E468FF" w:rsidRPr="00DB25FE">
        <w:t>manipulative.</w:t>
      </w:r>
      <w:r w:rsidR="00E468FF" w:rsidRPr="00DB25FE">
        <w:rPr>
          <w:rStyle w:val="FootnoteReference"/>
        </w:rPr>
        <w:footnoteReference w:id="5"/>
      </w:r>
      <w:r w:rsidR="00F8208E" w:rsidRPr="00DB25FE">
        <w:t xml:space="preserve"> Thus</w:t>
      </w:r>
      <w:r w:rsidR="007C51E6">
        <w:t>,</w:t>
      </w:r>
      <w:r w:rsidR="00F8208E" w:rsidRPr="00DB25FE">
        <w:t xml:space="preserve"> the 2003 Act aims to protect </w:t>
      </w:r>
      <w:r w:rsidR="00EF79CF" w:rsidRPr="00DB25FE">
        <w:t xml:space="preserve">young people from sexual abuse, </w:t>
      </w:r>
      <w:r w:rsidR="00F8208E" w:rsidRPr="00DB25FE">
        <w:t xml:space="preserve">the use of force and coercion, </w:t>
      </w:r>
      <w:r w:rsidR="00DB25FE">
        <w:t xml:space="preserve">incest or </w:t>
      </w:r>
      <w:r w:rsidR="00F8208E" w:rsidRPr="00DB25FE">
        <w:t xml:space="preserve">abuse of a relationship of authority and to avoid any risk that consensual teenage sexual exploration would result in criminal charges. </w:t>
      </w:r>
    </w:p>
    <w:p w14:paraId="059226B5" w14:textId="77777777" w:rsidR="00DB086E" w:rsidRPr="00DB25FE" w:rsidRDefault="00DB086E" w:rsidP="00E468FF">
      <w:pPr>
        <w:pStyle w:val="NormalWeb"/>
        <w:spacing w:line="480" w:lineRule="auto"/>
        <w:jc w:val="both"/>
      </w:pPr>
    </w:p>
    <w:p w14:paraId="4CFD646D" w14:textId="540FD761" w:rsidR="004C5DAC" w:rsidRPr="00DB25FE" w:rsidRDefault="00B34107" w:rsidP="0093068F">
      <w:pPr>
        <w:pStyle w:val="NormalWeb"/>
        <w:spacing w:line="480" w:lineRule="auto"/>
        <w:jc w:val="both"/>
        <w:rPr>
          <w:lang w:val="en"/>
        </w:rPr>
      </w:pPr>
      <w:r w:rsidRPr="00DB25FE">
        <w:t xml:space="preserve">In England and Wales </w:t>
      </w:r>
      <w:r w:rsidR="00D35E63" w:rsidRPr="00DB25FE">
        <w:t>any creation or transfer of</w:t>
      </w:r>
      <w:r w:rsidRPr="00DB25FE">
        <w:t xml:space="preserve"> naked images of young people potentially constitutes a criminal act of possessing, transmitting, viewing or downloading indecent images of children under the Protection of Children Act 1978</w:t>
      </w:r>
      <w:r w:rsidR="004C5DAC" w:rsidRPr="00DB25FE">
        <w:t xml:space="preserve"> and the Criminal Justice Act 1988</w:t>
      </w:r>
      <w:r w:rsidRPr="00DB25FE">
        <w:t>. Section 1 of the 1978 Act ma</w:t>
      </w:r>
      <w:r w:rsidR="00C44336" w:rsidRPr="00DB25FE">
        <w:t>de</w:t>
      </w:r>
      <w:r w:rsidRPr="00DB25FE">
        <w:t xml:space="preserve"> it an offence to take </w:t>
      </w:r>
      <w:r w:rsidR="007C51E6">
        <w:t xml:space="preserve">or make </w:t>
      </w:r>
      <w:r w:rsidRPr="00DB25FE">
        <w:t>an indecent photograph of a child under 1</w:t>
      </w:r>
      <w:r w:rsidR="00C44336" w:rsidRPr="00DB25FE">
        <w:t>6</w:t>
      </w:r>
      <w:r w:rsidRPr="00DB25FE">
        <w:t xml:space="preserve"> years of age and also criminalises distributing an indecent photograph of a child. Conviction of these offences carries a maximum 10 years</w:t>
      </w:r>
      <w:r w:rsidR="008C2B60" w:rsidRPr="00DB25FE">
        <w:t>’</w:t>
      </w:r>
      <w:r w:rsidRPr="00DB25FE">
        <w:t xml:space="preserve"> imprisonment and a requirement to comply with </w:t>
      </w:r>
      <w:r w:rsidR="00437504">
        <w:t xml:space="preserve">the </w:t>
      </w:r>
      <w:r w:rsidR="00D83C74" w:rsidRPr="00DB25FE">
        <w:t xml:space="preserve">notification requirements </w:t>
      </w:r>
      <w:r w:rsidR="00437504">
        <w:t>set out in</w:t>
      </w:r>
      <w:r w:rsidR="00D83C74" w:rsidRPr="00DB25FE">
        <w:t xml:space="preserve"> </w:t>
      </w:r>
      <w:r w:rsidR="004C5DAC" w:rsidRPr="004C5DAC">
        <w:rPr>
          <w:lang w:val="en"/>
        </w:rPr>
        <w:t>the Sex Offenders Act 1997, as amended by the Sexual Offences Act 2003</w:t>
      </w:r>
      <w:r w:rsidR="00D83C74" w:rsidRPr="00DB25FE">
        <w:rPr>
          <w:lang w:val="en"/>
        </w:rPr>
        <w:t>. A</w:t>
      </w:r>
      <w:r w:rsidR="004C5DAC" w:rsidRPr="004C5DAC">
        <w:rPr>
          <w:lang w:val="en"/>
        </w:rPr>
        <w:t>l</w:t>
      </w:r>
      <w:r w:rsidR="00D83C74" w:rsidRPr="00DB25FE">
        <w:rPr>
          <w:lang w:val="en"/>
        </w:rPr>
        <w:t>l convicted sex offenders must notify</w:t>
      </w:r>
      <w:r w:rsidR="004C5DAC" w:rsidRPr="004C5DAC">
        <w:rPr>
          <w:lang w:val="en"/>
        </w:rPr>
        <w:t xml:space="preserve"> the police within three days of their conviction or release from prison. </w:t>
      </w:r>
      <w:r w:rsidR="00D83C74" w:rsidRPr="00DB25FE">
        <w:rPr>
          <w:lang w:val="en"/>
        </w:rPr>
        <w:t xml:space="preserve">Failure to notify </w:t>
      </w:r>
      <w:r w:rsidR="004C5DAC" w:rsidRPr="004C5DAC">
        <w:rPr>
          <w:lang w:val="en"/>
        </w:rPr>
        <w:t xml:space="preserve">is an offence which can carry a term of imprisonment. </w:t>
      </w:r>
      <w:r w:rsidR="00D83C74" w:rsidRPr="00DB25FE">
        <w:rPr>
          <w:lang w:val="en"/>
        </w:rPr>
        <w:t>Convicted sex offenders</w:t>
      </w:r>
      <w:r w:rsidR="00D83C74" w:rsidRPr="00D83C74">
        <w:rPr>
          <w:lang w:val="en"/>
        </w:rPr>
        <w:t xml:space="preserve"> are required to notify the police if they change their name or address, and are also required to reveal any plans to travel outside the UK. Again, failure to comply is an offence.</w:t>
      </w:r>
      <w:r w:rsidR="00D83C74" w:rsidRPr="00DB25FE">
        <w:rPr>
          <w:lang w:val="en"/>
        </w:rPr>
        <w:t xml:space="preserve"> </w:t>
      </w:r>
      <w:r w:rsidR="00D83C74" w:rsidRPr="00D83C74">
        <w:rPr>
          <w:lang w:val="en"/>
        </w:rPr>
        <w:t xml:space="preserve">The police can photograph offenders every time they </w:t>
      </w:r>
      <w:r w:rsidR="00D83C74" w:rsidRPr="00DB25FE">
        <w:rPr>
          <w:lang w:val="en"/>
        </w:rPr>
        <w:t>notify</w:t>
      </w:r>
      <w:r w:rsidR="00D83C74" w:rsidRPr="00D83C74">
        <w:rPr>
          <w:lang w:val="en"/>
        </w:rPr>
        <w:t xml:space="preserve">, and all </w:t>
      </w:r>
      <w:r w:rsidR="00437504">
        <w:rPr>
          <w:lang w:val="en"/>
        </w:rPr>
        <w:t xml:space="preserve">police </w:t>
      </w:r>
      <w:r w:rsidR="00D83C74" w:rsidRPr="00D83C74">
        <w:rPr>
          <w:lang w:val="en"/>
        </w:rPr>
        <w:t>forces exchange information about the movements of such offenders</w:t>
      </w:r>
      <w:r w:rsidR="00437504">
        <w:rPr>
          <w:lang w:val="en"/>
        </w:rPr>
        <w:t xml:space="preserve"> using the</w:t>
      </w:r>
      <w:r w:rsidR="00D83C74" w:rsidRPr="00D83C74">
        <w:rPr>
          <w:lang w:val="en"/>
        </w:rPr>
        <w:t xml:space="preserve"> national computerised database set up to facilitate this procedure.</w:t>
      </w:r>
      <w:r w:rsidR="00D83C74" w:rsidRPr="00DB25FE">
        <w:rPr>
          <w:lang w:val="en"/>
        </w:rPr>
        <w:t xml:space="preserve"> Those given a jail sentence of more than 30 months for sexual offending are required to notify indefinitely. Those imprisoned for between six and 30 months comply with the notification requirements for 10 years, or five years if they are under 18. Those sentenced for six months or less are subject to the notification requirements for seven years, or three and a half years if under 18. Those cautioned for a sexual offence must comply with the notification requirements for two years, or one year if under 18.</w:t>
      </w:r>
    </w:p>
    <w:p w14:paraId="6B991098" w14:textId="77777777" w:rsidR="004C5DAC" w:rsidRPr="00DB25FE" w:rsidRDefault="004C5DAC" w:rsidP="0093068F">
      <w:pPr>
        <w:pStyle w:val="NormalWeb"/>
        <w:spacing w:line="480" w:lineRule="auto"/>
        <w:jc w:val="both"/>
      </w:pPr>
    </w:p>
    <w:p w14:paraId="58E21D16" w14:textId="116FA6A0" w:rsidR="00B34107" w:rsidRPr="00DB25FE" w:rsidRDefault="00C44336" w:rsidP="0093068F">
      <w:pPr>
        <w:pStyle w:val="NormalWeb"/>
        <w:spacing w:line="480" w:lineRule="auto"/>
        <w:jc w:val="both"/>
      </w:pPr>
      <w:r w:rsidRPr="00DB25FE">
        <w:t xml:space="preserve">The Sexual Offences Act 2003 extended the reach of the 1978 Act by redefining the child as </w:t>
      </w:r>
      <w:r w:rsidR="003106FF" w:rsidRPr="00DB25FE">
        <w:t>“</w:t>
      </w:r>
      <w:r w:rsidRPr="00DB25FE">
        <w:t>all persons under 18</w:t>
      </w:r>
      <w:r w:rsidR="003106FF" w:rsidRPr="00DB25FE">
        <w:t>”</w:t>
      </w:r>
      <w:r w:rsidRPr="00DB25FE">
        <w:t xml:space="preserve"> years of age, rather than 16. Therefore </w:t>
      </w:r>
      <w:r w:rsidR="008F045B">
        <w:t xml:space="preserve">although </w:t>
      </w:r>
      <w:r w:rsidRPr="00DB25FE">
        <w:t>16 and 17 year olds can consent to engage in sexual activity</w:t>
      </w:r>
      <w:r w:rsidR="00DB25FE" w:rsidRPr="00DB25FE">
        <w:t xml:space="preserve"> </w:t>
      </w:r>
      <w:r w:rsidR="008C2B60" w:rsidRPr="00DB25FE">
        <w:t>(</w:t>
      </w:r>
      <w:r w:rsidR="00DB25FE" w:rsidRPr="00DB25FE">
        <w:t>provided it is</w:t>
      </w:r>
      <w:r w:rsidR="00DB25FE">
        <w:t xml:space="preserve"> not incestuous or in the context of</w:t>
      </w:r>
      <w:r w:rsidR="00DB25FE" w:rsidRPr="00DB25FE">
        <w:t xml:space="preserve"> a relationship of authority</w:t>
      </w:r>
      <w:r w:rsidR="008C2B60" w:rsidRPr="00DB25FE">
        <w:t>)</w:t>
      </w:r>
      <w:r w:rsidRPr="00DB25FE">
        <w:t xml:space="preserve">, they </w:t>
      </w:r>
      <w:r w:rsidR="008F045B">
        <w:t xml:space="preserve">will commit an offence if they </w:t>
      </w:r>
      <w:r w:rsidR="00F8208E" w:rsidRPr="00DB25FE">
        <w:t>take</w:t>
      </w:r>
      <w:r w:rsidRPr="00DB25FE">
        <w:t xml:space="preserve"> </w:t>
      </w:r>
      <w:r w:rsidR="008F045B">
        <w:t>indecent</w:t>
      </w:r>
      <w:r w:rsidRPr="00DB25FE">
        <w:t xml:space="preserve"> </w:t>
      </w:r>
      <w:r w:rsidR="00DB086E" w:rsidRPr="00DB25FE">
        <w:t>photograph</w:t>
      </w:r>
      <w:r w:rsidR="008F045B">
        <w:t>s</w:t>
      </w:r>
      <w:r w:rsidRPr="00DB25FE">
        <w:t xml:space="preserve"> or mak</w:t>
      </w:r>
      <w:r w:rsidR="00F8208E" w:rsidRPr="00DB25FE">
        <w:t>e</w:t>
      </w:r>
      <w:r w:rsidRPr="00DB25FE">
        <w:t xml:space="preserve"> video</w:t>
      </w:r>
      <w:r w:rsidR="008F045B">
        <w:t>s</w:t>
      </w:r>
      <w:r w:rsidRPr="00DB25FE">
        <w:t xml:space="preserve"> unless they are married or in an </w:t>
      </w:r>
      <w:r w:rsidR="003106FF" w:rsidRPr="00DB25FE">
        <w:t>“</w:t>
      </w:r>
      <w:r w:rsidRPr="00DB25FE">
        <w:t>enduring family relationship</w:t>
      </w:r>
      <w:r w:rsidR="003106FF" w:rsidRPr="00DB25FE">
        <w:t>”</w:t>
      </w:r>
      <w:r w:rsidRPr="00DB25FE">
        <w:t>.</w:t>
      </w:r>
      <w:r w:rsidRPr="00DB25FE">
        <w:rPr>
          <w:rStyle w:val="FootnoteReference"/>
        </w:rPr>
        <w:footnoteReference w:id="6"/>
      </w:r>
      <w:r w:rsidRPr="00DB25FE">
        <w:t xml:space="preserve"> While the 2003 Act provides no guidance on what constitutes an </w:t>
      </w:r>
      <w:r w:rsidR="003106FF" w:rsidRPr="00DB25FE">
        <w:t>“</w:t>
      </w:r>
      <w:r w:rsidRPr="00DB25FE">
        <w:t>enduring family relationship</w:t>
      </w:r>
      <w:r w:rsidR="003106FF" w:rsidRPr="00DB25FE">
        <w:t>”</w:t>
      </w:r>
      <w:r w:rsidRPr="00DB25FE">
        <w:t>, it is clear that the young people mu</w:t>
      </w:r>
      <w:r w:rsidR="00600CB8" w:rsidRPr="00DB25FE">
        <w:t>st be at least living together.</w:t>
      </w:r>
      <w:r w:rsidR="00600CB8" w:rsidRPr="00DB25FE">
        <w:rPr>
          <w:rStyle w:val="FootnoteReference"/>
        </w:rPr>
        <w:footnoteReference w:id="7"/>
      </w:r>
      <w:r w:rsidR="00600CB8" w:rsidRPr="00DB25FE">
        <w:t xml:space="preserve"> </w:t>
      </w:r>
      <w:r w:rsidR="00F14A76">
        <w:t xml:space="preserve">A brief sexual encounter such as a drunken one night stand was held in </w:t>
      </w:r>
      <w:r w:rsidR="00F14A76">
        <w:rPr>
          <w:i/>
        </w:rPr>
        <w:t xml:space="preserve">R v DM </w:t>
      </w:r>
      <w:r w:rsidR="00F14A76">
        <w:t>to fall outside the definition of an “enduring family relationship”.</w:t>
      </w:r>
      <w:r w:rsidR="00F14A76">
        <w:rPr>
          <w:rStyle w:val="FootnoteReference"/>
        </w:rPr>
        <w:footnoteReference w:id="8"/>
      </w:r>
      <w:r w:rsidR="00F14A76">
        <w:t xml:space="preserve"> </w:t>
      </w:r>
      <w:r w:rsidR="008F045B">
        <w:t>Y</w:t>
      </w:r>
      <w:r w:rsidR="00600CB8" w:rsidRPr="00DB25FE">
        <w:t>oung pe</w:t>
      </w:r>
      <w:r w:rsidR="0080586C" w:rsidRPr="00DB25FE">
        <w:t>ople</w:t>
      </w:r>
      <w:r w:rsidR="00600CB8" w:rsidRPr="00DB25FE">
        <w:t xml:space="preserve"> under 18 years of age who engage in consensual sexting are</w:t>
      </w:r>
      <w:r w:rsidR="008F045B">
        <w:t xml:space="preserve"> therefore </w:t>
      </w:r>
      <w:r w:rsidR="00600CB8" w:rsidRPr="00DB25FE">
        <w:t>at risk of being charged with child pornography offences under the 1978 Act.</w:t>
      </w:r>
      <w:r w:rsidR="00D83C74" w:rsidRPr="00DB25FE">
        <w:t xml:space="preserve"> </w:t>
      </w:r>
      <w:r w:rsidR="008F045B">
        <w:t>T</w:t>
      </w:r>
      <w:r w:rsidR="008F045B" w:rsidRPr="00DB25FE">
        <w:t xml:space="preserve">here have been some attempts to alleviate the harshness </w:t>
      </w:r>
      <w:r w:rsidR="0080586C" w:rsidRPr="00DB25FE">
        <w:t>o</w:t>
      </w:r>
      <w:r w:rsidR="008F045B">
        <w:t xml:space="preserve">f this, as there has been more generally in relation to </w:t>
      </w:r>
      <w:r w:rsidR="0080586C" w:rsidRPr="00DB25FE">
        <w:t>the age of consent laws</w:t>
      </w:r>
      <w:r w:rsidR="008F045B">
        <w:t>.</w:t>
      </w:r>
      <w:r w:rsidR="00B34107" w:rsidRPr="00DB25FE">
        <w:t xml:space="preserve"> C</w:t>
      </w:r>
      <w:r w:rsidR="00D35E63" w:rsidRPr="00DB25FE">
        <w:t xml:space="preserve">rown </w:t>
      </w:r>
      <w:r w:rsidR="00B34107" w:rsidRPr="00DB25FE">
        <w:t>P</w:t>
      </w:r>
      <w:r w:rsidR="00D35E63" w:rsidRPr="00DB25FE">
        <w:t xml:space="preserve">rosecution </w:t>
      </w:r>
      <w:r w:rsidR="00B34107" w:rsidRPr="00DB25FE">
        <w:t>S</w:t>
      </w:r>
      <w:r w:rsidR="00D35E63" w:rsidRPr="00DB25FE">
        <w:t>ervice</w:t>
      </w:r>
      <w:r w:rsidR="00B34107" w:rsidRPr="00DB25FE">
        <w:t xml:space="preserve"> </w:t>
      </w:r>
      <w:r w:rsidR="00D35E63" w:rsidRPr="00DB25FE">
        <w:t>g</w:t>
      </w:r>
      <w:r w:rsidR="00B34107" w:rsidRPr="00DB25FE">
        <w:t>uidance was issued in October 2016 about teenage sexting cases</w:t>
      </w:r>
      <w:r w:rsidR="00B34107" w:rsidRPr="00DB25FE">
        <w:rPr>
          <w:rStyle w:val="FootnoteReference"/>
        </w:rPr>
        <w:footnoteReference w:id="9"/>
      </w:r>
      <w:r w:rsidR="00B34107" w:rsidRPr="00DB25FE">
        <w:t xml:space="preserve">: </w:t>
      </w:r>
    </w:p>
    <w:p w14:paraId="7582C9F4" w14:textId="77777777" w:rsidR="00B34107" w:rsidRPr="00DB25FE" w:rsidRDefault="00B34107" w:rsidP="0080586C">
      <w:pPr>
        <w:autoSpaceDE w:val="0"/>
        <w:autoSpaceDN w:val="0"/>
        <w:adjustRightInd w:val="0"/>
        <w:spacing w:after="0" w:line="240" w:lineRule="auto"/>
        <w:ind w:left="720"/>
        <w:jc w:val="both"/>
        <w:rPr>
          <w:rFonts w:ascii="Times New Roman" w:hAnsi="Times New Roman" w:cs="Times New Roman"/>
          <w:sz w:val="24"/>
          <w:szCs w:val="24"/>
        </w:rPr>
      </w:pPr>
      <w:r w:rsidRPr="00DB25FE">
        <w:rPr>
          <w:rFonts w:ascii="Times New Roman" w:hAnsi="Times New Roman" w:cs="Times New Roman"/>
          <w:sz w:val="24"/>
          <w:szCs w:val="24"/>
        </w:rPr>
        <w:t xml:space="preserve">… care should be taken when considering any cases of ‘sexting’ that involves images taken of persons under 18 years … Whilst it would not usually be in the public interest to prosecute the consensual sharing of an image between two children of a similar age in a relationship, a prosecution may be appropriate in other scenarios, such as those involving exploitation, grooming or bullying. </w:t>
      </w:r>
    </w:p>
    <w:p w14:paraId="358A9B3D" w14:textId="77777777" w:rsidR="00C85EA9" w:rsidRPr="00DB25FE" w:rsidRDefault="00C85EA9" w:rsidP="00C85EA9">
      <w:pPr>
        <w:spacing w:after="0" w:line="480" w:lineRule="auto"/>
        <w:jc w:val="both"/>
        <w:rPr>
          <w:rFonts w:ascii="Times New Roman" w:hAnsi="Times New Roman" w:cs="Times New Roman"/>
          <w:sz w:val="24"/>
          <w:szCs w:val="24"/>
        </w:rPr>
      </w:pPr>
    </w:p>
    <w:p w14:paraId="217247E8" w14:textId="06083302" w:rsidR="00B34107" w:rsidRPr="00DB25FE" w:rsidRDefault="00D35E63" w:rsidP="00C85EA9">
      <w:pPr>
        <w:spacing w:after="0" w:line="480" w:lineRule="auto"/>
        <w:jc w:val="both"/>
        <w:rPr>
          <w:rFonts w:ascii="Times New Roman" w:hAnsi="Times New Roman" w:cs="Times New Roman"/>
          <w:sz w:val="24"/>
          <w:szCs w:val="24"/>
        </w:rPr>
      </w:pPr>
      <w:r w:rsidRPr="00DB25FE">
        <w:rPr>
          <w:rFonts w:ascii="Times New Roman" w:hAnsi="Times New Roman" w:cs="Times New Roman"/>
          <w:sz w:val="24"/>
          <w:szCs w:val="24"/>
        </w:rPr>
        <w:t>The guidance suggests sext</w:t>
      </w:r>
      <w:r w:rsidR="0093068F" w:rsidRPr="00DB25FE">
        <w:rPr>
          <w:rFonts w:ascii="Times New Roman" w:hAnsi="Times New Roman" w:cs="Times New Roman"/>
          <w:sz w:val="24"/>
          <w:szCs w:val="24"/>
        </w:rPr>
        <w:t>i</w:t>
      </w:r>
      <w:r w:rsidRPr="00DB25FE">
        <w:rPr>
          <w:rFonts w:ascii="Times New Roman" w:hAnsi="Times New Roman" w:cs="Times New Roman"/>
          <w:sz w:val="24"/>
          <w:szCs w:val="24"/>
        </w:rPr>
        <w:t>ng</w:t>
      </w:r>
      <w:r w:rsidR="00B34107" w:rsidRPr="00DB25FE">
        <w:rPr>
          <w:rFonts w:ascii="Times New Roman" w:hAnsi="Times New Roman" w:cs="Times New Roman"/>
          <w:sz w:val="24"/>
          <w:szCs w:val="24"/>
        </w:rPr>
        <w:t xml:space="preserve"> between </w:t>
      </w:r>
      <w:r w:rsidR="00B34107" w:rsidRPr="00DB25FE">
        <w:rPr>
          <w:rStyle w:val="glossarylink"/>
          <w:rFonts w:ascii="Times New Roman" w:hAnsi="Times New Roman" w:cs="Times New Roman"/>
          <w:sz w:val="24"/>
          <w:szCs w:val="24"/>
        </w:rPr>
        <w:t>children</w:t>
      </w:r>
      <w:r w:rsidR="00B34107" w:rsidRPr="00DB25FE">
        <w:rPr>
          <w:rFonts w:ascii="Times New Roman" w:hAnsi="Times New Roman" w:cs="Times New Roman"/>
          <w:sz w:val="24"/>
          <w:szCs w:val="24"/>
        </w:rPr>
        <w:t xml:space="preserve"> or sharing of </w:t>
      </w:r>
      <w:r w:rsidR="00643DB9" w:rsidRPr="00DB25FE">
        <w:rPr>
          <w:rFonts w:ascii="Times New Roman" w:hAnsi="Times New Roman" w:cs="Times New Roman"/>
          <w:sz w:val="24"/>
          <w:szCs w:val="24"/>
        </w:rPr>
        <w:t>“</w:t>
      </w:r>
      <w:r w:rsidR="00B34107" w:rsidRPr="00DB25FE">
        <w:rPr>
          <w:rFonts w:ascii="Times New Roman" w:hAnsi="Times New Roman" w:cs="Times New Roman"/>
          <w:sz w:val="24"/>
          <w:szCs w:val="24"/>
        </w:rPr>
        <w:t>youth produced sexual imagery</w:t>
      </w:r>
      <w:r w:rsidR="00643DB9" w:rsidRPr="00DB25FE">
        <w:rPr>
          <w:rFonts w:ascii="Times New Roman" w:hAnsi="Times New Roman" w:cs="Times New Roman"/>
          <w:sz w:val="24"/>
          <w:szCs w:val="24"/>
        </w:rPr>
        <w:t>”</w:t>
      </w:r>
      <w:r w:rsidR="00B34107" w:rsidRPr="00DB25FE">
        <w:rPr>
          <w:rFonts w:ascii="Times New Roman" w:hAnsi="Times New Roman" w:cs="Times New Roman"/>
          <w:sz w:val="24"/>
          <w:szCs w:val="24"/>
        </w:rPr>
        <w:t xml:space="preserve"> should not be routinely prosecuted </w:t>
      </w:r>
      <w:r w:rsidR="00B34107" w:rsidRPr="00DB25FE">
        <w:rPr>
          <w:rFonts w:ascii="Times New Roman" w:hAnsi="Times New Roman" w:cs="Times New Roman"/>
          <w:sz w:val="24"/>
          <w:szCs w:val="24"/>
          <w:lang w:val="en-US"/>
        </w:rPr>
        <w:t>and that most of these incidents be dealt with informally. Similarly</w:t>
      </w:r>
      <w:r w:rsidR="00803F5E">
        <w:rPr>
          <w:rFonts w:ascii="Times New Roman" w:hAnsi="Times New Roman" w:cs="Times New Roman"/>
          <w:sz w:val="24"/>
          <w:szCs w:val="24"/>
          <w:lang w:val="en-US"/>
        </w:rPr>
        <w:t>,</w:t>
      </w:r>
      <w:r w:rsidR="00B34107" w:rsidRPr="00DB25FE">
        <w:rPr>
          <w:rFonts w:ascii="Times New Roman" w:hAnsi="Times New Roman" w:cs="Times New Roman"/>
          <w:sz w:val="24"/>
          <w:szCs w:val="24"/>
          <w:lang w:val="en-US"/>
        </w:rPr>
        <w:t xml:space="preserve"> </w:t>
      </w:r>
      <w:r w:rsidR="00B34107" w:rsidRPr="00DB25FE">
        <w:rPr>
          <w:rFonts w:ascii="Times New Roman" w:hAnsi="Times New Roman" w:cs="Times New Roman"/>
          <w:sz w:val="24"/>
          <w:szCs w:val="24"/>
        </w:rPr>
        <w:t xml:space="preserve">in November 2016 the College of Policing published a lead position document which advised that sexting was part of a natural propensity for young people to </w:t>
      </w:r>
      <w:r w:rsidR="00643DB9" w:rsidRPr="00DB25FE">
        <w:rPr>
          <w:rFonts w:ascii="Times New Roman" w:hAnsi="Times New Roman" w:cs="Times New Roman"/>
          <w:sz w:val="24"/>
          <w:szCs w:val="24"/>
        </w:rPr>
        <w:t>“</w:t>
      </w:r>
      <w:r w:rsidR="00B34107" w:rsidRPr="00DB25FE">
        <w:rPr>
          <w:rFonts w:ascii="Times New Roman" w:hAnsi="Times New Roman" w:cs="Times New Roman"/>
          <w:sz w:val="24"/>
          <w:szCs w:val="24"/>
        </w:rPr>
        <w:t>take risks and experiment with their developing sexuality</w:t>
      </w:r>
      <w:r w:rsidR="00643DB9" w:rsidRPr="00DB25FE">
        <w:rPr>
          <w:rFonts w:ascii="Times New Roman" w:hAnsi="Times New Roman" w:cs="Times New Roman"/>
          <w:sz w:val="24"/>
          <w:szCs w:val="24"/>
        </w:rPr>
        <w:t>”</w:t>
      </w:r>
      <w:r w:rsidR="00B34107" w:rsidRPr="00DB25FE">
        <w:rPr>
          <w:rFonts w:ascii="Times New Roman" w:hAnsi="Times New Roman" w:cs="Times New Roman"/>
          <w:sz w:val="24"/>
          <w:szCs w:val="24"/>
        </w:rPr>
        <w:t xml:space="preserve"> and that criminalisation was potentially harmful to all individuals concerned.</w:t>
      </w:r>
      <w:r w:rsidR="00B34107" w:rsidRPr="00DB25FE">
        <w:rPr>
          <w:rStyle w:val="FootnoteReference"/>
          <w:rFonts w:ascii="Times New Roman" w:hAnsi="Times New Roman" w:cs="Times New Roman"/>
          <w:sz w:val="24"/>
          <w:szCs w:val="24"/>
        </w:rPr>
        <w:footnoteReference w:id="10"/>
      </w:r>
      <w:r w:rsidR="00B34107" w:rsidRPr="00DB25FE">
        <w:rPr>
          <w:rFonts w:ascii="Times New Roman" w:hAnsi="Times New Roman" w:cs="Times New Roman"/>
          <w:sz w:val="24"/>
          <w:szCs w:val="24"/>
        </w:rPr>
        <w:t xml:space="preserve"> The document encourages police to actively take a common</w:t>
      </w:r>
      <w:r w:rsidR="00803F5E">
        <w:rPr>
          <w:rFonts w:ascii="Times New Roman" w:hAnsi="Times New Roman" w:cs="Times New Roman"/>
          <w:sz w:val="24"/>
          <w:szCs w:val="24"/>
        </w:rPr>
        <w:t>-</w:t>
      </w:r>
      <w:r w:rsidR="00B34107" w:rsidRPr="00DB25FE">
        <w:rPr>
          <w:rFonts w:ascii="Times New Roman" w:hAnsi="Times New Roman" w:cs="Times New Roman"/>
          <w:sz w:val="24"/>
          <w:szCs w:val="24"/>
        </w:rPr>
        <w:t xml:space="preserve">sense approach. In cases where there is no evidence of </w:t>
      </w:r>
      <w:r w:rsidR="00643DB9" w:rsidRPr="00DB25FE">
        <w:rPr>
          <w:rFonts w:ascii="Times New Roman" w:hAnsi="Times New Roman" w:cs="Times New Roman"/>
          <w:sz w:val="24"/>
          <w:szCs w:val="24"/>
        </w:rPr>
        <w:t>“</w:t>
      </w:r>
      <w:r w:rsidR="00B34107" w:rsidRPr="00DB25FE">
        <w:rPr>
          <w:rFonts w:ascii="Times New Roman" w:hAnsi="Times New Roman" w:cs="Times New Roman"/>
          <w:sz w:val="24"/>
          <w:szCs w:val="24"/>
        </w:rPr>
        <w:t>exploitation, grooming, profit motive, malicious intent or persistent behaviour</w:t>
      </w:r>
      <w:r w:rsidR="00643DB9" w:rsidRPr="00DB25FE">
        <w:rPr>
          <w:rFonts w:ascii="Times New Roman" w:hAnsi="Times New Roman" w:cs="Times New Roman"/>
          <w:sz w:val="24"/>
          <w:szCs w:val="24"/>
        </w:rPr>
        <w:t>”</w:t>
      </w:r>
      <w:r w:rsidR="00B34107" w:rsidRPr="00DB25FE">
        <w:rPr>
          <w:rFonts w:ascii="Times New Roman" w:hAnsi="Times New Roman" w:cs="Times New Roman"/>
          <w:sz w:val="24"/>
          <w:szCs w:val="24"/>
        </w:rPr>
        <w:t>, it is considered by the College of Policing that no further action may be the most appropriate outcome</w:t>
      </w:r>
      <w:r w:rsidR="00B34107" w:rsidRPr="00DB25FE">
        <w:rPr>
          <w:rFonts w:ascii="Times New Roman" w:hAnsi="Times New Roman" w:cs="Times New Roman"/>
          <w:color w:val="434343"/>
          <w:sz w:val="24"/>
          <w:szCs w:val="24"/>
        </w:rPr>
        <w:t xml:space="preserve">. </w:t>
      </w:r>
      <w:r w:rsidR="00B34107" w:rsidRPr="00DB25FE">
        <w:rPr>
          <w:rFonts w:ascii="Times New Roman" w:hAnsi="Times New Roman" w:cs="Times New Roman"/>
          <w:sz w:val="24"/>
          <w:szCs w:val="24"/>
        </w:rPr>
        <w:t>Offences involving self-generated images obtained with consent by other children will still be recorded</w:t>
      </w:r>
      <w:r w:rsidR="00803F5E">
        <w:rPr>
          <w:rFonts w:ascii="Times New Roman" w:hAnsi="Times New Roman" w:cs="Times New Roman"/>
          <w:sz w:val="24"/>
          <w:szCs w:val="24"/>
        </w:rPr>
        <w:t xml:space="preserve"> by the police</w:t>
      </w:r>
      <w:r w:rsidR="00B34107" w:rsidRPr="00DB25FE">
        <w:rPr>
          <w:rFonts w:ascii="Times New Roman" w:hAnsi="Times New Roman" w:cs="Times New Roman"/>
          <w:sz w:val="24"/>
          <w:szCs w:val="24"/>
        </w:rPr>
        <w:t xml:space="preserve"> but may be dealt with differently. Police forces are recommended to consider that suitably experienced first responders, safer school officers or neighbourhood teams can provide an appropriate response that avoids stigmatising or criminalising children. Furthermore</w:t>
      </w:r>
      <w:r w:rsidR="00803F5E">
        <w:rPr>
          <w:rFonts w:ascii="Times New Roman" w:hAnsi="Times New Roman" w:cs="Times New Roman"/>
          <w:sz w:val="24"/>
          <w:szCs w:val="24"/>
        </w:rPr>
        <w:t>,</w:t>
      </w:r>
      <w:r w:rsidR="00B34107" w:rsidRPr="00DB25FE">
        <w:rPr>
          <w:rFonts w:ascii="Times New Roman" w:hAnsi="Times New Roman" w:cs="Times New Roman"/>
          <w:sz w:val="24"/>
          <w:szCs w:val="24"/>
        </w:rPr>
        <w:t xml:space="preserve"> in January 2016 the National Police Chief’s Council, the Home </w:t>
      </w:r>
      <w:r w:rsidR="00437504">
        <w:rPr>
          <w:rFonts w:ascii="Times New Roman" w:hAnsi="Times New Roman" w:cs="Times New Roman"/>
          <w:sz w:val="24"/>
          <w:szCs w:val="24"/>
        </w:rPr>
        <w:t>O</w:t>
      </w:r>
      <w:r w:rsidR="00B34107" w:rsidRPr="00DB25FE">
        <w:rPr>
          <w:rFonts w:ascii="Times New Roman" w:hAnsi="Times New Roman" w:cs="Times New Roman"/>
          <w:sz w:val="24"/>
          <w:szCs w:val="24"/>
        </w:rPr>
        <w:t xml:space="preserve">ffice and the Disclosure and Barring Service agreed a new outcome code </w:t>
      </w:r>
      <w:r w:rsidR="00A9237C" w:rsidRPr="00DB25FE">
        <w:rPr>
          <w:rFonts w:ascii="Times New Roman" w:hAnsi="Times New Roman" w:cs="Times New Roman"/>
          <w:sz w:val="24"/>
          <w:szCs w:val="24"/>
        </w:rPr>
        <w:t xml:space="preserve">(outcome 21) </w:t>
      </w:r>
      <w:r w:rsidR="00B34107" w:rsidRPr="00DB25FE">
        <w:rPr>
          <w:rFonts w:ascii="Times New Roman" w:hAnsi="Times New Roman" w:cs="Times New Roman"/>
          <w:sz w:val="24"/>
          <w:szCs w:val="24"/>
        </w:rPr>
        <w:t>for youth-produced sexual imagery in England and Wales.</w:t>
      </w:r>
      <w:r w:rsidR="00B34107" w:rsidRPr="00DB25FE">
        <w:rPr>
          <w:rStyle w:val="FootnoteReference"/>
          <w:rFonts w:ascii="Times New Roman" w:hAnsi="Times New Roman" w:cs="Times New Roman"/>
          <w:sz w:val="24"/>
          <w:szCs w:val="24"/>
        </w:rPr>
        <w:footnoteReference w:id="11"/>
      </w:r>
      <w:r w:rsidR="00B34107" w:rsidRPr="00DB25FE">
        <w:rPr>
          <w:rFonts w:ascii="Times New Roman" w:hAnsi="Times New Roman" w:cs="Times New Roman"/>
          <w:sz w:val="24"/>
          <w:szCs w:val="24"/>
        </w:rPr>
        <w:t xml:space="preserve"> The police can choose to record that a young person has been found creating and sharing sexual images but it is recommended that taking formal action is</w:t>
      </w:r>
      <w:r w:rsidR="0093068F" w:rsidRPr="00DB25FE">
        <w:rPr>
          <w:rFonts w:ascii="Times New Roman" w:hAnsi="Times New Roman" w:cs="Times New Roman"/>
          <w:sz w:val="24"/>
          <w:szCs w:val="24"/>
        </w:rPr>
        <w:t xml:space="preserve"> </w:t>
      </w:r>
      <w:r w:rsidR="00B34107" w:rsidRPr="00DB25FE">
        <w:rPr>
          <w:rFonts w:ascii="Times New Roman" w:hAnsi="Times New Roman" w:cs="Times New Roman"/>
          <w:sz w:val="24"/>
          <w:szCs w:val="24"/>
        </w:rPr>
        <w:t>n</w:t>
      </w:r>
      <w:r w:rsidR="0093068F" w:rsidRPr="00DB25FE">
        <w:rPr>
          <w:rFonts w:ascii="Times New Roman" w:hAnsi="Times New Roman" w:cs="Times New Roman"/>
          <w:sz w:val="24"/>
          <w:szCs w:val="24"/>
        </w:rPr>
        <w:t>o</w:t>
      </w:r>
      <w:r w:rsidR="00B34107" w:rsidRPr="00DB25FE">
        <w:rPr>
          <w:rFonts w:ascii="Times New Roman" w:hAnsi="Times New Roman" w:cs="Times New Roman"/>
          <w:sz w:val="24"/>
          <w:szCs w:val="24"/>
        </w:rPr>
        <w:t>t</w:t>
      </w:r>
      <w:r w:rsidR="0093068F" w:rsidRPr="00DB25FE">
        <w:rPr>
          <w:rFonts w:ascii="Times New Roman" w:hAnsi="Times New Roman" w:cs="Times New Roman"/>
          <w:sz w:val="24"/>
          <w:szCs w:val="24"/>
        </w:rPr>
        <w:t xml:space="preserve"> usually</w:t>
      </w:r>
      <w:r w:rsidR="00B34107" w:rsidRPr="00DB25FE">
        <w:rPr>
          <w:rFonts w:ascii="Times New Roman" w:hAnsi="Times New Roman" w:cs="Times New Roman"/>
          <w:sz w:val="24"/>
          <w:szCs w:val="24"/>
        </w:rPr>
        <w:t xml:space="preserve"> in the public interest. </w:t>
      </w:r>
      <w:r w:rsidR="003650EC">
        <w:rPr>
          <w:rFonts w:ascii="Times New Roman" w:hAnsi="Times New Roman" w:cs="Times New Roman"/>
          <w:sz w:val="24"/>
          <w:szCs w:val="24"/>
        </w:rPr>
        <w:t>In 2016/17 2079 cases of young people producing sexual imagery were classified under Outcome 21.</w:t>
      </w:r>
      <w:r w:rsidR="003650EC">
        <w:rPr>
          <w:rStyle w:val="FootnoteReference"/>
          <w:rFonts w:ascii="Times New Roman" w:hAnsi="Times New Roman" w:cs="Times New Roman"/>
          <w:sz w:val="24"/>
          <w:szCs w:val="24"/>
        </w:rPr>
        <w:footnoteReference w:id="12"/>
      </w:r>
    </w:p>
    <w:p w14:paraId="383D5378" w14:textId="77777777" w:rsidR="00600CB8" w:rsidRPr="00DB25FE" w:rsidRDefault="00600CB8" w:rsidP="00600CB8">
      <w:pPr>
        <w:spacing w:after="0" w:line="480" w:lineRule="auto"/>
        <w:rPr>
          <w:rFonts w:ascii="Times New Roman" w:hAnsi="Times New Roman" w:cs="Times New Roman"/>
          <w:sz w:val="24"/>
          <w:szCs w:val="24"/>
        </w:rPr>
      </w:pPr>
    </w:p>
    <w:p w14:paraId="23B7E150" w14:textId="77777777" w:rsidR="00600CB8" w:rsidRPr="00DB25FE" w:rsidRDefault="00600CB8" w:rsidP="00600CB8">
      <w:pPr>
        <w:pStyle w:val="ListParagraph"/>
        <w:numPr>
          <w:ilvl w:val="0"/>
          <w:numId w:val="3"/>
        </w:numPr>
        <w:spacing w:after="0" w:line="480" w:lineRule="auto"/>
        <w:rPr>
          <w:rFonts w:ascii="Times New Roman" w:hAnsi="Times New Roman" w:cs="Times New Roman"/>
          <w:b/>
          <w:sz w:val="24"/>
          <w:szCs w:val="24"/>
        </w:rPr>
      </w:pPr>
      <w:r w:rsidRPr="00DB25FE">
        <w:rPr>
          <w:rFonts w:ascii="Times New Roman" w:hAnsi="Times New Roman" w:cs="Times New Roman"/>
          <w:b/>
          <w:sz w:val="24"/>
          <w:szCs w:val="24"/>
        </w:rPr>
        <w:t>Youth consensual sexting and future criminal records</w:t>
      </w:r>
    </w:p>
    <w:p w14:paraId="604B6ECF" w14:textId="77777777" w:rsidR="00C85EA9" w:rsidRPr="00DB25FE" w:rsidRDefault="00C85EA9" w:rsidP="00C85EA9">
      <w:pPr>
        <w:spacing w:line="480" w:lineRule="auto"/>
        <w:jc w:val="both"/>
        <w:rPr>
          <w:rFonts w:ascii="Times New Roman" w:hAnsi="Times New Roman" w:cs="Times New Roman"/>
          <w:sz w:val="24"/>
          <w:szCs w:val="24"/>
        </w:rPr>
      </w:pPr>
    </w:p>
    <w:p w14:paraId="097CC3F3" w14:textId="1C2A92B6" w:rsidR="00516380" w:rsidRPr="00516380" w:rsidRDefault="00B34107" w:rsidP="00516380">
      <w:pPr>
        <w:spacing w:line="480" w:lineRule="auto"/>
        <w:jc w:val="both"/>
        <w:rPr>
          <w:rFonts w:ascii="Times New Roman" w:hAnsi="Times New Roman" w:cs="Times New Roman"/>
          <w:sz w:val="24"/>
          <w:szCs w:val="24"/>
        </w:rPr>
      </w:pPr>
      <w:r w:rsidRPr="00DB25FE">
        <w:rPr>
          <w:rFonts w:ascii="Times New Roman" w:hAnsi="Times New Roman" w:cs="Times New Roman"/>
          <w:sz w:val="24"/>
          <w:szCs w:val="24"/>
        </w:rPr>
        <w:t>While there is still a risk of prosecution</w:t>
      </w:r>
      <w:r w:rsidR="00E07B7A" w:rsidRPr="00DB25FE">
        <w:rPr>
          <w:rFonts w:ascii="Times New Roman" w:hAnsi="Times New Roman" w:cs="Times New Roman"/>
          <w:sz w:val="24"/>
          <w:szCs w:val="24"/>
        </w:rPr>
        <w:t xml:space="preserve"> as th</w:t>
      </w:r>
      <w:r w:rsidR="00D926E6">
        <w:rPr>
          <w:rFonts w:ascii="Times New Roman" w:hAnsi="Times New Roman" w:cs="Times New Roman"/>
          <w:sz w:val="24"/>
          <w:szCs w:val="24"/>
        </w:rPr>
        <w:t>is</w:t>
      </w:r>
      <w:r w:rsidR="00E07B7A" w:rsidRPr="00DB25FE">
        <w:rPr>
          <w:rFonts w:ascii="Times New Roman" w:hAnsi="Times New Roman" w:cs="Times New Roman"/>
          <w:sz w:val="24"/>
          <w:szCs w:val="24"/>
        </w:rPr>
        <w:t xml:space="preserve"> guidance is not binding</w:t>
      </w:r>
      <w:r w:rsidRPr="00DB25FE">
        <w:rPr>
          <w:rFonts w:ascii="Times New Roman" w:hAnsi="Times New Roman" w:cs="Times New Roman"/>
          <w:sz w:val="24"/>
          <w:szCs w:val="24"/>
        </w:rPr>
        <w:t xml:space="preserve">, nevertheless </w:t>
      </w:r>
      <w:r w:rsidRPr="00DB25FE">
        <w:rPr>
          <w:rFonts w:ascii="Times New Roman" w:hAnsi="Times New Roman" w:cs="Times New Roman"/>
          <w:sz w:val="24"/>
          <w:szCs w:val="24"/>
          <w:lang w:val="en-US"/>
        </w:rPr>
        <w:t xml:space="preserve">restricting the </w:t>
      </w:r>
      <w:r w:rsidRPr="00DB25FE">
        <w:rPr>
          <w:rFonts w:ascii="Times New Roman" w:hAnsi="Times New Roman" w:cs="Times New Roman"/>
          <w:sz w:val="24"/>
          <w:szCs w:val="24"/>
        </w:rPr>
        <w:t>prosecution of young people in this context is a welcome development, however the mere existence of a recorded investigation without any discretion for the police to delete that record could have a significant and disproportionate impact on a child’s future. Even where no arrest takes place, any investigation by the police will be logged and details of the individuals involved and the nature of the allegations will be recorded on the police intelligence database</w:t>
      </w:r>
      <w:r w:rsidR="00DB086E" w:rsidRPr="00DB25FE">
        <w:rPr>
          <w:rFonts w:ascii="Times New Roman" w:hAnsi="Times New Roman" w:cs="Times New Roman"/>
          <w:sz w:val="24"/>
          <w:szCs w:val="24"/>
        </w:rPr>
        <w:t>.</w:t>
      </w:r>
      <w:r w:rsidR="00D805B8">
        <w:rPr>
          <w:rStyle w:val="FootnoteReference"/>
          <w:rFonts w:ascii="Times New Roman" w:hAnsi="Times New Roman" w:cs="Times New Roman"/>
          <w:sz w:val="24"/>
          <w:szCs w:val="24"/>
        </w:rPr>
        <w:footnoteReference w:id="13"/>
      </w:r>
      <w:r w:rsidR="00DB086E" w:rsidRPr="00DB25FE">
        <w:rPr>
          <w:rFonts w:ascii="Times New Roman" w:hAnsi="Times New Roman" w:cs="Times New Roman"/>
          <w:sz w:val="24"/>
          <w:szCs w:val="24"/>
        </w:rPr>
        <w:t xml:space="preserve"> These records</w:t>
      </w:r>
      <w:r w:rsidRPr="00DB25FE">
        <w:rPr>
          <w:rFonts w:ascii="Times New Roman" w:hAnsi="Times New Roman" w:cs="Times New Roman"/>
          <w:sz w:val="24"/>
          <w:szCs w:val="24"/>
        </w:rPr>
        <w:t xml:space="preserve"> will remain for at least six years even where there have been no charges, arrests or formal interviews.</w:t>
      </w:r>
      <w:r w:rsidR="00D05BDB">
        <w:rPr>
          <w:rStyle w:val="FootnoteReference"/>
          <w:rFonts w:ascii="Times New Roman" w:hAnsi="Times New Roman" w:cs="Times New Roman"/>
          <w:sz w:val="24"/>
          <w:szCs w:val="24"/>
        </w:rPr>
        <w:footnoteReference w:id="14"/>
      </w:r>
      <w:r w:rsidRPr="00DB25FE">
        <w:rPr>
          <w:rFonts w:ascii="Times New Roman" w:hAnsi="Times New Roman" w:cs="Times New Roman"/>
          <w:sz w:val="24"/>
          <w:szCs w:val="24"/>
        </w:rPr>
        <w:t xml:space="preserve"> </w:t>
      </w:r>
      <w:r w:rsidR="00516380" w:rsidRPr="00516380">
        <w:rPr>
          <w:rFonts w:ascii="Times New Roman" w:hAnsi="Times New Roman" w:cs="Times New Roman"/>
          <w:sz w:val="24"/>
          <w:szCs w:val="24"/>
        </w:rPr>
        <w:t>Part V of the Police Act 1997 provides for different types of criminal record certificates to be issued</w:t>
      </w:r>
      <w:r w:rsidR="00516380">
        <w:rPr>
          <w:rFonts w:ascii="Times New Roman" w:hAnsi="Times New Roman" w:cs="Times New Roman"/>
          <w:sz w:val="24"/>
          <w:szCs w:val="24"/>
        </w:rPr>
        <w:t>.</w:t>
      </w:r>
      <w:r w:rsidR="00D420E6">
        <w:rPr>
          <w:rFonts w:ascii="Times New Roman" w:hAnsi="Times New Roman" w:cs="Times New Roman"/>
          <w:sz w:val="24"/>
          <w:szCs w:val="24"/>
        </w:rPr>
        <w:t xml:space="preserve"> The Disclosure and Barring Service (DBS) processes requests for criminal record certificates and issues DBS certificates.</w:t>
      </w:r>
      <w:r w:rsidR="00516380">
        <w:rPr>
          <w:rFonts w:ascii="Times New Roman" w:hAnsi="Times New Roman" w:cs="Times New Roman"/>
          <w:sz w:val="24"/>
          <w:szCs w:val="24"/>
        </w:rPr>
        <w:t xml:space="preserve"> </w:t>
      </w:r>
      <w:r w:rsidR="00516380" w:rsidRPr="00DB25FE">
        <w:rPr>
          <w:rStyle w:val="tgc"/>
          <w:rFonts w:ascii="Times New Roman" w:hAnsi="Times New Roman" w:cs="Times New Roman"/>
          <w:sz w:val="24"/>
          <w:szCs w:val="24"/>
        </w:rPr>
        <w:t xml:space="preserve">A criminal record </w:t>
      </w:r>
      <w:r w:rsidR="00516380" w:rsidRPr="00DB25FE">
        <w:rPr>
          <w:rStyle w:val="tgc"/>
          <w:rFonts w:ascii="Times New Roman" w:hAnsi="Times New Roman" w:cs="Times New Roman"/>
          <w:bCs/>
          <w:sz w:val="24"/>
          <w:szCs w:val="24"/>
        </w:rPr>
        <w:t>check</w:t>
      </w:r>
      <w:r w:rsidR="00516380" w:rsidRPr="00DB25FE">
        <w:rPr>
          <w:rStyle w:val="tgc"/>
          <w:rFonts w:ascii="Times New Roman" w:hAnsi="Times New Roman" w:cs="Times New Roman"/>
          <w:sz w:val="24"/>
          <w:szCs w:val="24"/>
        </w:rPr>
        <w:t xml:space="preserve"> at </w:t>
      </w:r>
      <w:r w:rsidR="00516380" w:rsidRPr="00DB25FE">
        <w:rPr>
          <w:rStyle w:val="tgc"/>
          <w:rFonts w:ascii="Times New Roman" w:hAnsi="Times New Roman" w:cs="Times New Roman"/>
          <w:bCs/>
          <w:sz w:val="24"/>
          <w:szCs w:val="24"/>
        </w:rPr>
        <w:t>basic</w:t>
      </w:r>
      <w:r w:rsidR="00516380" w:rsidRPr="00DB25FE">
        <w:rPr>
          <w:rStyle w:val="tgc"/>
          <w:rFonts w:ascii="Times New Roman" w:hAnsi="Times New Roman" w:cs="Times New Roman"/>
          <w:sz w:val="24"/>
          <w:szCs w:val="24"/>
        </w:rPr>
        <w:t xml:space="preserve"> </w:t>
      </w:r>
      <w:r w:rsidR="00516380" w:rsidRPr="0042697C">
        <w:rPr>
          <w:rStyle w:val="tgc"/>
          <w:rFonts w:ascii="Times New Roman" w:hAnsi="Times New Roman" w:cs="Times New Roman"/>
          <w:sz w:val="24"/>
          <w:szCs w:val="24"/>
        </w:rPr>
        <w:t>disclosure level is the lowest level of disclosure. It only contains details of unspent convictions</w:t>
      </w:r>
      <w:r w:rsidR="0042697C" w:rsidRPr="0042697C">
        <w:rPr>
          <w:rStyle w:val="tgc"/>
          <w:rFonts w:ascii="Times New Roman" w:hAnsi="Times New Roman" w:cs="Times New Roman"/>
          <w:sz w:val="24"/>
          <w:szCs w:val="24"/>
        </w:rPr>
        <w:t xml:space="preserve"> </w:t>
      </w:r>
      <w:r w:rsidR="0042697C" w:rsidRPr="0042697C">
        <w:rPr>
          <w:rFonts w:ascii="Times New Roman" w:hAnsi="Times New Roman" w:cs="Times New Roman"/>
          <w:bCs/>
          <w:sz w:val="24"/>
          <w:szCs w:val="24"/>
        </w:rPr>
        <w:t>a</w:t>
      </w:r>
      <w:r w:rsidR="0042697C">
        <w:rPr>
          <w:rFonts w:ascii="Times New Roman" w:hAnsi="Times New Roman" w:cs="Times New Roman"/>
          <w:bCs/>
          <w:sz w:val="24"/>
          <w:szCs w:val="24"/>
        </w:rPr>
        <w:t>nd</w:t>
      </w:r>
      <w:r w:rsidR="0042697C" w:rsidRPr="0042697C">
        <w:rPr>
          <w:rFonts w:ascii="Times New Roman" w:hAnsi="Times New Roman" w:cs="Times New Roman"/>
          <w:sz w:val="24"/>
          <w:szCs w:val="24"/>
        </w:rPr>
        <w:t xml:space="preserve"> unspent conditional cautions</w:t>
      </w:r>
      <w:r w:rsidR="00516380" w:rsidRPr="00D420E6">
        <w:rPr>
          <w:rStyle w:val="tgc"/>
          <w:rFonts w:ascii="Times New Roman" w:hAnsi="Times New Roman" w:cs="Times New Roman"/>
          <w:sz w:val="24"/>
          <w:szCs w:val="24"/>
        </w:rPr>
        <w:t xml:space="preserve">. </w:t>
      </w:r>
      <w:r w:rsidR="0042697C" w:rsidRPr="00D420E6">
        <w:rPr>
          <w:rFonts w:ascii="Times New Roman" w:hAnsi="Times New Roman" w:cs="Times New Roman"/>
          <w:sz w:val="24"/>
          <w:szCs w:val="24"/>
        </w:rPr>
        <w:t xml:space="preserve">The length of time before a caution or conviction becomes spent is determined by the type and length of sentence. </w:t>
      </w:r>
      <w:r w:rsidR="00516380" w:rsidRPr="00DB25FE">
        <w:rPr>
          <w:rFonts w:ascii="Times New Roman" w:hAnsi="Times New Roman" w:cs="Times New Roman"/>
          <w:sz w:val="24"/>
          <w:szCs w:val="24"/>
        </w:rPr>
        <w:t>A spent childhood conviction will be removed from the Disclosure and Barring Service basic (or enhanced) certificate if 66 months have elapsed since the date of the conviction; and it is the person’s only offence; and it did not result in a custodial sentence; and it does not appear on the list of “exempt offences” which will never be removed from a certificate. Exempt offences include cautions or convictions for distribution of indecent images of children. This information can only be removed from the database in exceptional and rare cases.</w:t>
      </w:r>
      <w:r w:rsidR="00516380" w:rsidRPr="00DB25FE">
        <w:rPr>
          <w:rStyle w:val="FootnoteReference"/>
          <w:rFonts w:ascii="Times New Roman" w:hAnsi="Times New Roman" w:cs="Times New Roman"/>
          <w:sz w:val="24"/>
          <w:szCs w:val="24"/>
        </w:rPr>
        <w:footnoteReference w:id="15"/>
      </w:r>
      <w:r w:rsidR="00516380" w:rsidRPr="00516380">
        <w:rPr>
          <w:rStyle w:val="tgc"/>
          <w:rFonts w:ascii="Times New Roman" w:hAnsi="Times New Roman" w:cs="Times New Roman"/>
          <w:sz w:val="24"/>
          <w:szCs w:val="24"/>
        </w:rPr>
        <w:t xml:space="preserve"> </w:t>
      </w:r>
      <w:r w:rsidR="00516380" w:rsidRPr="00DB25FE">
        <w:rPr>
          <w:rStyle w:val="tgc"/>
          <w:rFonts w:ascii="Times New Roman" w:hAnsi="Times New Roman" w:cs="Times New Roman"/>
          <w:sz w:val="24"/>
          <w:szCs w:val="24"/>
        </w:rPr>
        <w:t>An Enhanced DBS check is a criminal record check at e</w:t>
      </w:r>
      <w:r w:rsidR="00516380" w:rsidRPr="00DB25FE">
        <w:rPr>
          <w:rStyle w:val="tgc"/>
          <w:rFonts w:ascii="Times New Roman" w:hAnsi="Times New Roman" w:cs="Times New Roman"/>
          <w:bCs/>
          <w:sz w:val="24"/>
          <w:szCs w:val="24"/>
        </w:rPr>
        <w:t>nhanced</w:t>
      </w:r>
      <w:r w:rsidR="00516380" w:rsidRPr="00DB25FE">
        <w:rPr>
          <w:rStyle w:val="tgc"/>
          <w:rFonts w:ascii="Times New Roman" w:hAnsi="Times New Roman" w:cs="Times New Roman"/>
          <w:sz w:val="24"/>
          <w:szCs w:val="24"/>
        </w:rPr>
        <w:t xml:space="preserve"> disclosure level and is the highest level required for positions that can involve caring for, training, supervising or being in sole charge of children or vulnerable adults. </w:t>
      </w:r>
      <w:r w:rsidR="00516380" w:rsidRPr="00DB25FE">
        <w:rPr>
          <w:rFonts w:ascii="Times New Roman" w:hAnsi="Times New Roman" w:cs="Times New Roman"/>
          <w:sz w:val="24"/>
          <w:szCs w:val="24"/>
        </w:rPr>
        <w:t>Any request for an enhanced DBS certificate in England and Wales will disclose both spent and unspent conviction and relevant police intelligence. Police intelligence, including non-conviction information such as reports to the police, is held on the Police National Database for a minimum of 6 years and can be retained until the subject’s 100</w:t>
      </w:r>
      <w:r w:rsidR="00516380" w:rsidRPr="00DB25FE">
        <w:rPr>
          <w:rFonts w:ascii="Times New Roman" w:hAnsi="Times New Roman" w:cs="Times New Roman"/>
          <w:sz w:val="24"/>
          <w:szCs w:val="24"/>
          <w:vertAlign w:val="superscript"/>
        </w:rPr>
        <w:t>th</w:t>
      </w:r>
      <w:r w:rsidR="00516380" w:rsidRPr="00DB25FE">
        <w:rPr>
          <w:rFonts w:ascii="Times New Roman" w:hAnsi="Times New Roman" w:cs="Times New Roman"/>
          <w:sz w:val="24"/>
          <w:szCs w:val="24"/>
        </w:rPr>
        <w:t xml:space="preserve"> birthday.</w:t>
      </w:r>
      <w:r w:rsidR="00CD5616">
        <w:rPr>
          <w:rStyle w:val="FootnoteReference"/>
          <w:rFonts w:ascii="Times New Roman" w:hAnsi="Times New Roman" w:cs="Times New Roman"/>
          <w:sz w:val="24"/>
          <w:szCs w:val="24"/>
        </w:rPr>
        <w:footnoteReference w:id="16"/>
      </w:r>
      <w:r w:rsidR="00516380" w:rsidRPr="00DB25FE">
        <w:rPr>
          <w:rFonts w:ascii="Times New Roman" w:hAnsi="Times New Roman" w:cs="Times New Roman"/>
          <w:sz w:val="24"/>
          <w:szCs w:val="24"/>
        </w:rPr>
        <w:t xml:space="preserve"> Thus any conviction, caution or investigation of consensual sexting between teenagers could restrict the young person’s future access to education,</w:t>
      </w:r>
      <w:r w:rsidR="00516380">
        <w:rPr>
          <w:rStyle w:val="FootnoteReference"/>
          <w:rFonts w:ascii="Times New Roman" w:hAnsi="Times New Roman" w:cs="Times New Roman"/>
          <w:sz w:val="24"/>
          <w:szCs w:val="24"/>
        </w:rPr>
        <w:footnoteReference w:id="17"/>
      </w:r>
      <w:r w:rsidR="00516380" w:rsidRPr="00DB25FE">
        <w:rPr>
          <w:rFonts w:ascii="Times New Roman" w:hAnsi="Times New Roman" w:cs="Times New Roman"/>
          <w:sz w:val="24"/>
          <w:szCs w:val="24"/>
        </w:rPr>
        <w:t xml:space="preserve"> employment,</w:t>
      </w:r>
      <w:r w:rsidR="00CD5616">
        <w:rPr>
          <w:rStyle w:val="FootnoteReference"/>
          <w:rFonts w:ascii="Times New Roman" w:hAnsi="Times New Roman" w:cs="Times New Roman"/>
          <w:sz w:val="24"/>
          <w:szCs w:val="24"/>
        </w:rPr>
        <w:footnoteReference w:id="18"/>
      </w:r>
      <w:r w:rsidR="00516380" w:rsidRPr="00DB25FE">
        <w:rPr>
          <w:rFonts w:ascii="Times New Roman" w:hAnsi="Times New Roman" w:cs="Times New Roman"/>
          <w:sz w:val="24"/>
          <w:szCs w:val="24"/>
        </w:rPr>
        <w:t xml:space="preserve"> travel</w:t>
      </w:r>
      <w:r w:rsidR="00CD5616">
        <w:rPr>
          <w:rFonts w:ascii="Times New Roman" w:hAnsi="Times New Roman" w:cs="Times New Roman"/>
          <w:sz w:val="24"/>
          <w:szCs w:val="24"/>
        </w:rPr>
        <w:t>,</w:t>
      </w:r>
      <w:r w:rsidR="004E0E4D">
        <w:rPr>
          <w:rStyle w:val="FootnoteReference"/>
          <w:rFonts w:ascii="Times New Roman" w:hAnsi="Times New Roman" w:cs="Times New Roman"/>
          <w:sz w:val="24"/>
          <w:szCs w:val="24"/>
        </w:rPr>
        <w:footnoteReference w:id="19"/>
      </w:r>
      <w:r w:rsidR="00CD5616">
        <w:rPr>
          <w:rFonts w:ascii="Times New Roman" w:hAnsi="Times New Roman" w:cs="Times New Roman"/>
          <w:sz w:val="24"/>
          <w:szCs w:val="24"/>
        </w:rPr>
        <w:t xml:space="preserve"> </w:t>
      </w:r>
      <w:r w:rsidR="00516380" w:rsidRPr="00DB25FE">
        <w:rPr>
          <w:rFonts w:ascii="Times New Roman" w:hAnsi="Times New Roman" w:cs="Times New Roman"/>
          <w:sz w:val="24"/>
          <w:szCs w:val="24"/>
        </w:rPr>
        <w:t>insurance</w:t>
      </w:r>
      <w:r w:rsidR="00CD5616">
        <w:rPr>
          <w:rStyle w:val="FootnoteReference"/>
          <w:rFonts w:ascii="Times New Roman" w:hAnsi="Times New Roman" w:cs="Times New Roman"/>
          <w:sz w:val="24"/>
          <w:szCs w:val="24"/>
        </w:rPr>
        <w:footnoteReference w:id="20"/>
      </w:r>
      <w:r w:rsidR="00516380" w:rsidRPr="00DB25FE">
        <w:rPr>
          <w:rFonts w:ascii="Times New Roman" w:hAnsi="Times New Roman" w:cs="Times New Roman"/>
          <w:sz w:val="24"/>
          <w:szCs w:val="24"/>
        </w:rPr>
        <w:t xml:space="preserve"> and housing.</w:t>
      </w:r>
      <w:r w:rsidR="00516380">
        <w:rPr>
          <w:rStyle w:val="FootnoteReference"/>
          <w:rFonts w:ascii="Times New Roman" w:hAnsi="Times New Roman" w:cs="Times New Roman"/>
          <w:sz w:val="24"/>
          <w:szCs w:val="24"/>
        </w:rPr>
        <w:footnoteReference w:id="21"/>
      </w:r>
    </w:p>
    <w:p w14:paraId="69312918" w14:textId="77777777" w:rsidR="00437504" w:rsidRPr="00DB25FE" w:rsidRDefault="00437504" w:rsidP="0094104C">
      <w:pPr>
        <w:spacing w:line="480" w:lineRule="auto"/>
        <w:jc w:val="both"/>
        <w:rPr>
          <w:rFonts w:ascii="Times New Roman" w:hAnsi="Times New Roman" w:cs="Times New Roman"/>
          <w:sz w:val="24"/>
          <w:szCs w:val="24"/>
        </w:rPr>
      </w:pPr>
    </w:p>
    <w:p w14:paraId="3438272C" w14:textId="607C73AB" w:rsidR="00DB086E" w:rsidRPr="00D805B8" w:rsidRDefault="00BA1A50" w:rsidP="00671B4C">
      <w:pPr>
        <w:spacing w:line="480" w:lineRule="auto"/>
        <w:jc w:val="both"/>
        <w:rPr>
          <w:rFonts w:ascii="Times New Roman" w:hAnsi="Times New Roman" w:cs="Times New Roman"/>
          <w:color w:val="000000"/>
          <w:sz w:val="24"/>
          <w:szCs w:val="24"/>
        </w:rPr>
      </w:pPr>
      <w:r w:rsidRPr="00DB25FE">
        <w:rPr>
          <w:rFonts w:ascii="Times New Roman" w:hAnsi="Times New Roman" w:cs="Times New Roman"/>
          <w:sz w:val="24"/>
          <w:szCs w:val="24"/>
        </w:rPr>
        <w:t xml:space="preserve">Instead of recognising sexting as an expression of the well-recognized adolescent need for sexual exploration, sexting is viewed by the English criminal justice system as an illegal activity, albeit one that </w:t>
      </w:r>
      <w:r w:rsidR="0094104C" w:rsidRPr="00DB25FE">
        <w:rPr>
          <w:rFonts w:ascii="Times New Roman" w:hAnsi="Times New Roman" w:cs="Times New Roman"/>
          <w:sz w:val="24"/>
          <w:szCs w:val="24"/>
        </w:rPr>
        <w:t>may not result in a criminal charge but may still restrict the young person’s future life opportunities</w:t>
      </w:r>
      <w:r w:rsidRPr="00DB25FE">
        <w:rPr>
          <w:rFonts w:ascii="Times New Roman" w:hAnsi="Times New Roman" w:cs="Times New Roman"/>
          <w:sz w:val="24"/>
          <w:szCs w:val="24"/>
        </w:rPr>
        <w:t xml:space="preserve">. </w:t>
      </w:r>
      <w:r w:rsidR="00B9085A" w:rsidRPr="00DB25FE">
        <w:rPr>
          <w:rFonts w:ascii="Times New Roman" w:hAnsi="Times New Roman" w:cs="Times New Roman"/>
          <w:sz w:val="24"/>
          <w:szCs w:val="24"/>
        </w:rPr>
        <w:t>The legal response to consensual teenage sexting is not concerned with the young person’s capacity to give meaningful consent to sexualised behaviour. Meaningful consent implies the attainment of capacities to reason and act autonomously as an independent, self-complete, self-determining being facilitating rational decision-making in the context of free will.</w:t>
      </w:r>
      <w:r w:rsidR="00B9085A" w:rsidRPr="00DB25FE">
        <w:rPr>
          <w:rStyle w:val="FootnoteReference"/>
          <w:rFonts w:ascii="Times New Roman" w:hAnsi="Times New Roman" w:cs="Times New Roman"/>
          <w:sz w:val="24"/>
          <w:szCs w:val="24"/>
        </w:rPr>
        <w:footnoteReference w:id="22"/>
      </w:r>
      <w:r w:rsidR="00B9085A" w:rsidRPr="00DB25FE">
        <w:rPr>
          <w:rFonts w:ascii="Times New Roman" w:hAnsi="Times New Roman" w:cs="Times New Roman"/>
          <w:sz w:val="24"/>
          <w:szCs w:val="24"/>
        </w:rPr>
        <w:t xml:space="preserve"> </w:t>
      </w:r>
      <w:r w:rsidR="00671B4C" w:rsidRPr="00DB25FE">
        <w:rPr>
          <w:rFonts w:ascii="Times New Roman" w:hAnsi="Times New Roman" w:cs="Times New Roman"/>
          <w:sz w:val="24"/>
          <w:szCs w:val="24"/>
        </w:rPr>
        <w:t xml:space="preserve">Instead sexting is conflated with the sexual abuse of children. </w:t>
      </w:r>
      <w:r w:rsidR="00CD5616">
        <w:rPr>
          <w:rFonts w:ascii="Times New Roman" w:hAnsi="Times New Roman" w:cs="Times New Roman"/>
          <w:sz w:val="24"/>
          <w:szCs w:val="24"/>
        </w:rPr>
        <w:t>W</w:t>
      </w:r>
      <w:r w:rsidR="00671B4C" w:rsidRPr="00DB25FE">
        <w:rPr>
          <w:rFonts w:ascii="Times New Roman" w:hAnsi="Times New Roman" w:cs="Times New Roman"/>
          <w:sz w:val="24"/>
          <w:szCs w:val="24"/>
        </w:rPr>
        <w:t xml:space="preserve">hen drafting the Protection of Children Act 1978 and the Sexual Offences Act 2003, legislators </w:t>
      </w:r>
      <w:r w:rsidR="00671B4C" w:rsidRPr="00DB25FE">
        <w:rPr>
          <w:rFonts w:ascii="Times New Roman" w:hAnsi="Times New Roman" w:cs="Times New Roman"/>
          <w:color w:val="000000"/>
          <w:sz w:val="24"/>
          <w:szCs w:val="24"/>
        </w:rPr>
        <w:t xml:space="preserve">did not envisage the phenomenon of sexting in which teenagers, and not adult sexual predators, took and distributed pictures of themselves. </w:t>
      </w:r>
      <w:r w:rsidR="00D805B8">
        <w:rPr>
          <w:rFonts w:ascii="Times New Roman" w:hAnsi="Times New Roman" w:cs="Times New Roman"/>
          <w:color w:val="000000"/>
          <w:sz w:val="24"/>
          <w:szCs w:val="24"/>
        </w:rPr>
        <w:t>Instead the legislation was intended to “protect children from exploitation and degradation”.</w:t>
      </w:r>
      <w:r w:rsidR="00D805B8">
        <w:rPr>
          <w:rStyle w:val="FootnoteReference"/>
          <w:rFonts w:ascii="Times New Roman" w:hAnsi="Times New Roman" w:cs="Times New Roman"/>
          <w:color w:val="000000"/>
          <w:sz w:val="24"/>
          <w:szCs w:val="24"/>
        </w:rPr>
        <w:footnoteReference w:id="23"/>
      </w:r>
      <w:r w:rsidR="00D805B8">
        <w:rPr>
          <w:rFonts w:ascii="Times New Roman" w:hAnsi="Times New Roman" w:cs="Times New Roman"/>
          <w:color w:val="000000"/>
          <w:sz w:val="24"/>
          <w:szCs w:val="24"/>
        </w:rPr>
        <w:t xml:space="preserve"> However</w:t>
      </w:r>
      <w:r w:rsidR="00C938F6" w:rsidRPr="00DB25FE">
        <w:rPr>
          <w:rFonts w:ascii="Times New Roman" w:hAnsi="Times New Roman" w:cs="Times New Roman"/>
          <w:color w:val="000000"/>
          <w:sz w:val="24"/>
          <w:szCs w:val="24"/>
        </w:rPr>
        <w:t>,</w:t>
      </w:r>
      <w:r w:rsidR="00671B4C" w:rsidRPr="00DB25FE">
        <w:rPr>
          <w:rFonts w:ascii="Times New Roman" w:hAnsi="Times New Roman" w:cs="Times New Roman"/>
          <w:color w:val="000000"/>
          <w:sz w:val="24"/>
          <w:szCs w:val="24"/>
        </w:rPr>
        <w:t xml:space="preserve"> when young people consensually make and share sexual images of themselves, they may suffer sever</w:t>
      </w:r>
      <w:r w:rsidR="00E40C3E" w:rsidRPr="00DB25FE">
        <w:rPr>
          <w:rFonts w:ascii="Times New Roman" w:hAnsi="Times New Roman" w:cs="Times New Roman"/>
          <w:color w:val="000000"/>
          <w:sz w:val="24"/>
          <w:szCs w:val="24"/>
        </w:rPr>
        <w:t>e</w:t>
      </w:r>
      <w:r w:rsidR="00671B4C" w:rsidRPr="00DB25FE">
        <w:rPr>
          <w:rFonts w:ascii="Times New Roman" w:hAnsi="Times New Roman" w:cs="Times New Roman"/>
          <w:color w:val="000000"/>
          <w:sz w:val="24"/>
          <w:szCs w:val="24"/>
        </w:rPr>
        <w:t xml:space="preserve"> legal and social consequences despite the absence of abuse, harm</w:t>
      </w:r>
      <w:r w:rsidR="00D805B8">
        <w:rPr>
          <w:rFonts w:ascii="Times New Roman" w:hAnsi="Times New Roman" w:cs="Times New Roman"/>
          <w:color w:val="000000"/>
          <w:sz w:val="24"/>
          <w:szCs w:val="24"/>
        </w:rPr>
        <w:t>, degradation, exploitation</w:t>
      </w:r>
      <w:r w:rsidR="00671B4C" w:rsidRPr="00DB25FE">
        <w:rPr>
          <w:rFonts w:ascii="Times New Roman" w:hAnsi="Times New Roman" w:cs="Times New Roman"/>
          <w:color w:val="000000"/>
          <w:sz w:val="24"/>
          <w:szCs w:val="24"/>
        </w:rPr>
        <w:t xml:space="preserve"> or coercion in the taking and transmitting of the image to a willing and intended recipient. </w:t>
      </w:r>
      <w:r w:rsidR="00741B47" w:rsidRPr="00DB25FE">
        <w:rPr>
          <w:rFonts w:ascii="Times New Roman" w:hAnsi="Times New Roman" w:cs="Times New Roman"/>
          <w:sz w:val="24"/>
          <w:szCs w:val="24"/>
        </w:rPr>
        <w:t xml:space="preserve">When adults consensually share explicit photos of themselves, such behaviour is not </w:t>
      </w:r>
      <w:commentRangeStart w:id="1"/>
      <w:r w:rsidR="00741B47" w:rsidRPr="00DB25FE">
        <w:rPr>
          <w:rFonts w:ascii="Times New Roman" w:hAnsi="Times New Roman" w:cs="Times New Roman"/>
          <w:sz w:val="24"/>
          <w:szCs w:val="24"/>
        </w:rPr>
        <w:t>criminalised</w:t>
      </w:r>
      <w:commentRangeEnd w:id="1"/>
      <w:r w:rsidR="00D926E6">
        <w:rPr>
          <w:rStyle w:val="CommentReference"/>
        </w:rPr>
        <w:commentReference w:id="1"/>
      </w:r>
      <w:r w:rsidR="00741B47" w:rsidRPr="00DB25FE">
        <w:rPr>
          <w:rFonts w:ascii="Times New Roman" w:hAnsi="Times New Roman" w:cs="Times New Roman"/>
          <w:sz w:val="24"/>
          <w:szCs w:val="24"/>
        </w:rPr>
        <w:t xml:space="preserve">. </w:t>
      </w:r>
    </w:p>
    <w:p w14:paraId="69439D6C" w14:textId="77777777" w:rsidR="00671B4C" w:rsidRPr="00DB25FE" w:rsidRDefault="00671B4C" w:rsidP="00671B4C">
      <w:pPr>
        <w:spacing w:line="480" w:lineRule="auto"/>
        <w:jc w:val="both"/>
        <w:rPr>
          <w:rFonts w:ascii="Times New Roman" w:hAnsi="Times New Roman" w:cs="Times New Roman"/>
          <w:b/>
          <w:sz w:val="24"/>
          <w:szCs w:val="24"/>
        </w:rPr>
      </w:pPr>
    </w:p>
    <w:p w14:paraId="61FB1B4A" w14:textId="77777777" w:rsidR="00DB086E" w:rsidRPr="00DB25FE" w:rsidRDefault="00DB086E" w:rsidP="00DB086E">
      <w:pPr>
        <w:pStyle w:val="ListParagraph"/>
        <w:numPr>
          <w:ilvl w:val="0"/>
          <w:numId w:val="3"/>
        </w:numPr>
        <w:spacing w:after="0" w:line="480" w:lineRule="auto"/>
        <w:rPr>
          <w:rFonts w:ascii="Times New Roman" w:hAnsi="Times New Roman" w:cs="Times New Roman"/>
          <w:b/>
          <w:sz w:val="24"/>
          <w:szCs w:val="24"/>
        </w:rPr>
      </w:pPr>
      <w:r w:rsidRPr="00DB25FE">
        <w:rPr>
          <w:rFonts w:ascii="Times New Roman" w:hAnsi="Times New Roman" w:cs="Times New Roman"/>
          <w:b/>
          <w:sz w:val="24"/>
          <w:szCs w:val="24"/>
        </w:rPr>
        <w:t>Responding to the dangers associated with sexting</w:t>
      </w:r>
    </w:p>
    <w:p w14:paraId="7952C4AA" w14:textId="77777777" w:rsidR="00DB086E" w:rsidRPr="00DB25FE" w:rsidRDefault="00DB086E" w:rsidP="00DB086E">
      <w:pPr>
        <w:spacing w:after="0" w:line="480" w:lineRule="auto"/>
        <w:rPr>
          <w:rFonts w:ascii="Times New Roman" w:hAnsi="Times New Roman" w:cs="Times New Roman"/>
          <w:sz w:val="24"/>
          <w:szCs w:val="24"/>
        </w:rPr>
      </w:pPr>
    </w:p>
    <w:p w14:paraId="774FA557" w14:textId="3915E819" w:rsidR="00741B47" w:rsidRPr="00DB25FE" w:rsidRDefault="00DB086E" w:rsidP="00DB086E">
      <w:pPr>
        <w:autoSpaceDE w:val="0"/>
        <w:autoSpaceDN w:val="0"/>
        <w:adjustRightInd w:val="0"/>
        <w:spacing w:after="0" w:line="480" w:lineRule="auto"/>
        <w:jc w:val="both"/>
        <w:rPr>
          <w:rFonts w:ascii="Times New Roman" w:hAnsi="Times New Roman" w:cs="Times New Roman"/>
          <w:sz w:val="24"/>
          <w:szCs w:val="24"/>
        </w:rPr>
      </w:pPr>
      <w:r w:rsidRPr="00DB25FE">
        <w:rPr>
          <w:rFonts w:ascii="Times New Roman" w:hAnsi="Times New Roman" w:cs="Times New Roman"/>
          <w:sz w:val="24"/>
          <w:szCs w:val="24"/>
        </w:rPr>
        <w:t>The psychological and social risks of youth sexting have been identified as including increased likelihood of future risky sexual be</w:t>
      </w:r>
      <w:r w:rsidR="00CD5616">
        <w:rPr>
          <w:rFonts w:ascii="Times New Roman" w:hAnsi="Times New Roman" w:cs="Times New Roman"/>
          <w:sz w:val="24"/>
          <w:szCs w:val="24"/>
        </w:rPr>
        <w:t>haviour, suicide, humiliation,</w:t>
      </w:r>
      <w:r w:rsidRPr="00DB25FE">
        <w:rPr>
          <w:rFonts w:ascii="Times New Roman" w:hAnsi="Times New Roman" w:cs="Times New Roman"/>
          <w:sz w:val="24"/>
          <w:szCs w:val="24"/>
        </w:rPr>
        <w:t xml:space="preserve"> depression</w:t>
      </w:r>
      <w:r w:rsidR="00CD5616">
        <w:rPr>
          <w:rFonts w:ascii="Times New Roman" w:hAnsi="Times New Roman" w:cs="Times New Roman"/>
          <w:sz w:val="24"/>
          <w:szCs w:val="24"/>
        </w:rPr>
        <w:t xml:space="preserve">, </w:t>
      </w:r>
      <w:r w:rsidRPr="00DB25FE">
        <w:rPr>
          <w:rFonts w:ascii="Times New Roman" w:hAnsi="Times New Roman" w:cs="Times New Roman"/>
          <w:sz w:val="24"/>
          <w:szCs w:val="24"/>
        </w:rPr>
        <w:t>substance abuse</w:t>
      </w:r>
      <w:r w:rsidR="00CD5616" w:rsidRPr="00CD5616">
        <w:rPr>
          <w:rFonts w:ascii="Times New Roman" w:hAnsi="Times New Roman" w:cs="Times New Roman"/>
          <w:sz w:val="24"/>
          <w:szCs w:val="24"/>
        </w:rPr>
        <w:t xml:space="preserve"> </w:t>
      </w:r>
      <w:r w:rsidR="00CD5616">
        <w:rPr>
          <w:rFonts w:ascii="Times New Roman" w:hAnsi="Times New Roman" w:cs="Times New Roman"/>
          <w:sz w:val="24"/>
          <w:szCs w:val="24"/>
        </w:rPr>
        <w:t>and ‘</w:t>
      </w:r>
      <w:r w:rsidR="00CD5616" w:rsidRPr="00DB25FE">
        <w:rPr>
          <w:rFonts w:ascii="Times New Roman" w:hAnsi="Times New Roman" w:cs="Times New Roman"/>
          <w:sz w:val="24"/>
          <w:szCs w:val="24"/>
        </w:rPr>
        <w:t>slut-shaming’</w:t>
      </w:r>
      <w:r w:rsidRPr="00DB25FE">
        <w:rPr>
          <w:rFonts w:ascii="Times New Roman" w:hAnsi="Times New Roman" w:cs="Times New Roman"/>
          <w:sz w:val="24"/>
          <w:szCs w:val="24"/>
        </w:rPr>
        <w:t>.</w:t>
      </w:r>
      <w:r w:rsidRPr="00DB25FE">
        <w:rPr>
          <w:rStyle w:val="FootnoteReference"/>
          <w:rFonts w:ascii="Times New Roman" w:hAnsi="Times New Roman" w:cs="Times New Roman"/>
          <w:sz w:val="24"/>
          <w:szCs w:val="24"/>
        </w:rPr>
        <w:footnoteReference w:id="24"/>
      </w:r>
      <w:r w:rsidRPr="00DB25FE">
        <w:rPr>
          <w:rFonts w:ascii="Times New Roman" w:hAnsi="Times New Roman" w:cs="Times New Roman"/>
          <w:sz w:val="24"/>
          <w:szCs w:val="24"/>
        </w:rPr>
        <w:t xml:space="preserve"> </w:t>
      </w:r>
      <w:r w:rsidR="00CD5616">
        <w:rPr>
          <w:rFonts w:ascii="Times New Roman" w:hAnsi="Times New Roman" w:cs="Times New Roman"/>
          <w:sz w:val="24"/>
          <w:szCs w:val="24"/>
        </w:rPr>
        <w:t xml:space="preserve">‘Slut-shaming’ refers to a wide range of </w:t>
      </w:r>
      <w:r w:rsidR="00C5411A">
        <w:rPr>
          <w:rFonts w:ascii="Times New Roman" w:hAnsi="Times New Roman" w:cs="Times New Roman"/>
          <w:sz w:val="24"/>
          <w:szCs w:val="24"/>
        </w:rPr>
        <w:t>actions</w:t>
      </w:r>
      <w:r w:rsidR="00CD5616">
        <w:rPr>
          <w:rFonts w:ascii="Times New Roman" w:hAnsi="Times New Roman" w:cs="Times New Roman"/>
          <w:sz w:val="24"/>
          <w:szCs w:val="24"/>
        </w:rPr>
        <w:t xml:space="preserve"> that stigmatises females </w:t>
      </w:r>
      <w:r w:rsidR="00C5411A">
        <w:rPr>
          <w:rFonts w:ascii="Times New Roman" w:hAnsi="Times New Roman" w:cs="Times New Roman"/>
          <w:sz w:val="24"/>
          <w:szCs w:val="24"/>
        </w:rPr>
        <w:t>for their behaviour, or appearance, which is considered to be sexually provocative or promiscuous.</w:t>
      </w:r>
      <w:r w:rsidR="00CD5616">
        <w:rPr>
          <w:rFonts w:ascii="Times New Roman" w:hAnsi="Times New Roman" w:cs="Times New Roman"/>
          <w:sz w:val="24"/>
          <w:szCs w:val="24"/>
        </w:rPr>
        <w:t xml:space="preserve"> </w:t>
      </w:r>
      <w:r w:rsidR="00741B47" w:rsidRPr="00DB25FE">
        <w:rPr>
          <w:rFonts w:ascii="Times New Roman" w:hAnsi="Times New Roman" w:cs="Times New Roman"/>
          <w:color w:val="000000"/>
          <w:sz w:val="24"/>
          <w:szCs w:val="24"/>
        </w:rPr>
        <w:t xml:space="preserve">The harms </w:t>
      </w:r>
      <w:r w:rsidR="004B6961">
        <w:rPr>
          <w:rFonts w:ascii="Times New Roman" w:hAnsi="Times New Roman" w:cs="Times New Roman"/>
          <w:color w:val="000000"/>
          <w:sz w:val="24"/>
          <w:szCs w:val="24"/>
        </w:rPr>
        <w:t>associated with</w:t>
      </w:r>
      <w:r w:rsidR="00741B47" w:rsidRPr="00DB25FE">
        <w:rPr>
          <w:rFonts w:ascii="Times New Roman" w:hAnsi="Times New Roman" w:cs="Times New Roman"/>
          <w:color w:val="000000"/>
          <w:sz w:val="24"/>
          <w:szCs w:val="24"/>
        </w:rPr>
        <w:t xml:space="preserve"> sexting usually arise only upon the further dissemination of the image to others beyond those for whom it was originally intended</w:t>
      </w:r>
      <w:r w:rsidR="004B6961">
        <w:rPr>
          <w:rFonts w:ascii="Times New Roman" w:hAnsi="Times New Roman" w:cs="Times New Roman"/>
          <w:color w:val="000000"/>
          <w:sz w:val="24"/>
          <w:szCs w:val="24"/>
        </w:rPr>
        <w:t>, rather than the act of sexting itself</w:t>
      </w:r>
      <w:r w:rsidR="00741B47" w:rsidRPr="00DB25FE">
        <w:rPr>
          <w:rFonts w:ascii="Times New Roman" w:hAnsi="Times New Roman" w:cs="Times New Roman"/>
          <w:color w:val="000000"/>
          <w:sz w:val="24"/>
          <w:szCs w:val="24"/>
        </w:rPr>
        <w:t>.</w:t>
      </w:r>
      <w:r w:rsidR="00741B47" w:rsidRPr="00DB25FE">
        <w:rPr>
          <w:rFonts w:ascii="Times New Roman" w:hAnsi="Times New Roman" w:cs="Times New Roman"/>
          <w:sz w:val="24"/>
          <w:szCs w:val="24"/>
        </w:rPr>
        <w:t xml:space="preserve"> Such n</w:t>
      </w:r>
      <w:r w:rsidRPr="00DB25FE">
        <w:rPr>
          <w:rFonts w:ascii="Times New Roman" w:hAnsi="Times New Roman" w:cs="Times New Roman"/>
          <w:sz w:val="24"/>
          <w:szCs w:val="24"/>
        </w:rPr>
        <w:t xml:space="preserve">on-consensual taking and/or distributing of photographs can be dealt with by various other means. The Criminal Justice and Courts Act 2015 criminalises ‘revenge porn’ by making it a criminal offence to disclose </w:t>
      </w:r>
      <w:r w:rsidR="00B9167A" w:rsidRPr="00DB25FE">
        <w:rPr>
          <w:rFonts w:ascii="Times New Roman" w:hAnsi="Times New Roman" w:cs="Times New Roman"/>
          <w:sz w:val="24"/>
          <w:szCs w:val="24"/>
        </w:rPr>
        <w:t>“</w:t>
      </w:r>
      <w:r w:rsidRPr="00DB25FE">
        <w:rPr>
          <w:rFonts w:ascii="Times New Roman" w:hAnsi="Times New Roman" w:cs="Times New Roman"/>
          <w:sz w:val="24"/>
          <w:szCs w:val="24"/>
        </w:rPr>
        <w:t>private sexual photographs and films</w:t>
      </w:r>
      <w:r w:rsidR="00B9167A" w:rsidRPr="00DB25FE">
        <w:rPr>
          <w:rFonts w:ascii="Times New Roman" w:hAnsi="Times New Roman" w:cs="Times New Roman"/>
          <w:sz w:val="24"/>
          <w:szCs w:val="24"/>
        </w:rPr>
        <w:t>”</w:t>
      </w:r>
      <w:r w:rsidRPr="00DB25FE">
        <w:rPr>
          <w:rFonts w:ascii="Times New Roman" w:hAnsi="Times New Roman" w:cs="Times New Roman"/>
          <w:sz w:val="24"/>
          <w:szCs w:val="24"/>
        </w:rPr>
        <w:t>.</w:t>
      </w:r>
      <w:r w:rsidRPr="00DB25FE">
        <w:rPr>
          <w:rStyle w:val="FootnoteReference"/>
          <w:rFonts w:ascii="Times New Roman" w:hAnsi="Times New Roman" w:cs="Times New Roman"/>
          <w:sz w:val="24"/>
          <w:szCs w:val="24"/>
        </w:rPr>
        <w:footnoteReference w:id="25"/>
      </w:r>
      <w:r w:rsidRPr="00DB25FE">
        <w:rPr>
          <w:rFonts w:ascii="Times New Roman" w:hAnsi="Times New Roman" w:cs="Times New Roman"/>
          <w:sz w:val="24"/>
          <w:szCs w:val="24"/>
        </w:rPr>
        <w:t xml:space="preserve"> The disclosure must occur without the consent of everyone appearing in the photos or film and with the intention of causing individual distress. The surreptitious filming of private acts for the purpose of obtaining sexual gratification is the criminal offence of voyeurism as defined by section 67 of the Sexual Offences Act 2003. The Communications Act 2003 makes it a criminal offence to use a “public communications network” to send a message that is “grossly offensive or of an indecent, obscene or menacing character”.</w:t>
      </w:r>
      <w:r w:rsidRPr="00DB25FE">
        <w:rPr>
          <w:rStyle w:val="FootnoteReference"/>
          <w:rFonts w:ascii="Times New Roman" w:hAnsi="Times New Roman" w:cs="Times New Roman"/>
          <w:sz w:val="24"/>
          <w:szCs w:val="24"/>
        </w:rPr>
        <w:footnoteReference w:id="26"/>
      </w:r>
      <w:r w:rsidRPr="00DB25FE">
        <w:rPr>
          <w:rFonts w:ascii="Times New Roman" w:hAnsi="Times New Roman" w:cs="Times New Roman"/>
          <w:sz w:val="24"/>
          <w:szCs w:val="24"/>
        </w:rPr>
        <w:t xml:space="preserve"> </w:t>
      </w:r>
      <w:r w:rsidR="00B9167A" w:rsidRPr="00DB25FE">
        <w:rPr>
          <w:rFonts w:ascii="Times New Roman" w:hAnsi="Times New Roman" w:cs="Times New Roman"/>
          <w:sz w:val="24"/>
          <w:szCs w:val="24"/>
        </w:rPr>
        <w:t>T</w:t>
      </w:r>
      <w:r w:rsidRPr="00DB25FE">
        <w:rPr>
          <w:rFonts w:ascii="Times New Roman" w:hAnsi="Times New Roman" w:cs="Times New Roman"/>
          <w:sz w:val="24"/>
          <w:szCs w:val="24"/>
        </w:rPr>
        <w:t>he Malicious Communications Act 1988 makes it a criminal offence to send communications that are indecent, grossly offensive, threatening or false where there is an intention to cause distress or anxiety to a victim.</w:t>
      </w:r>
      <w:r w:rsidRPr="00DB25FE">
        <w:rPr>
          <w:rStyle w:val="FootnoteReference"/>
          <w:rFonts w:ascii="Times New Roman" w:hAnsi="Times New Roman" w:cs="Times New Roman"/>
          <w:sz w:val="24"/>
          <w:szCs w:val="24"/>
        </w:rPr>
        <w:footnoteReference w:id="27"/>
      </w:r>
      <w:r w:rsidRPr="00DB25FE">
        <w:rPr>
          <w:rFonts w:ascii="Times New Roman" w:hAnsi="Times New Roman" w:cs="Times New Roman"/>
          <w:sz w:val="24"/>
          <w:szCs w:val="24"/>
        </w:rPr>
        <w:t xml:space="preserve"> The Protection from Harassment Act 1997 criminalises any form of persistent conduct that causes another person alarm or distress. </w:t>
      </w:r>
    </w:p>
    <w:p w14:paraId="4586F6E9" w14:textId="77777777" w:rsidR="00741B47" w:rsidRPr="00DB25FE" w:rsidRDefault="00741B47" w:rsidP="00DB086E">
      <w:pPr>
        <w:autoSpaceDE w:val="0"/>
        <w:autoSpaceDN w:val="0"/>
        <w:adjustRightInd w:val="0"/>
        <w:spacing w:after="0" w:line="480" w:lineRule="auto"/>
        <w:jc w:val="both"/>
        <w:rPr>
          <w:rFonts w:ascii="Times New Roman" w:hAnsi="Times New Roman" w:cs="Times New Roman"/>
          <w:sz w:val="24"/>
          <w:szCs w:val="24"/>
        </w:rPr>
      </w:pPr>
    </w:p>
    <w:p w14:paraId="65BB2FAB" w14:textId="78961618" w:rsidR="00DB086E" w:rsidRPr="00DB25FE" w:rsidRDefault="00DB086E" w:rsidP="00DB086E">
      <w:pPr>
        <w:autoSpaceDE w:val="0"/>
        <w:autoSpaceDN w:val="0"/>
        <w:adjustRightInd w:val="0"/>
        <w:spacing w:after="0" w:line="480" w:lineRule="auto"/>
        <w:jc w:val="both"/>
        <w:rPr>
          <w:rFonts w:ascii="Times New Roman" w:hAnsi="Times New Roman" w:cs="Times New Roman"/>
          <w:sz w:val="24"/>
          <w:szCs w:val="24"/>
        </w:rPr>
      </w:pPr>
      <w:r w:rsidRPr="00DB25FE">
        <w:rPr>
          <w:rFonts w:ascii="Times New Roman" w:hAnsi="Times New Roman" w:cs="Times New Roman"/>
          <w:sz w:val="24"/>
          <w:szCs w:val="24"/>
        </w:rPr>
        <w:t xml:space="preserve">The Children Act 1989 </w:t>
      </w:r>
      <w:r w:rsidRPr="00DB25FE">
        <w:rPr>
          <w:rFonts w:ascii="Times New Roman" w:hAnsi="Times New Roman" w:cs="Times New Roman"/>
          <w:color w:val="000000"/>
          <w:sz w:val="24"/>
          <w:szCs w:val="24"/>
        </w:rPr>
        <w:t xml:space="preserve">provisions offer an opportunity for the relevant authorities to consult about the best way forward in respect of a child who is about to be prosecuted for a sexual offence. In cases of non-consensual sexting it may be thought preferable to proceed by way of civil proceedings seeking a care or supervision order under the Children Act 1989, rather than to embark on a prosecution. </w:t>
      </w:r>
      <w:r w:rsidR="00872980" w:rsidRPr="00DB25FE">
        <w:rPr>
          <w:rFonts w:ascii="Times New Roman" w:hAnsi="Times New Roman" w:cs="Times New Roman"/>
          <w:sz w:val="24"/>
          <w:szCs w:val="24"/>
        </w:rPr>
        <w:t xml:space="preserve">The Children Act creates the opportunity to develop interventions which promote the health and wellbeing of all the young people involved and to encourage positive prosocial behaviour. The 1991 guidance on interagency working in child protection, </w:t>
      </w:r>
      <w:r w:rsidR="00872980" w:rsidRPr="00DB25FE">
        <w:rPr>
          <w:rFonts w:ascii="Times New Roman" w:hAnsi="Times New Roman" w:cs="Times New Roman"/>
          <w:i/>
          <w:sz w:val="24"/>
          <w:szCs w:val="24"/>
        </w:rPr>
        <w:t>Working Together</w:t>
      </w:r>
      <w:r w:rsidR="00872980" w:rsidRPr="00DB25FE">
        <w:rPr>
          <w:rFonts w:ascii="Times New Roman" w:hAnsi="Times New Roman" w:cs="Times New Roman"/>
          <w:sz w:val="24"/>
          <w:szCs w:val="24"/>
        </w:rPr>
        <w:t>, emphasises that in the case of children and adolescents who engage in sexually harmful behaviour involving other children, child protection procedures should be invoked, that is such children should be viewed primarily as children in need as defined in the Children Act 1989 rather than children at risk</w:t>
      </w:r>
      <w:r w:rsidR="00872980" w:rsidRPr="00DB25FE">
        <w:rPr>
          <w:rFonts w:ascii="Times New Roman" w:hAnsi="Times New Roman" w:cs="Times New Roman"/>
        </w:rPr>
        <w:t>.</w:t>
      </w:r>
      <w:r w:rsidR="00872980" w:rsidRPr="00DB25FE">
        <w:rPr>
          <w:rStyle w:val="FootnoteReference"/>
          <w:rFonts w:ascii="Times New Roman" w:hAnsi="Times New Roman" w:cs="Times New Roman"/>
        </w:rPr>
        <w:footnoteReference w:id="28"/>
      </w:r>
      <w:r w:rsidR="00872980" w:rsidRPr="00DB25FE">
        <w:rPr>
          <w:rFonts w:ascii="Times New Roman" w:hAnsi="Times New Roman" w:cs="Times New Roman"/>
          <w:sz w:val="24"/>
          <w:szCs w:val="24"/>
        </w:rPr>
        <w:t xml:space="preserve"> </w:t>
      </w:r>
      <w:r w:rsidRPr="00DB25FE">
        <w:rPr>
          <w:rFonts w:ascii="Times New Roman" w:hAnsi="Times New Roman" w:cs="Times New Roman"/>
          <w:color w:val="000000"/>
          <w:sz w:val="24"/>
          <w:szCs w:val="24"/>
        </w:rPr>
        <w:t xml:space="preserve">Support for this approach can be found in </w:t>
      </w:r>
      <w:r w:rsidRPr="00DB25FE">
        <w:rPr>
          <w:rFonts w:ascii="Times New Roman" w:hAnsi="Times New Roman" w:cs="Times New Roman"/>
          <w:i/>
          <w:sz w:val="24"/>
          <w:szCs w:val="24"/>
        </w:rPr>
        <w:t>DPP v R</w:t>
      </w:r>
      <w:r w:rsidRPr="00DB25FE">
        <w:rPr>
          <w:rStyle w:val="FootnoteReference"/>
          <w:rFonts w:ascii="Times New Roman" w:hAnsi="Times New Roman" w:cs="Times New Roman"/>
          <w:sz w:val="24"/>
          <w:szCs w:val="24"/>
        </w:rPr>
        <w:footnoteReference w:id="29"/>
      </w:r>
      <w:r w:rsidRPr="00DB25FE">
        <w:rPr>
          <w:rFonts w:ascii="Times New Roman" w:hAnsi="Times New Roman" w:cs="Times New Roman"/>
          <w:sz w:val="24"/>
          <w:szCs w:val="24"/>
        </w:rPr>
        <w:t xml:space="preserve"> in which Hughes LJ commented in the High Court that: </w:t>
      </w:r>
    </w:p>
    <w:p w14:paraId="5920A9F5" w14:textId="77777777" w:rsidR="00DB086E" w:rsidRPr="00DB25FE" w:rsidRDefault="00DB086E" w:rsidP="00DB086E">
      <w:pPr>
        <w:autoSpaceDE w:val="0"/>
        <w:autoSpaceDN w:val="0"/>
        <w:adjustRightInd w:val="0"/>
        <w:spacing w:after="0" w:line="240" w:lineRule="auto"/>
        <w:ind w:left="720"/>
        <w:jc w:val="both"/>
        <w:rPr>
          <w:rFonts w:ascii="Times New Roman" w:hAnsi="Times New Roman" w:cs="Times New Roman"/>
          <w:sz w:val="24"/>
          <w:szCs w:val="24"/>
        </w:rPr>
      </w:pPr>
      <w:r w:rsidRPr="00DB25FE">
        <w:rPr>
          <w:rFonts w:ascii="Times New Roman" w:hAnsi="Times New Roman" w:cs="Times New Roman"/>
          <w:sz w:val="24"/>
          <w:szCs w:val="24"/>
        </w:rPr>
        <w:t>‘… where … children are concerned there may often be better ways of dealing with inappropriate behaviour than the full panoply of a criminal trial. Even where the complaint is of sexual behaviour it ought not to be thought that it is invariably in the public interest for it to be investigated by means of a criminal trial, rather than by inter-disciplinary action and co-operation between those who are experienced in dealing with children of this age …’</w:t>
      </w:r>
      <w:r w:rsidRPr="00DB25FE">
        <w:rPr>
          <w:rStyle w:val="FootnoteReference"/>
          <w:rFonts w:ascii="Times New Roman" w:hAnsi="Times New Roman" w:cs="Times New Roman"/>
          <w:sz w:val="24"/>
          <w:szCs w:val="24"/>
        </w:rPr>
        <w:footnoteReference w:id="30"/>
      </w:r>
      <w:r w:rsidRPr="00DB25FE">
        <w:rPr>
          <w:rFonts w:ascii="Times New Roman" w:hAnsi="Times New Roman" w:cs="Times New Roman"/>
          <w:sz w:val="24"/>
          <w:szCs w:val="24"/>
        </w:rPr>
        <w:t xml:space="preserve"> </w:t>
      </w:r>
    </w:p>
    <w:p w14:paraId="5524F8FD" w14:textId="77777777" w:rsidR="00DB086E" w:rsidRPr="00DB25FE" w:rsidRDefault="00DB086E" w:rsidP="00DB086E">
      <w:pPr>
        <w:autoSpaceDE w:val="0"/>
        <w:autoSpaceDN w:val="0"/>
        <w:adjustRightInd w:val="0"/>
        <w:spacing w:after="0" w:line="240" w:lineRule="auto"/>
        <w:ind w:left="720"/>
        <w:jc w:val="both"/>
        <w:rPr>
          <w:rFonts w:ascii="Times New Roman" w:hAnsi="Times New Roman" w:cs="Times New Roman"/>
          <w:color w:val="000000"/>
          <w:sz w:val="24"/>
          <w:szCs w:val="24"/>
        </w:rPr>
      </w:pPr>
    </w:p>
    <w:p w14:paraId="0670EBB6" w14:textId="284E1A4D" w:rsidR="00DB086E" w:rsidRPr="00DB25FE" w:rsidRDefault="004B6961" w:rsidP="00DB08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also possible to bring a civil </w:t>
      </w:r>
      <w:r w:rsidR="00741B47" w:rsidRPr="00DB25FE">
        <w:rPr>
          <w:rFonts w:ascii="Times New Roman" w:hAnsi="Times New Roman" w:cs="Times New Roman"/>
          <w:sz w:val="24"/>
          <w:szCs w:val="24"/>
        </w:rPr>
        <w:t xml:space="preserve">action for breach of privacy, breach of confidence, nuisance and sexual harassment. </w:t>
      </w:r>
      <w:r w:rsidR="00DB086E" w:rsidRPr="00DB25FE">
        <w:rPr>
          <w:rFonts w:ascii="Times New Roman" w:hAnsi="Times New Roman" w:cs="Times New Roman"/>
          <w:sz w:val="24"/>
          <w:szCs w:val="24"/>
        </w:rPr>
        <w:t>Given the plethora of legal responses, both criminal and civil, available to respond to the malicious distribution of private images, this raises the question of whether it is necessary to police and crimin</w:t>
      </w:r>
      <w:r w:rsidR="00E40C3E" w:rsidRPr="00DB25FE">
        <w:rPr>
          <w:rFonts w:ascii="Times New Roman" w:hAnsi="Times New Roman" w:cs="Times New Roman"/>
          <w:sz w:val="24"/>
          <w:szCs w:val="24"/>
        </w:rPr>
        <w:t>alise youth consensual sexting?</w:t>
      </w:r>
    </w:p>
    <w:p w14:paraId="350F6AE0" w14:textId="77777777" w:rsidR="00C85EA9" w:rsidRPr="00DB25FE" w:rsidRDefault="00C85EA9" w:rsidP="00C85EA9">
      <w:pPr>
        <w:pStyle w:val="NormalWeb"/>
        <w:spacing w:line="480" w:lineRule="auto"/>
        <w:rPr>
          <w:rFonts w:eastAsiaTheme="minorHAnsi"/>
          <w:lang w:eastAsia="en-US"/>
        </w:rPr>
      </w:pPr>
    </w:p>
    <w:p w14:paraId="2B83F156" w14:textId="77777777" w:rsidR="00C85EA9" w:rsidRPr="00DB25FE" w:rsidRDefault="008C0F41" w:rsidP="003C6419">
      <w:pPr>
        <w:pStyle w:val="NormalWeb"/>
        <w:spacing w:line="480" w:lineRule="auto"/>
        <w:rPr>
          <w:b/>
        </w:rPr>
      </w:pPr>
      <w:r w:rsidRPr="00DB25FE">
        <w:rPr>
          <w:b/>
        </w:rPr>
        <w:t>Conclusion</w:t>
      </w:r>
    </w:p>
    <w:p w14:paraId="7FCE4189" w14:textId="77777777" w:rsidR="003C6419" w:rsidRPr="00DB25FE" w:rsidRDefault="003C6419" w:rsidP="003C6419">
      <w:pPr>
        <w:pStyle w:val="NormalWeb"/>
        <w:spacing w:line="480" w:lineRule="auto"/>
        <w:rPr>
          <w:b/>
        </w:rPr>
      </w:pPr>
    </w:p>
    <w:p w14:paraId="26B5280C" w14:textId="1923D32F" w:rsidR="003E0C38" w:rsidRPr="00DB25FE" w:rsidRDefault="008C0F41" w:rsidP="00965F6C">
      <w:pPr>
        <w:spacing w:after="0" w:line="480" w:lineRule="auto"/>
        <w:jc w:val="both"/>
        <w:rPr>
          <w:rFonts w:ascii="Times New Roman" w:hAnsi="Times New Roman" w:cs="Times New Roman"/>
          <w:sz w:val="24"/>
          <w:szCs w:val="24"/>
        </w:rPr>
      </w:pPr>
      <w:r w:rsidRPr="00DB25FE">
        <w:rPr>
          <w:rFonts w:ascii="Times New Roman" w:hAnsi="Times New Roman" w:cs="Times New Roman"/>
          <w:sz w:val="24"/>
          <w:szCs w:val="24"/>
          <w:lang w:val="en-US"/>
        </w:rPr>
        <w:t>Young people have always explored their sexuality and shared these experiences with others. Sexting can therefore be seen as a novel facet of more traditional forms of sexual self-expression and adolescent’s socialisation.</w:t>
      </w:r>
      <w:r w:rsidRPr="00DB25FE">
        <w:rPr>
          <w:rStyle w:val="FootnoteReference"/>
          <w:rFonts w:ascii="Times New Roman" w:hAnsi="Times New Roman" w:cs="Times New Roman"/>
          <w:sz w:val="24"/>
          <w:szCs w:val="24"/>
          <w:lang w:val="en-US"/>
        </w:rPr>
        <w:footnoteReference w:id="31"/>
      </w:r>
      <w:r w:rsidRPr="00DB25FE">
        <w:rPr>
          <w:rFonts w:ascii="Times New Roman" w:hAnsi="Times New Roman" w:cs="Times New Roman"/>
          <w:sz w:val="24"/>
          <w:szCs w:val="24"/>
          <w:lang w:val="en-US"/>
        </w:rPr>
        <w:t xml:space="preserve"> </w:t>
      </w:r>
      <w:r w:rsidRPr="00DB25FE">
        <w:rPr>
          <w:rFonts w:ascii="Times New Roman" w:hAnsi="Times New Roman" w:cs="Times New Roman"/>
          <w:sz w:val="24"/>
          <w:szCs w:val="24"/>
          <w:lang w:val="en"/>
        </w:rPr>
        <w:t>Although it is critical to have social and legal regulations to protect children from harm</w:t>
      </w:r>
      <w:r w:rsidR="00741B47" w:rsidRPr="00DB25FE">
        <w:rPr>
          <w:rFonts w:ascii="Times New Roman" w:hAnsi="Times New Roman" w:cs="Times New Roman"/>
          <w:sz w:val="24"/>
          <w:szCs w:val="24"/>
        </w:rPr>
        <w:t xml:space="preserve"> that genuinely addresses children’s need for protection</w:t>
      </w:r>
      <w:r w:rsidRPr="00DB25FE">
        <w:rPr>
          <w:rFonts w:ascii="Times New Roman" w:hAnsi="Times New Roman" w:cs="Times New Roman"/>
          <w:sz w:val="24"/>
          <w:szCs w:val="24"/>
          <w:lang w:val="en"/>
        </w:rPr>
        <w:t xml:space="preserve">, </w:t>
      </w:r>
      <w:r w:rsidR="00741B47" w:rsidRPr="00DB25FE">
        <w:rPr>
          <w:rFonts w:ascii="Times New Roman" w:hAnsi="Times New Roman" w:cs="Times New Roman"/>
          <w:sz w:val="24"/>
          <w:szCs w:val="24"/>
          <w:lang w:val="en"/>
        </w:rPr>
        <w:t>the current approach to regulating teenage sexuality</w:t>
      </w:r>
      <w:r w:rsidRPr="00DB25FE">
        <w:rPr>
          <w:rFonts w:ascii="Times New Roman" w:hAnsi="Times New Roman" w:cs="Times New Roman"/>
          <w:sz w:val="24"/>
          <w:szCs w:val="24"/>
          <w:lang w:val="en"/>
        </w:rPr>
        <w:t xml:space="preserve"> </w:t>
      </w:r>
      <w:r w:rsidR="00741B47" w:rsidRPr="00DB25FE">
        <w:rPr>
          <w:rFonts w:ascii="Times New Roman" w:hAnsi="Times New Roman" w:cs="Times New Roman"/>
          <w:sz w:val="24"/>
          <w:szCs w:val="24"/>
        </w:rPr>
        <w:t>disproportionately restricts young people’s sexual self-determination</w:t>
      </w:r>
      <w:r w:rsidRPr="00DB25FE">
        <w:rPr>
          <w:rFonts w:ascii="Times New Roman" w:hAnsi="Times New Roman" w:cs="Times New Roman"/>
          <w:sz w:val="24"/>
          <w:szCs w:val="24"/>
          <w:lang w:val="en"/>
        </w:rPr>
        <w:t>.</w:t>
      </w:r>
      <w:r w:rsidRPr="00DB25FE">
        <w:rPr>
          <w:rFonts w:ascii="Times New Roman" w:hAnsi="Times New Roman" w:cs="Times New Roman"/>
          <w:b/>
          <w:sz w:val="24"/>
          <w:szCs w:val="24"/>
        </w:rPr>
        <w:t xml:space="preserve"> </w:t>
      </w:r>
      <w:r w:rsidR="007B7397" w:rsidRPr="00DB25FE">
        <w:rPr>
          <w:rFonts w:ascii="Times New Roman" w:hAnsi="Times New Roman" w:cs="Times New Roman"/>
          <w:sz w:val="24"/>
          <w:szCs w:val="24"/>
          <w:lang w:val="en"/>
        </w:rPr>
        <w:t xml:space="preserve">The paradigm of adult sexual offences is being used as a framework to interpret the very different and </w:t>
      </w:r>
      <w:r w:rsidR="007B7397" w:rsidRPr="00DB25FE">
        <w:rPr>
          <w:rFonts w:ascii="Times New Roman" w:hAnsi="Times New Roman" w:cs="Times New Roman"/>
          <w:i/>
          <w:iCs/>
          <w:sz w:val="24"/>
          <w:szCs w:val="24"/>
          <w:lang w:val="en"/>
        </w:rPr>
        <w:t>consensual</w:t>
      </w:r>
      <w:r w:rsidR="007B7397" w:rsidRPr="00DB25FE">
        <w:rPr>
          <w:rFonts w:ascii="Times New Roman" w:hAnsi="Times New Roman" w:cs="Times New Roman"/>
          <w:sz w:val="24"/>
          <w:szCs w:val="24"/>
          <w:lang w:val="en"/>
        </w:rPr>
        <w:t xml:space="preserve"> interpersonal interactions</w:t>
      </w:r>
      <w:r w:rsidR="00AE77E3" w:rsidRPr="00DB25FE">
        <w:rPr>
          <w:rFonts w:ascii="Times New Roman" w:hAnsi="Times New Roman" w:cs="Times New Roman"/>
          <w:sz w:val="24"/>
          <w:szCs w:val="24"/>
          <w:lang w:val="en"/>
        </w:rPr>
        <w:t xml:space="preserve"> of adolescents</w:t>
      </w:r>
      <w:r w:rsidR="007B7397" w:rsidRPr="00DB25FE">
        <w:rPr>
          <w:rFonts w:ascii="Times New Roman" w:hAnsi="Times New Roman" w:cs="Times New Roman"/>
          <w:sz w:val="24"/>
          <w:szCs w:val="24"/>
          <w:lang w:val="en"/>
        </w:rPr>
        <w:t>.</w:t>
      </w:r>
      <w:r w:rsidR="007B7397" w:rsidRPr="00DB25FE">
        <w:rPr>
          <w:rStyle w:val="FootnoteReference"/>
          <w:rFonts w:ascii="Times New Roman" w:hAnsi="Times New Roman" w:cs="Times New Roman"/>
          <w:sz w:val="24"/>
          <w:szCs w:val="24"/>
          <w:lang w:val="en"/>
        </w:rPr>
        <w:footnoteReference w:id="32"/>
      </w:r>
      <w:r w:rsidR="007B7397" w:rsidRPr="00DB25FE">
        <w:rPr>
          <w:rFonts w:ascii="Times New Roman" w:hAnsi="Times New Roman" w:cs="Times New Roman"/>
          <w:sz w:val="24"/>
          <w:szCs w:val="24"/>
          <w:lang w:val="en"/>
        </w:rPr>
        <w:t xml:space="preserve"> </w:t>
      </w:r>
      <w:r w:rsidR="00B542F2" w:rsidRPr="00DB25FE">
        <w:rPr>
          <w:rFonts w:ascii="Times New Roman" w:hAnsi="Times New Roman" w:cs="Times New Roman"/>
          <w:sz w:val="24"/>
          <w:szCs w:val="24"/>
        </w:rPr>
        <w:t>Using criminal laws which were designed to protect children from sexual exploitation and victimization are</w:t>
      </w:r>
      <w:r w:rsidR="00DF5200" w:rsidRPr="00DB25FE">
        <w:rPr>
          <w:rFonts w:ascii="Times New Roman" w:hAnsi="Times New Roman" w:cs="Times New Roman"/>
          <w:sz w:val="24"/>
          <w:szCs w:val="24"/>
        </w:rPr>
        <w:t xml:space="preserve"> an inappropriate</w:t>
      </w:r>
      <w:r w:rsidR="00B542F2" w:rsidRPr="00DB25FE">
        <w:rPr>
          <w:rFonts w:ascii="Times New Roman" w:hAnsi="Times New Roman" w:cs="Times New Roman"/>
          <w:sz w:val="24"/>
          <w:szCs w:val="24"/>
        </w:rPr>
        <w:t>ly stigmatising way</w:t>
      </w:r>
      <w:r w:rsidR="00DF5200" w:rsidRPr="00DB25FE">
        <w:rPr>
          <w:rFonts w:ascii="Times New Roman" w:hAnsi="Times New Roman" w:cs="Times New Roman"/>
          <w:sz w:val="24"/>
          <w:szCs w:val="24"/>
        </w:rPr>
        <w:t xml:space="preserve"> </w:t>
      </w:r>
      <w:r w:rsidR="00B542F2" w:rsidRPr="00DB25FE">
        <w:rPr>
          <w:rFonts w:ascii="Times New Roman" w:hAnsi="Times New Roman" w:cs="Times New Roman"/>
          <w:sz w:val="24"/>
          <w:szCs w:val="24"/>
        </w:rPr>
        <w:t>of responding</w:t>
      </w:r>
      <w:r w:rsidR="00DF5200" w:rsidRPr="00DB25FE">
        <w:rPr>
          <w:rFonts w:ascii="Times New Roman" w:hAnsi="Times New Roman" w:cs="Times New Roman"/>
          <w:sz w:val="24"/>
          <w:szCs w:val="24"/>
        </w:rPr>
        <w:t xml:space="preserve"> </w:t>
      </w:r>
      <w:r w:rsidR="00B542F2" w:rsidRPr="00DB25FE">
        <w:rPr>
          <w:rFonts w:ascii="Times New Roman" w:hAnsi="Times New Roman" w:cs="Times New Roman"/>
          <w:sz w:val="24"/>
          <w:szCs w:val="24"/>
        </w:rPr>
        <w:t>to consensual sexual experimentation which punish youth sexual agency, marginalise the voice of young people and may</w:t>
      </w:r>
      <w:r w:rsidR="00DF5200" w:rsidRPr="00DB25FE">
        <w:rPr>
          <w:rFonts w:ascii="Times New Roman" w:hAnsi="Times New Roman" w:cs="Times New Roman"/>
          <w:sz w:val="24"/>
          <w:szCs w:val="24"/>
        </w:rPr>
        <w:t xml:space="preserve"> limit the young person’</w:t>
      </w:r>
      <w:r w:rsidR="00B542F2" w:rsidRPr="00DB25FE">
        <w:rPr>
          <w:rFonts w:ascii="Times New Roman" w:hAnsi="Times New Roman" w:cs="Times New Roman"/>
          <w:sz w:val="24"/>
          <w:szCs w:val="24"/>
        </w:rPr>
        <w:t>s future life choices.</w:t>
      </w:r>
    </w:p>
    <w:sectPr w:rsidR="003E0C38" w:rsidRPr="00DB25FE">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vid ormerod" w:date="2018-02-25T15:26:00Z" w:initials="do">
    <w:p w14:paraId="70EE0509" w14:textId="4CCFB524" w:rsidR="00D926E6" w:rsidRDefault="00D926E6">
      <w:pPr>
        <w:pStyle w:val="CommentText"/>
      </w:pPr>
      <w:r>
        <w:rPr>
          <w:rStyle w:val="CommentReference"/>
        </w:rPr>
        <w:annotationRef/>
      </w:r>
      <w:r>
        <w:t>Although it is criminal under s 127 Communications Act 2003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EE0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EE0509" w16cid:durableId="1E3D54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AD9D7" w14:textId="77777777" w:rsidR="002B1BE5" w:rsidRDefault="002B1BE5" w:rsidP="00162154">
      <w:pPr>
        <w:spacing w:after="0" w:line="240" w:lineRule="auto"/>
      </w:pPr>
      <w:r>
        <w:separator/>
      </w:r>
    </w:p>
  </w:endnote>
  <w:endnote w:type="continuationSeparator" w:id="0">
    <w:p w14:paraId="0090F35E" w14:textId="77777777" w:rsidR="002B1BE5" w:rsidRDefault="002B1BE5" w:rsidP="0016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238241"/>
      <w:docPartObj>
        <w:docPartGallery w:val="Page Numbers (Bottom of Page)"/>
        <w:docPartUnique/>
      </w:docPartObj>
    </w:sdtPr>
    <w:sdtEndPr>
      <w:rPr>
        <w:noProof/>
      </w:rPr>
    </w:sdtEndPr>
    <w:sdtContent>
      <w:p w14:paraId="30759597" w14:textId="76D229A4" w:rsidR="00E3735C" w:rsidRDefault="00E3735C">
        <w:pPr>
          <w:pStyle w:val="Footer"/>
          <w:jc w:val="center"/>
        </w:pPr>
        <w:r>
          <w:fldChar w:fldCharType="begin"/>
        </w:r>
        <w:r>
          <w:instrText xml:space="preserve"> PAGE   \* MERGEFORMAT </w:instrText>
        </w:r>
        <w:r>
          <w:fldChar w:fldCharType="separate"/>
        </w:r>
        <w:r w:rsidR="00CA329B">
          <w:rPr>
            <w:noProof/>
          </w:rPr>
          <w:t>1</w:t>
        </w:r>
        <w:r>
          <w:rPr>
            <w:noProof/>
          </w:rPr>
          <w:fldChar w:fldCharType="end"/>
        </w:r>
      </w:p>
    </w:sdtContent>
  </w:sdt>
  <w:p w14:paraId="29F8A0B7" w14:textId="77777777" w:rsidR="00E3735C" w:rsidRDefault="00E37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6CB9" w14:textId="77777777" w:rsidR="002B1BE5" w:rsidRDefault="002B1BE5" w:rsidP="00162154">
      <w:pPr>
        <w:spacing w:after="0" w:line="240" w:lineRule="auto"/>
      </w:pPr>
      <w:r>
        <w:separator/>
      </w:r>
    </w:p>
  </w:footnote>
  <w:footnote w:type="continuationSeparator" w:id="0">
    <w:p w14:paraId="5C45C386" w14:textId="77777777" w:rsidR="002B1BE5" w:rsidRDefault="002B1BE5" w:rsidP="00162154">
      <w:pPr>
        <w:spacing w:after="0" w:line="240" w:lineRule="auto"/>
      </w:pPr>
      <w:r>
        <w:continuationSeparator/>
      </w:r>
    </w:p>
  </w:footnote>
  <w:footnote w:id="1">
    <w:p w14:paraId="6A5A53A9" w14:textId="1B475FA9" w:rsidR="00D75AF0" w:rsidRDefault="00D75AF0">
      <w:pPr>
        <w:pStyle w:val="FootnoteText"/>
      </w:pPr>
      <w:r>
        <w:rPr>
          <w:rStyle w:val="FootnoteReference"/>
        </w:rPr>
        <w:footnoteRef/>
      </w:r>
      <w:r>
        <w:t xml:space="preserve"> Many thanks to </w:t>
      </w:r>
      <w:r w:rsidR="004C5DAC">
        <w:t xml:space="preserve">Dr Nicola Wake </w:t>
      </w:r>
      <w:r>
        <w:t xml:space="preserve">for </w:t>
      </w:r>
      <w:r w:rsidR="004C5DAC">
        <w:t xml:space="preserve">her </w:t>
      </w:r>
      <w:r>
        <w:t xml:space="preserve">useful feedback on an earlier draft of this article. All opinions and errors remain the responsibility of the author. </w:t>
      </w:r>
    </w:p>
  </w:footnote>
  <w:footnote w:id="2">
    <w:p w14:paraId="264866BE" w14:textId="77777777" w:rsidR="00E3735C" w:rsidRPr="00463A90" w:rsidRDefault="00E3735C" w:rsidP="00162154">
      <w:pPr>
        <w:pStyle w:val="FootnoteText"/>
        <w:rPr>
          <w:rFonts w:ascii="Times New Roman" w:hAnsi="Times New Roman" w:cs="Times New Roman"/>
        </w:rPr>
      </w:pPr>
      <w:r w:rsidRPr="00463A90">
        <w:rPr>
          <w:rStyle w:val="FootnoteReference"/>
          <w:rFonts w:ascii="Times New Roman" w:hAnsi="Times New Roman" w:cs="Times New Roman"/>
        </w:rPr>
        <w:footnoteRef/>
      </w:r>
      <w:r w:rsidRPr="00463A90">
        <w:rPr>
          <w:rFonts w:ascii="Times New Roman" w:hAnsi="Times New Roman" w:cs="Times New Roman"/>
        </w:rPr>
        <w:t>T. Crofts, M. Le</w:t>
      </w:r>
      <w:r w:rsidR="003106FF">
        <w:rPr>
          <w:rFonts w:ascii="Times New Roman" w:hAnsi="Times New Roman" w:cs="Times New Roman"/>
        </w:rPr>
        <w:t>e, A. McGovern, S.</w:t>
      </w:r>
      <w:r w:rsidR="00642E45">
        <w:rPr>
          <w:rFonts w:ascii="Times New Roman" w:hAnsi="Times New Roman" w:cs="Times New Roman"/>
        </w:rPr>
        <w:t xml:space="preserve"> Milivojevic</w:t>
      </w:r>
      <w:r w:rsidRPr="00463A90">
        <w:rPr>
          <w:rFonts w:ascii="Times New Roman" w:hAnsi="Times New Roman" w:cs="Times New Roman"/>
        </w:rPr>
        <w:t xml:space="preserve"> </w:t>
      </w:r>
      <w:r w:rsidRPr="00463A90">
        <w:rPr>
          <w:rFonts w:ascii="Times New Roman" w:hAnsi="Times New Roman" w:cs="Times New Roman"/>
          <w:i/>
        </w:rPr>
        <w:t>Sexting and young people</w:t>
      </w:r>
      <w:r w:rsidRPr="00463A90">
        <w:rPr>
          <w:rFonts w:ascii="Times New Roman" w:hAnsi="Times New Roman" w:cs="Times New Roman"/>
        </w:rPr>
        <w:t xml:space="preserve"> (Basingstoke</w:t>
      </w:r>
      <w:r w:rsidR="00C85EA9">
        <w:rPr>
          <w:rFonts w:ascii="Times New Roman" w:hAnsi="Times New Roman" w:cs="Times New Roman"/>
        </w:rPr>
        <w:t>: Palgrave</w:t>
      </w:r>
      <w:r w:rsidR="00CB54A9">
        <w:rPr>
          <w:rFonts w:ascii="Times New Roman" w:hAnsi="Times New Roman" w:cs="Times New Roman"/>
        </w:rPr>
        <w:t>,</w:t>
      </w:r>
      <w:r w:rsidRPr="00463A90">
        <w:rPr>
          <w:rFonts w:ascii="Times New Roman" w:hAnsi="Times New Roman" w:cs="Times New Roman"/>
        </w:rPr>
        <w:t xml:space="preserve"> 2015), 4. </w:t>
      </w:r>
    </w:p>
  </w:footnote>
  <w:footnote w:id="3">
    <w:p w14:paraId="1C140347" w14:textId="39B5A0A1" w:rsidR="004C5DAC" w:rsidRPr="004C5DAC" w:rsidRDefault="004C5DAC">
      <w:pPr>
        <w:pStyle w:val="FootnoteText"/>
        <w:rPr>
          <w:rFonts w:ascii="Times New Roman" w:hAnsi="Times New Roman" w:cs="Times New Roman"/>
        </w:rPr>
      </w:pPr>
      <w:r>
        <w:rPr>
          <w:rStyle w:val="FootnoteReference"/>
        </w:rPr>
        <w:footnoteRef/>
      </w:r>
      <w:r>
        <w:t xml:space="preserve"> </w:t>
      </w:r>
      <w:r w:rsidRPr="004C5DAC">
        <w:rPr>
          <w:rFonts w:ascii="Times New Roman" w:hAnsi="Times New Roman" w:cs="Times New Roman"/>
        </w:rPr>
        <w:t xml:space="preserve">Section 9 Sexual Offences Act 2003. This reasonable belief does not apply where the victim is under 13 years of age. </w:t>
      </w:r>
    </w:p>
  </w:footnote>
  <w:footnote w:id="4">
    <w:p w14:paraId="429A5387" w14:textId="05329951" w:rsidR="00AA1D13" w:rsidRPr="00AA1D13" w:rsidRDefault="00AA1D1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Home Office </w:t>
      </w:r>
      <w:r>
        <w:rPr>
          <w:rFonts w:ascii="Times New Roman" w:hAnsi="Times New Roman" w:cs="Times New Roman"/>
          <w:i/>
        </w:rPr>
        <w:t xml:space="preserve">Guidance on the Sexual Offences Act 2003 </w:t>
      </w:r>
      <w:r>
        <w:rPr>
          <w:rFonts w:ascii="Times New Roman" w:hAnsi="Times New Roman" w:cs="Times New Roman"/>
        </w:rPr>
        <w:t>(London: Home Office, 2003) para 72.</w:t>
      </w:r>
      <w:r w:rsidR="007C51E6">
        <w:rPr>
          <w:rFonts w:ascii="Times New Roman" w:hAnsi="Times New Roman" w:cs="Times New Roman"/>
        </w:rPr>
        <w:t xml:space="preserve"> See a</w:t>
      </w:r>
      <w:r>
        <w:rPr>
          <w:rFonts w:ascii="Times New Roman" w:hAnsi="Times New Roman" w:cs="Times New Roman"/>
        </w:rPr>
        <w:t xml:space="preserve">lso Home Office </w:t>
      </w:r>
      <w:r w:rsidRPr="00AA1D13">
        <w:rPr>
          <w:rFonts w:ascii="Times New Roman" w:hAnsi="Times New Roman" w:cs="Times New Roman"/>
          <w:i/>
        </w:rPr>
        <w:t>Children and Families: Safer from Sexual Crime – The Sexual Offences Act 2003</w:t>
      </w:r>
      <w:r w:rsidRPr="00AA1D13">
        <w:rPr>
          <w:rFonts w:ascii="Times New Roman" w:hAnsi="Times New Roman" w:cs="Times New Roman"/>
        </w:rPr>
        <w:t xml:space="preserve"> </w:t>
      </w:r>
      <w:r>
        <w:rPr>
          <w:rFonts w:ascii="Times New Roman" w:hAnsi="Times New Roman" w:cs="Times New Roman"/>
        </w:rPr>
        <w:t>(</w:t>
      </w:r>
      <w:r w:rsidRPr="00AA1D13">
        <w:rPr>
          <w:rFonts w:ascii="Times New Roman" w:hAnsi="Times New Roman" w:cs="Times New Roman"/>
        </w:rPr>
        <w:t>London: Home Office Communications Directorate, 2004</w:t>
      </w:r>
      <w:r>
        <w:rPr>
          <w:rFonts w:ascii="Times New Roman" w:hAnsi="Times New Roman" w:cs="Times New Roman"/>
        </w:rPr>
        <w:t>).</w:t>
      </w:r>
    </w:p>
  </w:footnote>
  <w:footnote w:id="5">
    <w:p w14:paraId="358326FA" w14:textId="77777777" w:rsidR="00E468FF" w:rsidRDefault="00E468FF" w:rsidP="00E468FF">
      <w:pPr>
        <w:pStyle w:val="FootnoteText"/>
      </w:pPr>
      <w:r>
        <w:rPr>
          <w:rStyle w:val="FootnoteReference"/>
        </w:rPr>
        <w:footnoteRef/>
      </w:r>
      <w:r>
        <w:t xml:space="preserve"> </w:t>
      </w:r>
      <w:r w:rsidR="0080586C">
        <w:rPr>
          <w:rFonts w:ascii="Times New Roman" w:hAnsi="Times New Roman" w:cs="Times New Roman"/>
        </w:rPr>
        <w:t xml:space="preserve">Home Office </w:t>
      </w:r>
      <w:r w:rsidRPr="0080586C">
        <w:rPr>
          <w:rFonts w:ascii="Times New Roman" w:hAnsi="Times New Roman" w:cs="Times New Roman"/>
          <w:i/>
        </w:rPr>
        <w:t>Protecting the Publ</w:t>
      </w:r>
      <w:r w:rsidR="0080586C" w:rsidRPr="0080586C">
        <w:rPr>
          <w:rFonts w:ascii="Times New Roman" w:hAnsi="Times New Roman" w:cs="Times New Roman"/>
          <w:i/>
        </w:rPr>
        <w:t>ic</w:t>
      </w:r>
      <w:r w:rsidR="0080586C" w:rsidRPr="0080586C">
        <w:rPr>
          <w:rFonts w:ascii="Times New Roman" w:hAnsi="Times New Roman" w:cs="Times New Roman"/>
        </w:rPr>
        <w:t xml:space="preserve"> (</w:t>
      </w:r>
      <w:r w:rsidRPr="0080586C">
        <w:rPr>
          <w:rFonts w:ascii="Times New Roman" w:hAnsi="Times New Roman" w:cs="Times New Roman"/>
        </w:rPr>
        <w:t xml:space="preserve">London: TSO, </w:t>
      </w:r>
      <w:r w:rsidR="0080586C" w:rsidRPr="0080586C">
        <w:rPr>
          <w:rFonts w:ascii="Times New Roman" w:hAnsi="Times New Roman" w:cs="Times New Roman"/>
        </w:rPr>
        <w:t>2002)</w:t>
      </w:r>
      <w:r w:rsidR="0080586C">
        <w:rPr>
          <w:rFonts w:ascii="Times New Roman" w:hAnsi="Times New Roman" w:cs="Times New Roman"/>
        </w:rPr>
        <w:t>.</w:t>
      </w:r>
    </w:p>
  </w:footnote>
  <w:footnote w:id="6">
    <w:p w14:paraId="037B22DC" w14:textId="6666977B" w:rsidR="00C44336" w:rsidRPr="00C44336" w:rsidRDefault="00C44336">
      <w:pPr>
        <w:pStyle w:val="FootnoteText"/>
        <w:rPr>
          <w:rFonts w:ascii="Times New Roman" w:hAnsi="Times New Roman" w:cs="Times New Roman"/>
        </w:rPr>
      </w:pPr>
      <w:r>
        <w:rPr>
          <w:rStyle w:val="FootnoteReference"/>
        </w:rPr>
        <w:footnoteRef/>
      </w:r>
      <w:r>
        <w:t xml:space="preserve"> </w:t>
      </w:r>
      <w:r w:rsidRPr="00C44336">
        <w:rPr>
          <w:rFonts w:ascii="Times New Roman" w:hAnsi="Times New Roman" w:cs="Times New Roman"/>
        </w:rPr>
        <w:t>Sexual Offences Act 2003, s 45</w:t>
      </w:r>
      <w:r w:rsidR="008F045B">
        <w:rPr>
          <w:rFonts w:ascii="Times New Roman" w:hAnsi="Times New Roman" w:cs="Times New Roman"/>
        </w:rPr>
        <w:t>.</w:t>
      </w:r>
    </w:p>
  </w:footnote>
  <w:footnote w:id="7">
    <w:p w14:paraId="25F503D3" w14:textId="5B845412" w:rsidR="00600CB8" w:rsidRPr="00600CB8" w:rsidRDefault="00600CB8">
      <w:pPr>
        <w:pStyle w:val="FootnoteText"/>
        <w:rPr>
          <w:rFonts w:ascii="Times New Roman" w:hAnsi="Times New Roman" w:cs="Times New Roman"/>
        </w:rPr>
      </w:pPr>
      <w:r>
        <w:rPr>
          <w:rStyle w:val="FootnoteReference"/>
        </w:rPr>
        <w:footnoteRef/>
      </w:r>
      <w:r>
        <w:t xml:space="preserve"> </w:t>
      </w:r>
      <w:r w:rsidRPr="00600CB8">
        <w:rPr>
          <w:rFonts w:ascii="Times New Roman" w:hAnsi="Times New Roman" w:cs="Times New Roman"/>
        </w:rPr>
        <w:t>Sexual Offences Act 2003, s 1A(1),(2)</w:t>
      </w:r>
      <w:r w:rsidR="008F045B">
        <w:rPr>
          <w:rFonts w:ascii="Times New Roman" w:hAnsi="Times New Roman" w:cs="Times New Roman"/>
        </w:rPr>
        <w:t>.</w:t>
      </w:r>
    </w:p>
  </w:footnote>
  <w:footnote w:id="8">
    <w:p w14:paraId="6F240E6C" w14:textId="2856A28F" w:rsidR="00F14A76" w:rsidRDefault="00F14A76">
      <w:pPr>
        <w:pStyle w:val="FootnoteText"/>
      </w:pPr>
      <w:r>
        <w:rPr>
          <w:rStyle w:val="FootnoteReference"/>
        </w:rPr>
        <w:footnoteRef/>
      </w:r>
      <w:r>
        <w:t xml:space="preserve"> </w:t>
      </w:r>
      <w:r w:rsidRPr="00F14A76">
        <w:rPr>
          <w:rFonts w:ascii="Times New Roman" w:hAnsi="Times New Roman" w:cs="Times New Roman"/>
          <w:bCs/>
        </w:rPr>
        <w:t>[2011] EWCA Crim 2752</w:t>
      </w:r>
      <w:r w:rsidR="008F045B">
        <w:rPr>
          <w:rFonts w:ascii="Times New Roman" w:hAnsi="Times New Roman" w:cs="Times New Roman"/>
          <w:bCs/>
        </w:rPr>
        <w:t>.</w:t>
      </w:r>
    </w:p>
  </w:footnote>
  <w:footnote w:id="9">
    <w:p w14:paraId="43A08E71" w14:textId="77777777" w:rsidR="00E3735C" w:rsidRPr="00463A90" w:rsidRDefault="00E3735C" w:rsidP="00B34107">
      <w:pPr>
        <w:pStyle w:val="FootnoteText"/>
        <w:rPr>
          <w:rFonts w:ascii="Times New Roman" w:hAnsi="Times New Roman" w:cs="Times New Roman"/>
        </w:rPr>
      </w:pPr>
      <w:r w:rsidRPr="00463A90">
        <w:rPr>
          <w:rStyle w:val="FootnoteReference"/>
          <w:rFonts w:ascii="Times New Roman" w:hAnsi="Times New Roman" w:cs="Times New Roman"/>
        </w:rPr>
        <w:footnoteRef/>
      </w:r>
      <w:r w:rsidRPr="00463A90">
        <w:rPr>
          <w:rFonts w:ascii="Times New Roman" w:hAnsi="Times New Roman" w:cs="Times New Roman"/>
        </w:rPr>
        <w:t xml:space="preserve"> Crown Prosecution Service, </w:t>
      </w:r>
      <w:r w:rsidRPr="00463A90">
        <w:rPr>
          <w:rFonts w:ascii="Times New Roman" w:hAnsi="Times New Roman" w:cs="Times New Roman"/>
          <w:i/>
        </w:rPr>
        <w:t xml:space="preserve">Guidelines on prosecuting cases involving communications sent via social media </w:t>
      </w:r>
      <w:r w:rsidRPr="00463A90">
        <w:rPr>
          <w:rFonts w:ascii="Times New Roman" w:hAnsi="Times New Roman" w:cs="Times New Roman"/>
        </w:rPr>
        <w:t>(London</w:t>
      </w:r>
      <w:r w:rsidR="00CB54A9">
        <w:rPr>
          <w:rFonts w:ascii="Times New Roman" w:hAnsi="Times New Roman" w:cs="Times New Roman"/>
        </w:rPr>
        <w:t>: HMSO,</w:t>
      </w:r>
      <w:r w:rsidRPr="00463A90">
        <w:rPr>
          <w:rFonts w:ascii="Times New Roman" w:hAnsi="Times New Roman" w:cs="Times New Roman"/>
        </w:rPr>
        <w:t xml:space="preserve"> 2016)</w:t>
      </w:r>
      <w:r>
        <w:rPr>
          <w:rFonts w:ascii="Times New Roman" w:hAnsi="Times New Roman" w:cs="Times New Roman"/>
        </w:rPr>
        <w:t>.</w:t>
      </w:r>
    </w:p>
  </w:footnote>
  <w:footnote w:id="10">
    <w:p w14:paraId="01856843" w14:textId="77777777" w:rsidR="00E3735C" w:rsidRPr="00463A90" w:rsidRDefault="00E3735C" w:rsidP="00B34107">
      <w:pPr>
        <w:pStyle w:val="FootnoteText"/>
        <w:rPr>
          <w:rFonts w:ascii="Times New Roman" w:hAnsi="Times New Roman" w:cs="Times New Roman"/>
        </w:rPr>
      </w:pPr>
      <w:r w:rsidRPr="00463A90">
        <w:rPr>
          <w:rStyle w:val="FootnoteReference"/>
          <w:rFonts w:ascii="Times New Roman" w:hAnsi="Times New Roman" w:cs="Times New Roman"/>
        </w:rPr>
        <w:footnoteRef/>
      </w:r>
      <w:r w:rsidRPr="00463A90">
        <w:rPr>
          <w:rFonts w:ascii="Times New Roman" w:hAnsi="Times New Roman" w:cs="Times New Roman"/>
        </w:rPr>
        <w:t xml:space="preserve"> College of Policing, </w:t>
      </w:r>
      <w:r w:rsidRPr="00463A90">
        <w:rPr>
          <w:rFonts w:ascii="Times New Roman" w:hAnsi="Times New Roman" w:cs="Times New Roman"/>
          <w:i/>
        </w:rPr>
        <w:t xml:space="preserve">Briefing Note: Police action in response to youth produced sexual imagery (sexting) </w:t>
      </w:r>
      <w:r w:rsidRPr="00463A90">
        <w:rPr>
          <w:rFonts w:ascii="Times New Roman" w:hAnsi="Times New Roman" w:cs="Times New Roman"/>
        </w:rPr>
        <w:t>(London</w:t>
      </w:r>
      <w:r w:rsidR="00CB54A9">
        <w:rPr>
          <w:rFonts w:ascii="Times New Roman" w:hAnsi="Times New Roman" w:cs="Times New Roman"/>
        </w:rPr>
        <w:t>: College of Policing,</w:t>
      </w:r>
      <w:r w:rsidRPr="00463A90">
        <w:rPr>
          <w:rFonts w:ascii="Times New Roman" w:hAnsi="Times New Roman" w:cs="Times New Roman"/>
        </w:rPr>
        <w:t xml:space="preserve"> 2016). </w:t>
      </w:r>
    </w:p>
  </w:footnote>
  <w:footnote w:id="11">
    <w:p w14:paraId="75FD7255" w14:textId="1F4CAFDA" w:rsidR="00E3735C" w:rsidRPr="00463A90" w:rsidRDefault="00E3735C">
      <w:pPr>
        <w:pStyle w:val="FootnoteText"/>
        <w:rPr>
          <w:rFonts w:ascii="Times New Roman" w:hAnsi="Times New Roman" w:cs="Times New Roman"/>
        </w:rPr>
      </w:pPr>
      <w:r w:rsidRPr="00463A90">
        <w:rPr>
          <w:rStyle w:val="FootnoteReference"/>
          <w:rFonts w:ascii="Times New Roman" w:hAnsi="Times New Roman" w:cs="Times New Roman"/>
        </w:rPr>
        <w:footnoteRef/>
      </w:r>
      <w:r w:rsidR="00C22417">
        <w:rPr>
          <w:rFonts w:ascii="Times New Roman" w:hAnsi="Times New Roman" w:cs="Times New Roman"/>
        </w:rPr>
        <w:t xml:space="preserve"> J.</w:t>
      </w:r>
      <w:r w:rsidR="00803F5E">
        <w:rPr>
          <w:rFonts w:ascii="Times New Roman" w:hAnsi="Times New Roman" w:cs="Times New Roman"/>
        </w:rPr>
        <w:t xml:space="preserve"> </w:t>
      </w:r>
      <w:r w:rsidR="00C22417">
        <w:rPr>
          <w:rFonts w:ascii="Times New Roman" w:hAnsi="Times New Roman" w:cs="Times New Roman"/>
        </w:rPr>
        <w:t>Allan (ed.</w:t>
      </w:r>
      <w:r w:rsidR="00791410">
        <w:rPr>
          <w:rFonts w:ascii="Times New Roman" w:hAnsi="Times New Roman" w:cs="Times New Roman"/>
        </w:rPr>
        <w:t>)</w:t>
      </w:r>
      <w:r w:rsidRPr="00463A90">
        <w:rPr>
          <w:rFonts w:ascii="Times New Roman" w:hAnsi="Times New Roman" w:cs="Times New Roman"/>
        </w:rPr>
        <w:t xml:space="preserve"> </w:t>
      </w:r>
      <w:r w:rsidRPr="00463A90">
        <w:rPr>
          <w:rFonts w:ascii="Times New Roman" w:hAnsi="Times New Roman" w:cs="Times New Roman"/>
          <w:i/>
        </w:rPr>
        <w:t>Crime outcomes in England and Wales: year ending March 2016, Statistical Bulletin HOSB 06/16</w:t>
      </w:r>
      <w:r w:rsidRPr="00463A90">
        <w:rPr>
          <w:rFonts w:ascii="Times New Roman" w:hAnsi="Times New Roman" w:cs="Times New Roman"/>
        </w:rPr>
        <w:t xml:space="preserve"> </w:t>
      </w:r>
      <w:r>
        <w:rPr>
          <w:rFonts w:ascii="Times New Roman" w:hAnsi="Times New Roman" w:cs="Times New Roman"/>
        </w:rPr>
        <w:t>(London</w:t>
      </w:r>
      <w:r w:rsidR="00CB54A9">
        <w:rPr>
          <w:rFonts w:ascii="Times New Roman" w:hAnsi="Times New Roman" w:cs="Times New Roman"/>
        </w:rPr>
        <w:t>: Home Office,</w:t>
      </w:r>
      <w:r>
        <w:rPr>
          <w:rFonts w:ascii="Times New Roman" w:hAnsi="Times New Roman" w:cs="Times New Roman"/>
        </w:rPr>
        <w:t xml:space="preserve"> 2016). </w:t>
      </w:r>
    </w:p>
  </w:footnote>
  <w:footnote w:id="12">
    <w:p w14:paraId="47474CDB" w14:textId="61D65E9C" w:rsidR="003650EC" w:rsidRPr="003650EC" w:rsidRDefault="003650EC">
      <w:pPr>
        <w:pStyle w:val="FootnoteText"/>
        <w:rPr>
          <w:rFonts w:ascii="Times New Roman" w:hAnsi="Times New Roman" w:cs="Times New Roman"/>
        </w:rPr>
      </w:pPr>
      <w:r>
        <w:rPr>
          <w:rStyle w:val="FootnoteReference"/>
        </w:rPr>
        <w:footnoteRef/>
      </w:r>
      <w:r>
        <w:t xml:space="preserve"> </w:t>
      </w:r>
      <w:r w:rsidRPr="003650EC">
        <w:rPr>
          <w:rFonts w:ascii="Times New Roman" w:hAnsi="Times New Roman" w:cs="Times New Roman"/>
        </w:rPr>
        <w:t xml:space="preserve">National Police Chief’s Council </w:t>
      </w:r>
      <w:r>
        <w:rPr>
          <w:rFonts w:ascii="Times New Roman" w:hAnsi="Times New Roman" w:cs="Times New Roman"/>
          <w:i/>
        </w:rPr>
        <w:t xml:space="preserve">Police dealing with rising numb ‘sexting’ cases involving children </w:t>
      </w:r>
      <w:r>
        <w:rPr>
          <w:rFonts w:ascii="Times New Roman" w:hAnsi="Times New Roman" w:cs="Times New Roman"/>
        </w:rPr>
        <w:t xml:space="preserve">(London: NPCC, 2017). </w:t>
      </w:r>
    </w:p>
  </w:footnote>
  <w:footnote w:id="13">
    <w:p w14:paraId="04D2E0AD" w14:textId="6AE972E1" w:rsidR="00D805B8" w:rsidRPr="00D805B8" w:rsidRDefault="00D805B8">
      <w:pPr>
        <w:pStyle w:val="FootnoteText"/>
        <w:rPr>
          <w:rFonts w:ascii="Times New Roman" w:hAnsi="Times New Roman" w:cs="Times New Roman"/>
        </w:rPr>
      </w:pPr>
      <w:r>
        <w:rPr>
          <w:rStyle w:val="FootnoteReference"/>
        </w:rPr>
        <w:footnoteRef/>
      </w:r>
      <w:r>
        <w:t xml:space="preserve"> </w:t>
      </w:r>
      <w:r w:rsidRPr="00D805B8">
        <w:rPr>
          <w:rFonts w:ascii="Times New Roman" w:hAnsi="Times New Roman" w:cs="Times New Roman"/>
        </w:rPr>
        <w:t xml:space="preserve">Home Office </w:t>
      </w:r>
      <w:r>
        <w:rPr>
          <w:rFonts w:ascii="Times New Roman" w:hAnsi="Times New Roman" w:cs="Times New Roman"/>
          <w:i/>
        </w:rPr>
        <w:t xml:space="preserve">Home Office Counting Rules for Recorded Crime: Crime Recording General Rules </w:t>
      </w:r>
      <w:r>
        <w:rPr>
          <w:rFonts w:ascii="Times New Roman" w:hAnsi="Times New Roman" w:cs="Times New Roman"/>
        </w:rPr>
        <w:t>(London: Home Office, 2017).</w:t>
      </w:r>
    </w:p>
  </w:footnote>
  <w:footnote w:id="14">
    <w:p w14:paraId="00AD83A4" w14:textId="038C83C1" w:rsidR="00D05BDB" w:rsidRPr="00D05BDB" w:rsidRDefault="00D05BDB" w:rsidP="00D05BDB">
      <w:pPr>
        <w:pStyle w:val="FootnoteText"/>
        <w:jc w:val="both"/>
        <w:rPr>
          <w:rFonts w:ascii="Times New Roman" w:hAnsi="Times New Roman" w:cs="Times New Roman"/>
        </w:rPr>
      </w:pPr>
      <w:r>
        <w:rPr>
          <w:rStyle w:val="FootnoteReference"/>
        </w:rPr>
        <w:footnoteRef/>
      </w:r>
      <w:r>
        <w:t xml:space="preserve"> </w:t>
      </w:r>
      <w:r w:rsidRPr="00D05BDB">
        <w:rPr>
          <w:rFonts w:ascii="Times New Roman" w:hAnsi="Times New Roman" w:cs="Times New Roman"/>
        </w:rPr>
        <w:t>Rehabilitation of Offenders Act 1974</w:t>
      </w:r>
      <w:r>
        <w:rPr>
          <w:rFonts w:ascii="Times New Roman" w:hAnsi="Times New Roman" w:cs="Times New Roman"/>
        </w:rPr>
        <w:t>,</w:t>
      </w:r>
      <w:r w:rsidRPr="00D05BDB">
        <w:rPr>
          <w:rFonts w:ascii="Times New Roman" w:hAnsi="Times New Roman" w:cs="Times New Roman"/>
        </w:rPr>
        <w:t xml:space="preserve"> as amended by the Criminal Justice and Immigration Act 2008</w:t>
      </w:r>
      <w:r>
        <w:rPr>
          <w:rFonts w:ascii="Times New Roman" w:hAnsi="Times New Roman" w:cs="Times New Roman"/>
        </w:rPr>
        <w:t xml:space="preserve">; the Police Act 1997; </w:t>
      </w:r>
      <w:r w:rsidRPr="00D05BDB">
        <w:rPr>
          <w:rFonts w:ascii="Times New Roman" w:hAnsi="Times New Roman" w:cs="Times New Roman"/>
        </w:rPr>
        <w:t xml:space="preserve">the Police Act 1997 (Criminal Records Certificates: Relevant Matters) (Amendment) (England and Wales) Order 2013 (SI 2013/1200) and the Rehabilitation of Offenders Act (Exceptions) Order 1975 (Amendment) (England and Wales) Order 2013 (SI 2013/1198) </w:t>
      </w:r>
    </w:p>
  </w:footnote>
  <w:footnote w:id="15">
    <w:p w14:paraId="2D1D01C5" w14:textId="77777777" w:rsidR="00516380" w:rsidRPr="00463A90" w:rsidRDefault="00516380" w:rsidP="00516380">
      <w:pPr>
        <w:pStyle w:val="FootnoteText"/>
        <w:rPr>
          <w:rFonts w:ascii="Times New Roman" w:hAnsi="Times New Roman" w:cs="Times New Roman"/>
        </w:rPr>
      </w:pPr>
      <w:r w:rsidRPr="00463A90">
        <w:rPr>
          <w:rStyle w:val="FootnoteReference"/>
          <w:rFonts w:ascii="Times New Roman" w:hAnsi="Times New Roman" w:cs="Times New Roman"/>
        </w:rPr>
        <w:footnoteRef/>
      </w:r>
      <w:r w:rsidRPr="00463A90">
        <w:rPr>
          <w:rFonts w:ascii="Times New Roman" w:hAnsi="Times New Roman" w:cs="Times New Roman"/>
        </w:rPr>
        <w:t xml:space="preserve"> S. Lipscombe, J. Beard, </w:t>
      </w:r>
      <w:r w:rsidRPr="00463A90">
        <w:rPr>
          <w:rFonts w:ascii="Times New Roman" w:hAnsi="Times New Roman" w:cs="Times New Roman"/>
          <w:i/>
        </w:rPr>
        <w:t>Retention and Disclosure of Criminal Records</w:t>
      </w:r>
      <w:r>
        <w:rPr>
          <w:rFonts w:ascii="Times New Roman" w:hAnsi="Times New Roman" w:cs="Times New Roman"/>
        </w:rPr>
        <w:t xml:space="preserve"> (London: UK Parliament,</w:t>
      </w:r>
      <w:r w:rsidRPr="00463A90">
        <w:rPr>
          <w:rFonts w:ascii="Times New Roman" w:hAnsi="Times New Roman" w:cs="Times New Roman"/>
        </w:rPr>
        <w:t xml:space="preserve"> 2014). </w:t>
      </w:r>
    </w:p>
  </w:footnote>
  <w:footnote w:id="16">
    <w:p w14:paraId="4A38A5B5" w14:textId="1E82FC77" w:rsidR="00CD5616" w:rsidRPr="00CD5616" w:rsidRDefault="00CD5616">
      <w:pPr>
        <w:pStyle w:val="FootnoteText"/>
        <w:rPr>
          <w:rFonts w:ascii="Times New Roman" w:hAnsi="Times New Roman" w:cs="Times New Roman"/>
        </w:rPr>
      </w:pPr>
      <w:r>
        <w:rPr>
          <w:rStyle w:val="FootnoteReference"/>
        </w:rPr>
        <w:footnoteRef/>
      </w:r>
      <w:r>
        <w:t xml:space="preserve"> </w:t>
      </w:r>
      <w:r w:rsidRPr="00CD5616">
        <w:rPr>
          <w:rFonts w:ascii="Times New Roman" w:hAnsi="Times New Roman" w:cs="Times New Roman"/>
          <w:color w:val="000000"/>
        </w:rPr>
        <w:t xml:space="preserve">The power for police to keep records on the Police National Database is contained in the National Police Records (Recordable Offences) Regulations 2000, </w:t>
      </w:r>
      <w:r w:rsidRPr="00CD5616">
        <w:rPr>
          <w:rStyle w:val="A15"/>
          <w:rFonts w:ascii="Times New Roman" w:hAnsi="Times New Roman" w:cs="Times New Roman"/>
          <w:sz w:val="20"/>
          <w:szCs w:val="20"/>
          <w:u w:val="none"/>
        </w:rPr>
        <w:t>SI No 2000/1139</w:t>
      </w:r>
      <w:r w:rsidR="00D926E6">
        <w:rPr>
          <w:rStyle w:val="A15"/>
          <w:rFonts w:ascii="Times New Roman" w:hAnsi="Times New Roman" w:cs="Times New Roman"/>
          <w:sz w:val="20"/>
          <w:szCs w:val="20"/>
          <w:u w:val="none"/>
        </w:rPr>
        <w:t>.</w:t>
      </w:r>
    </w:p>
  </w:footnote>
  <w:footnote w:id="17">
    <w:p w14:paraId="1C1B48D5" w14:textId="6F0F44A2" w:rsidR="00516380" w:rsidRPr="00516380" w:rsidRDefault="00516380" w:rsidP="00516380">
      <w:pPr>
        <w:pStyle w:val="Default"/>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The</w:t>
      </w:r>
      <w:r w:rsidRPr="00516380">
        <w:rPr>
          <w:rFonts w:ascii="Times New Roman" w:hAnsi="Times New Roman" w:cs="Times New Roman"/>
          <w:sz w:val="20"/>
          <w:szCs w:val="20"/>
        </w:rPr>
        <w:t xml:space="preserve"> University and College Admissions Service (UCAS) advises candidates to declare all unspent convictions and, for courses that lead to particular professions or occupations that are exempt from the Rehabilitation of Offenders Act (ROA) 1974, any spent convictions</w:t>
      </w:r>
      <w:r>
        <w:rPr>
          <w:rFonts w:ascii="Times New Roman" w:hAnsi="Times New Roman" w:cs="Times New Roman"/>
          <w:sz w:val="20"/>
          <w:szCs w:val="20"/>
        </w:rPr>
        <w:t xml:space="preserve">, cautions, reprimands or final warnings are also recommended to be declared. </w:t>
      </w:r>
    </w:p>
  </w:footnote>
  <w:footnote w:id="18">
    <w:p w14:paraId="49729726" w14:textId="3F319D53" w:rsidR="00CD5616" w:rsidRPr="00CD5616" w:rsidRDefault="00CD5616">
      <w:pPr>
        <w:pStyle w:val="FootnoteText"/>
        <w:rPr>
          <w:rFonts w:ascii="Times New Roman" w:hAnsi="Times New Roman" w:cs="Times New Roman"/>
        </w:rPr>
      </w:pPr>
      <w:r>
        <w:rPr>
          <w:rStyle w:val="FootnoteReference"/>
        </w:rPr>
        <w:footnoteRef/>
      </w:r>
      <w:r>
        <w:t xml:space="preserve"> </w:t>
      </w:r>
      <w:r w:rsidRPr="00CD5616">
        <w:rPr>
          <w:rFonts w:ascii="Times New Roman" w:hAnsi="Times New Roman" w:cs="Times New Roman"/>
        </w:rPr>
        <w:t xml:space="preserve">The Rehabilitation of Offenders Act 1974, </w:t>
      </w:r>
      <w:r w:rsidRPr="00CD5616">
        <w:rPr>
          <w:rStyle w:val="A15"/>
          <w:rFonts w:ascii="Times New Roman" w:hAnsi="Times New Roman" w:cs="Times New Roman"/>
          <w:sz w:val="20"/>
          <w:szCs w:val="20"/>
          <w:u w:val="none"/>
        </w:rPr>
        <w:t xml:space="preserve">the Legal Aid, Sentencing and Punishment of Offenders Act 2012 and </w:t>
      </w:r>
      <w:r w:rsidRPr="00CD5616">
        <w:rPr>
          <w:rFonts w:ascii="Times New Roman" w:hAnsi="Times New Roman" w:cs="Times New Roman"/>
        </w:rPr>
        <w:t>Police Act 1997, in the Police Act 1997 (Criminal Records Certificates: Relevant Matters) (Amendment) (England and Wales) Order 2013 (SI 2013/1200) and the Rehabilitation of Offenders Act (Exceptions) Order 1975 (Amendment) (England and Wales) Order 2013 (SI 2013/1198)</w:t>
      </w:r>
      <w:r w:rsidR="00D926E6">
        <w:rPr>
          <w:rFonts w:ascii="Times New Roman" w:hAnsi="Times New Roman" w:cs="Times New Roman"/>
        </w:rPr>
        <w:t>.</w:t>
      </w:r>
    </w:p>
  </w:footnote>
  <w:footnote w:id="19">
    <w:p w14:paraId="4DF12645" w14:textId="55363979" w:rsidR="004E0E4D" w:rsidRPr="00CD5616" w:rsidRDefault="004E0E4D" w:rsidP="004E0E4D">
      <w:pPr>
        <w:pStyle w:val="Default"/>
        <w:rPr>
          <w:rFonts w:ascii="Times New Roman" w:hAnsi="Times New Roman" w:cs="Times New Roman"/>
          <w:sz w:val="20"/>
          <w:szCs w:val="20"/>
        </w:rPr>
      </w:pPr>
      <w:r>
        <w:rPr>
          <w:rStyle w:val="FootnoteReference"/>
        </w:rPr>
        <w:footnoteRef/>
      </w:r>
      <w:r>
        <w:t xml:space="preserve"> </w:t>
      </w:r>
      <w:r w:rsidRPr="00CD5616">
        <w:rPr>
          <w:rFonts w:ascii="Times New Roman" w:hAnsi="Times New Roman" w:cs="Times New Roman"/>
          <w:sz w:val="20"/>
          <w:szCs w:val="20"/>
        </w:rPr>
        <w:t xml:space="preserve">To obtain a visa to travel to certain countries, notably the USA, travellers may be required to disclose criminal records. The Rehabilitation of Offenders Act 1974 </w:t>
      </w:r>
      <w:r w:rsidR="00CD5616" w:rsidRPr="00CD5616">
        <w:rPr>
          <w:rFonts w:ascii="Times New Roman" w:hAnsi="Times New Roman" w:cs="Times New Roman"/>
          <w:sz w:val="20"/>
          <w:szCs w:val="20"/>
        </w:rPr>
        <w:t>does not apply to US visa law, so even spent convictions have to be disclosed</w:t>
      </w:r>
      <w:r w:rsidR="00D926E6">
        <w:rPr>
          <w:rFonts w:ascii="Times New Roman" w:hAnsi="Times New Roman" w:cs="Times New Roman"/>
          <w:sz w:val="20"/>
          <w:szCs w:val="20"/>
        </w:rPr>
        <w:t>.</w:t>
      </w:r>
    </w:p>
  </w:footnote>
  <w:footnote w:id="20">
    <w:p w14:paraId="4039DDAD" w14:textId="03D8711B" w:rsidR="00CD5616" w:rsidRPr="00CD5616" w:rsidRDefault="00CD5616">
      <w:pPr>
        <w:pStyle w:val="FootnoteText"/>
        <w:rPr>
          <w:rFonts w:ascii="Times New Roman" w:hAnsi="Times New Roman" w:cs="Times New Roman"/>
        </w:rPr>
      </w:pPr>
      <w:r>
        <w:rPr>
          <w:rStyle w:val="FootnoteReference"/>
        </w:rPr>
        <w:footnoteRef/>
      </w:r>
      <w:r>
        <w:t xml:space="preserve"> </w:t>
      </w:r>
      <w:r w:rsidRPr="00CD5616">
        <w:rPr>
          <w:rFonts w:ascii="Times New Roman" w:hAnsi="Times New Roman" w:cs="Times New Roman"/>
        </w:rPr>
        <w:t>Insurance companies are entitled to ask customers for details of unspent convictions and to take these into consideration during the application process.</w:t>
      </w:r>
    </w:p>
  </w:footnote>
  <w:footnote w:id="21">
    <w:p w14:paraId="083150A5" w14:textId="1E55F7D3" w:rsidR="00516380" w:rsidRPr="00516380" w:rsidRDefault="00516380">
      <w:pPr>
        <w:pStyle w:val="FootnoteText"/>
        <w:rPr>
          <w:rFonts w:ascii="Times New Roman" w:hAnsi="Times New Roman" w:cs="Times New Roman"/>
        </w:rPr>
      </w:pPr>
      <w:r>
        <w:rPr>
          <w:rStyle w:val="FootnoteReference"/>
        </w:rPr>
        <w:footnoteRef/>
      </w:r>
      <w:r>
        <w:t xml:space="preserve"> </w:t>
      </w:r>
      <w:r w:rsidRPr="00516380">
        <w:rPr>
          <w:rFonts w:ascii="Times New Roman" w:hAnsi="Times New Roman" w:cs="Times New Roman"/>
        </w:rPr>
        <w:t>The Localism Act 2011 empowered local authorities to exclude, by class, certain applicants they designate as “non-qualifying persons” for the purpose of their housing allocation schemes; this allows authorities to take into account past behaviour.</w:t>
      </w:r>
    </w:p>
  </w:footnote>
  <w:footnote w:id="22">
    <w:p w14:paraId="12196AF1" w14:textId="77777777" w:rsidR="00B9085A" w:rsidRPr="00B9085A" w:rsidRDefault="00B9085A" w:rsidP="00B9085A">
      <w:pPr>
        <w:pStyle w:val="FootnoteText"/>
        <w:rPr>
          <w:rFonts w:ascii="Times New Roman" w:hAnsi="Times New Roman" w:cs="Times New Roman"/>
        </w:rPr>
      </w:pPr>
      <w:r>
        <w:rPr>
          <w:rStyle w:val="FootnoteReference"/>
        </w:rPr>
        <w:footnoteRef/>
      </w:r>
      <w:r>
        <w:t xml:space="preserve"> </w:t>
      </w:r>
      <w:r w:rsidRPr="00B9085A">
        <w:rPr>
          <w:rFonts w:ascii="Times New Roman" w:hAnsi="Times New Roman" w:cs="Times New Roman"/>
        </w:rPr>
        <w:t xml:space="preserve">P. Alderson “Consent to children’s surgery and intensive medical treatment’ [1990] 17(1) </w:t>
      </w:r>
      <w:r w:rsidRPr="00B9085A">
        <w:rPr>
          <w:rFonts w:ascii="Times New Roman" w:hAnsi="Times New Roman" w:cs="Times New Roman"/>
          <w:i/>
        </w:rPr>
        <w:t xml:space="preserve">Journal of Law &amp; Society </w:t>
      </w:r>
      <w:r w:rsidRPr="00B9085A">
        <w:rPr>
          <w:rFonts w:ascii="Times New Roman" w:hAnsi="Times New Roman" w:cs="Times New Roman"/>
        </w:rPr>
        <w:t xml:space="preserve">52-56; M. Shildrick </w:t>
      </w:r>
      <w:r w:rsidRPr="00B9085A">
        <w:rPr>
          <w:rFonts w:ascii="Times New Roman" w:hAnsi="Times New Roman" w:cs="Times New Roman"/>
          <w:i/>
        </w:rPr>
        <w:t xml:space="preserve">Leaky bodies and boundaries: Feminism, postmodernism and (bio)ethics </w:t>
      </w:r>
      <w:r w:rsidRPr="00B9085A">
        <w:rPr>
          <w:rFonts w:ascii="Times New Roman" w:hAnsi="Times New Roman" w:cs="Times New Roman"/>
        </w:rPr>
        <w:t xml:space="preserve">(London: Routledge, 1997); M. Waites </w:t>
      </w:r>
      <w:r w:rsidRPr="00B9085A">
        <w:rPr>
          <w:rFonts w:ascii="Times New Roman" w:hAnsi="Times New Roman" w:cs="Times New Roman"/>
          <w:i/>
        </w:rPr>
        <w:t xml:space="preserve">The Age of Consent: Young People, Sexuality and Citizenship </w:t>
      </w:r>
      <w:r w:rsidRPr="00B9085A">
        <w:rPr>
          <w:rFonts w:ascii="Times New Roman" w:hAnsi="Times New Roman" w:cs="Times New Roman"/>
        </w:rPr>
        <w:t xml:space="preserve">(Hampshire: Palgrave Macmillan, 2005). </w:t>
      </w:r>
    </w:p>
  </w:footnote>
  <w:footnote w:id="23">
    <w:p w14:paraId="28FC9FD3" w14:textId="15BDACFF" w:rsidR="00D805B8" w:rsidRPr="00D805B8" w:rsidRDefault="00D805B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R v Land </w:t>
      </w:r>
      <w:r>
        <w:rPr>
          <w:rFonts w:ascii="Times New Roman" w:hAnsi="Times New Roman" w:cs="Times New Roman"/>
        </w:rPr>
        <w:t>[1998] 1 Cr. App. R. 301</w:t>
      </w:r>
      <w:r w:rsidR="00D926E6">
        <w:rPr>
          <w:rFonts w:ascii="Times New Roman" w:hAnsi="Times New Roman" w:cs="Times New Roman"/>
        </w:rPr>
        <w:t>.</w:t>
      </w:r>
    </w:p>
  </w:footnote>
  <w:footnote w:id="24">
    <w:p w14:paraId="7428580B" w14:textId="77777777" w:rsidR="00DB086E" w:rsidRPr="00EF5FFA" w:rsidRDefault="00DB086E" w:rsidP="00DB086E">
      <w:pPr>
        <w:pStyle w:val="Header"/>
        <w:rPr>
          <w:rFonts w:ascii="Times New Roman" w:hAnsi="Times New Roman" w:cs="Times New Roman"/>
        </w:rPr>
      </w:pPr>
      <w:r>
        <w:rPr>
          <w:rStyle w:val="FootnoteReference"/>
        </w:rPr>
        <w:footnoteRef/>
      </w:r>
      <w:r>
        <w:t xml:space="preserve"> </w:t>
      </w:r>
      <w:r w:rsidRPr="00EF5FFA">
        <w:rPr>
          <w:rFonts w:ascii="Times New Roman" w:hAnsi="Times New Roman" w:cs="Times New Roman"/>
        </w:rPr>
        <w:t xml:space="preserve">E.G. </w:t>
      </w:r>
      <w:r w:rsidRPr="00EF5FFA">
        <w:rPr>
          <w:rFonts w:ascii="Times New Roman" w:hAnsi="Times New Roman" w:cs="Times New Roman"/>
          <w:sz w:val="20"/>
          <w:szCs w:val="20"/>
        </w:rPr>
        <w:t>Benotsch, D.J. Snipes, A.M. Martin, S.S. Bull “Sexting, substance use, and sexual risk behavior in young adults” [2013] 52(3).</w:t>
      </w:r>
      <w:r w:rsidRPr="00EF5FFA">
        <w:rPr>
          <w:rFonts w:ascii="Times New Roman" w:hAnsi="Times New Roman" w:cs="Times New Roman"/>
          <w:i/>
          <w:sz w:val="20"/>
          <w:szCs w:val="20"/>
        </w:rPr>
        <w:t xml:space="preserve"> Journal of Adolescent Health</w:t>
      </w:r>
      <w:r w:rsidRPr="00EF5FFA">
        <w:rPr>
          <w:rFonts w:ascii="Times New Roman" w:hAnsi="Times New Roman" w:cs="Times New Roman"/>
          <w:sz w:val="20"/>
          <w:szCs w:val="20"/>
        </w:rPr>
        <w:t xml:space="preserve"> 307–313.</w:t>
      </w:r>
    </w:p>
  </w:footnote>
  <w:footnote w:id="25">
    <w:p w14:paraId="4AC69C8D" w14:textId="77777777" w:rsidR="00DB086E" w:rsidRDefault="00DB086E" w:rsidP="00DB086E">
      <w:pPr>
        <w:pStyle w:val="FootnoteText"/>
      </w:pPr>
      <w:r>
        <w:rPr>
          <w:rStyle w:val="FootnoteReference"/>
        </w:rPr>
        <w:footnoteRef/>
      </w:r>
      <w:r>
        <w:t xml:space="preserve"> </w:t>
      </w:r>
      <w:r w:rsidRPr="00EF5FFA">
        <w:rPr>
          <w:rFonts w:ascii="Times New Roman" w:hAnsi="Times New Roman" w:cs="Times New Roman"/>
        </w:rPr>
        <w:t>Criminal Justice and Courts Act 2015, s 33.</w:t>
      </w:r>
    </w:p>
  </w:footnote>
  <w:footnote w:id="26">
    <w:p w14:paraId="40709F1F" w14:textId="0BCF9538" w:rsidR="00DB086E" w:rsidRPr="00EF5FFA" w:rsidRDefault="00DB086E" w:rsidP="00DB086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Communications Act 2003, s 127</w:t>
      </w:r>
      <w:r w:rsidR="00D926E6">
        <w:rPr>
          <w:rFonts w:ascii="Times New Roman" w:hAnsi="Times New Roman" w:cs="Times New Roman"/>
        </w:rPr>
        <w:t>.</w:t>
      </w:r>
    </w:p>
  </w:footnote>
  <w:footnote w:id="27">
    <w:p w14:paraId="3B953032" w14:textId="77777777" w:rsidR="00DB086E" w:rsidRDefault="00DB086E" w:rsidP="00DB086E">
      <w:pPr>
        <w:pStyle w:val="FootnoteText"/>
      </w:pPr>
      <w:r>
        <w:rPr>
          <w:rStyle w:val="FootnoteReference"/>
        </w:rPr>
        <w:footnoteRef/>
      </w:r>
      <w:r>
        <w:t xml:space="preserve"> </w:t>
      </w:r>
      <w:r w:rsidRPr="00EF5FFA">
        <w:rPr>
          <w:rFonts w:ascii="Times New Roman" w:hAnsi="Times New Roman" w:cs="Times New Roman"/>
        </w:rPr>
        <w:t>Malicious Communications Act 1988, s 1.</w:t>
      </w:r>
    </w:p>
  </w:footnote>
  <w:footnote w:id="28">
    <w:p w14:paraId="6566B006" w14:textId="77777777" w:rsidR="00872980" w:rsidRPr="00E468FF" w:rsidRDefault="00872980" w:rsidP="00872980">
      <w:pPr>
        <w:pStyle w:val="FootnoteText"/>
        <w:rPr>
          <w:rFonts w:ascii="Times New Roman" w:hAnsi="Times New Roman" w:cs="Times New Roman"/>
        </w:rPr>
      </w:pPr>
      <w:r>
        <w:rPr>
          <w:rStyle w:val="FootnoteReference"/>
        </w:rPr>
        <w:footnoteRef/>
      </w:r>
      <w:r>
        <w:t xml:space="preserve"> </w:t>
      </w:r>
      <w:r w:rsidRPr="00E468FF">
        <w:rPr>
          <w:rFonts w:ascii="Times New Roman" w:hAnsi="Times New Roman" w:cs="Times New Roman"/>
        </w:rPr>
        <w:t xml:space="preserve">Department of Health </w:t>
      </w:r>
      <w:r w:rsidRPr="00E468FF">
        <w:rPr>
          <w:rFonts w:ascii="Times New Roman" w:hAnsi="Times New Roman" w:cs="Times New Roman"/>
          <w:i/>
          <w:iCs/>
        </w:rPr>
        <w:t xml:space="preserve">Working Together under the Children Act 1989. A Guide to Inter-Agency Co-operation for the Protection of Children from Abuse </w:t>
      </w:r>
      <w:r w:rsidRPr="00E468FF">
        <w:rPr>
          <w:rFonts w:ascii="Times New Roman" w:hAnsi="Times New Roman" w:cs="Times New Roman"/>
          <w:iCs/>
        </w:rPr>
        <w:t>(</w:t>
      </w:r>
      <w:r w:rsidRPr="00E468FF">
        <w:rPr>
          <w:rFonts w:ascii="Times New Roman" w:hAnsi="Times New Roman" w:cs="Times New Roman"/>
        </w:rPr>
        <w:t>London: HMSO, 1991).</w:t>
      </w:r>
    </w:p>
  </w:footnote>
  <w:footnote w:id="29">
    <w:p w14:paraId="2F7BC96C" w14:textId="30EDFC39" w:rsidR="00DB086E" w:rsidRPr="00B9085A" w:rsidRDefault="00DB086E" w:rsidP="00DB086E">
      <w:pPr>
        <w:pStyle w:val="FootnoteText"/>
        <w:rPr>
          <w:rFonts w:ascii="Times New Roman" w:hAnsi="Times New Roman" w:cs="Times New Roman"/>
        </w:rPr>
      </w:pPr>
      <w:r>
        <w:rPr>
          <w:rStyle w:val="FootnoteReference"/>
        </w:rPr>
        <w:footnoteRef/>
      </w:r>
      <w:r>
        <w:t xml:space="preserve"> </w:t>
      </w:r>
      <w:r w:rsidRPr="00FC0F45">
        <w:rPr>
          <w:rFonts w:cs="Times New Roman"/>
        </w:rPr>
        <w:t>[</w:t>
      </w:r>
      <w:r w:rsidRPr="00B9085A">
        <w:rPr>
          <w:rFonts w:ascii="Times New Roman" w:hAnsi="Times New Roman" w:cs="Times New Roman"/>
        </w:rPr>
        <w:t>2007] EWHC 1842 (Admin)</w:t>
      </w:r>
      <w:r w:rsidR="004451F3">
        <w:rPr>
          <w:rFonts w:ascii="Times New Roman" w:hAnsi="Times New Roman" w:cs="Times New Roman"/>
        </w:rPr>
        <w:t>.</w:t>
      </w:r>
    </w:p>
  </w:footnote>
  <w:footnote w:id="30">
    <w:p w14:paraId="3AEAF5A6" w14:textId="64D76AF4" w:rsidR="00DB086E" w:rsidRPr="00B9085A" w:rsidRDefault="00DB086E" w:rsidP="00DB086E">
      <w:pPr>
        <w:pStyle w:val="FootnoteText"/>
        <w:rPr>
          <w:rFonts w:ascii="Times New Roman" w:hAnsi="Times New Roman" w:cs="Times New Roman"/>
        </w:rPr>
      </w:pPr>
      <w:r w:rsidRPr="00B9085A">
        <w:rPr>
          <w:rStyle w:val="FootnoteReference"/>
          <w:rFonts w:ascii="Times New Roman" w:hAnsi="Times New Roman" w:cs="Times New Roman"/>
        </w:rPr>
        <w:footnoteRef/>
      </w:r>
      <w:r w:rsidRPr="00B9085A">
        <w:rPr>
          <w:rFonts w:ascii="Times New Roman" w:hAnsi="Times New Roman" w:cs="Times New Roman"/>
        </w:rPr>
        <w:t xml:space="preserve"> Ibid at para 37</w:t>
      </w:r>
      <w:r w:rsidR="004451F3">
        <w:rPr>
          <w:rFonts w:ascii="Times New Roman" w:hAnsi="Times New Roman" w:cs="Times New Roman"/>
        </w:rPr>
        <w:t>.</w:t>
      </w:r>
    </w:p>
  </w:footnote>
  <w:footnote w:id="31">
    <w:p w14:paraId="62DEAABC" w14:textId="77777777" w:rsidR="002355BC" w:rsidRPr="002355BC" w:rsidRDefault="00E3735C" w:rsidP="008C0F41">
      <w:pPr>
        <w:pStyle w:val="FootnoteText"/>
        <w:rPr>
          <w:rFonts w:ascii="Times New Roman" w:hAnsi="Times New Roman" w:cs="Times New Roman"/>
          <w:lang w:val="en-US"/>
        </w:rPr>
      </w:pPr>
      <w:r w:rsidRPr="00FC4F39">
        <w:rPr>
          <w:rStyle w:val="FootnoteReference"/>
          <w:rFonts w:ascii="Times New Roman" w:hAnsi="Times New Roman" w:cs="Times New Roman"/>
        </w:rPr>
        <w:footnoteRef/>
      </w:r>
      <w:r w:rsidRPr="00FC4F39">
        <w:rPr>
          <w:rFonts w:ascii="Times New Roman" w:hAnsi="Times New Roman" w:cs="Times New Roman"/>
        </w:rPr>
        <w:t xml:space="preserve"> </w:t>
      </w:r>
      <w:r w:rsidR="00FC4F39">
        <w:rPr>
          <w:rFonts w:ascii="Times New Roman" w:hAnsi="Times New Roman" w:cs="Times New Roman"/>
        </w:rPr>
        <w:t xml:space="preserve">S.W. </w:t>
      </w:r>
      <w:r w:rsidRPr="00FC4F39">
        <w:rPr>
          <w:rFonts w:ascii="Times New Roman" w:hAnsi="Times New Roman" w:cs="Times New Roman"/>
          <w:lang w:val="en-US"/>
        </w:rPr>
        <w:t xml:space="preserve">Campbell, </w:t>
      </w:r>
      <w:r w:rsidR="00FC4F39">
        <w:rPr>
          <w:rFonts w:ascii="Times New Roman" w:hAnsi="Times New Roman" w:cs="Times New Roman"/>
          <w:lang w:val="en-US"/>
        </w:rPr>
        <w:t xml:space="preserve">Y.J. </w:t>
      </w:r>
      <w:r w:rsidRPr="00FC4F39">
        <w:rPr>
          <w:rFonts w:ascii="Times New Roman" w:hAnsi="Times New Roman" w:cs="Times New Roman"/>
          <w:lang w:val="en-US"/>
        </w:rPr>
        <w:t xml:space="preserve">Park, </w:t>
      </w:r>
      <w:r w:rsidR="00FC4F39">
        <w:rPr>
          <w:rFonts w:ascii="Times New Roman" w:hAnsi="Times New Roman" w:cs="Times New Roman"/>
          <w:lang w:val="en-US"/>
        </w:rPr>
        <w:t>“</w:t>
      </w:r>
      <w:r w:rsidRPr="00FC4F39">
        <w:rPr>
          <w:rFonts w:ascii="Times New Roman" w:hAnsi="Times New Roman" w:cs="Times New Roman"/>
          <w:lang w:val="en-US"/>
        </w:rPr>
        <w:t>Predictors of mobile sexting among teens: toward a new explanatory framework</w:t>
      </w:r>
      <w:r w:rsidR="00FC4F39">
        <w:rPr>
          <w:rFonts w:ascii="Times New Roman" w:hAnsi="Times New Roman" w:cs="Times New Roman"/>
          <w:lang w:val="en-US"/>
        </w:rPr>
        <w:t xml:space="preserve">” </w:t>
      </w:r>
      <w:r w:rsidR="00642E45">
        <w:rPr>
          <w:rFonts w:ascii="Times New Roman" w:hAnsi="Times New Roman" w:cs="Times New Roman"/>
          <w:lang w:val="en-US"/>
        </w:rPr>
        <w:t>[</w:t>
      </w:r>
      <w:r w:rsidR="00FC4F39">
        <w:rPr>
          <w:rFonts w:ascii="Times New Roman" w:hAnsi="Times New Roman" w:cs="Times New Roman"/>
          <w:lang w:val="en-US"/>
        </w:rPr>
        <w:t>2014</w:t>
      </w:r>
      <w:r w:rsidR="00642E45">
        <w:rPr>
          <w:rFonts w:ascii="Times New Roman" w:hAnsi="Times New Roman" w:cs="Times New Roman"/>
          <w:lang w:val="en-US"/>
        </w:rPr>
        <w:t>]</w:t>
      </w:r>
      <w:r w:rsidR="00FC4F39">
        <w:rPr>
          <w:rFonts w:ascii="Times New Roman" w:hAnsi="Times New Roman" w:cs="Times New Roman"/>
          <w:lang w:val="en-US"/>
        </w:rPr>
        <w:t xml:space="preserve"> 2</w:t>
      </w:r>
      <w:r w:rsidRPr="00FC4F39">
        <w:rPr>
          <w:rFonts w:ascii="Times New Roman" w:hAnsi="Times New Roman" w:cs="Times New Roman"/>
          <w:lang w:val="en-US"/>
        </w:rPr>
        <w:t xml:space="preserve"> </w:t>
      </w:r>
      <w:r w:rsidRPr="00FC4F39">
        <w:rPr>
          <w:rFonts w:ascii="Times New Roman" w:hAnsi="Times New Roman" w:cs="Times New Roman"/>
          <w:i/>
          <w:lang w:val="en-US"/>
        </w:rPr>
        <w:t xml:space="preserve">Mobile Media Communication </w:t>
      </w:r>
      <w:r w:rsidRPr="00FC4F39">
        <w:rPr>
          <w:rFonts w:ascii="Times New Roman" w:hAnsi="Times New Roman" w:cs="Times New Roman"/>
          <w:lang w:val="en-US"/>
        </w:rPr>
        <w:t xml:space="preserve">20; </w:t>
      </w:r>
      <w:r w:rsidR="002355BC">
        <w:rPr>
          <w:rFonts w:ascii="Times New Roman" w:hAnsi="Times New Roman" w:cs="Times New Roman"/>
          <w:lang w:val="en-US"/>
        </w:rPr>
        <w:t xml:space="preserve">S. </w:t>
      </w:r>
      <w:r w:rsidRPr="00FC4F39">
        <w:rPr>
          <w:rFonts w:ascii="Times New Roman" w:hAnsi="Times New Roman" w:cs="Times New Roman"/>
          <w:lang w:val="en-US"/>
        </w:rPr>
        <w:t xml:space="preserve">Angelides, </w:t>
      </w:r>
      <w:r w:rsidR="002355BC">
        <w:rPr>
          <w:rFonts w:ascii="Times New Roman" w:hAnsi="Times New Roman" w:cs="Times New Roman"/>
          <w:lang w:val="en-US"/>
        </w:rPr>
        <w:t>“</w:t>
      </w:r>
      <w:r w:rsidRPr="00FC4F39">
        <w:rPr>
          <w:rFonts w:ascii="Times New Roman" w:hAnsi="Times New Roman" w:cs="Times New Roman"/>
          <w:lang w:val="en-US"/>
        </w:rPr>
        <w:t>Technology, hormones and stupidity: the affecti</w:t>
      </w:r>
      <w:r w:rsidR="002355BC">
        <w:rPr>
          <w:rFonts w:ascii="Times New Roman" w:hAnsi="Times New Roman" w:cs="Times New Roman"/>
          <w:lang w:val="en-US"/>
        </w:rPr>
        <w:t xml:space="preserve">ve politics of teenage sexting” </w:t>
      </w:r>
      <w:r w:rsidR="00323476">
        <w:rPr>
          <w:rFonts w:ascii="Times New Roman" w:hAnsi="Times New Roman" w:cs="Times New Roman"/>
          <w:lang w:val="en-US"/>
        </w:rPr>
        <w:t>[</w:t>
      </w:r>
      <w:r w:rsidR="002355BC">
        <w:rPr>
          <w:rFonts w:ascii="Times New Roman" w:hAnsi="Times New Roman" w:cs="Times New Roman"/>
          <w:lang w:val="en-US"/>
        </w:rPr>
        <w:t>2013</w:t>
      </w:r>
      <w:r w:rsidR="00323476">
        <w:rPr>
          <w:rFonts w:ascii="Times New Roman" w:hAnsi="Times New Roman" w:cs="Times New Roman"/>
          <w:lang w:val="en-US"/>
        </w:rPr>
        <w:t>]</w:t>
      </w:r>
      <w:r w:rsidR="002355BC">
        <w:rPr>
          <w:rFonts w:ascii="Times New Roman" w:hAnsi="Times New Roman" w:cs="Times New Roman"/>
          <w:lang w:val="en-US"/>
        </w:rPr>
        <w:t xml:space="preserve"> 16 </w:t>
      </w:r>
      <w:r w:rsidRPr="00FC4F39">
        <w:rPr>
          <w:rFonts w:ascii="Times New Roman" w:hAnsi="Times New Roman" w:cs="Times New Roman"/>
          <w:i/>
          <w:lang w:val="en-US"/>
        </w:rPr>
        <w:t xml:space="preserve">Sexualities </w:t>
      </w:r>
      <w:r w:rsidRPr="00FC4F39">
        <w:rPr>
          <w:rFonts w:ascii="Times New Roman" w:hAnsi="Times New Roman" w:cs="Times New Roman"/>
          <w:lang w:val="en-US"/>
        </w:rPr>
        <w:t>665</w:t>
      </w:r>
      <w:r w:rsidR="002355BC">
        <w:rPr>
          <w:rFonts w:ascii="Times New Roman" w:hAnsi="Times New Roman" w:cs="Times New Roman"/>
          <w:lang w:val="en-US"/>
        </w:rPr>
        <w:t>.</w:t>
      </w:r>
    </w:p>
  </w:footnote>
  <w:footnote w:id="32">
    <w:p w14:paraId="1348C870" w14:textId="77777777" w:rsidR="00E3735C" w:rsidRPr="00FC4F39" w:rsidRDefault="00E3735C" w:rsidP="007B7397">
      <w:pPr>
        <w:pStyle w:val="FootnoteText"/>
        <w:rPr>
          <w:rFonts w:ascii="Times New Roman" w:hAnsi="Times New Roman" w:cs="Times New Roman"/>
        </w:rPr>
      </w:pPr>
      <w:r w:rsidRPr="00FC4F39">
        <w:rPr>
          <w:rStyle w:val="FootnoteReference"/>
          <w:rFonts w:ascii="Times New Roman" w:hAnsi="Times New Roman" w:cs="Times New Roman"/>
        </w:rPr>
        <w:footnoteRef/>
      </w:r>
      <w:r w:rsidRPr="00FC4F39">
        <w:rPr>
          <w:rFonts w:ascii="Times New Roman" w:hAnsi="Times New Roman" w:cs="Times New Roman"/>
        </w:rPr>
        <w:t xml:space="preserve"> </w:t>
      </w:r>
      <w:r w:rsidR="002355BC">
        <w:rPr>
          <w:rFonts w:ascii="Times New Roman" w:hAnsi="Times New Roman" w:cs="Times New Roman"/>
          <w:lang w:val="en-US"/>
        </w:rPr>
        <w:t xml:space="preserve">S. </w:t>
      </w:r>
      <w:r w:rsidR="002355BC" w:rsidRPr="00FC4F39">
        <w:rPr>
          <w:rFonts w:ascii="Times New Roman" w:hAnsi="Times New Roman" w:cs="Times New Roman"/>
          <w:lang w:val="en-US"/>
        </w:rPr>
        <w:t xml:space="preserve">Angelides, </w:t>
      </w:r>
      <w:r w:rsidR="002355BC">
        <w:rPr>
          <w:rFonts w:ascii="Times New Roman" w:hAnsi="Times New Roman" w:cs="Times New Roman"/>
          <w:lang w:val="en-US"/>
        </w:rPr>
        <w:t>“</w:t>
      </w:r>
      <w:r w:rsidR="002355BC" w:rsidRPr="00FC4F39">
        <w:rPr>
          <w:rFonts w:ascii="Times New Roman" w:hAnsi="Times New Roman" w:cs="Times New Roman"/>
          <w:lang w:val="en-US"/>
        </w:rPr>
        <w:t>Technology, hormones and stupidity: the affecti</w:t>
      </w:r>
      <w:r w:rsidR="002355BC">
        <w:rPr>
          <w:rFonts w:ascii="Times New Roman" w:hAnsi="Times New Roman" w:cs="Times New Roman"/>
          <w:lang w:val="en-US"/>
        </w:rPr>
        <w:t>v</w:t>
      </w:r>
      <w:r w:rsidR="00323476">
        <w:rPr>
          <w:rFonts w:ascii="Times New Roman" w:hAnsi="Times New Roman" w:cs="Times New Roman"/>
          <w:lang w:val="en-US"/>
        </w:rPr>
        <w:t>e politics of teenage sexting” [</w:t>
      </w:r>
      <w:r w:rsidR="002355BC">
        <w:rPr>
          <w:rFonts w:ascii="Times New Roman" w:hAnsi="Times New Roman" w:cs="Times New Roman"/>
          <w:lang w:val="en-US"/>
        </w:rPr>
        <w:t>2013</w:t>
      </w:r>
      <w:r w:rsidR="00323476">
        <w:rPr>
          <w:rFonts w:ascii="Times New Roman" w:hAnsi="Times New Roman" w:cs="Times New Roman"/>
          <w:lang w:val="en-US"/>
        </w:rPr>
        <w:t>]</w:t>
      </w:r>
      <w:r w:rsidR="002355BC">
        <w:rPr>
          <w:rFonts w:ascii="Times New Roman" w:hAnsi="Times New Roman" w:cs="Times New Roman"/>
          <w:lang w:val="en-US"/>
        </w:rPr>
        <w:t xml:space="preserve"> 16 </w:t>
      </w:r>
      <w:r w:rsidR="002355BC" w:rsidRPr="00FC4F39">
        <w:rPr>
          <w:rFonts w:ascii="Times New Roman" w:hAnsi="Times New Roman" w:cs="Times New Roman"/>
          <w:i/>
          <w:lang w:val="en-US"/>
        </w:rPr>
        <w:t xml:space="preserve">Sexualities </w:t>
      </w:r>
      <w:r w:rsidR="002355BC">
        <w:rPr>
          <w:rFonts w:ascii="Times New Roman" w:hAnsi="Times New Roman" w:cs="Times New Roman"/>
        </w:rPr>
        <w:t>675.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13C30"/>
    <w:multiLevelType w:val="hybridMultilevel"/>
    <w:tmpl w:val="E1A4CC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40C72"/>
    <w:multiLevelType w:val="hybridMultilevel"/>
    <w:tmpl w:val="5CFA64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D4131"/>
    <w:multiLevelType w:val="hybridMultilevel"/>
    <w:tmpl w:val="E1A4CC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815FC"/>
    <w:multiLevelType w:val="hybridMultilevel"/>
    <w:tmpl w:val="E1A4CC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D2C72"/>
    <w:multiLevelType w:val="hybridMultilevel"/>
    <w:tmpl w:val="B2201F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5A668C"/>
    <w:multiLevelType w:val="hybridMultilevel"/>
    <w:tmpl w:val="E1A4CC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ormerod">
    <w15:presenceInfo w15:providerId="Windows Live" w15:userId="e64e6e0789226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ctiveWritingStyle w:appName="MSWord" w:lang="es-ES_tradnl"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33"/>
    <w:rsid w:val="0002239F"/>
    <w:rsid w:val="00052A13"/>
    <w:rsid w:val="000571B9"/>
    <w:rsid w:val="000736FB"/>
    <w:rsid w:val="000758A4"/>
    <w:rsid w:val="00093169"/>
    <w:rsid w:val="000A36A2"/>
    <w:rsid w:val="00153BD9"/>
    <w:rsid w:val="00162154"/>
    <w:rsid w:val="00162C16"/>
    <w:rsid w:val="00166268"/>
    <w:rsid w:val="00171AE0"/>
    <w:rsid w:val="00172B20"/>
    <w:rsid w:val="001B6ECF"/>
    <w:rsid w:val="001E7DA6"/>
    <w:rsid w:val="001F1B42"/>
    <w:rsid w:val="001F4499"/>
    <w:rsid w:val="001F68A5"/>
    <w:rsid w:val="002355BC"/>
    <w:rsid w:val="002B1BE5"/>
    <w:rsid w:val="002B707A"/>
    <w:rsid w:val="002C333E"/>
    <w:rsid w:val="003106FF"/>
    <w:rsid w:val="00314A1F"/>
    <w:rsid w:val="00323476"/>
    <w:rsid w:val="003310BC"/>
    <w:rsid w:val="003650EC"/>
    <w:rsid w:val="00374003"/>
    <w:rsid w:val="00383F6B"/>
    <w:rsid w:val="003C6419"/>
    <w:rsid w:val="003C6AEA"/>
    <w:rsid w:val="003E0C38"/>
    <w:rsid w:val="003F2333"/>
    <w:rsid w:val="003F52CF"/>
    <w:rsid w:val="0042697C"/>
    <w:rsid w:val="00437504"/>
    <w:rsid w:val="004451F3"/>
    <w:rsid w:val="00463A90"/>
    <w:rsid w:val="0046585D"/>
    <w:rsid w:val="004B6961"/>
    <w:rsid w:val="004C5DAC"/>
    <w:rsid w:val="004E0E4D"/>
    <w:rsid w:val="0050128A"/>
    <w:rsid w:val="005143B4"/>
    <w:rsid w:val="00516380"/>
    <w:rsid w:val="0052252C"/>
    <w:rsid w:val="00540400"/>
    <w:rsid w:val="00560393"/>
    <w:rsid w:val="0056128B"/>
    <w:rsid w:val="005707BC"/>
    <w:rsid w:val="005914FB"/>
    <w:rsid w:val="005C0CE8"/>
    <w:rsid w:val="005D104D"/>
    <w:rsid w:val="005D2434"/>
    <w:rsid w:val="00600CB8"/>
    <w:rsid w:val="00617C00"/>
    <w:rsid w:val="00627C63"/>
    <w:rsid w:val="00642E45"/>
    <w:rsid w:val="00643DB9"/>
    <w:rsid w:val="0067138D"/>
    <w:rsid w:val="00671B4C"/>
    <w:rsid w:val="00692E3B"/>
    <w:rsid w:val="006C673D"/>
    <w:rsid w:val="006C75AE"/>
    <w:rsid w:val="006E500B"/>
    <w:rsid w:val="006E70A2"/>
    <w:rsid w:val="007062DC"/>
    <w:rsid w:val="007176F4"/>
    <w:rsid w:val="00741B47"/>
    <w:rsid w:val="00763DA5"/>
    <w:rsid w:val="00791410"/>
    <w:rsid w:val="007918E1"/>
    <w:rsid w:val="007957EE"/>
    <w:rsid w:val="007A3D77"/>
    <w:rsid w:val="007B7397"/>
    <w:rsid w:val="007C2B00"/>
    <w:rsid w:val="007C50C6"/>
    <w:rsid w:val="007C51E6"/>
    <w:rsid w:val="007E3A0C"/>
    <w:rsid w:val="00803F5E"/>
    <w:rsid w:val="0080586C"/>
    <w:rsid w:val="008220D9"/>
    <w:rsid w:val="00846053"/>
    <w:rsid w:val="00872980"/>
    <w:rsid w:val="00874FAD"/>
    <w:rsid w:val="008850F7"/>
    <w:rsid w:val="008C0F41"/>
    <w:rsid w:val="008C2B60"/>
    <w:rsid w:val="008C37C6"/>
    <w:rsid w:val="008F045B"/>
    <w:rsid w:val="0093068F"/>
    <w:rsid w:val="0094104C"/>
    <w:rsid w:val="00965F6C"/>
    <w:rsid w:val="009859A7"/>
    <w:rsid w:val="00997991"/>
    <w:rsid w:val="00A37B77"/>
    <w:rsid w:val="00A605EA"/>
    <w:rsid w:val="00A87C08"/>
    <w:rsid w:val="00A9237C"/>
    <w:rsid w:val="00AA1D13"/>
    <w:rsid w:val="00AB4935"/>
    <w:rsid w:val="00AC15C5"/>
    <w:rsid w:val="00AE77E3"/>
    <w:rsid w:val="00B204AE"/>
    <w:rsid w:val="00B34107"/>
    <w:rsid w:val="00B542F2"/>
    <w:rsid w:val="00B64301"/>
    <w:rsid w:val="00B9085A"/>
    <w:rsid w:val="00B9167A"/>
    <w:rsid w:val="00BA1A50"/>
    <w:rsid w:val="00BC5D77"/>
    <w:rsid w:val="00BD7DCB"/>
    <w:rsid w:val="00C22417"/>
    <w:rsid w:val="00C23096"/>
    <w:rsid w:val="00C23291"/>
    <w:rsid w:val="00C4381C"/>
    <w:rsid w:val="00C44336"/>
    <w:rsid w:val="00C44BB3"/>
    <w:rsid w:val="00C5411A"/>
    <w:rsid w:val="00C63BEB"/>
    <w:rsid w:val="00C85EA9"/>
    <w:rsid w:val="00C938F6"/>
    <w:rsid w:val="00CA0B94"/>
    <w:rsid w:val="00CA329B"/>
    <w:rsid w:val="00CB454D"/>
    <w:rsid w:val="00CB54A9"/>
    <w:rsid w:val="00CD5616"/>
    <w:rsid w:val="00D05AEE"/>
    <w:rsid w:val="00D05BDB"/>
    <w:rsid w:val="00D3363F"/>
    <w:rsid w:val="00D35E63"/>
    <w:rsid w:val="00D420E6"/>
    <w:rsid w:val="00D4289B"/>
    <w:rsid w:val="00D46FBA"/>
    <w:rsid w:val="00D725EE"/>
    <w:rsid w:val="00D75AF0"/>
    <w:rsid w:val="00D805B8"/>
    <w:rsid w:val="00D83C74"/>
    <w:rsid w:val="00D84611"/>
    <w:rsid w:val="00D926E6"/>
    <w:rsid w:val="00DB086E"/>
    <w:rsid w:val="00DB25FE"/>
    <w:rsid w:val="00DC1585"/>
    <w:rsid w:val="00DC74CE"/>
    <w:rsid w:val="00DD4FC3"/>
    <w:rsid w:val="00DF5200"/>
    <w:rsid w:val="00DF72AA"/>
    <w:rsid w:val="00E0475A"/>
    <w:rsid w:val="00E07B7A"/>
    <w:rsid w:val="00E35F75"/>
    <w:rsid w:val="00E3735C"/>
    <w:rsid w:val="00E40C3E"/>
    <w:rsid w:val="00E452A0"/>
    <w:rsid w:val="00E468FF"/>
    <w:rsid w:val="00E77CE6"/>
    <w:rsid w:val="00ED182A"/>
    <w:rsid w:val="00EF5FFA"/>
    <w:rsid w:val="00EF79CF"/>
    <w:rsid w:val="00F14A76"/>
    <w:rsid w:val="00F17A82"/>
    <w:rsid w:val="00F21BA5"/>
    <w:rsid w:val="00F317A6"/>
    <w:rsid w:val="00F347A5"/>
    <w:rsid w:val="00F45BD8"/>
    <w:rsid w:val="00F8208E"/>
    <w:rsid w:val="00F9728F"/>
    <w:rsid w:val="00FC4F39"/>
    <w:rsid w:val="00FE4882"/>
    <w:rsid w:val="00FF4B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BD18"/>
  <w15:chartTrackingRefBased/>
  <w15:docId w15:val="{9276022C-A1FB-4F1A-B39D-0589BF61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2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154"/>
    <w:rPr>
      <w:sz w:val="20"/>
      <w:szCs w:val="20"/>
    </w:rPr>
  </w:style>
  <w:style w:type="character" w:styleId="FootnoteReference">
    <w:name w:val="footnote reference"/>
    <w:basedOn w:val="DefaultParagraphFont"/>
    <w:uiPriority w:val="99"/>
    <w:semiHidden/>
    <w:unhideWhenUsed/>
    <w:rsid w:val="00162154"/>
    <w:rPr>
      <w:vertAlign w:val="superscript"/>
    </w:rPr>
  </w:style>
  <w:style w:type="character" w:styleId="Hyperlink">
    <w:name w:val="Hyperlink"/>
    <w:basedOn w:val="DefaultParagraphFont"/>
    <w:uiPriority w:val="99"/>
    <w:unhideWhenUsed/>
    <w:rsid w:val="00162154"/>
    <w:rPr>
      <w:color w:val="0000FF" w:themeColor="hyperlink"/>
      <w:u w:val="single"/>
    </w:rPr>
  </w:style>
  <w:style w:type="character" w:customStyle="1" w:styleId="nlmyear">
    <w:name w:val="nlm_year"/>
    <w:basedOn w:val="DefaultParagraphFont"/>
    <w:rsid w:val="00560393"/>
  </w:style>
  <w:style w:type="character" w:customStyle="1" w:styleId="nlmpublisher-loc">
    <w:name w:val="nlm_publisher-loc"/>
    <w:basedOn w:val="DefaultParagraphFont"/>
    <w:rsid w:val="00560393"/>
  </w:style>
  <w:style w:type="character" w:customStyle="1" w:styleId="nlmpublisher-name">
    <w:name w:val="nlm_publisher-name"/>
    <w:basedOn w:val="DefaultParagraphFont"/>
    <w:rsid w:val="00560393"/>
  </w:style>
  <w:style w:type="character" w:customStyle="1" w:styleId="nlmstring-name">
    <w:name w:val="nlm_string-name"/>
    <w:basedOn w:val="DefaultParagraphFont"/>
    <w:rsid w:val="00560393"/>
  </w:style>
  <w:style w:type="character" w:customStyle="1" w:styleId="nlmarticle-title">
    <w:name w:val="nlm_article-title"/>
    <w:basedOn w:val="DefaultParagraphFont"/>
    <w:rsid w:val="00560393"/>
  </w:style>
  <w:style w:type="character" w:customStyle="1" w:styleId="nlmfpage">
    <w:name w:val="nlm_fpage"/>
    <w:basedOn w:val="DefaultParagraphFont"/>
    <w:rsid w:val="00560393"/>
  </w:style>
  <w:style w:type="character" w:customStyle="1" w:styleId="nlmlpage">
    <w:name w:val="nlm_lpage"/>
    <w:basedOn w:val="DefaultParagraphFont"/>
    <w:rsid w:val="00560393"/>
  </w:style>
  <w:style w:type="paragraph" w:styleId="Header">
    <w:name w:val="header"/>
    <w:basedOn w:val="Normal"/>
    <w:link w:val="HeaderChar"/>
    <w:uiPriority w:val="99"/>
    <w:unhideWhenUsed/>
    <w:rsid w:val="00B34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107"/>
  </w:style>
  <w:style w:type="paragraph" w:styleId="Footer">
    <w:name w:val="footer"/>
    <w:basedOn w:val="Normal"/>
    <w:link w:val="FooterChar"/>
    <w:uiPriority w:val="99"/>
    <w:unhideWhenUsed/>
    <w:rsid w:val="00B34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107"/>
  </w:style>
  <w:style w:type="character" w:customStyle="1" w:styleId="glossarylink">
    <w:name w:val="glossarylink"/>
    <w:basedOn w:val="DefaultParagraphFont"/>
    <w:rsid w:val="00B34107"/>
  </w:style>
  <w:style w:type="paragraph" w:styleId="NormalWeb">
    <w:name w:val="Normal (Web)"/>
    <w:basedOn w:val="Normal"/>
    <w:uiPriority w:val="99"/>
    <w:unhideWhenUsed/>
    <w:rsid w:val="00B341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overlay2">
    <w:name w:val="ref-overlay2"/>
    <w:basedOn w:val="DefaultParagraphFont"/>
    <w:rsid w:val="00DD4FC3"/>
    <w:rPr>
      <w:shd w:val="clear" w:color="auto" w:fill="FFFFFF"/>
    </w:rPr>
  </w:style>
  <w:style w:type="character" w:customStyle="1" w:styleId="hlfld-contribauthor">
    <w:name w:val="hlfld-contribauthor"/>
    <w:basedOn w:val="DefaultParagraphFont"/>
    <w:rsid w:val="00DD4FC3"/>
  </w:style>
  <w:style w:type="character" w:customStyle="1" w:styleId="nlmgiven-names">
    <w:name w:val="nlm_given-names"/>
    <w:basedOn w:val="DefaultParagraphFont"/>
    <w:rsid w:val="00DD4FC3"/>
  </w:style>
  <w:style w:type="character" w:customStyle="1" w:styleId="slug-doi">
    <w:name w:val="slug-doi"/>
    <w:basedOn w:val="DefaultParagraphFont"/>
    <w:rsid w:val="008C0F41"/>
  </w:style>
  <w:style w:type="paragraph" w:styleId="ListParagraph">
    <w:name w:val="List Paragraph"/>
    <w:basedOn w:val="Normal"/>
    <w:uiPriority w:val="34"/>
    <w:qFormat/>
    <w:rsid w:val="00C85EA9"/>
    <w:pPr>
      <w:ind w:left="720"/>
      <w:contextualSpacing/>
    </w:pPr>
  </w:style>
  <w:style w:type="character" w:customStyle="1" w:styleId="tgc">
    <w:name w:val="_tgc"/>
    <w:basedOn w:val="DefaultParagraphFont"/>
    <w:rsid w:val="00763DA5"/>
  </w:style>
  <w:style w:type="character" w:customStyle="1" w:styleId="A15">
    <w:name w:val="A15"/>
    <w:uiPriority w:val="99"/>
    <w:rsid w:val="00C23096"/>
    <w:rPr>
      <w:rFonts w:cs="Frutiger LT Std 55 Roman"/>
      <w:color w:val="000000"/>
      <w:sz w:val="15"/>
      <w:szCs w:val="15"/>
      <w:u w:val="single"/>
    </w:rPr>
  </w:style>
  <w:style w:type="paragraph" w:styleId="BalloonText">
    <w:name w:val="Balloon Text"/>
    <w:basedOn w:val="Normal"/>
    <w:link w:val="BalloonTextChar"/>
    <w:uiPriority w:val="99"/>
    <w:semiHidden/>
    <w:unhideWhenUsed/>
    <w:rsid w:val="00F21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BA5"/>
    <w:rPr>
      <w:rFonts w:ascii="Segoe UI" w:hAnsi="Segoe UI" w:cs="Segoe UI"/>
      <w:sz w:val="18"/>
      <w:szCs w:val="18"/>
    </w:rPr>
  </w:style>
  <w:style w:type="character" w:styleId="CommentReference">
    <w:name w:val="annotation reference"/>
    <w:basedOn w:val="DefaultParagraphFont"/>
    <w:uiPriority w:val="99"/>
    <w:semiHidden/>
    <w:unhideWhenUsed/>
    <w:rsid w:val="00D05AEE"/>
    <w:rPr>
      <w:sz w:val="16"/>
      <w:szCs w:val="16"/>
    </w:rPr>
  </w:style>
  <w:style w:type="paragraph" w:styleId="CommentText">
    <w:name w:val="annotation text"/>
    <w:basedOn w:val="Normal"/>
    <w:link w:val="CommentTextChar"/>
    <w:uiPriority w:val="99"/>
    <w:semiHidden/>
    <w:unhideWhenUsed/>
    <w:rsid w:val="00D05AEE"/>
    <w:pPr>
      <w:spacing w:line="240" w:lineRule="auto"/>
    </w:pPr>
    <w:rPr>
      <w:sz w:val="20"/>
      <w:szCs w:val="20"/>
    </w:rPr>
  </w:style>
  <w:style w:type="character" w:customStyle="1" w:styleId="CommentTextChar">
    <w:name w:val="Comment Text Char"/>
    <w:basedOn w:val="DefaultParagraphFont"/>
    <w:link w:val="CommentText"/>
    <w:uiPriority w:val="99"/>
    <w:semiHidden/>
    <w:rsid w:val="00D05AEE"/>
    <w:rPr>
      <w:sz w:val="20"/>
      <w:szCs w:val="20"/>
    </w:rPr>
  </w:style>
  <w:style w:type="paragraph" w:styleId="CommentSubject">
    <w:name w:val="annotation subject"/>
    <w:basedOn w:val="CommentText"/>
    <w:next w:val="CommentText"/>
    <w:link w:val="CommentSubjectChar"/>
    <w:uiPriority w:val="99"/>
    <w:semiHidden/>
    <w:unhideWhenUsed/>
    <w:rsid w:val="00D05AEE"/>
    <w:rPr>
      <w:b/>
      <w:bCs/>
    </w:rPr>
  </w:style>
  <w:style w:type="character" w:customStyle="1" w:styleId="CommentSubjectChar">
    <w:name w:val="Comment Subject Char"/>
    <w:basedOn w:val="CommentTextChar"/>
    <w:link w:val="CommentSubject"/>
    <w:uiPriority w:val="99"/>
    <w:semiHidden/>
    <w:rsid w:val="00D05AEE"/>
    <w:rPr>
      <w:b/>
      <w:bCs/>
      <w:sz w:val="20"/>
      <w:szCs w:val="20"/>
    </w:rPr>
  </w:style>
  <w:style w:type="character" w:customStyle="1" w:styleId="A6">
    <w:name w:val="A6"/>
    <w:uiPriority w:val="99"/>
    <w:rsid w:val="00D05BDB"/>
    <w:rPr>
      <w:rFonts w:cs="Minion Pro"/>
      <w:color w:val="000000"/>
    </w:rPr>
  </w:style>
  <w:style w:type="paragraph" w:customStyle="1" w:styleId="Default">
    <w:name w:val="Default"/>
    <w:rsid w:val="00516380"/>
    <w:pPr>
      <w:autoSpaceDE w:val="0"/>
      <w:autoSpaceDN w:val="0"/>
      <w:adjustRightInd w:val="0"/>
      <w:spacing w:after="0" w:line="240"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09285">
      <w:bodyDiv w:val="1"/>
      <w:marLeft w:val="0"/>
      <w:marRight w:val="0"/>
      <w:marTop w:val="0"/>
      <w:marBottom w:val="0"/>
      <w:divBdr>
        <w:top w:val="none" w:sz="0" w:space="0" w:color="auto"/>
        <w:left w:val="none" w:sz="0" w:space="0" w:color="auto"/>
        <w:bottom w:val="none" w:sz="0" w:space="0" w:color="auto"/>
        <w:right w:val="none" w:sz="0" w:space="0" w:color="auto"/>
      </w:divBdr>
      <w:divsChild>
        <w:div w:id="406344461">
          <w:marLeft w:val="0"/>
          <w:marRight w:val="0"/>
          <w:marTop w:val="0"/>
          <w:marBottom w:val="0"/>
          <w:divBdr>
            <w:top w:val="none" w:sz="0" w:space="0" w:color="auto"/>
            <w:left w:val="none" w:sz="0" w:space="0" w:color="auto"/>
            <w:bottom w:val="none" w:sz="0" w:space="0" w:color="auto"/>
            <w:right w:val="none" w:sz="0" w:space="0" w:color="auto"/>
          </w:divBdr>
          <w:divsChild>
            <w:div w:id="1202523534">
              <w:marLeft w:val="0"/>
              <w:marRight w:val="0"/>
              <w:marTop w:val="0"/>
              <w:marBottom w:val="0"/>
              <w:divBdr>
                <w:top w:val="none" w:sz="0" w:space="0" w:color="auto"/>
                <w:left w:val="none" w:sz="0" w:space="0" w:color="auto"/>
                <w:bottom w:val="none" w:sz="0" w:space="0" w:color="auto"/>
                <w:right w:val="none" w:sz="0" w:space="0" w:color="auto"/>
              </w:divBdr>
              <w:divsChild>
                <w:div w:id="917204101">
                  <w:marLeft w:val="0"/>
                  <w:marRight w:val="0"/>
                  <w:marTop w:val="0"/>
                  <w:marBottom w:val="0"/>
                  <w:divBdr>
                    <w:top w:val="none" w:sz="0" w:space="0" w:color="auto"/>
                    <w:left w:val="none" w:sz="0" w:space="0" w:color="auto"/>
                    <w:bottom w:val="none" w:sz="0" w:space="0" w:color="auto"/>
                    <w:right w:val="none" w:sz="0" w:space="0" w:color="auto"/>
                  </w:divBdr>
                  <w:divsChild>
                    <w:div w:id="77412297">
                      <w:marLeft w:val="0"/>
                      <w:marRight w:val="0"/>
                      <w:marTop w:val="0"/>
                      <w:marBottom w:val="0"/>
                      <w:divBdr>
                        <w:top w:val="none" w:sz="0" w:space="0" w:color="auto"/>
                        <w:left w:val="none" w:sz="0" w:space="0" w:color="auto"/>
                        <w:bottom w:val="none" w:sz="0" w:space="0" w:color="auto"/>
                        <w:right w:val="none" w:sz="0" w:space="0" w:color="auto"/>
                      </w:divBdr>
                      <w:divsChild>
                        <w:div w:id="8765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92374">
      <w:bodyDiv w:val="1"/>
      <w:marLeft w:val="0"/>
      <w:marRight w:val="0"/>
      <w:marTop w:val="0"/>
      <w:marBottom w:val="0"/>
      <w:divBdr>
        <w:top w:val="none" w:sz="0" w:space="0" w:color="auto"/>
        <w:left w:val="none" w:sz="0" w:space="0" w:color="auto"/>
        <w:bottom w:val="none" w:sz="0" w:space="0" w:color="auto"/>
        <w:right w:val="none" w:sz="0" w:space="0" w:color="auto"/>
      </w:divBdr>
      <w:divsChild>
        <w:div w:id="1895120462">
          <w:marLeft w:val="0"/>
          <w:marRight w:val="0"/>
          <w:marTop w:val="0"/>
          <w:marBottom w:val="0"/>
          <w:divBdr>
            <w:top w:val="none" w:sz="0" w:space="0" w:color="auto"/>
            <w:left w:val="none" w:sz="0" w:space="0" w:color="auto"/>
            <w:bottom w:val="none" w:sz="0" w:space="0" w:color="auto"/>
            <w:right w:val="none" w:sz="0" w:space="0" w:color="auto"/>
          </w:divBdr>
          <w:divsChild>
            <w:div w:id="631519526">
              <w:marLeft w:val="0"/>
              <w:marRight w:val="0"/>
              <w:marTop w:val="0"/>
              <w:marBottom w:val="0"/>
              <w:divBdr>
                <w:top w:val="none" w:sz="0" w:space="0" w:color="auto"/>
                <w:left w:val="none" w:sz="0" w:space="0" w:color="auto"/>
                <w:bottom w:val="none" w:sz="0" w:space="0" w:color="auto"/>
                <w:right w:val="none" w:sz="0" w:space="0" w:color="auto"/>
              </w:divBdr>
              <w:divsChild>
                <w:div w:id="731197614">
                  <w:marLeft w:val="0"/>
                  <w:marRight w:val="0"/>
                  <w:marTop w:val="0"/>
                  <w:marBottom w:val="0"/>
                  <w:divBdr>
                    <w:top w:val="none" w:sz="0" w:space="0" w:color="auto"/>
                    <w:left w:val="none" w:sz="0" w:space="0" w:color="auto"/>
                    <w:bottom w:val="none" w:sz="0" w:space="0" w:color="auto"/>
                    <w:right w:val="none" w:sz="0" w:space="0" w:color="auto"/>
                  </w:divBdr>
                  <w:divsChild>
                    <w:div w:id="177159160">
                      <w:marLeft w:val="0"/>
                      <w:marRight w:val="0"/>
                      <w:marTop w:val="0"/>
                      <w:marBottom w:val="0"/>
                      <w:divBdr>
                        <w:top w:val="none" w:sz="0" w:space="0" w:color="auto"/>
                        <w:left w:val="none" w:sz="0" w:space="0" w:color="auto"/>
                        <w:bottom w:val="none" w:sz="0" w:space="0" w:color="auto"/>
                        <w:right w:val="none" w:sz="0" w:space="0" w:color="auto"/>
                      </w:divBdr>
                      <w:divsChild>
                        <w:div w:id="15785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EDCC-10C3-4D25-AFDA-A51753F9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2733</Words>
  <Characters>15582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Ormerod, David</dc:creator>
  <cp:keywords/>
  <dc:description/>
  <cp:lastModifiedBy>Paul Burns</cp:lastModifiedBy>
  <cp:revision>2</cp:revision>
  <cp:lastPrinted>2017-11-06T12:57:00Z</cp:lastPrinted>
  <dcterms:created xsi:type="dcterms:W3CDTF">2018-03-21T11:43:00Z</dcterms:created>
  <dcterms:modified xsi:type="dcterms:W3CDTF">2018-03-21T11:43:00Z</dcterms:modified>
</cp:coreProperties>
</file>