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4DDB" w:rsidRPr="00327B0E" w:rsidRDefault="00F94DDB" w:rsidP="00F94DDB">
      <w:pPr>
        <w:rPr>
          <w:b/>
          <w:sz w:val="32"/>
          <w:szCs w:val="32"/>
        </w:rPr>
      </w:pPr>
      <w:r>
        <w:rPr>
          <w:b/>
          <w:sz w:val="32"/>
          <w:szCs w:val="32"/>
        </w:rPr>
        <w:t>T</w:t>
      </w:r>
      <w:r w:rsidRPr="00327B0E">
        <w:rPr>
          <w:b/>
          <w:sz w:val="32"/>
          <w:szCs w:val="32"/>
        </w:rPr>
        <w:t>he influence of snow microstructure on dual-frequency radar measurements in a tundra environment</w:t>
      </w:r>
      <w:bookmarkStart w:id="0" w:name="_GoBack"/>
      <w:bookmarkEnd w:id="0"/>
    </w:p>
    <w:p w:rsidR="00F94DDB" w:rsidRDefault="00F94DDB" w:rsidP="00F94DDB">
      <w:pPr>
        <w:rPr>
          <w:b/>
        </w:rPr>
      </w:pPr>
      <w:r w:rsidRPr="00327B0E">
        <w:rPr>
          <w:b/>
        </w:rPr>
        <w:t xml:space="preserve">Joshua </w:t>
      </w:r>
      <w:r>
        <w:rPr>
          <w:b/>
        </w:rPr>
        <w:t>King</w:t>
      </w:r>
      <w:r>
        <w:rPr>
          <w:b/>
          <w:vertAlign w:val="superscript"/>
        </w:rPr>
        <w:t>1*</w:t>
      </w:r>
      <w:r>
        <w:rPr>
          <w:b/>
        </w:rPr>
        <w:t>, Chris Derksen</w:t>
      </w:r>
      <w:r>
        <w:rPr>
          <w:b/>
          <w:vertAlign w:val="superscript"/>
        </w:rPr>
        <w:t>1</w:t>
      </w:r>
      <w:r>
        <w:rPr>
          <w:b/>
        </w:rPr>
        <w:t>, Peter Toose</w:t>
      </w:r>
      <w:r>
        <w:rPr>
          <w:b/>
          <w:vertAlign w:val="superscript"/>
        </w:rPr>
        <w:t>1</w:t>
      </w:r>
      <w:r>
        <w:rPr>
          <w:b/>
        </w:rPr>
        <w:t>, Alexandre Langlois</w:t>
      </w:r>
      <w:r>
        <w:rPr>
          <w:b/>
          <w:vertAlign w:val="superscript"/>
        </w:rPr>
        <w:t>2</w:t>
      </w:r>
      <w:r>
        <w:rPr>
          <w:b/>
        </w:rPr>
        <w:t>, Chris Larsen</w:t>
      </w:r>
      <w:r>
        <w:rPr>
          <w:b/>
          <w:vertAlign w:val="superscript"/>
        </w:rPr>
        <w:t>3</w:t>
      </w:r>
      <w:r>
        <w:rPr>
          <w:b/>
        </w:rPr>
        <w:t>,</w:t>
      </w:r>
      <w:r w:rsidRPr="0059754F">
        <w:rPr>
          <w:b/>
        </w:rPr>
        <w:t xml:space="preserve"> </w:t>
      </w:r>
      <w:r>
        <w:rPr>
          <w:b/>
        </w:rPr>
        <w:t>Juha Lemmetyinen</w:t>
      </w:r>
      <w:r>
        <w:rPr>
          <w:b/>
          <w:vertAlign w:val="superscript"/>
        </w:rPr>
        <w:t>4,5</w:t>
      </w:r>
      <w:r>
        <w:rPr>
          <w:b/>
        </w:rPr>
        <w:t>, Phil Marsh</w:t>
      </w:r>
      <w:r>
        <w:rPr>
          <w:b/>
          <w:vertAlign w:val="superscript"/>
        </w:rPr>
        <w:t>6</w:t>
      </w:r>
      <w:r>
        <w:rPr>
          <w:b/>
        </w:rPr>
        <w:t>, Benoit Montpetit</w:t>
      </w:r>
      <w:r>
        <w:rPr>
          <w:b/>
          <w:vertAlign w:val="superscript"/>
        </w:rPr>
        <w:t>7</w:t>
      </w:r>
      <w:r>
        <w:rPr>
          <w:b/>
        </w:rPr>
        <w:t>, Alexandre Roy</w:t>
      </w:r>
      <w:r>
        <w:rPr>
          <w:b/>
          <w:vertAlign w:val="superscript"/>
        </w:rPr>
        <w:t>8</w:t>
      </w:r>
      <w:r>
        <w:rPr>
          <w:b/>
        </w:rPr>
        <w:t>, Nick Rutter</w:t>
      </w:r>
      <w:r>
        <w:rPr>
          <w:b/>
          <w:vertAlign w:val="superscript"/>
        </w:rPr>
        <w:t>9</w:t>
      </w:r>
      <w:r>
        <w:rPr>
          <w:b/>
        </w:rPr>
        <w:t>, and Matthew Sturm</w:t>
      </w:r>
      <w:r>
        <w:rPr>
          <w:b/>
          <w:vertAlign w:val="superscript"/>
        </w:rPr>
        <w:t>3</w:t>
      </w:r>
    </w:p>
    <w:p w:rsidR="00F94DDB" w:rsidRPr="00196423" w:rsidRDefault="00F94DDB" w:rsidP="00F94DDB">
      <w:pPr>
        <w:pStyle w:val="MDPI16affiliation"/>
        <w:rPr>
          <w:rFonts w:ascii="Helvetica" w:hAnsi="Helvetica"/>
          <w:sz w:val="22"/>
          <w:szCs w:val="22"/>
        </w:rPr>
      </w:pPr>
      <w:r w:rsidRPr="00196423">
        <w:rPr>
          <w:rFonts w:ascii="Helvetica" w:hAnsi="Helvetica"/>
          <w:sz w:val="22"/>
          <w:szCs w:val="22"/>
          <w:vertAlign w:val="superscript"/>
        </w:rPr>
        <w:t>1</w:t>
      </w:r>
      <w:r w:rsidRPr="00196423">
        <w:rPr>
          <w:rFonts w:ascii="Helvetica" w:hAnsi="Helvetica"/>
          <w:sz w:val="22"/>
          <w:szCs w:val="22"/>
        </w:rPr>
        <w:tab/>
        <w:t>Environment and Climate Change Canada, Climate Research Division</w:t>
      </w:r>
      <w:r>
        <w:rPr>
          <w:rFonts w:ascii="Helvetica" w:hAnsi="Helvetica"/>
          <w:sz w:val="22"/>
          <w:szCs w:val="22"/>
        </w:rPr>
        <w:t>, Toronto, Canada</w:t>
      </w:r>
      <w:r w:rsidRPr="00196423">
        <w:rPr>
          <w:rFonts w:ascii="Helvetica" w:hAnsi="Helvetica"/>
          <w:sz w:val="22"/>
          <w:szCs w:val="22"/>
        </w:rPr>
        <w:t xml:space="preserve"> </w:t>
      </w:r>
    </w:p>
    <w:p w:rsidR="00F94DDB" w:rsidRPr="00251A52" w:rsidRDefault="00F94DDB" w:rsidP="00F94DDB">
      <w:pPr>
        <w:pStyle w:val="MDPI16affiliation"/>
        <w:rPr>
          <w:rFonts w:ascii="Helvetica" w:hAnsi="Helvetica"/>
          <w:sz w:val="22"/>
          <w:szCs w:val="22"/>
          <w:lang w:val="fr-CA"/>
        </w:rPr>
      </w:pPr>
      <w:r w:rsidRPr="00251A52">
        <w:rPr>
          <w:rFonts w:ascii="Helvetica" w:hAnsi="Helvetica"/>
          <w:sz w:val="22"/>
          <w:szCs w:val="22"/>
          <w:vertAlign w:val="superscript"/>
          <w:lang w:val="fr-CA"/>
        </w:rPr>
        <w:t>2</w:t>
      </w:r>
      <w:r w:rsidRPr="00251A52">
        <w:rPr>
          <w:rFonts w:ascii="Helvetica" w:hAnsi="Helvetica"/>
          <w:color w:val="auto"/>
          <w:sz w:val="22"/>
          <w:szCs w:val="22"/>
          <w:lang w:val="fr-CA"/>
        </w:rPr>
        <w:tab/>
      </w:r>
      <w:r w:rsidRPr="00251A52">
        <w:rPr>
          <w:rFonts w:ascii="Helvetica" w:hAnsi="Helvetica" w:cs="Helvetica"/>
          <w:color w:val="auto"/>
          <w:sz w:val="22"/>
          <w:szCs w:val="22"/>
          <w:lang w:val="fr-CA"/>
        </w:rPr>
        <w:t>Université de Sherbrooke</w:t>
      </w:r>
      <w:r>
        <w:rPr>
          <w:rFonts w:ascii="Helvetica" w:hAnsi="Helvetica" w:cs="Helvetica"/>
          <w:color w:val="auto"/>
          <w:sz w:val="22"/>
          <w:szCs w:val="22"/>
          <w:lang w:val="fr-CA"/>
        </w:rPr>
        <w:t xml:space="preserve">, </w:t>
      </w:r>
      <w:r w:rsidRPr="00251A52">
        <w:rPr>
          <w:rFonts w:ascii="Helvetica" w:hAnsi="Helvetica" w:cs="Helvetica"/>
          <w:color w:val="auto"/>
          <w:sz w:val="22"/>
          <w:szCs w:val="22"/>
          <w:lang w:val="fr-CA"/>
        </w:rPr>
        <w:t xml:space="preserve">Centre d'Applications et </w:t>
      </w:r>
      <w:r>
        <w:rPr>
          <w:rFonts w:ascii="Helvetica" w:hAnsi="Helvetica" w:cs="Helvetica"/>
          <w:color w:val="auto"/>
          <w:sz w:val="22"/>
          <w:szCs w:val="22"/>
          <w:lang w:val="fr-CA"/>
        </w:rPr>
        <w:t>de Recherches en Télédétection</w:t>
      </w:r>
      <w:r w:rsidRPr="00251A52">
        <w:rPr>
          <w:rFonts w:ascii="Helvetica" w:hAnsi="Helvetica" w:cs="Helvetica"/>
          <w:color w:val="auto"/>
          <w:sz w:val="22"/>
          <w:szCs w:val="22"/>
          <w:lang w:val="fr-CA"/>
        </w:rPr>
        <w:t>, Québec, Canada</w:t>
      </w:r>
    </w:p>
    <w:p w:rsidR="00F94DDB" w:rsidRPr="00170707" w:rsidRDefault="00F94DDB" w:rsidP="00F94DDB">
      <w:pPr>
        <w:pStyle w:val="MDPI16affiliation"/>
        <w:rPr>
          <w:rFonts w:ascii="Helvetica" w:hAnsi="Helvetica"/>
          <w:sz w:val="22"/>
          <w:szCs w:val="22"/>
        </w:rPr>
      </w:pPr>
      <w:r w:rsidRPr="00A20925">
        <w:rPr>
          <w:rFonts w:ascii="Helvetica" w:hAnsi="Helvetica"/>
          <w:sz w:val="22"/>
          <w:szCs w:val="22"/>
          <w:vertAlign w:val="superscript"/>
        </w:rPr>
        <w:t>3</w:t>
      </w:r>
      <w:r w:rsidRPr="00A20925">
        <w:rPr>
          <w:rFonts w:ascii="Helvetica" w:hAnsi="Helvetica"/>
          <w:sz w:val="22"/>
          <w:szCs w:val="22"/>
        </w:rPr>
        <w:tab/>
      </w:r>
      <w:r w:rsidRPr="00170707">
        <w:rPr>
          <w:rFonts w:ascii="Helvetica" w:hAnsi="Helvetica" w:cs="Helvetica"/>
          <w:sz w:val="22"/>
          <w:szCs w:val="22"/>
        </w:rPr>
        <w:t>University of Alaska Fairbanks, Geophysical Institute</w:t>
      </w:r>
      <w:r>
        <w:rPr>
          <w:rFonts w:ascii="Helvetica" w:hAnsi="Helvetica" w:cs="Helvetica"/>
          <w:sz w:val="22"/>
          <w:szCs w:val="22"/>
        </w:rPr>
        <w:t>, Fairbanks, Alaska, USA</w:t>
      </w:r>
    </w:p>
    <w:p w:rsidR="00F94DDB" w:rsidRPr="00A20925" w:rsidRDefault="00F94DDB" w:rsidP="00F94DDB">
      <w:pPr>
        <w:pStyle w:val="MDPI16affiliation"/>
        <w:rPr>
          <w:rFonts w:ascii="Helvetica" w:hAnsi="Helvetica"/>
          <w:sz w:val="22"/>
          <w:szCs w:val="22"/>
        </w:rPr>
      </w:pPr>
      <w:r w:rsidRPr="00A20925">
        <w:rPr>
          <w:rFonts w:ascii="Helvetica" w:hAnsi="Helvetica"/>
          <w:sz w:val="22"/>
          <w:szCs w:val="22"/>
          <w:vertAlign w:val="superscript"/>
        </w:rPr>
        <w:t>4</w:t>
      </w:r>
      <w:r w:rsidRPr="00A20925">
        <w:rPr>
          <w:rFonts w:ascii="Helvetica" w:hAnsi="Helvetica"/>
          <w:sz w:val="22"/>
          <w:szCs w:val="22"/>
        </w:rPr>
        <w:tab/>
      </w:r>
      <w:r>
        <w:rPr>
          <w:rFonts w:ascii="Helvetica" w:hAnsi="Helvetica"/>
          <w:sz w:val="22"/>
          <w:szCs w:val="22"/>
        </w:rPr>
        <w:t>Finnish Meteorological Institute, Arctic Research, Helsinki, Finland</w:t>
      </w:r>
    </w:p>
    <w:p w:rsidR="00F94DDB" w:rsidRPr="00A20925" w:rsidRDefault="00F94DDB" w:rsidP="00F94DDB">
      <w:pPr>
        <w:pStyle w:val="MDPI16affiliation"/>
        <w:rPr>
          <w:rFonts w:ascii="Helvetica" w:hAnsi="Helvetica"/>
          <w:sz w:val="22"/>
          <w:szCs w:val="22"/>
        </w:rPr>
      </w:pPr>
      <w:r w:rsidRPr="00A20925">
        <w:rPr>
          <w:rFonts w:ascii="Helvetica" w:hAnsi="Helvetica"/>
          <w:sz w:val="22"/>
          <w:szCs w:val="22"/>
          <w:vertAlign w:val="superscript"/>
        </w:rPr>
        <w:t>5</w:t>
      </w:r>
      <w:r w:rsidRPr="00A20925">
        <w:rPr>
          <w:rFonts w:ascii="Helvetica" w:hAnsi="Helvetica"/>
          <w:sz w:val="22"/>
          <w:szCs w:val="22"/>
        </w:rPr>
        <w:tab/>
      </w:r>
      <w:r>
        <w:rPr>
          <w:rFonts w:ascii="Helvetica" w:hAnsi="Helvetica"/>
          <w:sz w:val="22"/>
          <w:szCs w:val="22"/>
        </w:rPr>
        <w:t>Chinese Academy of Sciences, Institute of Remote Sensing and Digital Earth, Beijing, China</w:t>
      </w:r>
    </w:p>
    <w:p w:rsidR="00F94DDB" w:rsidRPr="00A20925" w:rsidRDefault="00F94DDB" w:rsidP="00F94DDB">
      <w:pPr>
        <w:pStyle w:val="MDPI16affiliation"/>
        <w:rPr>
          <w:rFonts w:ascii="Helvetica" w:hAnsi="Helvetica"/>
          <w:sz w:val="22"/>
          <w:szCs w:val="22"/>
        </w:rPr>
      </w:pPr>
      <w:r w:rsidRPr="00A20925">
        <w:rPr>
          <w:rFonts w:ascii="Helvetica" w:hAnsi="Helvetica"/>
          <w:sz w:val="22"/>
          <w:szCs w:val="22"/>
          <w:vertAlign w:val="superscript"/>
        </w:rPr>
        <w:t>6</w:t>
      </w:r>
      <w:r w:rsidRPr="00A20925">
        <w:rPr>
          <w:rFonts w:ascii="Helvetica" w:hAnsi="Helvetica"/>
          <w:sz w:val="22"/>
          <w:szCs w:val="22"/>
        </w:rPr>
        <w:tab/>
      </w:r>
      <w:r w:rsidRPr="006D6ABF">
        <w:rPr>
          <w:rFonts w:ascii="Helvetica" w:hAnsi="Helvetica" w:cs="Helvetica"/>
          <w:sz w:val="22"/>
          <w:szCs w:val="22"/>
        </w:rPr>
        <w:t>Wilfrid Laurier University, Cold Regions Centre, Waterloo, Canada</w:t>
      </w:r>
    </w:p>
    <w:p w:rsidR="00F94DDB" w:rsidRPr="00286D2A" w:rsidRDefault="00F94DDB" w:rsidP="00F94DDB">
      <w:pPr>
        <w:pStyle w:val="MDPI16affiliation"/>
        <w:rPr>
          <w:rFonts w:ascii="Helvetica" w:hAnsi="Helvetica"/>
          <w:sz w:val="22"/>
          <w:szCs w:val="22"/>
        </w:rPr>
      </w:pPr>
      <w:r w:rsidRPr="00286D2A">
        <w:rPr>
          <w:rFonts w:ascii="Helvetica" w:hAnsi="Helvetica"/>
          <w:sz w:val="22"/>
          <w:szCs w:val="22"/>
          <w:vertAlign w:val="superscript"/>
        </w:rPr>
        <w:t>7</w:t>
      </w:r>
      <w:r w:rsidRPr="00286D2A">
        <w:rPr>
          <w:rFonts w:ascii="Helvetica" w:hAnsi="Helvetica"/>
          <w:sz w:val="22"/>
          <w:szCs w:val="22"/>
        </w:rPr>
        <w:t xml:space="preserve"> </w:t>
      </w:r>
      <w:r>
        <w:rPr>
          <w:rFonts w:ascii="Helvetica" w:hAnsi="Helvetica"/>
          <w:sz w:val="22"/>
          <w:szCs w:val="22"/>
        </w:rPr>
        <w:t>Environment and Climate Change Canada, Wildlife and Landscape Science Division, Ottawa, Canada</w:t>
      </w:r>
    </w:p>
    <w:p w:rsidR="00F94DDB" w:rsidRPr="00286D2A" w:rsidRDefault="00F94DDB" w:rsidP="00F94DDB">
      <w:pPr>
        <w:pStyle w:val="MDPI16affiliation"/>
        <w:rPr>
          <w:rFonts w:ascii="Helvetica" w:hAnsi="Helvetica"/>
          <w:sz w:val="22"/>
          <w:szCs w:val="22"/>
          <w:vertAlign w:val="superscript"/>
          <w:lang w:val="fr-CA"/>
        </w:rPr>
      </w:pPr>
      <w:r w:rsidRPr="00286D2A">
        <w:rPr>
          <w:rFonts w:ascii="Helvetica" w:hAnsi="Helvetica"/>
          <w:sz w:val="22"/>
          <w:szCs w:val="22"/>
          <w:vertAlign w:val="superscript"/>
          <w:lang w:val="fr-CA"/>
        </w:rPr>
        <w:t>8</w:t>
      </w:r>
      <w:r w:rsidRPr="00286D2A">
        <w:rPr>
          <w:rFonts w:ascii="Helvetica" w:hAnsi="Helvetica"/>
          <w:sz w:val="22"/>
          <w:szCs w:val="22"/>
          <w:lang w:val="fr-CA"/>
        </w:rPr>
        <w:t xml:space="preserve"> </w:t>
      </w:r>
      <w:r>
        <w:rPr>
          <w:rFonts w:ascii="Helvetica" w:hAnsi="Helvetica"/>
          <w:sz w:val="22"/>
          <w:szCs w:val="22"/>
          <w:lang w:val="fr-CA"/>
        </w:rPr>
        <w:t>Université de Montréal, Département de Géographie, Montréal, Canada</w:t>
      </w:r>
    </w:p>
    <w:p w:rsidR="00F94DDB" w:rsidRPr="00251A52" w:rsidRDefault="00F94DDB" w:rsidP="00F94DDB">
      <w:pPr>
        <w:pStyle w:val="MDPI16affiliation"/>
        <w:rPr>
          <w:rFonts w:ascii="Helvetica" w:hAnsi="Helvetica"/>
          <w:sz w:val="22"/>
          <w:szCs w:val="22"/>
          <w:vertAlign w:val="superscript"/>
        </w:rPr>
      </w:pPr>
      <w:r w:rsidRPr="00251A52">
        <w:rPr>
          <w:rFonts w:ascii="Helvetica" w:hAnsi="Helvetica"/>
          <w:sz w:val="22"/>
          <w:szCs w:val="22"/>
          <w:vertAlign w:val="superscript"/>
        </w:rPr>
        <w:t>9</w:t>
      </w:r>
      <w:r w:rsidRPr="00251A52">
        <w:rPr>
          <w:rFonts w:ascii="Helvetica" w:hAnsi="Helvetica" w:cs="Helvetica"/>
          <w:sz w:val="20"/>
          <w:szCs w:val="20"/>
        </w:rPr>
        <w:t xml:space="preserve"> </w:t>
      </w:r>
      <w:r w:rsidRPr="00A20925">
        <w:rPr>
          <w:rFonts w:ascii="Helvetica" w:hAnsi="Helvetica" w:cs="Helvetica"/>
          <w:sz w:val="20"/>
          <w:szCs w:val="20"/>
        </w:rPr>
        <w:t>Northumbria University</w:t>
      </w:r>
      <w:r>
        <w:rPr>
          <w:rFonts w:ascii="Helvetica" w:hAnsi="Helvetica" w:cs="Helvetica"/>
          <w:sz w:val="20"/>
          <w:szCs w:val="20"/>
        </w:rPr>
        <w:t xml:space="preserve">, </w:t>
      </w:r>
      <w:r w:rsidRPr="00A20925">
        <w:rPr>
          <w:rFonts w:ascii="Helvetica" w:hAnsi="Helvetica" w:cs="Helvetica"/>
          <w:sz w:val="20"/>
          <w:szCs w:val="20"/>
        </w:rPr>
        <w:t>Department of Geogra</w:t>
      </w:r>
      <w:r>
        <w:rPr>
          <w:rFonts w:ascii="Helvetica" w:hAnsi="Helvetica" w:cs="Helvetica"/>
          <w:sz w:val="20"/>
          <w:szCs w:val="20"/>
        </w:rPr>
        <w:t>phy and Environmental Sciences</w:t>
      </w:r>
      <w:r w:rsidRPr="00A20925">
        <w:rPr>
          <w:rFonts w:ascii="Helvetica" w:hAnsi="Helvetica" w:cs="Helvetica"/>
          <w:sz w:val="20"/>
          <w:szCs w:val="20"/>
        </w:rPr>
        <w:t>, Newcastle upon Tyne, UK</w:t>
      </w:r>
    </w:p>
    <w:p w:rsidR="00F94DDB" w:rsidRPr="00A20925" w:rsidRDefault="00F94DDB" w:rsidP="00F94DDB">
      <w:pPr>
        <w:pStyle w:val="MDPI16affiliation"/>
        <w:rPr>
          <w:rFonts w:ascii="Helvetica" w:hAnsi="Helvetica"/>
          <w:sz w:val="22"/>
          <w:szCs w:val="22"/>
        </w:rPr>
      </w:pPr>
    </w:p>
    <w:p w:rsidR="00F94DDB" w:rsidRPr="00470431" w:rsidRDefault="00F94DDB" w:rsidP="00F94DDB">
      <w:pPr>
        <w:pStyle w:val="MDPI14history"/>
        <w:spacing w:before="0"/>
        <w:ind w:left="311" w:hanging="198"/>
        <w:rPr>
          <w:rFonts w:ascii="Helvetica" w:hAnsi="Helvetica"/>
          <w:sz w:val="22"/>
          <w:szCs w:val="22"/>
          <w:lang w:val="fr-CA"/>
        </w:rPr>
      </w:pPr>
      <w:r w:rsidRPr="00470431">
        <w:rPr>
          <w:rFonts w:ascii="Helvetica" w:hAnsi="Helvetica"/>
          <w:b/>
          <w:sz w:val="22"/>
          <w:szCs w:val="22"/>
          <w:lang w:val="fr-CA"/>
        </w:rPr>
        <w:t>*</w:t>
      </w:r>
      <w:r w:rsidRPr="00470431">
        <w:rPr>
          <w:rFonts w:ascii="Helvetica" w:hAnsi="Helvetica"/>
          <w:sz w:val="22"/>
          <w:szCs w:val="22"/>
          <w:lang w:val="fr-CA"/>
        </w:rPr>
        <w:tab/>
        <w:t>Correspondance: Joshua.King@Canada.ca</w:t>
      </w:r>
    </w:p>
    <w:p w:rsidR="00F94DDB" w:rsidRPr="0049058F" w:rsidRDefault="00F94DDB" w:rsidP="00F94DDB">
      <w:pPr>
        <w:rPr>
          <w:lang w:val="fr-CA"/>
        </w:rPr>
      </w:pPr>
    </w:p>
    <w:p w:rsidR="00F94DDB" w:rsidRDefault="00F94DDB" w:rsidP="00F94DDB">
      <w:pPr>
        <w:rPr>
          <w:b/>
          <w:lang w:val="fr-CA"/>
        </w:rPr>
      </w:pPr>
      <w:r w:rsidRPr="0049058F">
        <w:rPr>
          <w:b/>
          <w:lang w:val="fr-CA"/>
        </w:rPr>
        <w:t>Abstract:</w:t>
      </w:r>
    </w:p>
    <w:p w:rsidR="002F74A4" w:rsidRDefault="002F74A4" w:rsidP="002F74A4">
      <w:pPr>
        <w:spacing w:line="480" w:lineRule="auto"/>
        <w:rPr>
          <w:rFonts w:cs="Helvetica"/>
        </w:rPr>
      </w:pPr>
      <w:r w:rsidRPr="00B00E89">
        <w:rPr>
          <w:rFonts w:cs="Helvetica"/>
        </w:rPr>
        <w:t xml:space="preserve">Recent advancement </w:t>
      </w:r>
      <w:r>
        <w:rPr>
          <w:rFonts w:cs="Helvetica"/>
        </w:rPr>
        <w:t>in</w:t>
      </w:r>
      <w:r w:rsidRPr="00B00E89">
        <w:rPr>
          <w:rFonts w:cs="Helvetica"/>
        </w:rPr>
        <w:t xml:space="preserve"> </w:t>
      </w:r>
      <w:r>
        <w:rPr>
          <w:rFonts w:cs="Helvetica"/>
        </w:rPr>
        <w:t xml:space="preserve">the </w:t>
      </w:r>
      <w:r w:rsidRPr="00B00E89">
        <w:rPr>
          <w:rFonts w:cs="Helvetica"/>
        </w:rPr>
        <w:t>understanding of snow-microwave interaction</w:t>
      </w:r>
      <w:r>
        <w:rPr>
          <w:rFonts w:cs="Helvetica"/>
        </w:rPr>
        <w:t>s</w:t>
      </w:r>
      <w:r w:rsidRPr="00B00E89">
        <w:rPr>
          <w:rFonts w:cs="Helvetica"/>
        </w:rPr>
        <w:t xml:space="preserve"> </w:t>
      </w:r>
      <w:r>
        <w:rPr>
          <w:rFonts w:cs="Helvetica"/>
        </w:rPr>
        <w:t>has</w:t>
      </w:r>
      <w:r w:rsidRPr="00B00E89">
        <w:rPr>
          <w:rFonts w:cs="Helvetica"/>
        </w:rPr>
        <w:t xml:space="preserve"> helped to </w:t>
      </w:r>
      <w:r>
        <w:rPr>
          <w:rFonts w:cs="Helvetica"/>
        </w:rPr>
        <w:t>isolate</w:t>
      </w:r>
      <w:r w:rsidRPr="00B00E89">
        <w:rPr>
          <w:rFonts w:cs="Helvetica"/>
        </w:rPr>
        <w:t xml:space="preserve"> the</w:t>
      </w:r>
      <w:r>
        <w:rPr>
          <w:rFonts w:cs="Helvetica"/>
        </w:rPr>
        <w:t xml:space="preserve"> considerable</w:t>
      </w:r>
      <w:r w:rsidRPr="00B00E89">
        <w:rPr>
          <w:rFonts w:cs="Helvetica"/>
        </w:rPr>
        <w:t xml:space="preserve"> potential for radar-based retrieval of </w:t>
      </w:r>
      <w:r>
        <w:rPr>
          <w:rFonts w:cs="Helvetica"/>
        </w:rPr>
        <w:t>snow water equivalent (SWE)</w:t>
      </w:r>
      <w:r w:rsidRPr="00B00E89">
        <w:rPr>
          <w:rFonts w:cs="Helvetica"/>
        </w:rPr>
        <w:t xml:space="preserve">. There are however, few datasets available to address </w:t>
      </w:r>
      <w:r>
        <w:rPr>
          <w:rFonts w:cs="Helvetica"/>
        </w:rPr>
        <w:t>spatial</w:t>
      </w:r>
      <w:r w:rsidRPr="00B00E89">
        <w:rPr>
          <w:rFonts w:cs="Helvetica"/>
        </w:rPr>
        <w:t xml:space="preserve"> uncertainties, such as </w:t>
      </w:r>
      <w:r>
        <w:rPr>
          <w:rFonts w:cs="Helvetica"/>
        </w:rPr>
        <w:t xml:space="preserve">the influence of snow </w:t>
      </w:r>
      <w:r w:rsidRPr="00B00E89">
        <w:rPr>
          <w:rFonts w:cs="Helvetica"/>
        </w:rPr>
        <w:t>microstructure,</w:t>
      </w:r>
      <w:r>
        <w:rPr>
          <w:rFonts w:cs="Helvetica"/>
        </w:rPr>
        <w:t xml:space="preserve"> </w:t>
      </w:r>
      <w:r w:rsidRPr="00B00E89">
        <w:rPr>
          <w:rFonts w:cs="Helvetica"/>
        </w:rPr>
        <w:t>at scales</w:t>
      </w:r>
      <w:r>
        <w:rPr>
          <w:rFonts w:cs="Helvetica"/>
        </w:rPr>
        <w:t xml:space="preserve"> </w:t>
      </w:r>
      <w:r w:rsidRPr="00B00E89">
        <w:rPr>
          <w:rFonts w:cs="Helvetica"/>
        </w:rPr>
        <w:t xml:space="preserve">relevant to space-borne </w:t>
      </w:r>
      <w:r>
        <w:rPr>
          <w:rFonts w:cs="Helvetica"/>
        </w:rPr>
        <w:t>application</w:t>
      </w:r>
      <w:r w:rsidRPr="00B00E89">
        <w:rPr>
          <w:rFonts w:cs="Helvetica"/>
        </w:rPr>
        <w:t>. In this study we introduce</w:t>
      </w:r>
      <w:r>
        <w:rPr>
          <w:rFonts w:cs="Helvetica"/>
        </w:rPr>
        <w:t xml:space="preserve"> measurements from SnowSAR, an airborne, </w:t>
      </w:r>
      <w:r w:rsidRPr="00B00E89">
        <w:rPr>
          <w:rFonts w:cs="Helvetica"/>
        </w:rPr>
        <w:t xml:space="preserve">dual-frequency (9.6 and 17.2 GHz) synthetic aperture radar </w:t>
      </w:r>
      <w:r>
        <w:rPr>
          <w:rFonts w:cs="Helvetica"/>
        </w:rPr>
        <w:t>(SAR), to evaluate high resolution (10 m) backscatter within</w:t>
      </w:r>
      <w:r w:rsidRPr="00B00E89">
        <w:rPr>
          <w:rFonts w:cs="Helvetica"/>
        </w:rPr>
        <w:t xml:space="preserve"> </w:t>
      </w:r>
      <w:r>
        <w:rPr>
          <w:rFonts w:cs="Helvetica"/>
        </w:rPr>
        <w:t>a</w:t>
      </w:r>
      <w:r w:rsidRPr="00B00E89">
        <w:rPr>
          <w:rFonts w:cs="Helvetica"/>
        </w:rPr>
        <w:t xml:space="preserve"> snow-covered tundra basin</w:t>
      </w:r>
      <w:r>
        <w:rPr>
          <w:rFonts w:cs="Helvetica"/>
        </w:rPr>
        <w:t>. Coincident in situ surveys at two sites characterize a generally thin snowpack (50 cm) interspersed with deeper drift features. Structure of the snowpack is found to be predominantly wind slab (65%) with smaller proportions of depth hoar underlain (35%). O</w:t>
      </w:r>
      <w:r w:rsidRPr="00B00E89">
        <w:rPr>
          <w:rFonts w:cs="Helvetica"/>
        </w:rPr>
        <w:t xml:space="preserve">bjective </w:t>
      </w:r>
      <w:r>
        <w:rPr>
          <w:rFonts w:cs="Helvetica"/>
        </w:rPr>
        <w:t xml:space="preserve">estimates of snow </w:t>
      </w:r>
      <w:r w:rsidRPr="00B00E89">
        <w:rPr>
          <w:rFonts w:cs="Helvetica"/>
        </w:rPr>
        <w:t>microstructure</w:t>
      </w:r>
      <w:r>
        <w:rPr>
          <w:rFonts w:cs="Helvetica"/>
        </w:rPr>
        <w:t xml:space="preserve"> (exponential correlation length; </w:t>
      </w:r>
      <m:oMath>
        <m:sSub>
          <m:sSubPr>
            <m:ctrlPr>
              <w:rPr>
                <w:rFonts w:ascii="Cambria Math" w:hAnsi="Cambria Math"/>
                <w:i/>
              </w:rPr>
            </m:ctrlPr>
          </m:sSubPr>
          <m:e>
            <m:r>
              <w:rPr>
                <w:rFonts w:ascii="Cambria Math" w:hAnsi="Cambria Math"/>
              </w:rPr>
              <m:t>l</m:t>
            </m:r>
          </m:e>
          <m:sub>
            <m:r>
              <m:rPr>
                <m:nor/>
              </m:rPr>
              <w:rPr>
                <w:rFonts w:ascii="Cambria Math" w:hAnsi="Cambria Math"/>
              </w:rPr>
              <m:t>ex</m:t>
            </m:r>
          </m:sub>
        </m:sSub>
      </m:oMath>
      <w:r>
        <w:rPr>
          <w:rFonts w:cs="Helvetica"/>
        </w:rPr>
        <w:t xml:space="preserve">), show the slab layers to be 2.8 times smaller than the basal depth hoar. In situ measurements are used to parametrize the </w:t>
      </w:r>
      <w:r w:rsidRPr="00B00E89">
        <w:rPr>
          <w:rFonts w:cs="Helvetica"/>
        </w:rPr>
        <w:t xml:space="preserve">Microwave Emission Model of Layered Snowpacks </w:t>
      </w:r>
      <w:r>
        <w:rPr>
          <w:rFonts w:cs="Helvetica"/>
        </w:rPr>
        <w:t>(MEMLS3&amp;a</w:t>
      </w:r>
      <w:r w:rsidRPr="00B00E89">
        <w:rPr>
          <w:rFonts w:cs="Helvetica"/>
        </w:rPr>
        <w:t>)</w:t>
      </w:r>
      <w:r>
        <w:rPr>
          <w:rFonts w:cs="Helvetica"/>
        </w:rPr>
        <w:t xml:space="preserve"> and compare </w:t>
      </w:r>
      <w:r>
        <w:rPr>
          <w:rFonts w:cs="Helvetica"/>
        </w:rPr>
        <w:lastRenderedPageBreak/>
        <w:t>against collocated SnowSAR backscatter. The evaluation shows a scaling factor (</w:t>
      </w:r>
      <m:oMath>
        <m:r>
          <m:rPr>
            <m:sty m:val="p"/>
          </m:rPr>
          <w:rPr>
            <w:rFonts w:ascii="Cambria Math" w:eastAsiaTheme="minorEastAsia" w:hAnsi="Cambria Math"/>
          </w:rPr>
          <m:t>ϕ</m:t>
        </m:r>
      </m:oMath>
      <w:r>
        <w:rPr>
          <w:rFonts w:eastAsiaTheme="minorEastAsia" w:cs="Helvetica"/>
        </w:rPr>
        <w:t xml:space="preserve">) between 1.37 and 1.08, when applied to input of </w:t>
      </w:r>
      <m:oMath>
        <m:sSub>
          <m:sSubPr>
            <m:ctrlPr>
              <w:rPr>
                <w:rFonts w:ascii="Cambria Math" w:hAnsi="Cambria Math"/>
                <w:i/>
              </w:rPr>
            </m:ctrlPr>
          </m:sSubPr>
          <m:e>
            <m:r>
              <w:rPr>
                <w:rFonts w:ascii="Cambria Math" w:hAnsi="Cambria Math"/>
              </w:rPr>
              <m:t>l</m:t>
            </m:r>
          </m:e>
          <m:sub>
            <m:r>
              <m:rPr>
                <m:nor/>
              </m:rPr>
              <w:rPr>
                <w:rFonts w:ascii="Cambria Math" w:hAnsi="Cambria Math"/>
              </w:rPr>
              <m:t>ex</m:t>
            </m:r>
          </m:sub>
        </m:sSub>
      </m:oMath>
      <w:r>
        <w:rPr>
          <w:rFonts w:eastAsiaTheme="minorEastAsia" w:cs="Helvetica"/>
        </w:rPr>
        <w:t xml:space="preserve">, minimizes MEMLS root mean </w:t>
      </w:r>
      <w:r>
        <w:rPr>
          <w:rFonts w:cs="Helvetica"/>
        </w:rPr>
        <w:t>root mean squared error to less than 1.1 dB. Model sensitivity experiments demonstrate contrasting contributions from wind slab and depth hoar components, where wind rounded microstructures are identified as a strong control on observed backscatter. Weak sensitivity of SnowSAR to spatial variations in SWE is explained by the smaller contributing microstructures of the wind slab.</w:t>
      </w:r>
    </w:p>
    <w:p w:rsidR="00F94DDB" w:rsidRPr="00196423" w:rsidRDefault="00F94DDB" w:rsidP="00F94DDB">
      <w:r w:rsidRPr="00196423">
        <w:rPr>
          <w:b/>
        </w:rPr>
        <w:t>Keywords:</w:t>
      </w:r>
      <w:r w:rsidRPr="00196423">
        <w:t xml:space="preserve"> Snow,</w:t>
      </w:r>
      <w:r>
        <w:t xml:space="preserve"> SWE,</w:t>
      </w:r>
      <w:r w:rsidRPr="00196423">
        <w:t xml:space="preserve"> radar,</w:t>
      </w:r>
      <w:r>
        <w:t xml:space="preserve"> SAR,</w:t>
      </w:r>
      <w:r w:rsidRPr="00196423">
        <w:t xml:space="preserve"> tundra</w:t>
      </w:r>
      <w:r>
        <w:t>, Arctic</w:t>
      </w:r>
    </w:p>
    <w:p w:rsidR="00F94DDB" w:rsidRPr="00196423" w:rsidRDefault="00F94DDB" w:rsidP="00F94DDB">
      <w:pPr>
        <w:pStyle w:val="Heading1"/>
        <w:spacing w:line="480" w:lineRule="auto"/>
        <w:rPr>
          <w:color w:val="auto"/>
          <w:szCs w:val="22"/>
        </w:rPr>
      </w:pPr>
      <w:r w:rsidRPr="00196423">
        <w:rPr>
          <w:color w:val="auto"/>
          <w:szCs w:val="22"/>
        </w:rPr>
        <w:t xml:space="preserve">1. </w:t>
      </w:r>
      <w:r>
        <w:rPr>
          <w:color w:val="auto"/>
          <w:szCs w:val="22"/>
        </w:rPr>
        <w:t>Introduction</w:t>
      </w:r>
    </w:p>
    <w:p w:rsidR="00F94DDB" w:rsidRDefault="00F94DDB" w:rsidP="00F94DDB">
      <w:pPr>
        <w:spacing w:line="480" w:lineRule="auto"/>
      </w:pPr>
      <w:r>
        <w:t xml:space="preserve">Across the Northern Hemisphere, snow on the ground plays a critical role in climatological, hydrological and ecological processes, represents an essential freshwater resource, and influences natural hazards. Improved understanding of where, and in what ways, snow mass is changing is an important consideration for advancement of associated studies, including numerical weather prediction and hydrological forecasting, where spatially continuous observations with high temporal availability are desirable (Carrera et al., 2010; Bernier et al., 2012). Sparse </w:t>
      </w:r>
      <w:r w:rsidRPr="00850D1C">
        <w:t>in situ</w:t>
      </w:r>
      <w:r>
        <w:rPr>
          <w:i/>
        </w:rPr>
        <w:t xml:space="preserve"> </w:t>
      </w:r>
      <w:r>
        <w:t xml:space="preserve">measurement </w:t>
      </w:r>
      <w:r w:rsidRPr="00037AEF">
        <w:t>networks</w:t>
      </w:r>
      <w:r>
        <w:t xml:space="preserve"> have made satellite remote sensing an attractive option to satisfy observational requirements for initialization and verification of land surface models within these forecast schemes, and in a more general sense, appear key to monitoring of global snow resources (Takala et al., 2011). </w:t>
      </w:r>
    </w:p>
    <w:p w:rsidR="00F94DDB" w:rsidRDefault="00F94DDB" w:rsidP="00F94DDB">
      <w:pPr>
        <w:spacing w:line="480" w:lineRule="auto"/>
      </w:pPr>
      <w:r>
        <w:t xml:space="preserve">While progress has been made in the retrieval of snow cover extent from missions such as MODIS (e.g. Hall et al., 2010), retrieval of volumetric properties, including snow water equivalent (SWE), remain a challenge. Current space-borne methods rely on passive microwave radiometry, an approach inherently limited in spatial resolution and negatively impacted by spatiotemporal variations in snow microstructure (Kelly et al., 2003; Tedesco and Jeyaratnam, 2016). As a potential complement to existing methods, radar remote sensing is also sensitive to volumetric changes with the added advantage of higher spatial resolution to address uncertainty at scales relevant to snow physical processes (&lt;100 m). </w:t>
      </w:r>
      <w:r w:rsidRPr="003B0C90">
        <w:t xml:space="preserve">Recent </w:t>
      </w:r>
      <w:r>
        <w:t xml:space="preserve">advancement in </w:t>
      </w:r>
      <w:r w:rsidRPr="003B0C90">
        <w:t xml:space="preserve">radar-based </w:t>
      </w:r>
      <w:r>
        <w:t xml:space="preserve">observation of terrestrial snow </w:t>
      </w:r>
      <w:r w:rsidRPr="003B0C90">
        <w:t xml:space="preserve">was motivated in large part by the Cold Regions High Resolution Hydrological </w:t>
      </w:r>
      <w:r>
        <w:t>O</w:t>
      </w:r>
      <w:r w:rsidRPr="003B0C90">
        <w:t>bservatory (CoReH20) mission concept</w:t>
      </w:r>
      <w:r>
        <w:t>. While not selected as the European Space Agency (ESA) Earth Explorer 7</w:t>
      </w:r>
      <w:r w:rsidRPr="003B0C90">
        <w:t>, CoReH2</w:t>
      </w:r>
      <w:r>
        <w:t>O</w:t>
      </w:r>
      <w:r w:rsidRPr="003B0C90">
        <w:t xml:space="preserve"> provided the impetus for both technical </w:t>
      </w:r>
      <w:r>
        <w:t>study on instrument design (</w:t>
      </w:r>
      <w:r w:rsidRPr="003B0C90">
        <w:t>Rott et al., 2010</w:t>
      </w:r>
      <w:r>
        <w:t>)</w:t>
      </w:r>
      <w:r w:rsidRPr="003B0C90">
        <w:t xml:space="preserve">, and </w:t>
      </w:r>
      <w:r>
        <w:t xml:space="preserve">applied </w:t>
      </w:r>
      <w:r w:rsidRPr="003B0C90">
        <w:t>algorithm development</w:t>
      </w:r>
      <w:r>
        <w:t xml:space="preserve"> (Chang et al., 2014; King et al., 2015; Lin et al., 2016)</w:t>
      </w:r>
      <w:r w:rsidRPr="003B0C90">
        <w:t>.</w:t>
      </w:r>
    </w:p>
    <w:p w:rsidR="00F94DDB" w:rsidRDefault="00F94DDB" w:rsidP="00F94DDB">
      <w:pPr>
        <w:spacing w:line="480" w:lineRule="auto"/>
      </w:pPr>
      <w:r w:rsidRPr="00D023FC">
        <w:t>Although the theoretical response of radar</w:t>
      </w:r>
      <w:r>
        <w:t xml:space="preserve"> </w:t>
      </w:r>
      <w:r w:rsidRPr="00D023FC">
        <w:t>is well docume</w:t>
      </w:r>
      <w:r>
        <w:t>nted (Ulaby and Stiles, 1980),</w:t>
      </w:r>
      <w:r w:rsidRPr="00D023FC">
        <w:t xml:space="preserve"> the</w:t>
      </w:r>
      <w:r>
        <w:t xml:space="preserve"> observed</w:t>
      </w:r>
      <w:r w:rsidRPr="00D023FC">
        <w:t xml:space="preserve"> relationship</w:t>
      </w:r>
      <w:r>
        <w:t xml:space="preserve"> between backscatter and SWE</w:t>
      </w:r>
      <w:r w:rsidRPr="00D023FC">
        <w:t>, much like i</w:t>
      </w:r>
      <w:r>
        <w:t xml:space="preserve">n the passive case, is </w:t>
      </w:r>
      <w:r w:rsidRPr="00D023FC">
        <w:t>indirect</w:t>
      </w:r>
      <w:r>
        <w:t xml:space="preserve"> due to the strong influence of snow microstructure and basal surface interactions</w:t>
      </w:r>
      <w:r w:rsidRPr="00D023FC">
        <w:t xml:space="preserve">. The response </w:t>
      </w:r>
      <w:r>
        <w:t>of two snowpacks</w:t>
      </w:r>
      <w:r w:rsidRPr="00D023FC">
        <w:t xml:space="preserve"> with the same </w:t>
      </w:r>
      <w:r>
        <w:t xml:space="preserve">SWE, but differing stratigraphic </w:t>
      </w:r>
      <w:r w:rsidRPr="00D023FC">
        <w:t>composition (for example, predominantly rounded grains typical of taiga snow; faceted grains typical of tundra snow)</w:t>
      </w:r>
      <w:r>
        <w:t>,</w:t>
      </w:r>
      <w:r w:rsidRPr="00D023FC">
        <w:t xml:space="preserve"> </w:t>
      </w:r>
      <w:r>
        <w:t>can produce</w:t>
      </w:r>
      <w:r w:rsidRPr="00D023FC">
        <w:t xml:space="preserve"> </w:t>
      </w:r>
      <w:r>
        <w:t>contrasting volumetric interactions, governed in part by the nonlinear relationship amongst observing wavelength, microstructure, and backscatter</w:t>
      </w:r>
      <w:r w:rsidRPr="00D023FC">
        <w:t xml:space="preserve">. </w:t>
      </w:r>
      <w:r>
        <w:t xml:space="preserve">The use of traditional </w:t>
      </w:r>
      <w:r w:rsidRPr="003B0C90">
        <w:t xml:space="preserve">grain size (i.e. Fierz et al., 2009) </w:t>
      </w:r>
      <w:r>
        <w:t>to address this uncertainty has</w:t>
      </w:r>
      <w:r w:rsidRPr="003B0C90">
        <w:t xml:space="preserve"> </w:t>
      </w:r>
      <w:r>
        <w:t xml:space="preserve">clear </w:t>
      </w:r>
      <w:r w:rsidRPr="003B0C90">
        <w:t>limitations, both in the level of confidence that can be placed in</w:t>
      </w:r>
      <w:r>
        <w:t xml:space="preserve"> the </w:t>
      </w:r>
      <w:r w:rsidRPr="003B0C90">
        <w:t xml:space="preserve">subjective values, and </w:t>
      </w:r>
      <w:r>
        <w:t xml:space="preserve">their </w:t>
      </w:r>
      <w:r w:rsidRPr="003B0C90">
        <w:t>applicability in microwave modeling</w:t>
      </w:r>
      <w:r>
        <w:t xml:space="preserve"> (Durand et al., 2008; Löwe and Picard, 2015)</w:t>
      </w:r>
      <w:r w:rsidRPr="003B0C90">
        <w:t>. Instead, specific surface area (SSA; Domine et al., 2007) and correlation length (</w:t>
      </w:r>
      <w:r w:rsidRPr="00E06DC2">
        <w:rPr>
          <w:rFonts w:eastAsia="MS Mincho"/>
        </w:rPr>
        <w:t>Mätzler</w:t>
      </w:r>
      <w:r w:rsidRPr="003B0C90">
        <w:t xml:space="preserve">, 2002) </w:t>
      </w:r>
      <w:r>
        <w:t>represent</w:t>
      </w:r>
      <w:r w:rsidRPr="003B0C90">
        <w:t xml:space="preserve"> metrics </w:t>
      </w:r>
      <w:r>
        <w:t>that</w:t>
      </w:r>
      <w:r w:rsidRPr="003B0C90">
        <w:t xml:space="preserve"> can</w:t>
      </w:r>
      <w:r>
        <w:t xml:space="preserve"> </w:t>
      </w:r>
      <w:r w:rsidRPr="003B0C90">
        <w:t xml:space="preserve">be </w:t>
      </w:r>
      <w:r>
        <w:t>robustly</w:t>
      </w:r>
      <w:r w:rsidRPr="003B0C90">
        <w:t xml:space="preserve"> </w:t>
      </w:r>
      <w:r>
        <w:t xml:space="preserve">estimated in the field (Gallet et al., 2009; </w:t>
      </w:r>
      <w:r w:rsidRPr="000E2E4A">
        <w:t>Montpetit</w:t>
      </w:r>
      <w:r>
        <w:t xml:space="preserve"> et. al., 2012; Proksch et al., 2015a), and applied in models to study snow-microwave interactions (Roy et al., 2013; Kontu et al.</w:t>
      </w:r>
      <w:r w:rsidR="00FA01D5">
        <w:t>, 2017; Sandells et al., 2017).</w:t>
      </w:r>
    </w:p>
    <w:p w:rsidR="00F94DDB" w:rsidRDefault="00F94DDB" w:rsidP="00F94DDB">
      <w:pPr>
        <w:spacing w:line="480" w:lineRule="auto"/>
      </w:pPr>
      <w:r>
        <w:t>The use of airborne radar to determine first order sensitivity to SWE across basin domains remains relatively une</w:t>
      </w:r>
      <w:r w:rsidR="00665193">
        <w:t>xplored (see Yueh et al., 2009),</w:t>
      </w:r>
      <w:r>
        <w:t xml:space="preserve"> with much of the recent focus given to plot-scale </w:t>
      </w:r>
      <w:r w:rsidR="004C0B96">
        <w:t>experiments</w:t>
      </w:r>
      <w:r>
        <w:t xml:space="preserve"> (see King et al., 2015; Lemmetyinen et al, 2016; Lin et al., 2016). In this study, we introduce airborne dual-frequency (9.6 and 17.2 GHz) synthetic aperture radar (SAR) acquired with the ESA SnowSAR instrument within the Trail Valley Creek (TVC) research basin. The SnowSAR measurements are used to demonstrate backscatter diversity across a snow-covered tundra environment during a period corresponding closely with peak SWE. Concurrent in situ snow measurements, including objective estimates of microstructure, are used to identify and decompose backscatter contributions. We apply the Microwave Emission Model of Layered Snowpacks adapted to include backscattering (MEMLS3&amp;a; referred to as MEMLS; Proksch et al., 2015b) to simulate perceived influences using field-based parametrizations.</w:t>
      </w:r>
      <w:r w:rsidR="00FA01D5">
        <w:t xml:space="preserve"> Extensive airborne lidar measurements facilitate spatial extrapolation of the snowpack and model analysis. </w:t>
      </w:r>
      <w:r>
        <w:t xml:space="preserve"> The specific objectives of the study were to:</w:t>
      </w:r>
    </w:p>
    <w:p w:rsidR="00760E0F" w:rsidRDefault="00F94DDB" w:rsidP="00760E0F">
      <w:pPr>
        <w:pStyle w:val="ListParagraph"/>
        <w:numPr>
          <w:ilvl w:val="0"/>
          <w:numId w:val="1"/>
        </w:numPr>
        <w:spacing w:line="480" w:lineRule="auto"/>
      </w:pPr>
      <w:r>
        <w:t>Introduce co-located snow property and airborne SAR (9.6 and 17.2 GHz)</w:t>
      </w:r>
      <w:r w:rsidR="00430EAC">
        <w:t xml:space="preserve"> measurements</w:t>
      </w:r>
      <w:r>
        <w:t xml:space="preserve"> to characterize spatial variability and discuss geophysical attribution.</w:t>
      </w:r>
    </w:p>
    <w:p w:rsidR="00760E0F" w:rsidRDefault="00F94DDB" w:rsidP="00760E0F">
      <w:pPr>
        <w:pStyle w:val="ListParagraph"/>
        <w:numPr>
          <w:ilvl w:val="0"/>
          <w:numId w:val="1"/>
        </w:numPr>
        <w:spacing w:line="480" w:lineRule="auto"/>
      </w:pPr>
      <w:r>
        <w:t>Parametrize MEMLS using in situ measured snow properties to evaluate forward skill against SnowSAR backscatter and optimize inputs to improve modeled results.</w:t>
      </w:r>
    </w:p>
    <w:p w:rsidR="00F94DDB" w:rsidRDefault="00F94DDB" w:rsidP="00F94DDB">
      <w:pPr>
        <w:pStyle w:val="ListParagraph"/>
        <w:numPr>
          <w:ilvl w:val="0"/>
          <w:numId w:val="1"/>
        </w:numPr>
        <w:spacing w:line="480" w:lineRule="auto"/>
      </w:pPr>
      <w:r>
        <w:t>Characterize</w:t>
      </w:r>
      <w:r w:rsidR="003319C5">
        <w:t xml:space="preserve"> </w:t>
      </w:r>
      <w:r>
        <w:t xml:space="preserve">SnowSAR and MEMLS sensitivity to </w:t>
      </w:r>
      <w:r w:rsidR="00760E0F">
        <w:t>observed variations in</w:t>
      </w:r>
      <w:r w:rsidR="00430EAC">
        <w:t xml:space="preserve"> </w:t>
      </w:r>
      <w:r w:rsidR="003C7BC7">
        <w:t xml:space="preserve">microstructure </w:t>
      </w:r>
      <w:r>
        <w:t>and discuss implications for future radar retrieval development.</w:t>
      </w:r>
    </w:p>
    <w:p w:rsidR="00F94DDB" w:rsidRDefault="00F94DDB" w:rsidP="00F94DDB">
      <w:pPr>
        <w:pStyle w:val="Heading1"/>
        <w:jc w:val="left"/>
        <w:rPr>
          <w:color w:val="auto"/>
          <w:szCs w:val="22"/>
        </w:rPr>
      </w:pPr>
      <w:r>
        <w:rPr>
          <w:color w:val="auto"/>
          <w:szCs w:val="22"/>
        </w:rPr>
        <w:t>2</w:t>
      </w:r>
      <w:r w:rsidRPr="00196423">
        <w:rPr>
          <w:color w:val="auto"/>
          <w:szCs w:val="22"/>
        </w:rPr>
        <w:t>. D</w:t>
      </w:r>
      <w:r>
        <w:rPr>
          <w:color w:val="auto"/>
          <w:szCs w:val="22"/>
        </w:rPr>
        <w:t>ata and methods</w:t>
      </w:r>
    </w:p>
    <w:p w:rsidR="00F94DDB" w:rsidRPr="00D204BD" w:rsidRDefault="00F94DDB" w:rsidP="00F94DDB">
      <w:pPr>
        <w:pStyle w:val="MDPI22heading2"/>
        <w:spacing w:line="360" w:lineRule="auto"/>
      </w:pPr>
      <w:r>
        <w:t>2</w:t>
      </w:r>
      <w:r w:rsidRPr="0069154B">
        <w:t xml:space="preserve">.1. </w:t>
      </w:r>
      <w:r>
        <w:t>Measurement area</w:t>
      </w:r>
    </w:p>
    <w:p w:rsidR="00F94DDB" w:rsidRDefault="00F94DDB" w:rsidP="00F94DDB">
      <w:pPr>
        <w:spacing w:line="480" w:lineRule="auto"/>
      </w:pPr>
      <w:r w:rsidRPr="00F34C44">
        <w:t>Located 50 km north</w:t>
      </w:r>
      <w:r>
        <w:t>east</w:t>
      </w:r>
      <w:r w:rsidRPr="00F34C44">
        <w:t xml:space="preserve"> of</w:t>
      </w:r>
      <w:r>
        <w:t xml:space="preserve"> Inuvik, Northwest Territories</w:t>
      </w:r>
      <w:r w:rsidRPr="00F34C44">
        <w:t>,</w:t>
      </w:r>
      <w:r>
        <w:t xml:space="preserve"> Canada,</w:t>
      </w:r>
      <w:r w:rsidRPr="00F34C44">
        <w:t xml:space="preserve"> </w:t>
      </w:r>
      <w:r>
        <w:t xml:space="preserve">the </w:t>
      </w:r>
      <w:r w:rsidRPr="00F34C44">
        <w:t>TVC</w:t>
      </w:r>
      <w:r>
        <w:t xml:space="preserve"> research basin sits at the southern</w:t>
      </w:r>
      <w:r w:rsidRPr="00F34C44">
        <w:t xml:space="preserve"> edge of the </w:t>
      </w:r>
      <w:r>
        <w:t xml:space="preserve">Arctic tundra </w:t>
      </w:r>
      <w:r w:rsidRPr="00F34C44">
        <w:t>(68</w:t>
      </w:r>
      <w:r>
        <w:rPr>
          <w:rStyle w:val="tgc"/>
        </w:rPr>
        <w:t>°</w:t>
      </w:r>
      <w:r w:rsidRPr="00F34C44">
        <w:t>45'N, 133</w:t>
      </w:r>
      <w:r>
        <w:rPr>
          <w:rStyle w:val="tgc"/>
        </w:rPr>
        <w:t>°</w:t>
      </w:r>
      <w:r>
        <w:t>39'</w:t>
      </w:r>
      <w:r w:rsidRPr="00F34C44">
        <w:t>W)</w:t>
      </w:r>
      <w:r>
        <w:t xml:space="preserve">. Airborne and in situ measurements discussed as part of this study were collected within the primary 57 </w:t>
      </w:r>
      <w:r w:rsidRPr="00D204BD">
        <w:t>km</w:t>
      </w:r>
      <w:r w:rsidRPr="00D204BD">
        <w:rPr>
          <w:vertAlign w:val="superscript"/>
        </w:rPr>
        <w:t>2</w:t>
      </w:r>
      <w:r>
        <w:t xml:space="preserve"> basin, as well as in an adjacent subcatchment known as SikSik Creek between April 5 and April 13, 2013. </w:t>
      </w:r>
      <w:r w:rsidRPr="00F34C44">
        <w:t xml:space="preserve">Land cover </w:t>
      </w:r>
      <w:r>
        <w:t>in</w:t>
      </w:r>
      <w:r w:rsidRPr="00F34C44">
        <w:t xml:space="preserve"> the </w:t>
      </w:r>
      <w:r>
        <w:t>study area</w:t>
      </w:r>
      <w:r w:rsidRPr="00F34C44">
        <w:t xml:space="preserve"> is </w:t>
      </w:r>
      <w:r>
        <w:t xml:space="preserve">predominantly </w:t>
      </w:r>
      <w:r w:rsidRPr="0061394D">
        <w:t xml:space="preserve">graminoid </w:t>
      </w:r>
      <w:r>
        <w:t>tundra (62</w:t>
      </w:r>
      <w:r w:rsidRPr="00F34C44">
        <w:t>% of total coverage</w:t>
      </w:r>
      <w:r>
        <w:t xml:space="preserve">) </w:t>
      </w:r>
      <w:r w:rsidRPr="00F34C44">
        <w:t xml:space="preserve">with </w:t>
      </w:r>
      <w:r>
        <w:t>patches of willow or alder shrub (25%) and isolated black spruce stands (12%)</w:t>
      </w:r>
      <w:r w:rsidRPr="00F34C44">
        <w:t xml:space="preserve">. </w:t>
      </w:r>
      <w:r w:rsidR="00760E0F">
        <w:t>F</w:t>
      </w:r>
      <w:r>
        <w:t>igure 1</w:t>
      </w:r>
      <w:r w:rsidR="00430EAC">
        <w:t>A</w:t>
      </w:r>
      <w:r>
        <w:t xml:space="preserve"> identifies regions of the latter two features, where shrub tundra contains standing vegetation 50 to 125 cm in height and forests are in excess of 300 cm (Marsh et al., 2010). The remaining open areas are characterized by short or ground covering vegetation (&lt;50 cm in height), mineral earth hummocks, and rolling topography. </w:t>
      </w:r>
    </w:p>
    <w:p w:rsidR="00B33034" w:rsidRDefault="009531B0" w:rsidP="002D147F">
      <w:pPr>
        <w:spacing w:line="480" w:lineRule="auto"/>
        <w:jc w:val="center"/>
      </w:pPr>
      <w:r>
        <w:rPr>
          <w:noProof/>
          <w:lang w:val="en-GB" w:eastAsia="en-GB"/>
        </w:rPr>
        <w:drawing>
          <wp:inline distT="0" distB="0" distL="0" distR="0">
            <wp:extent cx="5191200" cy="4320000"/>
            <wp:effectExtent l="0" t="0" r="0" b="4445"/>
            <wp:docPr id="5" name="Picture 5" descr="C:\Users\kingj\Documents\Papers\Authored\King_RSE_2016\Resubmit\Figures\Figure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j\Documents\Papers\Authored\King_RSE_2016\Resubmit\Figures\Figure_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1200" cy="4320000"/>
                    </a:xfrm>
                    <a:prstGeom prst="rect">
                      <a:avLst/>
                    </a:prstGeom>
                    <a:noFill/>
                    <a:ln>
                      <a:noFill/>
                    </a:ln>
                  </pic:spPr>
                </pic:pic>
              </a:graphicData>
            </a:graphic>
          </wp:inline>
        </w:drawing>
      </w:r>
    </w:p>
    <w:p w:rsidR="00F94DDB" w:rsidRDefault="00F94DDB" w:rsidP="00E74C28">
      <w:pPr>
        <w:pStyle w:val="Caption"/>
        <w:spacing w:line="360" w:lineRule="auto"/>
        <w:rPr>
          <w:color w:val="auto"/>
        </w:rPr>
      </w:pPr>
      <w:bookmarkStart w:id="1" w:name="_Ref478824471"/>
      <w:r w:rsidRPr="0080762F">
        <w:rPr>
          <w:color w:val="auto"/>
        </w:rPr>
        <w:t xml:space="preserve">Figure </w:t>
      </w:r>
      <w:r>
        <w:rPr>
          <w:noProof/>
          <w:color w:val="auto"/>
        </w:rPr>
        <w:t>1</w:t>
      </w:r>
      <w:bookmarkEnd w:id="1"/>
      <w:r w:rsidRPr="0080762F">
        <w:rPr>
          <w:color w:val="auto"/>
        </w:rPr>
        <w:t xml:space="preserve">: Overview of </w:t>
      </w:r>
      <w:r>
        <w:rPr>
          <w:color w:val="auto"/>
        </w:rPr>
        <w:t>the Trail Valley Creek (TVC) research basin with vegetation (A) and SnowSAR 17.2 GHz VV backscatter overlaid (B). Boundaries of the Upland tundra (UT) and SikSik (SS) study sites are outlined in red. The higher elevation UT site was generally free of shrub or forest vegetation while SS contains discontinuous open coverage and a range of vegetated features.</w:t>
      </w:r>
    </w:p>
    <w:p w:rsidR="00F94DDB" w:rsidRPr="00F94DDB" w:rsidRDefault="00F94DDB" w:rsidP="00F94DDB">
      <w:pPr>
        <w:spacing w:line="480" w:lineRule="auto"/>
      </w:pPr>
      <w:r w:rsidRPr="00450A99">
        <w:t>In situ s</w:t>
      </w:r>
      <w:r w:rsidRPr="0092379E">
        <w:t xml:space="preserve">ampling was focused </w:t>
      </w:r>
      <w:r w:rsidR="00E9769A">
        <w:t>in</w:t>
      </w:r>
      <w:r w:rsidRPr="0092379E">
        <w:t xml:space="preserve"> two areas, identified as SikSik (SS; 9.0 km</w:t>
      </w:r>
      <w:r w:rsidRPr="0092379E">
        <w:rPr>
          <w:vertAlign w:val="superscript"/>
        </w:rPr>
        <w:t>2</w:t>
      </w:r>
      <w:r w:rsidRPr="0092379E">
        <w:t>) and Upland Tundra (UT; 2.7 km</w:t>
      </w:r>
      <w:r w:rsidRPr="0092379E">
        <w:rPr>
          <w:vertAlign w:val="superscript"/>
        </w:rPr>
        <w:t>2</w:t>
      </w:r>
      <w:r w:rsidRPr="0092379E">
        <w:t xml:space="preserve">) in Figure 1. </w:t>
      </w:r>
      <w:r w:rsidRPr="00450A99">
        <w:t>The larger SS site contained a diverse set of sub-basin elements including rolling tundra to the north, a transecting vall</w:t>
      </w:r>
      <w:r w:rsidR="00430EAC">
        <w:t>ey, and isolated forest stands</w:t>
      </w:r>
      <w:r w:rsidRPr="00450A99">
        <w:t>. As in the larger TVC domain, substantial portions were free of tall vegetation (65.2%, 5.9 km</w:t>
      </w:r>
      <w:r w:rsidRPr="00450A99">
        <w:rPr>
          <w:vertAlign w:val="superscript"/>
        </w:rPr>
        <w:t>2</w:t>
      </w:r>
      <w:r w:rsidRPr="00450A99">
        <w:t>) with small clusters of shrub tundra (26.8%, 2.4 km</w:t>
      </w:r>
      <w:r w:rsidRPr="00450A99">
        <w:rPr>
          <w:vertAlign w:val="superscript"/>
        </w:rPr>
        <w:t>2</w:t>
      </w:r>
      <w:r w:rsidRPr="00450A99">
        <w:t>), and isolated black spruce (8.0%, 0.7 km</w:t>
      </w:r>
      <w:r w:rsidRPr="00450A99">
        <w:rPr>
          <w:vertAlign w:val="superscript"/>
        </w:rPr>
        <w:t>2</w:t>
      </w:r>
      <w:r w:rsidRPr="00450A99">
        <w:t xml:space="preserve">). </w:t>
      </w:r>
      <w:r w:rsidRPr="00450A99">
        <w:rPr>
          <w:rStyle w:val="st"/>
        </w:rPr>
        <w:t xml:space="preserve">In contrast, the smaller UT site was homogeneous, sitting atop a windswept plateau </w:t>
      </w:r>
      <w:r w:rsidRPr="00450A99">
        <w:t>(146</w:t>
      </w:r>
      <w:r w:rsidRPr="00450A99">
        <w:rPr>
          <w:rStyle w:val="tgc"/>
        </w:rPr>
        <w:t>±6.0</w:t>
      </w:r>
      <w:r w:rsidRPr="00450A99">
        <w:t xml:space="preserve"> mASL) </w:t>
      </w:r>
      <w:r w:rsidRPr="00450A99">
        <w:rPr>
          <w:rStyle w:val="st"/>
        </w:rPr>
        <w:t xml:space="preserve">composed of flat </w:t>
      </w:r>
      <w:r w:rsidRPr="00450A99">
        <w:t>(1.3</w:t>
      </w:r>
      <w:r w:rsidRPr="00450A99">
        <w:rPr>
          <w:rStyle w:val="tgc"/>
        </w:rPr>
        <w:t>±1.0°)</w:t>
      </w:r>
      <w:r w:rsidR="003319C5">
        <w:rPr>
          <w:rStyle w:val="tgc"/>
        </w:rPr>
        <w:t xml:space="preserve"> and</w:t>
      </w:r>
      <w:r w:rsidRPr="00450A99">
        <w:rPr>
          <w:rStyle w:val="tgc"/>
        </w:rPr>
        <w:t xml:space="preserve"> </w:t>
      </w:r>
      <w:r w:rsidRPr="00450A99">
        <w:rPr>
          <w:rStyle w:val="st"/>
        </w:rPr>
        <w:t xml:space="preserve">open terrain (97%, 2.7 </w:t>
      </w:r>
      <w:r w:rsidRPr="00450A99">
        <w:t>km</w:t>
      </w:r>
      <w:r w:rsidRPr="00450A99">
        <w:rPr>
          <w:vertAlign w:val="superscript"/>
        </w:rPr>
        <w:t>2</w:t>
      </w:r>
      <w:r w:rsidRPr="00450A99">
        <w:t>).</w:t>
      </w:r>
      <w:r>
        <w:t xml:space="preserve"> Although no vegetation was visible above the snow surface, shrubs were </w:t>
      </w:r>
      <w:r w:rsidR="004C0B96">
        <w:t>known</w:t>
      </w:r>
      <w:r>
        <w:t xml:space="preserve"> to be present in isolated quantities based on previous surveys.</w:t>
      </w:r>
    </w:p>
    <w:p w:rsidR="00F94DDB" w:rsidRDefault="00F94DDB" w:rsidP="00F94DDB">
      <w:pPr>
        <w:spacing w:line="480" w:lineRule="auto"/>
      </w:pPr>
      <w:r w:rsidRPr="0092379E">
        <w:t xml:space="preserve">Conditions throughout the study were consistent, with cold air temperatures (-20.9±5.3°C) and trace precipitation recorded at local meteorological stations. Typical of a wind-exposed environment, accumulated snow is shallow across much of the basin (&lt;50 cm), with deeper areas associated with topography or </w:t>
      </w:r>
      <w:r w:rsidR="004C0B96">
        <w:t>vegetation</w:t>
      </w:r>
      <w:r w:rsidRPr="0092379E">
        <w:t xml:space="preserve"> where redistributed snow is </w:t>
      </w:r>
      <w:r w:rsidR="004C0B96" w:rsidRPr="0092379E">
        <w:t xml:space="preserve">deposited </w:t>
      </w:r>
      <w:r w:rsidRPr="0092379E">
        <w:t xml:space="preserve">as </w:t>
      </w:r>
      <w:r w:rsidR="004C0B96">
        <w:t xml:space="preserve">substantial </w:t>
      </w:r>
      <w:r w:rsidRPr="0092379E">
        <w:t xml:space="preserve">drifts (Essery et al., 2004). </w:t>
      </w:r>
      <w:r w:rsidRPr="00ED15C3">
        <w:t>Observed wind speeds</w:t>
      </w:r>
      <w:r>
        <w:t xml:space="preserve"> </w:t>
      </w:r>
      <w:r w:rsidR="004C0B96">
        <w:t>within</w:t>
      </w:r>
      <w:r w:rsidR="001A5D06">
        <w:t xml:space="preserve"> the basin </w:t>
      </w:r>
      <w:r w:rsidRPr="00ED15C3">
        <w:t>were on average 6.6 ms</w:t>
      </w:r>
      <w:r w:rsidRPr="00ED15C3">
        <w:rPr>
          <w:vertAlign w:val="superscript"/>
        </w:rPr>
        <w:t>-1</w:t>
      </w:r>
      <w:r w:rsidRPr="00ED15C3">
        <w:t xml:space="preserve">, sufficient to support sustained </w:t>
      </w:r>
      <w:r w:rsidR="003319C5">
        <w:t>transport</w:t>
      </w:r>
      <w:r w:rsidRPr="00ED15C3">
        <w:t xml:space="preserve"> and subsequent drift development.</w:t>
      </w:r>
      <w:r w:rsidR="004C0B96">
        <w:t xml:space="preserve"> In previous years, snow drifts have been </w:t>
      </w:r>
      <w:r w:rsidR="004C0B96" w:rsidRPr="00ED15C3">
        <w:t>estimated to occupy as much as 17% of the bas</w:t>
      </w:r>
      <w:r w:rsidR="00584B1A">
        <w:t xml:space="preserve">in, representing a considerable </w:t>
      </w:r>
      <w:r w:rsidR="004C0B96" w:rsidRPr="00ED15C3">
        <w:t>storage of</w:t>
      </w:r>
      <w:r w:rsidR="004C0B96" w:rsidRPr="00FB3569">
        <w:t xml:space="preserve"> freshwater (Marsh et al., 1994, 2010).</w:t>
      </w:r>
    </w:p>
    <w:p w:rsidR="00104890" w:rsidRPr="0069154B" w:rsidRDefault="00104890" w:rsidP="00104890">
      <w:pPr>
        <w:pStyle w:val="MDPI22heading2"/>
        <w:spacing w:line="360" w:lineRule="auto"/>
      </w:pPr>
      <w:r>
        <w:t>2</w:t>
      </w:r>
      <w:r w:rsidRPr="0069154B">
        <w:t>.</w:t>
      </w:r>
      <w:r>
        <w:t>2</w:t>
      </w:r>
      <w:r w:rsidRPr="0069154B">
        <w:t xml:space="preserve">. </w:t>
      </w:r>
      <w:r>
        <w:t>In situ snow property measurements</w:t>
      </w:r>
    </w:p>
    <w:p w:rsidR="00104890" w:rsidRDefault="00104890" w:rsidP="00104890">
      <w:pPr>
        <w:spacing w:line="480" w:lineRule="auto"/>
      </w:pPr>
      <w:r w:rsidRPr="0069154B">
        <w:t xml:space="preserve">To establish an understanding of spatial </w:t>
      </w:r>
      <w:r>
        <w:t xml:space="preserve">variability in the tundra snow properties, </w:t>
      </w:r>
      <w:r w:rsidRPr="0069154B">
        <w:t xml:space="preserve">a distributed set of </w:t>
      </w:r>
      <w:r>
        <w:t xml:space="preserve">transect and pit-based </w:t>
      </w:r>
      <w:r w:rsidRPr="0069154B">
        <w:t xml:space="preserve">measurements were </w:t>
      </w:r>
      <w:r>
        <w:t>completed</w:t>
      </w:r>
      <w:r w:rsidRPr="0069154B">
        <w:t xml:space="preserve">. </w:t>
      </w:r>
      <w:r w:rsidRPr="00B778B4">
        <w:t xml:space="preserve">Bulk </w:t>
      </w:r>
      <w:r>
        <w:t xml:space="preserve">(i.e. vertically integrated) snow properties </w:t>
      </w:r>
      <w:r w:rsidRPr="0008049D">
        <w:t>including</w:t>
      </w:r>
      <w:r>
        <w:t xml:space="preserve"> depth</w:t>
      </w:r>
      <w:r w:rsidRPr="0008049D">
        <w:t xml:space="preserve">, density, and water equivalent were </w:t>
      </w:r>
      <w:r>
        <w:t>sampled at both sites to produce a reference dataset (Figure 2)</w:t>
      </w:r>
      <w:r w:rsidRPr="0008049D">
        <w:t xml:space="preserve">. </w:t>
      </w:r>
      <w:r>
        <w:t>Geo-located</w:t>
      </w:r>
      <w:r w:rsidRPr="0008049D">
        <w:t xml:space="preserve"> measurements of </w:t>
      </w:r>
      <w:r>
        <w:t>snow depth</w:t>
      </w:r>
      <w:r w:rsidRPr="0008049D">
        <w:t xml:space="preserve"> were </w:t>
      </w:r>
      <w:r>
        <w:t>made</w:t>
      </w:r>
      <w:r w:rsidRPr="0008049D">
        <w:t xml:space="preserve"> </w:t>
      </w:r>
      <w:r>
        <w:t xml:space="preserve">with Snow-Hydro GPS Snow Depth Probes (Sturm and Holmgren, 1999) along </w:t>
      </w:r>
      <w:r w:rsidRPr="0052196E">
        <w:t>multi</w:t>
      </w:r>
      <w:r>
        <w:t xml:space="preserve">-kilometer </w:t>
      </w:r>
      <w:r w:rsidRPr="0008049D">
        <w:t>linear transects</w:t>
      </w:r>
      <w:r>
        <w:t>. Individual depth measurements were s</w:t>
      </w:r>
      <w:r w:rsidRPr="0008049D">
        <w:t xml:space="preserve">eparated by </w:t>
      </w:r>
      <w:r>
        <w:t>2</w:t>
      </w:r>
      <w:r w:rsidRPr="0008049D">
        <w:t xml:space="preserve"> </w:t>
      </w:r>
      <w:r>
        <w:t xml:space="preserve">operator paces, roughly equating to a sampling interval of 3 m. </w:t>
      </w:r>
      <w:r w:rsidRPr="0008049D">
        <w:t xml:space="preserve">In total, </w:t>
      </w:r>
      <w:r>
        <w:t>15,436 measurements</w:t>
      </w:r>
      <w:r w:rsidRPr="0008049D">
        <w:t xml:space="preserve"> were collected</w:t>
      </w:r>
      <w:r>
        <w:t xml:space="preserve">, covering an approximate distance </w:t>
      </w:r>
      <w:r w:rsidRPr="0008049D">
        <w:t>of 25 km.</w:t>
      </w:r>
      <w:r>
        <w:t xml:space="preserve"> Along the same transects,</w:t>
      </w:r>
      <w:r w:rsidRPr="00FB50AA">
        <w:t xml:space="preserve"> </w:t>
      </w:r>
      <w:r>
        <w:t>347</w:t>
      </w:r>
      <w:r w:rsidRPr="00FB50AA">
        <w:t xml:space="preserve"> </w:t>
      </w:r>
      <w:r>
        <w:t xml:space="preserve">snow cores </w:t>
      </w:r>
      <w:r w:rsidRPr="00FB50AA">
        <w:t xml:space="preserve">were </w:t>
      </w:r>
      <w:r>
        <w:t>extracted u</w:t>
      </w:r>
      <w:r w:rsidRPr="00FB50AA">
        <w:t>sing a 30</w:t>
      </w:r>
      <w:r>
        <w:t>-</w:t>
      </w:r>
      <w:r w:rsidRPr="00FB50AA">
        <w:t>cm</w:t>
      </w:r>
      <w:r w:rsidRPr="00B778B4">
        <w:rPr>
          <w:vertAlign w:val="superscript"/>
        </w:rPr>
        <w:t>2</w:t>
      </w:r>
      <w:r>
        <w:t xml:space="preserve"> </w:t>
      </w:r>
      <w:r w:rsidRPr="00FB50AA">
        <w:t xml:space="preserve">corer, commonly </w:t>
      </w:r>
      <w:r>
        <w:t>known</w:t>
      </w:r>
      <w:r w:rsidRPr="00FB50AA">
        <w:t xml:space="preserve"> as the ESC-30</w:t>
      </w:r>
      <w:r>
        <w:t>,</w:t>
      </w:r>
      <w:r w:rsidRPr="00FB50AA">
        <w:t xml:space="preserve"> </w:t>
      </w:r>
      <w:r>
        <w:t>to estimate bulk</w:t>
      </w:r>
      <w:r w:rsidRPr="00FB50AA">
        <w:t xml:space="preserve"> </w:t>
      </w:r>
      <w:r>
        <w:t>density and SWE</w:t>
      </w:r>
      <w:r w:rsidRPr="00FB50AA">
        <w:t xml:space="preserve">. </w:t>
      </w:r>
      <w:r>
        <w:t>The s</w:t>
      </w:r>
      <w:r w:rsidRPr="00FB50AA">
        <w:t xml:space="preserve">lower-to-complete </w:t>
      </w:r>
      <w:r>
        <w:t>snow</w:t>
      </w:r>
      <w:r w:rsidRPr="00FB50AA">
        <w:t xml:space="preserve"> </w:t>
      </w:r>
      <w:r>
        <w:t>cores</w:t>
      </w:r>
      <w:r w:rsidRPr="00FB50AA">
        <w:t xml:space="preserve"> </w:t>
      </w:r>
      <w:r>
        <w:t>were</w:t>
      </w:r>
      <w:r w:rsidRPr="00FB50AA">
        <w:t xml:space="preserve"> spaced at a broad interval of </w:t>
      </w:r>
      <w:r>
        <w:t>200</w:t>
      </w:r>
      <w:r w:rsidRPr="00FB50AA">
        <w:t xml:space="preserve"> m in the interest of creating comparable coverage with the </w:t>
      </w:r>
      <w:r>
        <w:t>reference snow depths</w:t>
      </w:r>
      <w:r>
        <w:rPr>
          <w:rStyle w:val="CommentReference"/>
        </w:rPr>
        <w:t>.</w:t>
      </w:r>
    </w:p>
    <w:p w:rsidR="00E9769A" w:rsidRDefault="009531B0" w:rsidP="009531B0">
      <w:pPr>
        <w:pStyle w:val="Caption"/>
        <w:spacing w:line="360" w:lineRule="auto"/>
        <w:jc w:val="center"/>
        <w:rPr>
          <w:color w:val="auto"/>
        </w:rPr>
      </w:pPr>
      <w:r>
        <w:rPr>
          <w:noProof/>
          <w:lang w:val="en-GB" w:eastAsia="en-GB"/>
        </w:rPr>
        <w:drawing>
          <wp:inline distT="0" distB="0" distL="0" distR="0">
            <wp:extent cx="3960000" cy="3240000"/>
            <wp:effectExtent l="0" t="0" r="2540" b="0"/>
            <wp:docPr id="6" name="Picture 6" descr="C:\Users\kingj\Documents\Papers\Authored\King_RSE_2016\Resubmit\Figures\Figure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ngj\Documents\Papers\Authored\King_RSE_2016\Resubmit\Figures\Figure_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0000" cy="3240000"/>
                    </a:xfrm>
                    <a:prstGeom prst="rect">
                      <a:avLst/>
                    </a:prstGeom>
                    <a:noFill/>
                    <a:ln>
                      <a:noFill/>
                    </a:ln>
                  </pic:spPr>
                </pic:pic>
              </a:graphicData>
            </a:graphic>
          </wp:inline>
        </w:drawing>
      </w:r>
    </w:p>
    <w:p w:rsidR="00104890" w:rsidRDefault="00104890" w:rsidP="00E74C28">
      <w:pPr>
        <w:pStyle w:val="Caption"/>
        <w:spacing w:line="360" w:lineRule="auto"/>
        <w:rPr>
          <w:color w:val="auto"/>
        </w:rPr>
      </w:pPr>
      <w:r w:rsidRPr="0080762F">
        <w:rPr>
          <w:color w:val="auto"/>
        </w:rPr>
        <w:t xml:space="preserve">Figure </w:t>
      </w:r>
      <w:r>
        <w:rPr>
          <w:noProof/>
          <w:color w:val="auto"/>
        </w:rPr>
        <w:t>2</w:t>
      </w:r>
      <w:r w:rsidRPr="0080762F">
        <w:rPr>
          <w:color w:val="auto"/>
        </w:rPr>
        <w:t xml:space="preserve">: </w:t>
      </w:r>
      <w:r>
        <w:rPr>
          <w:color w:val="auto"/>
        </w:rPr>
        <w:t xml:space="preserve">Transect, pit, and airborne snow </w:t>
      </w:r>
      <w:r w:rsidRPr="0080762F">
        <w:rPr>
          <w:color w:val="auto"/>
        </w:rPr>
        <w:t xml:space="preserve">measurements </w:t>
      </w:r>
      <w:r>
        <w:rPr>
          <w:color w:val="auto"/>
        </w:rPr>
        <w:t>at</w:t>
      </w:r>
      <w:r w:rsidRPr="0080762F">
        <w:rPr>
          <w:color w:val="auto"/>
        </w:rPr>
        <w:t xml:space="preserve"> the </w:t>
      </w:r>
      <w:r>
        <w:rPr>
          <w:color w:val="auto"/>
        </w:rPr>
        <w:t>Upland Tundra (UT)</w:t>
      </w:r>
      <w:r w:rsidRPr="0080762F">
        <w:rPr>
          <w:color w:val="auto"/>
        </w:rPr>
        <w:t xml:space="preserve"> and </w:t>
      </w:r>
      <w:r>
        <w:rPr>
          <w:color w:val="auto"/>
        </w:rPr>
        <w:t>SikSik (SS) sites. Green shaded areas indicate areas of shrub or forest vegetation greater than 50 cm in height. The background shows lidar derived snow depths detailed in section 2.3.2.</w:t>
      </w:r>
    </w:p>
    <w:p w:rsidR="00104890" w:rsidRDefault="00104890" w:rsidP="00104890">
      <w:pPr>
        <w:spacing w:line="480" w:lineRule="auto"/>
      </w:pPr>
      <w:r>
        <w:t>V</w:t>
      </w:r>
      <w:r w:rsidRPr="00783980">
        <w:t xml:space="preserve">ertical </w:t>
      </w:r>
      <w:r>
        <w:t xml:space="preserve">variations in density, temperature, stratigraphy, and microstructure were characterized with a spatially distributed set of 11 </w:t>
      </w:r>
      <w:r w:rsidR="00270898">
        <w:t xml:space="preserve">snow </w:t>
      </w:r>
      <w:r>
        <w:t>pits (Figure 2). At each location, continuous</w:t>
      </w:r>
      <w:r w:rsidR="002D147F">
        <w:t xml:space="preserve"> vertical</w:t>
      </w:r>
      <w:r>
        <w:t xml:space="preserve"> profiles of snow density were sampled with a 100-cm</w:t>
      </w:r>
      <w:r>
        <w:rPr>
          <w:vertAlign w:val="superscript"/>
        </w:rPr>
        <w:t>3</w:t>
      </w:r>
      <w:r>
        <w:t xml:space="preserve"> box-style cutter and hanging scale. Uncertainty </w:t>
      </w:r>
      <w:r w:rsidR="00270898">
        <w:t>of</w:t>
      </w:r>
      <w:r>
        <w:t xml:space="preserve"> box-style</w:t>
      </w:r>
      <w:r w:rsidR="004020FB">
        <w:t xml:space="preserve"> density </w:t>
      </w:r>
      <w:r>
        <w:t xml:space="preserve">measurements </w:t>
      </w:r>
      <w:r w:rsidR="004020FB">
        <w:t>have</w:t>
      </w:r>
      <w:r>
        <w:t xml:space="preserve"> been approximated at 8% (Proksch et al., 2016) but may be higher due to the use of a hanging scale. Vertical temperature profiles were measured using a handheld digital thermometer with </w:t>
      </w:r>
      <w:r w:rsidR="00584B1A">
        <w:t>accuracy</w:t>
      </w:r>
      <w:r>
        <w:t xml:space="preserve"> of </w:t>
      </w:r>
      <w:r>
        <w:rPr>
          <w:rFonts w:cs="Helvetica"/>
        </w:rPr>
        <w:t>±</w:t>
      </w:r>
      <w:r>
        <w:t>0.5°C. Stratigraphy was manually interpreted from the pit face via finger hardness and visual inspection. Snow samples were extracted from each of the identified layers to classify by grain type with a 2-mm comparator card and field microscope (Fierz et al., 2009).</w:t>
      </w:r>
    </w:p>
    <w:p w:rsidR="00104890" w:rsidRDefault="00104890" w:rsidP="00104890">
      <w:pPr>
        <w:spacing w:line="480" w:lineRule="auto"/>
      </w:pPr>
      <w:r w:rsidRPr="00783980">
        <w:t>Although traditi</w:t>
      </w:r>
      <w:r>
        <w:t>onal grain size estimates were made</w:t>
      </w:r>
      <w:r w:rsidRPr="00783980">
        <w:t>, t</w:t>
      </w:r>
      <w:r>
        <w:t xml:space="preserve">he values are considered subjective, and represent a substantial </w:t>
      </w:r>
      <w:r w:rsidRPr="00783980">
        <w:t xml:space="preserve">uncertainty </w:t>
      </w:r>
      <w:r>
        <w:t xml:space="preserve">in </w:t>
      </w:r>
      <w:r w:rsidRPr="00783980">
        <w:t>parameterization of</w:t>
      </w:r>
      <w:r>
        <w:t xml:space="preserve"> microwave </w:t>
      </w:r>
      <w:r w:rsidRPr="00783980">
        <w:t>models</w:t>
      </w:r>
      <w:r>
        <w:t xml:space="preserve"> (Durand et al., 2008)</w:t>
      </w:r>
      <w:r w:rsidRPr="00783980">
        <w:t xml:space="preserve">. To objectively </w:t>
      </w:r>
      <w:r>
        <w:t>characterize microstructure</w:t>
      </w:r>
      <w:r w:rsidRPr="00783980">
        <w:t xml:space="preserve">, </w:t>
      </w:r>
      <w:r>
        <w:t xml:space="preserve">measurements of SSA were made with the </w:t>
      </w:r>
      <w:r w:rsidRPr="00783980">
        <w:t xml:space="preserve">shortwave </w:t>
      </w:r>
      <w:r>
        <w:t>InfraRed</w:t>
      </w:r>
      <w:r w:rsidRPr="00783980">
        <w:t xml:space="preserve"> </w:t>
      </w:r>
      <w:r>
        <w:t>Integrating</w:t>
      </w:r>
      <w:r w:rsidRPr="00783980">
        <w:t xml:space="preserve"> </w:t>
      </w:r>
      <w:r>
        <w:t xml:space="preserve">Sphere system </w:t>
      </w:r>
      <w:r w:rsidRPr="00783980">
        <w:t>(IRIS</w:t>
      </w:r>
      <w:r>
        <w:t xml:space="preserve">; </w:t>
      </w:r>
      <w:r w:rsidRPr="00714D0D">
        <w:t>Montpetit</w:t>
      </w:r>
      <w:r>
        <w:t xml:space="preserve"> et al., 2012). The IRIS is a laser-based device adapted from the original infrared reflectometry work of Gallet et al. (2009), after Domine et al., (2006). Measurements of snow reflectance (</w:t>
      </w:r>
      <m:oMath>
        <m:r>
          <m:rPr>
            <m:sty m:val="bi"/>
          </m:rPr>
          <w:rPr>
            <w:rFonts w:ascii="Cambria Math" w:hAnsi="Cambria Math"/>
          </w:rPr>
          <m:t>R</m:t>
        </m:r>
      </m:oMath>
      <w:r>
        <w:t>) at 1300 nm are phy</w:t>
      </w:r>
      <w:r w:rsidR="00584B1A">
        <w:t xml:space="preserve">sically linked to SSA following </w:t>
      </w:r>
      <w:r>
        <w:t>Kokhanovsky and Zege (2004):</w:t>
      </w:r>
    </w:p>
    <w:p w:rsidR="00104890" w:rsidRDefault="00CB3866" w:rsidP="00104890">
      <w:pPr>
        <w:pStyle w:val="Caption"/>
        <w:spacing w:line="360" w:lineRule="auto"/>
        <w:jc w:val="center"/>
        <w:rPr>
          <w:b w:val="0"/>
          <w:color w:val="auto"/>
        </w:rPr>
      </w:pPr>
      <m:oMath>
        <m:sSub>
          <m:sSubPr>
            <m:ctrlPr>
              <w:rPr>
                <w:rFonts w:ascii="Cambria Math" w:hAnsi="Cambria Math"/>
                <w:i/>
                <w:color w:val="auto"/>
                <w:sz w:val="22"/>
                <w:szCs w:val="22"/>
              </w:rPr>
            </m:ctrlPr>
          </m:sSubPr>
          <m:e>
            <m:r>
              <m:rPr>
                <m:sty m:val="bi"/>
              </m:rPr>
              <w:rPr>
                <w:rFonts w:ascii="Cambria Math" w:hAnsi="Cambria Math"/>
                <w:color w:val="auto"/>
                <w:sz w:val="22"/>
                <w:szCs w:val="22"/>
              </w:rPr>
              <m:t>R</m:t>
            </m:r>
          </m:e>
          <m:sub>
            <m:r>
              <m:rPr>
                <m:sty m:val="bi"/>
              </m:rPr>
              <w:rPr>
                <w:rFonts w:ascii="Cambria Math" w:hAnsi="Cambria Math"/>
                <w:color w:val="auto"/>
                <w:sz w:val="22"/>
                <w:szCs w:val="22"/>
              </w:rPr>
              <m:t>a,λ</m:t>
            </m:r>
          </m:sub>
        </m:sSub>
        <m:r>
          <m:rPr>
            <m:sty m:val="bi"/>
          </m:rPr>
          <w:rPr>
            <w:rFonts w:ascii="Cambria Math" w:hAnsi="Cambria Math"/>
            <w:color w:val="auto"/>
            <w:sz w:val="22"/>
            <w:szCs w:val="22"/>
          </w:rPr>
          <m:t>=</m:t>
        </m:r>
        <m:r>
          <m:rPr>
            <m:nor/>
          </m:rPr>
          <w:rPr>
            <w:rFonts w:ascii="Cambria Math" w:hAnsi="Cambria Math"/>
            <w:b w:val="0"/>
            <w:color w:val="auto"/>
            <w:sz w:val="22"/>
            <w:szCs w:val="22"/>
          </w:rPr>
          <m:t>exp</m:t>
        </m:r>
        <m:d>
          <m:dPr>
            <m:ctrlPr>
              <w:rPr>
                <w:rFonts w:ascii="Cambria Math" w:hAnsi="Cambria Math"/>
                <w:b w:val="0"/>
                <w:i/>
                <w:color w:val="auto"/>
                <w:sz w:val="22"/>
                <w:szCs w:val="22"/>
              </w:rPr>
            </m:ctrlPr>
          </m:dPr>
          <m:e>
            <m:r>
              <m:rPr>
                <m:sty m:val="bi"/>
              </m:rPr>
              <w:rPr>
                <w:rFonts w:ascii="Cambria Math" w:hAnsi="Cambria Math"/>
                <w:color w:val="auto"/>
                <w:sz w:val="22"/>
                <w:szCs w:val="22"/>
              </w:rPr>
              <m:t>-</m:t>
            </m:r>
            <m:sSub>
              <m:sSubPr>
                <m:ctrlPr>
                  <w:rPr>
                    <w:rFonts w:ascii="Cambria Math" w:hAnsi="Cambria Math"/>
                    <w:b w:val="0"/>
                    <w:i/>
                    <w:color w:val="auto"/>
                    <w:sz w:val="22"/>
                    <w:szCs w:val="22"/>
                  </w:rPr>
                </m:ctrlPr>
              </m:sSubPr>
              <m:e>
                <m:r>
                  <m:rPr>
                    <m:sty m:val="bi"/>
                  </m:rPr>
                  <w:rPr>
                    <w:rFonts w:ascii="Cambria Math" w:hAnsi="Cambria Math"/>
                    <w:color w:val="auto"/>
                    <w:sz w:val="22"/>
                    <w:szCs w:val="22"/>
                  </w:rPr>
                  <m:t>K</m:t>
                </m:r>
              </m:e>
              <m:sub>
                <m:r>
                  <m:rPr>
                    <m:sty m:val="bi"/>
                  </m:rPr>
                  <w:rPr>
                    <w:rFonts w:ascii="Cambria Math" w:hAnsi="Cambria Math"/>
                    <w:color w:val="auto"/>
                    <w:sz w:val="22"/>
                    <w:szCs w:val="22"/>
                  </w:rPr>
                  <m:t>0</m:t>
                </m:r>
              </m:sub>
            </m:sSub>
            <m:r>
              <m:rPr>
                <m:sty m:val="bi"/>
              </m:rPr>
              <w:rPr>
                <w:rFonts w:ascii="Cambria Math" w:hAnsi="Cambria Math"/>
                <w:color w:val="auto"/>
                <w:sz w:val="22"/>
                <w:szCs w:val="22"/>
              </w:rPr>
              <m:t>b</m:t>
            </m:r>
            <m:rad>
              <m:radPr>
                <m:degHide m:val="1"/>
                <m:ctrlPr>
                  <w:rPr>
                    <w:rFonts w:ascii="Cambria Math" w:hAnsi="Cambria Math"/>
                    <w:b w:val="0"/>
                    <w:i/>
                    <w:color w:val="auto"/>
                    <w:sz w:val="22"/>
                    <w:szCs w:val="22"/>
                  </w:rPr>
                </m:ctrlPr>
              </m:radPr>
              <m:deg/>
              <m:e>
                <m:sSub>
                  <m:sSubPr>
                    <m:ctrlPr>
                      <w:rPr>
                        <w:rFonts w:ascii="Cambria Math" w:hAnsi="Cambria Math"/>
                        <w:b w:val="0"/>
                        <w:i/>
                        <w:color w:val="auto"/>
                        <w:sz w:val="22"/>
                        <w:szCs w:val="22"/>
                      </w:rPr>
                    </m:ctrlPr>
                  </m:sSubPr>
                  <m:e>
                    <m:r>
                      <m:rPr>
                        <m:sty m:val="bi"/>
                      </m:rPr>
                      <w:rPr>
                        <w:rFonts w:ascii="Cambria Math" w:hAnsi="Cambria Math"/>
                        <w:color w:val="auto"/>
                        <w:sz w:val="22"/>
                        <w:szCs w:val="22"/>
                      </w:rPr>
                      <m:t>γ</m:t>
                    </m:r>
                  </m:e>
                  <m:sub>
                    <m:r>
                      <m:rPr>
                        <m:sty m:val="bi"/>
                      </m:rPr>
                      <w:rPr>
                        <w:rFonts w:ascii="Cambria Math" w:hAnsi="Cambria Math"/>
                        <w:color w:val="auto"/>
                        <w:sz w:val="22"/>
                        <w:szCs w:val="22"/>
                      </w:rPr>
                      <m:t>λ</m:t>
                    </m:r>
                    <m:d>
                      <m:dPr>
                        <m:ctrlPr>
                          <w:rPr>
                            <w:rFonts w:ascii="Cambria Math" w:hAnsi="Cambria Math"/>
                            <w:b w:val="0"/>
                            <w:i/>
                            <w:color w:val="auto"/>
                            <w:sz w:val="22"/>
                            <w:szCs w:val="22"/>
                          </w:rPr>
                        </m:ctrlPr>
                      </m:dPr>
                      <m:e>
                        <m:f>
                          <m:fPr>
                            <m:ctrlPr>
                              <w:rPr>
                                <w:rFonts w:ascii="Cambria Math" w:hAnsi="Cambria Math"/>
                                <w:b w:val="0"/>
                                <w:i/>
                                <w:color w:val="auto"/>
                                <w:sz w:val="22"/>
                                <w:szCs w:val="22"/>
                              </w:rPr>
                            </m:ctrlPr>
                          </m:fPr>
                          <m:num>
                            <m:r>
                              <m:rPr>
                                <m:sty m:val="bi"/>
                              </m:rPr>
                              <w:rPr>
                                <w:rFonts w:ascii="Cambria Math" w:hAnsi="Cambria Math"/>
                                <w:color w:val="auto"/>
                                <w:sz w:val="22"/>
                                <w:szCs w:val="22"/>
                              </w:rPr>
                              <m:t>6</m:t>
                            </m:r>
                          </m:num>
                          <m:den>
                            <m:r>
                              <m:rPr>
                                <m:sty m:val="bi"/>
                              </m:rPr>
                              <w:rPr>
                                <w:rFonts w:ascii="Cambria Math" w:hAnsi="Cambria Math"/>
                                <w:color w:val="auto"/>
                                <w:sz w:val="22"/>
                                <w:szCs w:val="22"/>
                              </w:rPr>
                              <m:t>SSA</m:t>
                            </m:r>
                          </m:den>
                        </m:f>
                      </m:e>
                    </m:d>
                  </m:sub>
                </m:sSub>
              </m:e>
            </m:rad>
          </m:e>
        </m:d>
      </m:oMath>
      <w:r w:rsidR="00104890">
        <w:rPr>
          <w:rFonts w:eastAsiaTheme="minorEastAsia"/>
          <w:color w:val="auto"/>
        </w:rPr>
        <w:tab/>
      </w:r>
      <w:r w:rsidR="00104890">
        <w:rPr>
          <w:b w:val="0"/>
          <w:color w:val="auto"/>
        </w:rPr>
        <w:t>(</w:t>
      </w:r>
      <w:r w:rsidR="00104890" w:rsidRPr="00E049E1">
        <w:rPr>
          <w:b w:val="0"/>
          <w:noProof/>
          <w:color w:val="auto"/>
        </w:rPr>
        <w:t>1</w:t>
      </w:r>
      <w:r w:rsidR="00104890" w:rsidRPr="00E049E1">
        <w:rPr>
          <w:b w:val="0"/>
          <w:color w:val="auto"/>
        </w:rPr>
        <w:t>)</w:t>
      </w:r>
    </w:p>
    <w:p w:rsidR="00104890" w:rsidRDefault="00104890" w:rsidP="00104890">
      <w:pPr>
        <w:spacing w:line="480" w:lineRule="auto"/>
      </w:pPr>
      <w:r>
        <w:t xml:space="preserve">where </w:t>
      </w:r>
      <m:oMath>
        <m:sSub>
          <m:sSubPr>
            <m:ctrlPr>
              <w:rPr>
                <w:rFonts w:ascii="Cambria Math" w:hAnsi="Cambria Math"/>
                <w:i/>
              </w:rPr>
            </m:ctrlPr>
          </m:sSubPr>
          <m:e>
            <m:r>
              <w:rPr>
                <w:rFonts w:ascii="Cambria Math" w:hAnsi="Cambria Math"/>
              </w:rPr>
              <m:t>K</m:t>
            </m:r>
          </m:e>
          <m:sub>
            <m:r>
              <w:rPr>
                <w:rFonts w:ascii="Cambria Math" w:hAnsi="Cambria Math"/>
              </w:rPr>
              <m:t>0</m:t>
            </m:r>
          </m:sub>
        </m:sSub>
      </m:oMath>
      <w:r>
        <w:rPr>
          <w:rFonts w:eastAsiaTheme="minorEastAsia"/>
        </w:rPr>
        <w:t xml:space="preserve"> </w:t>
      </w:r>
      <w:r>
        <w:t xml:space="preserve">is an escape function set at 1.26 based on geometry of the system, </w:t>
      </w:r>
      <m:oMath>
        <m:r>
          <w:rPr>
            <w:rFonts w:ascii="Cambria Math" w:hAnsi="Cambria Math"/>
          </w:rPr>
          <m:t>b</m:t>
        </m:r>
      </m:oMath>
      <w:r>
        <w:rPr>
          <w:rFonts w:eastAsiaTheme="minorEastAsia"/>
        </w:rPr>
        <w:t xml:space="preserve"> is </w:t>
      </w:r>
      <w:r>
        <w:t xml:space="preserve">a shape factor set at 4.53 corresponding to spheres (Picard, et al., 2009), and </w:t>
      </w:r>
      <m:oMath>
        <m:sSub>
          <m:sSubPr>
            <m:ctrlPr>
              <w:rPr>
                <w:rFonts w:ascii="Cambria Math" w:hAnsi="Cambria Math"/>
                <w:b/>
                <w:i/>
              </w:rPr>
            </m:ctrlPr>
          </m:sSubPr>
          <m:e>
            <m:r>
              <w:rPr>
                <w:rFonts w:ascii="Cambria Math" w:hAnsi="Cambria Math"/>
              </w:rPr>
              <m:t>γ</m:t>
            </m:r>
          </m:e>
          <m:sub>
            <m:r>
              <w:rPr>
                <w:rFonts w:ascii="Cambria Math" w:hAnsi="Cambria Math"/>
              </w:rPr>
              <m:t>λ</m:t>
            </m:r>
          </m:sub>
        </m:sSub>
      </m:oMath>
      <w:r>
        <w:rPr>
          <w:rFonts w:eastAsiaTheme="minorEastAsia"/>
          <w:b/>
        </w:rPr>
        <w:t xml:space="preserve"> </w:t>
      </w:r>
      <w:r w:rsidRPr="00104890">
        <w:rPr>
          <w:rFonts w:eastAsiaTheme="minorEastAsia"/>
        </w:rPr>
        <w:t>is</w:t>
      </w:r>
      <w:r>
        <w:rPr>
          <w:rFonts w:eastAsiaTheme="minorEastAsia"/>
          <w:b/>
        </w:rPr>
        <w:t xml:space="preserve"> </w:t>
      </w:r>
      <w:r>
        <w:t>the absorption coefficient of ice (Wiscombe and Warren, 1980). IRIS outputs a photodiode measured voltage which can be converted to reflectance when calibrated against reference targets (</w:t>
      </w:r>
      <w:r w:rsidRPr="00714D0D">
        <w:t>Montpetit</w:t>
      </w:r>
      <w:r>
        <w:t xml:space="preserve"> et al., 2012). Reference target calibrations were performed at each snow pit prior to vertical sample profiles at a 3-cm resolution.</w:t>
      </w:r>
    </w:p>
    <w:p w:rsidR="00104890" w:rsidRDefault="00104890" w:rsidP="00104890">
      <w:pPr>
        <w:pStyle w:val="MDPI22heading2"/>
      </w:pPr>
      <w:r>
        <w:t>2.3 Airborne measurements</w:t>
      </w:r>
    </w:p>
    <w:p w:rsidR="00104890" w:rsidRPr="00F34C44" w:rsidRDefault="00104890" w:rsidP="00104890">
      <w:pPr>
        <w:pStyle w:val="MDPI23heading3"/>
        <w:spacing w:line="360" w:lineRule="auto"/>
      </w:pPr>
      <w:r>
        <w:t>2</w:t>
      </w:r>
      <w:r w:rsidRPr="00F34C44">
        <w:t>.</w:t>
      </w:r>
      <w:r>
        <w:t>3</w:t>
      </w:r>
      <w:r w:rsidRPr="00F34C44">
        <w:t xml:space="preserve">.1. </w:t>
      </w:r>
      <w:r>
        <w:t>Airborne SAR measurements</w:t>
      </w:r>
    </w:p>
    <w:p w:rsidR="00104890" w:rsidRDefault="00104890" w:rsidP="00104890">
      <w:pPr>
        <w:spacing w:line="480" w:lineRule="auto"/>
      </w:pPr>
      <w:r w:rsidRPr="00026F40">
        <w:t>SnowSAR</w:t>
      </w:r>
      <w:r>
        <w:t>, an</w:t>
      </w:r>
      <w:r w:rsidRPr="00026F40">
        <w:t xml:space="preserve"> airborne radar</w:t>
      </w:r>
      <w:r>
        <w:t xml:space="preserve"> system,</w:t>
      </w:r>
      <w:r w:rsidRPr="00026F40">
        <w:t xml:space="preserve"> was deployed to collect measur</w:t>
      </w:r>
      <w:r>
        <w:t>ements coincident with the in situ campaign</w:t>
      </w:r>
      <w:r w:rsidRPr="00026F40">
        <w:t xml:space="preserve">. </w:t>
      </w:r>
      <w:r>
        <w:t>This</w:t>
      </w:r>
      <w:r w:rsidRPr="00026F40">
        <w:t xml:space="preserve"> dual-frequency (9.2</w:t>
      </w:r>
      <w:r>
        <w:t xml:space="preserve"> and 17.2</w:t>
      </w:r>
      <w:r w:rsidRPr="00026F40">
        <w:t xml:space="preserve"> GHz), dual-polarization (VV and VH) synthetic aperture radar (SAR), was developed to </w:t>
      </w:r>
      <w:r>
        <w:t>emulate</w:t>
      </w:r>
      <w:r w:rsidRPr="00026F40">
        <w:t xml:space="preserve"> the </w:t>
      </w:r>
      <w:r>
        <w:t xml:space="preserve">proposed </w:t>
      </w:r>
      <w:r w:rsidRPr="00026F40">
        <w:t>configu</w:t>
      </w:r>
      <w:r>
        <w:t xml:space="preserve">ration of CoReH2O (Rott et al., 2010; </w:t>
      </w:r>
      <w:r>
        <w:rPr>
          <w:rFonts w:eastAsiaTheme="minorEastAsia"/>
        </w:rPr>
        <w:t>Di Leo et al., 2015</w:t>
      </w:r>
      <w:r>
        <w:t>).</w:t>
      </w:r>
      <w:r w:rsidRPr="00026F40">
        <w:t xml:space="preserve"> Mounted aboar</w:t>
      </w:r>
      <w:r>
        <w:t xml:space="preserve">d a Cessna 208 Grand Caravan, SnowSAR </w:t>
      </w:r>
      <w:r w:rsidRPr="00026F40">
        <w:t>was flown at a</w:t>
      </w:r>
      <w:r>
        <w:t xml:space="preserve"> nominal</w:t>
      </w:r>
      <w:r w:rsidRPr="00026F40">
        <w:t xml:space="preserve"> </w:t>
      </w:r>
      <w:r>
        <w:t>altitude of 1220 mAGL, resulting in</w:t>
      </w:r>
      <w:r w:rsidRPr="009A698D">
        <w:t xml:space="preserve"> a ground-projected swath of 400</w:t>
      </w:r>
      <w:r>
        <w:t xml:space="preserve"> </w:t>
      </w:r>
      <w:r w:rsidRPr="009A698D">
        <w:t>m</w:t>
      </w:r>
      <w:r>
        <w:t>, and nominal spatial resolution of 2</w:t>
      </w:r>
      <w:r w:rsidRPr="009A698D">
        <w:t xml:space="preserve"> m</w:t>
      </w:r>
      <w:r>
        <w:t xml:space="preserve">. Flight missions were executed over two days (April 8 and 9, 2013) with 4 flight lines intersecting each of the TVC sites (Figure 3). </w:t>
      </w:r>
    </w:p>
    <w:p w:rsidR="00104890" w:rsidRPr="00104890" w:rsidRDefault="00104890" w:rsidP="00104890">
      <w:pPr>
        <w:spacing w:line="480" w:lineRule="auto"/>
      </w:pPr>
      <w:r>
        <w:t>Prior to analysis, SnowSAR radar cross-sections (</w:t>
      </w:r>
      <m:oMath>
        <m:r>
          <m:rPr>
            <m:sty m:val="p"/>
          </m:rPr>
          <w:rPr>
            <w:rFonts w:ascii="Cambria Math" w:hAnsi="Cambria Math" w:cs="Helvetica"/>
            <w:color w:val="000000" w:themeColor="text1"/>
          </w:rPr>
          <m:t>σ</m:t>
        </m:r>
      </m:oMath>
      <w:r>
        <w:rPr>
          <w:rFonts w:eastAsiaTheme="minorEastAsia"/>
          <w:color w:val="000000" w:themeColor="text1"/>
        </w:rPr>
        <w:t>)</w:t>
      </w:r>
      <w:r w:rsidRPr="00FA1ADC">
        <w:t xml:space="preserve"> </w:t>
      </w:r>
      <w:r>
        <w:t xml:space="preserve">were normalized to the </w:t>
      </w:r>
      <w:r>
        <w:rPr>
          <w:rFonts w:cs="Helvetica"/>
        </w:rPr>
        <w:t>ground projection area, taking into account local variations in slope:</w:t>
      </w:r>
    </w:p>
    <w:p w:rsidR="00104890" w:rsidRPr="00104890" w:rsidRDefault="00CB3866" w:rsidP="00104890">
      <w:pPr>
        <w:pStyle w:val="Caption"/>
        <w:spacing w:line="360" w:lineRule="auto"/>
        <w:jc w:val="center"/>
        <w:rPr>
          <w:b w:val="0"/>
          <w:color w:val="auto"/>
          <w:sz w:val="22"/>
          <w:szCs w:val="22"/>
        </w:rPr>
      </w:pPr>
      <m:oMath>
        <m:sSup>
          <m:sSupPr>
            <m:ctrlPr>
              <w:rPr>
                <w:rFonts w:ascii="Cambria Math" w:hAnsi="Cambria Math" w:cs="Helvetica"/>
                <w:b w:val="0"/>
                <w:color w:val="auto"/>
                <w:sz w:val="22"/>
                <w:szCs w:val="22"/>
                <w:vertAlign w:val="superscript"/>
              </w:rPr>
            </m:ctrlPr>
          </m:sSupPr>
          <m:e>
            <m:r>
              <m:rPr>
                <m:sty m:val="b"/>
              </m:rPr>
              <w:rPr>
                <w:rFonts w:ascii="Cambria Math" w:hAnsi="Cambria Math" w:cs="Helvetica"/>
                <w:color w:val="auto"/>
                <w:sz w:val="22"/>
                <w:szCs w:val="22"/>
              </w:rPr>
              <m:t>σ</m:t>
            </m:r>
          </m:e>
          <m:sup>
            <m:r>
              <m:rPr>
                <m:sty m:val="bi"/>
              </m:rPr>
              <w:rPr>
                <w:rFonts w:ascii="Cambria Math" w:hAnsi="Cambria Math" w:cs="Helvetica"/>
                <w:color w:val="auto"/>
                <w:sz w:val="22"/>
                <w:szCs w:val="22"/>
                <w:vertAlign w:val="superscript"/>
              </w:rPr>
              <m:t>0</m:t>
            </m:r>
          </m:sup>
        </m:sSup>
        <m:r>
          <m:rPr>
            <m:sty m:val="bi"/>
          </m:rPr>
          <w:rPr>
            <w:rFonts w:ascii="Cambria Math" w:hAnsi="Cambria Math" w:cs="Helvetica"/>
            <w:color w:val="auto"/>
            <w:sz w:val="22"/>
            <w:szCs w:val="22"/>
            <w:vertAlign w:val="superscript"/>
          </w:rPr>
          <m:t xml:space="preserve">= </m:t>
        </m:r>
        <m:f>
          <m:fPr>
            <m:ctrlPr>
              <w:rPr>
                <w:rFonts w:ascii="Cambria Math" w:hAnsi="Cambria Math" w:cs="Helvetica"/>
                <w:b w:val="0"/>
                <w:color w:val="auto"/>
                <w:sz w:val="22"/>
                <w:szCs w:val="22"/>
              </w:rPr>
            </m:ctrlPr>
          </m:fPr>
          <m:num>
            <m:r>
              <m:rPr>
                <m:sty m:val="b"/>
              </m:rPr>
              <w:rPr>
                <w:rFonts w:ascii="Cambria Math" w:hAnsi="Cambria Math" w:cs="Helvetica"/>
                <w:color w:val="auto"/>
                <w:sz w:val="22"/>
                <w:szCs w:val="22"/>
              </w:rPr>
              <m:t>σ</m:t>
            </m:r>
          </m:num>
          <m:den>
            <m:r>
              <m:rPr>
                <m:nor/>
              </m:rPr>
              <w:rPr>
                <w:rFonts w:ascii="Cambria Math" w:hAnsi="Cambria Math" w:cs="Helvetica"/>
                <w:b w:val="0"/>
                <w:color w:val="auto"/>
                <w:sz w:val="22"/>
                <w:szCs w:val="22"/>
              </w:rPr>
              <m:t>A</m:t>
            </m:r>
            <m:r>
              <m:rPr>
                <m:sty m:val="bi"/>
              </m:rPr>
              <w:rPr>
                <w:rFonts w:ascii="Cambria Math" w:hAnsi="Cambria Math" w:cs="Helvetica"/>
                <w:color w:val="auto"/>
                <w:sz w:val="22"/>
                <w:szCs w:val="22"/>
              </w:rPr>
              <m:t>/</m:t>
            </m:r>
            <m:r>
              <m:rPr>
                <m:sty m:val="b"/>
              </m:rPr>
              <w:rPr>
                <w:rFonts w:ascii="Cambria Math" w:hAnsi="Cambria Math" w:cs="Helvetica"/>
                <w:color w:val="auto"/>
                <w:sz w:val="22"/>
                <w:szCs w:val="22"/>
              </w:rPr>
              <m:t>cos⁡</m:t>
            </m:r>
            <m:r>
              <m:rPr>
                <m:sty m:val="bi"/>
              </m:rPr>
              <w:rPr>
                <w:rFonts w:ascii="Cambria Math" w:hAnsi="Cambria Math" w:cs="Helvetica"/>
                <w:color w:val="auto"/>
                <w:sz w:val="22"/>
                <w:szCs w:val="22"/>
              </w:rPr>
              <m:t>(θ)</m:t>
            </m:r>
          </m:den>
        </m:f>
      </m:oMath>
      <w:r w:rsidR="00104890" w:rsidRPr="004020FB">
        <w:rPr>
          <w:rFonts w:eastAsiaTheme="minorEastAsia"/>
          <w:b w:val="0"/>
          <w:color w:val="auto"/>
        </w:rPr>
        <w:t xml:space="preserve"> </w:t>
      </w:r>
      <w:r w:rsidR="00104890" w:rsidRPr="00104890">
        <w:rPr>
          <w:rFonts w:eastAsiaTheme="minorEastAsia"/>
          <w:b w:val="0"/>
          <w:color w:val="auto"/>
        </w:rPr>
        <w:tab/>
      </w:r>
      <w:r w:rsidR="00104890" w:rsidRPr="00104890">
        <w:rPr>
          <w:b w:val="0"/>
          <w:color w:val="auto"/>
        </w:rPr>
        <w:t>(</w:t>
      </w:r>
      <w:r w:rsidR="00104890" w:rsidRPr="00104890">
        <w:rPr>
          <w:b w:val="0"/>
          <w:noProof/>
          <w:color w:val="auto"/>
        </w:rPr>
        <w:t>2</w:t>
      </w:r>
      <w:r w:rsidR="00104890" w:rsidRPr="00104890">
        <w:rPr>
          <w:b w:val="0"/>
          <w:color w:val="auto"/>
        </w:rPr>
        <w:t>)</w:t>
      </w:r>
    </w:p>
    <w:p w:rsidR="00104890" w:rsidRPr="00FB3569" w:rsidRDefault="00104890" w:rsidP="00104890">
      <w:pPr>
        <w:spacing w:line="480" w:lineRule="auto"/>
      </w:pPr>
      <w:r>
        <w:t>where A is the nominal pixel area (4 m</w:t>
      </w:r>
      <w:r>
        <w:rPr>
          <w:vertAlign w:val="superscript"/>
        </w:rPr>
        <w:t>2</w:t>
      </w:r>
      <w:r>
        <w:t xml:space="preserve">) and </w:t>
      </w:r>
      <m:oMath>
        <m:r>
          <w:rPr>
            <w:rFonts w:ascii="Cambria Math" w:hAnsi="Cambria Math" w:cs="Helvetica"/>
            <w:color w:val="000000" w:themeColor="text1"/>
          </w:rPr>
          <m:t>θ</m:t>
        </m:r>
      </m:oMath>
      <w:r>
        <w:rPr>
          <w:rFonts w:eastAsiaTheme="minorEastAsia"/>
        </w:rPr>
        <w:t xml:space="preserve"> is incidence angle</w:t>
      </w:r>
      <w:r>
        <w:t xml:space="preserve">. </w:t>
      </w:r>
      <w:r w:rsidRPr="009A698D">
        <w:t xml:space="preserve">Radar incidence </w:t>
      </w:r>
      <w:r w:rsidR="00584B1A">
        <w:t>angle</w:t>
      </w:r>
      <w:r w:rsidR="009D01A5">
        <w:t>s</w:t>
      </w:r>
      <w:r>
        <w:t xml:space="preserve"> </w:t>
      </w:r>
      <w:r w:rsidR="009D01A5">
        <w:t>were</w:t>
      </w:r>
      <w:r>
        <w:t xml:space="preserve"> evaluated normal to the observed surface (i.e. local angle) </w:t>
      </w:r>
      <w:r w:rsidRPr="009A698D">
        <w:t xml:space="preserve">using </w:t>
      </w:r>
      <w:r>
        <w:t xml:space="preserve">aircraft attitude data and a snow-free </w:t>
      </w:r>
      <w:r w:rsidRPr="009A698D">
        <w:t>digital elevation model</w:t>
      </w:r>
      <w:r>
        <w:t xml:space="preserve"> (DEM) </w:t>
      </w:r>
      <w:r w:rsidRPr="009D40BA">
        <w:rPr>
          <w:lang w:val="en-CA"/>
        </w:rPr>
        <w:t>introduced in Marsh et al. (2010)</w:t>
      </w:r>
      <w:r>
        <w:t xml:space="preserve">. SnowSAR measurements with </w:t>
      </w:r>
      <m:oMath>
        <m:r>
          <w:rPr>
            <w:rFonts w:ascii="Cambria Math" w:hAnsi="Cambria Math" w:cs="Helvetica"/>
            <w:color w:val="000000" w:themeColor="text1"/>
          </w:rPr>
          <m:t>θ</m:t>
        </m:r>
      </m:oMath>
      <w:r>
        <w:rPr>
          <w:rFonts w:eastAsiaTheme="minorEastAsia"/>
          <w:b/>
          <w:bCs/>
          <w:color w:val="000000" w:themeColor="text1"/>
        </w:rPr>
        <w:t xml:space="preserve"> </w:t>
      </w:r>
      <w:r>
        <w:t>outside of the anticipated range of 35 to 45</w:t>
      </w:r>
      <w:r>
        <w:rPr>
          <w:rStyle w:val="tgc"/>
        </w:rPr>
        <w:t xml:space="preserve">° were removed from further analysis </w:t>
      </w:r>
      <w:r>
        <w:t xml:space="preserve">to minimize terrain associated </w:t>
      </w:r>
      <w:r w:rsidR="009D01A5">
        <w:t>uncertainty</w:t>
      </w:r>
      <w:r>
        <w:t xml:space="preserve">. Given the nominal mid-swath angle of 40° and low variability in the observed terrain, a vast majority of the data was retained in this process, leaving no appreciable impact on total coverage. </w:t>
      </w:r>
      <w:r w:rsidRPr="009A698D">
        <w:t xml:space="preserve">To minimize the influence of </w:t>
      </w:r>
      <w:r>
        <w:t>radar speckle</w:t>
      </w:r>
      <w:r w:rsidRPr="009A698D">
        <w:t xml:space="preserve"> and geolocation </w:t>
      </w:r>
      <w:r>
        <w:t>errors</w:t>
      </w:r>
      <w:r w:rsidRPr="009A698D">
        <w:t xml:space="preserve">, </w:t>
      </w:r>
      <w:r w:rsidR="00584B1A">
        <w:t xml:space="preserve">SnowSAR </w:t>
      </w:r>
      <w:r>
        <w:t>measurements were aggregated to a spatial resolution of 10</w:t>
      </w:r>
      <w:r w:rsidR="00584B1A">
        <w:t xml:space="preserve"> </w:t>
      </w:r>
      <w:r>
        <w:t>m</w:t>
      </w:r>
      <w:r w:rsidRPr="009A698D">
        <w:t xml:space="preserve"> by taking the mean </w:t>
      </w:r>
      <w:r>
        <w:t xml:space="preserve">of an equivalent moving window. </w:t>
      </w:r>
      <w:r>
        <w:rPr>
          <w:rFonts w:eastAsiaTheme="minorEastAsia"/>
        </w:rPr>
        <w:t>An extended description of the SnowSAR system and details on the radiometric calibration procedure can be found in Di Leo et al. (2015).</w:t>
      </w:r>
    </w:p>
    <w:p w:rsidR="004827A0" w:rsidRDefault="004827A0" w:rsidP="004827A0">
      <w:pPr>
        <w:pStyle w:val="MDPI23heading3"/>
        <w:spacing w:line="360" w:lineRule="auto"/>
      </w:pPr>
      <w:r>
        <w:t>2.3.2</w:t>
      </w:r>
      <w:r w:rsidRPr="00026F40">
        <w:t>.</w:t>
      </w:r>
      <w:r>
        <w:t xml:space="preserve"> Airborne lidar measurements</w:t>
      </w:r>
    </w:p>
    <w:p w:rsidR="004827A0" w:rsidRDefault="004827A0" w:rsidP="004827A0">
      <w:pPr>
        <w:spacing w:line="480" w:lineRule="auto"/>
      </w:pPr>
      <w:r>
        <w:t xml:space="preserve">The University of Alaska Fairbanks (UAF) airborne lidar system was flown on April 6, 2013 to produce a spatially continuous surface of snow height within the TVC domain. The UAF system is a Riegl LMS-Q240in with a 905 nm wavelength and 10 kHz sampling rate (Johnson et al., 2013). Flown at 500 mAGL, typical vertical errors are on the order of </w:t>
      </w:r>
      <w:r>
        <w:rPr>
          <w:rStyle w:val="tgc"/>
        </w:rPr>
        <w:t>±</w:t>
      </w:r>
      <w:r>
        <w:t>10 cm, however, extreme cold during the acquisition period led to greater than normal uncertainty. While this uncertainty is associated with the absolute magnitude of the snow surface elevations, spatial patterns and characterization of pixel-scale variability remain accurate, particularly in open areas.</w:t>
      </w:r>
      <w:r w:rsidR="009D01A5">
        <w:t xml:space="preserve"> For estimates of</w:t>
      </w:r>
      <w:r w:rsidR="004020FB">
        <w:t xml:space="preserve"> snow</w:t>
      </w:r>
      <w:r w:rsidR="009D01A5">
        <w:t xml:space="preserve"> depth, l</w:t>
      </w:r>
      <w:r>
        <w:t>idar elevations of the snow surface were gridded and differenced from the snow-free DEM (Marsh et al., 2010) and then aggregated to the SnowSAR resolution (10 m).</w:t>
      </w:r>
      <w:r w:rsidRPr="00FB32A2">
        <w:rPr>
          <w:rStyle w:val="tgc"/>
          <w:rFonts w:eastAsiaTheme="minorEastAsia"/>
        </w:rPr>
        <w:t xml:space="preserve"> </w:t>
      </w:r>
      <w:r>
        <w:rPr>
          <w:rStyle w:val="tgc"/>
          <w:rFonts w:eastAsiaTheme="minorEastAsia"/>
        </w:rPr>
        <w:t>The use of lidar derived snow depth is differentiated from the reference dataset (</w:t>
      </w:r>
      <m:oMath>
        <m:sSub>
          <m:sSubPr>
            <m:ctrlPr>
              <w:rPr>
                <w:rStyle w:val="tgc"/>
                <w:rFonts w:ascii="Cambria Math" w:hAnsi="Cambria Math"/>
                <w:i/>
              </w:rPr>
            </m:ctrlPr>
          </m:sSubPr>
          <m:e>
            <m:r>
              <m:rPr>
                <m:nor/>
              </m:rPr>
              <w:rPr>
                <w:rStyle w:val="tgc"/>
                <w:rFonts w:ascii="Cambria Math" w:hAnsi="Cambria Math"/>
              </w:rPr>
              <m:t>SD</m:t>
            </m:r>
          </m:e>
          <m:sub>
            <m:r>
              <m:rPr>
                <m:nor/>
              </m:rPr>
              <w:rPr>
                <w:rStyle w:val="tgc"/>
                <w:rFonts w:ascii="Cambria Math" w:hAnsi="Cambria Math"/>
              </w:rPr>
              <m:t>ref</m:t>
            </m:r>
          </m:sub>
        </m:sSub>
      </m:oMath>
      <w:r>
        <w:rPr>
          <w:rStyle w:val="tgc"/>
          <w:rFonts w:eastAsiaTheme="minorEastAsia"/>
        </w:rPr>
        <w:t xml:space="preserve">) by subscript here forward </w:t>
      </w:r>
      <w:r>
        <w:rPr>
          <w:rStyle w:val="tgc"/>
        </w:rPr>
        <w:t>(</w:t>
      </w:r>
      <m:oMath>
        <m:sSub>
          <m:sSubPr>
            <m:ctrlPr>
              <w:rPr>
                <w:rStyle w:val="tgc"/>
                <w:rFonts w:ascii="Cambria Math" w:hAnsi="Cambria Math"/>
                <w:i/>
              </w:rPr>
            </m:ctrlPr>
          </m:sSubPr>
          <m:e>
            <m:r>
              <m:rPr>
                <m:nor/>
              </m:rPr>
              <w:rPr>
                <w:rStyle w:val="tgc"/>
                <w:rFonts w:ascii="Cambria Math" w:hAnsi="Cambria Math"/>
              </w:rPr>
              <m:t>SD</m:t>
            </m:r>
          </m:e>
          <m:sub>
            <m:r>
              <m:rPr>
                <m:nor/>
              </m:rPr>
              <w:rPr>
                <w:rStyle w:val="tgc"/>
                <w:rFonts w:ascii="Cambria Math" w:hAnsi="Cambria Math"/>
              </w:rPr>
              <m:t>lidar</m:t>
            </m:r>
          </m:sub>
        </m:sSub>
      </m:oMath>
      <w:r>
        <w:rPr>
          <w:rStyle w:val="tgc"/>
          <w:rFonts w:eastAsiaTheme="minorEastAsia"/>
        </w:rPr>
        <w:t>).</w:t>
      </w:r>
      <w:r>
        <w:t xml:space="preserve"> </w:t>
      </w:r>
    </w:p>
    <w:p w:rsidR="004827A0" w:rsidRDefault="004827A0" w:rsidP="004827A0">
      <w:pPr>
        <w:spacing w:line="480" w:lineRule="auto"/>
        <w:rPr>
          <w:rStyle w:val="tgc"/>
          <w:rFonts w:eastAsiaTheme="minorEastAsia"/>
        </w:rPr>
      </w:pPr>
      <w:r>
        <w:t xml:space="preserve">Measurements of </w:t>
      </w:r>
      <m:oMath>
        <m:sSub>
          <m:sSubPr>
            <m:ctrlPr>
              <w:rPr>
                <w:rStyle w:val="tgc"/>
                <w:rFonts w:ascii="Cambria Math" w:hAnsi="Cambria Math"/>
                <w:i/>
              </w:rPr>
            </m:ctrlPr>
          </m:sSubPr>
          <m:e>
            <m:r>
              <m:rPr>
                <m:nor/>
              </m:rPr>
              <w:rPr>
                <w:rStyle w:val="tgc"/>
                <w:rFonts w:ascii="Cambria Math" w:hAnsi="Cambria Math"/>
              </w:rPr>
              <m:t>SD</m:t>
            </m:r>
          </m:e>
          <m:sub>
            <m:r>
              <m:rPr>
                <m:nor/>
              </m:rPr>
              <w:rPr>
                <w:rStyle w:val="tgc"/>
                <w:rFonts w:ascii="Cambria Math" w:hAnsi="Cambria Math"/>
              </w:rPr>
              <m:t>ref</m:t>
            </m:r>
          </m:sub>
        </m:sSub>
      </m:oMath>
      <w:r>
        <w:t xml:space="preserve"> at each site were compared against </w:t>
      </w:r>
      <m:oMath>
        <m:sSub>
          <m:sSubPr>
            <m:ctrlPr>
              <w:rPr>
                <w:rStyle w:val="tgc"/>
                <w:rFonts w:ascii="Cambria Math" w:hAnsi="Cambria Math"/>
                <w:i/>
              </w:rPr>
            </m:ctrlPr>
          </m:sSubPr>
          <m:e>
            <m:r>
              <m:rPr>
                <m:nor/>
              </m:rPr>
              <w:rPr>
                <w:rStyle w:val="tgc"/>
                <w:rFonts w:ascii="Cambria Math" w:hAnsi="Cambria Math"/>
              </w:rPr>
              <m:t>SD</m:t>
            </m:r>
          </m:e>
          <m:sub>
            <m:r>
              <m:rPr>
                <m:nor/>
              </m:rPr>
              <w:rPr>
                <w:rStyle w:val="tgc"/>
                <w:rFonts w:ascii="Cambria Math" w:hAnsi="Cambria Math"/>
              </w:rPr>
              <m:t>lidar</m:t>
            </m:r>
          </m:sub>
        </m:sSub>
      </m:oMath>
      <w:r>
        <w:rPr>
          <w:rStyle w:val="tgc"/>
          <w:rFonts w:eastAsiaTheme="minorEastAsia"/>
        </w:rPr>
        <w:t xml:space="preserve"> to determine a root mean squared error (RMSE; Table 1). The comparisons agreed closely in their mean and standard deviation, but had slightly larger RMSE within the larger SS site. </w:t>
      </w:r>
      <w:r w:rsidR="0046150C">
        <w:rPr>
          <w:rStyle w:val="tgc"/>
          <w:rFonts w:eastAsiaTheme="minorEastAsia"/>
        </w:rPr>
        <w:t>As a bias correction, t</w:t>
      </w:r>
      <w:r>
        <w:rPr>
          <w:rStyle w:val="tgc"/>
          <w:rFonts w:eastAsiaTheme="minorEastAsia"/>
        </w:rPr>
        <w:t>he SD</w:t>
      </w:r>
      <w:r>
        <w:rPr>
          <w:rStyle w:val="tgc"/>
          <w:rFonts w:eastAsiaTheme="minorEastAsia"/>
          <w:vertAlign w:val="subscript"/>
        </w:rPr>
        <w:t>lidar</w:t>
      </w:r>
      <w:r>
        <w:rPr>
          <w:rStyle w:val="tgc"/>
          <w:rFonts w:eastAsiaTheme="minorEastAsia"/>
        </w:rPr>
        <w:t xml:space="preserve"> data was offset in translation by an amount that minimized the difference with </w:t>
      </w:r>
      <m:oMath>
        <m:sSub>
          <m:sSubPr>
            <m:ctrlPr>
              <w:rPr>
                <w:rStyle w:val="tgc"/>
                <w:rFonts w:ascii="Cambria Math" w:hAnsi="Cambria Math"/>
                <w:i/>
              </w:rPr>
            </m:ctrlPr>
          </m:sSubPr>
          <m:e>
            <m:r>
              <m:rPr>
                <m:nor/>
              </m:rPr>
              <w:rPr>
                <w:rStyle w:val="tgc"/>
                <w:rFonts w:ascii="Cambria Math" w:hAnsi="Cambria Math"/>
              </w:rPr>
              <m:t>SD</m:t>
            </m:r>
          </m:e>
          <m:sub>
            <m:r>
              <m:rPr>
                <m:nor/>
              </m:rPr>
              <w:rPr>
                <w:rStyle w:val="tgc"/>
                <w:rFonts w:ascii="Cambria Math" w:hAnsi="Cambria Math"/>
              </w:rPr>
              <m:t>ref</m:t>
            </m:r>
          </m:sub>
        </m:sSub>
      </m:oMath>
      <w:r>
        <w:rPr>
          <w:rStyle w:val="tgc"/>
          <w:rFonts w:eastAsiaTheme="minorEastAsia"/>
        </w:rPr>
        <w:t xml:space="preserve"> specific to each site. </w:t>
      </w:r>
    </w:p>
    <w:p w:rsidR="004827A0" w:rsidRPr="008B28C7" w:rsidRDefault="004827A0" w:rsidP="00E74C28">
      <w:pPr>
        <w:pStyle w:val="Caption"/>
        <w:keepNext/>
        <w:spacing w:line="360" w:lineRule="auto"/>
        <w:rPr>
          <w:color w:val="000000" w:themeColor="text1"/>
        </w:rPr>
      </w:pPr>
      <w:r w:rsidRPr="000D6651">
        <w:rPr>
          <w:color w:val="000000" w:themeColor="text1"/>
        </w:rPr>
        <w:t xml:space="preserve">Table </w:t>
      </w:r>
      <w:r>
        <w:rPr>
          <w:color w:val="000000" w:themeColor="text1"/>
        </w:rPr>
        <w:t xml:space="preserve">1: Comparison </w:t>
      </w:r>
      <w:r w:rsidRPr="000D6651">
        <w:rPr>
          <w:color w:val="000000" w:themeColor="text1"/>
        </w:rPr>
        <w:t>of</w:t>
      </w:r>
      <w:r>
        <w:rPr>
          <w:color w:val="000000" w:themeColor="text1"/>
        </w:rPr>
        <w:t xml:space="preserve"> the </w:t>
      </w:r>
      <w:r w:rsidRPr="000D6651">
        <w:rPr>
          <w:color w:val="000000" w:themeColor="text1"/>
        </w:rPr>
        <w:t>lidar</w:t>
      </w:r>
      <w:r>
        <w:rPr>
          <w:color w:val="000000" w:themeColor="text1"/>
        </w:rPr>
        <w:t xml:space="preserve"> </w:t>
      </w:r>
      <w:r w:rsidRPr="008B28C7">
        <w:rPr>
          <w:color w:val="000000" w:themeColor="text1"/>
        </w:rPr>
        <w:t>(</w:t>
      </w:r>
      <m:oMath>
        <m:sSub>
          <m:sSubPr>
            <m:ctrlPr>
              <w:rPr>
                <w:rStyle w:val="tgc"/>
                <w:rFonts w:ascii="Cambria Math" w:hAnsi="Cambria Math"/>
                <w:i/>
                <w:color w:val="000000" w:themeColor="text1"/>
              </w:rPr>
            </m:ctrlPr>
          </m:sSubPr>
          <m:e>
            <m:r>
              <m:rPr>
                <m:nor/>
              </m:rPr>
              <w:rPr>
                <w:rStyle w:val="tgc"/>
                <w:rFonts w:ascii="Cambria Math" w:hAnsi="Cambria Math"/>
                <w:color w:val="000000" w:themeColor="text1"/>
              </w:rPr>
              <m:t>SD</m:t>
            </m:r>
          </m:e>
          <m:sub>
            <m:r>
              <m:rPr>
                <m:nor/>
              </m:rPr>
              <w:rPr>
                <w:rStyle w:val="tgc"/>
                <w:rFonts w:ascii="Cambria Math" w:hAnsi="Cambria Math"/>
                <w:color w:val="000000" w:themeColor="text1"/>
              </w:rPr>
              <m:t>lidar</m:t>
            </m:r>
          </m:sub>
        </m:sSub>
      </m:oMath>
      <w:r w:rsidRPr="008B28C7">
        <w:rPr>
          <w:rStyle w:val="tgc"/>
          <w:rFonts w:eastAsiaTheme="minorEastAsia"/>
          <w:color w:val="000000" w:themeColor="text1"/>
        </w:rPr>
        <w:t>)</w:t>
      </w:r>
      <w:r w:rsidRPr="008B28C7">
        <w:rPr>
          <w:color w:val="000000" w:themeColor="text1"/>
        </w:rPr>
        <w:t xml:space="preserve"> and in situ</w:t>
      </w:r>
      <w:r w:rsidRPr="008B28C7">
        <w:rPr>
          <w:i/>
          <w:color w:val="000000" w:themeColor="text1"/>
        </w:rPr>
        <w:t xml:space="preserve"> </w:t>
      </w:r>
      <w:r w:rsidRPr="008B28C7">
        <w:rPr>
          <w:rStyle w:val="tgc"/>
          <w:rFonts w:eastAsiaTheme="minorEastAsia"/>
          <w:color w:val="000000" w:themeColor="text1"/>
        </w:rPr>
        <w:t>(</w:t>
      </w:r>
      <m:oMath>
        <m:sSub>
          <m:sSubPr>
            <m:ctrlPr>
              <w:rPr>
                <w:rStyle w:val="tgc"/>
                <w:rFonts w:ascii="Cambria Math" w:hAnsi="Cambria Math"/>
                <w:i/>
                <w:color w:val="000000" w:themeColor="text1"/>
              </w:rPr>
            </m:ctrlPr>
          </m:sSubPr>
          <m:e>
            <m:r>
              <m:rPr>
                <m:nor/>
              </m:rPr>
              <w:rPr>
                <w:rStyle w:val="tgc"/>
                <w:rFonts w:ascii="Cambria Math" w:hAnsi="Cambria Math"/>
                <w:color w:val="000000" w:themeColor="text1"/>
              </w:rPr>
              <m:t>SD</m:t>
            </m:r>
          </m:e>
          <m:sub>
            <m:r>
              <m:rPr>
                <m:nor/>
              </m:rPr>
              <w:rPr>
                <w:rStyle w:val="tgc"/>
                <w:rFonts w:ascii="Cambria Math" w:hAnsi="Cambria Math"/>
                <w:color w:val="000000" w:themeColor="text1"/>
              </w:rPr>
              <m:t>ref</m:t>
            </m:r>
          </m:sub>
        </m:sSub>
      </m:oMath>
      <w:r w:rsidRPr="008B28C7">
        <w:rPr>
          <w:rStyle w:val="tgc"/>
          <w:rFonts w:eastAsiaTheme="minorEastAsia"/>
          <w:color w:val="000000" w:themeColor="text1"/>
        </w:rPr>
        <w:t>)</w:t>
      </w:r>
      <w:r w:rsidRPr="008B28C7">
        <w:rPr>
          <w:i/>
          <w:color w:val="000000" w:themeColor="text1"/>
        </w:rPr>
        <w:t xml:space="preserve"> </w:t>
      </w:r>
      <w:r w:rsidRPr="008B28C7">
        <w:rPr>
          <w:color w:val="000000" w:themeColor="text1"/>
        </w:rPr>
        <w:t>snow depth</w:t>
      </w:r>
      <w:r>
        <w:rPr>
          <w:color w:val="000000" w:themeColor="text1"/>
        </w:rPr>
        <w:t>s in open tundra coverage</w:t>
      </w:r>
      <w:r w:rsidRPr="008B28C7">
        <w:rPr>
          <w:color w:val="000000" w:themeColor="text1"/>
        </w:rPr>
        <w:t>.</w:t>
      </w:r>
      <w:r>
        <w:rPr>
          <w:color w:val="000000" w:themeColor="text1"/>
        </w:rPr>
        <w:t xml:space="preserve"> Analysis was completed separately for the SikSik (SS) and Upland tundra (UT) sites. Errors described as root mean squared error (RMSE).</w:t>
      </w:r>
    </w:p>
    <w:tbl>
      <w:tblPr>
        <w:tblW w:w="0" w:type="auto"/>
        <w:jc w:val="center"/>
        <w:tblLook w:val="04A0" w:firstRow="1" w:lastRow="0" w:firstColumn="1" w:lastColumn="0" w:noHBand="0" w:noVBand="1"/>
      </w:tblPr>
      <w:tblGrid>
        <w:gridCol w:w="457"/>
        <w:gridCol w:w="1138"/>
        <w:gridCol w:w="1036"/>
        <w:gridCol w:w="1146"/>
      </w:tblGrid>
      <w:tr w:rsidR="004827A0" w:rsidTr="00AB4D9C">
        <w:trPr>
          <w:trHeight w:val="280"/>
          <w:jc w:val="center"/>
        </w:trPr>
        <w:tc>
          <w:tcPr>
            <w:tcW w:w="0" w:type="auto"/>
            <w:tcBorders>
              <w:top w:val="single" w:sz="12" w:space="0" w:color="auto"/>
              <w:left w:val="nil"/>
              <w:bottom w:val="single" w:sz="4" w:space="0" w:color="auto"/>
              <w:right w:val="nil"/>
            </w:tcBorders>
          </w:tcPr>
          <w:p w:rsidR="004827A0" w:rsidRPr="00CD48C3" w:rsidRDefault="004827A0" w:rsidP="00AB4D9C">
            <w:pPr>
              <w:spacing w:after="0"/>
              <w:rPr>
                <w:rStyle w:val="tgc"/>
                <w:rFonts w:cs="Helvetica"/>
                <w:sz w:val="18"/>
                <w:szCs w:val="18"/>
              </w:rPr>
            </w:pPr>
          </w:p>
        </w:tc>
        <w:tc>
          <w:tcPr>
            <w:tcW w:w="0" w:type="auto"/>
            <w:tcBorders>
              <w:top w:val="single" w:sz="12" w:space="0" w:color="auto"/>
              <w:left w:val="nil"/>
              <w:bottom w:val="single" w:sz="4" w:space="0" w:color="auto"/>
              <w:right w:val="nil"/>
            </w:tcBorders>
          </w:tcPr>
          <w:p w:rsidR="004827A0" w:rsidRPr="00CD48C3" w:rsidRDefault="00CB3866" w:rsidP="00AB4D9C">
            <w:pPr>
              <w:spacing w:after="0"/>
              <w:jc w:val="center"/>
              <w:rPr>
                <w:rStyle w:val="tgc"/>
                <w:rFonts w:cs="Helvetica"/>
                <w:sz w:val="18"/>
                <w:szCs w:val="18"/>
              </w:rPr>
            </w:pPr>
            <m:oMath>
              <m:sSub>
                <m:sSubPr>
                  <m:ctrlPr>
                    <w:rPr>
                      <w:rStyle w:val="tgc"/>
                      <w:rFonts w:ascii="Cambria Math" w:hAnsi="Cambria Math" w:cs="Helvetica"/>
                      <w:i/>
                      <w:sz w:val="18"/>
                      <w:szCs w:val="18"/>
                    </w:rPr>
                  </m:ctrlPr>
                </m:sSubPr>
                <m:e>
                  <m:r>
                    <m:rPr>
                      <m:nor/>
                    </m:rPr>
                    <w:rPr>
                      <w:rStyle w:val="tgc"/>
                      <w:rFonts w:cs="Helvetica"/>
                      <w:sz w:val="18"/>
                      <w:szCs w:val="18"/>
                    </w:rPr>
                    <m:t>SD</m:t>
                  </m:r>
                </m:e>
                <m:sub>
                  <m:r>
                    <m:rPr>
                      <m:nor/>
                    </m:rPr>
                    <w:rPr>
                      <w:rStyle w:val="tgc"/>
                      <w:rFonts w:cs="Helvetica"/>
                      <w:sz w:val="18"/>
                      <w:szCs w:val="18"/>
                    </w:rPr>
                    <m:t>l</m:t>
                  </m:r>
                  <m:r>
                    <m:rPr>
                      <m:nor/>
                    </m:rPr>
                    <w:rPr>
                      <w:rStyle w:val="tgc"/>
                      <w:rFonts w:ascii="Cambria Math" w:cs="Helvetica"/>
                      <w:sz w:val="18"/>
                      <w:szCs w:val="18"/>
                    </w:rPr>
                    <m:t>idar</m:t>
                  </m:r>
                </m:sub>
              </m:sSub>
            </m:oMath>
            <w:r w:rsidR="004827A0" w:rsidRPr="00CD48C3">
              <w:rPr>
                <w:rStyle w:val="tgc"/>
                <w:rFonts w:eastAsiaTheme="minorEastAsia" w:cs="Helvetica"/>
                <w:sz w:val="18"/>
                <w:szCs w:val="18"/>
              </w:rPr>
              <w:t xml:space="preserve"> </w:t>
            </w:r>
            <w:r w:rsidR="004827A0">
              <w:rPr>
                <w:rStyle w:val="tgc"/>
                <w:rFonts w:eastAsiaTheme="minorEastAsia" w:cs="Helvetica"/>
                <w:sz w:val="18"/>
                <w:szCs w:val="18"/>
              </w:rPr>
              <w:t>(cm)</w:t>
            </w:r>
          </w:p>
        </w:tc>
        <w:tc>
          <w:tcPr>
            <w:tcW w:w="0" w:type="auto"/>
            <w:tcBorders>
              <w:top w:val="single" w:sz="12" w:space="0" w:color="auto"/>
              <w:left w:val="nil"/>
              <w:bottom w:val="single" w:sz="4" w:space="0" w:color="auto"/>
              <w:right w:val="nil"/>
            </w:tcBorders>
          </w:tcPr>
          <w:p w:rsidR="004827A0" w:rsidRPr="00CD48C3" w:rsidRDefault="00CB3866" w:rsidP="00AB4D9C">
            <w:pPr>
              <w:spacing w:after="0"/>
              <w:jc w:val="center"/>
              <w:rPr>
                <w:rStyle w:val="tgc"/>
                <w:rFonts w:cs="Helvetica"/>
                <w:sz w:val="18"/>
                <w:szCs w:val="18"/>
              </w:rPr>
            </w:pPr>
            <m:oMath>
              <m:sSub>
                <m:sSubPr>
                  <m:ctrlPr>
                    <w:rPr>
                      <w:rStyle w:val="tgc"/>
                      <w:rFonts w:ascii="Cambria Math" w:hAnsi="Cambria Math" w:cs="Helvetica"/>
                      <w:i/>
                      <w:sz w:val="18"/>
                      <w:szCs w:val="18"/>
                    </w:rPr>
                  </m:ctrlPr>
                </m:sSubPr>
                <m:e>
                  <m:r>
                    <m:rPr>
                      <m:nor/>
                    </m:rPr>
                    <w:rPr>
                      <w:rStyle w:val="tgc"/>
                      <w:rFonts w:cs="Helvetica"/>
                      <w:sz w:val="18"/>
                      <w:szCs w:val="18"/>
                    </w:rPr>
                    <m:t>SD</m:t>
                  </m:r>
                </m:e>
                <m:sub>
                  <m:r>
                    <m:rPr>
                      <m:nor/>
                    </m:rPr>
                    <w:rPr>
                      <w:rStyle w:val="tgc"/>
                      <w:rFonts w:cs="Helvetica"/>
                      <w:sz w:val="18"/>
                      <w:szCs w:val="18"/>
                    </w:rPr>
                    <m:t>ref</m:t>
                  </m:r>
                </m:sub>
              </m:sSub>
            </m:oMath>
            <w:r w:rsidR="004827A0">
              <w:rPr>
                <w:rStyle w:val="tgc"/>
                <w:rFonts w:eastAsiaTheme="minorEastAsia" w:cs="Helvetica"/>
                <w:sz w:val="18"/>
                <w:szCs w:val="18"/>
              </w:rPr>
              <w:t xml:space="preserve"> (cm)</w:t>
            </w:r>
          </w:p>
        </w:tc>
        <w:tc>
          <w:tcPr>
            <w:tcW w:w="0" w:type="auto"/>
            <w:tcBorders>
              <w:top w:val="single" w:sz="12" w:space="0" w:color="auto"/>
              <w:left w:val="nil"/>
              <w:bottom w:val="single" w:sz="4" w:space="0" w:color="auto"/>
              <w:right w:val="nil"/>
            </w:tcBorders>
          </w:tcPr>
          <w:p w:rsidR="004827A0" w:rsidRPr="00CD48C3" w:rsidRDefault="004827A0" w:rsidP="00AB4D9C">
            <w:pPr>
              <w:spacing w:after="0"/>
              <w:jc w:val="center"/>
              <w:rPr>
                <w:rStyle w:val="tgc"/>
                <w:rFonts w:cs="Helvetica"/>
                <w:sz w:val="18"/>
                <w:szCs w:val="18"/>
              </w:rPr>
            </w:pPr>
            <w:r w:rsidRPr="00CD48C3">
              <w:rPr>
                <w:rStyle w:val="tgc"/>
                <w:rFonts w:cs="Helvetica"/>
                <w:sz w:val="18"/>
                <w:szCs w:val="18"/>
              </w:rPr>
              <w:t>RMSE</w:t>
            </w:r>
            <w:r>
              <w:rPr>
                <w:rStyle w:val="tgc"/>
                <w:rFonts w:cs="Helvetica"/>
                <w:sz w:val="18"/>
                <w:szCs w:val="18"/>
              </w:rPr>
              <w:t xml:space="preserve"> (cm)</w:t>
            </w:r>
          </w:p>
        </w:tc>
      </w:tr>
      <w:tr w:rsidR="004827A0" w:rsidTr="00AB4D9C">
        <w:trPr>
          <w:trHeight w:val="298"/>
          <w:jc w:val="center"/>
        </w:trPr>
        <w:tc>
          <w:tcPr>
            <w:tcW w:w="0" w:type="auto"/>
            <w:tcBorders>
              <w:left w:val="nil"/>
              <w:bottom w:val="nil"/>
              <w:right w:val="nil"/>
            </w:tcBorders>
          </w:tcPr>
          <w:p w:rsidR="004827A0" w:rsidRPr="00CD48C3" w:rsidRDefault="004827A0" w:rsidP="00AB4D9C">
            <w:pPr>
              <w:spacing w:after="0"/>
              <w:rPr>
                <w:rStyle w:val="tgc"/>
                <w:rFonts w:cs="Helvetica"/>
                <w:sz w:val="18"/>
                <w:szCs w:val="18"/>
              </w:rPr>
            </w:pPr>
            <w:r w:rsidRPr="00CD48C3">
              <w:rPr>
                <w:rStyle w:val="tgc"/>
                <w:rFonts w:cs="Helvetica"/>
                <w:sz w:val="18"/>
                <w:szCs w:val="18"/>
              </w:rPr>
              <w:t>SS</w:t>
            </w:r>
          </w:p>
        </w:tc>
        <w:tc>
          <w:tcPr>
            <w:tcW w:w="0" w:type="auto"/>
            <w:tcBorders>
              <w:left w:val="nil"/>
              <w:bottom w:val="nil"/>
              <w:right w:val="nil"/>
            </w:tcBorders>
          </w:tcPr>
          <w:p w:rsidR="004827A0" w:rsidRPr="00CD48C3" w:rsidRDefault="004827A0" w:rsidP="00AB4D9C">
            <w:pPr>
              <w:spacing w:after="0"/>
              <w:jc w:val="center"/>
              <w:rPr>
                <w:rStyle w:val="tgc"/>
                <w:rFonts w:cs="Helvetica"/>
                <w:sz w:val="18"/>
                <w:szCs w:val="18"/>
              </w:rPr>
            </w:pPr>
            <w:r w:rsidRPr="00CD48C3">
              <w:rPr>
                <w:rStyle w:val="tgc"/>
                <w:rFonts w:cs="Helvetica"/>
                <w:sz w:val="18"/>
                <w:szCs w:val="18"/>
              </w:rPr>
              <w:t>52.6±15.3</w:t>
            </w:r>
          </w:p>
        </w:tc>
        <w:tc>
          <w:tcPr>
            <w:tcW w:w="0" w:type="auto"/>
            <w:tcBorders>
              <w:left w:val="nil"/>
              <w:bottom w:val="nil"/>
              <w:right w:val="nil"/>
            </w:tcBorders>
          </w:tcPr>
          <w:p w:rsidR="004827A0" w:rsidRPr="00CD48C3" w:rsidRDefault="004827A0" w:rsidP="00AB4D9C">
            <w:pPr>
              <w:spacing w:after="0"/>
              <w:jc w:val="center"/>
              <w:rPr>
                <w:rStyle w:val="tgc"/>
                <w:rFonts w:cs="Helvetica"/>
                <w:sz w:val="18"/>
                <w:szCs w:val="18"/>
              </w:rPr>
            </w:pPr>
            <w:r w:rsidRPr="00CD48C3">
              <w:rPr>
                <w:rStyle w:val="tgc"/>
                <w:rFonts w:cs="Helvetica"/>
                <w:sz w:val="18"/>
                <w:szCs w:val="18"/>
              </w:rPr>
              <w:t>55.4±18.2</w:t>
            </w:r>
          </w:p>
        </w:tc>
        <w:tc>
          <w:tcPr>
            <w:tcW w:w="0" w:type="auto"/>
            <w:tcBorders>
              <w:left w:val="nil"/>
              <w:bottom w:val="nil"/>
              <w:right w:val="nil"/>
            </w:tcBorders>
          </w:tcPr>
          <w:p w:rsidR="004827A0" w:rsidRPr="00CD48C3" w:rsidRDefault="004827A0" w:rsidP="00AB4D9C">
            <w:pPr>
              <w:spacing w:after="0"/>
              <w:jc w:val="center"/>
              <w:rPr>
                <w:rStyle w:val="tgc"/>
                <w:rFonts w:cs="Helvetica"/>
                <w:sz w:val="18"/>
                <w:szCs w:val="18"/>
              </w:rPr>
            </w:pPr>
            <w:r w:rsidRPr="00CD48C3">
              <w:rPr>
                <w:rStyle w:val="tgc"/>
                <w:rFonts w:cs="Helvetica"/>
                <w:sz w:val="18"/>
                <w:szCs w:val="18"/>
              </w:rPr>
              <w:t>11.2</w:t>
            </w:r>
          </w:p>
        </w:tc>
      </w:tr>
      <w:tr w:rsidR="004827A0" w:rsidTr="00AB4D9C">
        <w:trPr>
          <w:trHeight w:val="298"/>
          <w:jc w:val="center"/>
        </w:trPr>
        <w:tc>
          <w:tcPr>
            <w:tcW w:w="0" w:type="auto"/>
            <w:tcBorders>
              <w:top w:val="nil"/>
              <w:left w:val="nil"/>
              <w:bottom w:val="single" w:sz="12" w:space="0" w:color="auto"/>
              <w:right w:val="nil"/>
            </w:tcBorders>
          </w:tcPr>
          <w:p w:rsidR="004827A0" w:rsidRPr="00CD48C3" w:rsidRDefault="004827A0" w:rsidP="00AB4D9C">
            <w:pPr>
              <w:spacing w:after="0"/>
              <w:rPr>
                <w:rStyle w:val="tgc"/>
                <w:rFonts w:cs="Helvetica"/>
                <w:sz w:val="18"/>
                <w:szCs w:val="18"/>
              </w:rPr>
            </w:pPr>
            <w:r w:rsidRPr="00CD48C3">
              <w:rPr>
                <w:rStyle w:val="tgc"/>
                <w:rFonts w:cs="Helvetica"/>
                <w:sz w:val="18"/>
                <w:szCs w:val="18"/>
              </w:rPr>
              <w:t>UT</w:t>
            </w:r>
          </w:p>
        </w:tc>
        <w:tc>
          <w:tcPr>
            <w:tcW w:w="0" w:type="auto"/>
            <w:tcBorders>
              <w:top w:val="nil"/>
              <w:left w:val="nil"/>
              <w:bottom w:val="single" w:sz="12" w:space="0" w:color="auto"/>
              <w:right w:val="nil"/>
            </w:tcBorders>
          </w:tcPr>
          <w:p w:rsidR="004827A0" w:rsidRPr="00CD48C3" w:rsidRDefault="004827A0" w:rsidP="00AB4D9C">
            <w:pPr>
              <w:spacing w:after="0"/>
              <w:jc w:val="center"/>
              <w:rPr>
                <w:rStyle w:val="tgc"/>
                <w:rFonts w:cs="Helvetica"/>
                <w:sz w:val="18"/>
                <w:szCs w:val="18"/>
              </w:rPr>
            </w:pPr>
            <w:r w:rsidRPr="00CD48C3">
              <w:rPr>
                <w:rStyle w:val="tgc"/>
                <w:rFonts w:cs="Helvetica"/>
                <w:sz w:val="18"/>
                <w:szCs w:val="18"/>
              </w:rPr>
              <w:t>58.4±18.0</w:t>
            </w:r>
          </w:p>
        </w:tc>
        <w:tc>
          <w:tcPr>
            <w:tcW w:w="0" w:type="auto"/>
            <w:tcBorders>
              <w:top w:val="nil"/>
              <w:left w:val="nil"/>
              <w:bottom w:val="single" w:sz="12" w:space="0" w:color="auto"/>
              <w:right w:val="nil"/>
            </w:tcBorders>
          </w:tcPr>
          <w:p w:rsidR="004827A0" w:rsidRPr="00CD48C3" w:rsidRDefault="004827A0" w:rsidP="00AB4D9C">
            <w:pPr>
              <w:spacing w:after="0"/>
              <w:jc w:val="center"/>
              <w:rPr>
                <w:rStyle w:val="tgc"/>
                <w:rFonts w:cs="Helvetica"/>
                <w:sz w:val="18"/>
                <w:szCs w:val="18"/>
              </w:rPr>
            </w:pPr>
            <w:r w:rsidRPr="00CD48C3">
              <w:rPr>
                <w:rStyle w:val="tgc"/>
                <w:rFonts w:cs="Helvetica"/>
                <w:sz w:val="18"/>
                <w:szCs w:val="18"/>
              </w:rPr>
              <w:t>55.6±17.5</w:t>
            </w:r>
          </w:p>
        </w:tc>
        <w:tc>
          <w:tcPr>
            <w:tcW w:w="0" w:type="auto"/>
            <w:tcBorders>
              <w:top w:val="nil"/>
              <w:left w:val="nil"/>
              <w:bottom w:val="single" w:sz="12" w:space="0" w:color="auto"/>
              <w:right w:val="nil"/>
            </w:tcBorders>
          </w:tcPr>
          <w:p w:rsidR="004827A0" w:rsidRPr="00CD48C3" w:rsidRDefault="004827A0" w:rsidP="00AB4D9C">
            <w:pPr>
              <w:spacing w:after="0"/>
              <w:jc w:val="center"/>
              <w:rPr>
                <w:rStyle w:val="tgc"/>
                <w:rFonts w:cs="Helvetica"/>
                <w:sz w:val="18"/>
                <w:szCs w:val="18"/>
              </w:rPr>
            </w:pPr>
            <w:r w:rsidRPr="00CD48C3">
              <w:rPr>
                <w:rStyle w:val="tgc"/>
                <w:rFonts w:cs="Helvetica"/>
                <w:sz w:val="18"/>
                <w:szCs w:val="18"/>
              </w:rPr>
              <w:t>8.5</w:t>
            </w:r>
          </w:p>
        </w:tc>
      </w:tr>
    </w:tbl>
    <w:p w:rsidR="0046150C" w:rsidRDefault="0046150C" w:rsidP="00905DF4"/>
    <w:p w:rsidR="0046150C" w:rsidRPr="00D74633" w:rsidRDefault="0046150C" w:rsidP="0046150C">
      <w:pPr>
        <w:pStyle w:val="MDPI22heading2"/>
        <w:spacing w:line="360" w:lineRule="auto"/>
        <w:rPr>
          <w:i w:val="0"/>
        </w:rPr>
      </w:pPr>
      <w:r>
        <w:t>2</w:t>
      </w:r>
      <w:r w:rsidRPr="00D05112">
        <w:t>.</w:t>
      </w:r>
      <w:r>
        <w:t>3</w:t>
      </w:r>
      <w:r w:rsidRPr="00D05112">
        <w:t xml:space="preserve"> </w:t>
      </w:r>
      <w:r>
        <w:t>Model configuration</w:t>
      </w:r>
    </w:p>
    <w:p w:rsidR="00215C4D" w:rsidRDefault="00E36EF7" w:rsidP="0046150C">
      <w:pPr>
        <w:spacing w:after="0" w:line="480" w:lineRule="auto"/>
        <w:rPr>
          <w:rFonts w:eastAsiaTheme="minorEastAsia"/>
        </w:rPr>
      </w:pPr>
      <w:r>
        <w:t>In an effort t</w:t>
      </w:r>
      <w:r w:rsidR="0046150C">
        <w:t>o link in situ and airborne datasets, as well as diagnose causal mechanisms of interaction, we employ a microwave radiative transfer model</w:t>
      </w:r>
      <w:r w:rsidR="0046150C" w:rsidRPr="00DF217B">
        <w:t xml:space="preserve">. Originally developed for microwave emission modelling </w:t>
      </w:r>
      <w:r w:rsidR="0046150C">
        <w:t xml:space="preserve">(Wiesmann et al., 1999), MEMLS was recently </w:t>
      </w:r>
      <w:r w:rsidR="0046150C" w:rsidRPr="00DF217B">
        <w:t>e</w:t>
      </w:r>
      <w:r w:rsidR="0046150C">
        <w:t>xtended to include backscatter for active applications (Proksch et al., 2015)</w:t>
      </w:r>
      <w:r w:rsidR="0046150C" w:rsidRPr="00DF217B">
        <w:t xml:space="preserve">. </w:t>
      </w:r>
      <w:r w:rsidR="0046150C">
        <w:t>Self-described as a model of intermediate complexity, MEMLS uses exponential correlation length (</w:t>
      </w:r>
      <m:oMath>
        <m:sSub>
          <m:sSubPr>
            <m:ctrlPr>
              <w:rPr>
                <w:rFonts w:ascii="Cambria Math" w:hAnsi="Cambria Math" w:cs="Arial"/>
                <w:i/>
              </w:rPr>
            </m:ctrlPr>
          </m:sSubPr>
          <m:e>
            <m:r>
              <w:rPr>
                <w:rFonts w:ascii="Cambria Math" w:hAnsi="Cambria Math" w:cs="Arial"/>
              </w:rPr>
              <m:t>l</m:t>
            </m:r>
          </m:e>
          <m:sub>
            <m:r>
              <m:rPr>
                <m:nor/>
              </m:rPr>
              <w:rPr>
                <w:rFonts w:ascii="Cambria Math" w:hAnsi="Cambria Math" w:cs="Arial"/>
              </w:rPr>
              <m:t>ex</m:t>
            </m:r>
          </m:sub>
        </m:sSub>
      </m:oMath>
      <w:r w:rsidR="0046150C">
        <w:t>) as a microstructural quantity in computation of the</w:t>
      </w:r>
      <w:r w:rsidR="00215C4D">
        <w:t xml:space="preserve"> scattering</w:t>
      </w:r>
      <w:r w:rsidR="0046150C">
        <w:t xml:space="preserve"> coefficient (Matzler, 1998). As a result, objective lab-based measurements or field-based approximations of </w:t>
      </w:r>
      <m:oMath>
        <m:sSub>
          <m:sSubPr>
            <m:ctrlPr>
              <w:rPr>
                <w:rFonts w:ascii="Cambria Math" w:hAnsi="Cambria Math" w:cs="Arial"/>
                <w:i/>
              </w:rPr>
            </m:ctrlPr>
          </m:sSubPr>
          <m:e>
            <m:r>
              <w:rPr>
                <w:rFonts w:ascii="Cambria Math" w:hAnsi="Cambria Math" w:cs="Arial"/>
              </w:rPr>
              <m:t>l</m:t>
            </m:r>
          </m:e>
          <m:sub>
            <m:r>
              <w:rPr>
                <w:rFonts w:ascii="Cambria Math" w:hAnsi="Cambria Math" w:cs="Arial"/>
              </w:rPr>
              <m:t>ex</m:t>
            </m:r>
          </m:sub>
        </m:sSub>
      </m:oMath>
      <w:r w:rsidR="0046150C">
        <w:rPr>
          <w:rFonts w:eastAsiaTheme="minorEastAsia"/>
        </w:rPr>
        <w:t xml:space="preserve"> </w:t>
      </w:r>
      <w:r w:rsidR="0046150C">
        <w:t>can be used to create meaningful input</w:t>
      </w:r>
      <w:r w:rsidR="0046150C" w:rsidRPr="00DF217B">
        <w:t>.</w:t>
      </w:r>
      <w:r w:rsidR="0046150C">
        <w:t xml:space="preserve"> In practice, while many of the required inputs were satisfied with snow pit measurements (Table 2), additional steps were necessary to derive </w:t>
      </w:r>
      <m:oMath>
        <m:sSub>
          <m:sSubPr>
            <m:ctrlPr>
              <w:rPr>
                <w:rFonts w:ascii="Cambria Math" w:hAnsi="Cambria Math" w:cs="Arial"/>
                <w:i/>
              </w:rPr>
            </m:ctrlPr>
          </m:sSubPr>
          <m:e>
            <m:r>
              <w:rPr>
                <w:rFonts w:ascii="Cambria Math" w:hAnsi="Cambria Math" w:cs="Arial"/>
              </w:rPr>
              <m:t>l</m:t>
            </m:r>
          </m:e>
          <m:sub>
            <m:r>
              <m:rPr>
                <m:nor/>
              </m:rPr>
              <w:rPr>
                <w:rFonts w:ascii="Cambria Math" w:hAnsi="Cambria Math" w:cs="Arial"/>
              </w:rPr>
              <m:t>ex</m:t>
            </m:r>
          </m:sub>
        </m:sSub>
      </m:oMath>
      <w:r w:rsidR="0046150C">
        <w:rPr>
          <w:rFonts w:eastAsiaTheme="minorEastAsia"/>
        </w:rPr>
        <w:t xml:space="preserve"> from the IRIS measurements, as well as constrain unknowns</w:t>
      </w:r>
      <w:r w:rsidR="00584B1A">
        <w:rPr>
          <w:rFonts w:eastAsiaTheme="minorEastAsia"/>
        </w:rPr>
        <w:t xml:space="preserve"> including basal reflectivity. </w:t>
      </w:r>
    </w:p>
    <w:p w:rsidR="0046150C" w:rsidRPr="00450A99" w:rsidRDefault="0046150C" w:rsidP="00E74C28">
      <w:pPr>
        <w:pStyle w:val="Caption"/>
        <w:keepNext/>
        <w:spacing w:line="360" w:lineRule="auto"/>
        <w:rPr>
          <w:color w:val="auto"/>
        </w:rPr>
      </w:pPr>
      <w:r w:rsidRPr="00F03273">
        <w:rPr>
          <w:color w:val="auto"/>
        </w:rPr>
        <w:t xml:space="preserve">Table 2: MEMLS model inputs as modeled or derived from the available TVC datasets. Salinity and liquid water were set as constant 0 values in all </w:t>
      </w:r>
      <w:r w:rsidR="00270898">
        <w:rPr>
          <w:color w:val="auto"/>
        </w:rPr>
        <w:t>simulations</w:t>
      </w:r>
      <w:r w:rsidRPr="009104BE">
        <w:rPr>
          <w:color w:val="auto"/>
        </w:rPr>
        <w:t xml:space="preserve"> to reflect the dry terrestrial nature of the snowpack</w:t>
      </w:r>
      <w:r w:rsidRPr="00450A99">
        <w:rPr>
          <w:color w:val="auto"/>
        </w:rPr>
        <w:t>.</w:t>
      </w:r>
    </w:p>
    <w:tbl>
      <w:tblPr>
        <w:tblW w:w="0" w:type="auto"/>
        <w:jc w:val="center"/>
        <w:tblLook w:val="04A0" w:firstRow="1" w:lastRow="0" w:firstColumn="1" w:lastColumn="0" w:noHBand="0" w:noVBand="1"/>
      </w:tblPr>
      <w:tblGrid>
        <w:gridCol w:w="2367"/>
        <w:gridCol w:w="1701"/>
        <w:gridCol w:w="2268"/>
        <w:gridCol w:w="2653"/>
      </w:tblGrid>
      <w:tr w:rsidR="0046150C" w:rsidRPr="00801AC4" w:rsidTr="00270898">
        <w:trPr>
          <w:trHeight w:val="273"/>
          <w:jc w:val="center"/>
        </w:trPr>
        <w:tc>
          <w:tcPr>
            <w:tcW w:w="2367" w:type="dxa"/>
            <w:tcBorders>
              <w:top w:val="single" w:sz="12" w:space="0" w:color="auto"/>
              <w:left w:val="nil"/>
              <w:bottom w:val="single" w:sz="4" w:space="0" w:color="auto"/>
              <w:right w:val="nil"/>
            </w:tcBorders>
          </w:tcPr>
          <w:p w:rsidR="0046150C" w:rsidRPr="000E758F" w:rsidRDefault="0046150C" w:rsidP="00AB4D9C">
            <w:pPr>
              <w:spacing w:after="0"/>
              <w:rPr>
                <w:b/>
                <w:sz w:val="18"/>
                <w:szCs w:val="18"/>
              </w:rPr>
            </w:pPr>
            <w:r w:rsidRPr="0092379E">
              <w:rPr>
                <w:b/>
                <w:sz w:val="18"/>
                <w:szCs w:val="18"/>
              </w:rPr>
              <w:t>MEMLS</w:t>
            </w:r>
            <w:r w:rsidRPr="000E758F">
              <w:rPr>
                <w:b/>
                <w:sz w:val="18"/>
                <w:szCs w:val="18"/>
              </w:rPr>
              <w:t xml:space="preserve"> parameter</w:t>
            </w:r>
          </w:p>
        </w:tc>
        <w:tc>
          <w:tcPr>
            <w:tcW w:w="1701" w:type="dxa"/>
            <w:tcBorders>
              <w:top w:val="single" w:sz="12" w:space="0" w:color="auto"/>
              <w:left w:val="nil"/>
              <w:bottom w:val="single" w:sz="4" w:space="0" w:color="auto"/>
              <w:right w:val="nil"/>
            </w:tcBorders>
          </w:tcPr>
          <w:p w:rsidR="0046150C" w:rsidRPr="00801AC4" w:rsidRDefault="0046150C" w:rsidP="00AB4D9C">
            <w:pPr>
              <w:spacing w:after="0"/>
              <w:jc w:val="center"/>
              <w:rPr>
                <w:b/>
                <w:sz w:val="18"/>
                <w:szCs w:val="18"/>
              </w:rPr>
            </w:pPr>
            <w:r w:rsidRPr="00801AC4">
              <w:rPr>
                <w:b/>
                <w:sz w:val="18"/>
                <w:szCs w:val="18"/>
              </w:rPr>
              <w:t>Value [unit]</w:t>
            </w:r>
          </w:p>
        </w:tc>
        <w:tc>
          <w:tcPr>
            <w:tcW w:w="2268" w:type="dxa"/>
            <w:tcBorders>
              <w:top w:val="single" w:sz="12" w:space="0" w:color="auto"/>
              <w:left w:val="nil"/>
              <w:bottom w:val="single" w:sz="4" w:space="0" w:color="auto"/>
              <w:right w:val="nil"/>
            </w:tcBorders>
          </w:tcPr>
          <w:p w:rsidR="0046150C" w:rsidRPr="00801AC4" w:rsidRDefault="0046150C" w:rsidP="00AB4D9C">
            <w:pPr>
              <w:spacing w:after="0"/>
              <w:jc w:val="center"/>
              <w:rPr>
                <w:b/>
                <w:sz w:val="18"/>
                <w:szCs w:val="18"/>
              </w:rPr>
            </w:pPr>
            <w:r w:rsidRPr="00801AC4">
              <w:rPr>
                <w:b/>
                <w:sz w:val="18"/>
                <w:szCs w:val="18"/>
              </w:rPr>
              <w:t>Method</w:t>
            </w:r>
          </w:p>
        </w:tc>
        <w:tc>
          <w:tcPr>
            <w:tcW w:w="2653" w:type="dxa"/>
            <w:tcBorders>
              <w:top w:val="single" w:sz="12" w:space="0" w:color="auto"/>
              <w:left w:val="nil"/>
              <w:bottom w:val="single" w:sz="4" w:space="0" w:color="auto"/>
              <w:right w:val="nil"/>
            </w:tcBorders>
          </w:tcPr>
          <w:p w:rsidR="0046150C" w:rsidRPr="00801AC4" w:rsidRDefault="0046150C" w:rsidP="00AB4D9C">
            <w:pPr>
              <w:spacing w:after="0"/>
              <w:jc w:val="center"/>
              <w:rPr>
                <w:b/>
                <w:sz w:val="18"/>
                <w:szCs w:val="18"/>
              </w:rPr>
            </w:pPr>
            <w:r w:rsidRPr="00801AC4">
              <w:rPr>
                <w:b/>
                <w:sz w:val="18"/>
                <w:szCs w:val="18"/>
              </w:rPr>
              <w:t>Reference</w:t>
            </w:r>
          </w:p>
        </w:tc>
      </w:tr>
      <w:tr w:rsidR="0046150C" w:rsidRPr="00801AC4" w:rsidTr="00270898">
        <w:trPr>
          <w:trHeight w:val="257"/>
          <w:jc w:val="center"/>
        </w:trPr>
        <w:tc>
          <w:tcPr>
            <w:tcW w:w="2367" w:type="dxa"/>
            <w:tcBorders>
              <w:left w:val="nil"/>
              <w:bottom w:val="nil"/>
              <w:right w:val="nil"/>
            </w:tcBorders>
          </w:tcPr>
          <w:p w:rsidR="0046150C" w:rsidRPr="00801AC4" w:rsidRDefault="0046150C" w:rsidP="00AB4D9C">
            <w:pPr>
              <w:spacing w:after="0"/>
              <w:rPr>
                <w:sz w:val="18"/>
                <w:szCs w:val="18"/>
              </w:rPr>
            </w:pPr>
            <w:r w:rsidRPr="00801AC4">
              <w:rPr>
                <w:b/>
                <w:sz w:val="18"/>
                <w:szCs w:val="18"/>
              </w:rPr>
              <w:t>Snow</w:t>
            </w:r>
            <w:r w:rsidRPr="00801AC4">
              <w:rPr>
                <w:sz w:val="18"/>
                <w:szCs w:val="18"/>
              </w:rPr>
              <w:t>:</w:t>
            </w:r>
          </w:p>
        </w:tc>
        <w:tc>
          <w:tcPr>
            <w:tcW w:w="1701" w:type="dxa"/>
            <w:tcBorders>
              <w:left w:val="nil"/>
              <w:bottom w:val="nil"/>
              <w:right w:val="nil"/>
            </w:tcBorders>
          </w:tcPr>
          <w:p w:rsidR="0046150C" w:rsidRPr="00801AC4" w:rsidRDefault="0046150C" w:rsidP="00AB4D9C">
            <w:pPr>
              <w:spacing w:after="0"/>
              <w:jc w:val="center"/>
              <w:rPr>
                <w:sz w:val="18"/>
                <w:szCs w:val="18"/>
              </w:rPr>
            </w:pPr>
          </w:p>
        </w:tc>
        <w:tc>
          <w:tcPr>
            <w:tcW w:w="2268" w:type="dxa"/>
            <w:tcBorders>
              <w:left w:val="nil"/>
              <w:bottom w:val="nil"/>
              <w:right w:val="nil"/>
            </w:tcBorders>
          </w:tcPr>
          <w:p w:rsidR="0046150C" w:rsidRPr="00801AC4" w:rsidRDefault="0046150C" w:rsidP="00AB4D9C">
            <w:pPr>
              <w:spacing w:after="0"/>
              <w:jc w:val="center"/>
              <w:rPr>
                <w:sz w:val="18"/>
                <w:szCs w:val="18"/>
              </w:rPr>
            </w:pPr>
          </w:p>
        </w:tc>
        <w:tc>
          <w:tcPr>
            <w:tcW w:w="2653" w:type="dxa"/>
            <w:tcBorders>
              <w:left w:val="nil"/>
              <w:bottom w:val="nil"/>
              <w:right w:val="nil"/>
            </w:tcBorders>
          </w:tcPr>
          <w:p w:rsidR="0046150C" w:rsidRPr="00801AC4" w:rsidRDefault="0046150C" w:rsidP="00AB4D9C">
            <w:pPr>
              <w:spacing w:after="0"/>
              <w:jc w:val="center"/>
              <w:rPr>
                <w:sz w:val="18"/>
                <w:szCs w:val="18"/>
              </w:rPr>
            </w:pPr>
          </w:p>
        </w:tc>
      </w:tr>
      <w:tr w:rsidR="0046150C" w:rsidRPr="00F03273" w:rsidTr="00270898">
        <w:trPr>
          <w:trHeight w:val="257"/>
          <w:jc w:val="center"/>
        </w:trPr>
        <w:tc>
          <w:tcPr>
            <w:tcW w:w="2367" w:type="dxa"/>
            <w:tcBorders>
              <w:top w:val="nil"/>
              <w:left w:val="nil"/>
              <w:bottom w:val="nil"/>
              <w:right w:val="nil"/>
            </w:tcBorders>
          </w:tcPr>
          <w:p w:rsidR="0046150C" w:rsidRPr="00F03273" w:rsidRDefault="0046150C" w:rsidP="00AB4D9C">
            <w:pPr>
              <w:spacing w:after="0"/>
              <w:rPr>
                <w:sz w:val="18"/>
                <w:szCs w:val="18"/>
              </w:rPr>
            </w:pPr>
            <w:r w:rsidRPr="00F03273">
              <w:rPr>
                <w:sz w:val="18"/>
                <w:szCs w:val="18"/>
              </w:rPr>
              <w:t xml:space="preserve">  Layer thickness</w:t>
            </w:r>
          </w:p>
        </w:tc>
        <w:tc>
          <w:tcPr>
            <w:tcW w:w="1701" w:type="dxa"/>
            <w:tcBorders>
              <w:top w:val="nil"/>
              <w:left w:val="nil"/>
              <w:bottom w:val="nil"/>
              <w:right w:val="nil"/>
            </w:tcBorders>
          </w:tcPr>
          <w:p w:rsidR="0046150C" w:rsidRPr="00F03273" w:rsidRDefault="0046150C" w:rsidP="00AB4D9C">
            <w:pPr>
              <w:spacing w:after="0"/>
              <w:jc w:val="center"/>
              <w:rPr>
                <w:sz w:val="18"/>
                <w:szCs w:val="18"/>
              </w:rPr>
            </w:pPr>
            <w:r w:rsidRPr="00F03273">
              <w:rPr>
                <w:sz w:val="18"/>
                <w:szCs w:val="18"/>
              </w:rPr>
              <w:t>[cm]</w:t>
            </w:r>
          </w:p>
        </w:tc>
        <w:tc>
          <w:tcPr>
            <w:tcW w:w="2268" w:type="dxa"/>
            <w:tcBorders>
              <w:top w:val="nil"/>
              <w:left w:val="nil"/>
              <w:bottom w:val="nil"/>
              <w:right w:val="nil"/>
            </w:tcBorders>
          </w:tcPr>
          <w:p w:rsidR="0046150C" w:rsidRPr="00F03273" w:rsidRDefault="0046150C" w:rsidP="00AB4D9C">
            <w:pPr>
              <w:spacing w:after="0"/>
              <w:jc w:val="center"/>
              <w:rPr>
                <w:sz w:val="18"/>
                <w:szCs w:val="18"/>
              </w:rPr>
            </w:pPr>
            <w:r w:rsidRPr="00F03273">
              <w:rPr>
                <w:sz w:val="18"/>
                <w:szCs w:val="18"/>
              </w:rPr>
              <w:t>Traditional/Pit</w:t>
            </w:r>
          </w:p>
        </w:tc>
        <w:tc>
          <w:tcPr>
            <w:tcW w:w="2653" w:type="dxa"/>
            <w:tcBorders>
              <w:top w:val="nil"/>
              <w:left w:val="nil"/>
              <w:bottom w:val="nil"/>
              <w:right w:val="nil"/>
            </w:tcBorders>
          </w:tcPr>
          <w:p w:rsidR="0046150C" w:rsidRPr="00F03273" w:rsidRDefault="0046150C" w:rsidP="00AB4D9C">
            <w:pPr>
              <w:spacing w:after="0"/>
              <w:jc w:val="center"/>
              <w:rPr>
                <w:sz w:val="18"/>
                <w:szCs w:val="18"/>
              </w:rPr>
            </w:pPr>
            <w:r w:rsidRPr="00F03273">
              <w:rPr>
                <w:sz w:val="18"/>
                <w:szCs w:val="18"/>
              </w:rPr>
              <w:t>Fierz et al., 2009</w:t>
            </w:r>
          </w:p>
        </w:tc>
      </w:tr>
      <w:tr w:rsidR="0046150C" w:rsidRPr="00801AC4" w:rsidTr="00270898">
        <w:trPr>
          <w:trHeight w:val="273"/>
          <w:jc w:val="center"/>
        </w:trPr>
        <w:tc>
          <w:tcPr>
            <w:tcW w:w="2367" w:type="dxa"/>
            <w:tcBorders>
              <w:top w:val="nil"/>
              <w:left w:val="nil"/>
              <w:bottom w:val="nil"/>
              <w:right w:val="nil"/>
            </w:tcBorders>
          </w:tcPr>
          <w:p w:rsidR="0046150C" w:rsidRPr="00F03273" w:rsidRDefault="0046150C" w:rsidP="00AB4D9C">
            <w:pPr>
              <w:spacing w:after="0"/>
              <w:rPr>
                <w:sz w:val="18"/>
                <w:szCs w:val="18"/>
              </w:rPr>
            </w:pPr>
            <w:r w:rsidRPr="00F03273">
              <w:rPr>
                <w:sz w:val="18"/>
                <w:szCs w:val="18"/>
              </w:rPr>
              <w:t xml:space="preserve">  Density (</w:t>
            </w:r>
            <m:oMath>
              <m:sSub>
                <m:sSubPr>
                  <m:ctrlPr>
                    <w:rPr>
                      <w:rFonts w:ascii="Cambria Math" w:eastAsiaTheme="minorEastAsia" w:hAnsi="Cambria Math"/>
                      <w:i/>
                      <w:sz w:val="18"/>
                      <w:szCs w:val="18"/>
                    </w:rPr>
                  </m:ctrlPr>
                </m:sSubPr>
                <m:e>
                  <m:r>
                    <w:rPr>
                      <w:rFonts w:ascii="Cambria Math" w:eastAsiaTheme="minorEastAsia" w:hAnsi="Cambria Math"/>
                      <w:sz w:val="18"/>
                      <w:szCs w:val="18"/>
                    </w:rPr>
                    <m:t>ρ</m:t>
                  </m:r>
                </m:e>
                <m:sub>
                  <m:r>
                    <m:rPr>
                      <m:nor/>
                    </m:rPr>
                    <w:rPr>
                      <w:rFonts w:ascii="Cambria Math" w:eastAsiaTheme="minorEastAsia" w:hAnsi="Cambria Math"/>
                      <w:sz w:val="18"/>
                      <w:szCs w:val="18"/>
                    </w:rPr>
                    <m:t>snow</m:t>
                  </m:r>
                </m:sub>
              </m:sSub>
              <m:r>
                <w:rPr>
                  <w:rFonts w:ascii="Cambria Math" w:eastAsiaTheme="minorEastAsia" w:hAnsi="Cambria Math"/>
                  <w:sz w:val="18"/>
                  <w:szCs w:val="18"/>
                </w:rPr>
                <m:t>)</m:t>
              </m:r>
            </m:oMath>
          </w:p>
        </w:tc>
        <w:tc>
          <w:tcPr>
            <w:tcW w:w="1701" w:type="dxa"/>
            <w:tcBorders>
              <w:top w:val="nil"/>
              <w:left w:val="nil"/>
              <w:bottom w:val="nil"/>
              <w:right w:val="nil"/>
            </w:tcBorders>
          </w:tcPr>
          <w:p w:rsidR="0046150C" w:rsidRPr="00F03273" w:rsidRDefault="0046150C" w:rsidP="00AB4D9C">
            <w:pPr>
              <w:spacing w:after="0"/>
              <w:jc w:val="center"/>
              <w:rPr>
                <w:sz w:val="18"/>
                <w:szCs w:val="18"/>
              </w:rPr>
            </w:pPr>
            <w:r w:rsidRPr="00F03273">
              <w:rPr>
                <w:sz w:val="18"/>
                <w:szCs w:val="18"/>
              </w:rPr>
              <w:t>[kg m</w:t>
            </w:r>
            <w:r w:rsidRPr="00F03273">
              <w:rPr>
                <w:sz w:val="18"/>
                <w:szCs w:val="18"/>
                <w:vertAlign w:val="superscript"/>
              </w:rPr>
              <w:t>-3</w:t>
            </w:r>
            <w:r w:rsidRPr="00F03273">
              <w:rPr>
                <w:sz w:val="18"/>
                <w:szCs w:val="18"/>
              </w:rPr>
              <w:t>]</w:t>
            </w:r>
          </w:p>
        </w:tc>
        <w:tc>
          <w:tcPr>
            <w:tcW w:w="2268" w:type="dxa"/>
            <w:tcBorders>
              <w:top w:val="nil"/>
              <w:left w:val="nil"/>
              <w:bottom w:val="nil"/>
              <w:right w:val="nil"/>
            </w:tcBorders>
          </w:tcPr>
          <w:p w:rsidR="0046150C" w:rsidRPr="00F03273" w:rsidRDefault="0046150C" w:rsidP="00AB4D9C">
            <w:pPr>
              <w:spacing w:after="0"/>
              <w:jc w:val="center"/>
              <w:rPr>
                <w:sz w:val="18"/>
                <w:szCs w:val="18"/>
              </w:rPr>
            </w:pPr>
            <w:r w:rsidRPr="00F03273">
              <w:rPr>
                <w:sz w:val="18"/>
                <w:szCs w:val="18"/>
              </w:rPr>
              <w:t>Traditional/Pit</w:t>
            </w:r>
          </w:p>
        </w:tc>
        <w:tc>
          <w:tcPr>
            <w:tcW w:w="2653" w:type="dxa"/>
            <w:tcBorders>
              <w:top w:val="nil"/>
              <w:left w:val="nil"/>
              <w:bottom w:val="nil"/>
              <w:right w:val="nil"/>
            </w:tcBorders>
          </w:tcPr>
          <w:p w:rsidR="0046150C" w:rsidRPr="00F03273" w:rsidRDefault="0046150C" w:rsidP="00AB4D9C">
            <w:pPr>
              <w:spacing w:after="0"/>
              <w:jc w:val="center"/>
              <w:rPr>
                <w:sz w:val="18"/>
                <w:szCs w:val="18"/>
              </w:rPr>
            </w:pPr>
            <w:r w:rsidRPr="00F03273">
              <w:rPr>
                <w:sz w:val="18"/>
                <w:szCs w:val="18"/>
              </w:rPr>
              <w:t>Fierz et al., 2009</w:t>
            </w:r>
          </w:p>
        </w:tc>
      </w:tr>
      <w:tr w:rsidR="0046150C" w:rsidRPr="00F03273" w:rsidTr="00270898">
        <w:trPr>
          <w:trHeight w:val="273"/>
          <w:jc w:val="center"/>
        </w:trPr>
        <w:tc>
          <w:tcPr>
            <w:tcW w:w="2367" w:type="dxa"/>
            <w:tcBorders>
              <w:top w:val="nil"/>
              <w:left w:val="nil"/>
              <w:bottom w:val="nil"/>
              <w:right w:val="nil"/>
            </w:tcBorders>
          </w:tcPr>
          <w:p w:rsidR="0046150C" w:rsidRPr="00F03273" w:rsidRDefault="0046150C" w:rsidP="00AB4D9C">
            <w:pPr>
              <w:spacing w:after="0"/>
              <w:rPr>
                <w:sz w:val="18"/>
                <w:szCs w:val="18"/>
              </w:rPr>
            </w:pPr>
            <w:r w:rsidRPr="00F03273">
              <w:rPr>
                <w:sz w:val="18"/>
                <w:szCs w:val="18"/>
              </w:rPr>
              <w:t xml:space="preserve">  Temperature</w:t>
            </w:r>
          </w:p>
        </w:tc>
        <w:tc>
          <w:tcPr>
            <w:tcW w:w="1701" w:type="dxa"/>
            <w:tcBorders>
              <w:top w:val="nil"/>
              <w:left w:val="nil"/>
              <w:bottom w:val="nil"/>
              <w:right w:val="nil"/>
            </w:tcBorders>
          </w:tcPr>
          <w:p w:rsidR="0046150C" w:rsidRPr="00F03273" w:rsidRDefault="0046150C" w:rsidP="00AB4D9C">
            <w:pPr>
              <w:spacing w:after="0"/>
              <w:jc w:val="center"/>
              <w:rPr>
                <w:sz w:val="18"/>
                <w:szCs w:val="18"/>
              </w:rPr>
            </w:pPr>
            <w:r w:rsidRPr="00F03273">
              <w:rPr>
                <w:sz w:val="18"/>
                <w:szCs w:val="18"/>
              </w:rPr>
              <w:t xml:space="preserve"> [</w:t>
            </w:r>
            <w:r w:rsidRPr="00F03273">
              <w:rPr>
                <w:rStyle w:val="tgc"/>
                <w:sz w:val="18"/>
                <w:szCs w:val="18"/>
              </w:rPr>
              <w:t>K]</w:t>
            </w:r>
          </w:p>
        </w:tc>
        <w:tc>
          <w:tcPr>
            <w:tcW w:w="2268" w:type="dxa"/>
            <w:tcBorders>
              <w:top w:val="nil"/>
              <w:left w:val="nil"/>
              <w:bottom w:val="nil"/>
              <w:right w:val="nil"/>
            </w:tcBorders>
          </w:tcPr>
          <w:p w:rsidR="0046150C" w:rsidRPr="00F03273" w:rsidRDefault="0046150C" w:rsidP="00AB4D9C">
            <w:pPr>
              <w:spacing w:after="0"/>
              <w:jc w:val="center"/>
              <w:rPr>
                <w:sz w:val="18"/>
                <w:szCs w:val="18"/>
              </w:rPr>
            </w:pPr>
            <w:r w:rsidRPr="00F03273">
              <w:rPr>
                <w:sz w:val="18"/>
                <w:szCs w:val="18"/>
              </w:rPr>
              <w:t>Traditional/Pit</w:t>
            </w:r>
          </w:p>
        </w:tc>
        <w:tc>
          <w:tcPr>
            <w:tcW w:w="2653" w:type="dxa"/>
            <w:tcBorders>
              <w:top w:val="nil"/>
              <w:left w:val="nil"/>
              <w:bottom w:val="nil"/>
              <w:right w:val="nil"/>
            </w:tcBorders>
          </w:tcPr>
          <w:p w:rsidR="0046150C" w:rsidRPr="00F03273" w:rsidRDefault="0046150C" w:rsidP="00AB4D9C">
            <w:pPr>
              <w:spacing w:after="0"/>
              <w:jc w:val="center"/>
              <w:rPr>
                <w:sz w:val="18"/>
                <w:szCs w:val="18"/>
              </w:rPr>
            </w:pPr>
            <w:r w:rsidRPr="00F03273">
              <w:rPr>
                <w:sz w:val="18"/>
                <w:szCs w:val="18"/>
              </w:rPr>
              <w:t>Fierz et al., 2009</w:t>
            </w:r>
          </w:p>
        </w:tc>
      </w:tr>
      <w:tr w:rsidR="0046150C" w:rsidRPr="00F03273" w:rsidTr="00270898">
        <w:trPr>
          <w:trHeight w:val="273"/>
          <w:jc w:val="center"/>
        </w:trPr>
        <w:tc>
          <w:tcPr>
            <w:tcW w:w="2367" w:type="dxa"/>
            <w:tcBorders>
              <w:top w:val="nil"/>
              <w:left w:val="nil"/>
              <w:bottom w:val="nil"/>
              <w:right w:val="nil"/>
            </w:tcBorders>
          </w:tcPr>
          <w:p w:rsidR="0046150C" w:rsidRPr="00F03273" w:rsidRDefault="0046150C" w:rsidP="00AB4D9C">
            <w:pPr>
              <w:spacing w:after="0"/>
              <w:rPr>
                <w:sz w:val="18"/>
                <w:szCs w:val="18"/>
              </w:rPr>
            </w:pPr>
            <w:r w:rsidRPr="008F24E9">
              <w:rPr>
                <w:sz w:val="18"/>
                <w:szCs w:val="18"/>
                <w:lang w:val="en-CA"/>
              </w:rPr>
              <w:t xml:space="preserve">  Liquid water content</w:t>
            </w:r>
          </w:p>
        </w:tc>
        <w:tc>
          <w:tcPr>
            <w:tcW w:w="1701" w:type="dxa"/>
            <w:tcBorders>
              <w:top w:val="nil"/>
              <w:left w:val="nil"/>
              <w:bottom w:val="nil"/>
              <w:right w:val="nil"/>
            </w:tcBorders>
          </w:tcPr>
          <w:p w:rsidR="0046150C" w:rsidRPr="00F03273" w:rsidRDefault="00270898" w:rsidP="00AB4D9C">
            <w:pPr>
              <w:spacing w:after="0"/>
              <w:jc w:val="center"/>
              <w:rPr>
                <w:sz w:val="18"/>
                <w:szCs w:val="18"/>
              </w:rPr>
            </w:pPr>
            <w:r>
              <w:rPr>
                <w:sz w:val="18"/>
                <w:szCs w:val="18"/>
              </w:rPr>
              <w:t>0</w:t>
            </w:r>
            <w:r w:rsidR="0046150C">
              <w:rPr>
                <w:sz w:val="18"/>
                <w:szCs w:val="18"/>
              </w:rPr>
              <w:t xml:space="preserve"> [%]</w:t>
            </w:r>
          </w:p>
        </w:tc>
        <w:tc>
          <w:tcPr>
            <w:tcW w:w="2268" w:type="dxa"/>
            <w:tcBorders>
              <w:top w:val="nil"/>
              <w:left w:val="nil"/>
              <w:bottom w:val="nil"/>
              <w:right w:val="nil"/>
            </w:tcBorders>
          </w:tcPr>
          <w:p w:rsidR="0046150C" w:rsidRPr="00F03273" w:rsidRDefault="0046150C" w:rsidP="00AB4D9C">
            <w:pPr>
              <w:spacing w:after="0"/>
              <w:jc w:val="center"/>
              <w:rPr>
                <w:sz w:val="18"/>
                <w:szCs w:val="18"/>
              </w:rPr>
            </w:pPr>
            <w:r w:rsidRPr="00F03273">
              <w:rPr>
                <w:sz w:val="18"/>
                <w:szCs w:val="18"/>
              </w:rPr>
              <w:t>Traditional/Pit</w:t>
            </w:r>
          </w:p>
        </w:tc>
        <w:tc>
          <w:tcPr>
            <w:tcW w:w="2653" w:type="dxa"/>
            <w:tcBorders>
              <w:top w:val="nil"/>
              <w:left w:val="nil"/>
              <w:bottom w:val="nil"/>
              <w:right w:val="nil"/>
            </w:tcBorders>
          </w:tcPr>
          <w:p w:rsidR="0046150C" w:rsidRPr="00F03273" w:rsidRDefault="0046150C" w:rsidP="00AB4D9C">
            <w:pPr>
              <w:spacing w:after="0"/>
              <w:jc w:val="center"/>
              <w:rPr>
                <w:sz w:val="18"/>
                <w:szCs w:val="18"/>
              </w:rPr>
            </w:pPr>
            <w:r w:rsidRPr="00F03273">
              <w:rPr>
                <w:sz w:val="18"/>
                <w:szCs w:val="18"/>
              </w:rPr>
              <w:t>Fierz et al., 2009</w:t>
            </w:r>
          </w:p>
        </w:tc>
      </w:tr>
      <w:tr w:rsidR="0046150C" w:rsidRPr="00F03273" w:rsidTr="00270898">
        <w:trPr>
          <w:trHeight w:val="273"/>
          <w:jc w:val="center"/>
        </w:trPr>
        <w:tc>
          <w:tcPr>
            <w:tcW w:w="2367" w:type="dxa"/>
            <w:tcBorders>
              <w:top w:val="nil"/>
              <w:left w:val="nil"/>
              <w:bottom w:val="nil"/>
              <w:right w:val="nil"/>
            </w:tcBorders>
          </w:tcPr>
          <w:p w:rsidR="0046150C" w:rsidRPr="00F03273" w:rsidRDefault="0046150C" w:rsidP="00AB4D9C">
            <w:pPr>
              <w:spacing w:after="0"/>
              <w:rPr>
                <w:sz w:val="18"/>
                <w:szCs w:val="18"/>
              </w:rPr>
            </w:pPr>
            <w:r w:rsidRPr="00F03273">
              <w:rPr>
                <w:sz w:val="18"/>
                <w:szCs w:val="18"/>
              </w:rPr>
              <w:t xml:space="preserve">  Exp. Corr. Length. (</w:t>
            </w:r>
            <m:oMath>
              <m:sSub>
                <m:sSubPr>
                  <m:ctrlPr>
                    <w:rPr>
                      <w:rFonts w:ascii="Cambria Math" w:hAnsi="Cambria Math"/>
                      <w:i/>
                      <w:sz w:val="18"/>
                      <w:szCs w:val="18"/>
                    </w:rPr>
                  </m:ctrlPr>
                </m:sSubPr>
                <m:e>
                  <m:r>
                    <w:rPr>
                      <w:rFonts w:ascii="Cambria Math" w:hAnsi="Cambria Math"/>
                      <w:sz w:val="18"/>
                      <w:szCs w:val="18"/>
                    </w:rPr>
                    <m:t>l</m:t>
                  </m:r>
                </m:e>
                <m:sub>
                  <m:r>
                    <m:rPr>
                      <m:nor/>
                    </m:rPr>
                    <w:rPr>
                      <w:rFonts w:ascii="Cambria Math" w:hAnsi="Cambria Math"/>
                      <w:sz w:val="18"/>
                      <w:szCs w:val="18"/>
                    </w:rPr>
                    <m:t>ex</m:t>
                  </m:r>
                </m:sub>
              </m:sSub>
              <m:r>
                <w:rPr>
                  <w:rFonts w:ascii="Cambria Math" w:hAnsi="Cambria Math"/>
                  <w:sz w:val="18"/>
                  <w:szCs w:val="18"/>
                </w:rPr>
                <m:t>)</m:t>
              </m:r>
            </m:oMath>
          </w:p>
        </w:tc>
        <w:tc>
          <w:tcPr>
            <w:tcW w:w="1701" w:type="dxa"/>
            <w:tcBorders>
              <w:top w:val="nil"/>
              <w:left w:val="nil"/>
              <w:bottom w:val="nil"/>
              <w:right w:val="nil"/>
            </w:tcBorders>
          </w:tcPr>
          <w:p w:rsidR="0046150C" w:rsidRPr="00F03273" w:rsidRDefault="0046150C" w:rsidP="00AB4D9C">
            <w:pPr>
              <w:spacing w:after="0"/>
              <w:jc w:val="center"/>
              <w:rPr>
                <w:sz w:val="18"/>
                <w:szCs w:val="18"/>
              </w:rPr>
            </w:pPr>
            <w:r w:rsidRPr="00F03273">
              <w:rPr>
                <w:sz w:val="18"/>
                <w:szCs w:val="18"/>
              </w:rPr>
              <w:t xml:space="preserve"> [mm]</w:t>
            </w:r>
          </w:p>
        </w:tc>
        <w:tc>
          <w:tcPr>
            <w:tcW w:w="2268" w:type="dxa"/>
            <w:tcBorders>
              <w:top w:val="nil"/>
              <w:left w:val="nil"/>
              <w:bottom w:val="nil"/>
              <w:right w:val="nil"/>
            </w:tcBorders>
          </w:tcPr>
          <w:p w:rsidR="0046150C" w:rsidRPr="00F03273" w:rsidRDefault="0046150C" w:rsidP="00AB4D9C">
            <w:pPr>
              <w:spacing w:after="0"/>
              <w:jc w:val="center"/>
              <w:rPr>
                <w:sz w:val="18"/>
                <w:szCs w:val="18"/>
              </w:rPr>
            </w:pPr>
            <w:r w:rsidRPr="00F03273">
              <w:rPr>
                <w:sz w:val="18"/>
                <w:szCs w:val="18"/>
              </w:rPr>
              <w:t>IRIS</w:t>
            </w:r>
            <w:r>
              <w:rPr>
                <w:sz w:val="18"/>
                <w:szCs w:val="18"/>
              </w:rPr>
              <w:t>, Eqn. 3</w:t>
            </w:r>
          </w:p>
        </w:tc>
        <w:tc>
          <w:tcPr>
            <w:tcW w:w="2653" w:type="dxa"/>
            <w:tcBorders>
              <w:top w:val="nil"/>
              <w:left w:val="nil"/>
              <w:bottom w:val="nil"/>
              <w:right w:val="nil"/>
            </w:tcBorders>
          </w:tcPr>
          <w:p w:rsidR="0046150C" w:rsidRPr="00F03273" w:rsidRDefault="0046150C" w:rsidP="00AB4D9C">
            <w:pPr>
              <w:spacing w:after="0"/>
              <w:jc w:val="center"/>
              <w:rPr>
                <w:sz w:val="18"/>
                <w:szCs w:val="18"/>
              </w:rPr>
            </w:pPr>
            <w:r w:rsidRPr="00F03273">
              <w:rPr>
                <w:sz w:val="18"/>
                <w:szCs w:val="18"/>
              </w:rPr>
              <w:t>Montpetit et al., 2012</w:t>
            </w:r>
          </w:p>
        </w:tc>
      </w:tr>
      <w:tr w:rsidR="0046150C" w:rsidRPr="00F03273" w:rsidTr="00270898">
        <w:trPr>
          <w:trHeight w:val="273"/>
          <w:jc w:val="center"/>
        </w:trPr>
        <w:tc>
          <w:tcPr>
            <w:tcW w:w="2367" w:type="dxa"/>
            <w:tcBorders>
              <w:top w:val="nil"/>
              <w:left w:val="nil"/>
              <w:bottom w:val="nil"/>
              <w:right w:val="nil"/>
            </w:tcBorders>
          </w:tcPr>
          <w:p w:rsidR="0046150C" w:rsidRPr="00F03273" w:rsidRDefault="0046150C" w:rsidP="00AB4D9C">
            <w:pPr>
              <w:spacing w:after="0"/>
              <w:rPr>
                <w:sz w:val="18"/>
                <w:szCs w:val="18"/>
              </w:rPr>
            </w:pPr>
            <w:r w:rsidRPr="00F03273">
              <w:rPr>
                <w:b/>
                <w:sz w:val="18"/>
                <w:szCs w:val="18"/>
              </w:rPr>
              <w:t>Basal surface</w:t>
            </w:r>
            <w:r w:rsidRPr="00F03273">
              <w:rPr>
                <w:sz w:val="18"/>
                <w:szCs w:val="18"/>
              </w:rPr>
              <w:t>:</w:t>
            </w:r>
          </w:p>
        </w:tc>
        <w:tc>
          <w:tcPr>
            <w:tcW w:w="1701" w:type="dxa"/>
            <w:tcBorders>
              <w:top w:val="nil"/>
              <w:left w:val="nil"/>
              <w:bottom w:val="nil"/>
              <w:right w:val="nil"/>
            </w:tcBorders>
          </w:tcPr>
          <w:p w:rsidR="0046150C" w:rsidRPr="00F03273" w:rsidRDefault="0046150C" w:rsidP="00AB4D9C">
            <w:pPr>
              <w:spacing w:after="0"/>
              <w:jc w:val="center"/>
              <w:rPr>
                <w:sz w:val="18"/>
                <w:szCs w:val="18"/>
              </w:rPr>
            </w:pPr>
          </w:p>
        </w:tc>
        <w:tc>
          <w:tcPr>
            <w:tcW w:w="2268" w:type="dxa"/>
            <w:tcBorders>
              <w:top w:val="nil"/>
              <w:left w:val="nil"/>
              <w:bottom w:val="nil"/>
              <w:right w:val="nil"/>
            </w:tcBorders>
          </w:tcPr>
          <w:p w:rsidR="0046150C" w:rsidRPr="00F03273" w:rsidRDefault="0046150C" w:rsidP="00AB4D9C">
            <w:pPr>
              <w:spacing w:after="0"/>
              <w:jc w:val="center"/>
              <w:rPr>
                <w:sz w:val="18"/>
                <w:szCs w:val="18"/>
              </w:rPr>
            </w:pPr>
          </w:p>
        </w:tc>
        <w:tc>
          <w:tcPr>
            <w:tcW w:w="2653" w:type="dxa"/>
            <w:tcBorders>
              <w:top w:val="nil"/>
              <w:left w:val="nil"/>
              <w:bottom w:val="nil"/>
              <w:right w:val="nil"/>
            </w:tcBorders>
          </w:tcPr>
          <w:p w:rsidR="0046150C" w:rsidRPr="00F03273" w:rsidRDefault="0046150C" w:rsidP="00AB4D9C">
            <w:pPr>
              <w:spacing w:after="0"/>
              <w:jc w:val="center"/>
              <w:rPr>
                <w:sz w:val="18"/>
                <w:szCs w:val="18"/>
              </w:rPr>
            </w:pPr>
          </w:p>
        </w:tc>
      </w:tr>
      <w:tr w:rsidR="0046150C" w:rsidRPr="00801AC4" w:rsidTr="00270898">
        <w:trPr>
          <w:trHeight w:val="273"/>
          <w:jc w:val="center"/>
        </w:trPr>
        <w:tc>
          <w:tcPr>
            <w:tcW w:w="2367" w:type="dxa"/>
            <w:tcBorders>
              <w:top w:val="nil"/>
              <w:left w:val="nil"/>
              <w:bottom w:val="nil"/>
              <w:right w:val="nil"/>
            </w:tcBorders>
          </w:tcPr>
          <w:p w:rsidR="0046150C" w:rsidRPr="00F03273" w:rsidRDefault="0046150C" w:rsidP="00AB4D9C">
            <w:pPr>
              <w:spacing w:after="0"/>
              <w:rPr>
                <w:sz w:val="18"/>
                <w:szCs w:val="18"/>
              </w:rPr>
            </w:pPr>
            <w:r>
              <w:rPr>
                <w:sz w:val="18"/>
                <w:szCs w:val="18"/>
              </w:rPr>
              <w:t xml:space="preserve">  Incidence angle (</w:t>
            </w:r>
            <w:r>
              <w:rPr>
                <w:rFonts w:cs="Helvetica"/>
                <w:sz w:val="18"/>
                <w:szCs w:val="18"/>
              </w:rPr>
              <w:t>θ</w:t>
            </w:r>
            <w:r>
              <w:rPr>
                <w:sz w:val="18"/>
                <w:szCs w:val="18"/>
              </w:rPr>
              <w:t>)</w:t>
            </w:r>
          </w:p>
        </w:tc>
        <w:tc>
          <w:tcPr>
            <w:tcW w:w="1701" w:type="dxa"/>
            <w:tcBorders>
              <w:top w:val="nil"/>
              <w:left w:val="nil"/>
              <w:bottom w:val="nil"/>
              <w:right w:val="nil"/>
            </w:tcBorders>
          </w:tcPr>
          <w:p w:rsidR="0046150C" w:rsidRPr="00F03273" w:rsidRDefault="00E36EF7" w:rsidP="00AB4D9C">
            <w:pPr>
              <w:spacing w:after="0"/>
              <w:jc w:val="center"/>
              <w:rPr>
                <w:sz w:val="18"/>
                <w:szCs w:val="18"/>
              </w:rPr>
            </w:pPr>
            <w:r>
              <w:rPr>
                <w:sz w:val="18"/>
                <w:szCs w:val="18"/>
              </w:rPr>
              <w:t>35-4</w:t>
            </w:r>
            <w:r w:rsidR="0046150C">
              <w:rPr>
                <w:sz w:val="18"/>
                <w:szCs w:val="18"/>
              </w:rPr>
              <w:t>5 [</w:t>
            </w:r>
            <w:r w:rsidR="0046150C" w:rsidRPr="008F24E9">
              <w:rPr>
                <w:rStyle w:val="y0nh2b"/>
              </w:rPr>
              <w:t>°</w:t>
            </w:r>
            <w:r w:rsidR="0046150C">
              <w:rPr>
                <w:sz w:val="18"/>
                <w:szCs w:val="18"/>
              </w:rPr>
              <w:t>]</w:t>
            </w:r>
          </w:p>
        </w:tc>
        <w:tc>
          <w:tcPr>
            <w:tcW w:w="2268" w:type="dxa"/>
            <w:tcBorders>
              <w:top w:val="nil"/>
              <w:left w:val="nil"/>
              <w:bottom w:val="nil"/>
              <w:right w:val="nil"/>
            </w:tcBorders>
          </w:tcPr>
          <w:p w:rsidR="0046150C" w:rsidRPr="00F03273" w:rsidRDefault="0046150C" w:rsidP="00AB4D9C">
            <w:pPr>
              <w:spacing w:after="0"/>
              <w:jc w:val="center"/>
              <w:rPr>
                <w:sz w:val="18"/>
                <w:szCs w:val="18"/>
              </w:rPr>
            </w:pPr>
            <w:r w:rsidRPr="008F24E9">
              <w:rPr>
                <w:sz w:val="18"/>
                <w:szCs w:val="18"/>
                <w:lang w:val="en-CA"/>
              </w:rPr>
              <w:t>DEM</w:t>
            </w:r>
            <w:r w:rsidR="00270898">
              <w:rPr>
                <w:sz w:val="18"/>
                <w:szCs w:val="18"/>
                <w:lang w:val="en-CA"/>
              </w:rPr>
              <w:t>, Eqn. 2</w:t>
            </w:r>
          </w:p>
        </w:tc>
        <w:tc>
          <w:tcPr>
            <w:tcW w:w="2653" w:type="dxa"/>
            <w:tcBorders>
              <w:top w:val="nil"/>
              <w:left w:val="nil"/>
              <w:bottom w:val="nil"/>
              <w:right w:val="nil"/>
            </w:tcBorders>
          </w:tcPr>
          <w:p w:rsidR="0046150C" w:rsidRPr="00F03273" w:rsidRDefault="0046150C" w:rsidP="00AB4D9C">
            <w:pPr>
              <w:spacing w:after="0"/>
              <w:jc w:val="center"/>
              <w:rPr>
                <w:rFonts w:cs="Helvetica"/>
                <w:sz w:val="18"/>
                <w:szCs w:val="18"/>
              </w:rPr>
            </w:pPr>
            <w:r w:rsidRPr="008F24E9">
              <w:rPr>
                <w:rFonts w:cs="Helvetica"/>
                <w:sz w:val="18"/>
                <w:szCs w:val="18"/>
                <w:lang w:val="en-CA"/>
              </w:rPr>
              <w:t>Di Leo et al., 2015</w:t>
            </w:r>
          </w:p>
        </w:tc>
      </w:tr>
      <w:tr w:rsidR="0046150C" w:rsidRPr="00801AC4" w:rsidTr="00270898">
        <w:trPr>
          <w:trHeight w:val="273"/>
          <w:jc w:val="center"/>
        </w:trPr>
        <w:tc>
          <w:tcPr>
            <w:tcW w:w="2367" w:type="dxa"/>
            <w:tcBorders>
              <w:top w:val="nil"/>
              <w:left w:val="nil"/>
              <w:right w:val="nil"/>
            </w:tcBorders>
          </w:tcPr>
          <w:p w:rsidR="0046150C" w:rsidRPr="00F03273" w:rsidRDefault="0046150C" w:rsidP="00AB4D9C">
            <w:pPr>
              <w:spacing w:after="0"/>
              <w:rPr>
                <w:sz w:val="18"/>
                <w:szCs w:val="18"/>
              </w:rPr>
            </w:pPr>
            <w:r w:rsidRPr="00F03273">
              <w:rPr>
                <w:sz w:val="18"/>
                <w:szCs w:val="18"/>
              </w:rPr>
              <w:t xml:space="preserve">  Reflectivity (</w:t>
            </w:r>
            <m:oMath>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0</m:t>
                  </m:r>
                </m:sub>
              </m:sSub>
            </m:oMath>
            <w:r w:rsidRPr="00F03273">
              <w:rPr>
                <w:rFonts w:eastAsiaTheme="minorEastAsia"/>
                <w:sz w:val="18"/>
                <w:szCs w:val="18"/>
              </w:rPr>
              <w:t>)</w:t>
            </w:r>
          </w:p>
        </w:tc>
        <w:tc>
          <w:tcPr>
            <w:tcW w:w="1701" w:type="dxa"/>
            <w:tcBorders>
              <w:top w:val="nil"/>
              <w:left w:val="nil"/>
              <w:right w:val="nil"/>
            </w:tcBorders>
          </w:tcPr>
          <w:p w:rsidR="0046150C" w:rsidRPr="00F03273" w:rsidRDefault="0046150C" w:rsidP="00AB4D9C">
            <w:pPr>
              <w:spacing w:after="0"/>
              <w:jc w:val="center"/>
              <w:rPr>
                <w:sz w:val="18"/>
                <w:szCs w:val="18"/>
              </w:rPr>
            </w:pPr>
            <w:r w:rsidRPr="00F03273">
              <w:rPr>
                <w:sz w:val="18"/>
                <w:szCs w:val="18"/>
              </w:rPr>
              <w:t xml:space="preserve">0-1 </w:t>
            </w:r>
          </w:p>
        </w:tc>
        <w:tc>
          <w:tcPr>
            <w:tcW w:w="2268" w:type="dxa"/>
            <w:tcBorders>
              <w:top w:val="nil"/>
              <w:left w:val="nil"/>
              <w:right w:val="nil"/>
            </w:tcBorders>
          </w:tcPr>
          <w:p w:rsidR="0046150C" w:rsidRPr="00F03273" w:rsidRDefault="0046150C" w:rsidP="00AB4D9C">
            <w:pPr>
              <w:spacing w:after="0"/>
              <w:jc w:val="center"/>
              <w:rPr>
                <w:sz w:val="18"/>
                <w:szCs w:val="18"/>
              </w:rPr>
            </w:pPr>
            <w:r w:rsidRPr="00F03273">
              <w:rPr>
                <w:sz w:val="18"/>
                <w:szCs w:val="18"/>
              </w:rPr>
              <w:t>Modeled</w:t>
            </w:r>
          </w:p>
        </w:tc>
        <w:tc>
          <w:tcPr>
            <w:tcW w:w="2653" w:type="dxa"/>
            <w:tcBorders>
              <w:top w:val="nil"/>
              <w:left w:val="nil"/>
              <w:right w:val="nil"/>
            </w:tcBorders>
          </w:tcPr>
          <w:p w:rsidR="0046150C" w:rsidRPr="00F03273" w:rsidRDefault="0046150C" w:rsidP="00AB4D9C">
            <w:pPr>
              <w:spacing w:after="0"/>
              <w:jc w:val="center"/>
              <w:rPr>
                <w:rFonts w:cs="Helvetica"/>
                <w:sz w:val="18"/>
                <w:szCs w:val="18"/>
              </w:rPr>
            </w:pPr>
            <w:r w:rsidRPr="00F03273">
              <w:rPr>
                <w:rFonts w:cs="Helvetica"/>
                <w:sz w:val="18"/>
                <w:szCs w:val="18"/>
              </w:rPr>
              <w:t>Wegmüller and Mätzler, 1999</w:t>
            </w:r>
          </w:p>
        </w:tc>
      </w:tr>
      <w:tr w:rsidR="0046150C" w:rsidRPr="00801AC4" w:rsidTr="00270898">
        <w:trPr>
          <w:trHeight w:val="273"/>
          <w:jc w:val="center"/>
        </w:trPr>
        <w:tc>
          <w:tcPr>
            <w:tcW w:w="2367" w:type="dxa"/>
            <w:tcBorders>
              <w:top w:val="nil"/>
              <w:left w:val="nil"/>
              <w:bottom w:val="single" w:sz="12" w:space="0" w:color="auto"/>
              <w:right w:val="nil"/>
            </w:tcBorders>
          </w:tcPr>
          <w:p w:rsidR="0046150C" w:rsidRPr="00F03273" w:rsidRDefault="0046150C" w:rsidP="00AB4D9C">
            <w:pPr>
              <w:spacing w:after="0"/>
              <w:rPr>
                <w:sz w:val="18"/>
                <w:szCs w:val="18"/>
              </w:rPr>
            </w:pPr>
            <w:r w:rsidRPr="00B10159">
              <w:rPr>
                <w:sz w:val="18"/>
                <w:szCs w:val="18"/>
              </w:rPr>
              <w:t xml:space="preserve">  Specular reflect.  (</w:t>
            </w:r>
            <m:oMath>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S0</m:t>
                  </m:r>
                </m:sub>
              </m:sSub>
            </m:oMath>
            <w:r w:rsidRPr="00F03273">
              <w:rPr>
                <w:rFonts w:eastAsiaTheme="minorEastAsia"/>
                <w:sz w:val="18"/>
                <w:szCs w:val="18"/>
              </w:rPr>
              <w:t>)</w:t>
            </w:r>
          </w:p>
        </w:tc>
        <w:tc>
          <w:tcPr>
            <w:tcW w:w="1701" w:type="dxa"/>
            <w:tcBorders>
              <w:top w:val="nil"/>
              <w:left w:val="nil"/>
              <w:bottom w:val="single" w:sz="12" w:space="0" w:color="auto"/>
              <w:right w:val="nil"/>
            </w:tcBorders>
          </w:tcPr>
          <w:p w:rsidR="0046150C" w:rsidRPr="00F03273" w:rsidRDefault="0046150C" w:rsidP="00AB4D9C">
            <w:pPr>
              <w:spacing w:after="0"/>
              <w:jc w:val="center"/>
              <w:rPr>
                <w:sz w:val="18"/>
                <w:szCs w:val="18"/>
              </w:rPr>
            </w:pPr>
            <w:r w:rsidRPr="00F03273">
              <w:rPr>
                <w:sz w:val="18"/>
                <w:szCs w:val="18"/>
              </w:rPr>
              <w:t>0.75</w:t>
            </w:r>
          </w:p>
        </w:tc>
        <w:tc>
          <w:tcPr>
            <w:tcW w:w="2268" w:type="dxa"/>
            <w:tcBorders>
              <w:top w:val="nil"/>
              <w:left w:val="nil"/>
              <w:bottom w:val="single" w:sz="12" w:space="0" w:color="auto"/>
              <w:right w:val="nil"/>
            </w:tcBorders>
          </w:tcPr>
          <w:p w:rsidR="0046150C" w:rsidRPr="00F03273" w:rsidRDefault="0046150C" w:rsidP="00AB4D9C">
            <w:pPr>
              <w:spacing w:after="0"/>
              <w:jc w:val="center"/>
              <w:rPr>
                <w:sz w:val="18"/>
                <w:szCs w:val="18"/>
              </w:rPr>
            </w:pPr>
            <w:r w:rsidRPr="00F03273">
              <w:rPr>
                <w:sz w:val="18"/>
                <w:szCs w:val="18"/>
              </w:rPr>
              <w:t>Constant</w:t>
            </w:r>
          </w:p>
        </w:tc>
        <w:tc>
          <w:tcPr>
            <w:tcW w:w="2653" w:type="dxa"/>
            <w:tcBorders>
              <w:top w:val="nil"/>
              <w:left w:val="nil"/>
              <w:bottom w:val="single" w:sz="12" w:space="0" w:color="auto"/>
              <w:right w:val="nil"/>
            </w:tcBorders>
          </w:tcPr>
          <w:p w:rsidR="0046150C" w:rsidRPr="009104BE" w:rsidRDefault="0046150C" w:rsidP="00AB4D9C">
            <w:pPr>
              <w:spacing w:after="0"/>
              <w:jc w:val="center"/>
              <w:rPr>
                <w:rFonts w:cs="Helvetica"/>
                <w:sz w:val="18"/>
                <w:szCs w:val="18"/>
              </w:rPr>
            </w:pPr>
            <w:r w:rsidRPr="00F03273">
              <w:rPr>
                <w:sz w:val="18"/>
                <w:szCs w:val="18"/>
              </w:rPr>
              <w:t>Proksch et al., 2015</w:t>
            </w:r>
            <w:r>
              <w:rPr>
                <w:sz w:val="18"/>
                <w:szCs w:val="18"/>
              </w:rPr>
              <w:t>b</w:t>
            </w:r>
          </w:p>
        </w:tc>
      </w:tr>
    </w:tbl>
    <w:p w:rsidR="0046150C" w:rsidRDefault="0046150C" w:rsidP="0046150C">
      <w:pPr>
        <w:spacing w:line="240" w:lineRule="auto"/>
        <w:rPr>
          <w:rFonts w:eastAsiaTheme="minorEastAsia"/>
        </w:rPr>
      </w:pPr>
    </w:p>
    <w:p w:rsidR="0046150C" w:rsidRPr="00D05112" w:rsidRDefault="0046150C" w:rsidP="0046150C">
      <w:pPr>
        <w:pStyle w:val="MDPI23heading3"/>
        <w:spacing w:line="360" w:lineRule="auto"/>
      </w:pPr>
      <w:r>
        <w:t>2</w:t>
      </w:r>
      <w:r w:rsidRPr="00D05112">
        <w:t>.</w:t>
      </w:r>
      <w:r>
        <w:t>3.1</w:t>
      </w:r>
      <w:r w:rsidRPr="00D05112">
        <w:t xml:space="preserve"> </w:t>
      </w:r>
      <w:r>
        <w:t>MEMLS snow property inputs</w:t>
      </w:r>
    </w:p>
    <w:p w:rsidR="0046150C" w:rsidRDefault="0046150C" w:rsidP="0046150C">
      <w:pPr>
        <w:spacing w:line="480" w:lineRule="auto"/>
        <w:rPr>
          <w:rFonts w:eastAsiaTheme="minorEastAsia"/>
        </w:rPr>
      </w:pPr>
      <w:r>
        <w:t xml:space="preserve">Configured as a stack of horizontal layers, MEMLS requires characterization of temperature, liquid water content, density, thickness, salinity, and </w:t>
      </w:r>
      <m:oMath>
        <m:sSub>
          <m:sSubPr>
            <m:ctrlPr>
              <w:rPr>
                <w:rFonts w:ascii="Cambria Math" w:hAnsi="Cambria Math" w:cs="Arial"/>
                <w:i/>
              </w:rPr>
            </m:ctrlPr>
          </m:sSubPr>
          <m:e>
            <m:r>
              <w:rPr>
                <w:rFonts w:ascii="Cambria Math" w:hAnsi="Cambria Math" w:cs="Arial"/>
              </w:rPr>
              <m:t>l</m:t>
            </m:r>
          </m:e>
          <m:sub>
            <m:r>
              <w:rPr>
                <w:rFonts w:ascii="Cambria Math" w:hAnsi="Cambria Math" w:cs="Arial"/>
              </w:rPr>
              <m:t>ex</m:t>
            </m:r>
          </m:sub>
        </m:sSub>
      </m:oMath>
      <w:r>
        <w:t xml:space="preserve"> to compute forward estimates of </w:t>
      </w:r>
      <m:oMath>
        <m:sSup>
          <m:sSupPr>
            <m:ctrlPr>
              <w:rPr>
                <w:rFonts w:ascii="Cambria Math" w:hAnsi="Cambria Math" w:cs="Helvetica"/>
                <w:vertAlign w:val="superscript"/>
              </w:rPr>
            </m:ctrlPr>
          </m:sSupPr>
          <m:e>
            <m:r>
              <m:rPr>
                <m:sty m:val="p"/>
              </m:rPr>
              <w:rPr>
                <w:rFonts w:ascii="Cambria Math" w:hAnsi="Cambria Math" w:cs="Helvetica"/>
              </w:rPr>
              <m:t>σ</m:t>
            </m:r>
          </m:e>
          <m:sup>
            <m:r>
              <w:rPr>
                <w:rFonts w:ascii="Cambria Math" w:hAnsi="Cambria Math" w:cs="Helvetica"/>
                <w:vertAlign w:val="superscript"/>
              </w:rPr>
              <m:t>0</m:t>
            </m:r>
          </m:sup>
        </m:sSup>
      </m:oMath>
      <w:r>
        <w:t xml:space="preserve"> (Table 2). Among the snow property inputs, </w:t>
      </w:r>
      <m:oMath>
        <m:sSub>
          <m:sSubPr>
            <m:ctrlPr>
              <w:rPr>
                <w:rFonts w:ascii="Cambria Math" w:hAnsi="Cambria Math" w:cs="Arial"/>
                <w:i/>
              </w:rPr>
            </m:ctrlPr>
          </m:sSubPr>
          <m:e>
            <m:r>
              <w:rPr>
                <w:rFonts w:ascii="Cambria Math" w:hAnsi="Cambria Math" w:cs="Arial"/>
              </w:rPr>
              <m:t>l</m:t>
            </m:r>
          </m:e>
          <m:sub>
            <m:r>
              <m:rPr>
                <m:nor/>
              </m:rPr>
              <w:rPr>
                <w:rFonts w:ascii="Cambria Math" w:hAnsi="Cambria Math" w:cs="Arial"/>
              </w:rPr>
              <m:t>ex</m:t>
            </m:r>
          </m:sub>
        </m:sSub>
      </m:oMath>
      <w:r>
        <w:rPr>
          <w:rFonts w:eastAsiaTheme="minorEastAsia"/>
        </w:rPr>
        <w:t xml:space="preserve"> </w:t>
      </w:r>
      <w:r>
        <w:t xml:space="preserve">is the most sensitive in dry snow, particularly at high frequencies where volume scattering dominates (Durand et al., 2008; Sandells et al., 2017). Although </w:t>
      </w:r>
      <m:oMath>
        <m:sSub>
          <m:sSubPr>
            <m:ctrlPr>
              <w:rPr>
                <w:rFonts w:ascii="Cambria Math" w:hAnsi="Cambria Math"/>
                <w:i/>
              </w:rPr>
            </m:ctrlPr>
          </m:sSubPr>
          <m:e>
            <m:r>
              <w:rPr>
                <w:rFonts w:ascii="Cambria Math" w:hAnsi="Cambria Math"/>
              </w:rPr>
              <m:t>l</m:t>
            </m:r>
          </m:e>
          <m:sub>
            <m:r>
              <m:rPr>
                <m:nor/>
              </m:rPr>
              <w:rPr>
                <w:rFonts w:ascii="Cambria Math" w:hAnsi="Cambria Math"/>
              </w:rPr>
              <m:t>ex</m:t>
            </m:r>
          </m:sub>
        </m:sSub>
      </m:oMath>
      <w:r>
        <w:rPr>
          <w:rFonts w:eastAsiaTheme="minorEastAsia"/>
        </w:rPr>
        <w:t xml:space="preserve"> was not measured directly (i.e. X-ray tomography), it was possible to approximate input from the IRIS measurements following Debye et al. (1957) and Matzler (2002):</w:t>
      </w:r>
    </w:p>
    <w:p w:rsidR="0046150C" w:rsidRPr="00E049E1" w:rsidRDefault="00CB3866" w:rsidP="0046150C">
      <w:pPr>
        <w:pStyle w:val="Caption"/>
        <w:spacing w:line="360" w:lineRule="auto"/>
        <w:jc w:val="center"/>
        <w:rPr>
          <w:color w:val="auto"/>
        </w:rPr>
      </w:pPr>
      <m:oMath>
        <m:sSub>
          <m:sSubPr>
            <m:ctrlPr>
              <w:rPr>
                <w:rFonts w:ascii="Cambria Math" w:hAnsi="Cambria Math"/>
                <w:b w:val="0"/>
                <w:i/>
                <w:color w:val="auto"/>
                <w:sz w:val="22"/>
                <w:szCs w:val="22"/>
              </w:rPr>
            </m:ctrlPr>
          </m:sSubPr>
          <m:e>
            <m:r>
              <m:rPr>
                <m:sty m:val="bi"/>
              </m:rPr>
              <w:rPr>
                <w:rFonts w:ascii="Cambria Math" w:hAnsi="Cambria Math"/>
                <w:color w:val="auto"/>
                <w:sz w:val="22"/>
                <w:szCs w:val="22"/>
              </w:rPr>
              <m:t>l</m:t>
            </m:r>
          </m:e>
          <m:sub>
            <m:r>
              <m:rPr>
                <m:nor/>
              </m:rPr>
              <w:rPr>
                <w:rFonts w:ascii="Cambria Math" w:hAnsi="Cambria Math"/>
                <w:b w:val="0"/>
                <w:color w:val="auto"/>
                <w:sz w:val="22"/>
                <w:szCs w:val="22"/>
              </w:rPr>
              <m:t>ex</m:t>
            </m:r>
          </m:sub>
        </m:sSub>
        <m:r>
          <m:rPr>
            <m:sty m:val="bi"/>
          </m:rPr>
          <w:rPr>
            <w:rFonts w:ascii="Cambria Math" w:hAnsi="Cambria Math"/>
            <w:color w:val="auto"/>
            <w:sz w:val="22"/>
            <w:szCs w:val="22"/>
          </w:rPr>
          <m:t>=</m:t>
        </m:r>
        <m:f>
          <m:fPr>
            <m:ctrlPr>
              <w:rPr>
                <w:rFonts w:ascii="Cambria Math" w:hAnsi="Cambria Math"/>
                <w:b w:val="0"/>
                <w:i/>
                <w:color w:val="auto"/>
                <w:sz w:val="22"/>
                <w:szCs w:val="22"/>
              </w:rPr>
            </m:ctrlPr>
          </m:fPr>
          <m:num>
            <m:r>
              <m:rPr>
                <m:sty m:val="bi"/>
              </m:rPr>
              <w:rPr>
                <w:rFonts w:ascii="Cambria Math" w:hAnsi="Cambria Math"/>
                <w:color w:val="auto"/>
                <w:sz w:val="22"/>
                <w:szCs w:val="22"/>
              </w:rPr>
              <m:t>2</m:t>
            </m:r>
          </m:num>
          <m:den>
            <m:r>
              <m:rPr>
                <m:sty m:val="bi"/>
              </m:rPr>
              <w:rPr>
                <w:rFonts w:ascii="Cambria Math" w:hAnsi="Cambria Math"/>
                <w:color w:val="auto"/>
                <w:sz w:val="22"/>
                <w:szCs w:val="22"/>
              </w:rPr>
              <m:t>3</m:t>
            </m:r>
          </m:den>
        </m:f>
        <m:sSub>
          <m:sSubPr>
            <m:ctrlPr>
              <w:rPr>
                <w:rFonts w:ascii="Cambria Math" w:hAnsi="Cambria Math"/>
                <w:b w:val="0"/>
                <w:i/>
                <w:color w:val="auto"/>
                <w:sz w:val="22"/>
                <w:szCs w:val="22"/>
              </w:rPr>
            </m:ctrlPr>
          </m:sSubPr>
          <m:e>
            <m:r>
              <m:rPr>
                <m:sty m:val="bi"/>
              </m:rPr>
              <w:rPr>
                <w:rFonts w:ascii="Cambria Math" w:hAnsi="Cambria Math"/>
                <w:color w:val="auto"/>
                <w:sz w:val="22"/>
                <w:szCs w:val="22"/>
              </w:rPr>
              <m:t>D</m:t>
            </m:r>
          </m:e>
          <m:sub>
            <m:r>
              <m:rPr>
                <m:sty m:val="bi"/>
              </m:rPr>
              <w:rPr>
                <w:rFonts w:ascii="Cambria Math" w:hAnsi="Cambria Math"/>
                <w:color w:val="auto"/>
                <w:sz w:val="22"/>
                <w:szCs w:val="22"/>
              </w:rPr>
              <m:t>0</m:t>
            </m:r>
          </m:sub>
        </m:sSub>
        <m:d>
          <m:dPr>
            <m:ctrlPr>
              <w:rPr>
                <w:rFonts w:ascii="Cambria Math" w:hAnsi="Cambria Math"/>
                <w:b w:val="0"/>
                <w:i/>
                <w:color w:val="auto"/>
                <w:sz w:val="22"/>
                <w:szCs w:val="22"/>
              </w:rPr>
            </m:ctrlPr>
          </m:dPr>
          <m:e>
            <m:r>
              <m:rPr>
                <m:sty m:val="bi"/>
              </m:rPr>
              <w:rPr>
                <w:rFonts w:ascii="Cambria Math" w:hAnsi="Cambria Math"/>
                <w:color w:val="auto"/>
                <w:sz w:val="22"/>
                <w:szCs w:val="22"/>
              </w:rPr>
              <m:t>1-v</m:t>
            </m:r>
          </m:e>
        </m:d>
      </m:oMath>
      <w:r w:rsidR="0046150C">
        <w:rPr>
          <w:rFonts w:eastAsiaTheme="minorEastAsia"/>
          <w:b w:val="0"/>
          <w:color w:val="auto"/>
        </w:rPr>
        <w:tab/>
      </w:r>
      <w:r w:rsidR="0046150C">
        <w:rPr>
          <w:b w:val="0"/>
          <w:color w:val="auto"/>
        </w:rPr>
        <w:t>(</w:t>
      </w:r>
      <w:r w:rsidR="0046150C" w:rsidRPr="00E049E1">
        <w:rPr>
          <w:b w:val="0"/>
          <w:noProof/>
          <w:color w:val="auto"/>
        </w:rPr>
        <w:t>3</w:t>
      </w:r>
      <w:r w:rsidR="0046150C" w:rsidRPr="00E049E1">
        <w:rPr>
          <w:b w:val="0"/>
          <w:color w:val="auto"/>
        </w:rPr>
        <w:t>)</w:t>
      </w:r>
    </w:p>
    <w:p w:rsidR="0046150C" w:rsidRDefault="0046150C" w:rsidP="0046150C">
      <w:pPr>
        <w:spacing w:line="480" w:lineRule="auto"/>
        <w:rPr>
          <w:rFonts w:eastAsiaTheme="minorEastAsia"/>
        </w:rPr>
      </w:pPr>
      <w:r>
        <w:t xml:space="preserve">where </w:t>
      </w:r>
      <m:oMath>
        <m:sSub>
          <m:sSubPr>
            <m:ctrlPr>
              <w:rPr>
                <w:rFonts w:ascii="Cambria Math" w:hAnsi="Cambria Math"/>
                <w:i/>
              </w:rPr>
            </m:ctrlPr>
          </m:sSubPr>
          <m:e>
            <m:r>
              <w:rPr>
                <w:rFonts w:ascii="Cambria Math" w:hAnsi="Cambria Math"/>
              </w:rPr>
              <m:t>D</m:t>
            </m:r>
          </m:e>
          <m:sub>
            <m:r>
              <w:rPr>
                <w:rFonts w:ascii="Cambria Math" w:hAnsi="Cambria Math"/>
              </w:rPr>
              <m:t>0</m:t>
            </m:r>
          </m:sub>
        </m:sSub>
      </m:oMath>
      <w:r>
        <w:rPr>
          <w:rFonts w:eastAsiaTheme="minorEastAsia"/>
        </w:rPr>
        <w:t xml:space="preserve"> is optically equivalent diameter (</w:t>
      </w:r>
      <m:oMath>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=6/</m:t>
        </m:r>
        <m:sSub>
          <m:sSubPr>
            <m:ctrlPr>
              <w:rPr>
                <w:rFonts w:ascii="Cambria Math" w:eastAsiaTheme="minorEastAsia" w:hAnsi="Cambria Math"/>
                <w:i/>
              </w:rPr>
            </m:ctrlPr>
          </m:sSubPr>
          <m:e>
            <m:r>
              <w:rPr>
                <w:rFonts w:ascii="Cambria Math" w:eastAsiaTheme="minorEastAsia" w:hAnsi="Cambria Math"/>
              </w:rPr>
              <m:t>ρ</m:t>
            </m:r>
          </m:e>
          <m:sub>
            <m:r>
              <m:rPr>
                <m:nor/>
              </m:rPr>
              <w:rPr>
                <w:rFonts w:ascii="Cambria Math" w:eastAsiaTheme="minorEastAsia" w:hAnsi="Cambria Math"/>
              </w:rPr>
              <m:t>ice</m:t>
            </m:r>
          </m:sub>
        </m:sSub>
        <m:r>
          <m:rPr>
            <m:nor/>
          </m:rPr>
          <w:rPr>
            <w:rFonts w:ascii="Cambria Math" w:eastAsiaTheme="minorEastAsia" w:hAnsi="Cambria Math"/>
          </w:rPr>
          <m:t>SSA</m:t>
        </m:r>
      </m:oMath>
      <w:r>
        <w:rPr>
          <w:rFonts w:eastAsiaTheme="minorEastAsia"/>
        </w:rPr>
        <w:t xml:space="preserve">) and </w:t>
      </w:r>
      <m:oMath>
        <m:r>
          <w:rPr>
            <w:rFonts w:ascii="Cambria Math" w:hAnsi="Cambria Math"/>
          </w:rPr>
          <m:t>v</m:t>
        </m:r>
      </m:oMath>
      <w:r>
        <w:rPr>
          <w:rFonts w:eastAsiaTheme="minorEastAsia"/>
        </w:rPr>
        <w:t xml:space="preserve"> is ice volume fraction (</w:t>
      </w:r>
      <m:oMath>
        <m:sSub>
          <m:sSubPr>
            <m:ctrlPr>
              <w:rPr>
                <w:rFonts w:ascii="Cambria Math" w:eastAsiaTheme="minorEastAsia" w:hAnsi="Cambria Math"/>
                <w:i/>
                <w:sz w:val="18"/>
                <w:szCs w:val="18"/>
              </w:rPr>
            </m:ctrlPr>
          </m:sSubPr>
          <m:e>
            <m:r>
              <w:rPr>
                <w:rFonts w:ascii="Cambria Math" w:eastAsiaTheme="minorEastAsia" w:hAnsi="Cambria Math"/>
                <w:sz w:val="18"/>
                <w:szCs w:val="18"/>
              </w:rPr>
              <m:t>ρ</m:t>
            </m:r>
          </m:e>
          <m:sub>
            <m:r>
              <m:rPr>
                <m:nor/>
              </m:rPr>
              <w:rPr>
                <w:rFonts w:ascii="Cambria Math" w:eastAsiaTheme="minorEastAsia" w:hAnsi="Cambria Math"/>
                <w:sz w:val="18"/>
                <w:szCs w:val="18"/>
              </w:rPr>
              <m:t>snow</m:t>
            </m:r>
          </m:sub>
        </m:sSub>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ρ</m:t>
            </m:r>
          </m:e>
          <m:sub>
            <m:r>
              <m:rPr>
                <m:nor/>
              </m:rPr>
              <w:rPr>
                <w:rFonts w:ascii="Cambria Math" w:eastAsiaTheme="minorEastAsia" w:hAnsi="Cambria Math"/>
                <w:sz w:val="18"/>
                <w:szCs w:val="18"/>
              </w:rPr>
              <m:t>ice</m:t>
            </m:r>
          </m:sub>
        </m:sSub>
        <m:r>
          <w:rPr>
            <w:rFonts w:ascii="Cambria Math" w:eastAsiaTheme="minorEastAsia" w:hAnsi="Cambria Math"/>
            <w:sz w:val="18"/>
            <w:szCs w:val="18"/>
          </w:rPr>
          <m:t>)</m:t>
        </m:r>
      </m:oMath>
      <w:r>
        <w:rPr>
          <w:rFonts w:eastAsiaTheme="minorEastAsia"/>
        </w:rPr>
        <w:t>. Snow pit measurements of density (</w:t>
      </w:r>
      <m:oMath>
        <m:sSub>
          <m:sSubPr>
            <m:ctrlPr>
              <w:rPr>
                <w:rFonts w:ascii="Cambria Math" w:eastAsiaTheme="minorEastAsia" w:hAnsi="Cambria Math"/>
                <w:i/>
                <w:sz w:val="18"/>
                <w:szCs w:val="18"/>
              </w:rPr>
            </m:ctrlPr>
          </m:sSubPr>
          <m:e>
            <m:r>
              <w:rPr>
                <w:rFonts w:ascii="Cambria Math" w:eastAsiaTheme="minorEastAsia" w:hAnsi="Cambria Math"/>
                <w:sz w:val="18"/>
                <w:szCs w:val="18"/>
              </w:rPr>
              <m:t>ρ</m:t>
            </m:r>
          </m:e>
          <m:sub>
            <m:r>
              <m:rPr>
                <m:nor/>
              </m:rPr>
              <w:rPr>
                <w:rFonts w:ascii="Cambria Math" w:eastAsiaTheme="minorEastAsia" w:hAnsi="Cambria Math"/>
                <w:sz w:val="18"/>
                <w:szCs w:val="18"/>
              </w:rPr>
              <m:t>snow</m:t>
            </m:r>
          </m:sub>
        </m:sSub>
      </m:oMath>
      <w:r w:rsidRPr="00DF2624">
        <w:rPr>
          <w:rFonts w:eastAsiaTheme="minorEastAsia"/>
        </w:rPr>
        <w:t>)</w:t>
      </w:r>
      <w:r>
        <w:rPr>
          <w:rFonts w:eastAsiaTheme="minorEastAsia"/>
        </w:rPr>
        <w:t xml:space="preserve"> were used to </w:t>
      </w:r>
      <w:r w:rsidR="004020FB">
        <w:rPr>
          <w:rFonts w:eastAsiaTheme="minorEastAsia"/>
        </w:rPr>
        <w:t>estimate</w:t>
      </w:r>
      <w:r>
        <w:rPr>
          <w:rFonts w:eastAsiaTheme="minorEastAsia"/>
        </w:rPr>
        <w:t xml:space="preserve"> </w:t>
      </w:r>
      <m:oMath>
        <m:r>
          <w:rPr>
            <w:rFonts w:ascii="Cambria Math" w:hAnsi="Cambria Math"/>
          </w:rPr>
          <m:t>v</m:t>
        </m:r>
      </m:oMath>
      <w:r>
        <w:rPr>
          <w:rFonts w:eastAsiaTheme="minorEastAsia"/>
        </w:rPr>
        <w:t xml:space="preserve"> along with a constant ice density (</w:t>
      </w:r>
      <m:oMath>
        <m:sSub>
          <m:sSubPr>
            <m:ctrlPr>
              <w:rPr>
                <w:rFonts w:ascii="Cambria Math" w:eastAsiaTheme="minorEastAsia" w:hAnsi="Cambria Math"/>
                <w:i/>
                <w:sz w:val="18"/>
                <w:szCs w:val="18"/>
              </w:rPr>
            </m:ctrlPr>
          </m:sSubPr>
          <m:e>
            <m:r>
              <w:rPr>
                <w:rFonts w:ascii="Cambria Math" w:eastAsiaTheme="minorEastAsia" w:hAnsi="Cambria Math"/>
                <w:sz w:val="18"/>
                <w:szCs w:val="18"/>
              </w:rPr>
              <m:t>ρ</m:t>
            </m:r>
          </m:e>
          <m:sub>
            <m:r>
              <m:rPr>
                <m:nor/>
              </m:rPr>
              <w:rPr>
                <w:rFonts w:ascii="Cambria Math" w:eastAsiaTheme="minorEastAsia" w:hAnsi="Cambria Math"/>
                <w:sz w:val="18"/>
                <w:szCs w:val="18"/>
              </w:rPr>
              <m:t>ice</m:t>
            </m:r>
          </m:sub>
        </m:sSub>
      </m:oMath>
      <w:r>
        <w:rPr>
          <w:rFonts w:eastAsiaTheme="minorEastAsia"/>
          <w:sz w:val="18"/>
          <w:szCs w:val="18"/>
        </w:rPr>
        <w:t xml:space="preserve">) </w:t>
      </w:r>
      <w:r>
        <w:rPr>
          <w:rFonts w:eastAsiaTheme="minorEastAsia"/>
        </w:rPr>
        <w:t>of 917 kg m</w:t>
      </w:r>
      <w:r w:rsidRPr="00DF2624">
        <w:rPr>
          <w:rFonts w:eastAsiaTheme="minorEastAsia"/>
          <w:vertAlign w:val="superscript"/>
        </w:rPr>
        <w:t>-3</w:t>
      </w:r>
      <w:r>
        <w:rPr>
          <w:rFonts w:eastAsiaTheme="minorEastAsia"/>
        </w:rPr>
        <w:t>.</w:t>
      </w:r>
    </w:p>
    <w:p w:rsidR="0046150C" w:rsidRDefault="0046150C" w:rsidP="0046150C">
      <w:pPr>
        <w:spacing w:line="480" w:lineRule="auto"/>
        <w:rPr>
          <w:rFonts w:ascii="Arial" w:eastAsiaTheme="minorEastAsia" w:hAnsi="Arial" w:cs="Arial"/>
        </w:rPr>
      </w:pPr>
      <w:r>
        <w:rPr>
          <w:rFonts w:ascii="Arial" w:hAnsi="Arial" w:cs="Arial"/>
        </w:rPr>
        <w:t xml:space="preserve">Using IRIS-based estimates of </w:t>
      </w:r>
      <m:oMath>
        <m:sSub>
          <m:sSubPr>
            <m:ctrlPr>
              <w:rPr>
                <w:rFonts w:ascii="Cambria Math" w:hAnsi="Cambria Math"/>
                <w:i/>
              </w:rPr>
            </m:ctrlPr>
          </m:sSubPr>
          <m:e>
            <m:r>
              <w:rPr>
                <w:rFonts w:ascii="Cambria Math" w:hAnsi="Cambria Math"/>
              </w:rPr>
              <m:t>l</m:t>
            </m:r>
          </m:e>
          <m:sub>
            <m:r>
              <m:rPr>
                <m:nor/>
              </m:rPr>
              <w:rPr>
                <w:rFonts w:ascii="Cambria Math" w:hAnsi="Cambria Math"/>
              </w:rPr>
              <m:t>ex</m:t>
            </m:r>
          </m:sub>
        </m:sSub>
      </m:oMath>
      <w:r>
        <w:rPr>
          <w:rFonts w:ascii="Arial" w:hAnsi="Arial" w:cs="Arial"/>
        </w:rPr>
        <w:t xml:space="preserve"> and direct measurements of the remaining snow inputs, three configurations of increasing complexity were generated to evaluate forward modelling skill at the point scale. At the lowest level of complexity, a</w:t>
      </w:r>
      <w:r w:rsidR="002F5578">
        <w:rPr>
          <w:rFonts w:ascii="Arial" w:hAnsi="Arial" w:cs="Arial"/>
        </w:rPr>
        <w:t xml:space="preserve"> thickness</w:t>
      </w:r>
      <w:r>
        <w:rPr>
          <w:rFonts w:ascii="Arial" w:hAnsi="Arial" w:cs="Arial"/>
        </w:rPr>
        <w:t xml:space="preserve"> weighted mean of each </w:t>
      </w:r>
      <w:r>
        <w:rPr>
          <w:rFonts w:ascii="Arial" w:eastAsiaTheme="minorEastAsia" w:hAnsi="Arial" w:cs="Arial"/>
        </w:rPr>
        <w:t>snow parameter was used to construct a 1-layer representation. Increasing in complexity, the snowpack was abstracted as two layers by dividing the volume into contrasting wind slab and depth hoar components based on snow pit descriptions of stratigraphy. Finally, an n-layer configuration was created whereby all available IRIS measurements were treated as separate layers. In all configurations, salinity and volumetric water content were set to 0, reflecting the cold (-20°C on average)</w:t>
      </w:r>
      <w:r w:rsidR="005E645B">
        <w:rPr>
          <w:rFonts w:ascii="Arial" w:eastAsiaTheme="minorEastAsia" w:hAnsi="Arial" w:cs="Arial"/>
        </w:rPr>
        <w:t xml:space="preserve"> and</w:t>
      </w:r>
      <w:r>
        <w:rPr>
          <w:rFonts w:ascii="Arial" w:eastAsiaTheme="minorEastAsia" w:hAnsi="Arial" w:cs="Arial"/>
        </w:rPr>
        <w:t xml:space="preserve"> dry terrestrial condition of the observed snowpack.</w:t>
      </w:r>
    </w:p>
    <w:p w:rsidR="0046150C" w:rsidRDefault="0046150C" w:rsidP="00DE7F8F">
      <w:pPr>
        <w:pStyle w:val="MDPI23heading3"/>
        <w:spacing w:line="360" w:lineRule="auto"/>
      </w:pPr>
      <w:r>
        <w:t>2</w:t>
      </w:r>
      <w:r w:rsidRPr="00D05112">
        <w:t>.</w:t>
      </w:r>
      <w:r>
        <w:t>3.2</w:t>
      </w:r>
      <w:r w:rsidRPr="00D05112">
        <w:t xml:space="preserve"> </w:t>
      </w:r>
      <w:r>
        <w:t>MEMLS snow-ground reflectivity</w:t>
      </w:r>
    </w:p>
    <w:p w:rsidR="0046150C" w:rsidRPr="00F1043E" w:rsidRDefault="0046150C" w:rsidP="0046150C">
      <w:pPr>
        <w:spacing w:line="480" w:lineRule="auto"/>
      </w:pPr>
      <w:r>
        <w:t>MEMLS requires input of reflectivity at the snow-ground interface</w:t>
      </w:r>
      <w:r w:rsidR="00DE7F8F">
        <w:t xml:space="preserve"> to account for background </w:t>
      </w:r>
      <w:r w:rsidR="008B3507">
        <w:t>contributions</w:t>
      </w:r>
      <w:r>
        <w:t xml:space="preserve">. As snow-free measurements were unavailable to provide a reference, first order approximations of basal surface reflectivity </w:t>
      </w:r>
      <w:r>
        <w:rPr>
          <w:rFonts w:ascii="Arial" w:eastAsiaTheme="minorEastAsia" w:hAnsi="Arial" w:cs="Arial"/>
        </w:rPr>
        <w:t>were made with the empirical model of W</w:t>
      </w:r>
      <w:r>
        <w:rPr>
          <w:rStyle w:val="st"/>
        </w:rPr>
        <w:t>ë</w:t>
      </w:r>
      <w:r>
        <w:rPr>
          <w:rFonts w:ascii="Arial" w:eastAsiaTheme="minorEastAsia" w:hAnsi="Arial" w:cs="Arial"/>
        </w:rPr>
        <w:t>gmuller and M</w:t>
      </w:r>
      <w:r>
        <w:rPr>
          <w:rStyle w:val="st"/>
        </w:rPr>
        <w:t>ä</w:t>
      </w:r>
      <w:r>
        <w:rPr>
          <w:rFonts w:ascii="Arial" w:eastAsiaTheme="minorEastAsia" w:hAnsi="Arial" w:cs="Arial"/>
        </w:rPr>
        <w:t>tzler (1999):</w:t>
      </w:r>
    </w:p>
    <w:p w:rsidR="0046150C" w:rsidRPr="006C55D0" w:rsidRDefault="00CB3866" w:rsidP="0046150C">
      <w:pPr>
        <w:pStyle w:val="Caption"/>
        <w:jc w:val="center"/>
        <w:rPr>
          <w:rFonts w:ascii="Arial" w:eastAsiaTheme="minorEastAsia" w:hAnsi="Arial" w:cs="Arial"/>
          <w:b w:val="0"/>
        </w:rPr>
      </w:pPr>
      <m:oMath>
        <m:sSub>
          <m:sSubPr>
            <m:ctrlPr>
              <w:rPr>
                <w:rFonts w:ascii="Cambria Math" w:hAnsi="Cambria Math" w:cs="Arial"/>
                <w:b w:val="0"/>
                <w:i/>
                <w:color w:val="000000" w:themeColor="text1"/>
              </w:rPr>
            </m:ctrlPr>
          </m:sSubPr>
          <m:e>
            <m:r>
              <m:rPr>
                <m:sty m:val="b"/>
              </m:rPr>
              <w:rPr>
                <w:rFonts w:ascii="Cambria Math" w:hAnsi="Cambria Math" w:cs="Arial"/>
                <w:color w:val="000000" w:themeColor="text1"/>
              </w:rPr>
              <m:t>Γ</m:t>
            </m:r>
          </m:e>
          <m:sub>
            <m:r>
              <m:rPr>
                <m:nor/>
              </m:rPr>
              <w:rPr>
                <w:rFonts w:ascii="Cambria Math" w:hAnsi="Cambria Math" w:cs="Arial"/>
                <w:b w:val="0"/>
                <w:color w:val="000000" w:themeColor="text1"/>
              </w:rPr>
              <m:t>h</m:t>
            </m:r>
          </m:sub>
        </m:sSub>
        <m:r>
          <m:rPr>
            <m:sty m:val="bi"/>
          </m:rPr>
          <w:rPr>
            <w:rFonts w:ascii="Cambria Math" w:hAnsi="Cambria Math" w:cs="Arial"/>
            <w:color w:val="000000" w:themeColor="text1"/>
          </w:rPr>
          <m:t xml:space="preserve">= </m:t>
        </m:r>
        <m:sSubSup>
          <m:sSubSupPr>
            <m:ctrlPr>
              <w:rPr>
                <w:rFonts w:ascii="Cambria Math" w:hAnsi="Cambria Math" w:cs="Arial"/>
                <w:b w:val="0"/>
                <w:i/>
                <w:color w:val="000000" w:themeColor="text1"/>
              </w:rPr>
            </m:ctrlPr>
          </m:sSubSupPr>
          <m:e>
            <m:r>
              <m:rPr>
                <m:sty m:val="b"/>
              </m:rPr>
              <w:rPr>
                <w:rFonts w:ascii="Cambria Math" w:hAnsi="Cambria Math" w:cs="Arial"/>
                <w:color w:val="000000" w:themeColor="text1"/>
              </w:rPr>
              <m:t>Γ</m:t>
            </m:r>
          </m:e>
          <m:sub>
            <m:r>
              <m:rPr>
                <m:nor/>
              </m:rPr>
              <w:rPr>
                <w:rFonts w:ascii="Cambria Math" w:hAnsi="Cambria Math" w:cs="Arial"/>
                <w:b w:val="0"/>
                <w:color w:val="000000" w:themeColor="text1"/>
              </w:rPr>
              <m:t>h</m:t>
            </m:r>
          </m:sub>
          <m:sup>
            <m:r>
              <m:rPr>
                <m:nor/>
              </m:rPr>
              <w:rPr>
                <w:rFonts w:ascii="Arial" w:hAnsi="Arial" w:cs="Arial"/>
                <w:b w:val="0"/>
                <w:color w:val="000000" w:themeColor="text1"/>
              </w:rPr>
              <m:t>Fresnel</m:t>
            </m:r>
          </m:sup>
        </m:sSubSup>
        <m:r>
          <m:rPr>
            <m:sty m:val="bi"/>
          </m:rPr>
          <w:rPr>
            <w:rFonts w:ascii="Cambria Math" w:hAnsi="Cambria Math" w:cs="Arial"/>
            <w:color w:val="000000" w:themeColor="text1"/>
          </w:rPr>
          <m:t xml:space="preserve"> </m:t>
        </m:r>
        <m:r>
          <m:rPr>
            <m:nor/>
          </m:rPr>
          <w:rPr>
            <w:rFonts w:ascii="Arial" w:hAnsi="Arial" w:cs="Arial"/>
            <w:b w:val="0"/>
            <w:color w:val="000000" w:themeColor="text1"/>
          </w:rPr>
          <m:t>exp</m:t>
        </m:r>
        <m:sSup>
          <m:sSupPr>
            <m:ctrlPr>
              <w:rPr>
                <w:rFonts w:ascii="Cambria Math" w:hAnsi="Cambria Math" w:cs="Arial"/>
                <w:b w:val="0"/>
                <w:i/>
                <w:color w:val="000000" w:themeColor="text1"/>
              </w:rPr>
            </m:ctrlPr>
          </m:sSupPr>
          <m:e>
            <m:r>
              <m:rPr>
                <m:sty m:val="bi"/>
              </m:rPr>
              <w:rPr>
                <w:rFonts w:ascii="Cambria Math" w:hAnsi="Cambria Math" w:cs="Arial"/>
                <w:color w:val="000000" w:themeColor="text1"/>
              </w:rPr>
              <m:t>(-(kh)</m:t>
            </m:r>
          </m:e>
          <m:sup>
            <m:rad>
              <m:radPr>
                <m:degHide m:val="1"/>
                <m:ctrlPr>
                  <w:rPr>
                    <w:rFonts w:ascii="Cambria Math" w:hAnsi="Cambria Math" w:cs="Arial"/>
                    <w:b w:val="0"/>
                    <w:i/>
                    <w:color w:val="000000" w:themeColor="text1"/>
                  </w:rPr>
                </m:ctrlPr>
              </m:radPr>
              <m:deg/>
              <m:e>
                <m:r>
                  <m:rPr>
                    <m:sty m:val="bi"/>
                  </m:rPr>
                  <w:rPr>
                    <w:rFonts w:ascii="Cambria Math" w:hAnsi="Cambria Math" w:cs="Arial"/>
                    <w:color w:val="000000" w:themeColor="text1"/>
                  </w:rPr>
                  <m:t>-0.1</m:t>
                </m:r>
                <m:r>
                  <m:rPr>
                    <m:nor/>
                  </m:rPr>
                  <w:rPr>
                    <w:rFonts w:ascii="Arial" w:hAnsi="Arial" w:cs="Arial"/>
                    <w:b w:val="0"/>
                    <w:color w:val="000000" w:themeColor="text1"/>
                  </w:rPr>
                  <m:t>cos</m:t>
                </m:r>
                <m:r>
                  <m:rPr>
                    <m:sty m:val="bi"/>
                  </m:rPr>
                  <w:rPr>
                    <w:rFonts w:ascii="Cambria Math" w:hAnsi="Cambria Math" w:cs="Arial"/>
                    <w:color w:val="000000" w:themeColor="text1"/>
                  </w:rPr>
                  <m:t>θ</m:t>
                </m:r>
              </m:e>
            </m:rad>
          </m:sup>
        </m:sSup>
        <m:r>
          <m:rPr>
            <m:sty m:val="bi"/>
          </m:rPr>
          <w:rPr>
            <w:rFonts w:ascii="Cambria Math" w:hAnsi="Cambria Math" w:cs="Arial"/>
            <w:color w:val="000000" w:themeColor="text1"/>
          </w:rPr>
          <m:t>)</m:t>
        </m:r>
      </m:oMath>
      <w:r w:rsidR="0046150C" w:rsidRPr="006C55D0">
        <w:rPr>
          <w:rFonts w:ascii="Arial" w:eastAsiaTheme="minorEastAsia" w:hAnsi="Arial" w:cs="Arial"/>
          <w:b w:val="0"/>
        </w:rPr>
        <w:t xml:space="preserve"> </w:t>
      </w:r>
      <w:r w:rsidR="0046150C" w:rsidRPr="006C55D0">
        <w:rPr>
          <w:rFonts w:ascii="Arial" w:eastAsiaTheme="minorEastAsia" w:hAnsi="Arial" w:cs="Arial"/>
          <w:b w:val="0"/>
        </w:rPr>
        <w:tab/>
      </w:r>
      <w:r w:rsidR="0046150C" w:rsidRPr="006C55D0">
        <w:rPr>
          <w:b w:val="0"/>
          <w:color w:val="000000" w:themeColor="text1"/>
        </w:rPr>
        <w:t>(4)</w:t>
      </w:r>
    </w:p>
    <w:p w:rsidR="0046150C" w:rsidRPr="000A1D66" w:rsidRDefault="00CB3866" w:rsidP="0046150C">
      <w:pPr>
        <w:pStyle w:val="Caption"/>
        <w:spacing w:line="480" w:lineRule="auto"/>
        <w:jc w:val="center"/>
        <w:rPr>
          <w:rFonts w:ascii="Arial" w:eastAsiaTheme="minorEastAsia" w:hAnsi="Arial" w:cs="Arial"/>
          <w:b w:val="0"/>
          <w:color w:val="000000" w:themeColor="text1"/>
        </w:rPr>
      </w:pPr>
      <m:oMath>
        <m:sSub>
          <m:sSubPr>
            <m:ctrlPr>
              <w:rPr>
                <w:rFonts w:ascii="Cambria Math" w:hAnsi="Cambria Math" w:cs="Arial"/>
                <w:b w:val="0"/>
                <w:i/>
                <w:color w:val="000000" w:themeColor="text1"/>
              </w:rPr>
            </m:ctrlPr>
          </m:sSubPr>
          <m:e>
            <m:r>
              <m:rPr>
                <m:sty m:val="b"/>
              </m:rPr>
              <w:rPr>
                <w:rFonts w:ascii="Cambria Math" w:hAnsi="Cambria Math" w:cs="Arial"/>
                <w:color w:val="000000" w:themeColor="text1"/>
              </w:rPr>
              <m:t>Γ</m:t>
            </m:r>
          </m:e>
          <m:sub>
            <m:r>
              <m:rPr>
                <m:nor/>
              </m:rPr>
              <w:rPr>
                <w:rFonts w:ascii="Cambria Math" w:hAnsi="Cambria Math" w:cs="Arial"/>
                <w:b w:val="0"/>
                <w:color w:val="000000" w:themeColor="text1"/>
              </w:rPr>
              <m:t>v</m:t>
            </m:r>
          </m:sub>
        </m:sSub>
        <m:r>
          <m:rPr>
            <m:sty m:val="bi"/>
          </m:rPr>
          <w:rPr>
            <w:rFonts w:ascii="Cambria Math" w:hAnsi="Cambria Math" w:cs="Arial"/>
            <w:color w:val="000000" w:themeColor="text1"/>
          </w:rPr>
          <m:t>=</m:t>
        </m:r>
        <m:sSub>
          <m:sSubPr>
            <m:ctrlPr>
              <w:rPr>
                <w:rFonts w:ascii="Cambria Math" w:hAnsi="Cambria Math" w:cs="Arial"/>
                <w:b w:val="0"/>
                <w:i/>
                <w:color w:val="000000" w:themeColor="text1"/>
              </w:rPr>
            </m:ctrlPr>
          </m:sSubPr>
          <m:e>
            <m:r>
              <m:rPr>
                <m:sty m:val="b"/>
              </m:rPr>
              <w:rPr>
                <w:rFonts w:ascii="Cambria Math" w:hAnsi="Cambria Math" w:cs="Arial"/>
                <w:color w:val="000000" w:themeColor="text1"/>
              </w:rPr>
              <m:t>Γ</m:t>
            </m:r>
          </m:e>
          <m:sub>
            <m:r>
              <m:rPr>
                <m:nor/>
              </m:rPr>
              <w:rPr>
                <w:rFonts w:ascii="Cambria Math" w:hAnsi="Cambria Math" w:cs="Arial"/>
                <w:b w:val="0"/>
                <w:color w:val="000000" w:themeColor="text1"/>
              </w:rPr>
              <m:t>h</m:t>
            </m:r>
          </m:sub>
        </m:sSub>
        <m:r>
          <m:rPr>
            <m:nor/>
          </m:rPr>
          <w:rPr>
            <w:rFonts w:ascii="Arial" w:hAnsi="Arial" w:cs="Arial"/>
            <w:b w:val="0"/>
            <w:color w:val="000000" w:themeColor="text1"/>
          </w:rPr>
          <m:t>cos</m:t>
        </m:r>
        <m:sSup>
          <m:sSupPr>
            <m:ctrlPr>
              <w:rPr>
                <w:rFonts w:ascii="Cambria Math" w:hAnsi="Cambria Math" w:cs="Arial"/>
                <w:b w:val="0"/>
                <w:i/>
                <w:color w:val="000000" w:themeColor="text1"/>
              </w:rPr>
            </m:ctrlPr>
          </m:sSupPr>
          <m:e>
            <m:r>
              <m:rPr>
                <m:sty m:val="bi"/>
              </m:rPr>
              <w:rPr>
                <w:rFonts w:ascii="Cambria Math" w:hAnsi="Cambria Math" w:cs="Arial"/>
                <w:color w:val="000000" w:themeColor="text1"/>
              </w:rPr>
              <m:t>θ</m:t>
            </m:r>
            <m:ctrlPr>
              <w:rPr>
                <w:rFonts w:ascii="Cambria Math" w:hAnsi="Cambria Math" w:cs="Arial"/>
                <w:b w:val="0"/>
                <w:bCs w:val="0"/>
                <w:i/>
                <w:color w:val="000000" w:themeColor="text1"/>
              </w:rPr>
            </m:ctrlPr>
          </m:e>
          <m:sup>
            <m:r>
              <m:rPr>
                <m:sty m:val="bi"/>
              </m:rPr>
              <w:rPr>
                <w:rFonts w:ascii="Cambria Math" w:hAnsi="Cambria Math" w:cs="Arial"/>
                <w:color w:val="000000" w:themeColor="text1"/>
              </w:rPr>
              <m:t>0.655</m:t>
            </m:r>
            <m:ctrlPr>
              <w:rPr>
                <w:rFonts w:ascii="Cambria Math" w:hAnsi="Cambria Math" w:cs="Arial"/>
                <w:b w:val="0"/>
                <w:bCs w:val="0"/>
                <w:i/>
                <w:color w:val="000000" w:themeColor="text1"/>
              </w:rPr>
            </m:ctrlPr>
          </m:sup>
        </m:sSup>
      </m:oMath>
      <w:r w:rsidR="0046150C" w:rsidRPr="006C55D0">
        <w:rPr>
          <w:rFonts w:ascii="Arial" w:eastAsiaTheme="minorEastAsia" w:hAnsi="Arial" w:cs="Arial"/>
          <w:b w:val="0"/>
          <w:color w:val="000000" w:themeColor="text1"/>
        </w:rPr>
        <w:t xml:space="preserve"> </w:t>
      </w:r>
      <w:r w:rsidR="0046150C" w:rsidRPr="006C55D0">
        <w:rPr>
          <w:rFonts w:ascii="Arial" w:eastAsiaTheme="minorEastAsia" w:hAnsi="Arial" w:cs="Arial"/>
          <w:b w:val="0"/>
          <w:color w:val="000000" w:themeColor="text1"/>
        </w:rPr>
        <w:tab/>
      </w:r>
      <w:r w:rsidR="0046150C" w:rsidRPr="006C55D0">
        <w:rPr>
          <w:rFonts w:ascii="Arial" w:eastAsiaTheme="minorEastAsia" w:hAnsi="Arial" w:cs="Arial"/>
          <w:b w:val="0"/>
          <w:color w:val="000000" w:themeColor="text1"/>
        </w:rPr>
        <w:tab/>
      </w:r>
      <w:r w:rsidR="0046150C" w:rsidRPr="000A1D66">
        <w:rPr>
          <w:rFonts w:ascii="Arial" w:eastAsiaTheme="minorEastAsia" w:hAnsi="Arial" w:cs="Arial"/>
          <w:b w:val="0"/>
          <w:color w:val="000000" w:themeColor="text1"/>
        </w:rPr>
        <w:tab/>
      </w:r>
      <w:r w:rsidR="0046150C" w:rsidRPr="000A1D66">
        <w:rPr>
          <w:b w:val="0"/>
          <w:color w:val="000000" w:themeColor="text1"/>
        </w:rPr>
        <w:t>(</w:t>
      </w:r>
      <w:r w:rsidR="0046150C">
        <w:rPr>
          <w:b w:val="0"/>
          <w:color w:val="000000" w:themeColor="text1"/>
        </w:rPr>
        <w:t>5</w:t>
      </w:r>
      <w:r w:rsidR="0046150C" w:rsidRPr="000A1D66">
        <w:rPr>
          <w:b w:val="0"/>
          <w:color w:val="000000" w:themeColor="text1"/>
        </w:rPr>
        <w:t>)</w:t>
      </w:r>
    </w:p>
    <w:p w:rsidR="0046150C" w:rsidRDefault="0046150C" w:rsidP="0046150C">
      <w:pPr>
        <w:spacing w:line="480" w:lineRule="auto"/>
        <w:rPr>
          <w:rFonts w:eastAsia="Times New Roman" w:cs="Helvetica"/>
        </w:rPr>
      </w:pPr>
      <w:r>
        <w:rPr>
          <w:rFonts w:ascii="Arial" w:eastAsiaTheme="minorEastAsia" w:hAnsi="Arial" w:cs="Arial"/>
        </w:rPr>
        <w:t xml:space="preserve">where </w:t>
      </w:r>
      <m:oMath>
        <m:r>
          <w:rPr>
            <w:rFonts w:ascii="Cambria Math" w:hAnsi="Cambria Math" w:cs="Arial"/>
          </w:rPr>
          <m:t>k</m:t>
        </m:r>
      </m:oMath>
      <w:r>
        <w:rPr>
          <w:rFonts w:ascii="Arial" w:eastAsiaTheme="minorEastAsia" w:hAnsi="Arial" w:cs="Arial"/>
        </w:rPr>
        <w:t xml:space="preserve"> is the observing wave number, </w:t>
      </w:r>
      <m:oMath>
        <m:r>
          <w:rPr>
            <w:rFonts w:ascii="Cambria Math" w:hAnsi="Cambria Math" w:cs="Arial"/>
          </w:rPr>
          <m:t>h</m:t>
        </m:r>
      </m:oMath>
      <w:r>
        <w:rPr>
          <w:rFonts w:ascii="Arial" w:eastAsiaTheme="minorEastAsia" w:hAnsi="Arial" w:cs="Arial"/>
        </w:rPr>
        <w:t xml:space="preserve"> is the standard deviation of surface height, and </w:t>
      </w:r>
      <m:oMath>
        <m:r>
          <w:rPr>
            <w:rFonts w:ascii="Cambria Math" w:hAnsi="Cambria Math" w:cs="Arial"/>
          </w:rPr>
          <m:t>θ</m:t>
        </m:r>
      </m:oMath>
      <w:r>
        <w:rPr>
          <w:rFonts w:ascii="Arial" w:eastAsiaTheme="minorEastAsia" w:hAnsi="Arial" w:cs="Arial"/>
        </w:rPr>
        <w:t xml:space="preserve"> is incidence angle. </w:t>
      </w:r>
      <w:r w:rsidRPr="00FA2929">
        <w:rPr>
          <w:rFonts w:ascii="Arial" w:eastAsia="Times New Roman" w:hAnsi="Arial" w:cs="Arial"/>
        </w:rPr>
        <w:t>Given that the incide</w:t>
      </w:r>
      <w:r w:rsidRPr="00486332">
        <w:rPr>
          <w:rFonts w:eastAsia="Times New Roman" w:cs="Helvetica"/>
        </w:rPr>
        <w:t>nt wave</w:t>
      </w:r>
      <w:r>
        <w:rPr>
          <w:rFonts w:eastAsia="Times New Roman" w:cs="Helvetica"/>
        </w:rPr>
        <w:t xml:space="preserve"> </w:t>
      </w:r>
      <w:r w:rsidRPr="00486332">
        <w:rPr>
          <w:rFonts w:eastAsia="Times New Roman" w:cs="Helvetica"/>
        </w:rPr>
        <w:t>originates in snow</w:t>
      </w:r>
      <w:r>
        <w:rPr>
          <w:rFonts w:eastAsia="Times New Roman" w:cs="Helvetica"/>
        </w:rPr>
        <w:t>,</w:t>
      </w:r>
      <w:r w:rsidRPr="00486332">
        <w:rPr>
          <w:rFonts w:eastAsiaTheme="minorEastAsia" w:cs="Helvetica"/>
        </w:rPr>
        <w:t xml:space="preserve"> </w:t>
      </w:r>
      <m:oMath>
        <m:r>
          <w:rPr>
            <w:rFonts w:ascii="Cambria Math" w:hAnsi="Cambria Math" w:cs="Helvetica"/>
            <w:color w:val="000000" w:themeColor="text1"/>
          </w:rPr>
          <m:t>k</m:t>
        </m:r>
      </m:oMath>
      <w:r w:rsidRPr="00486332">
        <w:rPr>
          <w:rFonts w:eastAsia="Times New Roman" w:cs="Helvetica"/>
        </w:rPr>
        <w:t xml:space="preserve"> was </w:t>
      </w:r>
      <w:r>
        <w:rPr>
          <w:rFonts w:eastAsia="Times New Roman" w:cs="Helvetica"/>
        </w:rPr>
        <w:t>revised</w:t>
      </w:r>
      <w:r w:rsidRPr="00486332">
        <w:rPr>
          <w:rFonts w:eastAsia="Times New Roman" w:cs="Helvetica"/>
        </w:rPr>
        <w:t xml:space="preserve"> </w:t>
      </w:r>
      <w:r>
        <w:rPr>
          <w:rFonts w:eastAsia="Times New Roman" w:cs="Helvetica"/>
        </w:rPr>
        <w:t>to account for</w:t>
      </w:r>
      <w:r w:rsidRPr="00486332">
        <w:rPr>
          <w:rFonts w:eastAsia="Times New Roman" w:cs="Helvetica"/>
        </w:rPr>
        <w:t xml:space="preserve"> variations in refractive index using </w:t>
      </w:r>
      <w:r>
        <w:rPr>
          <w:rFonts w:eastAsia="Times New Roman" w:cs="Helvetica"/>
        </w:rPr>
        <w:t xml:space="preserve">in situ estimates of </w:t>
      </w:r>
      <w:r w:rsidRPr="00486332">
        <w:rPr>
          <w:rFonts w:eastAsia="Times New Roman" w:cs="Helvetica"/>
        </w:rPr>
        <w:t xml:space="preserve">bulk snow </w:t>
      </w:r>
      <w:r>
        <w:rPr>
          <w:rFonts w:eastAsia="Times New Roman" w:cs="Helvetica"/>
        </w:rPr>
        <w:t>density</w:t>
      </w:r>
      <w:r w:rsidRPr="00486332">
        <w:rPr>
          <w:rFonts w:eastAsia="Times New Roman" w:cs="Helvetica"/>
        </w:rPr>
        <w:t xml:space="preserve"> </w:t>
      </w:r>
      <w:r>
        <w:rPr>
          <w:rFonts w:eastAsia="Times New Roman" w:cs="Helvetica"/>
        </w:rPr>
        <w:t>(</w:t>
      </w:r>
      <m:oMath>
        <m:sSub>
          <m:sSubPr>
            <m:ctrlPr>
              <w:rPr>
                <w:rFonts w:ascii="Cambria Math" w:eastAsia="Times New Roman" w:hAnsi="Cambria Math" w:cs="Helvetica"/>
                <w:i/>
              </w:rPr>
            </m:ctrlPr>
          </m:sSubPr>
          <m:e>
            <m:r>
              <w:rPr>
                <w:rFonts w:ascii="Cambria Math" w:eastAsia="Times New Roman" w:hAnsi="Cambria Math" w:cs="Helvetica"/>
              </w:rPr>
              <m:t>k</m:t>
            </m:r>
          </m:e>
          <m:sub>
            <m:r>
              <w:rPr>
                <w:rFonts w:ascii="Cambria Math" w:eastAsia="Times New Roman" w:hAnsi="Cambria Math" w:cs="Helvetica"/>
              </w:rPr>
              <m:t>snow</m:t>
            </m:r>
          </m:sub>
        </m:sSub>
        <m:r>
          <w:rPr>
            <w:rFonts w:ascii="Cambria Math" w:eastAsia="Times New Roman" w:hAnsi="Cambria Math" w:cs="Helvetica"/>
          </w:rPr>
          <m:t>=2πv</m:t>
        </m:r>
        <m:rad>
          <m:radPr>
            <m:degHide m:val="1"/>
            <m:ctrlPr>
              <w:rPr>
                <w:rFonts w:ascii="Cambria Math" w:eastAsia="Times New Roman" w:hAnsi="Cambria Math" w:cs="Helvetica"/>
                <w:i/>
              </w:rPr>
            </m:ctrlPr>
          </m:radPr>
          <m:deg/>
          <m:e>
            <m:r>
              <w:rPr>
                <w:rFonts w:ascii="Cambria Math" w:eastAsia="Times New Roman" w:hAnsi="Cambria Math" w:cs="Helvetica"/>
              </w:rPr>
              <m:t>(1/</m:t>
            </m:r>
            <m:sSup>
              <m:sSupPr>
                <m:ctrlPr>
                  <w:rPr>
                    <w:rFonts w:ascii="Cambria Math" w:eastAsia="Times New Roman" w:hAnsi="Cambria Math" w:cs="Helvetica"/>
                    <w:i/>
                  </w:rPr>
                </m:ctrlPr>
              </m:sSupPr>
              <m:e>
                <m:r>
                  <w:rPr>
                    <w:rFonts w:ascii="Cambria Math" w:eastAsia="Times New Roman" w:hAnsi="Cambria Math" w:cs="Helvetica"/>
                  </w:rPr>
                  <m:t>c)</m:t>
                </m:r>
              </m:e>
              <m:sup>
                <m:r>
                  <w:rPr>
                    <w:rFonts w:ascii="Cambria Math" w:eastAsia="Times New Roman" w:hAnsi="Cambria Math" w:cs="Helvetica"/>
                  </w:rPr>
                  <m:t>2</m:t>
                </m:r>
              </m:sup>
            </m:sSup>
            <m:sSub>
              <m:sSubPr>
                <m:ctrlPr>
                  <w:rPr>
                    <w:rFonts w:ascii="Cambria Math" w:eastAsiaTheme="minorEastAsia" w:hAnsi="Cambria Math" w:cs="Helvetica"/>
                    <w:i/>
                    <w:sz w:val="18"/>
                    <w:szCs w:val="18"/>
                  </w:rPr>
                </m:ctrlPr>
              </m:sSubPr>
              <m:e>
                <m:r>
                  <w:rPr>
                    <w:rFonts w:ascii="Cambria Math" w:eastAsiaTheme="minorEastAsia" w:hAnsi="Cambria Math" w:cs="Helvetica"/>
                    <w:sz w:val="18"/>
                    <w:szCs w:val="18"/>
                  </w:rPr>
                  <m:t>ρ</m:t>
                </m:r>
              </m:e>
              <m:sub>
                <m:r>
                  <m:rPr>
                    <m:nor/>
                  </m:rPr>
                  <w:rPr>
                    <w:rFonts w:eastAsiaTheme="minorEastAsia" w:cs="Helvetica"/>
                    <w:sz w:val="18"/>
                    <w:szCs w:val="18"/>
                  </w:rPr>
                  <m:t>snow</m:t>
                </m:r>
              </m:sub>
            </m:sSub>
          </m:e>
        </m:rad>
      </m:oMath>
      <w:r>
        <w:rPr>
          <w:rFonts w:eastAsia="Times New Roman" w:cs="Helvetica"/>
        </w:rPr>
        <w:t xml:space="preserve">). Similarly, </w:t>
      </w:r>
      <m:oMath>
        <m:r>
          <w:rPr>
            <w:rFonts w:ascii="Cambria Math" w:hAnsi="Cambria Math" w:cs="Arial"/>
          </w:rPr>
          <m:t>θ</m:t>
        </m:r>
      </m:oMath>
      <w:r>
        <w:rPr>
          <w:rFonts w:eastAsia="Times New Roman" w:cs="Helvetica"/>
        </w:rPr>
        <w:t xml:space="preserve"> was adjusted to account for refraction within the snowpack prior to interaction at the snow-ground interface (Snell’s Law). </w:t>
      </w:r>
    </w:p>
    <w:p w:rsidR="0046150C" w:rsidRPr="002051E1" w:rsidRDefault="0046150C" w:rsidP="0046150C">
      <w:pPr>
        <w:spacing w:line="480" w:lineRule="auto"/>
        <w:rPr>
          <w:rFonts w:eastAsia="Times New Roman" w:cs="Helvetica"/>
        </w:rPr>
      </w:pPr>
      <w:r>
        <w:rPr>
          <w:rFonts w:ascii="Arial" w:eastAsiaTheme="minorEastAsia" w:hAnsi="Arial" w:cs="Arial"/>
        </w:rPr>
        <w:t>Fresnel coefficients (</w:t>
      </w:r>
      <m:oMath>
        <m:sSubSup>
          <m:sSubSupPr>
            <m:ctrlPr>
              <w:rPr>
                <w:rFonts w:ascii="Cambria Math" w:hAnsi="Cambria Math" w:cs="Arial"/>
                <w:i/>
              </w:rPr>
            </m:ctrlPr>
          </m:sSubSupPr>
          <m:e>
            <m:r>
              <m:rPr>
                <m:sty m:val="p"/>
              </m:rPr>
              <w:rPr>
                <w:rFonts w:ascii="Cambria Math" w:hAnsi="Cambria Math" w:cs="Arial"/>
              </w:rPr>
              <m:t>Γ</m:t>
            </m:r>
          </m:e>
          <m:sub>
            <m:r>
              <m:rPr>
                <m:nor/>
              </m:rPr>
              <w:rPr>
                <w:rFonts w:ascii="Cambria Math" w:hAnsi="Cambria Math" w:cs="Arial"/>
              </w:rPr>
              <m:t>h</m:t>
            </m:r>
          </m:sub>
          <m:sup>
            <m:r>
              <m:rPr>
                <m:nor/>
              </m:rPr>
              <w:rPr>
                <w:rFonts w:ascii="Arial" w:hAnsi="Arial" w:cs="Arial"/>
              </w:rPr>
              <m:t>Fresnel</m:t>
            </m:r>
          </m:sup>
        </m:sSubSup>
        <m:r>
          <w:rPr>
            <w:rFonts w:ascii="Cambria Math" w:hAnsi="Cambria Math" w:cs="Arial"/>
          </w:rPr>
          <m:t>)</m:t>
        </m:r>
      </m:oMath>
      <w:r>
        <w:rPr>
          <w:rFonts w:ascii="Arial" w:eastAsiaTheme="minorEastAsia" w:hAnsi="Arial" w:cs="Arial"/>
        </w:rPr>
        <w:t xml:space="preserve"> were calculated with a constant relative permittivity of 4 + 0.5i based on soil sensors buried 5 cm below the surface at each study site. Although spatial variations in permittivity were probable, the influence was assumed to be conservative given consistent soil temperatures below -15</w:t>
      </w:r>
      <w:r>
        <w:rPr>
          <w:rStyle w:val="tgc"/>
        </w:rPr>
        <w:t>°</w:t>
      </w:r>
      <w:r>
        <w:rPr>
          <w:rFonts w:ascii="Arial" w:eastAsiaTheme="minorEastAsia" w:hAnsi="Arial" w:cs="Arial"/>
        </w:rPr>
        <w:t xml:space="preserve">C, adequate for complete freezing of the organic material (Mironov et al., 2010). Collecting distributed estimates of </w:t>
      </w:r>
      <m:oMath>
        <m:r>
          <w:rPr>
            <w:rFonts w:ascii="Cambria Math" w:eastAsiaTheme="minorEastAsia" w:hAnsi="Cambria Math" w:cs="Arial"/>
          </w:rPr>
          <m:t>h</m:t>
        </m:r>
      </m:oMath>
      <w:r>
        <w:rPr>
          <w:rFonts w:ascii="Arial" w:eastAsiaTheme="minorEastAsia" w:hAnsi="Arial" w:cs="Arial"/>
        </w:rPr>
        <w:t xml:space="preserve"> was not possible during the winter field campaign, requiring treatment as a free parameter. The evaluated range of </w:t>
      </w:r>
      <m:oMath>
        <m:r>
          <w:rPr>
            <w:rFonts w:ascii="Cambria Math" w:eastAsiaTheme="minorEastAsia" w:hAnsi="Cambria Math" w:cs="Arial"/>
          </w:rPr>
          <m:t>h</m:t>
        </m:r>
      </m:oMath>
      <w:r>
        <w:rPr>
          <w:rFonts w:ascii="Arial" w:eastAsiaTheme="minorEastAsia" w:hAnsi="Arial" w:cs="Arial"/>
        </w:rPr>
        <w:t xml:space="preserve"> was limited to reflect previous tundra-like parametrizations (</w:t>
      </w:r>
      <w:r w:rsidR="00215C4D">
        <w:rPr>
          <w:rFonts w:ascii="Arial" w:eastAsiaTheme="minorEastAsia" w:hAnsi="Arial" w:cs="Arial"/>
        </w:rPr>
        <w:t xml:space="preserve">see </w:t>
      </w:r>
      <w:r>
        <w:rPr>
          <w:rFonts w:ascii="Arial" w:eastAsiaTheme="minorEastAsia" w:hAnsi="Arial" w:cs="Arial"/>
        </w:rPr>
        <w:t xml:space="preserve">Montpetit et al., 2013) and optimized at locations were all other inputs could be constrained (e.g. at snow pits). </w:t>
      </w:r>
      <w:r>
        <w:rPr>
          <w:rFonts w:eastAsiaTheme="minorEastAsia"/>
        </w:rPr>
        <w:t>Given that MEMLS requires input of specular reflectivity (</w:t>
      </w:r>
      <m:oMath>
        <m:sSub>
          <m:sSubPr>
            <m:ctrlPr>
              <w:rPr>
                <w:rFonts w:ascii="Cambria Math" w:hAnsi="Cambria Math"/>
                <w:i/>
              </w:rPr>
            </m:ctrlPr>
          </m:sSubPr>
          <m:e>
            <m:r>
              <w:rPr>
                <w:rFonts w:ascii="Cambria Math" w:hAnsi="Cambria Math"/>
              </w:rPr>
              <m:t>S</m:t>
            </m:r>
          </m:e>
          <m:sub>
            <m:r>
              <w:rPr>
                <w:rFonts w:ascii="Cambria Math" w:hAnsi="Cambria Math"/>
              </w:rPr>
              <m:t>S0</m:t>
            </m:r>
          </m:sub>
        </m:sSub>
      </m:oMath>
      <w:r>
        <w:rPr>
          <w:rFonts w:eastAsiaTheme="minorEastAsia"/>
        </w:rPr>
        <w:t>)</w:t>
      </w:r>
      <w:r w:rsidR="004020FB">
        <w:rPr>
          <w:rFonts w:eastAsiaTheme="minorEastAsia"/>
        </w:rPr>
        <w:t xml:space="preserve"> to estimate backscatter</w:t>
      </w:r>
      <w:r>
        <w:rPr>
          <w:rFonts w:eastAsiaTheme="minorEastAsia"/>
        </w:rPr>
        <w:t>, modeled total reflectivity (</w:t>
      </w:r>
      <m:oMath>
        <m:sSub>
          <m:sSubPr>
            <m:ctrlPr>
              <w:rPr>
                <w:rFonts w:ascii="Cambria Math" w:hAnsi="Cambria Math" w:cs="Helvetica"/>
                <w:i/>
              </w:rPr>
            </m:ctrlPr>
          </m:sSubPr>
          <m:e>
            <m:r>
              <w:rPr>
                <w:rFonts w:ascii="Cambria Math" w:hAnsi="Cambria Math" w:cs="Helvetica"/>
              </w:rPr>
              <m:t>S</m:t>
            </m:r>
          </m:e>
          <m:sub>
            <m:r>
              <w:rPr>
                <w:rFonts w:ascii="Cambria Math" w:hAnsi="Cambria Math" w:cs="Helvetica"/>
              </w:rPr>
              <m:t>0</m:t>
            </m:r>
          </m:sub>
        </m:sSub>
      </m:oMath>
      <w:r>
        <w:rPr>
          <w:rFonts w:eastAsiaTheme="minorEastAsia"/>
        </w:rPr>
        <w:t>)</w:t>
      </w:r>
      <w:r>
        <w:rPr>
          <w:rFonts w:eastAsiaTheme="minorEastAsia"/>
          <w:sz w:val="18"/>
          <w:szCs w:val="18"/>
        </w:rPr>
        <w:t xml:space="preserve"> </w:t>
      </w:r>
      <w:r>
        <w:rPr>
          <w:rFonts w:eastAsiaTheme="minorEastAsia"/>
        </w:rPr>
        <w:t>was scaled by a constant factor to produce a proportional estimate (</w:t>
      </w:r>
      <m:oMath>
        <m:sSub>
          <m:sSubPr>
            <m:ctrlPr>
              <w:rPr>
                <w:rFonts w:ascii="Cambria Math" w:hAnsi="Cambria Math" w:cs="Helvetica"/>
                <w:i/>
              </w:rPr>
            </m:ctrlPr>
          </m:sSubPr>
          <m:e>
            <m:r>
              <w:rPr>
                <w:rFonts w:ascii="Cambria Math" w:hAnsi="Cambria Math" w:cs="Helvetica"/>
              </w:rPr>
              <m:t>S</m:t>
            </m:r>
          </m:e>
          <m:sub>
            <m:r>
              <w:rPr>
                <w:rFonts w:ascii="Cambria Math" w:hAnsi="Cambria Math" w:cs="Helvetica"/>
              </w:rPr>
              <m:t>S0</m:t>
            </m:r>
          </m:sub>
        </m:sSub>
        <m:r>
          <w:rPr>
            <w:rFonts w:ascii="Cambria Math" w:hAnsi="Cambria Math" w:cs="Helvetica"/>
          </w:rPr>
          <m:t>= 0.75</m:t>
        </m:r>
        <m:sSub>
          <m:sSubPr>
            <m:ctrlPr>
              <w:rPr>
                <w:rFonts w:ascii="Cambria Math" w:hAnsi="Cambria Math" w:cs="Helvetica"/>
                <w:i/>
              </w:rPr>
            </m:ctrlPr>
          </m:sSubPr>
          <m:e>
            <m:r>
              <w:rPr>
                <w:rFonts w:ascii="Cambria Math" w:hAnsi="Cambria Math" w:cs="Helvetica"/>
              </w:rPr>
              <m:t>S</m:t>
            </m:r>
          </m:e>
          <m:sub>
            <m:r>
              <w:rPr>
                <w:rFonts w:ascii="Cambria Math" w:hAnsi="Cambria Math" w:cs="Helvetica"/>
              </w:rPr>
              <m:t>0</m:t>
            </m:r>
          </m:sub>
        </m:sSub>
      </m:oMath>
      <w:r>
        <w:rPr>
          <w:rFonts w:eastAsiaTheme="minorEastAsia"/>
        </w:rPr>
        <w:t>;</w:t>
      </w:r>
      <w:r w:rsidRPr="00310FB8">
        <w:rPr>
          <w:rFonts w:eastAsiaTheme="minorEastAsia"/>
        </w:rPr>
        <w:t xml:space="preserve"> </w:t>
      </w:r>
      <w:r>
        <w:rPr>
          <w:rFonts w:eastAsiaTheme="minorEastAsia"/>
        </w:rPr>
        <w:t>Proksch et al., 2015).</w:t>
      </w:r>
    </w:p>
    <w:p w:rsidR="00DE7F8F" w:rsidRPr="002C1314" w:rsidRDefault="00DE7F8F" w:rsidP="002C1314">
      <w:pPr>
        <w:pStyle w:val="Heading1"/>
        <w:spacing w:line="240" w:lineRule="auto"/>
      </w:pPr>
      <w:r w:rsidRPr="002C1314">
        <w:t>3. Results</w:t>
      </w:r>
    </w:p>
    <w:p w:rsidR="00DE7F8F" w:rsidRDefault="00DE7F8F" w:rsidP="00DE7F8F">
      <w:pPr>
        <w:pStyle w:val="MDPI22heading2"/>
      </w:pPr>
      <w:r>
        <w:t xml:space="preserve">3.1. Observed </w:t>
      </w:r>
      <w:r w:rsidR="009D01A5">
        <w:t>snow</w:t>
      </w:r>
      <w:r>
        <w:t xml:space="preserve"> conditions</w:t>
      </w:r>
    </w:p>
    <w:p w:rsidR="00DE7F8F" w:rsidRPr="00AE1096" w:rsidRDefault="00DE7F8F" w:rsidP="00DE7F8F">
      <w:pPr>
        <w:pStyle w:val="MDPI23heading3"/>
        <w:spacing w:line="360" w:lineRule="auto"/>
        <w:rPr>
          <w:snapToGrid/>
          <w:color w:val="auto"/>
          <w:lang w:eastAsia="en-US" w:bidi="ar-SA"/>
        </w:rPr>
      </w:pPr>
      <w:r>
        <w:t>3</w:t>
      </w:r>
      <w:r w:rsidRPr="00F34C44">
        <w:t>.</w:t>
      </w:r>
      <w:r>
        <w:t>1</w:t>
      </w:r>
      <w:r w:rsidRPr="00F34C44">
        <w:t xml:space="preserve">.1. </w:t>
      </w:r>
      <w:r>
        <w:t>Snow depth, density and water equivalent</w:t>
      </w:r>
    </w:p>
    <w:p w:rsidR="00DE7F8F" w:rsidRDefault="00DE7F8F" w:rsidP="00DE7F8F">
      <w:pPr>
        <w:spacing w:after="0" w:line="480" w:lineRule="auto"/>
        <w:rPr>
          <w:rStyle w:val="tgc"/>
        </w:rPr>
      </w:pPr>
      <w:r>
        <w:t xml:space="preserve">Regardless of differences in landscape, mean </w:t>
      </w:r>
      <m:oMath>
        <m:sSub>
          <m:sSubPr>
            <m:ctrlPr>
              <w:rPr>
                <w:rStyle w:val="tgc"/>
                <w:rFonts w:ascii="Cambria Math" w:hAnsi="Cambria Math"/>
                <w:i/>
              </w:rPr>
            </m:ctrlPr>
          </m:sSubPr>
          <m:e>
            <m:r>
              <m:rPr>
                <m:nor/>
              </m:rPr>
              <w:rPr>
                <w:rStyle w:val="tgc"/>
                <w:rFonts w:ascii="Cambria Math" w:hAnsi="Cambria Math"/>
              </w:rPr>
              <m:t>SD</m:t>
            </m:r>
          </m:e>
          <m:sub>
            <m:r>
              <m:rPr>
                <m:nor/>
              </m:rPr>
              <w:rPr>
                <w:rStyle w:val="tgc"/>
                <w:rFonts w:ascii="Cambria Math" w:hAnsi="Cambria Math"/>
              </w:rPr>
              <m:t>ref</m:t>
            </m:r>
          </m:sub>
        </m:sSub>
      </m:oMath>
      <w:r>
        <w:rPr>
          <w:rStyle w:val="tgc"/>
          <w:rFonts w:eastAsiaTheme="minorEastAsia"/>
        </w:rPr>
        <w:t xml:space="preserve"> </w:t>
      </w:r>
      <w:r>
        <w:t xml:space="preserve">at the two sites differed by only 3.2 cm when all in situ measurements were considered (Table 3). </w:t>
      </w:r>
      <w:r>
        <w:rPr>
          <w:rStyle w:val="tgc"/>
        </w:rPr>
        <w:t xml:space="preserve">Agreement was improved when depths were limited to those in open tundra, with means of 51.8±16.5 and 50.9±17.4 cm </w:t>
      </w:r>
      <w:r>
        <w:rPr>
          <w:rStyle w:val="tgc"/>
          <w:lang w:val="en-CA"/>
        </w:rPr>
        <w:t>(</w:t>
      </w:r>
      <w:r w:rsidRPr="00016B5E">
        <w:rPr>
          <w:rStyle w:val="tgc"/>
          <w:lang w:val="en-CA"/>
        </w:rPr>
        <w:t>±</w:t>
      </w:r>
      <w:r w:rsidR="008B3507">
        <w:rPr>
          <w:rStyle w:val="tgc"/>
          <w:lang w:val="en-CA"/>
        </w:rPr>
        <w:t>1</w:t>
      </w:r>
      <w:r>
        <w:rPr>
          <w:rStyle w:val="tgc"/>
          <w:rFonts w:cs="Helvetica"/>
          <w:lang w:val="en-CA"/>
        </w:rPr>
        <w:t>σ</w:t>
      </w:r>
      <w:r>
        <w:rPr>
          <w:rStyle w:val="tgc"/>
          <w:lang w:val="en-CA"/>
        </w:rPr>
        <w:t>)</w:t>
      </w:r>
      <w:r>
        <w:rPr>
          <w:rStyle w:val="tgc"/>
        </w:rPr>
        <w:t xml:space="preserve">, at the UT and SS sites, respectively. Deeper snow and increased variability were associated with shrub tundra and forest, with means of 61.8±22.7 cm and 78.8±19.4 cm, at the SS site. Although a smaller number of measurements were collected within areas of </w:t>
      </w:r>
      <w:r w:rsidR="004020FB">
        <w:rPr>
          <w:rStyle w:val="tgc"/>
        </w:rPr>
        <w:t>standing</w:t>
      </w:r>
      <w:r>
        <w:rPr>
          <w:rStyle w:val="tgc"/>
        </w:rPr>
        <w:t xml:space="preserve"> </w:t>
      </w:r>
      <w:r w:rsidR="00920461">
        <w:rPr>
          <w:rStyle w:val="tgc"/>
        </w:rPr>
        <w:t xml:space="preserve">vegetation </w:t>
      </w:r>
      <w:r>
        <w:rPr>
          <w:rStyle w:val="tgc"/>
        </w:rPr>
        <w:t>(28.6% of total measurements), the sampled proportions were comparable to the SS site fractional cover</w:t>
      </w:r>
      <w:r w:rsidR="009D01A5">
        <w:rPr>
          <w:rStyle w:val="tgc"/>
        </w:rPr>
        <w:t xml:space="preserve">age (34.8% of total coverage). </w:t>
      </w:r>
      <w:r w:rsidR="007C5030">
        <w:rPr>
          <w:rStyle w:val="tgc"/>
        </w:rPr>
        <w:t>Relative</w:t>
      </w:r>
      <w:r w:rsidR="009D01A5">
        <w:rPr>
          <w:rStyle w:val="tgc"/>
        </w:rPr>
        <w:t xml:space="preserve"> </w:t>
      </w:r>
      <w:r>
        <w:rPr>
          <w:rStyle w:val="tgc"/>
        </w:rPr>
        <w:t xml:space="preserve">contributions </w:t>
      </w:r>
      <w:r w:rsidR="007C5030">
        <w:rPr>
          <w:rStyle w:val="tgc"/>
        </w:rPr>
        <w:t xml:space="preserve">to total snow mass </w:t>
      </w:r>
      <w:r w:rsidR="009D01A5">
        <w:rPr>
          <w:rStyle w:val="tgc"/>
        </w:rPr>
        <w:t>were evaluated using</w:t>
      </w:r>
      <w:r>
        <w:rPr>
          <w:rStyle w:val="tgc"/>
        </w:rPr>
        <w:t xml:space="preserve"> the reference snow core measurements (</w:t>
      </w:r>
      <m:oMath>
        <m:sSub>
          <m:sSubPr>
            <m:ctrlPr>
              <w:rPr>
                <w:rFonts w:ascii="Cambria Math" w:eastAsiaTheme="minorEastAsia" w:hAnsi="Cambria Math"/>
                <w:i/>
              </w:rPr>
            </m:ctrlPr>
          </m:sSubPr>
          <m:e>
            <m:r>
              <m:rPr>
                <m:nor/>
              </m:rPr>
              <w:rPr>
                <w:rFonts w:ascii="Cambria Math" w:eastAsiaTheme="minorEastAsia" w:hAnsi="Cambria Math"/>
              </w:rPr>
              <m:t>SWE</m:t>
            </m:r>
          </m:e>
          <m:sub>
            <m:r>
              <m:rPr>
                <m:nor/>
              </m:rPr>
              <w:rPr>
                <w:rFonts w:ascii="Cambria Math" w:eastAsiaTheme="minorEastAsia" w:hAnsi="Cambria Math"/>
              </w:rPr>
              <m:t>ref</m:t>
            </m:r>
          </m:sub>
        </m:sSub>
      </m:oMath>
      <w:r>
        <w:rPr>
          <w:rFonts w:eastAsiaTheme="minorEastAsia"/>
        </w:rPr>
        <w:t>)</w:t>
      </w:r>
      <w:r>
        <w:rPr>
          <w:rStyle w:val="tgc"/>
        </w:rPr>
        <w:t xml:space="preserve">. Despite having the lowest mean </w:t>
      </w:r>
      <m:oMath>
        <m:sSub>
          <m:sSubPr>
            <m:ctrlPr>
              <w:rPr>
                <w:rFonts w:ascii="Cambria Math" w:eastAsiaTheme="minorEastAsia" w:hAnsi="Cambria Math"/>
                <w:i/>
              </w:rPr>
            </m:ctrlPr>
          </m:sSubPr>
          <m:e>
            <m:r>
              <m:rPr>
                <m:nor/>
              </m:rPr>
              <w:rPr>
                <w:rFonts w:ascii="Cambria Math" w:eastAsiaTheme="minorEastAsia" w:hAnsi="Cambria Math"/>
              </w:rPr>
              <m:t>SWE</m:t>
            </m:r>
          </m:e>
          <m:sub>
            <m:r>
              <m:rPr>
                <m:nor/>
              </m:rPr>
              <w:rPr>
                <w:rFonts w:ascii="Cambria Math" w:eastAsiaTheme="minorEastAsia" w:hAnsi="Cambria Math"/>
              </w:rPr>
              <m:t>ref</m:t>
            </m:r>
          </m:sub>
        </m:sSub>
      </m:oMath>
      <w:r>
        <w:rPr>
          <w:rStyle w:val="tgc"/>
        </w:rPr>
        <w:t>, open tundra was identified as the principle storage</w:t>
      </w:r>
      <w:r w:rsidR="006D246C">
        <w:rPr>
          <w:rStyle w:val="tgc"/>
        </w:rPr>
        <w:t xml:space="preserve"> at both sites</w:t>
      </w:r>
      <w:r>
        <w:rPr>
          <w:rStyle w:val="tgc"/>
        </w:rPr>
        <w:t xml:space="preserve"> </w:t>
      </w:r>
      <w:r>
        <w:t xml:space="preserve">due to its spatial predominance </w:t>
      </w:r>
      <w:r>
        <w:rPr>
          <w:rStyle w:val="tgc"/>
        </w:rPr>
        <w:t>(Table 3). As a result, a narrowed focus on open tundra</w:t>
      </w:r>
      <w:r w:rsidR="005E645B">
        <w:rPr>
          <w:rStyle w:val="tgc"/>
        </w:rPr>
        <w:t xml:space="preserve"> where</w:t>
      </w:r>
      <w:r w:rsidR="005E645B">
        <w:t xml:space="preserve"> biophysical </w:t>
      </w:r>
      <w:r w:rsidR="005E645B" w:rsidRPr="0069154B">
        <w:t xml:space="preserve">complexity </w:t>
      </w:r>
      <w:r w:rsidR="005E645B">
        <w:t>is minimized</w:t>
      </w:r>
      <w:r w:rsidR="005E645B">
        <w:rPr>
          <w:rStyle w:val="tgc"/>
        </w:rPr>
        <w:t xml:space="preserve"> </w:t>
      </w:r>
      <w:r>
        <w:rPr>
          <w:rStyle w:val="tgc"/>
        </w:rPr>
        <w:t>can be shown to cover both the largest land cover fraction (&gt;71%), as well as a high proportion of the basin-wide snow mass (&gt;60%).</w:t>
      </w:r>
    </w:p>
    <w:p w:rsidR="00DE7F8F" w:rsidRPr="00F11F8A" w:rsidRDefault="00DE7F8F" w:rsidP="00E74C28">
      <w:pPr>
        <w:pStyle w:val="Caption"/>
        <w:spacing w:before="240" w:line="360" w:lineRule="auto"/>
        <w:jc w:val="left"/>
        <w:rPr>
          <w:rStyle w:val="tgc"/>
          <w:color w:val="auto"/>
        </w:rPr>
      </w:pPr>
      <w:r w:rsidRPr="00830CBA">
        <w:rPr>
          <w:color w:val="auto"/>
        </w:rPr>
        <w:t xml:space="preserve">Table </w:t>
      </w:r>
      <w:r>
        <w:rPr>
          <w:color w:val="auto"/>
        </w:rPr>
        <w:t>3</w:t>
      </w:r>
      <w:r w:rsidRPr="00830CBA">
        <w:rPr>
          <w:color w:val="auto"/>
        </w:rPr>
        <w:t xml:space="preserve">: </w:t>
      </w:r>
      <w:r>
        <w:rPr>
          <w:color w:val="auto"/>
        </w:rPr>
        <w:t>In situ measured snow depth (</w:t>
      </w:r>
      <m:oMath>
        <m:sSub>
          <m:sSubPr>
            <m:ctrlPr>
              <w:rPr>
                <w:rStyle w:val="tgc"/>
                <w:rFonts w:ascii="Cambria Math" w:hAnsi="Cambria Math"/>
                <w:i/>
                <w:color w:val="auto"/>
              </w:rPr>
            </m:ctrlPr>
          </m:sSubPr>
          <m:e>
            <m:r>
              <m:rPr>
                <m:nor/>
              </m:rPr>
              <w:rPr>
                <w:rStyle w:val="tgc"/>
                <w:rFonts w:ascii="Cambria Math" w:hAnsi="Cambria Math"/>
                <w:color w:val="auto"/>
              </w:rPr>
              <m:t>SD</m:t>
            </m:r>
          </m:e>
          <m:sub>
            <m:r>
              <m:rPr>
                <m:nor/>
              </m:rPr>
              <w:rPr>
                <w:rStyle w:val="tgc"/>
                <w:rFonts w:ascii="Cambria Math" w:hAnsi="Cambria Math"/>
                <w:color w:val="auto"/>
              </w:rPr>
              <m:t>ref</m:t>
            </m:r>
          </m:sub>
        </m:sSub>
      </m:oMath>
      <w:r>
        <w:rPr>
          <w:color w:val="auto"/>
        </w:rPr>
        <w:t>), density (</w:t>
      </w:r>
      <m:oMath>
        <m:sSub>
          <m:sSubPr>
            <m:ctrlPr>
              <w:rPr>
                <w:rFonts w:ascii="Cambria Math" w:eastAsiaTheme="minorEastAsia" w:hAnsi="Cambria Math"/>
                <w:i/>
                <w:color w:val="auto"/>
              </w:rPr>
            </m:ctrlPr>
          </m:sSubPr>
          <m:e>
            <m:r>
              <m:rPr>
                <m:sty m:val="bi"/>
              </m:rPr>
              <w:rPr>
                <w:rFonts w:ascii="Cambria Math" w:eastAsiaTheme="minorEastAsia" w:hAnsi="Cambria Math"/>
                <w:color w:val="auto"/>
              </w:rPr>
              <m:t>ρ</m:t>
            </m:r>
          </m:e>
          <m:sub>
            <m:r>
              <m:rPr>
                <m:nor/>
              </m:rPr>
              <w:rPr>
                <w:rFonts w:ascii="Cambria Math" w:eastAsiaTheme="minorEastAsia" w:hAnsi="Cambria Math"/>
                <w:color w:val="auto"/>
              </w:rPr>
              <m:t>ref</m:t>
            </m:r>
          </m:sub>
        </m:sSub>
      </m:oMath>
      <w:r>
        <w:rPr>
          <w:color w:val="auto"/>
        </w:rPr>
        <w:t>), and water equivalent (</w:t>
      </w:r>
      <m:oMath>
        <m:sSub>
          <m:sSubPr>
            <m:ctrlPr>
              <w:rPr>
                <w:rFonts w:ascii="Cambria Math" w:eastAsiaTheme="minorEastAsia" w:hAnsi="Cambria Math"/>
                <w:i/>
                <w:color w:val="auto"/>
              </w:rPr>
            </m:ctrlPr>
          </m:sSubPr>
          <m:e>
            <m:r>
              <m:rPr>
                <m:nor/>
              </m:rPr>
              <w:rPr>
                <w:rFonts w:ascii="Cambria Math" w:eastAsiaTheme="minorEastAsia" w:hAnsi="Cambria Math"/>
                <w:color w:val="auto"/>
              </w:rPr>
              <m:t>SWE</m:t>
            </m:r>
          </m:e>
          <m:sub>
            <m:r>
              <m:rPr>
                <m:sty m:val="bi"/>
              </m:rPr>
              <w:rPr>
                <w:rFonts w:ascii="Cambria Math" w:eastAsiaTheme="minorEastAsia" w:hAnsi="Cambria Math"/>
                <w:color w:val="auto"/>
              </w:rPr>
              <m:t>ref</m:t>
            </m:r>
          </m:sub>
        </m:sSub>
      </m:oMath>
      <w:r>
        <w:rPr>
          <w:color w:val="auto"/>
        </w:rPr>
        <w:t>)</w:t>
      </w:r>
      <w:r w:rsidRPr="00830CBA">
        <w:rPr>
          <w:color w:val="auto"/>
        </w:rPr>
        <w:t xml:space="preserve"> </w:t>
      </w:r>
      <w:r>
        <w:rPr>
          <w:color w:val="auto"/>
        </w:rPr>
        <w:t>at the SikSik (SS) and Upland tundra (UT) sites separated by land cover type.</w:t>
      </w:r>
    </w:p>
    <w:tbl>
      <w:tblPr>
        <w:tblW w:w="0" w:type="auto"/>
        <w:jc w:val="center"/>
        <w:tblLook w:val="04A0" w:firstRow="1" w:lastRow="0" w:firstColumn="1" w:lastColumn="0" w:noHBand="0" w:noVBand="1"/>
      </w:tblPr>
      <w:tblGrid>
        <w:gridCol w:w="1886"/>
        <w:gridCol w:w="606"/>
        <w:gridCol w:w="894"/>
        <w:gridCol w:w="794"/>
        <w:gridCol w:w="828"/>
        <w:gridCol w:w="222"/>
        <w:gridCol w:w="606"/>
        <w:gridCol w:w="894"/>
        <w:gridCol w:w="794"/>
        <w:gridCol w:w="828"/>
      </w:tblGrid>
      <w:tr w:rsidR="00DE7F8F" w:rsidTr="00AB4D9C">
        <w:trPr>
          <w:trHeight w:val="188"/>
          <w:jc w:val="center"/>
        </w:trPr>
        <w:tc>
          <w:tcPr>
            <w:tcW w:w="0" w:type="auto"/>
            <w:tcBorders>
              <w:top w:val="nil"/>
              <w:left w:val="nil"/>
              <w:bottom w:val="nil"/>
              <w:right w:val="nil"/>
            </w:tcBorders>
          </w:tcPr>
          <w:p w:rsidR="00DE7F8F" w:rsidRPr="00237655" w:rsidRDefault="00DE7F8F" w:rsidP="00AB4D9C">
            <w:pPr>
              <w:spacing w:after="0"/>
              <w:rPr>
                <w:rStyle w:val="tgc"/>
                <w:sz w:val="20"/>
                <w:szCs w:val="20"/>
              </w:rPr>
            </w:pPr>
          </w:p>
        </w:tc>
        <w:tc>
          <w:tcPr>
            <w:tcW w:w="0" w:type="auto"/>
            <w:gridSpan w:val="4"/>
            <w:tcBorders>
              <w:top w:val="nil"/>
              <w:left w:val="nil"/>
              <w:bottom w:val="nil"/>
              <w:right w:val="nil"/>
            </w:tcBorders>
          </w:tcPr>
          <w:p w:rsidR="00DE7F8F" w:rsidRPr="008C695B" w:rsidRDefault="00DE7F8F" w:rsidP="00AB4D9C">
            <w:pPr>
              <w:spacing w:after="0"/>
              <w:jc w:val="center"/>
              <w:rPr>
                <w:rStyle w:val="tgc"/>
                <w:b/>
                <w:sz w:val="20"/>
                <w:szCs w:val="20"/>
              </w:rPr>
            </w:pPr>
            <w:r w:rsidRPr="008C695B">
              <w:rPr>
                <w:rStyle w:val="tgc"/>
                <w:b/>
                <w:sz w:val="20"/>
                <w:szCs w:val="20"/>
              </w:rPr>
              <w:t>Upland Tundra</w:t>
            </w:r>
          </w:p>
        </w:tc>
        <w:tc>
          <w:tcPr>
            <w:tcW w:w="0" w:type="auto"/>
            <w:tcBorders>
              <w:top w:val="nil"/>
              <w:left w:val="nil"/>
              <w:bottom w:val="nil"/>
              <w:right w:val="nil"/>
            </w:tcBorders>
          </w:tcPr>
          <w:p w:rsidR="00DE7F8F" w:rsidRPr="000237B5" w:rsidRDefault="00DE7F8F" w:rsidP="00AB4D9C">
            <w:pPr>
              <w:spacing w:after="0"/>
              <w:jc w:val="center"/>
              <w:rPr>
                <w:rStyle w:val="tgc"/>
                <w:sz w:val="20"/>
                <w:szCs w:val="20"/>
                <w:u w:val="single"/>
              </w:rPr>
            </w:pPr>
          </w:p>
        </w:tc>
        <w:tc>
          <w:tcPr>
            <w:tcW w:w="0" w:type="auto"/>
            <w:gridSpan w:val="4"/>
            <w:tcBorders>
              <w:top w:val="nil"/>
              <w:left w:val="nil"/>
              <w:bottom w:val="nil"/>
              <w:right w:val="nil"/>
            </w:tcBorders>
          </w:tcPr>
          <w:p w:rsidR="00DE7F8F" w:rsidRPr="005D1625" w:rsidRDefault="00DE7F8F" w:rsidP="00AB4D9C">
            <w:pPr>
              <w:spacing w:after="0"/>
              <w:jc w:val="center"/>
              <w:rPr>
                <w:rStyle w:val="tgc"/>
                <w:b/>
                <w:sz w:val="20"/>
                <w:szCs w:val="20"/>
              </w:rPr>
            </w:pPr>
            <w:r w:rsidRPr="005D1625">
              <w:rPr>
                <w:rStyle w:val="tgc"/>
                <w:b/>
                <w:sz w:val="20"/>
                <w:szCs w:val="20"/>
              </w:rPr>
              <w:t>SikSik</w:t>
            </w:r>
          </w:p>
        </w:tc>
      </w:tr>
      <w:tr w:rsidR="00DE7F8F" w:rsidTr="00AB4D9C">
        <w:trPr>
          <w:trHeight w:val="397"/>
          <w:jc w:val="center"/>
        </w:trPr>
        <w:tc>
          <w:tcPr>
            <w:tcW w:w="0" w:type="auto"/>
            <w:tcBorders>
              <w:top w:val="nil"/>
              <w:left w:val="nil"/>
              <w:bottom w:val="nil"/>
              <w:right w:val="nil"/>
            </w:tcBorders>
          </w:tcPr>
          <w:p w:rsidR="00DE7F8F" w:rsidRPr="000237B5" w:rsidRDefault="00DE7F8F" w:rsidP="00AB4D9C">
            <w:pPr>
              <w:spacing w:before="240" w:after="0"/>
              <w:jc w:val="left"/>
              <w:rPr>
                <w:rStyle w:val="tgc"/>
                <w:sz w:val="18"/>
                <w:szCs w:val="18"/>
              </w:rPr>
            </w:pPr>
          </w:p>
        </w:tc>
        <w:tc>
          <w:tcPr>
            <w:tcW w:w="0" w:type="auto"/>
            <w:tcBorders>
              <w:top w:val="nil"/>
              <w:left w:val="nil"/>
              <w:bottom w:val="single" w:sz="4" w:space="0" w:color="auto"/>
              <w:right w:val="nil"/>
            </w:tcBorders>
          </w:tcPr>
          <w:p w:rsidR="00DE7F8F" w:rsidRPr="008C695B" w:rsidRDefault="00DE7F8F" w:rsidP="00AB4D9C">
            <w:pPr>
              <w:spacing w:before="240" w:after="0"/>
              <w:jc w:val="center"/>
              <w:rPr>
                <w:rStyle w:val="tgc"/>
                <w:b/>
                <w:sz w:val="20"/>
                <w:szCs w:val="20"/>
              </w:rPr>
            </w:pPr>
            <w:r w:rsidRPr="008C695B">
              <w:rPr>
                <w:rStyle w:val="tgc"/>
                <w:b/>
                <w:sz w:val="20"/>
                <w:szCs w:val="20"/>
              </w:rPr>
              <w:t>All</w:t>
            </w:r>
          </w:p>
        </w:tc>
        <w:tc>
          <w:tcPr>
            <w:tcW w:w="0" w:type="auto"/>
            <w:tcBorders>
              <w:top w:val="nil"/>
              <w:left w:val="nil"/>
              <w:bottom w:val="single" w:sz="4" w:space="0" w:color="auto"/>
              <w:right w:val="nil"/>
            </w:tcBorders>
          </w:tcPr>
          <w:p w:rsidR="00DE7F8F" w:rsidRPr="008C695B" w:rsidRDefault="00DE7F8F" w:rsidP="00AB4D9C">
            <w:pPr>
              <w:spacing w:before="240" w:after="0"/>
              <w:jc w:val="center"/>
              <w:rPr>
                <w:rStyle w:val="tgc"/>
                <w:b/>
                <w:sz w:val="20"/>
                <w:szCs w:val="20"/>
              </w:rPr>
            </w:pPr>
            <w:r w:rsidRPr="008C695B">
              <w:rPr>
                <w:rStyle w:val="tgc"/>
                <w:b/>
                <w:sz w:val="20"/>
                <w:szCs w:val="20"/>
              </w:rPr>
              <w:t>Tundra</w:t>
            </w:r>
          </w:p>
        </w:tc>
        <w:tc>
          <w:tcPr>
            <w:tcW w:w="0" w:type="auto"/>
            <w:tcBorders>
              <w:top w:val="nil"/>
              <w:left w:val="nil"/>
              <w:bottom w:val="single" w:sz="4" w:space="0" w:color="auto"/>
              <w:right w:val="nil"/>
            </w:tcBorders>
          </w:tcPr>
          <w:p w:rsidR="00DE7F8F" w:rsidRPr="008C695B" w:rsidRDefault="00DE7F8F" w:rsidP="00AB4D9C">
            <w:pPr>
              <w:spacing w:before="240" w:after="0"/>
              <w:jc w:val="center"/>
              <w:rPr>
                <w:rStyle w:val="tgc"/>
                <w:b/>
                <w:sz w:val="20"/>
                <w:szCs w:val="20"/>
              </w:rPr>
            </w:pPr>
            <w:r w:rsidRPr="008C695B">
              <w:rPr>
                <w:rStyle w:val="tgc"/>
                <w:b/>
                <w:sz w:val="20"/>
                <w:szCs w:val="20"/>
              </w:rPr>
              <w:t>Shrub</w:t>
            </w:r>
          </w:p>
        </w:tc>
        <w:tc>
          <w:tcPr>
            <w:tcW w:w="0" w:type="auto"/>
            <w:tcBorders>
              <w:top w:val="nil"/>
              <w:left w:val="nil"/>
              <w:bottom w:val="single" w:sz="4" w:space="0" w:color="auto"/>
              <w:right w:val="nil"/>
            </w:tcBorders>
          </w:tcPr>
          <w:p w:rsidR="00DE7F8F" w:rsidRPr="008C695B" w:rsidRDefault="00DE7F8F" w:rsidP="00AB4D9C">
            <w:pPr>
              <w:spacing w:before="240" w:after="0"/>
              <w:jc w:val="center"/>
              <w:rPr>
                <w:rStyle w:val="tgc"/>
                <w:b/>
                <w:sz w:val="20"/>
                <w:szCs w:val="20"/>
              </w:rPr>
            </w:pPr>
            <w:r w:rsidRPr="008C695B">
              <w:rPr>
                <w:rStyle w:val="tgc"/>
                <w:b/>
                <w:sz w:val="20"/>
                <w:szCs w:val="20"/>
              </w:rPr>
              <w:t>Forest</w:t>
            </w:r>
          </w:p>
        </w:tc>
        <w:tc>
          <w:tcPr>
            <w:tcW w:w="0" w:type="auto"/>
            <w:tcBorders>
              <w:top w:val="nil"/>
              <w:left w:val="nil"/>
              <w:bottom w:val="nil"/>
              <w:right w:val="nil"/>
            </w:tcBorders>
          </w:tcPr>
          <w:p w:rsidR="00DE7F8F" w:rsidRPr="008C695B" w:rsidRDefault="00DE7F8F" w:rsidP="00AB4D9C">
            <w:pPr>
              <w:spacing w:before="240" w:after="0"/>
              <w:jc w:val="center"/>
              <w:rPr>
                <w:rStyle w:val="tgc"/>
                <w:b/>
                <w:sz w:val="20"/>
                <w:szCs w:val="20"/>
              </w:rPr>
            </w:pPr>
          </w:p>
        </w:tc>
        <w:tc>
          <w:tcPr>
            <w:tcW w:w="0" w:type="auto"/>
            <w:tcBorders>
              <w:top w:val="nil"/>
              <w:left w:val="nil"/>
              <w:bottom w:val="single" w:sz="4" w:space="0" w:color="auto"/>
              <w:right w:val="nil"/>
            </w:tcBorders>
          </w:tcPr>
          <w:p w:rsidR="00DE7F8F" w:rsidRPr="008C695B" w:rsidRDefault="00DE7F8F" w:rsidP="00AB4D9C">
            <w:pPr>
              <w:spacing w:before="240" w:after="0"/>
              <w:jc w:val="center"/>
              <w:rPr>
                <w:rStyle w:val="tgc"/>
                <w:b/>
                <w:sz w:val="20"/>
                <w:szCs w:val="20"/>
              </w:rPr>
            </w:pPr>
            <w:r w:rsidRPr="008C695B">
              <w:rPr>
                <w:rStyle w:val="tgc"/>
                <w:b/>
                <w:sz w:val="20"/>
                <w:szCs w:val="20"/>
              </w:rPr>
              <w:t>All</w:t>
            </w:r>
          </w:p>
        </w:tc>
        <w:tc>
          <w:tcPr>
            <w:tcW w:w="0" w:type="auto"/>
            <w:tcBorders>
              <w:top w:val="nil"/>
              <w:left w:val="nil"/>
              <w:bottom w:val="single" w:sz="4" w:space="0" w:color="auto"/>
              <w:right w:val="nil"/>
            </w:tcBorders>
          </w:tcPr>
          <w:p w:rsidR="00DE7F8F" w:rsidRPr="008C695B" w:rsidRDefault="00DE7F8F" w:rsidP="00AB4D9C">
            <w:pPr>
              <w:spacing w:before="240" w:after="0"/>
              <w:jc w:val="center"/>
              <w:rPr>
                <w:rStyle w:val="tgc"/>
                <w:b/>
                <w:sz w:val="20"/>
                <w:szCs w:val="20"/>
              </w:rPr>
            </w:pPr>
            <w:r w:rsidRPr="008C695B">
              <w:rPr>
                <w:rStyle w:val="tgc"/>
                <w:b/>
                <w:sz w:val="20"/>
                <w:szCs w:val="20"/>
              </w:rPr>
              <w:t>Tundra</w:t>
            </w:r>
          </w:p>
        </w:tc>
        <w:tc>
          <w:tcPr>
            <w:tcW w:w="0" w:type="auto"/>
            <w:tcBorders>
              <w:top w:val="nil"/>
              <w:left w:val="nil"/>
              <w:bottom w:val="single" w:sz="4" w:space="0" w:color="auto"/>
              <w:right w:val="nil"/>
            </w:tcBorders>
          </w:tcPr>
          <w:p w:rsidR="00DE7F8F" w:rsidRPr="008C695B" w:rsidRDefault="00DE7F8F" w:rsidP="00AB4D9C">
            <w:pPr>
              <w:spacing w:before="240" w:after="0"/>
              <w:jc w:val="center"/>
              <w:rPr>
                <w:rStyle w:val="tgc"/>
                <w:b/>
                <w:sz w:val="20"/>
                <w:szCs w:val="20"/>
              </w:rPr>
            </w:pPr>
            <w:r w:rsidRPr="008C695B">
              <w:rPr>
                <w:rStyle w:val="tgc"/>
                <w:b/>
                <w:sz w:val="20"/>
                <w:szCs w:val="20"/>
              </w:rPr>
              <w:t>Shrub</w:t>
            </w:r>
          </w:p>
        </w:tc>
        <w:tc>
          <w:tcPr>
            <w:tcW w:w="0" w:type="auto"/>
            <w:tcBorders>
              <w:top w:val="nil"/>
              <w:left w:val="nil"/>
              <w:bottom w:val="single" w:sz="4" w:space="0" w:color="auto"/>
              <w:right w:val="nil"/>
            </w:tcBorders>
          </w:tcPr>
          <w:p w:rsidR="00DE7F8F" w:rsidRPr="008C695B" w:rsidRDefault="00DE7F8F" w:rsidP="00AB4D9C">
            <w:pPr>
              <w:spacing w:before="240" w:after="0"/>
              <w:jc w:val="center"/>
              <w:rPr>
                <w:rStyle w:val="tgc"/>
                <w:b/>
                <w:sz w:val="20"/>
                <w:szCs w:val="20"/>
              </w:rPr>
            </w:pPr>
            <w:r w:rsidRPr="008C695B">
              <w:rPr>
                <w:rStyle w:val="tgc"/>
                <w:b/>
                <w:sz w:val="20"/>
                <w:szCs w:val="20"/>
              </w:rPr>
              <w:t>Forest</w:t>
            </w:r>
          </w:p>
        </w:tc>
      </w:tr>
      <w:tr w:rsidR="00DE7F8F" w:rsidTr="00AB4D9C">
        <w:trPr>
          <w:trHeight w:val="397"/>
          <w:jc w:val="center"/>
        </w:trPr>
        <w:tc>
          <w:tcPr>
            <w:tcW w:w="0" w:type="auto"/>
            <w:tcBorders>
              <w:top w:val="nil"/>
              <w:left w:val="nil"/>
              <w:bottom w:val="nil"/>
              <w:right w:val="nil"/>
            </w:tcBorders>
          </w:tcPr>
          <w:p w:rsidR="00DE7F8F" w:rsidRPr="008C695B" w:rsidRDefault="00DE7F8F" w:rsidP="00AB4D9C">
            <w:pPr>
              <w:spacing w:before="120" w:after="0"/>
              <w:ind w:left="57" w:right="-57"/>
              <w:jc w:val="left"/>
              <w:rPr>
                <w:rStyle w:val="tgc"/>
                <w:b/>
                <w:sz w:val="18"/>
                <w:szCs w:val="18"/>
              </w:rPr>
            </w:pPr>
            <w:r>
              <w:rPr>
                <w:rStyle w:val="tgc"/>
                <w:b/>
                <w:sz w:val="18"/>
                <w:szCs w:val="18"/>
              </w:rPr>
              <w:t>Coverage (%)</w:t>
            </w:r>
          </w:p>
        </w:tc>
        <w:tc>
          <w:tcPr>
            <w:tcW w:w="0" w:type="auto"/>
            <w:tcBorders>
              <w:left w:val="nil"/>
              <w:bottom w:val="nil"/>
              <w:right w:val="nil"/>
            </w:tcBorders>
          </w:tcPr>
          <w:p w:rsidR="00DE7F8F" w:rsidRPr="00237655" w:rsidRDefault="00DE7F8F" w:rsidP="00AB4D9C">
            <w:pPr>
              <w:spacing w:before="120" w:after="0"/>
              <w:ind w:left="57" w:right="-57"/>
              <w:jc w:val="center"/>
              <w:rPr>
                <w:rStyle w:val="tgc"/>
                <w:sz w:val="20"/>
                <w:szCs w:val="20"/>
              </w:rPr>
            </w:pPr>
            <w:r>
              <w:rPr>
                <w:rStyle w:val="tgc"/>
                <w:sz w:val="20"/>
                <w:szCs w:val="20"/>
              </w:rPr>
              <w:t>N/A</w:t>
            </w:r>
          </w:p>
        </w:tc>
        <w:tc>
          <w:tcPr>
            <w:tcW w:w="0" w:type="auto"/>
            <w:tcBorders>
              <w:left w:val="nil"/>
              <w:bottom w:val="nil"/>
              <w:right w:val="nil"/>
            </w:tcBorders>
          </w:tcPr>
          <w:p w:rsidR="00DE7F8F" w:rsidRDefault="00DE7F8F" w:rsidP="00AB4D9C">
            <w:pPr>
              <w:spacing w:before="120" w:after="0"/>
              <w:ind w:left="57" w:right="-57"/>
              <w:jc w:val="center"/>
              <w:rPr>
                <w:rStyle w:val="tgc"/>
                <w:sz w:val="20"/>
                <w:szCs w:val="20"/>
              </w:rPr>
            </w:pPr>
            <w:r>
              <w:rPr>
                <w:rStyle w:val="tgc"/>
                <w:sz w:val="20"/>
                <w:szCs w:val="20"/>
              </w:rPr>
              <w:t>96.3</w:t>
            </w:r>
          </w:p>
        </w:tc>
        <w:tc>
          <w:tcPr>
            <w:tcW w:w="0" w:type="auto"/>
            <w:tcBorders>
              <w:left w:val="nil"/>
              <w:bottom w:val="nil"/>
              <w:right w:val="nil"/>
            </w:tcBorders>
          </w:tcPr>
          <w:p w:rsidR="00DE7F8F" w:rsidRPr="00237655" w:rsidRDefault="00DE7F8F" w:rsidP="00AB4D9C">
            <w:pPr>
              <w:spacing w:before="120" w:after="0"/>
              <w:ind w:left="57" w:right="-57"/>
              <w:jc w:val="center"/>
              <w:rPr>
                <w:rStyle w:val="tgc"/>
                <w:sz w:val="20"/>
                <w:szCs w:val="20"/>
              </w:rPr>
            </w:pPr>
            <w:r>
              <w:rPr>
                <w:rStyle w:val="tgc"/>
                <w:sz w:val="20"/>
                <w:szCs w:val="20"/>
              </w:rPr>
              <w:t>3.7</w:t>
            </w:r>
          </w:p>
        </w:tc>
        <w:tc>
          <w:tcPr>
            <w:tcW w:w="0" w:type="auto"/>
            <w:tcBorders>
              <w:left w:val="nil"/>
              <w:bottom w:val="nil"/>
              <w:right w:val="nil"/>
            </w:tcBorders>
          </w:tcPr>
          <w:p w:rsidR="00DE7F8F" w:rsidRPr="00237655" w:rsidRDefault="00DE7F8F" w:rsidP="00AB4D9C">
            <w:pPr>
              <w:spacing w:before="120" w:after="0"/>
              <w:ind w:left="57" w:right="-57"/>
              <w:jc w:val="center"/>
              <w:rPr>
                <w:rStyle w:val="tgc"/>
                <w:sz w:val="20"/>
                <w:szCs w:val="20"/>
              </w:rPr>
            </w:pPr>
            <w:r>
              <w:rPr>
                <w:rStyle w:val="tgc"/>
                <w:sz w:val="20"/>
                <w:szCs w:val="20"/>
              </w:rPr>
              <w:t>0.0</w:t>
            </w:r>
          </w:p>
        </w:tc>
        <w:tc>
          <w:tcPr>
            <w:tcW w:w="0" w:type="auto"/>
            <w:tcBorders>
              <w:top w:val="nil"/>
              <w:left w:val="nil"/>
              <w:bottom w:val="nil"/>
              <w:right w:val="nil"/>
            </w:tcBorders>
          </w:tcPr>
          <w:p w:rsidR="00DE7F8F" w:rsidRPr="000237B5" w:rsidRDefault="00DE7F8F" w:rsidP="00AB4D9C">
            <w:pPr>
              <w:spacing w:before="120" w:after="0"/>
              <w:ind w:left="57" w:right="-57"/>
              <w:jc w:val="center"/>
              <w:rPr>
                <w:rStyle w:val="tgc"/>
                <w:sz w:val="20"/>
                <w:szCs w:val="20"/>
              </w:rPr>
            </w:pPr>
          </w:p>
        </w:tc>
        <w:tc>
          <w:tcPr>
            <w:tcW w:w="0" w:type="auto"/>
            <w:tcBorders>
              <w:left w:val="nil"/>
              <w:bottom w:val="nil"/>
              <w:right w:val="nil"/>
            </w:tcBorders>
          </w:tcPr>
          <w:p w:rsidR="00DE7F8F" w:rsidRPr="00237655" w:rsidRDefault="00DE7F8F" w:rsidP="00AB4D9C">
            <w:pPr>
              <w:spacing w:before="120" w:after="0"/>
              <w:ind w:left="57" w:right="-57"/>
              <w:jc w:val="center"/>
              <w:rPr>
                <w:rStyle w:val="tgc"/>
                <w:sz w:val="20"/>
                <w:szCs w:val="20"/>
              </w:rPr>
            </w:pPr>
            <w:r>
              <w:rPr>
                <w:rStyle w:val="tgc"/>
                <w:sz w:val="20"/>
                <w:szCs w:val="20"/>
              </w:rPr>
              <w:t>N/A</w:t>
            </w:r>
          </w:p>
        </w:tc>
        <w:tc>
          <w:tcPr>
            <w:tcW w:w="0" w:type="auto"/>
            <w:tcBorders>
              <w:left w:val="nil"/>
              <w:bottom w:val="nil"/>
              <w:right w:val="nil"/>
            </w:tcBorders>
          </w:tcPr>
          <w:p w:rsidR="00DE7F8F" w:rsidRPr="00237655" w:rsidRDefault="00DE7F8F" w:rsidP="00AB4D9C">
            <w:pPr>
              <w:spacing w:before="120" w:after="0"/>
              <w:ind w:left="57" w:right="-57"/>
              <w:jc w:val="center"/>
              <w:rPr>
                <w:rStyle w:val="tgc"/>
                <w:sz w:val="20"/>
                <w:szCs w:val="20"/>
              </w:rPr>
            </w:pPr>
            <w:r>
              <w:rPr>
                <w:rStyle w:val="tgc"/>
                <w:sz w:val="20"/>
                <w:szCs w:val="20"/>
              </w:rPr>
              <w:t>65.2</w:t>
            </w:r>
          </w:p>
        </w:tc>
        <w:tc>
          <w:tcPr>
            <w:tcW w:w="0" w:type="auto"/>
            <w:tcBorders>
              <w:left w:val="nil"/>
              <w:bottom w:val="nil"/>
              <w:right w:val="nil"/>
            </w:tcBorders>
          </w:tcPr>
          <w:p w:rsidR="00DE7F8F" w:rsidRPr="00237655" w:rsidRDefault="00DE7F8F" w:rsidP="00AB4D9C">
            <w:pPr>
              <w:spacing w:before="120" w:after="0"/>
              <w:ind w:left="57" w:right="-57"/>
              <w:jc w:val="center"/>
              <w:rPr>
                <w:rStyle w:val="tgc"/>
                <w:sz w:val="20"/>
                <w:szCs w:val="20"/>
              </w:rPr>
            </w:pPr>
            <w:r>
              <w:rPr>
                <w:rStyle w:val="tgc"/>
                <w:sz w:val="20"/>
                <w:szCs w:val="20"/>
              </w:rPr>
              <w:t>26.8</w:t>
            </w:r>
          </w:p>
        </w:tc>
        <w:tc>
          <w:tcPr>
            <w:tcW w:w="0" w:type="auto"/>
            <w:tcBorders>
              <w:left w:val="nil"/>
              <w:bottom w:val="nil"/>
              <w:right w:val="nil"/>
            </w:tcBorders>
          </w:tcPr>
          <w:p w:rsidR="00DE7F8F" w:rsidRPr="00237655" w:rsidRDefault="00DE7F8F" w:rsidP="00AB4D9C">
            <w:pPr>
              <w:spacing w:before="120" w:after="0"/>
              <w:ind w:left="57" w:right="-57"/>
              <w:jc w:val="center"/>
              <w:rPr>
                <w:rStyle w:val="tgc"/>
                <w:sz w:val="20"/>
                <w:szCs w:val="20"/>
              </w:rPr>
            </w:pPr>
            <w:r>
              <w:rPr>
                <w:rStyle w:val="tgc"/>
                <w:sz w:val="20"/>
                <w:szCs w:val="20"/>
              </w:rPr>
              <w:t>8.0</w:t>
            </w:r>
          </w:p>
        </w:tc>
      </w:tr>
      <w:tr w:rsidR="00DE7F8F" w:rsidTr="00AB4D9C">
        <w:trPr>
          <w:trHeight w:val="397"/>
          <w:jc w:val="center"/>
        </w:trPr>
        <w:tc>
          <w:tcPr>
            <w:tcW w:w="0" w:type="auto"/>
            <w:tcBorders>
              <w:top w:val="nil"/>
              <w:left w:val="nil"/>
              <w:bottom w:val="nil"/>
              <w:right w:val="nil"/>
            </w:tcBorders>
          </w:tcPr>
          <w:p w:rsidR="00DE7F8F" w:rsidRPr="008C695B" w:rsidRDefault="00DE7F8F" w:rsidP="00AB4D9C">
            <w:pPr>
              <w:spacing w:before="120" w:after="0"/>
              <w:ind w:left="57" w:right="-57"/>
              <w:jc w:val="left"/>
              <w:rPr>
                <w:rStyle w:val="tgc"/>
                <w:b/>
                <w:sz w:val="18"/>
                <w:szCs w:val="18"/>
              </w:rPr>
            </w:pPr>
            <w:r>
              <w:rPr>
                <w:rStyle w:val="tgc"/>
                <w:b/>
                <w:sz w:val="18"/>
                <w:szCs w:val="18"/>
              </w:rPr>
              <w:t>Measurements (%)</w:t>
            </w:r>
          </w:p>
        </w:tc>
        <w:tc>
          <w:tcPr>
            <w:tcW w:w="0" w:type="auto"/>
            <w:tcBorders>
              <w:top w:val="nil"/>
              <w:left w:val="nil"/>
              <w:bottom w:val="single" w:sz="4" w:space="0" w:color="auto"/>
              <w:right w:val="nil"/>
            </w:tcBorders>
          </w:tcPr>
          <w:p w:rsidR="00DE7F8F" w:rsidRPr="00237655" w:rsidRDefault="00DE7F8F" w:rsidP="00AB4D9C">
            <w:pPr>
              <w:spacing w:before="120" w:after="0"/>
              <w:ind w:left="57" w:right="-57"/>
              <w:jc w:val="center"/>
              <w:rPr>
                <w:rStyle w:val="tgc"/>
                <w:sz w:val="20"/>
                <w:szCs w:val="20"/>
              </w:rPr>
            </w:pPr>
            <w:r>
              <w:rPr>
                <w:rStyle w:val="tgc"/>
                <w:sz w:val="20"/>
                <w:szCs w:val="20"/>
              </w:rPr>
              <w:t>N/A</w:t>
            </w:r>
          </w:p>
        </w:tc>
        <w:tc>
          <w:tcPr>
            <w:tcW w:w="0" w:type="auto"/>
            <w:tcBorders>
              <w:top w:val="nil"/>
              <w:left w:val="nil"/>
              <w:bottom w:val="single" w:sz="4" w:space="0" w:color="auto"/>
              <w:right w:val="nil"/>
            </w:tcBorders>
          </w:tcPr>
          <w:p w:rsidR="00DE7F8F" w:rsidRDefault="00DE7F8F" w:rsidP="00AB4D9C">
            <w:pPr>
              <w:spacing w:before="120" w:after="0"/>
              <w:ind w:left="57" w:right="-57"/>
              <w:jc w:val="center"/>
              <w:rPr>
                <w:rStyle w:val="tgc"/>
                <w:sz w:val="20"/>
                <w:szCs w:val="20"/>
              </w:rPr>
            </w:pPr>
            <w:r>
              <w:rPr>
                <w:rStyle w:val="tgc"/>
                <w:sz w:val="20"/>
                <w:szCs w:val="20"/>
              </w:rPr>
              <w:t>99.6</w:t>
            </w:r>
          </w:p>
        </w:tc>
        <w:tc>
          <w:tcPr>
            <w:tcW w:w="0" w:type="auto"/>
            <w:tcBorders>
              <w:top w:val="nil"/>
              <w:left w:val="nil"/>
              <w:bottom w:val="single" w:sz="4" w:space="0" w:color="auto"/>
              <w:right w:val="nil"/>
            </w:tcBorders>
          </w:tcPr>
          <w:p w:rsidR="00DE7F8F" w:rsidRPr="00237655" w:rsidRDefault="00DE7F8F" w:rsidP="00AB4D9C">
            <w:pPr>
              <w:spacing w:before="120" w:after="0"/>
              <w:ind w:left="57" w:right="-57"/>
              <w:jc w:val="center"/>
              <w:rPr>
                <w:rStyle w:val="tgc"/>
                <w:sz w:val="20"/>
                <w:szCs w:val="20"/>
              </w:rPr>
            </w:pPr>
            <w:r>
              <w:rPr>
                <w:rStyle w:val="tgc"/>
                <w:sz w:val="20"/>
                <w:szCs w:val="20"/>
              </w:rPr>
              <w:t>0.4</w:t>
            </w:r>
          </w:p>
        </w:tc>
        <w:tc>
          <w:tcPr>
            <w:tcW w:w="0" w:type="auto"/>
            <w:tcBorders>
              <w:top w:val="nil"/>
              <w:left w:val="nil"/>
              <w:bottom w:val="single" w:sz="4" w:space="0" w:color="auto"/>
              <w:right w:val="nil"/>
            </w:tcBorders>
          </w:tcPr>
          <w:p w:rsidR="00DE7F8F" w:rsidRPr="00237655" w:rsidRDefault="00DE7F8F" w:rsidP="00AB4D9C">
            <w:pPr>
              <w:spacing w:before="120" w:after="0"/>
              <w:ind w:left="57" w:right="-57"/>
              <w:jc w:val="center"/>
              <w:rPr>
                <w:rStyle w:val="tgc"/>
                <w:sz w:val="20"/>
                <w:szCs w:val="20"/>
              </w:rPr>
            </w:pPr>
            <w:r>
              <w:rPr>
                <w:rStyle w:val="tgc"/>
                <w:sz w:val="20"/>
                <w:szCs w:val="20"/>
              </w:rPr>
              <w:t>0.0</w:t>
            </w:r>
          </w:p>
        </w:tc>
        <w:tc>
          <w:tcPr>
            <w:tcW w:w="0" w:type="auto"/>
            <w:tcBorders>
              <w:top w:val="nil"/>
              <w:left w:val="nil"/>
              <w:bottom w:val="nil"/>
              <w:right w:val="nil"/>
            </w:tcBorders>
          </w:tcPr>
          <w:p w:rsidR="00DE7F8F" w:rsidRPr="000237B5" w:rsidRDefault="00DE7F8F" w:rsidP="00AB4D9C">
            <w:pPr>
              <w:spacing w:before="120" w:after="0"/>
              <w:ind w:left="57" w:right="-57"/>
              <w:jc w:val="center"/>
              <w:rPr>
                <w:rStyle w:val="tgc"/>
                <w:sz w:val="20"/>
                <w:szCs w:val="20"/>
              </w:rPr>
            </w:pPr>
          </w:p>
        </w:tc>
        <w:tc>
          <w:tcPr>
            <w:tcW w:w="0" w:type="auto"/>
            <w:tcBorders>
              <w:top w:val="nil"/>
              <w:left w:val="nil"/>
              <w:bottom w:val="single" w:sz="4" w:space="0" w:color="auto"/>
              <w:right w:val="nil"/>
            </w:tcBorders>
          </w:tcPr>
          <w:p w:rsidR="00DE7F8F" w:rsidRPr="00237655" w:rsidRDefault="00DE7F8F" w:rsidP="00AB4D9C">
            <w:pPr>
              <w:spacing w:before="120" w:after="0"/>
              <w:ind w:left="57" w:right="-57"/>
              <w:jc w:val="center"/>
              <w:rPr>
                <w:rStyle w:val="tgc"/>
                <w:sz w:val="20"/>
                <w:szCs w:val="20"/>
              </w:rPr>
            </w:pPr>
            <w:r>
              <w:rPr>
                <w:rStyle w:val="tgc"/>
                <w:sz w:val="20"/>
                <w:szCs w:val="20"/>
              </w:rPr>
              <w:t>N/A</w:t>
            </w:r>
          </w:p>
        </w:tc>
        <w:tc>
          <w:tcPr>
            <w:tcW w:w="0" w:type="auto"/>
            <w:tcBorders>
              <w:top w:val="nil"/>
              <w:left w:val="nil"/>
              <w:bottom w:val="single" w:sz="4" w:space="0" w:color="auto"/>
              <w:right w:val="nil"/>
            </w:tcBorders>
          </w:tcPr>
          <w:p w:rsidR="00DE7F8F" w:rsidRPr="00237655" w:rsidRDefault="00DE7F8F" w:rsidP="00AB4D9C">
            <w:pPr>
              <w:spacing w:before="120" w:after="0"/>
              <w:ind w:left="57" w:right="-57"/>
              <w:jc w:val="center"/>
              <w:rPr>
                <w:rStyle w:val="tgc"/>
                <w:sz w:val="20"/>
                <w:szCs w:val="20"/>
              </w:rPr>
            </w:pPr>
            <w:r>
              <w:rPr>
                <w:rStyle w:val="tgc"/>
                <w:sz w:val="20"/>
                <w:szCs w:val="20"/>
              </w:rPr>
              <w:t>71.4</w:t>
            </w:r>
          </w:p>
        </w:tc>
        <w:tc>
          <w:tcPr>
            <w:tcW w:w="0" w:type="auto"/>
            <w:tcBorders>
              <w:top w:val="nil"/>
              <w:left w:val="nil"/>
              <w:bottom w:val="single" w:sz="4" w:space="0" w:color="auto"/>
              <w:right w:val="nil"/>
            </w:tcBorders>
          </w:tcPr>
          <w:p w:rsidR="00DE7F8F" w:rsidRPr="00237655" w:rsidRDefault="00DE7F8F" w:rsidP="00AB4D9C">
            <w:pPr>
              <w:spacing w:before="120" w:after="0"/>
              <w:ind w:left="57" w:right="-57"/>
              <w:jc w:val="center"/>
              <w:rPr>
                <w:rStyle w:val="tgc"/>
                <w:sz w:val="20"/>
                <w:szCs w:val="20"/>
              </w:rPr>
            </w:pPr>
            <w:r>
              <w:rPr>
                <w:rStyle w:val="tgc"/>
                <w:sz w:val="20"/>
                <w:szCs w:val="20"/>
              </w:rPr>
              <w:t>22.6</w:t>
            </w:r>
          </w:p>
        </w:tc>
        <w:tc>
          <w:tcPr>
            <w:tcW w:w="0" w:type="auto"/>
            <w:tcBorders>
              <w:top w:val="nil"/>
              <w:left w:val="nil"/>
              <w:bottom w:val="single" w:sz="4" w:space="0" w:color="auto"/>
              <w:right w:val="nil"/>
            </w:tcBorders>
          </w:tcPr>
          <w:p w:rsidR="00DE7F8F" w:rsidRPr="00237655" w:rsidRDefault="00DE7F8F" w:rsidP="00AB4D9C">
            <w:pPr>
              <w:spacing w:before="120" w:after="0"/>
              <w:ind w:left="57" w:right="-57"/>
              <w:jc w:val="center"/>
              <w:rPr>
                <w:rStyle w:val="tgc"/>
                <w:sz w:val="20"/>
                <w:szCs w:val="20"/>
              </w:rPr>
            </w:pPr>
            <w:r>
              <w:rPr>
                <w:rStyle w:val="tgc"/>
                <w:sz w:val="20"/>
                <w:szCs w:val="20"/>
              </w:rPr>
              <w:t>6.0</w:t>
            </w:r>
          </w:p>
        </w:tc>
      </w:tr>
      <w:tr w:rsidR="00DE7F8F" w:rsidTr="00AB4D9C">
        <w:trPr>
          <w:trHeight w:val="397"/>
          <w:jc w:val="center"/>
        </w:trPr>
        <w:tc>
          <w:tcPr>
            <w:tcW w:w="0" w:type="auto"/>
            <w:tcBorders>
              <w:top w:val="nil"/>
              <w:left w:val="nil"/>
              <w:bottom w:val="nil"/>
              <w:right w:val="nil"/>
            </w:tcBorders>
          </w:tcPr>
          <w:p w:rsidR="00DE7F8F" w:rsidRPr="008C695B" w:rsidRDefault="00DE7F8F" w:rsidP="00AB4D9C">
            <w:pPr>
              <w:spacing w:before="120" w:after="0"/>
              <w:ind w:left="57" w:right="-57"/>
              <w:jc w:val="left"/>
              <w:rPr>
                <w:rStyle w:val="tgc"/>
                <w:b/>
                <w:sz w:val="18"/>
                <w:szCs w:val="18"/>
              </w:rPr>
            </w:pPr>
            <w:r>
              <w:rPr>
                <w:rStyle w:val="tgc"/>
                <w:b/>
                <w:sz w:val="18"/>
                <w:szCs w:val="18"/>
              </w:rPr>
              <w:t xml:space="preserve">Mean </w:t>
            </w:r>
            <m:oMath>
              <m:sSub>
                <m:sSubPr>
                  <m:ctrlPr>
                    <w:rPr>
                      <w:rStyle w:val="tgc"/>
                      <w:rFonts w:ascii="Cambria Math" w:hAnsi="Cambria Math"/>
                      <w:i/>
                    </w:rPr>
                  </m:ctrlPr>
                </m:sSubPr>
                <m:e>
                  <m:r>
                    <m:rPr>
                      <m:nor/>
                    </m:rPr>
                    <w:rPr>
                      <w:rStyle w:val="tgc"/>
                      <w:rFonts w:ascii="Cambria Math" w:hAnsi="Cambria Math"/>
                    </w:rPr>
                    <m:t>SD</m:t>
                  </m:r>
                </m:e>
                <m:sub>
                  <m:r>
                    <m:rPr>
                      <m:nor/>
                    </m:rPr>
                    <w:rPr>
                      <w:rStyle w:val="tgc"/>
                      <w:rFonts w:ascii="Cambria Math" w:hAnsi="Cambria Math"/>
                    </w:rPr>
                    <m:t>ref</m:t>
                  </m:r>
                </m:sub>
              </m:sSub>
            </m:oMath>
            <w:r w:rsidRPr="008C695B">
              <w:rPr>
                <w:rStyle w:val="tgc"/>
                <w:b/>
                <w:sz w:val="18"/>
                <w:szCs w:val="18"/>
              </w:rPr>
              <w:t xml:space="preserve"> </w:t>
            </w:r>
            <w:r>
              <w:rPr>
                <w:rStyle w:val="tgc"/>
                <w:b/>
                <w:sz w:val="18"/>
                <w:szCs w:val="18"/>
              </w:rPr>
              <w:t xml:space="preserve"> </w:t>
            </w:r>
            <w:r w:rsidRPr="008C695B">
              <w:rPr>
                <w:rStyle w:val="tgc"/>
                <w:b/>
                <w:sz w:val="18"/>
                <w:szCs w:val="18"/>
              </w:rPr>
              <w:t>(cm)</w:t>
            </w:r>
          </w:p>
        </w:tc>
        <w:tc>
          <w:tcPr>
            <w:tcW w:w="0" w:type="auto"/>
            <w:tcBorders>
              <w:top w:val="single" w:sz="4" w:space="0" w:color="auto"/>
              <w:left w:val="nil"/>
              <w:bottom w:val="nil"/>
              <w:right w:val="nil"/>
            </w:tcBorders>
          </w:tcPr>
          <w:p w:rsidR="00DE7F8F" w:rsidRPr="00237655" w:rsidRDefault="00DE7F8F" w:rsidP="00AB4D9C">
            <w:pPr>
              <w:spacing w:before="120" w:after="0"/>
              <w:ind w:left="57" w:right="-57"/>
              <w:jc w:val="center"/>
              <w:rPr>
                <w:rStyle w:val="tgc"/>
                <w:sz w:val="20"/>
                <w:szCs w:val="20"/>
              </w:rPr>
            </w:pPr>
            <w:r w:rsidRPr="00237655">
              <w:rPr>
                <w:rStyle w:val="tgc"/>
                <w:sz w:val="20"/>
                <w:szCs w:val="20"/>
              </w:rPr>
              <w:t>51.8</w:t>
            </w:r>
          </w:p>
        </w:tc>
        <w:tc>
          <w:tcPr>
            <w:tcW w:w="0" w:type="auto"/>
            <w:tcBorders>
              <w:top w:val="single" w:sz="4" w:space="0" w:color="auto"/>
              <w:left w:val="nil"/>
              <w:bottom w:val="nil"/>
              <w:right w:val="nil"/>
            </w:tcBorders>
          </w:tcPr>
          <w:p w:rsidR="00DE7F8F" w:rsidRPr="00237655" w:rsidRDefault="00DE7F8F" w:rsidP="00AB4D9C">
            <w:pPr>
              <w:spacing w:before="120" w:after="0"/>
              <w:ind w:left="57" w:right="-57"/>
              <w:jc w:val="center"/>
              <w:rPr>
                <w:rStyle w:val="tgc"/>
                <w:sz w:val="20"/>
                <w:szCs w:val="20"/>
              </w:rPr>
            </w:pPr>
            <w:r>
              <w:rPr>
                <w:rStyle w:val="tgc"/>
                <w:sz w:val="20"/>
                <w:szCs w:val="20"/>
              </w:rPr>
              <w:t>51.8</w:t>
            </w:r>
          </w:p>
        </w:tc>
        <w:tc>
          <w:tcPr>
            <w:tcW w:w="0" w:type="auto"/>
            <w:tcBorders>
              <w:top w:val="single" w:sz="4" w:space="0" w:color="auto"/>
              <w:left w:val="nil"/>
              <w:bottom w:val="nil"/>
              <w:right w:val="nil"/>
            </w:tcBorders>
          </w:tcPr>
          <w:p w:rsidR="00DE7F8F" w:rsidRPr="00237655" w:rsidRDefault="00DE7F8F" w:rsidP="00AB4D9C">
            <w:pPr>
              <w:spacing w:before="120" w:after="0"/>
              <w:ind w:left="57" w:right="-57"/>
              <w:jc w:val="center"/>
              <w:rPr>
                <w:rStyle w:val="tgc"/>
                <w:sz w:val="20"/>
                <w:szCs w:val="20"/>
              </w:rPr>
            </w:pPr>
            <w:r>
              <w:rPr>
                <w:rStyle w:val="tgc"/>
                <w:sz w:val="20"/>
                <w:szCs w:val="20"/>
              </w:rPr>
              <w:t>65.1</w:t>
            </w:r>
          </w:p>
        </w:tc>
        <w:tc>
          <w:tcPr>
            <w:tcW w:w="0" w:type="auto"/>
            <w:tcBorders>
              <w:top w:val="single" w:sz="4" w:space="0" w:color="auto"/>
              <w:left w:val="nil"/>
              <w:bottom w:val="nil"/>
              <w:right w:val="nil"/>
            </w:tcBorders>
          </w:tcPr>
          <w:p w:rsidR="00DE7F8F" w:rsidRPr="00DD0308" w:rsidRDefault="00DE7F8F" w:rsidP="00AB4D9C">
            <w:pPr>
              <w:spacing w:before="120" w:after="0"/>
              <w:ind w:left="57" w:right="-57"/>
              <w:jc w:val="center"/>
              <w:rPr>
                <w:rStyle w:val="tgc"/>
                <w:sz w:val="20"/>
                <w:szCs w:val="20"/>
                <w:vertAlign w:val="superscript"/>
              </w:rPr>
            </w:pPr>
            <w:r w:rsidRPr="00237655">
              <w:rPr>
                <w:rStyle w:val="tgc"/>
                <w:sz w:val="20"/>
                <w:szCs w:val="20"/>
              </w:rPr>
              <w:t>N/A</w:t>
            </w:r>
          </w:p>
        </w:tc>
        <w:tc>
          <w:tcPr>
            <w:tcW w:w="0" w:type="auto"/>
            <w:tcBorders>
              <w:top w:val="nil"/>
              <w:left w:val="nil"/>
              <w:bottom w:val="nil"/>
              <w:right w:val="nil"/>
            </w:tcBorders>
          </w:tcPr>
          <w:p w:rsidR="00DE7F8F" w:rsidRPr="000237B5" w:rsidRDefault="00DE7F8F" w:rsidP="00AB4D9C">
            <w:pPr>
              <w:spacing w:before="120" w:after="0"/>
              <w:ind w:left="57" w:right="-57"/>
              <w:jc w:val="center"/>
              <w:rPr>
                <w:rStyle w:val="tgc"/>
                <w:sz w:val="20"/>
                <w:szCs w:val="20"/>
              </w:rPr>
            </w:pPr>
          </w:p>
        </w:tc>
        <w:tc>
          <w:tcPr>
            <w:tcW w:w="0" w:type="auto"/>
            <w:tcBorders>
              <w:top w:val="single" w:sz="4" w:space="0" w:color="auto"/>
              <w:left w:val="nil"/>
              <w:bottom w:val="nil"/>
              <w:right w:val="nil"/>
            </w:tcBorders>
          </w:tcPr>
          <w:p w:rsidR="00DE7F8F" w:rsidRPr="00237655" w:rsidRDefault="00DE7F8F" w:rsidP="00AB4D9C">
            <w:pPr>
              <w:spacing w:before="120" w:after="0"/>
              <w:ind w:left="57" w:right="-57"/>
              <w:jc w:val="center"/>
              <w:rPr>
                <w:rStyle w:val="tgc"/>
                <w:sz w:val="20"/>
                <w:szCs w:val="20"/>
              </w:rPr>
            </w:pPr>
            <w:r w:rsidRPr="00237655">
              <w:rPr>
                <w:rStyle w:val="tgc"/>
                <w:sz w:val="20"/>
                <w:szCs w:val="20"/>
              </w:rPr>
              <w:t>55.0</w:t>
            </w:r>
          </w:p>
        </w:tc>
        <w:tc>
          <w:tcPr>
            <w:tcW w:w="0" w:type="auto"/>
            <w:tcBorders>
              <w:top w:val="single" w:sz="4" w:space="0" w:color="auto"/>
              <w:left w:val="nil"/>
              <w:bottom w:val="nil"/>
              <w:right w:val="nil"/>
            </w:tcBorders>
          </w:tcPr>
          <w:p w:rsidR="00DE7F8F" w:rsidRPr="00237655" w:rsidRDefault="00DE7F8F" w:rsidP="00AB4D9C">
            <w:pPr>
              <w:spacing w:before="120" w:after="0"/>
              <w:ind w:left="57" w:right="-57"/>
              <w:jc w:val="center"/>
              <w:rPr>
                <w:rStyle w:val="tgc"/>
                <w:sz w:val="20"/>
                <w:szCs w:val="20"/>
              </w:rPr>
            </w:pPr>
            <w:r w:rsidRPr="00237655">
              <w:rPr>
                <w:rStyle w:val="tgc"/>
                <w:sz w:val="20"/>
                <w:szCs w:val="20"/>
              </w:rPr>
              <w:t>50.9</w:t>
            </w:r>
          </w:p>
        </w:tc>
        <w:tc>
          <w:tcPr>
            <w:tcW w:w="0" w:type="auto"/>
            <w:tcBorders>
              <w:top w:val="single" w:sz="4" w:space="0" w:color="auto"/>
              <w:left w:val="nil"/>
              <w:bottom w:val="nil"/>
              <w:right w:val="nil"/>
            </w:tcBorders>
          </w:tcPr>
          <w:p w:rsidR="00DE7F8F" w:rsidRPr="00237655" w:rsidRDefault="00DE7F8F" w:rsidP="00AB4D9C">
            <w:pPr>
              <w:spacing w:before="120" w:after="0"/>
              <w:ind w:left="57" w:right="-57"/>
              <w:jc w:val="center"/>
              <w:rPr>
                <w:rStyle w:val="tgc"/>
                <w:sz w:val="20"/>
                <w:szCs w:val="20"/>
              </w:rPr>
            </w:pPr>
            <w:r w:rsidRPr="00237655">
              <w:rPr>
                <w:rStyle w:val="tgc"/>
                <w:sz w:val="20"/>
                <w:szCs w:val="20"/>
              </w:rPr>
              <w:t>61.8</w:t>
            </w:r>
          </w:p>
        </w:tc>
        <w:tc>
          <w:tcPr>
            <w:tcW w:w="0" w:type="auto"/>
            <w:tcBorders>
              <w:top w:val="single" w:sz="4" w:space="0" w:color="auto"/>
              <w:left w:val="nil"/>
              <w:bottom w:val="nil"/>
              <w:right w:val="nil"/>
            </w:tcBorders>
          </w:tcPr>
          <w:p w:rsidR="00DE7F8F" w:rsidRPr="00237655" w:rsidRDefault="00DE7F8F" w:rsidP="00AB4D9C">
            <w:pPr>
              <w:spacing w:before="120" w:after="0"/>
              <w:ind w:left="57" w:right="-57"/>
              <w:jc w:val="center"/>
              <w:rPr>
                <w:rStyle w:val="tgc"/>
                <w:sz w:val="20"/>
                <w:szCs w:val="20"/>
              </w:rPr>
            </w:pPr>
            <w:r w:rsidRPr="00237655">
              <w:rPr>
                <w:rStyle w:val="tgc"/>
                <w:sz w:val="20"/>
                <w:szCs w:val="20"/>
              </w:rPr>
              <w:t>78.8</w:t>
            </w:r>
          </w:p>
        </w:tc>
      </w:tr>
      <w:tr w:rsidR="00DE7F8F" w:rsidTr="00AB4D9C">
        <w:trPr>
          <w:trHeight w:val="397"/>
          <w:jc w:val="center"/>
        </w:trPr>
        <w:tc>
          <w:tcPr>
            <w:tcW w:w="0" w:type="auto"/>
            <w:tcBorders>
              <w:top w:val="nil"/>
              <w:left w:val="nil"/>
              <w:bottom w:val="nil"/>
              <w:right w:val="nil"/>
            </w:tcBorders>
          </w:tcPr>
          <w:p w:rsidR="00DE7F8F" w:rsidRPr="008C695B" w:rsidRDefault="00DE7F8F" w:rsidP="00AB4D9C">
            <w:pPr>
              <w:spacing w:before="120" w:after="0"/>
              <w:ind w:left="57" w:right="-57"/>
              <w:jc w:val="left"/>
              <w:rPr>
                <w:rStyle w:val="tgc"/>
                <w:b/>
                <w:sz w:val="18"/>
                <w:szCs w:val="18"/>
              </w:rPr>
            </w:pPr>
            <w:r>
              <w:rPr>
                <w:rStyle w:val="tgc"/>
                <w:b/>
                <w:sz w:val="18"/>
                <w:szCs w:val="18"/>
              </w:rPr>
              <w:t xml:space="preserve">Mean </w:t>
            </w:r>
            <m:oMath>
              <m:sSub>
                <m:sSubPr>
                  <m:ctrlPr>
                    <w:rPr>
                      <w:rFonts w:ascii="Cambria Math" w:eastAsiaTheme="minorEastAsia" w:hAnsi="Cambria Math"/>
                      <w:i/>
                    </w:rPr>
                  </m:ctrlPr>
                </m:sSubPr>
                <m:e>
                  <m:r>
                    <w:rPr>
                      <w:rFonts w:ascii="Cambria Math" w:eastAsiaTheme="minorEastAsia" w:hAnsi="Cambria Math"/>
                    </w:rPr>
                    <m:t>ρ</m:t>
                  </m:r>
                </m:e>
                <m:sub>
                  <m:r>
                    <m:rPr>
                      <m:nor/>
                    </m:rPr>
                    <w:rPr>
                      <w:rFonts w:ascii="Cambria Math" w:eastAsiaTheme="minorEastAsia" w:hAnsi="Cambria Math"/>
                    </w:rPr>
                    <m:t>ref</m:t>
                  </m:r>
                </m:sub>
              </m:sSub>
            </m:oMath>
            <w:r w:rsidRPr="008C695B">
              <w:rPr>
                <w:rStyle w:val="tgc"/>
                <w:b/>
                <w:sz w:val="18"/>
                <w:szCs w:val="18"/>
              </w:rPr>
              <w:t xml:space="preserve"> (</w:t>
            </w:r>
            <w:r w:rsidRPr="008C695B">
              <w:rPr>
                <w:b/>
                <w:sz w:val="18"/>
                <w:szCs w:val="18"/>
              </w:rPr>
              <w:t>kg m</w:t>
            </w:r>
            <w:r w:rsidRPr="008C695B">
              <w:rPr>
                <w:b/>
                <w:sz w:val="18"/>
                <w:szCs w:val="18"/>
                <w:vertAlign w:val="superscript"/>
              </w:rPr>
              <w:t>-3</w:t>
            </w:r>
            <w:r w:rsidRPr="008C695B">
              <w:rPr>
                <w:b/>
                <w:sz w:val="18"/>
                <w:szCs w:val="18"/>
              </w:rPr>
              <w:t>)</w:t>
            </w:r>
          </w:p>
        </w:tc>
        <w:tc>
          <w:tcPr>
            <w:tcW w:w="0" w:type="auto"/>
            <w:tcBorders>
              <w:top w:val="nil"/>
              <w:left w:val="nil"/>
              <w:bottom w:val="nil"/>
              <w:right w:val="nil"/>
            </w:tcBorders>
          </w:tcPr>
          <w:p w:rsidR="00DE7F8F" w:rsidRPr="00237655" w:rsidRDefault="00DE7F8F" w:rsidP="00AB4D9C">
            <w:pPr>
              <w:spacing w:before="120" w:after="0"/>
              <w:ind w:left="57" w:right="-57"/>
              <w:jc w:val="center"/>
              <w:rPr>
                <w:rStyle w:val="tgc"/>
                <w:sz w:val="20"/>
                <w:szCs w:val="20"/>
              </w:rPr>
            </w:pPr>
            <w:r>
              <w:rPr>
                <w:rStyle w:val="tgc"/>
                <w:sz w:val="20"/>
                <w:szCs w:val="20"/>
              </w:rPr>
              <w:t>266</w:t>
            </w:r>
          </w:p>
        </w:tc>
        <w:tc>
          <w:tcPr>
            <w:tcW w:w="0" w:type="auto"/>
            <w:tcBorders>
              <w:top w:val="nil"/>
              <w:left w:val="nil"/>
              <w:bottom w:val="nil"/>
              <w:right w:val="nil"/>
            </w:tcBorders>
          </w:tcPr>
          <w:p w:rsidR="00DE7F8F" w:rsidRPr="00237655" w:rsidRDefault="00DE7F8F" w:rsidP="00AB4D9C">
            <w:pPr>
              <w:spacing w:before="120" w:after="0"/>
              <w:ind w:left="57" w:right="-57"/>
              <w:jc w:val="center"/>
              <w:rPr>
                <w:rStyle w:val="tgc"/>
                <w:sz w:val="20"/>
                <w:szCs w:val="20"/>
              </w:rPr>
            </w:pPr>
            <w:r>
              <w:rPr>
                <w:rStyle w:val="tgc"/>
                <w:sz w:val="20"/>
                <w:szCs w:val="20"/>
              </w:rPr>
              <w:t>266</w:t>
            </w:r>
          </w:p>
        </w:tc>
        <w:tc>
          <w:tcPr>
            <w:tcW w:w="0" w:type="auto"/>
            <w:tcBorders>
              <w:top w:val="nil"/>
              <w:left w:val="nil"/>
              <w:bottom w:val="nil"/>
              <w:right w:val="nil"/>
            </w:tcBorders>
          </w:tcPr>
          <w:p w:rsidR="00DE7F8F" w:rsidRPr="000237B5" w:rsidRDefault="00DE7F8F" w:rsidP="00AB4D9C">
            <w:pPr>
              <w:spacing w:before="120" w:after="0"/>
              <w:ind w:left="57" w:right="-57"/>
              <w:jc w:val="center"/>
              <w:rPr>
                <w:rStyle w:val="tgc"/>
                <w:sz w:val="20"/>
                <w:szCs w:val="20"/>
                <w:vertAlign w:val="superscript"/>
              </w:rPr>
            </w:pPr>
            <w:r>
              <w:rPr>
                <w:rStyle w:val="tgc"/>
                <w:sz w:val="20"/>
                <w:szCs w:val="20"/>
              </w:rPr>
              <w:t>268</w:t>
            </w:r>
          </w:p>
        </w:tc>
        <w:tc>
          <w:tcPr>
            <w:tcW w:w="0" w:type="auto"/>
            <w:tcBorders>
              <w:top w:val="nil"/>
              <w:left w:val="nil"/>
              <w:bottom w:val="nil"/>
              <w:right w:val="nil"/>
            </w:tcBorders>
          </w:tcPr>
          <w:p w:rsidR="00DE7F8F" w:rsidRPr="00DD0308" w:rsidRDefault="00DE7F8F" w:rsidP="00AB4D9C">
            <w:pPr>
              <w:spacing w:before="120" w:after="0"/>
              <w:ind w:left="57" w:right="-57"/>
              <w:jc w:val="center"/>
              <w:rPr>
                <w:rStyle w:val="tgc"/>
                <w:sz w:val="20"/>
                <w:szCs w:val="20"/>
                <w:vertAlign w:val="superscript"/>
              </w:rPr>
            </w:pPr>
            <w:r>
              <w:rPr>
                <w:rStyle w:val="tgc"/>
                <w:sz w:val="20"/>
                <w:szCs w:val="20"/>
              </w:rPr>
              <w:t>N/A</w:t>
            </w:r>
          </w:p>
        </w:tc>
        <w:tc>
          <w:tcPr>
            <w:tcW w:w="0" w:type="auto"/>
            <w:tcBorders>
              <w:top w:val="nil"/>
              <w:left w:val="nil"/>
              <w:bottom w:val="nil"/>
              <w:right w:val="nil"/>
            </w:tcBorders>
          </w:tcPr>
          <w:p w:rsidR="00DE7F8F" w:rsidRPr="000237B5" w:rsidRDefault="00DE7F8F" w:rsidP="00AB4D9C">
            <w:pPr>
              <w:spacing w:before="120" w:after="0"/>
              <w:ind w:left="57" w:right="-57"/>
              <w:jc w:val="center"/>
              <w:rPr>
                <w:rStyle w:val="tgc"/>
                <w:sz w:val="20"/>
                <w:szCs w:val="20"/>
              </w:rPr>
            </w:pPr>
          </w:p>
        </w:tc>
        <w:tc>
          <w:tcPr>
            <w:tcW w:w="0" w:type="auto"/>
            <w:tcBorders>
              <w:top w:val="nil"/>
              <w:left w:val="nil"/>
              <w:bottom w:val="nil"/>
              <w:right w:val="nil"/>
            </w:tcBorders>
          </w:tcPr>
          <w:p w:rsidR="00DE7F8F" w:rsidRPr="00237655" w:rsidRDefault="00DE7F8F" w:rsidP="00AB4D9C">
            <w:pPr>
              <w:spacing w:before="120" w:after="0"/>
              <w:ind w:left="57" w:right="-57"/>
              <w:jc w:val="center"/>
              <w:rPr>
                <w:rStyle w:val="tgc"/>
                <w:sz w:val="20"/>
                <w:szCs w:val="20"/>
              </w:rPr>
            </w:pPr>
            <w:r>
              <w:rPr>
                <w:rStyle w:val="tgc"/>
                <w:sz w:val="20"/>
                <w:szCs w:val="20"/>
              </w:rPr>
              <w:t>242</w:t>
            </w:r>
          </w:p>
        </w:tc>
        <w:tc>
          <w:tcPr>
            <w:tcW w:w="0" w:type="auto"/>
            <w:tcBorders>
              <w:top w:val="nil"/>
              <w:left w:val="nil"/>
              <w:bottom w:val="nil"/>
              <w:right w:val="nil"/>
            </w:tcBorders>
          </w:tcPr>
          <w:p w:rsidR="00DE7F8F" w:rsidRPr="00237655" w:rsidRDefault="00DE7F8F" w:rsidP="00AB4D9C">
            <w:pPr>
              <w:spacing w:before="120" w:after="0"/>
              <w:ind w:left="57" w:right="-57"/>
              <w:jc w:val="center"/>
              <w:rPr>
                <w:rStyle w:val="tgc"/>
                <w:sz w:val="20"/>
                <w:szCs w:val="20"/>
              </w:rPr>
            </w:pPr>
            <w:r>
              <w:rPr>
                <w:rStyle w:val="tgc"/>
                <w:sz w:val="20"/>
                <w:szCs w:val="20"/>
              </w:rPr>
              <w:t>241</w:t>
            </w:r>
          </w:p>
        </w:tc>
        <w:tc>
          <w:tcPr>
            <w:tcW w:w="0" w:type="auto"/>
            <w:tcBorders>
              <w:top w:val="nil"/>
              <w:left w:val="nil"/>
              <w:bottom w:val="nil"/>
              <w:right w:val="nil"/>
            </w:tcBorders>
          </w:tcPr>
          <w:p w:rsidR="00DE7F8F" w:rsidRPr="00237655" w:rsidRDefault="00DE7F8F" w:rsidP="00AB4D9C">
            <w:pPr>
              <w:spacing w:before="120" w:after="0"/>
              <w:ind w:left="57" w:right="-57"/>
              <w:jc w:val="center"/>
              <w:rPr>
                <w:rStyle w:val="tgc"/>
                <w:sz w:val="20"/>
                <w:szCs w:val="20"/>
              </w:rPr>
            </w:pPr>
            <w:r>
              <w:rPr>
                <w:rStyle w:val="tgc"/>
                <w:sz w:val="20"/>
                <w:szCs w:val="20"/>
              </w:rPr>
              <w:t>245</w:t>
            </w:r>
          </w:p>
        </w:tc>
        <w:tc>
          <w:tcPr>
            <w:tcW w:w="0" w:type="auto"/>
            <w:tcBorders>
              <w:top w:val="nil"/>
              <w:left w:val="nil"/>
              <w:bottom w:val="nil"/>
              <w:right w:val="nil"/>
            </w:tcBorders>
          </w:tcPr>
          <w:p w:rsidR="00DE7F8F" w:rsidRPr="00237655" w:rsidRDefault="00DE7F8F" w:rsidP="00AB4D9C">
            <w:pPr>
              <w:spacing w:before="120" w:after="0"/>
              <w:ind w:left="57" w:right="-57"/>
              <w:jc w:val="center"/>
              <w:rPr>
                <w:rStyle w:val="tgc"/>
                <w:sz w:val="20"/>
                <w:szCs w:val="20"/>
              </w:rPr>
            </w:pPr>
            <w:r>
              <w:rPr>
                <w:rStyle w:val="tgc"/>
                <w:sz w:val="20"/>
                <w:szCs w:val="20"/>
              </w:rPr>
              <w:t>238</w:t>
            </w:r>
          </w:p>
        </w:tc>
      </w:tr>
      <w:tr w:rsidR="00DE7F8F" w:rsidTr="00AB4D9C">
        <w:trPr>
          <w:trHeight w:val="397"/>
          <w:jc w:val="center"/>
        </w:trPr>
        <w:tc>
          <w:tcPr>
            <w:tcW w:w="0" w:type="auto"/>
            <w:tcBorders>
              <w:top w:val="nil"/>
              <w:left w:val="nil"/>
              <w:bottom w:val="nil"/>
              <w:right w:val="nil"/>
            </w:tcBorders>
          </w:tcPr>
          <w:p w:rsidR="00DE7F8F" w:rsidRPr="008C695B" w:rsidRDefault="00DE7F8F" w:rsidP="00AB4D9C">
            <w:pPr>
              <w:spacing w:before="120" w:after="0"/>
              <w:ind w:left="57" w:right="-57"/>
              <w:jc w:val="left"/>
              <w:rPr>
                <w:rStyle w:val="tgc"/>
                <w:b/>
                <w:sz w:val="18"/>
                <w:szCs w:val="18"/>
              </w:rPr>
            </w:pPr>
            <w:r>
              <w:rPr>
                <w:rStyle w:val="tgc"/>
                <w:b/>
                <w:sz w:val="18"/>
                <w:szCs w:val="18"/>
              </w:rPr>
              <w:t xml:space="preserve">Mean </w:t>
            </w:r>
            <m:oMath>
              <m:sSub>
                <m:sSubPr>
                  <m:ctrlPr>
                    <w:rPr>
                      <w:rFonts w:ascii="Cambria Math" w:eastAsiaTheme="minorEastAsia" w:hAnsi="Cambria Math"/>
                      <w:i/>
                    </w:rPr>
                  </m:ctrlPr>
                </m:sSubPr>
                <m:e>
                  <m:r>
                    <m:rPr>
                      <m:nor/>
                    </m:rPr>
                    <w:rPr>
                      <w:rFonts w:ascii="Cambria Math" w:eastAsiaTheme="minorEastAsia" w:hAnsi="Cambria Math"/>
                    </w:rPr>
                    <m:t>SWE</m:t>
                  </m:r>
                </m:e>
                <m:sub>
                  <m:r>
                    <w:rPr>
                      <w:rFonts w:ascii="Cambria Math" w:eastAsiaTheme="minorEastAsia" w:hAnsi="Cambria Math"/>
                    </w:rPr>
                    <m:t>ref</m:t>
                  </m:r>
                </m:sub>
              </m:sSub>
            </m:oMath>
            <w:r w:rsidRPr="008C695B">
              <w:rPr>
                <w:rStyle w:val="tgc"/>
                <w:b/>
                <w:sz w:val="18"/>
                <w:szCs w:val="18"/>
              </w:rPr>
              <w:t>(mm)</w:t>
            </w:r>
          </w:p>
        </w:tc>
        <w:tc>
          <w:tcPr>
            <w:tcW w:w="0" w:type="auto"/>
            <w:tcBorders>
              <w:top w:val="nil"/>
              <w:left w:val="nil"/>
              <w:bottom w:val="nil"/>
              <w:right w:val="nil"/>
            </w:tcBorders>
          </w:tcPr>
          <w:p w:rsidR="00DE7F8F" w:rsidRPr="00237655" w:rsidRDefault="00DE7F8F" w:rsidP="00AB4D9C">
            <w:pPr>
              <w:spacing w:before="120" w:after="0"/>
              <w:ind w:left="57" w:right="-57"/>
              <w:jc w:val="center"/>
              <w:rPr>
                <w:rStyle w:val="tgc"/>
                <w:sz w:val="20"/>
                <w:szCs w:val="20"/>
              </w:rPr>
            </w:pPr>
            <w:r>
              <w:rPr>
                <w:rStyle w:val="tgc"/>
                <w:sz w:val="20"/>
                <w:szCs w:val="20"/>
              </w:rPr>
              <w:t>135</w:t>
            </w:r>
          </w:p>
        </w:tc>
        <w:tc>
          <w:tcPr>
            <w:tcW w:w="0" w:type="auto"/>
            <w:tcBorders>
              <w:top w:val="nil"/>
              <w:left w:val="nil"/>
              <w:bottom w:val="nil"/>
              <w:right w:val="nil"/>
            </w:tcBorders>
          </w:tcPr>
          <w:p w:rsidR="00DE7F8F" w:rsidRPr="00237655" w:rsidRDefault="00DE7F8F" w:rsidP="00AB4D9C">
            <w:pPr>
              <w:spacing w:before="120" w:after="0"/>
              <w:ind w:left="57" w:right="-57"/>
              <w:jc w:val="center"/>
              <w:rPr>
                <w:rStyle w:val="tgc"/>
                <w:sz w:val="20"/>
                <w:szCs w:val="20"/>
              </w:rPr>
            </w:pPr>
            <w:r>
              <w:rPr>
                <w:rStyle w:val="tgc"/>
                <w:sz w:val="20"/>
                <w:szCs w:val="20"/>
              </w:rPr>
              <w:t>135</w:t>
            </w:r>
          </w:p>
        </w:tc>
        <w:tc>
          <w:tcPr>
            <w:tcW w:w="0" w:type="auto"/>
            <w:tcBorders>
              <w:top w:val="nil"/>
              <w:left w:val="nil"/>
              <w:bottom w:val="nil"/>
              <w:right w:val="nil"/>
            </w:tcBorders>
          </w:tcPr>
          <w:p w:rsidR="00DE7F8F" w:rsidRPr="000237B5" w:rsidRDefault="00DE7F8F" w:rsidP="00AB4D9C">
            <w:pPr>
              <w:spacing w:before="120" w:after="0"/>
              <w:ind w:left="57" w:right="-57"/>
              <w:jc w:val="center"/>
              <w:rPr>
                <w:rStyle w:val="tgc"/>
                <w:sz w:val="20"/>
                <w:szCs w:val="20"/>
                <w:vertAlign w:val="superscript"/>
              </w:rPr>
            </w:pPr>
            <w:r>
              <w:rPr>
                <w:rStyle w:val="tgc"/>
                <w:sz w:val="20"/>
                <w:szCs w:val="20"/>
              </w:rPr>
              <w:t>N/A</w:t>
            </w:r>
          </w:p>
        </w:tc>
        <w:tc>
          <w:tcPr>
            <w:tcW w:w="0" w:type="auto"/>
            <w:tcBorders>
              <w:top w:val="nil"/>
              <w:left w:val="nil"/>
              <w:bottom w:val="nil"/>
              <w:right w:val="nil"/>
            </w:tcBorders>
          </w:tcPr>
          <w:p w:rsidR="00DE7F8F" w:rsidRPr="00DD0308" w:rsidRDefault="00DE7F8F" w:rsidP="00AB4D9C">
            <w:pPr>
              <w:spacing w:before="120" w:after="0"/>
              <w:ind w:left="57" w:right="-57"/>
              <w:jc w:val="center"/>
              <w:rPr>
                <w:rStyle w:val="tgc"/>
                <w:sz w:val="20"/>
                <w:szCs w:val="20"/>
                <w:vertAlign w:val="superscript"/>
              </w:rPr>
            </w:pPr>
            <w:r>
              <w:rPr>
                <w:rStyle w:val="tgc"/>
                <w:sz w:val="20"/>
                <w:szCs w:val="20"/>
              </w:rPr>
              <w:t>N/A</w:t>
            </w:r>
          </w:p>
        </w:tc>
        <w:tc>
          <w:tcPr>
            <w:tcW w:w="0" w:type="auto"/>
            <w:tcBorders>
              <w:top w:val="nil"/>
              <w:left w:val="nil"/>
              <w:bottom w:val="nil"/>
              <w:right w:val="nil"/>
            </w:tcBorders>
          </w:tcPr>
          <w:p w:rsidR="00DE7F8F" w:rsidRPr="000237B5" w:rsidRDefault="00DE7F8F" w:rsidP="00AB4D9C">
            <w:pPr>
              <w:spacing w:before="120" w:after="0"/>
              <w:ind w:left="57" w:right="-57"/>
              <w:jc w:val="center"/>
              <w:rPr>
                <w:rStyle w:val="tgc"/>
                <w:sz w:val="20"/>
                <w:szCs w:val="20"/>
              </w:rPr>
            </w:pPr>
          </w:p>
        </w:tc>
        <w:tc>
          <w:tcPr>
            <w:tcW w:w="0" w:type="auto"/>
            <w:tcBorders>
              <w:top w:val="nil"/>
              <w:left w:val="nil"/>
              <w:bottom w:val="nil"/>
              <w:right w:val="nil"/>
            </w:tcBorders>
          </w:tcPr>
          <w:p w:rsidR="00DE7F8F" w:rsidRPr="00237655" w:rsidRDefault="00DE7F8F" w:rsidP="00AB4D9C">
            <w:pPr>
              <w:spacing w:before="120" w:after="0"/>
              <w:ind w:left="57" w:right="-57"/>
              <w:jc w:val="center"/>
              <w:rPr>
                <w:rStyle w:val="tgc"/>
                <w:sz w:val="20"/>
                <w:szCs w:val="20"/>
              </w:rPr>
            </w:pPr>
            <w:r>
              <w:rPr>
                <w:rStyle w:val="tgc"/>
                <w:sz w:val="20"/>
                <w:szCs w:val="20"/>
              </w:rPr>
              <w:t>118</w:t>
            </w:r>
          </w:p>
        </w:tc>
        <w:tc>
          <w:tcPr>
            <w:tcW w:w="0" w:type="auto"/>
            <w:tcBorders>
              <w:top w:val="nil"/>
              <w:left w:val="nil"/>
              <w:bottom w:val="nil"/>
              <w:right w:val="nil"/>
            </w:tcBorders>
          </w:tcPr>
          <w:p w:rsidR="00DE7F8F" w:rsidRPr="00237655" w:rsidRDefault="00DE7F8F" w:rsidP="00AB4D9C">
            <w:pPr>
              <w:spacing w:before="120" w:after="0"/>
              <w:ind w:left="57" w:right="-57"/>
              <w:jc w:val="center"/>
              <w:rPr>
                <w:rStyle w:val="tgc"/>
                <w:sz w:val="20"/>
                <w:szCs w:val="20"/>
              </w:rPr>
            </w:pPr>
            <w:r>
              <w:rPr>
                <w:rStyle w:val="tgc"/>
                <w:sz w:val="20"/>
                <w:szCs w:val="20"/>
              </w:rPr>
              <w:t>106</w:t>
            </w:r>
          </w:p>
        </w:tc>
        <w:tc>
          <w:tcPr>
            <w:tcW w:w="0" w:type="auto"/>
            <w:tcBorders>
              <w:top w:val="nil"/>
              <w:left w:val="nil"/>
              <w:bottom w:val="nil"/>
              <w:right w:val="nil"/>
            </w:tcBorders>
          </w:tcPr>
          <w:p w:rsidR="00DE7F8F" w:rsidRPr="00237655" w:rsidRDefault="00DE7F8F" w:rsidP="00AB4D9C">
            <w:pPr>
              <w:spacing w:before="120" w:after="0"/>
              <w:ind w:left="57" w:right="-57"/>
              <w:jc w:val="center"/>
              <w:rPr>
                <w:rStyle w:val="tgc"/>
                <w:sz w:val="20"/>
                <w:szCs w:val="20"/>
              </w:rPr>
            </w:pPr>
            <w:r>
              <w:rPr>
                <w:rStyle w:val="tgc"/>
                <w:sz w:val="20"/>
                <w:szCs w:val="20"/>
              </w:rPr>
              <w:t>141</w:t>
            </w:r>
          </w:p>
        </w:tc>
        <w:tc>
          <w:tcPr>
            <w:tcW w:w="0" w:type="auto"/>
            <w:tcBorders>
              <w:top w:val="nil"/>
              <w:left w:val="nil"/>
              <w:bottom w:val="nil"/>
              <w:right w:val="nil"/>
            </w:tcBorders>
          </w:tcPr>
          <w:p w:rsidR="00DE7F8F" w:rsidRPr="00237655" w:rsidRDefault="00DE7F8F" w:rsidP="00AB4D9C">
            <w:pPr>
              <w:spacing w:before="120" w:after="0"/>
              <w:ind w:left="57" w:right="-57"/>
              <w:jc w:val="center"/>
              <w:rPr>
                <w:rStyle w:val="tgc"/>
                <w:sz w:val="20"/>
                <w:szCs w:val="20"/>
              </w:rPr>
            </w:pPr>
            <w:r>
              <w:rPr>
                <w:rStyle w:val="tgc"/>
                <w:sz w:val="20"/>
                <w:szCs w:val="20"/>
              </w:rPr>
              <w:t>180</w:t>
            </w:r>
          </w:p>
        </w:tc>
      </w:tr>
      <w:tr w:rsidR="00DE7F8F" w:rsidTr="00AB4D9C">
        <w:trPr>
          <w:trHeight w:val="397"/>
          <w:jc w:val="center"/>
        </w:trPr>
        <w:tc>
          <w:tcPr>
            <w:tcW w:w="0" w:type="auto"/>
            <w:tcBorders>
              <w:top w:val="nil"/>
              <w:left w:val="nil"/>
              <w:bottom w:val="nil"/>
              <w:right w:val="nil"/>
            </w:tcBorders>
          </w:tcPr>
          <w:p w:rsidR="00DE7F8F" w:rsidRDefault="00DE7F8F" w:rsidP="00AB4D9C">
            <w:pPr>
              <w:spacing w:before="120" w:after="0"/>
              <w:ind w:left="57" w:right="-57"/>
              <w:jc w:val="left"/>
              <w:rPr>
                <w:rStyle w:val="tgc"/>
                <w:b/>
                <w:sz w:val="18"/>
                <w:szCs w:val="18"/>
              </w:rPr>
            </w:pPr>
            <w:r>
              <w:rPr>
                <w:rStyle w:val="tgc"/>
                <w:b/>
                <w:sz w:val="18"/>
                <w:szCs w:val="18"/>
              </w:rPr>
              <w:t>Total mass (10</w:t>
            </w:r>
            <w:r>
              <w:rPr>
                <w:rStyle w:val="tgc"/>
                <w:b/>
                <w:sz w:val="18"/>
                <w:szCs w:val="18"/>
                <w:vertAlign w:val="superscript"/>
              </w:rPr>
              <w:t>7</w:t>
            </w:r>
            <w:r>
              <w:rPr>
                <w:rStyle w:val="tgc"/>
                <w:b/>
                <w:sz w:val="18"/>
                <w:szCs w:val="18"/>
              </w:rPr>
              <w:t xml:space="preserve"> kg)</w:t>
            </w:r>
          </w:p>
        </w:tc>
        <w:tc>
          <w:tcPr>
            <w:tcW w:w="0" w:type="auto"/>
            <w:tcBorders>
              <w:top w:val="nil"/>
              <w:left w:val="nil"/>
              <w:bottom w:val="single" w:sz="12" w:space="0" w:color="auto"/>
              <w:right w:val="nil"/>
            </w:tcBorders>
          </w:tcPr>
          <w:p w:rsidR="00DE7F8F" w:rsidRDefault="00DE7F8F" w:rsidP="00AB4D9C">
            <w:pPr>
              <w:spacing w:before="120" w:after="0"/>
              <w:ind w:left="57" w:right="-57"/>
              <w:jc w:val="center"/>
              <w:rPr>
                <w:rStyle w:val="tgc"/>
                <w:sz w:val="20"/>
                <w:szCs w:val="20"/>
              </w:rPr>
            </w:pPr>
            <w:r>
              <w:rPr>
                <w:rStyle w:val="tgc"/>
                <w:sz w:val="20"/>
                <w:szCs w:val="20"/>
              </w:rPr>
              <w:t>3.8</w:t>
            </w:r>
          </w:p>
        </w:tc>
        <w:tc>
          <w:tcPr>
            <w:tcW w:w="0" w:type="auto"/>
            <w:tcBorders>
              <w:top w:val="nil"/>
              <w:left w:val="nil"/>
              <w:bottom w:val="single" w:sz="12" w:space="0" w:color="auto"/>
              <w:right w:val="nil"/>
            </w:tcBorders>
          </w:tcPr>
          <w:p w:rsidR="00DE7F8F" w:rsidRDefault="00DE7F8F" w:rsidP="00AB4D9C">
            <w:pPr>
              <w:spacing w:before="120" w:after="0"/>
              <w:ind w:left="57" w:right="-57"/>
              <w:jc w:val="center"/>
              <w:rPr>
                <w:rStyle w:val="tgc"/>
                <w:sz w:val="20"/>
                <w:szCs w:val="20"/>
              </w:rPr>
            </w:pPr>
            <w:r>
              <w:rPr>
                <w:rStyle w:val="tgc"/>
                <w:sz w:val="20"/>
                <w:szCs w:val="20"/>
              </w:rPr>
              <w:t>3.6</w:t>
            </w:r>
          </w:p>
        </w:tc>
        <w:tc>
          <w:tcPr>
            <w:tcW w:w="0" w:type="auto"/>
            <w:tcBorders>
              <w:top w:val="nil"/>
              <w:left w:val="nil"/>
              <w:bottom w:val="single" w:sz="12" w:space="0" w:color="auto"/>
              <w:right w:val="nil"/>
            </w:tcBorders>
          </w:tcPr>
          <w:p w:rsidR="00DE7F8F" w:rsidRDefault="00DE7F8F" w:rsidP="00AB4D9C">
            <w:pPr>
              <w:spacing w:before="120" w:after="0"/>
              <w:ind w:left="57" w:right="-57"/>
              <w:jc w:val="center"/>
              <w:rPr>
                <w:rStyle w:val="tgc"/>
                <w:sz w:val="20"/>
                <w:szCs w:val="20"/>
              </w:rPr>
            </w:pPr>
            <w:r>
              <w:rPr>
                <w:rStyle w:val="tgc"/>
                <w:sz w:val="20"/>
                <w:szCs w:val="20"/>
              </w:rPr>
              <w:t>0.2</w:t>
            </w:r>
          </w:p>
        </w:tc>
        <w:tc>
          <w:tcPr>
            <w:tcW w:w="0" w:type="auto"/>
            <w:tcBorders>
              <w:top w:val="nil"/>
              <w:left w:val="nil"/>
              <w:bottom w:val="single" w:sz="12" w:space="0" w:color="auto"/>
              <w:right w:val="nil"/>
            </w:tcBorders>
          </w:tcPr>
          <w:p w:rsidR="00DE7F8F" w:rsidRDefault="00DE7F8F" w:rsidP="00AB4D9C">
            <w:pPr>
              <w:spacing w:before="120" w:after="0"/>
              <w:ind w:left="57" w:right="-57"/>
              <w:jc w:val="center"/>
              <w:rPr>
                <w:rStyle w:val="tgc"/>
                <w:sz w:val="20"/>
                <w:szCs w:val="20"/>
              </w:rPr>
            </w:pPr>
            <w:r>
              <w:rPr>
                <w:rStyle w:val="tgc"/>
                <w:sz w:val="20"/>
                <w:szCs w:val="20"/>
              </w:rPr>
              <w:t>0.0</w:t>
            </w:r>
          </w:p>
        </w:tc>
        <w:tc>
          <w:tcPr>
            <w:tcW w:w="0" w:type="auto"/>
            <w:tcBorders>
              <w:top w:val="nil"/>
              <w:left w:val="nil"/>
              <w:bottom w:val="nil"/>
              <w:right w:val="nil"/>
            </w:tcBorders>
          </w:tcPr>
          <w:p w:rsidR="00DE7F8F" w:rsidRPr="000237B5" w:rsidRDefault="00DE7F8F" w:rsidP="00AB4D9C">
            <w:pPr>
              <w:spacing w:before="120" w:after="0"/>
              <w:ind w:left="57" w:right="-57"/>
              <w:jc w:val="center"/>
              <w:rPr>
                <w:rStyle w:val="tgc"/>
                <w:sz w:val="20"/>
                <w:szCs w:val="20"/>
              </w:rPr>
            </w:pPr>
          </w:p>
        </w:tc>
        <w:tc>
          <w:tcPr>
            <w:tcW w:w="0" w:type="auto"/>
            <w:tcBorders>
              <w:top w:val="nil"/>
              <w:left w:val="nil"/>
              <w:bottom w:val="single" w:sz="12" w:space="0" w:color="auto"/>
              <w:right w:val="nil"/>
            </w:tcBorders>
          </w:tcPr>
          <w:p w:rsidR="00DE7F8F" w:rsidRDefault="00DE7F8F" w:rsidP="00AB4D9C">
            <w:pPr>
              <w:spacing w:before="120" w:after="0"/>
              <w:ind w:left="57" w:right="-57"/>
              <w:jc w:val="center"/>
              <w:rPr>
                <w:rStyle w:val="tgc"/>
                <w:sz w:val="20"/>
                <w:szCs w:val="20"/>
              </w:rPr>
            </w:pPr>
            <w:r>
              <w:rPr>
                <w:rStyle w:val="tgc"/>
                <w:sz w:val="20"/>
                <w:szCs w:val="20"/>
              </w:rPr>
              <w:t>12.1</w:t>
            </w:r>
          </w:p>
        </w:tc>
        <w:tc>
          <w:tcPr>
            <w:tcW w:w="0" w:type="auto"/>
            <w:tcBorders>
              <w:top w:val="nil"/>
              <w:left w:val="nil"/>
              <w:bottom w:val="single" w:sz="12" w:space="0" w:color="auto"/>
              <w:right w:val="nil"/>
            </w:tcBorders>
          </w:tcPr>
          <w:p w:rsidR="00DE7F8F" w:rsidRDefault="00DE7F8F" w:rsidP="00AB4D9C">
            <w:pPr>
              <w:spacing w:before="120" w:after="0"/>
              <w:ind w:left="57" w:right="-57"/>
              <w:jc w:val="center"/>
              <w:rPr>
                <w:rStyle w:val="tgc"/>
                <w:sz w:val="20"/>
                <w:szCs w:val="20"/>
              </w:rPr>
            </w:pPr>
            <w:r>
              <w:rPr>
                <w:rStyle w:val="tgc"/>
                <w:sz w:val="20"/>
                <w:szCs w:val="20"/>
              </w:rPr>
              <w:t>7.3</w:t>
            </w:r>
          </w:p>
        </w:tc>
        <w:tc>
          <w:tcPr>
            <w:tcW w:w="0" w:type="auto"/>
            <w:tcBorders>
              <w:top w:val="nil"/>
              <w:left w:val="nil"/>
              <w:bottom w:val="single" w:sz="12" w:space="0" w:color="auto"/>
              <w:right w:val="nil"/>
            </w:tcBorders>
          </w:tcPr>
          <w:p w:rsidR="00DE7F8F" w:rsidRDefault="00DE7F8F" w:rsidP="00AB4D9C">
            <w:pPr>
              <w:spacing w:before="120" w:after="0"/>
              <w:ind w:left="57" w:right="-57"/>
              <w:jc w:val="center"/>
              <w:rPr>
                <w:rStyle w:val="tgc"/>
                <w:sz w:val="20"/>
                <w:szCs w:val="20"/>
              </w:rPr>
            </w:pPr>
            <w:r>
              <w:rPr>
                <w:rStyle w:val="tgc"/>
                <w:sz w:val="20"/>
                <w:szCs w:val="20"/>
              </w:rPr>
              <w:t>3.7</w:t>
            </w:r>
          </w:p>
        </w:tc>
        <w:tc>
          <w:tcPr>
            <w:tcW w:w="0" w:type="auto"/>
            <w:tcBorders>
              <w:top w:val="nil"/>
              <w:left w:val="nil"/>
              <w:bottom w:val="single" w:sz="12" w:space="0" w:color="auto"/>
              <w:right w:val="nil"/>
            </w:tcBorders>
          </w:tcPr>
          <w:p w:rsidR="00DE7F8F" w:rsidRDefault="00DE7F8F" w:rsidP="00AB4D9C">
            <w:pPr>
              <w:spacing w:before="120" w:after="0"/>
              <w:ind w:left="57" w:right="-57"/>
              <w:jc w:val="center"/>
              <w:rPr>
                <w:rStyle w:val="tgc"/>
                <w:sz w:val="20"/>
                <w:szCs w:val="20"/>
              </w:rPr>
            </w:pPr>
            <w:r>
              <w:rPr>
                <w:rStyle w:val="tgc"/>
                <w:sz w:val="20"/>
                <w:szCs w:val="20"/>
              </w:rPr>
              <w:t>1.2</w:t>
            </w:r>
          </w:p>
        </w:tc>
      </w:tr>
    </w:tbl>
    <w:p w:rsidR="00DE7F8F" w:rsidRDefault="00DE7F8F" w:rsidP="00DE7F8F">
      <w:pPr>
        <w:spacing w:line="480" w:lineRule="auto"/>
        <w:rPr>
          <w:rStyle w:val="tgc"/>
        </w:rPr>
      </w:pPr>
    </w:p>
    <w:p w:rsidR="00DE7F8F" w:rsidRDefault="00DE7F8F" w:rsidP="00DE7F8F">
      <w:pPr>
        <w:spacing w:line="480" w:lineRule="auto"/>
        <w:rPr>
          <w:rStyle w:val="tgc"/>
        </w:rPr>
      </w:pPr>
      <w:r>
        <w:rPr>
          <w:rStyle w:val="tgc"/>
        </w:rPr>
        <w:t>Focusing on open tundra, probability density functions (PDF</w:t>
      </w:r>
      <w:r w:rsidR="00BE4ABA">
        <w:rPr>
          <w:rStyle w:val="tgc"/>
        </w:rPr>
        <w:t>s</w:t>
      </w:r>
      <w:r>
        <w:rPr>
          <w:rStyle w:val="tgc"/>
        </w:rPr>
        <w:t xml:space="preserve">) </w:t>
      </w:r>
      <w:r w:rsidR="00B051E6">
        <w:rPr>
          <w:rStyle w:val="tgc"/>
        </w:rPr>
        <w:t xml:space="preserve">of SWE </w:t>
      </w:r>
      <w:r>
        <w:rPr>
          <w:rStyle w:val="tgc"/>
        </w:rPr>
        <w:t>were generated to evaluate inter-site variability</w:t>
      </w:r>
      <w:r w:rsidR="00920461">
        <w:rPr>
          <w:rStyle w:val="tgc"/>
        </w:rPr>
        <w:t xml:space="preserve"> </w:t>
      </w:r>
      <w:r>
        <w:rPr>
          <w:rStyle w:val="tgc"/>
        </w:rPr>
        <w:t xml:space="preserve">(Figure </w:t>
      </w:r>
      <w:r w:rsidR="00E74C28">
        <w:rPr>
          <w:rStyle w:val="tgc"/>
        </w:rPr>
        <w:t>3</w:t>
      </w:r>
      <w:r w:rsidR="00D20BDB">
        <w:rPr>
          <w:rStyle w:val="tgc"/>
        </w:rPr>
        <w:t>).</w:t>
      </w:r>
      <w:r>
        <w:rPr>
          <w:rStyle w:val="tgc"/>
        </w:rPr>
        <w:t xml:space="preserve"> Here, </w:t>
      </w:r>
      <w:r w:rsidR="00D90C92">
        <w:rPr>
          <w:rStyle w:val="tgc"/>
        </w:rPr>
        <w:t xml:space="preserve">individual </w:t>
      </w:r>
      <w:r>
        <w:rPr>
          <w:rStyle w:val="tgc"/>
        </w:rPr>
        <w:t>estimates of SWE were calculated as the</w:t>
      </w:r>
      <w:r w:rsidDel="00EE6B7F">
        <w:rPr>
          <w:rStyle w:val="tgc"/>
        </w:rPr>
        <w:t xml:space="preserve"> </w:t>
      </w:r>
      <w:r>
        <w:rPr>
          <w:rStyle w:val="tgc"/>
        </w:rPr>
        <w:t xml:space="preserve">product of </w:t>
      </w:r>
      <m:oMath>
        <m:sSub>
          <m:sSubPr>
            <m:ctrlPr>
              <w:rPr>
                <w:rStyle w:val="tgc"/>
                <w:rFonts w:ascii="Cambria Math" w:hAnsi="Cambria Math"/>
                <w:i/>
              </w:rPr>
            </m:ctrlPr>
          </m:sSubPr>
          <m:e>
            <m:r>
              <m:rPr>
                <m:nor/>
              </m:rPr>
              <w:rPr>
                <w:rStyle w:val="tgc"/>
                <w:rFonts w:ascii="Cambria Math" w:hAnsi="Cambria Math"/>
              </w:rPr>
              <m:t>SD</m:t>
            </m:r>
          </m:e>
          <m:sub>
            <m:r>
              <m:rPr>
                <m:nor/>
              </m:rPr>
              <w:rPr>
                <w:rStyle w:val="tgc"/>
                <w:rFonts w:ascii="Cambria Math" w:hAnsi="Cambria Math"/>
              </w:rPr>
              <m:t>ref</m:t>
            </m:r>
          </m:sub>
        </m:sSub>
        <m:r>
          <w:rPr>
            <w:rStyle w:val="tgc"/>
            <w:rFonts w:ascii="Cambria Math" w:hAnsi="Cambria Math"/>
          </w:rPr>
          <m:t xml:space="preserve"> </m:t>
        </m:r>
      </m:oMath>
      <w:r>
        <w:rPr>
          <w:rStyle w:val="tgc"/>
          <w:rFonts w:eastAsiaTheme="minorEastAsia"/>
        </w:rPr>
        <w:t xml:space="preserve"> </w:t>
      </w:r>
      <w:r>
        <w:rPr>
          <w:rStyle w:val="tgc"/>
        </w:rPr>
        <w:t xml:space="preserve">and </w:t>
      </w:r>
      <w:r w:rsidR="00D90C92">
        <w:rPr>
          <w:rStyle w:val="tgc"/>
        </w:rPr>
        <w:t>the</w:t>
      </w:r>
      <w:r>
        <w:rPr>
          <w:rStyle w:val="tgc"/>
        </w:rPr>
        <w:t xml:space="preserve"> nearest neighbor </w:t>
      </w:r>
      <w:r w:rsidR="00B23790">
        <w:rPr>
          <w:rStyle w:val="tgc"/>
        </w:rPr>
        <w:t>snow core</w:t>
      </w:r>
      <w:r>
        <w:rPr>
          <w:rStyle w:val="tgc"/>
        </w:rPr>
        <w:t xml:space="preserve"> density</w:t>
      </w:r>
      <w:r w:rsidR="00E74C28">
        <w:rPr>
          <w:rStyle w:val="tgc"/>
        </w:rPr>
        <w:t xml:space="preserve"> </w:t>
      </w:r>
      <w:r>
        <w:rPr>
          <w:rStyle w:val="tgc"/>
        </w:rPr>
        <w:t>(</w:t>
      </w:r>
      <m:oMath>
        <m:sSub>
          <m:sSubPr>
            <m:ctrlPr>
              <w:rPr>
                <w:rFonts w:ascii="Cambria Math" w:eastAsiaTheme="minorEastAsia" w:hAnsi="Cambria Math"/>
                <w:i/>
              </w:rPr>
            </m:ctrlPr>
          </m:sSubPr>
          <m:e>
            <m:r>
              <w:rPr>
                <w:rFonts w:ascii="Cambria Math" w:eastAsiaTheme="minorEastAsia" w:hAnsi="Cambria Math"/>
              </w:rPr>
              <m:t>ρ</m:t>
            </m:r>
          </m:e>
          <m:sub>
            <m:r>
              <m:rPr>
                <m:nor/>
              </m:rPr>
              <w:rPr>
                <w:rFonts w:ascii="Cambria Math" w:eastAsiaTheme="minorEastAsia" w:hAnsi="Cambria Math"/>
              </w:rPr>
              <m:t>ref</m:t>
            </m:r>
          </m:sub>
        </m:sSub>
      </m:oMath>
      <w:r>
        <w:rPr>
          <w:rStyle w:val="tgc"/>
        </w:rPr>
        <w:t xml:space="preserve">), leveraging strong covariance with depth to increase the number of available estimates </w:t>
      </w:r>
      <w:r w:rsidRPr="00F807E3">
        <w:rPr>
          <w:rStyle w:val="tgc"/>
        </w:rPr>
        <w:t>(Sturm et al., 2010)</w:t>
      </w:r>
      <w:r>
        <w:rPr>
          <w:rStyle w:val="tgc"/>
        </w:rPr>
        <w:t>. At the UT and SS sites, similar unimodal, positively skewed distributions characterized a broad range of SWE (&gt;320 mm) with means of 138</w:t>
      </w:r>
      <w:r>
        <w:rPr>
          <w:rStyle w:val="tgc"/>
          <w:rFonts w:cs="Helvetica"/>
        </w:rPr>
        <w:t>±50</w:t>
      </w:r>
      <w:r>
        <w:rPr>
          <w:rStyle w:val="tgc"/>
        </w:rPr>
        <w:t xml:space="preserve"> and 122</w:t>
      </w:r>
      <w:r>
        <w:rPr>
          <w:rStyle w:val="tgc"/>
          <w:rFonts w:cs="Helvetica"/>
        </w:rPr>
        <w:t>±45</w:t>
      </w:r>
      <w:r>
        <w:rPr>
          <w:rStyle w:val="tgc"/>
        </w:rPr>
        <w:t xml:space="preserve"> mm, respectively. </w:t>
      </w:r>
      <w:r w:rsidR="00E74C28">
        <w:rPr>
          <w:rStyle w:val="tgc"/>
        </w:rPr>
        <w:t>The</w:t>
      </w:r>
      <w:r>
        <w:rPr>
          <w:rStyle w:val="tgc"/>
        </w:rPr>
        <w:t xml:space="preserve"> high degree of </w:t>
      </w:r>
      <w:r w:rsidR="00920461">
        <w:rPr>
          <w:rStyle w:val="tgc"/>
        </w:rPr>
        <w:t xml:space="preserve">observed </w:t>
      </w:r>
      <w:r>
        <w:rPr>
          <w:rStyle w:val="tgc"/>
        </w:rPr>
        <w:t xml:space="preserve">variability is typical of a tundra environment where depressions between tussocks </w:t>
      </w:r>
      <w:r w:rsidR="005E645B">
        <w:rPr>
          <w:rStyle w:val="tgc"/>
        </w:rPr>
        <w:t>and</w:t>
      </w:r>
      <w:r>
        <w:rPr>
          <w:rStyle w:val="tgc"/>
        </w:rPr>
        <w:t xml:space="preserve"> hummocks can produce decimeter variations </w:t>
      </w:r>
      <w:r w:rsidR="00920461">
        <w:rPr>
          <w:rStyle w:val="tgc"/>
        </w:rPr>
        <w:t xml:space="preserve">in SWE </w:t>
      </w:r>
      <w:r w:rsidR="00D90C92">
        <w:rPr>
          <w:rStyle w:val="tgc"/>
        </w:rPr>
        <w:t>at</w:t>
      </w:r>
      <w:r>
        <w:rPr>
          <w:rStyle w:val="tgc"/>
        </w:rPr>
        <w:t xml:space="preserve"> sub-meter scales (Sturm and Holgren, 1994).</w:t>
      </w:r>
      <w:r w:rsidRPr="000B3755">
        <w:rPr>
          <w:rStyle w:val="tgc"/>
        </w:rPr>
        <w:t xml:space="preserve"> </w:t>
      </w:r>
      <w:r w:rsidR="00384B60">
        <w:rPr>
          <w:rStyle w:val="tgc"/>
        </w:rPr>
        <w:t>Much l</w:t>
      </w:r>
      <w:r>
        <w:rPr>
          <w:rStyle w:val="tgc"/>
        </w:rPr>
        <w:t>arger increases</w:t>
      </w:r>
      <w:r w:rsidR="00920461">
        <w:rPr>
          <w:rStyle w:val="tgc"/>
        </w:rPr>
        <w:t xml:space="preserve"> </w:t>
      </w:r>
      <w:r w:rsidR="00D20BDB">
        <w:rPr>
          <w:rStyle w:val="tgc"/>
        </w:rPr>
        <w:t>in</w:t>
      </w:r>
      <w:r w:rsidR="00B051E6">
        <w:rPr>
          <w:rStyle w:val="tgc"/>
        </w:rPr>
        <w:t xml:space="preserve"> the</w:t>
      </w:r>
      <w:r w:rsidR="006D246C">
        <w:rPr>
          <w:rStyle w:val="tgc"/>
        </w:rPr>
        <w:t xml:space="preserve"> </w:t>
      </w:r>
      <w:r w:rsidR="005D4CAD">
        <w:rPr>
          <w:rStyle w:val="tgc"/>
        </w:rPr>
        <w:t>PDF</w:t>
      </w:r>
      <w:r w:rsidR="00467ED3">
        <w:rPr>
          <w:rStyle w:val="tgc"/>
        </w:rPr>
        <w:t xml:space="preserve"> tails</w:t>
      </w:r>
      <w:r>
        <w:rPr>
          <w:rStyle w:val="tgc"/>
        </w:rPr>
        <w:t xml:space="preserve"> </w:t>
      </w:r>
      <w:r w:rsidR="00A2093E">
        <w:rPr>
          <w:rStyle w:val="tgc"/>
        </w:rPr>
        <w:t>however,</w:t>
      </w:r>
      <w:r>
        <w:rPr>
          <w:rStyle w:val="tgc"/>
        </w:rPr>
        <w:t xml:space="preserve"> </w:t>
      </w:r>
      <w:r w:rsidR="00D90C92">
        <w:rPr>
          <w:rStyle w:val="tgc"/>
        </w:rPr>
        <w:t>are</w:t>
      </w:r>
      <w:r w:rsidR="00920461">
        <w:rPr>
          <w:rStyle w:val="tgc"/>
        </w:rPr>
        <w:t xml:space="preserve"> </w:t>
      </w:r>
      <w:r w:rsidR="00D90C92">
        <w:rPr>
          <w:rStyle w:val="tgc"/>
        </w:rPr>
        <w:t>not</w:t>
      </w:r>
      <w:r>
        <w:rPr>
          <w:rStyle w:val="tgc"/>
        </w:rPr>
        <w:t xml:space="preserve"> accounted for by </w:t>
      </w:r>
      <w:r w:rsidR="00B23790" w:rsidRPr="00B23790">
        <w:rPr>
          <w:rStyle w:val="tgc"/>
        </w:rPr>
        <w:t>microtopography</w:t>
      </w:r>
      <w:r w:rsidR="006D246C">
        <w:rPr>
          <w:rStyle w:val="tgc"/>
        </w:rPr>
        <w:t xml:space="preserve">, </w:t>
      </w:r>
      <w:r w:rsidR="00920461">
        <w:rPr>
          <w:rStyle w:val="tgc"/>
        </w:rPr>
        <w:t>suggesting</w:t>
      </w:r>
      <w:r w:rsidR="00B051E6">
        <w:rPr>
          <w:rStyle w:val="tgc"/>
        </w:rPr>
        <w:t xml:space="preserve"> additional </w:t>
      </w:r>
      <w:r>
        <w:rPr>
          <w:rStyle w:val="tgc"/>
        </w:rPr>
        <w:t xml:space="preserve">influence at </w:t>
      </w:r>
      <w:r w:rsidR="00467ED3">
        <w:rPr>
          <w:rStyle w:val="tgc"/>
        </w:rPr>
        <w:t>larger</w:t>
      </w:r>
      <w:r>
        <w:rPr>
          <w:rStyle w:val="tgc"/>
        </w:rPr>
        <w:t xml:space="preserve"> length scales.</w:t>
      </w:r>
    </w:p>
    <w:p w:rsidR="00384B60" w:rsidRDefault="00384B60" w:rsidP="00B9338E">
      <w:pPr>
        <w:pStyle w:val="Caption"/>
        <w:spacing w:line="360" w:lineRule="auto"/>
        <w:jc w:val="center"/>
        <w:rPr>
          <w:color w:val="000000" w:themeColor="text1"/>
        </w:rPr>
      </w:pPr>
      <w:r>
        <w:rPr>
          <w:noProof/>
          <w:lang w:val="en-GB" w:eastAsia="en-GB"/>
        </w:rPr>
        <w:drawing>
          <wp:inline distT="0" distB="0" distL="0" distR="0" wp14:anchorId="5CB15922" wp14:editId="1AB55056">
            <wp:extent cx="4633200" cy="2160000"/>
            <wp:effectExtent l="0" t="0" r="0" b="0"/>
            <wp:docPr id="4" name="Picture 4" descr="D:\Figure4_Revise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gure4_Revised.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3200" cy="2160000"/>
                    </a:xfrm>
                    <a:prstGeom prst="rect">
                      <a:avLst/>
                    </a:prstGeom>
                    <a:noFill/>
                    <a:ln>
                      <a:noFill/>
                    </a:ln>
                  </pic:spPr>
                </pic:pic>
              </a:graphicData>
            </a:graphic>
          </wp:inline>
        </w:drawing>
      </w:r>
    </w:p>
    <w:p w:rsidR="00E74C28" w:rsidRDefault="00E74C28" w:rsidP="00E74C28">
      <w:pPr>
        <w:pStyle w:val="Caption"/>
        <w:spacing w:line="360" w:lineRule="auto"/>
        <w:rPr>
          <w:noProof/>
          <w:color w:val="000000" w:themeColor="text1"/>
        </w:rPr>
      </w:pPr>
      <w:r w:rsidRPr="00A73DAA">
        <w:rPr>
          <w:color w:val="000000" w:themeColor="text1"/>
        </w:rPr>
        <w:t xml:space="preserve">Figure </w:t>
      </w:r>
      <w:r>
        <w:rPr>
          <w:noProof/>
          <w:color w:val="000000" w:themeColor="text1"/>
        </w:rPr>
        <w:t>3</w:t>
      </w:r>
      <w:r w:rsidRPr="00A73DAA">
        <w:rPr>
          <w:color w:val="000000" w:themeColor="text1"/>
        </w:rPr>
        <w:t>: P</w:t>
      </w:r>
      <w:r>
        <w:rPr>
          <w:color w:val="000000" w:themeColor="text1"/>
        </w:rPr>
        <w:t>robability density functions (PDF</w:t>
      </w:r>
      <w:r w:rsidR="00A9019F">
        <w:rPr>
          <w:color w:val="000000" w:themeColor="text1"/>
        </w:rPr>
        <w:t>s</w:t>
      </w:r>
      <w:r>
        <w:rPr>
          <w:color w:val="000000" w:themeColor="text1"/>
        </w:rPr>
        <w:t xml:space="preserve">; A) and length scales of variability (B) </w:t>
      </w:r>
      <w:r w:rsidR="00A9019F">
        <w:rPr>
          <w:color w:val="000000" w:themeColor="text1"/>
        </w:rPr>
        <w:t>for</w:t>
      </w:r>
      <w:r>
        <w:rPr>
          <w:color w:val="000000" w:themeColor="text1"/>
        </w:rPr>
        <w:t xml:space="preserve"> </w:t>
      </w:r>
      <w:r w:rsidR="00A9019F">
        <w:rPr>
          <w:color w:val="000000" w:themeColor="text1"/>
        </w:rPr>
        <w:t>open tundra SWE</w:t>
      </w:r>
      <w:r>
        <w:rPr>
          <w:color w:val="000000" w:themeColor="text1"/>
        </w:rPr>
        <w:t xml:space="preserve"> at the Upland Tundra (UT) and SikSik (SS) sites.</w:t>
      </w:r>
    </w:p>
    <w:p w:rsidR="00E74C28" w:rsidRDefault="00E74C28" w:rsidP="00E74C28">
      <w:pPr>
        <w:spacing w:line="480" w:lineRule="auto"/>
        <w:rPr>
          <w:rStyle w:val="tgc"/>
        </w:rPr>
      </w:pPr>
      <w:r>
        <w:rPr>
          <w:rStyle w:val="tgc"/>
        </w:rPr>
        <w:t xml:space="preserve">To quantify spatial scales of variability, estimates of autocorrelation (Moran’s I; Moran, 1950) were calculated for in situ pairs of SWE at lag distances of up to 200 m (Figure 3B). From this, it can be </w:t>
      </w:r>
      <w:r w:rsidR="00D90C92">
        <w:rPr>
          <w:rStyle w:val="tgc"/>
        </w:rPr>
        <w:t>shown</w:t>
      </w:r>
      <w:r>
        <w:rPr>
          <w:rStyle w:val="tgc"/>
        </w:rPr>
        <w:t xml:space="preserve"> that bulk SWE varied at length scales greater than the aggregate SnowSAR resolution across the basin. The rate of decay however, was unequal between sites, as noted by the shorter UT length scale (correlation of 0.5 at 41 m lag distance). Unexpectedly, this implies that larger units of coherence were present within the diverse SS landscape (correlation of 0.5 at 77 m lag distance).</w:t>
      </w:r>
    </w:p>
    <w:p w:rsidR="00E74C28" w:rsidRDefault="00E74C28" w:rsidP="00E74C28">
      <w:pPr>
        <w:spacing w:line="480" w:lineRule="auto"/>
        <w:rPr>
          <w:rStyle w:val="tgc"/>
        </w:rPr>
      </w:pPr>
      <w:r>
        <w:rPr>
          <w:rStyle w:val="tgc"/>
        </w:rPr>
        <w:t>Given the limited areal support of the in situ measurements, it was advantageous to evaluate the length scale inequality using the lidar-derived estimates of snow depth (</w:t>
      </w:r>
      <m:oMath>
        <m:sSub>
          <m:sSubPr>
            <m:ctrlPr>
              <w:rPr>
                <w:rStyle w:val="tgc"/>
                <w:rFonts w:ascii="Cambria Math" w:hAnsi="Cambria Math"/>
                <w:i/>
              </w:rPr>
            </m:ctrlPr>
          </m:sSubPr>
          <m:e>
            <m:r>
              <m:rPr>
                <m:nor/>
              </m:rPr>
              <w:rPr>
                <w:rStyle w:val="tgc"/>
                <w:rFonts w:ascii="Cambria Math" w:hAnsi="Cambria Math"/>
              </w:rPr>
              <m:t>SD</m:t>
            </m:r>
          </m:e>
          <m:sub>
            <m:r>
              <m:rPr>
                <m:nor/>
              </m:rPr>
              <w:rPr>
                <w:rStyle w:val="tgc"/>
                <w:rFonts w:ascii="Cambria Math" w:hAnsi="Cambria Math"/>
              </w:rPr>
              <m:t>lidar</m:t>
            </m:r>
          </m:sub>
        </m:sSub>
      </m:oMath>
      <w:r>
        <w:rPr>
          <w:rStyle w:val="tgc"/>
          <w:rFonts w:eastAsiaTheme="minorEastAsia"/>
        </w:rPr>
        <w:t>)</w:t>
      </w:r>
      <w:r>
        <w:rPr>
          <w:rStyle w:val="tgc"/>
        </w:rPr>
        <w:t xml:space="preserve">. Nearest neighbor measurements of </w:t>
      </w:r>
      <m:oMath>
        <m:sSub>
          <m:sSubPr>
            <m:ctrlPr>
              <w:rPr>
                <w:rFonts w:ascii="Cambria Math" w:eastAsiaTheme="minorEastAsia" w:hAnsi="Cambria Math"/>
                <w:i/>
              </w:rPr>
            </m:ctrlPr>
          </m:sSubPr>
          <m:e>
            <m:r>
              <w:rPr>
                <w:rFonts w:ascii="Cambria Math" w:eastAsiaTheme="minorEastAsia" w:hAnsi="Cambria Math"/>
              </w:rPr>
              <m:t>ρ</m:t>
            </m:r>
          </m:e>
          <m:sub>
            <m:r>
              <m:rPr>
                <m:nor/>
              </m:rPr>
              <w:rPr>
                <w:rFonts w:ascii="Cambria Math" w:eastAsiaTheme="minorEastAsia" w:hAnsi="Cambria Math"/>
              </w:rPr>
              <m:t>ref</m:t>
            </m:r>
          </m:sub>
        </m:sSub>
      </m:oMath>
      <w:r>
        <w:rPr>
          <w:rStyle w:val="tgc"/>
        </w:rPr>
        <w:t xml:space="preserve"> were again used to estimate SWE, this time as a product of the spatially continuous </w:t>
      </w:r>
      <m:oMath>
        <m:sSub>
          <m:sSubPr>
            <m:ctrlPr>
              <w:rPr>
                <w:rStyle w:val="tgc"/>
                <w:rFonts w:ascii="Cambria Math" w:hAnsi="Cambria Math"/>
                <w:i/>
              </w:rPr>
            </m:ctrlPr>
          </m:sSubPr>
          <m:e>
            <m:r>
              <m:rPr>
                <m:nor/>
              </m:rPr>
              <w:rPr>
                <w:rStyle w:val="tgc"/>
                <w:rFonts w:ascii="Cambria Math" w:hAnsi="Cambria Math"/>
              </w:rPr>
              <m:t>SD</m:t>
            </m:r>
          </m:e>
          <m:sub>
            <m:r>
              <m:rPr>
                <m:nor/>
              </m:rPr>
              <w:rPr>
                <w:rStyle w:val="tgc"/>
                <w:rFonts w:ascii="Cambria Math" w:hAnsi="Cambria Math"/>
              </w:rPr>
              <m:t>lidar</m:t>
            </m:r>
          </m:sub>
        </m:sSub>
      </m:oMath>
      <w:r>
        <w:rPr>
          <w:rStyle w:val="tgc"/>
        </w:rPr>
        <w:t xml:space="preserve">. Areas contributing to the positive </w:t>
      </w:r>
      <w:r w:rsidR="00847500">
        <w:rPr>
          <w:rStyle w:val="tgc"/>
        </w:rPr>
        <w:t xml:space="preserve">distribution </w:t>
      </w:r>
      <w:r>
        <w:rPr>
          <w:rStyle w:val="tgc"/>
        </w:rPr>
        <w:t xml:space="preserve">tails </w:t>
      </w:r>
      <w:r>
        <w:rPr>
          <w:rStyle w:val="tgc"/>
          <w:rFonts w:eastAsiaTheme="minorEastAsia"/>
          <w:lang w:val="en-CA"/>
        </w:rPr>
        <w:t>(</w:t>
      </w:r>
      <m:oMath>
        <m:r>
          <m:rPr>
            <m:nor/>
          </m:rPr>
          <w:rPr>
            <w:rStyle w:val="tgc"/>
            <w:rFonts w:ascii="Cambria Math" w:eastAsiaTheme="minorEastAsia" w:hAnsi="Cambria Math"/>
            <w:lang w:val="en-CA"/>
          </w:rPr>
          <m:t>SWE</m:t>
        </m:r>
        <m:r>
          <w:rPr>
            <w:rStyle w:val="tgc"/>
            <w:rFonts w:ascii="Cambria Math" w:eastAsiaTheme="minorEastAsia" w:hAnsi="Cambria Math"/>
            <w:lang w:val="en-CA"/>
          </w:rPr>
          <m:t>&gt;</m:t>
        </m:r>
        <m:acc>
          <m:accPr>
            <m:chr m:val="̅"/>
            <m:ctrlPr>
              <w:rPr>
                <w:rStyle w:val="tgc"/>
                <w:rFonts w:ascii="Cambria Math" w:eastAsiaTheme="minorEastAsia" w:hAnsi="Cambria Math"/>
                <w:i/>
                <w:lang w:val="en-CA"/>
              </w:rPr>
            </m:ctrlPr>
          </m:accPr>
          <m:e>
            <m:r>
              <m:rPr>
                <m:nor/>
              </m:rPr>
              <w:rPr>
                <w:rStyle w:val="tgc"/>
                <w:rFonts w:ascii="Cambria Math" w:eastAsiaTheme="minorEastAsia" w:hAnsi="Cambria Math"/>
                <w:lang w:val="en-CA"/>
              </w:rPr>
              <m:t>SWE</m:t>
            </m:r>
          </m:e>
        </m:acc>
        <m:r>
          <w:rPr>
            <w:rStyle w:val="tgc"/>
            <w:rFonts w:ascii="Cambria Math" w:eastAsiaTheme="minorEastAsia" w:hAnsi="Cambria Math"/>
            <w:lang w:val="en-CA"/>
          </w:rPr>
          <m:t>+1σ</m:t>
        </m:r>
      </m:oMath>
      <w:r>
        <w:rPr>
          <w:rStyle w:val="tgc"/>
          <w:rFonts w:eastAsiaTheme="minorEastAsia"/>
          <w:lang w:val="en-CA"/>
        </w:rPr>
        <w:t xml:space="preserve">) were </w:t>
      </w:r>
      <w:r w:rsidR="005D4CAD">
        <w:rPr>
          <w:rStyle w:val="tgc"/>
          <w:rFonts w:eastAsiaTheme="minorEastAsia"/>
          <w:lang w:val="en-CA"/>
        </w:rPr>
        <w:t xml:space="preserve">found to be </w:t>
      </w:r>
      <w:r>
        <w:rPr>
          <w:rStyle w:val="tgc"/>
        </w:rPr>
        <w:t xml:space="preserve">characteristic of drifted snow, </w:t>
      </w:r>
      <w:r>
        <w:rPr>
          <w:rStyle w:val="tgc"/>
          <w:rFonts w:eastAsiaTheme="minorEastAsia"/>
        </w:rPr>
        <w:t xml:space="preserve">oriented perpendicular to the prevailing northwestern winds and strongly associated with leeward slopes (Figure </w:t>
      </w:r>
      <w:r w:rsidR="00E02A8E">
        <w:rPr>
          <w:rStyle w:val="tgc"/>
          <w:rFonts w:eastAsiaTheme="minorEastAsia"/>
        </w:rPr>
        <w:t>4</w:t>
      </w:r>
      <w:r>
        <w:rPr>
          <w:rStyle w:val="tgc"/>
          <w:rFonts w:eastAsiaTheme="minorEastAsia"/>
        </w:rPr>
        <w:t xml:space="preserve">). </w:t>
      </w:r>
      <w:r w:rsidR="00A9019F">
        <w:rPr>
          <w:rStyle w:val="tgc"/>
          <w:rFonts w:eastAsiaTheme="minorEastAsia"/>
        </w:rPr>
        <w:t>Drifts with area</w:t>
      </w:r>
      <w:r>
        <w:rPr>
          <w:rStyle w:val="tgc"/>
          <w:rFonts w:eastAsiaTheme="minorEastAsia"/>
        </w:rPr>
        <w:t xml:space="preserve"> greater than the computed length scales of variability (4 pixels or 1600 m</w:t>
      </w:r>
      <w:r>
        <w:rPr>
          <w:rStyle w:val="tgc"/>
          <w:rFonts w:eastAsiaTheme="minorEastAsia"/>
          <w:vertAlign w:val="superscript"/>
        </w:rPr>
        <w:t>2</w:t>
      </w:r>
      <w:r>
        <w:rPr>
          <w:rStyle w:val="tgc"/>
          <w:rFonts w:eastAsiaTheme="minorEastAsia"/>
        </w:rPr>
        <w:t xml:space="preserve">) </w:t>
      </w:r>
      <w:r>
        <w:rPr>
          <w:rStyle w:val="tgc"/>
        </w:rPr>
        <w:t>occupied 11.5% of the UT domain, representing a substa</w:t>
      </w:r>
      <w:r w:rsidR="00241594">
        <w:rPr>
          <w:rStyle w:val="tgc"/>
        </w:rPr>
        <w:t>ntial component of total storage</w:t>
      </w:r>
      <w:r>
        <w:rPr>
          <w:rStyle w:val="tgc"/>
        </w:rPr>
        <w:t>. In comparison, similar drifts</w:t>
      </w:r>
      <w:r w:rsidR="00D20BDB">
        <w:rPr>
          <w:rStyle w:val="tgc"/>
        </w:rPr>
        <w:t xml:space="preserve"> were found to</w:t>
      </w:r>
      <w:r>
        <w:rPr>
          <w:rStyle w:val="tgc"/>
        </w:rPr>
        <w:t xml:space="preserve"> </w:t>
      </w:r>
      <w:r w:rsidR="005D4CAD">
        <w:rPr>
          <w:rStyle w:val="tgc"/>
        </w:rPr>
        <w:t>represent</w:t>
      </w:r>
      <w:r>
        <w:rPr>
          <w:rStyle w:val="tgc"/>
        </w:rPr>
        <w:t xml:space="preserve"> only</w:t>
      </w:r>
      <w:r w:rsidDel="000E758F">
        <w:rPr>
          <w:rStyle w:val="tgc"/>
        </w:rPr>
        <w:t xml:space="preserve"> </w:t>
      </w:r>
      <w:r>
        <w:rPr>
          <w:rStyle w:val="tgc"/>
        </w:rPr>
        <w:t>6.8% of the larger SS domain. Increased retention within</w:t>
      </w:r>
      <w:r w:rsidR="005D4CAD">
        <w:rPr>
          <w:rStyle w:val="tgc"/>
        </w:rPr>
        <w:t xml:space="preserve"> </w:t>
      </w:r>
      <w:r>
        <w:rPr>
          <w:rStyle w:val="tgc"/>
        </w:rPr>
        <w:t>drifts account</w:t>
      </w:r>
      <w:r w:rsidR="00B051E6">
        <w:rPr>
          <w:rStyle w:val="tgc"/>
        </w:rPr>
        <w:t>s</w:t>
      </w:r>
      <w:r>
        <w:rPr>
          <w:rStyle w:val="tgc"/>
        </w:rPr>
        <w:t xml:space="preserve"> for the higher mean SWE </w:t>
      </w:r>
      <w:r w:rsidR="00B051E6">
        <w:rPr>
          <w:rStyle w:val="tgc"/>
        </w:rPr>
        <w:t>and shorter length scale</w:t>
      </w:r>
      <w:r w:rsidR="00D20BDB">
        <w:rPr>
          <w:rStyle w:val="tgc"/>
        </w:rPr>
        <w:t xml:space="preserve"> at the UT site</w:t>
      </w:r>
      <w:r w:rsidR="00B051E6">
        <w:rPr>
          <w:rStyle w:val="tgc"/>
        </w:rPr>
        <w:t xml:space="preserve"> </w:t>
      </w:r>
      <w:r>
        <w:rPr>
          <w:rStyle w:val="tgc"/>
        </w:rPr>
        <w:t>where these features punctuate</w:t>
      </w:r>
      <w:r w:rsidR="00D90C92">
        <w:rPr>
          <w:rStyle w:val="tgc"/>
        </w:rPr>
        <w:t>d</w:t>
      </w:r>
      <w:r>
        <w:rPr>
          <w:rStyle w:val="tgc"/>
        </w:rPr>
        <w:t xml:space="preserve"> the otherwise thin snowpack</w:t>
      </w:r>
      <w:r w:rsidR="00B051E6">
        <w:rPr>
          <w:rStyle w:val="tgc"/>
        </w:rPr>
        <w:t xml:space="preserve"> with increased frequency</w:t>
      </w:r>
      <w:r>
        <w:rPr>
          <w:rStyle w:val="tgc"/>
        </w:rPr>
        <w:t>.</w:t>
      </w:r>
    </w:p>
    <w:p w:rsidR="00EA11BB" w:rsidRDefault="009531B0" w:rsidP="00EA11BB">
      <w:pPr>
        <w:spacing w:line="480" w:lineRule="auto"/>
        <w:jc w:val="center"/>
        <w:rPr>
          <w:rStyle w:val="tgc"/>
        </w:rPr>
      </w:pPr>
      <w:r>
        <w:rPr>
          <w:noProof/>
          <w:lang w:val="en-GB" w:eastAsia="en-GB"/>
        </w:rPr>
        <w:drawing>
          <wp:inline distT="0" distB="0" distL="0" distR="0">
            <wp:extent cx="4842000" cy="2160000"/>
            <wp:effectExtent l="0" t="0" r="0" b="0"/>
            <wp:docPr id="7" name="Picture 7" descr="C:\Users\kingj\Documents\Papers\Authored\King_RSE_2016\Resubmit\Figures\Figure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ngj\Documents\Papers\Authored\King_RSE_2016\Resubmit\Figures\Figure_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2000" cy="2160000"/>
                    </a:xfrm>
                    <a:prstGeom prst="rect">
                      <a:avLst/>
                    </a:prstGeom>
                    <a:noFill/>
                    <a:ln>
                      <a:noFill/>
                    </a:ln>
                  </pic:spPr>
                </pic:pic>
              </a:graphicData>
            </a:graphic>
          </wp:inline>
        </w:drawing>
      </w:r>
    </w:p>
    <w:p w:rsidR="00E74C28" w:rsidRDefault="00E74C28" w:rsidP="00EA11BB">
      <w:pPr>
        <w:pStyle w:val="Caption"/>
        <w:spacing w:after="0" w:line="360" w:lineRule="auto"/>
        <w:rPr>
          <w:color w:val="000000" w:themeColor="text1"/>
        </w:rPr>
      </w:pPr>
      <w:r w:rsidRPr="00FC3338">
        <w:rPr>
          <w:color w:val="000000" w:themeColor="text1"/>
        </w:rPr>
        <w:t xml:space="preserve">Figure </w:t>
      </w:r>
      <w:r w:rsidR="00F00CF4">
        <w:rPr>
          <w:noProof/>
          <w:color w:val="000000" w:themeColor="text1"/>
        </w:rPr>
        <w:t>4</w:t>
      </w:r>
      <w:r w:rsidRPr="00FC3338">
        <w:rPr>
          <w:color w:val="000000" w:themeColor="text1"/>
        </w:rPr>
        <w:t xml:space="preserve">: </w:t>
      </w:r>
      <w:r w:rsidR="00EA11BB">
        <w:rPr>
          <w:color w:val="000000" w:themeColor="text1"/>
        </w:rPr>
        <w:t xml:space="preserve">Lidar derived </w:t>
      </w:r>
      <w:r>
        <w:rPr>
          <w:color w:val="000000" w:themeColor="text1"/>
        </w:rPr>
        <w:t>snow water equivalent</w:t>
      </w:r>
      <w:r w:rsidR="00EA11BB">
        <w:rPr>
          <w:color w:val="000000" w:themeColor="text1"/>
        </w:rPr>
        <w:t xml:space="preserve"> (Left) and digital elevation model </w:t>
      </w:r>
      <w:r w:rsidR="00BE4ABA">
        <w:rPr>
          <w:color w:val="000000" w:themeColor="text1"/>
        </w:rPr>
        <w:t xml:space="preserve">derived </w:t>
      </w:r>
      <w:r w:rsidR="00EA11BB">
        <w:rPr>
          <w:color w:val="000000" w:themeColor="text1"/>
        </w:rPr>
        <w:t>slope (</w:t>
      </w:r>
      <w:r w:rsidR="00BE4ABA">
        <w:rPr>
          <w:color w:val="000000" w:themeColor="text1"/>
        </w:rPr>
        <w:t>right</w:t>
      </w:r>
      <w:r w:rsidR="00EA11BB">
        <w:rPr>
          <w:color w:val="000000" w:themeColor="text1"/>
        </w:rPr>
        <w:t>) and</w:t>
      </w:r>
      <w:r>
        <w:rPr>
          <w:color w:val="000000" w:themeColor="text1"/>
        </w:rPr>
        <w:t xml:space="preserve"> </w:t>
      </w:r>
      <w:r w:rsidRPr="00FC3338">
        <w:rPr>
          <w:color w:val="000000" w:themeColor="text1"/>
        </w:rPr>
        <w:t xml:space="preserve">at the </w:t>
      </w:r>
      <w:r>
        <w:rPr>
          <w:color w:val="000000" w:themeColor="text1"/>
        </w:rPr>
        <w:t>UT</w:t>
      </w:r>
      <w:r w:rsidRPr="00FC3338">
        <w:rPr>
          <w:color w:val="000000" w:themeColor="text1"/>
        </w:rPr>
        <w:t xml:space="preserve"> site.</w:t>
      </w:r>
      <w:r>
        <w:rPr>
          <w:color w:val="000000" w:themeColor="text1"/>
        </w:rPr>
        <w:t xml:space="preserve"> The locations of large snow drift</w:t>
      </w:r>
      <w:r w:rsidR="00EA11BB">
        <w:rPr>
          <w:color w:val="000000" w:themeColor="text1"/>
        </w:rPr>
        <w:t xml:space="preserve">s </w:t>
      </w:r>
      <w:r>
        <w:rPr>
          <w:color w:val="000000" w:themeColor="text1"/>
        </w:rPr>
        <w:t xml:space="preserve">are </w:t>
      </w:r>
      <w:r w:rsidR="00EA11BB">
        <w:rPr>
          <w:color w:val="000000" w:themeColor="text1"/>
        </w:rPr>
        <w:t>outlined</w:t>
      </w:r>
      <w:r>
        <w:rPr>
          <w:color w:val="000000" w:themeColor="text1"/>
        </w:rPr>
        <w:t xml:space="preserve"> </w:t>
      </w:r>
      <w:r w:rsidR="00EA11BB">
        <w:rPr>
          <w:color w:val="000000" w:themeColor="text1"/>
        </w:rPr>
        <w:t>in black</w:t>
      </w:r>
      <w:r>
        <w:rPr>
          <w:color w:val="000000" w:themeColor="text1"/>
        </w:rPr>
        <w:t>.</w:t>
      </w:r>
      <w:r w:rsidR="00EA11BB">
        <w:rPr>
          <w:color w:val="000000" w:themeColor="text1"/>
        </w:rPr>
        <w:t xml:space="preserve"> </w:t>
      </w:r>
    </w:p>
    <w:p w:rsidR="00E74C28" w:rsidRPr="006E0DCB" w:rsidRDefault="00E74C28" w:rsidP="00E74C28">
      <w:pPr>
        <w:pStyle w:val="MDPI23heading3"/>
        <w:spacing w:line="360" w:lineRule="auto"/>
        <w:rPr>
          <w:snapToGrid/>
          <w:color w:val="auto"/>
          <w:lang w:eastAsia="en-US" w:bidi="ar-SA"/>
        </w:rPr>
      </w:pPr>
      <w:r>
        <w:t>3</w:t>
      </w:r>
      <w:r w:rsidRPr="00F34C44">
        <w:t>.</w:t>
      </w:r>
      <w:r>
        <w:t>1</w:t>
      </w:r>
      <w:r w:rsidRPr="00F34C44">
        <w:t xml:space="preserve">.1. </w:t>
      </w:r>
      <w:r>
        <w:t>Snow stratigraphy and microstructure</w:t>
      </w:r>
    </w:p>
    <w:p w:rsidR="00F00CF4" w:rsidRDefault="00E74C28" w:rsidP="00F00CF4">
      <w:pPr>
        <w:spacing w:line="480" w:lineRule="auto"/>
      </w:pPr>
      <w:r>
        <w:t xml:space="preserve">Comprehensive evaluation of </w:t>
      </w:r>
      <w:r w:rsidR="00847500">
        <w:t>the observed</w:t>
      </w:r>
      <w:r w:rsidR="00241594">
        <w:t xml:space="preserve"> </w:t>
      </w:r>
      <w:r>
        <w:t xml:space="preserve">radar interactions required characterization of the internal structure of the open and drifted snowpack. Common amongst the 11 snow pits used to describe vertical heterogeneity were contrasting slab and hoar layers, a function of </w:t>
      </w:r>
      <w:r w:rsidR="00D20BDB">
        <w:t xml:space="preserve">sustained </w:t>
      </w:r>
      <w:r>
        <w:t xml:space="preserve">wind action and temperature gradient metamorphism, respectively (Colbeck, 1983). </w:t>
      </w:r>
      <w:r w:rsidR="00BE4ABA">
        <w:t>Despite</w:t>
      </w:r>
      <w:r w:rsidR="00F55AB0">
        <w:t xml:space="preserve"> </w:t>
      </w:r>
      <w:r>
        <w:t xml:space="preserve">generalized structure, relative quantities of </w:t>
      </w:r>
      <w:r w:rsidR="00847500">
        <w:t xml:space="preserve">each component </w:t>
      </w:r>
      <w:r w:rsidR="00C077B1">
        <w:t xml:space="preserve">varied </w:t>
      </w:r>
      <w:r>
        <w:t>across the TVC domain</w:t>
      </w:r>
      <w:r w:rsidR="00C077B1">
        <w:t xml:space="preserve"> leading to a wide range of snow pit configuration</w:t>
      </w:r>
      <w:r>
        <w:t xml:space="preserve"> (Table 4).</w:t>
      </w:r>
    </w:p>
    <w:p w:rsidR="00E74C28" w:rsidRPr="00F11F8A" w:rsidRDefault="00E74C28" w:rsidP="00E74C28">
      <w:pPr>
        <w:pStyle w:val="Caption"/>
        <w:keepNext/>
        <w:rPr>
          <w:color w:val="auto"/>
        </w:rPr>
      </w:pPr>
      <w:r w:rsidRPr="00EA2908">
        <w:rPr>
          <w:color w:val="auto"/>
        </w:rPr>
        <w:t xml:space="preserve">Table </w:t>
      </w:r>
      <w:r>
        <w:rPr>
          <w:color w:val="auto"/>
        </w:rPr>
        <w:t>4</w:t>
      </w:r>
      <w:r w:rsidRPr="00EA2908">
        <w:rPr>
          <w:color w:val="auto"/>
        </w:rPr>
        <w:t xml:space="preserve">: </w:t>
      </w:r>
      <w:r>
        <w:rPr>
          <w:color w:val="auto"/>
        </w:rPr>
        <w:t xml:space="preserve">Thickness weighed bulk snow pit properties measured within the swath of the SnowSAR measurements. Values of </w:t>
      </w:r>
      <m:oMath>
        <m:sSub>
          <m:sSubPr>
            <m:ctrlPr>
              <w:rPr>
                <w:rFonts w:ascii="Cambria Math" w:hAnsi="Cambria Math"/>
                <w:i/>
                <w:color w:val="auto"/>
              </w:rPr>
            </m:ctrlPr>
          </m:sSubPr>
          <m:e>
            <m:r>
              <m:rPr>
                <m:sty m:val="bi"/>
              </m:rPr>
              <w:rPr>
                <w:rFonts w:ascii="Cambria Math" w:hAnsi="Cambria Math"/>
                <w:color w:val="auto"/>
              </w:rPr>
              <m:t>l</m:t>
            </m:r>
          </m:e>
          <m:sub>
            <m:r>
              <m:rPr>
                <m:sty m:val="bi"/>
              </m:rPr>
              <w:rPr>
                <w:rFonts w:ascii="Cambria Math" w:hAnsi="Cambria Math"/>
                <w:color w:val="auto"/>
              </w:rPr>
              <m:t>ex</m:t>
            </m:r>
          </m:sub>
        </m:sSub>
      </m:oMath>
      <w:r>
        <w:rPr>
          <w:rFonts w:eastAsiaTheme="minorEastAsia"/>
          <w:color w:val="auto"/>
        </w:rPr>
        <w:t xml:space="preserve"> were calculated using Equation 3.</w:t>
      </w:r>
    </w:p>
    <w:tbl>
      <w:tblPr>
        <w:tblW w:w="0" w:type="auto"/>
        <w:jc w:val="center"/>
        <w:tblLook w:val="04A0" w:firstRow="1" w:lastRow="0" w:firstColumn="1" w:lastColumn="0" w:noHBand="0" w:noVBand="1"/>
      </w:tblPr>
      <w:tblGrid>
        <w:gridCol w:w="866"/>
        <w:gridCol w:w="927"/>
        <w:gridCol w:w="726"/>
        <w:gridCol w:w="867"/>
        <w:gridCol w:w="636"/>
        <w:gridCol w:w="1187"/>
        <w:gridCol w:w="667"/>
      </w:tblGrid>
      <w:tr w:rsidR="00E74C28" w:rsidTr="00AB4D9C">
        <w:trPr>
          <w:trHeight w:val="249"/>
          <w:jc w:val="center"/>
        </w:trPr>
        <w:tc>
          <w:tcPr>
            <w:tcW w:w="0" w:type="auto"/>
            <w:tcBorders>
              <w:top w:val="single" w:sz="12" w:space="0" w:color="auto"/>
              <w:left w:val="nil"/>
              <w:bottom w:val="nil"/>
              <w:right w:val="nil"/>
            </w:tcBorders>
          </w:tcPr>
          <w:p w:rsidR="00E74C28" w:rsidRPr="00F00CF4" w:rsidRDefault="00E74C28" w:rsidP="00AB4D9C">
            <w:pPr>
              <w:spacing w:after="0"/>
              <w:jc w:val="center"/>
              <w:rPr>
                <w:rFonts w:cs="Helvetica"/>
                <w:b/>
                <w:sz w:val="18"/>
                <w:szCs w:val="18"/>
              </w:rPr>
            </w:pPr>
            <w:r w:rsidRPr="00F00CF4">
              <w:rPr>
                <w:rFonts w:cs="Helvetica"/>
                <w:b/>
                <w:sz w:val="18"/>
                <w:szCs w:val="18"/>
              </w:rPr>
              <w:t>Site</w:t>
            </w:r>
          </w:p>
        </w:tc>
        <w:tc>
          <w:tcPr>
            <w:tcW w:w="0" w:type="auto"/>
            <w:tcBorders>
              <w:top w:val="single" w:sz="12" w:space="0" w:color="auto"/>
              <w:left w:val="nil"/>
              <w:bottom w:val="nil"/>
              <w:right w:val="nil"/>
            </w:tcBorders>
          </w:tcPr>
          <w:p w:rsidR="00E74C28" w:rsidRPr="00F00CF4" w:rsidRDefault="00E74C28" w:rsidP="00AB4D9C">
            <w:pPr>
              <w:spacing w:after="0"/>
              <w:jc w:val="center"/>
              <w:rPr>
                <w:rFonts w:cs="Helvetica"/>
                <w:b/>
                <w:sz w:val="18"/>
                <w:szCs w:val="18"/>
              </w:rPr>
            </w:pPr>
            <w:r w:rsidRPr="00F00CF4">
              <w:rPr>
                <w:rFonts w:cs="Helvetica"/>
                <w:b/>
                <w:sz w:val="18"/>
                <w:szCs w:val="18"/>
              </w:rPr>
              <w:t>Pit</w:t>
            </w:r>
          </w:p>
        </w:tc>
        <w:tc>
          <w:tcPr>
            <w:tcW w:w="0" w:type="auto"/>
            <w:tcBorders>
              <w:top w:val="single" w:sz="12" w:space="0" w:color="auto"/>
              <w:left w:val="nil"/>
              <w:bottom w:val="nil"/>
              <w:right w:val="nil"/>
            </w:tcBorders>
          </w:tcPr>
          <w:p w:rsidR="00E74C28" w:rsidRPr="00F00CF4" w:rsidRDefault="00E74C28" w:rsidP="00AB4D9C">
            <w:pPr>
              <w:spacing w:after="0"/>
              <w:jc w:val="center"/>
              <w:rPr>
                <w:rFonts w:cs="Helvetica"/>
                <w:b/>
                <w:sz w:val="18"/>
                <w:szCs w:val="18"/>
              </w:rPr>
            </w:pPr>
            <w:r w:rsidRPr="00F00CF4">
              <w:rPr>
                <w:rFonts w:cs="Helvetica"/>
                <w:b/>
                <w:sz w:val="18"/>
                <w:szCs w:val="18"/>
              </w:rPr>
              <w:t>Depth</w:t>
            </w:r>
          </w:p>
        </w:tc>
        <w:tc>
          <w:tcPr>
            <w:tcW w:w="0" w:type="auto"/>
            <w:tcBorders>
              <w:top w:val="single" w:sz="12" w:space="0" w:color="auto"/>
              <w:left w:val="nil"/>
              <w:bottom w:val="nil"/>
              <w:right w:val="nil"/>
            </w:tcBorders>
          </w:tcPr>
          <w:p w:rsidR="00E74C28" w:rsidRPr="00F00CF4" w:rsidRDefault="00E74C28" w:rsidP="00AB4D9C">
            <w:pPr>
              <w:spacing w:after="0"/>
              <w:jc w:val="center"/>
              <w:rPr>
                <w:rFonts w:cs="Helvetica"/>
                <w:b/>
                <w:sz w:val="18"/>
                <w:szCs w:val="18"/>
              </w:rPr>
            </w:pPr>
            <w:r w:rsidRPr="00F00CF4">
              <w:rPr>
                <w:rFonts w:cs="Helvetica"/>
                <w:b/>
                <w:sz w:val="18"/>
                <w:szCs w:val="18"/>
              </w:rPr>
              <w:t>Density</w:t>
            </w:r>
          </w:p>
        </w:tc>
        <w:tc>
          <w:tcPr>
            <w:tcW w:w="0" w:type="auto"/>
            <w:tcBorders>
              <w:top w:val="single" w:sz="12" w:space="0" w:color="auto"/>
              <w:left w:val="nil"/>
              <w:bottom w:val="nil"/>
              <w:right w:val="nil"/>
            </w:tcBorders>
          </w:tcPr>
          <w:p w:rsidR="00E74C28" w:rsidRPr="00F00CF4" w:rsidRDefault="00E74C28" w:rsidP="00AB4D9C">
            <w:pPr>
              <w:spacing w:after="0"/>
              <w:jc w:val="center"/>
              <w:rPr>
                <w:rFonts w:cs="Helvetica"/>
                <w:b/>
                <w:sz w:val="18"/>
                <w:szCs w:val="18"/>
              </w:rPr>
            </w:pPr>
            <w:r w:rsidRPr="00F00CF4">
              <w:rPr>
                <w:rFonts w:cs="Helvetica"/>
                <w:b/>
                <w:sz w:val="18"/>
                <w:szCs w:val="18"/>
              </w:rPr>
              <w:t>SWE</w:t>
            </w:r>
          </w:p>
        </w:tc>
        <w:tc>
          <w:tcPr>
            <w:tcW w:w="0" w:type="auto"/>
            <w:tcBorders>
              <w:top w:val="single" w:sz="12" w:space="0" w:color="auto"/>
              <w:left w:val="nil"/>
              <w:bottom w:val="nil"/>
              <w:right w:val="nil"/>
            </w:tcBorders>
          </w:tcPr>
          <w:p w:rsidR="00E74C28" w:rsidRPr="00F00CF4" w:rsidRDefault="00E74C28" w:rsidP="00AB4D9C">
            <w:pPr>
              <w:spacing w:after="0"/>
              <w:jc w:val="center"/>
              <w:rPr>
                <w:rFonts w:eastAsia="Calibri" w:cs="Helvetica"/>
                <w:b/>
                <w:sz w:val="18"/>
                <w:szCs w:val="18"/>
              </w:rPr>
            </w:pPr>
            <w:r w:rsidRPr="00F00CF4">
              <w:rPr>
                <w:rFonts w:eastAsia="Calibri" w:cs="Helvetica"/>
                <w:b/>
                <w:sz w:val="18"/>
                <w:szCs w:val="18"/>
              </w:rPr>
              <w:t>Depth Hoar</w:t>
            </w:r>
          </w:p>
        </w:tc>
        <w:tc>
          <w:tcPr>
            <w:tcW w:w="0" w:type="auto"/>
            <w:tcBorders>
              <w:top w:val="single" w:sz="12" w:space="0" w:color="auto"/>
              <w:left w:val="nil"/>
              <w:bottom w:val="nil"/>
              <w:right w:val="nil"/>
            </w:tcBorders>
          </w:tcPr>
          <w:p w:rsidR="00E74C28" w:rsidRPr="00F00CF4" w:rsidRDefault="00CB3866" w:rsidP="00AB4D9C">
            <w:pPr>
              <w:spacing w:after="0"/>
              <w:jc w:val="center"/>
              <w:rPr>
                <w:rFonts w:cs="Helvetica"/>
                <w:b/>
              </w:rPr>
            </w:pPr>
            <m:oMathPara>
              <m:oMathParaPr>
                <m:jc m:val="center"/>
              </m:oMathParaPr>
              <m:oMath>
                <m:sSub>
                  <m:sSubPr>
                    <m:ctrlPr>
                      <w:rPr>
                        <w:rFonts w:ascii="Cambria Math" w:hAnsi="Cambria Math" w:cs="Helvetica"/>
                        <w:b/>
                        <w:i/>
                      </w:rPr>
                    </m:ctrlPr>
                  </m:sSubPr>
                  <m:e>
                    <m:r>
                      <m:rPr>
                        <m:sty m:val="bi"/>
                      </m:rPr>
                      <w:rPr>
                        <w:rFonts w:ascii="Cambria Math" w:hAnsi="Cambria Math" w:cs="Helvetica"/>
                      </w:rPr>
                      <m:t>l</m:t>
                    </m:r>
                  </m:e>
                  <m:sub>
                    <m:r>
                      <m:rPr>
                        <m:nor/>
                      </m:rPr>
                      <w:rPr>
                        <w:rFonts w:cs="Helvetica"/>
                        <w:b/>
                      </w:rPr>
                      <m:t>ex</m:t>
                    </m:r>
                  </m:sub>
                </m:sSub>
              </m:oMath>
            </m:oMathPara>
          </w:p>
        </w:tc>
      </w:tr>
      <w:tr w:rsidR="00E74C28" w:rsidTr="00AB4D9C">
        <w:trPr>
          <w:trHeight w:val="63"/>
          <w:jc w:val="center"/>
        </w:trPr>
        <w:tc>
          <w:tcPr>
            <w:tcW w:w="0" w:type="auto"/>
            <w:tcBorders>
              <w:top w:val="nil"/>
              <w:left w:val="nil"/>
              <w:bottom w:val="single" w:sz="2" w:space="0" w:color="auto"/>
              <w:right w:val="nil"/>
            </w:tcBorders>
          </w:tcPr>
          <w:p w:rsidR="00E74C28" w:rsidRPr="007E434D" w:rsidRDefault="00E74C28" w:rsidP="00AB4D9C">
            <w:pPr>
              <w:spacing w:after="0"/>
              <w:jc w:val="center"/>
              <w:rPr>
                <w:rFonts w:cs="Helvetica"/>
                <w:sz w:val="18"/>
                <w:szCs w:val="18"/>
              </w:rPr>
            </w:pPr>
            <w:r w:rsidRPr="007E434D">
              <w:rPr>
                <w:rFonts w:cs="Helvetica"/>
                <w:sz w:val="18"/>
                <w:szCs w:val="18"/>
              </w:rPr>
              <w:t>(SS/UT)</w:t>
            </w:r>
          </w:p>
        </w:tc>
        <w:tc>
          <w:tcPr>
            <w:tcW w:w="0" w:type="auto"/>
            <w:tcBorders>
              <w:top w:val="nil"/>
              <w:left w:val="nil"/>
              <w:bottom w:val="single" w:sz="2" w:space="0" w:color="auto"/>
              <w:right w:val="nil"/>
            </w:tcBorders>
          </w:tcPr>
          <w:p w:rsidR="00E74C28" w:rsidRPr="007E434D" w:rsidRDefault="00E74C28" w:rsidP="00AB4D9C">
            <w:pPr>
              <w:spacing w:after="0"/>
              <w:jc w:val="center"/>
              <w:rPr>
                <w:rFonts w:cs="Helvetica"/>
                <w:sz w:val="18"/>
                <w:szCs w:val="18"/>
              </w:rPr>
            </w:pPr>
            <w:r w:rsidRPr="007E434D">
              <w:rPr>
                <w:rFonts w:cs="Helvetica"/>
                <w:sz w:val="18"/>
                <w:szCs w:val="18"/>
              </w:rPr>
              <w:t>(#)</w:t>
            </w:r>
          </w:p>
        </w:tc>
        <w:tc>
          <w:tcPr>
            <w:tcW w:w="0" w:type="auto"/>
            <w:tcBorders>
              <w:top w:val="nil"/>
              <w:left w:val="nil"/>
              <w:bottom w:val="single" w:sz="2" w:space="0" w:color="auto"/>
              <w:right w:val="nil"/>
            </w:tcBorders>
          </w:tcPr>
          <w:p w:rsidR="00E74C28" w:rsidRPr="007E434D" w:rsidRDefault="00E74C28" w:rsidP="00AB4D9C">
            <w:pPr>
              <w:spacing w:after="0"/>
              <w:jc w:val="center"/>
              <w:rPr>
                <w:rFonts w:cs="Helvetica"/>
                <w:sz w:val="18"/>
                <w:szCs w:val="18"/>
              </w:rPr>
            </w:pPr>
            <w:r w:rsidRPr="007E434D">
              <w:rPr>
                <w:rFonts w:cs="Helvetica"/>
                <w:sz w:val="18"/>
                <w:szCs w:val="18"/>
              </w:rPr>
              <w:t>(cm)</w:t>
            </w:r>
          </w:p>
        </w:tc>
        <w:tc>
          <w:tcPr>
            <w:tcW w:w="0" w:type="auto"/>
            <w:tcBorders>
              <w:top w:val="nil"/>
              <w:left w:val="nil"/>
              <w:bottom w:val="single" w:sz="2" w:space="0" w:color="auto"/>
              <w:right w:val="nil"/>
            </w:tcBorders>
          </w:tcPr>
          <w:p w:rsidR="00E74C28" w:rsidRPr="007E434D" w:rsidRDefault="00E74C28" w:rsidP="00AB4D9C">
            <w:pPr>
              <w:spacing w:after="0"/>
              <w:jc w:val="center"/>
              <w:rPr>
                <w:rFonts w:cs="Helvetica"/>
                <w:sz w:val="18"/>
                <w:szCs w:val="18"/>
              </w:rPr>
            </w:pPr>
            <w:r w:rsidRPr="007E434D">
              <w:rPr>
                <w:rFonts w:cs="Helvetica"/>
                <w:sz w:val="18"/>
                <w:szCs w:val="18"/>
              </w:rPr>
              <w:t>(kg m</w:t>
            </w:r>
            <w:r w:rsidRPr="007E434D">
              <w:rPr>
                <w:rFonts w:cs="Helvetica"/>
                <w:sz w:val="18"/>
                <w:szCs w:val="18"/>
                <w:vertAlign w:val="superscript"/>
              </w:rPr>
              <w:t>-3</w:t>
            </w:r>
            <w:r w:rsidRPr="007E434D">
              <w:rPr>
                <w:rFonts w:cs="Helvetica"/>
                <w:sz w:val="18"/>
                <w:szCs w:val="18"/>
              </w:rPr>
              <w:t>)</w:t>
            </w:r>
          </w:p>
        </w:tc>
        <w:tc>
          <w:tcPr>
            <w:tcW w:w="0" w:type="auto"/>
            <w:tcBorders>
              <w:top w:val="nil"/>
              <w:left w:val="nil"/>
              <w:bottom w:val="single" w:sz="2" w:space="0" w:color="auto"/>
              <w:right w:val="nil"/>
            </w:tcBorders>
          </w:tcPr>
          <w:p w:rsidR="00E74C28" w:rsidRPr="007E434D" w:rsidRDefault="00E74C28" w:rsidP="00AB4D9C">
            <w:pPr>
              <w:spacing w:after="0"/>
              <w:jc w:val="center"/>
              <w:rPr>
                <w:rFonts w:cs="Helvetica"/>
                <w:sz w:val="18"/>
                <w:szCs w:val="18"/>
              </w:rPr>
            </w:pPr>
            <w:r w:rsidRPr="007E434D">
              <w:rPr>
                <w:rFonts w:cs="Helvetica"/>
                <w:sz w:val="18"/>
                <w:szCs w:val="18"/>
              </w:rPr>
              <w:t>(mm)</w:t>
            </w:r>
          </w:p>
        </w:tc>
        <w:tc>
          <w:tcPr>
            <w:tcW w:w="0" w:type="auto"/>
            <w:tcBorders>
              <w:top w:val="nil"/>
              <w:left w:val="nil"/>
              <w:bottom w:val="single" w:sz="2" w:space="0" w:color="auto"/>
              <w:right w:val="nil"/>
            </w:tcBorders>
          </w:tcPr>
          <w:p w:rsidR="00E74C28" w:rsidRPr="007E434D" w:rsidRDefault="00E74C28" w:rsidP="00AB4D9C">
            <w:pPr>
              <w:spacing w:after="0"/>
              <w:jc w:val="center"/>
              <w:rPr>
                <w:rFonts w:cs="Helvetica"/>
                <w:sz w:val="18"/>
                <w:szCs w:val="18"/>
              </w:rPr>
            </w:pPr>
            <w:r w:rsidRPr="007E434D">
              <w:rPr>
                <w:rFonts w:cs="Helvetica"/>
                <w:sz w:val="18"/>
                <w:szCs w:val="18"/>
              </w:rPr>
              <w:t>(%)</w:t>
            </w:r>
          </w:p>
        </w:tc>
        <w:tc>
          <w:tcPr>
            <w:tcW w:w="0" w:type="auto"/>
            <w:tcBorders>
              <w:top w:val="nil"/>
              <w:left w:val="nil"/>
              <w:bottom w:val="single" w:sz="2" w:space="0" w:color="auto"/>
              <w:right w:val="nil"/>
            </w:tcBorders>
          </w:tcPr>
          <w:p w:rsidR="00E74C28" w:rsidRPr="007E434D" w:rsidRDefault="00E74C28" w:rsidP="00AB4D9C">
            <w:pPr>
              <w:spacing w:after="0"/>
              <w:jc w:val="center"/>
              <w:rPr>
                <w:rFonts w:cs="Helvetica"/>
                <w:sz w:val="18"/>
                <w:szCs w:val="18"/>
              </w:rPr>
            </w:pPr>
            <w:r w:rsidRPr="007E434D">
              <w:rPr>
                <w:rFonts w:cs="Helvetica"/>
                <w:sz w:val="18"/>
                <w:szCs w:val="18"/>
              </w:rPr>
              <w:t>(mm)</w:t>
            </w:r>
          </w:p>
        </w:tc>
      </w:tr>
      <w:tr w:rsidR="00E74C28" w:rsidTr="00AB4D9C">
        <w:trPr>
          <w:trHeight w:val="99"/>
          <w:jc w:val="center"/>
        </w:trPr>
        <w:tc>
          <w:tcPr>
            <w:tcW w:w="0" w:type="auto"/>
            <w:tcBorders>
              <w:top w:val="single" w:sz="2" w:space="0" w:color="auto"/>
              <w:left w:val="nil"/>
              <w:bottom w:val="nil"/>
              <w:right w:val="nil"/>
            </w:tcBorders>
            <w:vAlign w:val="center"/>
          </w:tcPr>
          <w:p w:rsidR="00E74C28" w:rsidRPr="007E434D" w:rsidRDefault="00E74C28" w:rsidP="00AB4D9C">
            <w:pPr>
              <w:spacing w:after="0" w:line="240" w:lineRule="auto"/>
              <w:jc w:val="center"/>
              <w:rPr>
                <w:rFonts w:cs="Helvetica"/>
                <w:color w:val="000000"/>
                <w:sz w:val="18"/>
                <w:szCs w:val="18"/>
              </w:rPr>
            </w:pPr>
            <w:r w:rsidRPr="007E434D">
              <w:rPr>
                <w:rFonts w:cs="Helvetica"/>
                <w:color w:val="000000"/>
                <w:sz w:val="18"/>
                <w:szCs w:val="18"/>
              </w:rPr>
              <w:t>SS</w:t>
            </w:r>
          </w:p>
        </w:tc>
        <w:tc>
          <w:tcPr>
            <w:tcW w:w="0" w:type="auto"/>
            <w:tcBorders>
              <w:top w:val="single" w:sz="2" w:space="0" w:color="auto"/>
              <w:left w:val="nil"/>
              <w:bottom w:val="nil"/>
              <w:right w:val="nil"/>
            </w:tcBorders>
            <w:vAlign w:val="center"/>
          </w:tcPr>
          <w:p w:rsidR="00E74C28" w:rsidRPr="007E434D" w:rsidRDefault="00E74C28" w:rsidP="00AB4D9C">
            <w:pPr>
              <w:spacing w:after="0" w:line="240" w:lineRule="auto"/>
              <w:jc w:val="center"/>
              <w:rPr>
                <w:rFonts w:cs="Helvetica"/>
                <w:sz w:val="18"/>
                <w:szCs w:val="18"/>
              </w:rPr>
            </w:pPr>
            <w:r w:rsidRPr="007E434D">
              <w:rPr>
                <w:rFonts w:cs="Helvetica"/>
                <w:sz w:val="18"/>
                <w:szCs w:val="18"/>
              </w:rPr>
              <w:t>1</w:t>
            </w:r>
          </w:p>
        </w:tc>
        <w:tc>
          <w:tcPr>
            <w:tcW w:w="0" w:type="auto"/>
            <w:tcBorders>
              <w:top w:val="single" w:sz="2" w:space="0" w:color="auto"/>
              <w:left w:val="nil"/>
              <w:bottom w:val="nil"/>
              <w:right w:val="nil"/>
            </w:tcBorders>
            <w:vAlign w:val="center"/>
          </w:tcPr>
          <w:p w:rsidR="00E74C28" w:rsidRPr="007E434D" w:rsidRDefault="00E74C28" w:rsidP="00AB4D9C">
            <w:pPr>
              <w:spacing w:after="0" w:line="240" w:lineRule="auto"/>
              <w:jc w:val="center"/>
              <w:rPr>
                <w:rFonts w:cs="Helvetica"/>
                <w:color w:val="000000"/>
                <w:sz w:val="18"/>
                <w:szCs w:val="18"/>
              </w:rPr>
            </w:pPr>
            <w:r w:rsidRPr="007E434D">
              <w:rPr>
                <w:rFonts w:cs="Helvetica"/>
                <w:color w:val="000000"/>
                <w:sz w:val="18"/>
                <w:szCs w:val="18"/>
              </w:rPr>
              <w:t>33</w:t>
            </w:r>
          </w:p>
        </w:tc>
        <w:tc>
          <w:tcPr>
            <w:tcW w:w="0" w:type="auto"/>
            <w:tcBorders>
              <w:top w:val="single" w:sz="2" w:space="0" w:color="auto"/>
              <w:left w:val="nil"/>
              <w:bottom w:val="nil"/>
              <w:right w:val="nil"/>
            </w:tcBorders>
            <w:vAlign w:val="center"/>
          </w:tcPr>
          <w:p w:rsidR="00E74C28" w:rsidRPr="007E434D" w:rsidRDefault="00E74C28" w:rsidP="00AB4D9C">
            <w:pPr>
              <w:spacing w:after="0" w:line="240" w:lineRule="auto"/>
              <w:jc w:val="center"/>
              <w:rPr>
                <w:rFonts w:cs="Helvetica"/>
                <w:sz w:val="18"/>
                <w:szCs w:val="18"/>
              </w:rPr>
            </w:pPr>
            <w:r w:rsidRPr="007E434D">
              <w:rPr>
                <w:rFonts w:cs="Helvetica"/>
                <w:sz w:val="18"/>
                <w:szCs w:val="18"/>
              </w:rPr>
              <w:t>208</w:t>
            </w:r>
          </w:p>
        </w:tc>
        <w:tc>
          <w:tcPr>
            <w:tcW w:w="0" w:type="auto"/>
            <w:tcBorders>
              <w:top w:val="single" w:sz="2" w:space="0" w:color="auto"/>
              <w:left w:val="nil"/>
              <w:bottom w:val="nil"/>
              <w:right w:val="nil"/>
            </w:tcBorders>
            <w:vAlign w:val="center"/>
          </w:tcPr>
          <w:p w:rsidR="00E74C28" w:rsidRPr="007E434D" w:rsidRDefault="00E74C28" w:rsidP="00AB4D9C">
            <w:pPr>
              <w:spacing w:after="0" w:line="240" w:lineRule="auto"/>
              <w:jc w:val="center"/>
              <w:rPr>
                <w:rFonts w:cs="Helvetica"/>
                <w:color w:val="000000"/>
                <w:sz w:val="18"/>
                <w:szCs w:val="18"/>
              </w:rPr>
            </w:pPr>
            <w:r w:rsidRPr="007E434D">
              <w:rPr>
                <w:rFonts w:cs="Helvetica"/>
                <w:color w:val="000000"/>
                <w:sz w:val="18"/>
                <w:szCs w:val="18"/>
              </w:rPr>
              <w:t>67</w:t>
            </w:r>
          </w:p>
        </w:tc>
        <w:tc>
          <w:tcPr>
            <w:tcW w:w="0" w:type="auto"/>
            <w:tcBorders>
              <w:top w:val="single" w:sz="2" w:space="0" w:color="auto"/>
              <w:left w:val="nil"/>
              <w:bottom w:val="nil"/>
              <w:right w:val="nil"/>
            </w:tcBorders>
            <w:vAlign w:val="center"/>
          </w:tcPr>
          <w:p w:rsidR="00E74C28" w:rsidRPr="007E434D" w:rsidRDefault="00E74C28" w:rsidP="00AB4D9C">
            <w:pPr>
              <w:spacing w:after="0" w:line="240" w:lineRule="auto"/>
              <w:jc w:val="center"/>
              <w:rPr>
                <w:rFonts w:cs="Helvetica"/>
                <w:color w:val="000000"/>
                <w:sz w:val="18"/>
                <w:szCs w:val="18"/>
              </w:rPr>
            </w:pPr>
            <w:r w:rsidRPr="007E434D">
              <w:rPr>
                <w:rFonts w:cs="Helvetica"/>
                <w:color w:val="000000"/>
                <w:sz w:val="18"/>
                <w:szCs w:val="18"/>
              </w:rPr>
              <w:t>29</w:t>
            </w:r>
          </w:p>
        </w:tc>
        <w:tc>
          <w:tcPr>
            <w:tcW w:w="0" w:type="auto"/>
            <w:tcBorders>
              <w:top w:val="single" w:sz="2" w:space="0" w:color="auto"/>
              <w:left w:val="nil"/>
              <w:bottom w:val="nil"/>
              <w:right w:val="nil"/>
            </w:tcBorders>
            <w:vAlign w:val="center"/>
          </w:tcPr>
          <w:p w:rsidR="00E74C28" w:rsidRPr="007E434D" w:rsidRDefault="00E74C28" w:rsidP="00AB4D9C">
            <w:pPr>
              <w:spacing w:after="0" w:line="240" w:lineRule="auto"/>
              <w:jc w:val="center"/>
              <w:rPr>
                <w:rFonts w:cs="Helvetica"/>
                <w:color w:val="000000"/>
                <w:sz w:val="18"/>
                <w:szCs w:val="18"/>
              </w:rPr>
            </w:pPr>
            <w:r w:rsidRPr="007E434D">
              <w:rPr>
                <w:rFonts w:cs="Helvetica"/>
                <w:color w:val="000000"/>
                <w:sz w:val="18"/>
                <w:szCs w:val="18"/>
              </w:rPr>
              <w:t>0.</w:t>
            </w:r>
            <w:r>
              <w:rPr>
                <w:rFonts w:cs="Helvetica"/>
                <w:color w:val="000000"/>
                <w:sz w:val="18"/>
                <w:szCs w:val="18"/>
              </w:rPr>
              <w:t>345</w:t>
            </w:r>
          </w:p>
        </w:tc>
      </w:tr>
      <w:tr w:rsidR="00E74C28" w:rsidTr="00AB4D9C">
        <w:trPr>
          <w:trHeight w:val="105"/>
          <w:jc w:val="center"/>
        </w:trPr>
        <w:tc>
          <w:tcPr>
            <w:tcW w:w="0" w:type="auto"/>
            <w:tcBorders>
              <w:top w:val="nil"/>
              <w:left w:val="nil"/>
              <w:bottom w:val="nil"/>
              <w:right w:val="nil"/>
            </w:tcBorders>
            <w:vAlign w:val="center"/>
          </w:tcPr>
          <w:p w:rsidR="00E74C28" w:rsidRPr="007E434D" w:rsidRDefault="00E74C28" w:rsidP="00AB4D9C">
            <w:pPr>
              <w:spacing w:after="0" w:line="240" w:lineRule="auto"/>
              <w:jc w:val="center"/>
              <w:rPr>
                <w:rFonts w:cs="Helvetica"/>
                <w:color w:val="000000"/>
                <w:sz w:val="18"/>
                <w:szCs w:val="18"/>
              </w:rPr>
            </w:pPr>
            <w:r w:rsidRPr="007E434D">
              <w:rPr>
                <w:rFonts w:cs="Helvetica"/>
                <w:color w:val="000000"/>
                <w:sz w:val="18"/>
                <w:szCs w:val="18"/>
              </w:rPr>
              <w:t>SS</w:t>
            </w:r>
          </w:p>
        </w:tc>
        <w:tc>
          <w:tcPr>
            <w:tcW w:w="0" w:type="auto"/>
            <w:tcBorders>
              <w:top w:val="nil"/>
              <w:left w:val="nil"/>
              <w:bottom w:val="nil"/>
              <w:right w:val="nil"/>
            </w:tcBorders>
            <w:vAlign w:val="center"/>
          </w:tcPr>
          <w:p w:rsidR="00E74C28" w:rsidRPr="007E434D" w:rsidRDefault="00E74C28" w:rsidP="00AB4D9C">
            <w:pPr>
              <w:spacing w:after="0" w:line="240" w:lineRule="auto"/>
              <w:jc w:val="center"/>
              <w:rPr>
                <w:rFonts w:cs="Helvetica"/>
                <w:sz w:val="18"/>
                <w:szCs w:val="18"/>
              </w:rPr>
            </w:pPr>
            <w:r w:rsidRPr="007E434D">
              <w:rPr>
                <w:rFonts w:cs="Helvetica"/>
                <w:sz w:val="18"/>
                <w:szCs w:val="18"/>
              </w:rPr>
              <w:t>2</w:t>
            </w:r>
          </w:p>
        </w:tc>
        <w:tc>
          <w:tcPr>
            <w:tcW w:w="0" w:type="auto"/>
            <w:tcBorders>
              <w:top w:val="nil"/>
              <w:left w:val="nil"/>
              <w:bottom w:val="nil"/>
              <w:right w:val="nil"/>
            </w:tcBorders>
            <w:vAlign w:val="center"/>
          </w:tcPr>
          <w:p w:rsidR="00E74C28" w:rsidRPr="007E434D" w:rsidRDefault="00E74C28" w:rsidP="00AB4D9C">
            <w:pPr>
              <w:spacing w:after="0" w:line="240" w:lineRule="auto"/>
              <w:jc w:val="center"/>
              <w:rPr>
                <w:rFonts w:cs="Helvetica"/>
                <w:color w:val="000000"/>
                <w:sz w:val="18"/>
                <w:szCs w:val="18"/>
              </w:rPr>
            </w:pPr>
            <w:r w:rsidRPr="007E434D">
              <w:rPr>
                <w:rFonts w:cs="Helvetica"/>
                <w:color w:val="000000"/>
                <w:sz w:val="18"/>
                <w:szCs w:val="18"/>
              </w:rPr>
              <w:t>44</w:t>
            </w:r>
          </w:p>
        </w:tc>
        <w:tc>
          <w:tcPr>
            <w:tcW w:w="0" w:type="auto"/>
            <w:tcBorders>
              <w:top w:val="nil"/>
              <w:left w:val="nil"/>
              <w:bottom w:val="nil"/>
              <w:right w:val="nil"/>
            </w:tcBorders>
            <w:vAlign w:val="center"/>
          </w:tcPr>
          <w:p w:rsidR="00E74C28" w:rsidRPr="007E434D" w:rsidRDefault="00E74C28" w:rsidP="00AB4D9C">
            <w:pPr>
              <w:spacing w:after="0" w:line="240" w:lineRule="auto"/>
              <w:jc w:val="center"/>
              <w:rPr>
                <w:rFonts w:cs="Helvetica"/>
                <w:sz w:val="18"/>
                <w:szCs w:val="18"/>
              </w:rPr>
            </w:pPr>
            <w:r w:rsidRPr="007E434D">
              <w:rPr>
                <w:rFonts w:cs="Helvetica"/>
                <w:sz w:val="18"/>
                <w:szCs w:val="18"/>
              </w:rPr>
              <w:t>295</w:t>
            </w:r>
          </w:p>
        </w:tc>
        <w:tc>
          <w:tcPr>
            <w:tcW w:w="0" w:type="auto"/>
            <w:tcBorders>
              <w:top w:val="nil"/>
              <w:left w:val="nil"/>
              <w:bottom w:val="nil"/>
              <w:right w:val="nil"/>
            </w:tcBorders>
            <w:vAlign w:val="center"/>
          </w:tcPr>
          <w:p w:rsidR="00E74C28" w:rsidRPr="007E434D" w:rsidRDefault="00E74C28" w:rsidP="00AB4D9C">
            <w:pPr>
              <w:spacing w:after="0" w:line="240" w:lineRule="auto"/>
              <w:jc w:val="center"/>
              <w:rPr>
                <w:rFonts w:cs="Helvetica"/>
                <w:color w:val="000000"/>
                <w:sz w:val="18"/>
                <w:szCs w:val="18"/>
              </w:rPr>
            </w:pPr>
            <w:r w:rsidRPr="007E434D">
              <w:rPr>
                <w:rFonts w:cs="Helvetica"/>
                <w:color w:val="000000"/>
                <w:sz w:val="18"/>
                <w:szCs w:val="18"/>
              </w:rPr>
              <w:t>127</w:t>
            </w:r>
          </w:p>
        </w:tc>
        <w:tc>
          <w:tcPr>
            <w:tcW w:w="0" w:type="auto"/>
            <w:tcBorders>
              <w:top w:val="nil"/>
              <w:left w:val="nil"/>
              <w:bottom w:val="nil"/>
              <w:right w:val="nil"/>
            </w:tcBorders>
            <w:vAlign w:val="center"/>
          </w:tcPr>
          <w:p w:rsidR="00E74C28" w:rsidRPr="007E434D" w:rsidRDefault="00E74C28" w:rsidP="00AB4D9C">
            <w:pPr>
              <w:spacing w:after="0" w:line="240" w:lineRule="auto"/>
              <w:jc w:val="center"/>
              <w:rPr>
                <w:rFonts w:cs="Helvetica"/>
                <w:color w:val="000000"/>
                <w:sz w:val="18"/>
                <w:szCs w:val="18"/>
              </w:rPr>
            </w:pPr>
            <w:r w:rsidRPr="007E434D">
              <w:rPr>
                <w:rFonts w:cs="Helvetica"/>
                <w:color w:val="000000"/>
                <w:sz w:val="18"/>
                <w:szCs w:val="18"/>
              </w:rPr>
              <w:t>40</w:t>
            </w:r>
          </w:p>
        </w:tc>
        <w:tc>
          <w:tcPr>
            <w:tcW w:w="0" w:type="auto"/>
            <w:tcBorders>
              <w:top w:val="nil"/>
              <w:left w:val="nil"/>
              <w:bottom w:val="nil"/>
              <w:right w:val="nil"/>
            </w:tcBorders>
            <w:vAlign w:val="center"/>
          </w:tcPr>
          <w:p w:rsidR="00E74C28" w:rsidRPr="007E434D" w:rsidRDefault="00E74C28" w:rsidP="00AB4D9C">
            <w:pPr>
              <w:spacing w:after="0" w:line="240" w:lineRule="auto"/>
              <w:jc w:val="center"/>
              <w:rPr>
                <w:rFonts w:cs="Helvetica"/>
                <w:color w:val="000000"/>
                <w:sz w:val="18"/>
                <w:szCs w:val="18"/>
              </w:rPr>
            </w:pPr>
            <w:r w:rsidRPr="007E434D">
              <w:rPr>
                <w:rFonts w:cs="Helvetica"/>
                <w:color w:val="000000"/>
                <w:sz w:val="18"/>
                <w:szCs w:val="18"/>
              </w:rPr>
              <w:t>0.</w:t>
            </w:r>
            <w:r>
              <w:rPr>
                <w:rFonts w:cs="Helvetica"/>
                <w:color w:val="000000"/>
                <w:sz w:val="18"/>
                <w:szCs w:val="18"/>
              </w:rPr>
              <w:t>231</w:t>
            </w:r>
          </w:p>
        </w:tc>
      </w:tr>
      <w:tr w:rsidR="00E74C28" w:rsidTr="00AB4D9C">
        <w:trPr>
          <w:trHeight w:val="105"/>
          <w:jc w:val="center"/>
        </w:trPr>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SS</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sz w:val="18"/>
                <w:szCs w:val="18"/>
              </w:rPr>
            </w:pPr>
            <w:r w:rsidRPr="007E434D">
              <w:rPr>
                <w:rFonts w:cs="Helvetica"/>
                <w:sz w:val="18"/>
                <w:szCs w:val="18"/>
              </w:rPr>
              <w:t>3</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36</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sz w:val="18"/>
                <w:szCs w:val="18"/>
              </w:rPr>
            </w:pPr>
            <w:r w:rsidRPr="007E434D">
              <w:rPr>
                <w:rFonts w:cs="Helvetica"/>
                <w:sz w:val="18"/>
                <w:szCs w:val="18"/>
              </w:rPr>
              <w:t>276</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97</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35</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0.</w:t>
            </w:r>
            <w:r>
              <w:rPr>
                <w:rFonts w:cs="Helvetica"/>
                <w:color w:val="000000"/>
                <w:sz w:val="18"/>
                <w:szCs w:val="18"/>
              </w:rPr>
              <w:t>185</w:t>
            </w:r>
          </w:p>
        </w:tc>
      </w:tr>
      <w:tr w:rsidR="00E74C28" w:rsidTr="00AB4D9C">
        <w:trPr>
          <w:trHeight w:val="105"/>
          <w:jc w:val="center"/>
        </w:trPr>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SS</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sz w:val="18"/>
                <w:szCs w:val="18"/>
              </w:rPr>
            </w:pPr>
            <w:r w:rsidRPr="007E434D">
              <w:rPr>
                <w:rFonts w:cs="Helvetica"/>
                <w:sz w:val="18"/>
                <w:szCs w:val="18"/>
              </w:rPr>
              <w:t>4</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43</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sz w:val="18"/>
                <w:szCs w:val="18"/>
              </w:rPr>
            </w:pPr>
            <w:r w:rsidRPr="007E434D">
              <w:rPr>
                <w:rFonts w:cs="Helvetica"/>
                <w:sz w:val="18"/>
                <w:szCs w:val="18"/>
              </w:rPr>
              <w:t>290</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122</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52</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0.</w:t>
            </w:r>
            <w:r>
              <w:rPr>
                <w:rFonts w:cs="Helvetica"/>
                <w:color w:val="000000"/>
                <w:sz w:val="18"/>
                <w:szCs w:val="18"/>
              </w:rPr>
              <w:t>238</w:t>
            </w:r>
          </w:p>
        </w:tc>
      </w:tr>
      <w:tr w:rsidR="00E74C28" w:rsidTr="00AB4D9C">
        <w:trPr>
          <w:trHeight w:val="105"/>
          <w:jc w:val="center"/>
        </w:trPr>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SS</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sz w:val="18"/>
                <w:szCs w:val="18"/>
              </w:rPr>
            </w:pPr>
            <w:r w:rsidRPr="007E434D">
              <w:rPr>
                <w:rFonts w:cs="Helvetica"/>
                <w:sz w:val="18"/>
                <w:szCs w:val="18"/>
              </w:rPr>
              <w:t>5</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38</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sz w:val="18"/>
                <w:szCs w:val="18"/>
              </w:rPr>
            </w:pPr>
            <w:r w:rsidRPr="007E434D">
              <w:rPr>
                <w:rFonts w:cs="Helvetica"/>
                <w:sz w:val="18"/>
                <w:szCs w:val="18"/>
              </w:rPr>
              <w:t>266</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99</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61</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0.</w:t>
            </w:r>
            <w:r>
              <w:rPr>
                <w:rFonts w:cs="Helvetica"/>
                <w:color w:val="000000"/>
                <w:sz w:val="18"/>
                <w:szCs w:val="18"/>
              </w:rPr>
              <w:t>272</w:t>
            </w:r>
          </w:p>
        </w:tc>
      </w:tr>
      <w:tr w:rsidR="00E74C28" w:rsidTr="00AB4D9C">
        <w:trPr>
          <w:trHeight w:val="105"/>
          <w:jc w:val="center"/>
        </w:trPr>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SS</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sz w:val="18"/>
                <w:szCs w:val="18"/>
              </w:rPr>
            </w:pPr>
            <w:r w:rsidRPr="007E434D">
              <w:rPr>
                <w:rFonts w:cs="Helvetica"/>
                <w:sz w:val="18"/>
                <w:szCs w:val="18"/>
              </w:rPr>
              <w:t>6</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79</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sz w:val="18"/>
                <w:szCs w:val="18"/>
              </w:rPr>
            </w:pPr>
            <w:r w:rsidRPr="007E434D">
              <w:rPr>
                <w:rFonts w:cs="Helvetica"/>
                <w:sz w:val="18"/>
                <w:szCs w:val="18"/>
              </w:rPr>
              <w:t>272</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213</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32</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0.</w:t>
            </w:r>
            <w:r>
              <w:rPr>
                <w:rFonts w:cs="Helvetica"/>
                <w:color w:val="000000"/>
                <w:sz w:val="18"/>
                <w:szCs w:val="18"/>
              </w:rPr>
              <w:t>193</w:t>
            </w:r>
          </w:p>
        </w:tc>
      </w:tr>
      <w:tr w:rsidR="00E74C28" w:rsidTr="00AB4D9C">
        <w:trPr>
          <w:trHeight w:val="105"/>
          <w:jc w:val="center"/>
        </w:trPr>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SS</w:t>
            </w:r>
          </w:p>
        </w:tc>
        <w:tc>
          <w:tcPr>
            <w:tcW w:w="0" w:type="auto"/>
            <w:tcBorders>
              <w:top w:val="nil"/>
              <w:left w:val="nil"/>
              <w:bottom w:val="nil"/>
              <w:right w:val="nil"/>
            </w:tcBorders>
            <w:vAlign w:val="center"/>
          </w:tcPr>
          <w:p w:rsidR="00E74C28" w:rsidRPr="007E434D" w:rsidRDefault="00E74C28" w:rsidP="00AB4D9C">
            <w:pPr>
              <w:tabs>
                <w:tab w:val="left" w:pos="669"/>
              </w:tabs>
              <w:spacing w:after="0"/>
              <w:jc w:val="center"/>
              <w:rPr>
                <w:rFonts w:cs="Helvetica"/>
                <w:sz w:val="18"/>
                <w:szCs w:val="18"/>
              </w:rPr>
            </w:pPr>
            <w:r w:rsidRPr="007E434D">
              <w:rPr>
                <w:rFonts w:cs="Helvetica"/>
                <w:sz w:val="18"/>
                <w:szCs w:val="18"/>
              </w:rPr>
              <w:t>7</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35</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sz w:val="18"/>
                <w:szCs w:val="18"/>
              </w:rPr>
            </w:pPr>
            <w:r w:rsidRPr="007E434D">
              <w:rPr>
                <w:rFonts w:cs="Helvetica"/>
                <w:sz w:val="18"/>
                <w:szCs w:val="18"/>
              </w:rPr>
              <w:t>340</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116</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23</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0.</w:t>
            </w:r>
            <w:r>
              <w:rPr>
                <w:rFonts w:cs="Helvetica"/>
                <w:color w:val="000000"/>
                <w:sz w:val="18"/>
                <w:szCs w:val="18"/>
              </w:rPr>
              <w:t>177</w:t>
            </w:r>
          </w:p>
        </w:tc>
      </w:tr>
      <w:tr w:rsidR="00E74C28" w:rsidTr="00AB4D9C">
        <w:trPr>
          <w:trHeight w:val="105"/>
          <w:jc w:val="center"/>
        </w:trPr>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UT</w:t>
            </w:r>
          </w:p>
        </w:tc>
        <w:tc>
          <w:tcPr>
            <w:tcW w:w="0" w:type="auto"/>
            <w:tcBorders>
              <w:top w:val="nil"/>
              <w:left w:val="nil"/>
              <w:bottom w:val="nil"/>
              <w:right w:val="nil"/>
            </w:tcBorders>
            <w:vAlign w:val="center"/>
          </w:tcPr>
          <w:p w:rsidR="00E74C28" w:rsidRPr="007E434D" w:rsidRDefault="00E74C28" w:rsidP="00AB4D9C">
            <w:pPr>
              <w:tabs>
                <w:tab w:val="left" w:pos="669"/>
              </w:tabs>
              <w:spacing w:after="0"/>
              <w:jc w:val="center"/>
              <w:rPr>
                <w:rFonts w:cs="Helvetica"/>
                <w:sz w:val="18"/>
                <w:szCs w:val="18"/>
              </w:rPr>
            </w:pPr>
            <w:r w:rsidRPr="007E434D">
              <w:rPr>
                <w:rFonts w:cs="Helvetica"/>
                <w:sz w:val="18"/>
                <w:szCs w:val="18"/>
              </w:rPr>
              <w:t>8</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37</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sz w:val="18"/>
                <w:szCs w:val="18"/>
              </w:rPr>
            </w:pPr>
            <w:r w:rsidRPr="007E434D">
              <w:rPr>
                <w:rFonts w:cs="Helvetica"/>
                <w:sz w:val="18"/>
                <w:szCs w:val="18"/>
              </w:rPr>
              <w:t>224</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81</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20</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0.</w:t>
            </w:r>
            <w:r>
              <w:rPr>
                <w:rFonts w:cs="Helvetica"/>
                <w:color w:val="000000"/>
                <w:sz w:val="18"/>
                <w:szCs w:val="18"/>
              </w:rPr>
              <w:t>198</w:t>
            </w:r>
          </w:p>
        </w:tc>
      </w:tr>
      <w:tr w:rsidR="00E74C28" w:rsidTr="00AB4D9C">
        <w:trPr>
          <w:trHeight w:val="105"/>
          <w:jc w:val="center"/>
        </w:trPr>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UT</w:t>
            </w:r>
          </w:p>
        </w:tc>
        <w:tc>
          <w:tcPr>
            <w:tcW w:w="0" w:type="auto"/>
            <w:tcBorders>
              <w:top w:val="nil"/>
              <w:left w:val="nil"/>
              <w:bottom w:val="nil"/>
              <w:right w:val="nil"/>
            </w:tcBorders>
            <w:vAlign w:val="center"/>
          </w:tcPr>
          <w:p w:rsidR="00E74C28" w:rsidRPr="007E434D" w:rsidRDefault="00E74C28" w:rsidP="00AB4D9C">
            <w:pPr>
              <w:tabs>
                <w:tab w:val="left" w:pos="669"/>
              </w:tabs>
              <w:spacing w:after="0"/>
              <w:jc w:val="center"/>
              <w:rPr>
                <w:rFonts w:cs="Helvetica"/>
                <w:sz w:val="18"/>
                <w:szCs w:val="18"/>
              </w:rPr>
            </w:pPr>
            <w:r w:rsidRPr="007E434D">
              <w:rPr>
                <w:rFonts w:cs="Helvetica"/>
                <w:sz w:val="18"/>
                <w:szCs w:val="18"/>
              </w:rPr>
              <w:t>9</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39</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sz w:val="18"/>
                <w:szCs w:val="18"/>
              </w:rPr>
            </w:pPr>
            <w:r w:rsidRPr="007E434D">
              <w:rPr>
                <w:rFonts w:cs="Helvetica"/>
                <w:sz w:val="18"/>
                <w:szCs w:val="18"/>
              </w:rPr>
              <w:t>213</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81</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40</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0.</w:t>
            </w:r>
            <w:r>
              <w:rPr>
                <w:rFonts w:cs="Helvetica"/>
                <w:color w:val="000000"/>
                <w:sz w:val="18"/>
                <w:szCs w:val="18"/>
              </w:rPr>
              <w:t>289</w:t>
            </w:r>
          </w:p>
        </w:tc>
      </w:tr>
      <w:tr w:rsidR="00E74C28" w:rsidTr="00AB4D9C">
        <w:trPr>
          <w:trHeight w:val="63"/>
          <w:jc w:val="center"/>
        </w:trPr>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UT</w:t>
            </w:r>
          </w:p>
        </w:tc>
        <w:tc>
          <w:tcPr>
            <w:tcW w:w="0" w:type="auto"/>
            <w:tcBorders>
              <w:top w:val="nil"/>
              <w:left w:val="nil"/>
              <w:bottom w:val="nil"/>
              <w:right w:val="nil"/>
            </w:tcBorders>
            <w:vAlign w:val="center"/>
          </w:tcPr>
          <w:p w:rsidR="00E74C28" w:rsidRPr="007E434D" w:rsidRDefault="00E74C28" w:rsidP="00AB4D9C">
            <w:pPr>
              <w:tabs>
                <w:tab w:val="left" w:pos="669"/>
              </w:tabs>
              <w:spacing w:after="0"/>
              <w:jc w:val="center"/>
              <w:rPr>
                <w:rFonts w:cs="Helvetica"/>
                <w:sz w:val="18"/>
                <w:szCs w:val="18"/>
              </w:rPr>
            </w:pPr>
            <w:r w:rsidRPr="007E434D">
              <w:rPr>
                <w:rFonts w:cs="Helvetica"/>
                <w:sz w:val="18"/>
                <w:szCs w:val="18"/>
              </w:rPr>
              <w:t>10</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41</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sz w:val="18"/>
                <w:szCs w:val="18"/>
              </w:rPr>
            </w:pPr>
            <w:r w:rsidRPr="007E434D">
              <w:rPr>
                <w:rFonts w:cs="Helvetica"/>
                <w:sz w:val="18"/>
                <w:szCs w:val="18"/>
              </w:rPr>
              <w:t>240</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96</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28</w:t>
            </w:r>
          </w:p>
        </w:tc>
        <w:tc>
          <w:tcPr>
            <w:tcW w:w="0" w:type="auto"/>
            <w:tcBorders>
              <w:top w:val="nil"/>
              <w:left w:val="nil"/>
              <w:bottom w:val="nil"/>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0.</w:t>
            </w:r>
            <w:r>
              <w:rPr>
                <w:rFonts w:cs="Helvetica"/>
                <w:color w:val="000000"/>
                <w:sz w:val="18"/>
                <w:szCs w:val="18"/>
              </w:rPr>
              <w:t>212</w:t>
            </w:r>
          </w:p>
        </w:tc>
      </w:tr>
      <w:tr w:rsidR="00E74C28" w:rsidTr="00AB4D9C">
        <w:trPr>
          <w:trHeight w:val="105"/>
          <w:jc w:val="center"/>
        </w:trPr>
        <w:tc>
          <w:tcPr>
            <w:tcW w:w="0" w:type="auto"/>
            <w:tcBorders>
              <w:top w:val="nil"/>
              <w:left w:val="nil"/>
              <w:bottom w:val="single" w:sz="6" w:space="0" w:color="auto"/>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UT</w:t>
            </w:r>
          </w:p>
        </w:tc>
        <w:tc>
          <w:tcPr>
            <w:tcW w:w="0" w:type="auto"/>
            <w:tcBorders>
              <w:top w:val="nil"/>
              <w:left w:val="nil"/>
              <w:bottom w:val="single" w:sz="6" w:space="0" w:color="auto"/>
              <w:right w:val="nil"/>
            </w:tcBorders>
            <w:vAlign w:val="center"/>
          </w:tcPr>
          <w:p w:rsidR="00E74C28" w:rsidRPr="007E434D" w:rsidRDefault="00E74C28" w:rsidP="00AB4D9C">
            <w:pPr>
              <w:tabs>
                <w:tab w:val="left" w:pos="669"/>
              </w:tabs>
              <w:spacing w:after="0"/>
              <w:jc w:val="center"/>
              <w:rPr>
                <w:rFonts w:cs="Helvetica"/>
                <w:sz w:val="18"/>
                <w:szCs w:val="18"/>
              </w:rPr>
            </w:pPr>
            <w:r w:rsidRPr="007E434D">
              <w:rPr>
                <w:rFonts w:cs="Helvetica"/>
                <w:sz w:val="18"/>
                <w:szCs w:val="18"/>
              </w:rPr>
              <w:t>11</w:t>
            </w:r>
          </w:p>
        </w:tc>
        <w:tc>
          <w:tcPr>
            <w:tcW w:w="0" w:type="auto"/>
            <w:tcBorders>
              <w:top w:val="nil"/>
              <w:left w:val="nil"/>
              <w:bottom w:val="single" w:sz="6" w:space="0" w:color="auto"/>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57</w:t>
            </w:r>
          </w:p>
        </w:tc>
        <w:tc>
          <w:tcPr>
            <w:tcW w:w="0" w:type="auto"/>
            <w:tcBorders>
              <w:top w:val="nil"/>
              <w:left w:val="nil"/>
              <w:bottom w:val="single" w:sz="6" w:space="0" w:color="auto"/>
              <w:right w:val="nil"/>
            </w:tcBorders>
            <w:vAlign w:val="center"/>
          </w:tcPr>
          <w:p w:rsidR="00E74C28" w:rsidRPr="007E434D" w:rsidRDefault="00E74C28" w:rsidP="00AB4D9C">
            <w:pPr>
              <w:spacing w:after="0"/>
              <w:jc w:val="center"/>
              <w:rPr>
                <w:rFonts w:cs="Helvetica"/>
                <w:sz w:val="18"/>
                <w:szCs w:val="18"/>
              </w:rPr>
            </w:pPr>
            <w:r w:rsidRPr="007E434D">
              <w:rPr>
                <w:rFonts w:cs="Helvetica"/>
                <w:sz w:val="18"/>
                <w:szCs w:val="18"/>
              </w:rPr>
              <w:t>275</w:t>
            </w:r>
          </w:p>
        </w:tc>
        <w:tc>
          <w:tcPr>
            <w:tcW w:w="0" w:type="auto"/>
            <w:tcBorders>
              <w:top w:val="nil"/>
              <w:left w:val="nil"/>
              <w:bottom w:val="single" w:sz="6" w:space="0" w:color="auto"/>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152</w:t>
            </w:r>
          </w:p>
        </w:tc>
        <w:tc>
          <w:tcPr>
            <w:tcW w:w="0" w:type="auto"/>
            <w:tcBorders>
              <w:top w:val="nil"/>
              <w:left w:val="nil"/>
              <w:bottom w:val="single" w:sz="6" w:space="0" w:color="auto"/>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20</w:t>
            </w:r>
          </w:p>
        </w:tc>
        <w:tc>
          <w:tcPr>
            <w:tcW w:w="0" w:type="auto"/>
            <w:tcBorders>
              <w:top w:val="nil"/>
              <w:left w:val="nil"/>
              <w:bottom w:val="single" w:sz="6" w:space="0" w:color="auto"/>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0.</w:t>
            </w:r>
            <w:r>
              <w:rPr>
                <w:rFonts w:cs="Helvetica"/>
                <w:color w:val="000000"/>
                <w:sz w:val="18"/>
                <w:szCs w:val="18"/>
              </w:rPr>
              <w:t>193</w:t>
            </w:r>
          </w:p>
        </w:tc>
      </w:tr>
      <w:tr w:rsidR="00E74C28" w:rsidTr="00AB4D9C">
        <w:trPr>
          <w:trHeight w:val="105"/>
          <w:jc w:val="center"/>
        </w:trPr>
        <w:tc>
          <w:tcPr>
            <w:tcW w:w="0" w:type="auto"/>
            <w:tcBorders>
              <w:top w:val="single" w:sz="6" w:space="0" w:color="auto"/>
              <w:left w:val="nil"/>
              <w:bottom w:val="single" w:sz="12" w:space="0" w:color="auto"/>
              <w:right w:val="nil"/>
            </w:tcBorders>
            <w:vAlign w:val="center"/>
          </w:tcPr>
          <w:p w:rsidR="00E74C28" w:rsidRPr="007E434D" w:rsidRDefault="00E74C28" w:rsidP="00AB4D9C">
            <w:pPr>
              <w:spacing w:after="0"/>
              <w:jc w:val="center"/>
              <w:rPr>
                <w:rFonts w:cs="Helvetica"/>
                <w:color w:val="000000"/>
                <w:sz w:val="18"/>
                <w:szCs w:val="18"/>
              </w:rPr>
            </w:pPr>
          </w:p>
        </w:tc>
        <w:tc>
          <w:tcPr>
            <w:tcW w:w="0" w:type="auto"/>
            <w:tcBorders>
              <w:top w:val="single" w:sz="6" w:space="0" w:color="auto"/>
              <w:left w:val="nil"/>
              <w:bottom w:val="single" w:sz="12" w:space="0" w:color="auto"/>
              <w:right w:val="nil"/>
            </w:tcBorders>
            <w:vAlign w:val="center"/>
          </w:tcPr>
          <w:p w:rsidR="00E74C28" w:rsidRPr="00053AF4" w:rsidRDefault="00E74C28" w:rsidP="00AB4D9C">
            <w:pPr>
              <w:tabs>
                <w:tab w:val="left" w:pos="669"/>
              </w:tabs>
              <w:spacing w:after="0"/>
              <w:jc w:val="center"/>
              <w:rPr>
                <w:rFonts w:cs="Helvetica"/>
                <w:b/>
                <w:sz w:val="18"/>
                <w:szCs w:val="18"/>
              </w:rPr>
            </w:pPr>
            <w:r w:rsidRPr="00053AF4">
              <w:rPr>
                <w:rFonts w:cs="Helvetica"/>
                <w:b/>
                <w:sz w:val="18"/>
                <w:szCs w:val="18"/>
              </w:rPr>
              <w:t>Average</w:t>
            </w:r>
          </w:p>
        </w:tc>
        <w:tc>
          <w:tcPr>
            <w:tcW w:w="0" w:type="auto"/>
            <w:tcBorders>
              <w:top w:val="single" w:sz="6" w:space="0" w:color="auto"/>
              <w:left w:val="nil"/>
              <w:bottom w:val="single" w:sz="12" w:space="0" w:color="auto"/>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44</w:t>
            </w:r>
          </w:p>
        </w:tc>
        <w:tc>
          <w:tcPr>
            <w:tcW w:w="0" w:type="auto"/>
            <w:tcBorders>
              <w:top w:val="single" w:sz="6" w:space="0" w:color="auto"/>
              <w:left w:val="nil"/>
              <w:bottom w:val="single" w:sz="12" w:space="0" w:color="auto"/>
              <w:right w:val="nil"/>
            </w:tcBorders>
            <w:vAlign w:val="center"/>
          </w:tcPr>
          <w:p w:rsidR="00E74C28" w:rsidRPr="007E434D" w:rsidRDefault="00E74C28" w:rsidP="00AB4D9C">
            <w:pPr>
              <w:spacing w:after="0"/>
              <w:jc w:val="center"/>
              <w:rPr>
                <w:rFonts w:cs="Helvetica"/>
                <w:sz w:val="18"/>
                <w:szCs w:val="18"/>
              </w:rPr>
            </w:pPr>
            <w:r w:rsidRPr="007E434D">
              <w:rPr>
                <w:rFonts w:cs="Helvetica"/>
                <w:sz w:val="18"/>
                <w:szCs w:val="18"/>
              </w:rPr>
              <w:t>264</w:t>
            </w:r>
          </w:p>
        </w:tc>
        <w:tc>
          <w:tcPr>
            <w:tcW w:w="0" w:type="auto"/>
            <w:tcBorders>
              <w:top w:val="single" w:sz="6" w:space="0" w:color="auto"/>
              <w:left w:val="nil"/>
              <w:bottom w:val="single" w:sz="12" w:space="0" w:color="auto"/>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114</w:t>
            </w:r>
          </w:p>
        </w:tc>
        <w:tc>
          <w:tcPr>
            <w:tcW w:w="0" w:type="auto"/>
            <w:tcBorders>
              <w:top w:val="single" w:sz="6" w:space="0" w:color="auto"/>
              <w:left w:val="nil"/>
              <w:bottom w:val="single" w:sz="12" w:space="0" w:color="auto"/>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35</w:t>
            </w:r>
          </w:p>
        </w:tc>
        <w:tc>
          <w:tcPr>
            <w:tcW w:w="0" w:type="auto"/>
            <w:tcBorders>
              <w:top w:val="single" w:sz="6" w:space="0" w:color="auto"/>
              <w:left w:val="nil"/>
              <w:bottom w:val="single" w:sz="12" w:space="0" w:color="auto"/>
              <w:right w:val="nil"/>
            </w:tcBorders>
            <w:vAlign w:val="center"/>
          </w:tcPr>
          <w:p w:rsidR="00E74C28" w:rsidRPr="007E434D" w:rsidRDefault="00E74C28" w:rsidP="00AB4D9C">
            <w:pPr>
              <w:spacing w:after="0"/>
              <w:jc w:val="center"/>
              <w:rPr>
                <w:rFonts w:cs="Helvetica"/>
                <w:color w:val="000000"/>
                <w:sz w:val="18"/>
                <w:szCs w:val="18"/>
              </w:rPr>
            </w:pPr>
            <w:r w:rsidRPr="007E434D">
              <w:rPr>
                <w:rFonts w:cs="Helvetica"/>
                <w:color w:val="000000"/>
                <w:sz w:val="18"/>
                <w:szCs w:val="18"/>
              </w:rPr>
              <w:t>0.</w:t>
            </w:r>
            <w:r>
              <w:rPr>
                <w:rFonts w:cs="Helvetica"/>
                <w:color w:val="000000"/>
                <w:sz w:val="18"/>
                <w:szCs w:val="18"/>
              </w:rPr>
              <w:t>230</w:t>
            </w:r>
          </w:p>
        </w:tc>
      </w:tr>
    </w:tbl>
    <w:p w:rsidR="00E74C28" w:rsidRDefault="00E74C28" w:rsidP="00445CDC">
      <w:pPr>
        <w:spacing w:before="240" w:after="0" w:line="480" w:lineRule="auto"/>
      </w:pPr>
      <w:r>
        <w:t xml:space="preserve">Originating at the air-snow interface, slab layers were characterized by </w:t>
      </w:r>
      <w:r w:rsidR="00843724">
        <w:t xml:space="preserve">their </w:t>
      </w:r>
      <w:r>
        <w:t>higher density (280</w:t>
      </w:r>
      <w:r>
        <w:rPr>
          <w:rFonts w:cs="Helvetica"/>
        </w:rPr>
        <w:t>±</w:t>
      </w:r>
      <w:r>
        <w:t>43 kg m</w:t>
      </w:r>
      <w:r w:rsidRPr="00315353">
        <w:rPr>
          <w:vertAlign w:val="superscript"/>
        </w:rPr>
        <w:t>-</w:t>
      </w:r>
      <w:r>
        <w:rPr>
          <w:vertAlign w:val="superscript"/>
        </w:rPr>
        <w:t>3</w:t>
      </w:r>
      <w:r>
        <w:t>) and wind-pulverized grains (0.25-0.5 mm</w:t>
      </w:r>
      <w:r w:rsidR="00445CDC">
        <w:t xml:space="preserve"> diameter</w:t>
      </w:r>
      <w:r>
        <w:t>). On average, these layers composed 67% of the snowpack volume, with as many as 6 independent layers representative of sequential wind or snowfall events. Once buried, slab layers</w:t>
      </w:r>
      <w:r w:rsidR="00132186">
        <w:t xml:space="preserve"> </w:t>
      </w:r>
      <w:r>
        <w:t>exhibited incipient kinetic faceting. Density of the faceting slabs remained comparable to the adjacent surface features, reflecting a hardened slab-to-hoar conversion process referred to as indurated (Derksen et al., 2009). At the base of the pack, depth hoar composed the remaining 35%, easily distinguished by its unconsolidated structure, lower density (222</w:t>
      </w:r>
      <w:r>
        <w:rPr>
          <w:rFonts w:cs="Helvetica"/>
        </w:rPr>
        <w:t>±</w:t>
      </w:r>
      <w:r>
        <w:t>36 kg m</w:t>
      </w:r>
      <w:r w:rsidRPr="002D1748">
        <w:rPr>
          <w:vertAlign w:val="superscript"/>
        </w:rPr>
        <w:t>-3</w:t>
      </w:r>
      <w:r>
        <w:t xml:space="preserve">), and large cup shaped grains (4-6 mm). Widespread aggregation of the depth hoar into large chained units and the presence of prismatic hoar were </w:t>
      </w:r>
      <w:r w:rsidR="00417781">
        <w:t xml:space="preserve">consistent </w:t>
      </w:r>
      <w:r>
        <w:t>indicators of the advanced metamorphic state of the basal layer</w:t>
      </w:r>
      <w:r w:rsidR="00F55AB0">
        <w:t xml:space="preserve"> (Trabant and Benson, 1972)</w:t>
      </w:r>
      <w:r>
        <w:t>.</w:t>
      </w:r>
    </w:p>
    <w:p w:rsidR="00490D59" w:rsidRDefault="00E74C28" w:rsidP="00FC68BB">
      <w:pPr>
        <w:spacing w:line="480" w:lineRule="auto"/>
      </w:pPr>
      <w:r>
        <w:t xml:space="preserve">Persistent winds </w:t>
      </w:r>
      <w:r w:rsidR="00417781">
        <w:t>acted as a strong control on depth, scouting</w:t>
      </w:r>
      <w:r>
        <w:t xml:space="preserve"> open areas</w:t>
      </w:r>
      <w:r w:rsidR="00417781">
        <w:t xml:space="preserve"> and </w:t>
      </w:r>
      <w:r>
        <w:t xml:space="preserve">redistributing </w:t>
      </w:r>
      <w:r w:rsidR="00241594">
        <w:t xml:space="preserve">accumulation </w:t>
      </w:r>
      <w:r>
        <w:t>downwind</w:t>
      </w:r>
      <w:r w:rsidR="00F2574F">
        <w:t xml:space="preserve"> as drifts</w:t>
      </w:r>
      <w:r w:rsidR="00F83300">
        <w:t xml:space="preserve"> (Figure 4)</w:t>
      </w:r>
      <w:r>
        <w:t xml:space="preserve">. </w:t>
      </w:r>
      <w:r w:rsidR="00417781">
        <w:t xml:space="preserve"> </w:t>
      </w:r>
      <w:r w:rsidR="00D81E05">
        <w:t xml:space="preserve">As a result, increases </w:t>
      </w:r>
      <w:r w:rsidR="00AC483F">
        <w:t>in</w:t>
      </w:r>
      <w:r w:rsidR="00132186">
        <w:t xml:space="preserve"> snow pits</w:t>
      </w:r>
      <w:r w:rsidR="00AC483F">
        <w:t xml:space="preserve"> </w:t>
      </w:r>
      <w:r w:rsidR="0002155D">
        <w:t xml:space="preserve">thickness </w:t>
      </w:r>
      <w:r w:rsidR="00D81E05">
        <w:t xml:space="preserve">were </w:t>
      </w:r>
      <w:r w:rsidR="00467ED3">
        <w:t xml:space="preserve">commonly </w:t>
      </w:r>
      <w:r w:rsidR="0002155D">
        <w:t>associated with</w:t>
      </w:r>
      <w:r w:rsidR="00D81E05">
        <w:t xml:space="preserve"> additional or expanded slab</w:t>
      </w:r>
      <w:r w:rsidR="0002155D">
        <w:t xml:space="preserve"> </w:t>
      </w:r>
      <w:r w:rsidR="00F2574F">
        <w:t xml:space="preserve">layers </w:t>
      </w:r>
      <w:r w:rsidR="00132186">
        <w:t>rather than strong variations in depth hoar</w:t>
      </w:r>
      <w:r w:rsidR="00F2574F">
        <w:t xml:space="preserve"> thickness</w:t>
      </w:r>
      <w:r w:rsidR="00055A63">
        <w:t>.</w:t>
      </w:r>
      <w:r w:rsidR="00F2574F">
        <w:t xml:space="preserve"> </w:t>
      </w:r>
      <w:r>
        <w:t xml:space="preserve">An example of this slab dominated change is illustrated in Figure </w:t>
      </w:r>
      <w:r w:rsidR="00712F0D">
        <w:t>5</w:t>
      </w:r>
      <w:r>
        <w:t xml:space="preserve"> where on a leeward slope, </w:t>
      </w:r>
      <w:r w:rsidR="00644BF5">
        <w:t>total</w:t>
      </w:r>
      <w:r>
        <w:t xml:space="preserve"> </w:t>
      </w:r>
      <w:r w:rsidR="00F2574F">
        <w:t>thickness</w:t>
      </w:r>
      <w:r>
        <w:t xml:space="preserve"> increased by 30 cm over the local mean, but depth hoar remained a comparatively sma</w:t>
      </w:r>
      <w:r w:rsidR="00712F0D">
        <w:t xml:space="preserve">ll component </w:t>
      </w:r>
      <w:r w:rsidR="00F2574F">
        <w:t>(</w:t>
      </w:r>
      <w:r w:rsidR="00644BF5">
        <w:t>23%</w:t>
      </w:r>
      <w:r w:rsidR="00F2574F">
        <w:t xml:space="preserve"> of total thickness)</w:t>
      </w:r>
      <w:r>
        <w:t xml:space="preserve">. </w:t>
      </w:r>
      <w:r w:rsidR="00132186">
        <w:t>A</w:t>
      </w:r>
      <w:r w:rsidR="00FC68BB">
        <w:t>mongst the snow pits</w:t>
      </w:r>
      <w:r w:rsidR="00D9219C">
        <w:t>,</w:t>
      </w:r>
      <w:r w:rsidR="00FC68BB">
        <w:t xml:space="preserve"> </w:t>
      </w:r>
      <w:r w:rsidR="00F2574F">
        <w:t>the</w:t>
      </w:r>
      <w:r>
        <w:t xml:space="preserve"> maximum </w:t>
      </w:r>
      <w:r w:rsidR="00132186">
        <w:t xml:space="preserve">depth hoar thickness </w:t>
      </w:r>
      <w:r w:rsidR="00F2574F">
        <w:t>was</w:t>
      </w:r>
      <w:r w:rsidR="0002155D">
        <w:t xml:space="preserve"> </w:t>
      </w:r>
      <w:r w:rsidR="00F2574F">
        <w:t>25 cm</w:t>
      </w:r>
      <w:r w:rsidR="0002155D">
        <w:t xml:space="preserve">, similar to the </w:t>
      </w:r>
      <w:r w:rsidR="00F83300">
        <w:t xml:space="preserve">height of </w:t>
      </w:r>
      <w:r w:rsidR="0002155D">
        <w:t>variation</w:t>
      </w:r>
      <w:r w:rsidR="00F2574F">
        <w:t>s</w:t>
      </w:r>
      <w:r w:rsidR="0002155D">
        <w:t xml:space="preserve"> in microtopography</w:t>
      </w:r>
      <w:r w:rsidR="00FC68BB">
        <w:t>.</w:t>
      </w:r>
    </w:p>
    <w:p w:rsidR="00EA11BB" w:rsidRPr="00FC68BB" w:rsidRDefault="001341ED" w:rsidP="00FC68BB">
      <w:pPr>
        <w:spacing w:line="480" w:lineRule="auto"/>
      </w:pPr>
      <w:r>
        <w:rPr>
          <w:noProof/>
          <w:lang w:val="en-GB" w:eastAsia="en-GB"/>
        </w:rPr>
        <w:drawing>
          <wp:inline distT="0" distB="0" distL="0" distR="0" wp14:anchorId="5773FC7B" wp14:editId="17A9CEFB">
            <wp:extent cx="5937250" cy="2870200"/>
            <wp:effectExtent l="0" t="0" r="6350" b="6350"/>
            <wp:docPr id="9" name="Picture 9" descr="D:\Josh\Figure_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osh\Figure_4.ti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250" cy="2870200"/>
                    </a:xfrm>
                    <a:prstGeom prst="rect">
                      <a:avLst/>
                    </a:prstGeom>
                    <a:noFill/>
                    <a:ln>
                      <a:noFill/>
                    </a:ln>
                  </pic:spPr>
                </pic:pic>
              </a:graphicData>
            </a:graphic>
          </wp:inline>
        </w:drawing>
      </w:r>
    </w:p>
    <w:p w:rsidR="00712F0D" w:rsidRPr="004B3914" w:rsidRDefault="00712F0D" w:rsidP="00712F0D">
      <w:pPr>
        <w:pStyle w:val="Caption"/>
        <w:spacing w:before="240" w:line="360" w:lineRule="auto"/>
        <w:rPr>
          <w:color w:val="000000" w:themeColor="text1"/>
        </w:rPr>
      </w:pPr>
      <w:r w:rsidRPr="004B3914">
        <w:rPr>
          <w:color w:val="000000" w:themeColor="text1"/>
        </w:rPr>
        <w:t xml:space="preserve">Figure </w:t>
      </w:r>
      <w:r>
        <w:rPr>
          <w:noProof/>
          <w:color w:val="000000" w:themeColor="text1"/>
        </w:rPr>
        <w:t>5</w:t>
      </w:r>
      <w:r w:rsidRPr="004B3914">
        <w:rPr>
          <w:color w:val="000000" w:themeColor="text1"/>
        </w:rPr>
        <w:t xml:space="preserve">: </w:t>
      </w:r>
      <w:r>
        <w:rPr>
          <w:color w:val="000000" w:themeColor="text1"/>
        </w:rPr>
        <w:t>Near infrared photograph of</w:t>
      </w:r>
      <w:r w:rsidRPr="004B3914">
        <w:rPr>
          <w:color w:val="000000" w:themeColor="text1"/>
        </w:rPr>
        <w:t xml:space="preserve"> snow pit</w:t>
      </w:r>
      <w:r>
        <w:rPr>
          <w:color w:val="000000" w:themeColor="text1"/>
        </w:rPr>
        <w:t xml:space="preserve"> 6 within the SS domain (</w:t>
      </w:r>
      <w:r w:rsidR="00713C01">
        <w:rPr>
          <w:color w:val="000000" w:themeColor="text1"/>
        </w:rPr>
        <w:t>Left</w:t>
      </w:r>
      <w:r>
        <w:rPr>
          <w:color w:val="000000" w:themeColor="text1"/>
        </w:rPr>
        <w:t xml:space="preserve">) where basal depth hoar is easily distinguished by texture due to its unconsolidated structure. Microstructure estimates from IRIS, shown as </w:t>
      </w:r>
      <m:oMath>
        <m:sSub>
          <m:sSubPr>
            <m:ctrlPr>
              <w:rPr>
                <w:rFonts w:ascii="Cambria Math" w:hAnsi="Cambria Math" w:cs="Arial"/>
                <w:i/>
                <w:color w:val="000000" w:themeColor="text1"/>
              </w:rPr>
            </m:ctrlPr>
          </m:sSubPr>
          <m:e>
            <m:r>
              <m:rPr>
                <m:sty m:val="bi"/>
              </m:rPr>
              <w:rPr>
                <w:rFonts w:ascii="Cambria Math" w:hAnsi="Cambria Math" w:cs="Arial"/>
                <w:color w:val="000000" w:themeColor="text1"/>
              </w:rPr>
              <m:t>l</m:t>
            </m:r>
          </m:e>
          <m:sub>
            <m:r>
              <m:rPr>
                <m:nor/>
              </m:rPr>
              <w:rPr>
                <w:rFonts w:ascii="Cambria Math" w:hAnsi="Cambria Math" w:cs="Arial"/>
                <w:color w:val="000000" w:themeColor="text1"/>
              </w:rPr>
              <m:t>ex</m:t>
            </m:r>
          </m:sub>
        </m:sSub>
      </m:oMath>
      <w:r w:rsidRPr="00205D6F">
        <w:rPr>
          <w:color w:val="000000" w:themeColor="text1"/>
        </w:rPr>
        <w:t xml:space="preserve">, </w:t>
      </w:r>
      <w:r>
        <w:rPr>
          <w:color w:val="000000" w:themeColor="text1"/>
        </w:rPr>
        <w:t>were</w:t>
      </w:r>
      <w:r w:rsidR="001341ED">
        <w:rPr>
          <w:color w:val="000000" w:themeColor="text1"/>
        </w:rPr>
        <w:t xml:space="preserve"> largest near the basal surface.</w:t>
      </w:r>
    </w:p>
    <w:p w:rsidR="00712F0D" w:rsidRDefault="00712F0D" w:rsidP="00712F0D">
      <w:pPr>
        <w:spacing w:line="480" w:lineRule="auto"/>
        <w:rPr>
          <w:rFonts w:eastAsiaTheme="minorEastAsia"/>
        </w:rPr>
      </w:pPr>
      <w:r>
        <w:t xml:space="preserve">Availability of IRIS measurements provided a means to objectively </w:t>
      </w:r>
      <w:r w:rsidR="000C5976">
        <w:t>evaluate</w:t>
      </w:r>
      <w:r>
        <w:t xml:space="preserve"> </w:t>
      </w:r>
      <w:r w:rsidR="00F143D1">
        <w:t xml:space="preserve">stratigraphic </w:t>
      </w:r>
      <w:r>
        <w:t>differences in microstructure</w:t>
      </w:r>
      <w:r w:rsidR="00467ED3">
        <w:t xml:space="preserve"> as related to the identified</w:t>
      </w:r>
      <w:r w:rsidR="00F2574F">
        <w:t xml:space="preserve"> snowpack</w:t>
      </w:r>
      <w:r w:rsidR="00467ED3">
        <w:t xml:space="preserve"> features</w:t>
      </w:r>
      <w:r>
        <w:t>. Estimates of</w:t>
      </w:r>
      <w:r w:rsidR="001049B0">
        <w:t xml:space="preserve"> exponential correlation length</w:t>
      </w:r>
      <w:r>
        <w:t xml:space="preserve"> </w:t>
      </w:r>
      <w:r w:rsidR="001049B0">
        <w:t>(</w:t>
      </w:r>
      <m:oMath>
        <m:sSub>
          <m:sSubPr>
            <m:ctrlPr>
              <w:rPr>
                <w:rFonts w:ascii="Cambria Math" w:hAnsi="Cambria Math" w:cs="Arial"/>
                <w:i/>
              </w:rPr>
            </m:ctrlPr>
          </m:sSubPr>
          <m:e>
            <m:r>
              <w:rPr>
                <w:rFonts w:ascii="Cambria Math" w:hAnsi="Cambria Math" w:cs="Arial"/>
              </w:rPr>
              <m:t>l</m:t>
            </m:r>
          </m:e>
          <m:sub>
            <m:r>
              <m:rPr>
                <m:nor/>
              </m:rPr>
              <w:rPr>
                <w:rFonts w:ascii="Cambria Math" w:hAnsi="Cambria Math" w:cs="Arial"/>
              </w:rPr>
              <m:t>ex</m:t>
            </m:r>
          </m:sub>
        </m:sSub>
      </m:oMath>
      <w:r w:rsidR="001049B0">
        <w:rPr>
          <w:rFonts w:eastAsiaTheme="minorEastAsia"/>
        </w:rPr>
        <w:t>)</w:t>
      </w:r>
      <w:r w:rsidR="00BE4ABA">
        <w:rPr>
          <w:rFonts w:eastAsiaTheme="minorEastAsia"/>
        </w:rPr>
        <w:t xml:space="preserve"> derived from IRIS (see S</w:t>
      </w:r>
      <w:r>
        <w:rPr>
          <w:rFonts w:eastAsiaTheme="minorEastAsia"/>
        </w:rPr>
        <w:t>ection 2.2) showed a wide range of variation with both layer type and measurement height (Figure 6)</w:t>
      </w:r>
      <w:r>
        <w:t>.</w:t>
      </w:r>
      <w:r>
        <w:rPr>
          <w:rFonts w:eastAsiaTheme="minorEastAsia"/>
        </w:rPr>
        <w:t xml:space="preserve"> Composing a bi-modal distribution, the 198 estimates in open tundra ranged from 0.044 to 0.</w:t>
      </w:r>
      <w:r>
        <w:t xml:space="preserve">482 </w:t>
      </w:r>
      <w:r>
        <w:rPr>
          <w:rFonts w:eastAsiaTheme="minorEastAsia"/>
        </w:rPr>
        <w:t xml:space="preserve">mm. Measurements taken near the snow surface contained little variability </w:t>
      </w:r>
      <w:r w:rsidR="001049B0">
        <w:rPr>
          <w:rFonts w:eastAsiaTheme="minorEastAsia"/>
        </w:rPr>
        <w:t>(0.131</w:t>
      </w:r>
      <w:r w:rsidR="00F143D1">
        <w:rPr>
          <w:rFonts w:eastAsiaTheme="minorEastAsia"/>
        </w:rPr>
        <w:t>±</w:t>
      </w:r>
      <w:r>
        <w:rPr>
          <w:rFonts w:eastAsiaTheme="minorEastAsia"/>
        </w:rPr>
        <w:t>0.04</w:t>
      </w:r>
      <w:r w:rsidR="001F6707">
        <w:rPr>
          <w:rFonts w:eastAsiaTheme="minorEastAsia"/>
        </w:rPr>
        <w:t>5</w:t>
      </w:r>
      <w:r>
        <w:rPr>
          <w:rFonts w:eastAsiaTheme="minorEastAsia"/>
        </w:rPr>
        <w:t xml:space="preserve"> mm), consistent with qualitative snow pit descriptions of homogeneous, fine grained </w:t>
      </w:r>
      <w:r w:rsidR="00490D59">
        <w:rPr>
          <w:rFonts w:eastAsiaTheme="minorEastAsia"/>
        </w:rPr>
        <w:t>structure</w:t>
      </w:r>
      <w:r>
        <w:rPr>
          <w:rFonts w:eastAsiaTheme="minorEastAsia"/>
        </w:rPr>
        <w:t xml:space="preserve">. Increases in </w:t>
      </w:r>
      <m:oMath>
        <m:sSub>
          <m:sSubPr>
            <m:ctrlPr>
              <w:rPr>
                <w:rFonts w:ascii="Cambria Math" w:hAnsi="Cambria Math" w:cs="Arial"/>
                <w:i/>
              </w:rPr>
            </m:ctrlPr>
          </m:sSubPr>
          <m:e>
            <m:r>
              <w:rPr>
                <w:rFonts w:ascii="Cambria Math" w:hAnsi="Cambria Math" w:cs="Arial"/>
              </w:rPr>
              <m:t>l</m:t>
            </m:r>
          </m:e>
          <m:sub>
            <m:r>
              <m:rPr>
                <m:nor/>
              </m:rPr>
              <w:rPr>
                <w:rFonts w:ascii="Cambria Math" w:hAnsi="Cambria Math" w:cs="Arial"/>
              </w:rPr>
              <m:t>ex</m:t>
            </m:r>
          </m:sub>
        </m:sSub>
      </m:oMath>
      <w:r>
        <w:rPr>
          <w:rFonts w:eastAsiaTheme="minorEastAsia"/>
        </w:rPr>
        <w:t xml:space="preserve"> departing from the air-snow interface correspond</w:t>
      </w:r>
      <w:r w:rsidR="001B73DC">
        <w:rPr>
          <w:rFonts w:eastAsiaTheme="minorEastAsia"/>
        </w:rPr>
        <w:t>ed</w:t>
      </w:r>
      <w:r>
        <w:rPr>
          <w:rFonts w:eastAsiaTheme="minorEastAsia"/>
        </w:rPr>
        <w:t xml:space="preserve"> with observed faceting of the buried slab layers.</w:t>
      </w:r>
      <w:r w:rsidR="00C41AB8">
        <w:rPr>
          <w:rFonts w:eastAsiaTheme="minorEastAsia"/>
        </w:rPr>
        <w:t xml:space="preserve"> </w:t>
      </w:r>
      <w:r>
        <w:rPr>
          <w:rFonts w:eastAsiaTheme="minorEastAsia"/>
        </w:rPr>
        <w:t xml:space="preserve">These transitionary forms were limited to </w:t>
      </w:r>
      <m:oMath>
        <m:sSub>
          <m:sSubPr>
            <m:ctrlPr>
              <w:rPr>
                <w:rFonts w:ascii="Cambria Math" w:hAnsi="Cambria Math" w:cs="Arial"/>
                <w:i/>
              </w:rPr>
            </m:ctrlPr>
          </m:sSubPr>
          <m:e>
            <m:r>
              <w:rPr>
                <w:rFonts w:ascii="Cambria Math" w:hAnsi="Cambria Math" w:cs="Arial"/>
              </w:rPr>
              <m:t>l</m:t>
            </m:r>
          </m:e>
          <m:sub>
            <m:r>
              <m:rPr>
                <m:nor/>
              </m:rPr>
              <w:rPr>
                <w:rFonts w:ascii="Cambria Math" w:hAnsi="Cambria Math" w:cs="Arial"/>
              </w:rPr>
              <m:t>ex</m:t>
            </m:r>
          </m:sub>
        </m:sSub>
      </m:oMath>
      <w:r>
        <w:rPr>
          <w:rFonts w:eastAsiaTheme="minorEastAsia"/>
        </w:rPr>
        <w:t xml:space="preserve"> less than 0.241 mm despite clear evidence of sustained kinetic growth. In strong contrast, depth hoar </w:t>
      </w:r>
      <w:r w:rsidR="00F143D1">
        <w:rPr>
          <w:rFonts w:eastAsiaTheme="minorEastAsia"/>
        </w:rPr>
        <w:t xml:space="preserve">was </w:t>
      </w:r>
      <w:r>
        <w:rPr>
          <w:rFonts w:eastAsiaTheme="minorEastAsia"/>
        </w:rPr>
        <w:t xml:space="preserve">on average 2.8 times greater in </w:t>
      </w:r>
      <m:oMath>
        <m:sSub>
          <m:sSubPr>
            <m:ctrlPr>
              <w:rPr>
                <w:rFonts w:ascii="Cambria Math" w:hAnsi="Cambria Math" w:cs="Arial"/>
                <w:i/>
              </w:rPr>
            </m:ctrlPr>
          </m:sSubPr>
          <m:e>
            <m:r>
              <w:rPr>
                <w:rFonts w:ascii="Cambria Math" w:hAnsi="Cambria Math" w:cs="Arial"/>
              </w:rPr>
              <m:t>l</m:t>
            </m:r>
          </m:e>
          <m:sub>
            <m:r>
              <m:rPr>
                <m:nor/>
              </m:rPr>
              <w:rPr>
                <w:rFonts w:ascii="Cambria Math" w:hAnsi="Cambria Math" w:cs="Arial"/>
              </w:rPr>
              <m:t>ex</m:t>
            </m:r>
          </m:sub>
        </m:sSub>
      </m:oMath>
      <w:r>
        <w:rPr>
          <w:rFonts w:eastAsiaTheme="minorEastAsia"/>
        </w:rPr>
        <w:t xml:space="preserve"> than the </w:t>
      </w:r>
      <w:r w:rsidRPr="00100907">
        <w:rPr>
          <w:rFonts w:eastAsiaTheme="minorEastAsia"/>
        </w:rPr>
        <w:t xml:space="preserve">overlying </w:t>
      </w:r>
      <w:r>
        <w:rPr>
          <w:rFonts w:eastAsiaTheme="minorEastAsia"/>
        </w:rPr>
        <w:t>slab with a mean of 0.360</w:t>
      </w:r>
      <w:r w:rsidR="00F143D1">
        <w:rPr>
          <w:rFonts w:eastAsiaTheme="minorEastAsia"/>
        </w:rPr>
        <w:t>±</w:t>
      </w:r>
      <w:r>
        <w:rPr>
          <w:rFonts w:eastAsiaTheme="minorEastAsia"/>
        </w:rPr>
        <w:t>0.066 mm.</w:t>
      </w:r>
    </w:p>
    <w:p w:rsidR="00894EB4" w:rsidRDefault="00894EB4" w:rsidP="00894EB4">
      <w:pPr>
        <w:spacing w:line="480" w:lineRule="auto"/>
        <w:jc w:val="center"/>
        <w:rPr>
          <w:rFonts w:eastAsiaTheme="minorEastAsia"/>
        </w:rPr>
      </w:pPr>
      <w:r>
        <w:rPr>
          <w:rFonts w:eastAsiaTheme="minorEastAsia"/>
          <w:noProof/>
          <w:lang w:val="en-GB" w:eastAsia="en-GB"/>
        </w:rPr>
        <w:drawing>
          <wp:inline distT="0" distB="0" distL="0" distR="0">
            <wp:extent cx="3568700" cy="3029103"/>
            <wp:effectExtent l="0" t="0" r="0" b="0"/>
            <wp:docPr id="8" name="Picture 8" descr="D:\Josh\Figure_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osh\Figure_6.ti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4903" cy="3034368"/>
                    </a:xfrm>
                    <a:prstGeom prst="rect">
                      <a:avLst/>
                    </a:prstGeom>
                    <a:noFill/>
                    <a:ln>
                      <a:noFill/>
                    </a:ln>
                  </pic:spPr>
                </pic:pic>
              </a:graphicData>
            </a:graphic>
          </wp:inline>
        </w:drawing>
      </w:r>
    </w:p>
    <w:p w:rsidR="00712F0D" w:rsidRPr="004B3914" w:rsidRDefault="00712F0D" w:rsidP="00712F0D">
      <w:pPr>
        <w:pStyle w:val="Caption"/>
        <w:spacing w:line="360" w:lineRule="auto"/>
        <w:rPr>
          <w:color w:val="000000" w:themeColor="text1"/>
        </w:rPr>
      </w:pPr>
      <w:r w:rsidRPr="00145227">
        <w:rPr>
          <w:color w:val="000000" w:themeColor="text1"/>
        </w:rPr>
        <w:t xml:space="preserve">Figure </w:t>
      </w:r>
      <w:r>
        <w:rPr>
          <w:noProof/>
          <w:color w:val="000000" w:themeColor="text1"/>
        </w:rPr>
        <w:t>6</w:t>
      </w:r>
      <w:r w:rsidRPr="00145227">
        <w:rPr>
          <w:color w:val="000000" w:themeColor="text1"/>
        </w:rPr>
        <w:t xml:space="preserve">: </w:t>
      </w:r>
      <w:r>
        <w:rPr>
          <w:color w:val="000000" w:themeColor="text1"/>
        </w:rPr>
        <w:t xml:space="preserve">Exponential correlation length </w:t>
      </w:r>
      <w:r w:rsidRPr="00A52185">
        <w:rPr>
          <w:color w:val="000000" w:themeColor="text1"/>
        </w:rPr>
        <w:t>(</w:t>
      </w:r>
      <m:oMath>
        <m:sSub>
          <m:sSubPr>
            <m:ctrlPr>
              <w:rPr>
                <w:rFonts w:ascii="Cambria Math" w:hAnsi="Cambria Math" w:cs="Arial"/>
                <w:i/>
                <w:color w:val="000000" w:themeColor="text1"/>
              </w:rPr>
            </m:ctrlPr>
          </m:sSubPr>
          <m:e>
            <m:r>
              <m:rPr>
                <m:sty m:val="bi"/>
              </m:rPr>
              <w:rPr>
                <w:rFonts w:ascii="Cambria Math" w:hAnsi="Cambria Math" w:cs="Arial"/>
                <w:color w:val="000000" w:themeColor="text1"/>
              </w:rPr>
              <m:t>l</m:t>
            </m:r>
          </m:e>
          <m:sub>
            <m:r>
              <m:rPr>
                <m:nor/>
              </m:rPr>
              <w:rPr>
                <w:rFonts w:ascii="Cambria Math" w:hAnsi="Cambria Math" w:cs="Arial"/>
                <w:color w:val="000000" w:themeColor="text1"/>
              </w:rPr>
              <m:t>ex</m:t>
            </m:r>
          </m:sub>
        </m:sSub>
      </m:oMath>
      <w:r w:rsidRPr="00A52185">
        <w:rPr>
          <w:color w:val="000000" w:themeColor="text1"/>
        </w:rPr>
        <w:t xml:space="preserve">) </w:t>
      </w:r>
      <w:r w:rsidR="001B73DC">
        <w:rPr>
          <w:color w:val="000000" w:themeColor="text1"/>
        </w:rPr>
        <w:t>within</w:t>
      </w:r>
      <w:r>
        <w:rPr>
          <w:color w:val="000000" w:themeColor="text1"/>
        </w:rPr>
        <w:t xml:space="preserve"> the 11</w:t>
      </w:r>
      <w:r w:rsidRPr="00145227">
        <w:rPr>
          <w:color w:val="000000" w:themeColor="text1"/>
        </w:rPr>
        <w:t xml:space="preserve"> snow pits.</w:t>
      </w:r>
      <w:r>
        <w:rPr>
          <w:color w:val="000000" w:themeColor="text1"/>
        </w:rPr>
        <w:t xml:space="preserve"> Probability density functions </w:t>
      </w:r>
      <w:r w:rsidR="001B73DC">
        <w:rPr>
          <w:color w:val="000000" w:themeColor="text1"/>
        </w:rPr>
        <w:t xml:space="preserve">(PDFs) </w:t>
      </w:r>
      <w:r>
        <w:rPr>
          <w:color w:val="000000" w:themeColor="text1"/>
        </w:rPr>
        <w:t xml:space="preserve">show </w:t>
      </w:r>
      <w:r w:rsidR="000C5976">
        <w:rPr>
          <w:color w:val="000000" w:themeColor="text1"/>
        </w:rPr>
        <w:t>difference between</w:t>
      </w:r>
      <w:r>
        <w:rPr>
          <w:color w:val="000000" w:themeColor="text1"/>
        </w:rPr>
        <w:t xml:space="preserve"> slab </w:t>
      </w:r>
      <w:r w:rsidR="001B73DC">
        <w:rPr>
          <w:color w:val="000000" w:themeColor="text1"/>
        </w:rPr>
        <w:t xml:space="preserve">or depth hoar </w:t>
      </w:r>
      <w:r>
        <w:rPr>
          <w:color w:val="000000" w:themeColor="text1"/>
        </w:rPr>
        <w:t xml:space="preserve">layer </w:t>
      </w:r>
      <w:r w:rsidR="000C5976">
        <w:rPr>
          <w:color w:val="000000" w:themeColor="text1"/>
        </w:rPr>
        <w:t>classified measurements</w:t>
      </w:r>
      <w:r>
        <w:rPr>
          <w:color w:val="000000" w:themeColor="text1"/>
        </w:rPr>
        <w:t xml:space="preserve">. </w:t>
      </w:r>
      <w:r w:rsidR="001B73DC">
        <w:rPr>
          <w:color w:val="000000" w:themeColor="text1"/>
        </w:rPr>
        <w:t xml:space="preserve">Estimates of </w:t>
      </w:r>
      <m:oMath>
        <m:sSub>
          <m:sSubPr>
            <m:ctrlPr>
              <w:rPr>
                <w:rFonts w:ascii="Cambria Math" w:hAnsi="Cambria Math" w:cs="Arial"/>
                <w:i/>
                <w:color w:val="000000" w:themeColor="text1"/>
              </w:rPr>
            </m:ctrlPr>
          </m:sSubPr>
          <m:e>
            <m:r>
              <m:rPr>
                <m:sty m:val="bi"/>
              </m:rPr>
              <w:rPr>
                <w:rFonts w:ascii="Cambria Math" w:hAnsi="Cambria Math" w:cs="Arial"/>
                <w:color w:val="000000" w:themeColor="text1"/>
              </w:rPr>
              <m:t>l</m:t>
            </m:r>
          </m:e>
          <m:sub>
            <m:r>
              <m:rPr>
                <m:nor/>
              </m:rPr>
              <w:rPr>
                <w:rFonts w:ascii="Cambria Math" w:hAnsi="Cambria Math" w:cs="Arial"/>
                <w:color w:val="000000" w:themeColor="text1"/>
              </w:rPr>
              <m:t>ex</m:t>
            </m:r>
          </m:sub>
        </m:sSub>
      </m:oMath>
      <w:r w:rsidR="001B73DC">
        <w:rPr>
          <w:color w:val="000000" w:themeColor="text1"/>
        </w:rPr>
        <w:t xml:space="preserve"> were derived from IRIS measurements as detailed in Section 2.2.</w:t>
      </w:r>
    </w:p>
    <w:p w:rsidR="00712F0D" w:rsidRDefault="00712F0D" w:rsidP="00712F0D">
      <w:pPr>
        <w:spacing w:line="480" w:lineRule="auto"/>
        <w:rPr>
          <w:rFonts w:eastAsiaTheme="minorEastAsia"/>
        </w:rPr>
      </w:pPr>
      <w:r w:rsidRPr="008F24E9">
        <w:rPr>
          <w:rFonts w:eastAsia="Times New Roman"/>
        </w:rPr>
        <w:t>As a whole, the</w:t>
      </w:r>
      <w:r>
        <w:rPr>
          <w:rFonts w:eastAsia="Times New Roman"/>
        </w:rPr>
        <w:t xml:space="preserve"> </w:t>
      </w:r>
      <w:r w:rsidRPr="008F24E9">
        <w:rPr>
          <w:rFonts w:eastAsia="Times New Roman"/>
        </w:rPr>
        <w:t xml:space="preserve">measurements </w:t>
      </w:r>
      <w:r w:rsidR="00644BF5">
        <w:rPr>
          <w:rFonts w:eastAsia="Times New Roman"/>
        </w:rPr>
        <w:t xml:space="preserve">in Figure 6 </w:t>
      </w:r>
      <w:r w:rsidRPr="008F24E9">
        <w:rPr>
          <w:rFonts w:eastAsia="Times New Roman"/>
        </w:rPr>
        <w:t>describe an inverse relationship between</w:t>
      </w:r>
      <w:r>
        <w:rPr>
          <w:rFonts w:eastAsia="Times New Roman"/>
        </w:rPr>
        <w:t xml:space="preserve"> </w:t>
      </w:r>
      <m:oMath>
        <m:sSub>
          <m:sSubPr>
            <m:ctrlPr>
              <w:rPr>
                <w:rFonts w:ascii="Cambria Math" w:hAnsi="Cambria Math" w:cs="Arial"/>
                <w:i/>
              </w:rPr>
            </m:ctrlPr>
          </m:sSubPr>
          <m:e>
            <m:r>
              <w:rPr>
                <w:rFonts w:ascii="Cambria Math" w:hAnsi="Cambria Math" w:cs="Arial"/>
              </w:rPr>
              <m:t>l</m:t>
            </m:r>
          </m:e>
          <m:sub>
            <m:r>
              <m:rPr>
                <m:nor/>
              </m:rPr>
              <w:rPr>
                <w:rFonts w:ascii="Cambria Math" w:hAnsi="Cambria Math" w:cs="Arial"/>
              </w:rPr>
              <m:t>ex</m:t>
            </m:r>
          </m:sub>
        </m:sSub>
      </m:oMath>
      <w:r>
        <w:rPr>
          <w:rFonts w:eastAsiaTheme="minorEastAsia"/>
        </w:rPr>
        <w:t xml:space="preserve"> </w:t>
      </w:r>
      <w:r w:rsidRPr="008F24E9">
        <w:rPr>
          <w:rFonts w:eastAsia="Times New Roman"/>
        </w:rPr>
        <w:t>and height above the basal surface</w:t>
      </w:r>
      <w:r>
        <w:rPr>
          <w:rFonts w:eastAsia="Times New Roman"/>
        </w:rPr>
        <w:t xml:space="preserve">. </w:t>
      </w:r>
      <w:r>
        <w:rPr>
          <w:rFonts w:eastAsiaTheme="minorEastAsia"/>
        </w:rPr>
        <w:t>Thermodynamically, slab layers driving this relationship are incr</w:t>
      </w:r>
      <w:r w:rsidR="00F55AB0">
        <w:rPr>
          <w:rFonts w:eastAsiaTheme="minorEastAsia"/>
        </w:rPr>
        <w:t>easingly likely to remain close</w:t>
      </w:r>
      <w:r>
        <w:rPr>
          <w:rFonts w:eastAsiaTheme="minorEastAsia"/>
        </w:rPr>
        <w:t xml:space="preserve"> to their deposited </w:t>
      </w:r>
      <w:r w:rsidR="00875E3B">
        <w:rPr>
          <w:rFonts w:eastAsiaTheme="minorEastAsia"/>
        </w:rPr>
        <w:t xml:space="preserve">wind rounded </w:t>
      </w:r>
      <w:r>
        <w:rPr>
          <w:rFonts w:eastAsiaTheme="minorEastAsia"/>
        </w:rPr>
        <w:t xml:space="preserve">state as thermal gradients are depressed with height above the basal surface. </w:t>
      </w:r>
      <w:r w:rsidR="000C5976">
        <w:rPr>
          <w:rFonts w:eastAsiaTheme="minorEastAsia"/>
        </w:rPr>
        <w:t>Consequently</w:t>
      </w:r>
      <w:r>
        <w:rPr>
          <w:rFonts w:eastAsiaTheme="minorEastAsia"/>
        </w:rPr>
        <w:t xml:space="preserve">, increasing proportions of slab found in deeper or drifted snow have the effect of driving mean </w:t>
      </w:r>
      <m:oMath>
        <m:sSub>
          <m:sSubPr>
            <m:ctrlPr>
              <w:rPr>
                <w:rFonts w:ascii="Cambria Math" w:hAnsi="Cambria Math" w:cs="Arial"/>
                <w:i/>
              </w:rPr>
            </m:ctrlPr>
          </m:sSubPr>
          <m:e>
            <m:r>
              <w:rPr>
                <w:rFonts w:ascii="Cambria Math" w:hAnsi="Cambria Math" w:cs="Arial"/>
              </w:rPr>
              <m:t>l</m:t>
            </m:r>
          </m:e>
          <m:sub>
            <m:r>
              <m:rPr>
                <m:nor/>
              </m:rPr>
              <w:rPr>
                <w:rFonts w:ascii="Cambria Math" w:hAnsi="Cambria Math" w:cs="Arial"/>
              </w:rPr>
              <m:t>ex</m:t>
            </m:r>
          </m:sub>
        </m:sSub>
      </m:oMath>
      <w:r>
        <w:rPr>
          <w:rFonts w:eastAsiaTheme="minorEastAsia"/>
        </w:rPr>
        <w:t xml:space="preserve"> downwards when</w:t>
      </w:r>
      <w:r w:rsidR="00644BF5">
        <w:rPr>
          <w:rFonts w:eastAsiaTheme="minorEastAsia"/>
        </w:rPr>
        <w:t xml:space="preserve"> </w:t>
      </w:r>
      <w:r>
        <w:rPr>
          <w:rFonts w:eastAsiaTheme="minorEastAsia"/>
        </w:rPr>
        <w:t xml:space="preserve">depth hoar </w:t>
      </w:r>
      <w:r w:rsidR="002C675B">
        <w:rPr>
          <w:rFonts w:eastAsiaTheme="minorEastAsia"/>
        </w:rPr>
        <w:t xml:space="preserve">remains </w:t>
      </w:r>
      <w:r w:rsidR="00525B00">
        <w:rPr>
          <w:rFonts w:eastAsiaTheme="minorEastAsia"/>
        </w:rPr>
        <w:t xml:space="preserve">comparatively </w:t>
      </w:r>
      <w:r w:rsidR="002C675B">
        <w:rPr>
          <w:rFonts w:eastAsiaTheme="minorEastAsia"/>
        </w:rPr>
        <w:t>thin</w:t>
      </w:r>
      <w:r>
        <w:rPr>
          <w:rFonts w:eastAsiaTheme="minorEastAsia"/>
        </w:rPr>
        <w:t>. From a scattering perspective, small changes in shallow snowpack</w:t>
      </w:r>
      <w:r w:rsidR="00000479">
        <w:rPr>
          <w:rFonts w:eastAsiaTheme="minorEastAsia"/>
        </w:rPr>
        <w:t xml:space="preserve"> (&lt;30 cm)</w:t>
      </w:r>
      <w:r>
        <w:rPr>
          <w:rFonts w:eastAsiaTheme="minorEastAsia"/>
        </w:rPr>
        <w:t xml:space="preserve"> may </w:t>
      </w:r>
      <w:r w:rsidR="00C93D05">
        <w:rPr>
          <w:rFonts w:eastAsiaTheme="minorEastAsia"/>
        </w:rPr>
        <w:t xml:space="preserve">produce </w:t>
      </w:r>
      <w:r>
        <w:rPr>
          <w:rFonts w:eastAsiaTheme="minorEastAsia"/>
        </w:rPr>
        <w:t xml:space="preserve">strong variations in backscatter </w:t>
      </w:r>
      <w:r w:rsidR="00467ED3">
        <w:rPr>
          <w:rFonts w:eastAsiaTheme="minorEastAsia"/>
        </w:rPr>
        <w:t>where</w:t>
      </w:r>
      <w:r w:rsidR="00C93D05">
        <w:rPr>
          <w:rFonts w:eastAsiaTheme="minorEastAsia"/>
        </w:rPr>
        <w:t xml:space="preserve"> </w:t>
      </w:r>
      <w:r w:rsidR="00F55AB0">
        <w:rPr>
          <w:rFonts w:eastAsiaTheme="minorEastAsia"/>
        </w:rPr>
        <w:t>predominantly</w:t>
      </w:r>
      <w:r w:rsidR="002C675B">
        <w:rPr>
          <w:rFonts w:eastAsiaTheme="minorEastAsia"/>
        </w:rPr>
        <w:t xml:space="preserve"> large microstructures</w:t>
      </w:r>
      <w:r>
        <w:rPr>
          <w:rFonts w:eastAsiaTheme="minorEastAsia"/>
        </w:rPr>
        <w:t xml:space="preserve"> </w:t>
      </w:r>
      <w:r w:rsidR="00894EB4">
        <w:rPr>
          <w:rFonts w:eastAsiaTheme="minorEastAsia"/>
        </w:rPr>
        <w:t xml:space="preserve">of the depth hoar </w:t>
      </w:r>
      <w:r w:rsidR="00875E3B">
        <w:rPr>
          <w:rFonts w:eastAsiaTheme="minorEastAsia"/>
        </w:rPr>
        <w:t xml:space="preserve">are </w:t>
      </w:r>
      <w:r>
        <w:rPr>
          <w:rFonts w:eastAsiaTheme="minorEastAsia"/>
        </w:rPr>
        <w:t>involved. Inversely, where</w:t>
      </w:r>
      <w:r w:rsidR="00393A69">
        <w:rPr>
          <w:rFonts w:eastAsiaTheme="minorEastAsia"/>
        </w:rPr>
        <w:t xml:space="preserve"> </w:t>
      </w:r>
      <w:r w:rsidR="00754C85">
        <w:rPr>
          <w:rFonts w:eastAsiaTheme="minorEastAsia"/>
        </w:rPr>
        <w:t>changes are</w:t>
      </w:r>
      <w:r>
        <w:rPr>
          <w:rFonts w:eastAsiaTheme="minorEastAsia"/>
        </w:rPr>
        <w:t xml:space="preserve"> slab dominated (i.e. drifted snow) sensitivity</w:t>
      </w:r>
      <w:r w:rsidR="002C675B">
        <w:rPr>
          <w:rFonts w:eastAsiaTheme="minorEastAsia"/>
        </w:rPr>
        <w:t xml:space="preserve"> to SWE</w:t>
      </w:r>
      <w:r w:rsidR="00875E3B">
        <w:rPr>
          <w:rFonts w:eastAsiaTheme="minorEastAsia"/>
        </w:rPr>
        <w:t xml:space="preserve"> </w:t>
      </w:r>
      <w:r w:rsidR="00467ED3">
        <w:rPr>
          <w:rFonts w:eastAsiaTheme="minorEastAsia"/>
        </w:rPr>
        <w:t xml:space="preserve">may </w:t>
      </w:r>
      <w:r w:rsidR="00C93D05">
        <w:rPr>
          <w:rFonts w:eastAsiaTheme="minorEastAsia"/>
        </w:rPr>
        <w:t>be diminished</w:t>
      </w:r>
      <w:r w:rsidR="00875E3B">
        <w:rPr>
          <w:rFonts w:eastAsiaTheme="minorEastAsia"/>
        </w:rPr>
        <w:t xml:space="preserve"> </w:t>
      </w:r>
      <w:r w:rsidR="00393A69">
        <w:rPr>
          <w:rFonts w:eastAsiaTheme="minorEastAsia"/>
        </w:rPr>
        <w:t xml:space="preserve">because </w:t>
      </w:r>
      <w:r w:rsidR="00467ED3">
        <w:rPr>
          <w:rFonts w:eastAsiaTheme="minorEastAsia"/>
        </w:rPr>
        <w:t xml:space="preserve">of the reduction in contributing </w:t>
      </w:r>
      <w:r w:rsidR="00C93D05">
        <w:rPr>
          <w:rFonts w:eastAsiaTheme="minorEastAsia"/>
        </w:rPr>
        <w:t>microstructure</w:t>
      </w:r>
      <w:r>
        <w:rPr>
          <w:rFonts w:eastAsiaTheme="minorEastAsia"/>
        </w:rPr>
        <w:t>.</w:t>
      </w:r>
    </w:p>
    <w:p w:rsidR="00754C85" w:rsidRDefault="00754C85" w:rsidP="00754C85">
      <w:pPr>
        <w:pStyle w:val="MDPI22heading2"/>
        <w:spacing w:line="360" w:lineRule="auto"/>
      </w:pPr>
      <w:r>
        <w:t>3.2</w:t>
      </w:r>
      <w:r w:rsidRPr="0069154B">
        <w:t xml:space="preserve">. </w:t>
      </w:r>
      <w:r>
        <w:t xml:space="preserve">MEMLS validation and </w:t>
      </w:r>
      <w:r w:rsidR="001C1E77">
        <w:t>optimization</w:t>
      </w:r>
    </w:p>
    <w:p w:rsidR="002C675B" w:rsidRDefault="002C675B" w:rsidP="002C675B">
      <w:pPr>
        <w:spacing w:line="480" w:lineRule="auto"/>
      </w:pPr>
      <w:r>
        <w:t>In this section we generate a representative suite of MEMLS parametrizations and simulations to evaluate model skill and sensitivity</w:t>
      </w:r>
      <w:r w:rsidR="00FC6EB8">
        <w:t xml:space="preserve"> when applied </w:t>
      </w:r>
      <w:r w:rsidR="002B4F7A">
        <w:t>to</w:t>
      </w:r>
      <w:r w:rsidR="00FC6EB8">
        <w:t xml:space="preserve"> the observed tundra environment</w:t>
      </w:r>
      <w:r>
        <w:t xml:space="preserve">. MEMLS is </w:t>
      </w:r>
      <w:r w:rsidR="002B4F7A">
        <w:t>used</w:t>
      </w:r>
      <w:r>
        <w:t xml:space="preserve"> in forward simulation to compare against co-located SnowSAR measurements at the location of each snow pit. This serves to gauge model skill when detailed snow </w:t>
      </w:r>
      <w:r w:rsidR="00FC6EB8">
        <w:t xml:space="preserve">microstructure </w:t>
      </w:r>
      <w:r>
        <w:t>inputs are available, and to address the influence of unknowns, such as basal surface reflectivity</w:t>
      </w:r>
      <w:r w:rsidR="00FC55AC">
        <w:t>.</w:t>
      </w:r>
    </w:p>
    <w:p w:rsidR="00754C85" w:rsidRDefault="00754C85" w:rsidP="00754C85">
      <w:pPr>
        <w:pStyle w:val="MDPI23heading3"/>
        <w:spacing w:line="360" w:lineRule="auto"/>
        <w:rPr>
          <w:snapToGrid/>
          <w:color w:val="auto"/>
          <w:lang w:eastAsia="en-US" w:bidi="ar-SA"/>
        </w:rPr>
      </w:pPr>
      <w:r>
        <w:t>3</w:t>
      </w:r>
      <w:r w:rsidRPr="00F34C44">
        <w:t>.</w:t>
      </w:r>
      <w:r>
        <w:t>2</w:t>
      </w:r>
      <w:r w:rsidRPr="00F34C44">
        <w:t xml:space="preserve">.1. </w:t>
      </w:r>
      <w:r>
        <w:t xml:space="preserve">Forward model parametrization of </w:t>
      </w:r>
      <m:oMath>
        <m:sSub>
          <m:sSubPr>
            <m:ctrlPr>
              <w:rPr>
                <w:rFonts w:ascii="Cambria Math" w:eastAsiaTheme="minorHAnsi" w:hAnsi="Cambria Math" w:cstheme="minorBidi"/>
                <w:i/>
                <w:snapToGrid/>
                <w:color w:val="auto"/>
                <w:lang w:eastAsia="en-US" w:bidi="ar-SA"/>
              </w:rPr>
            </m:ctrlPr>
          </m:sSubPr>
          <m:e>
            <m:r>
              <w:rPr>
                <w:rFonts w:ascii="Cambria Math" w:eastAsiaTheme="minorHAnsi" w:hAnsi="Cambria Math" w:cstheme="minorBidi"/>
                <w:snapToGrid/>
                <w:color w:val="auto"/>
                <w:lang w:eastAsia="en-US" w:bidi="ar-SA"/>
              </w:rPr>
              <m:t>l</m:t>
            </m:r>
          </m:e>
          <m:sub>
            <m:r>
              <w:rPr>
                <w:rFonts w:ascii="Cambria Math" w:eastAsiaTheme="minorHAnsi" w:hAnsi="Cambria Math" w:cstheme="minorBidi"/>
                <w:snapToGrid/>
                <w:color w:val="auto"/>
                <w:lang w:eastAsia="en-US" w:bidi="ar-SA"/>
              </w:rPr>
              <m:t>ex</m:t>
            </m:r>
          </m:sub>
        </m:sSub>
      </m:oMath>
    </w:p>
    <w:p w:rsidR="00754C85" w:rsidRDefault="00754C85" w:rsidP="00754C85">
      <w:pPr>
        <w:spacing w:line="480" w:lineRule="auto"/>
        <w:rPr>
          <w:rFonts w:eastAsiaTheme="minorEastAsia"/>
        </w:rPr>
      </w:pPr>
      <w:r>
        <w:t xml:space="preserve">As has been established in passive microwave radiometry, </w:t>
      </w:r>
      <w:r>
        <w:rPr>
          <w:rFonts w:eastAsiaTheme="minorEastAsia"/>
        </w:rPr>
        <w:t>scaling of field-derived (</w:t>
      </w:r>
      <w:r>
        <w:t xml:space="preserve">Montpetit et al., 2013; Royer el al., 2017) </w:t>
      </w:r>
      <w:r>
        <w:rPr>
          <w:rFonts w:eastAsiaTheme="minorEastAsia"/>
        </w:rPr>
        <w:t xml:space="preserve">and modeled (Sandells et al., 2017) microstructural quantities </w:t>
      </w:r>
      <w:r w:rsidR="001B73DC">
        <w:rPr>
          <w:rFonts w:eastAsiaTheme="minorEastAsia"/>
        </w:rPr>
        <w:t>is</w:t>
      </w:r>
      <w:r>
        <w:rPr>
          <w:rFonts w:eastAsiaTheme="minorEastAsia"/>
        </w:rPr>
        <w:t xml:space="preserve"> often necessary to minimize forward model bias. </w:t>
      </w:r>
      <w:r>
        <w:t xml:space="preserve">Scaling factors applied in these studies vary by model, measurement method, and climate class of snow, but in general offer a practical approach to </w:t>
      </w:r>
      <w:r>
        <w:rPr>
          <w:rFonts w:eastAsiaTheme="minorEastAsia"/>
        </w:rPr>
        <w:t xml:space="preserve">establish representational equivalence between </w:t>
      </w:r>
      <w:r w:rsidR="00950787">
        <w:rPr>
          <w:rFonts w:eastAsiaTheme="minorEastAsia"/>
        </w:rPr>
        <w:t xml:space="preserve">model </w:t>
      </w:r>
      <w:r>
        <w:rPr>
          <w:rFonts w:eastAsiaTheme="minorEastAsia"/>
        </w:rPr>
        <w:t>input</w:t>
      </w:r>
      <w:r w:rsidR="001B73DC">
        <w:rPr>
          <w:rFonts w:eastAsiaTheme="minorEastAsia"/>
        </w:rPr>
        <w:t>s</w:t>
      </w:r>
      <w:r>
        <w:rPr>
          <w:rFonts w:eastAsiaTheme="minorEastAsia"/>
        </w:rPr>
        <w:t xml:space="preserve"> and real-world observables. To assess the need for scaling in the active case, a factor </w:t>
      </w:r>
      <m:oMath>
        <m:r>
          <m:rPr>
            <m:sty m:val="p"/>
          </m:rPr>
          <w:rPr>
            <w:rFonts w:ascii="Cambria Math" w:eastAsiaTheme="minorEastAsia" w:hAnsi="Cambria Math"/>
          </w:rPr>
          <m:t>ϕ</m:t>
        </m:r>
      </m:oMath>
      <w:r w:rsidR="00F55AB0">
        <w:rPr>
          <w:rFonts w:eastAsiaTheme="minorEastAsia"/>
        </w:rPr>
        <w:t xml:space="preserve"> between 0.1 and 2.0</w:t>
      </w:r>
      <w:r>
        <w:rPr>
          <w:rFonts w:eastAsiaTheme="minorEastAsia"/>
        </w:rPr>
        <w:t xml:space="preserve"> was applied to snow pit estimates of </w:t>
      </w:r>
      <m:oMath>
        <m:sSub>
          <m:sSubPr>
            <m:ctrlPr>
              <w:rPr>
                <w:rFonts w:ascii="Cambria Math" w:hAnsi="Cambria Math"/>
                <w:i/>
              </w:rPr>
            </m:ctrlPr>
          </m:sSubPr>
          <m:e>
            <m:r>
              <w:rPr>
                <w:rFonts w:ascii="Cambria Math" w:hAnsi="Cambria Math"/>
              </w:rPr>
              <m:t>l</m:t>
            </m:r>
          </m:e>
          <m:sub>
            <m:r>
              <m:rPr>
                <m:nor/>
              </m:rPr>
              <w:rPr>
                <w:rFonts w:ascii="Cambria Math" w:hAnsi="Cambria Math"/>
              </w:rPr>
              <m:t>ex</m:t>
            </m:r>
          </m:sub>
        </m:sSub>
      </m:oMath>
      <w:r>
        <w:rPr>
          <w:rFonts w:eastAsiaTheme="minorEastAsia"/>
        </w:rPr>
        <w:t>. An optimized factor</w:t>
      </w:r>
      <w:r w:rsidRPr="00827087">
        <w:rPr>
          <w:rFonts w:eastAsiaTheme="minorEastAsia"/>
        </w:rPr>
        <w:t xml:space="preserve"> (</w:t>
      </w:r>
      <m:oMath>
        <m:sSub>
          <m:sSubPr>
            <m:ctrlPr>
              <w:rPr>
                <w:rFonts w:ascii="Cambria Math" w:eastAsiaTheme="minorEastAsia" w:hAnsi="Cambria Math"/>
              </w:rPr>
            </m:ctrlPr>
          </m:sSubPr>
          <m:e>
            <m:r>
              <m:rPr>
                <m:sty m:val="p"/>
              </m:rPr>
              <w:rPr>
                <w:rFonts w:ascii="Cambria Math" w:eastAsiaTheme="minorEastAsia" w:hAnsi="Cambria Math"/>
              </w:rPr>
              <m:t>ϕ</m:t>
            </m:r>
          </m:e>
          <m:sub>
            <m:r>
              <m:rPr>
                <m:nor/>
              </m:rPr>
              <w:rPr>
                <w:rFonts w:ascii="Cambria Math" w:eastAsiaTheme="minorEastAsia" w:hAnsi="Cambria Math"/>
              </w:rPr>
              <m:t>opt</m:t>
            </m:r>
          </m:sub>
        </m:sSub>
      </m:oMath>
      <w:r w:rsidRPr="00827087">
        <w:rPr>
          <w:rFonts w:eastAsiaTheme="minorEastAsia"/>
        </w:rPr>
        <w:t>)</w:t>
      </w:r>
      <w:r>
        <w:rPr>
          <w:rFonts w:eastAsiaTheme="minorEastAsia"/>
          <w:b/>
        </w:rPr>
        <w:t xml:space="preserve"> </w:t>
      </w:r>
      <w:r>
        <w:rPr>
          <w:rFonts w:eastAsiaTheme="minorEastAsia"/>
        </w:rPr>
        <w:t>was determined by minimizing the mean absolute error (MAE) between SnowSAR (</w:t>
      </w:r>
      <m:oMath>
        <m:sSub>
          <m:sSubPr>
            <m:ctrlPr>
              <w:rPr>
                <w:rFonts w:ascii="Cambria Math" w:hAnsi="Cambria Math"/>
                <w:i/>
              </w:rPr>
            </m:ctrlPr>
          </m:sSubPr>
          <m:e>
            <m:r>
              <w:rPr>
                <w:rFonts w:ascii="Cambria Math" w:hAnsi="Cambria Math"/>
              </w:rPr>
              <m:t>σ</m:t>
            </m:r>
          </m:e>
          <m:sub>
            <m:r>
              <m:rPr>
                <m:nor/>
              </m:rPr>
              <w:rPr>
                <w:rFonts w:ascii="Cambria Math" w:hAnsi="Cambria Math"/>
              </w:rPr>
              <m:t>obs</m:t>
            </m:r>
          </m:sub>
        </m:sSub>
      </m:oMath>
      <w:r>
        <w:rPr>
          <w:rFonts w:eastAsiaTheme="minorEastAsia"/>
        </w:rPr>
        <w:t>) and MEMLS (</w:t>
      </w:r>
      <m:oMath>
        <m:sSub>
          <m:sSubPr>
            <m:ctrlPr>
              <w:rPr>
                <w:rFonts w:ascii="Cambria Math" w:hAnsi="Cambria Math"/>
                <w:i/>
              </w:rPr>
            </m:ctrlPr>
          </m:sSubPr>
          <m:e>
            <m:r>
              <w:rPr>
                <w:rFonts w:ascii="Cambria Math" w:hAnsi="Cambria Math"/>
              </w:rPr>
              <m:t>σ</m:t>
            </m:r>
          </m:e>
          <m:sub>
            <m:r>
              <m:rPr>
                <m:nor/>
              </m:rPr>
              <w:rPr>
                <w:rFonts w:ascii="Cambria Math" w:hAnsi="Cambria Math"/>
              </w:rPr>
              <m:t>mod</m:t>
            </m:r>
          </m:sub>
        </m:sSub>
      </m:oMath>
      <w:r>
        <w:rPr>
          <w:rFonts w:eastAsiaTheme="minorEastAsia"/>
        </w:rPr>
        <w:t>) for all available snow pits:</w:t>
      </w:r>
    </w:p>
    <w:p w:rsidR="00754C85" w:rsidRPr="00DE65D5" w:rsidRDefault="00CB3866" w:rsidP="00754C85">
      <w:pPr>
        <w:keepNext/>
        <w:jc w:val="center"/>
        <w:rPr>
          <w:rFonts w:eastAsiaTheme="minorEastAsia" w:cs="Helvetica"/>
          <w:sz w:val="18"/>
          <w:szCs w:val="18"/>
        </w:rPr>
      </w:pPr>
      <m:oMath>
        <m:sSub>
          <m:sSubPr>
            <m:ctrlPr>
              <w:rPr>
                <w:rFonts w:ascii="Cambria Math" w:hAnsi="Cambria Math"/>
              </w:rPr>
            </m:ctrlPr>
          </m:sSubPr>
          <m:e>
            <m:r>
              <m:rPr>
                <m:nor/>
              </m:rPr>
              <w:rPr>
                <w:rFonts w:ascii="Cambria Math" w:hAnsi="Cambria Math"/>
              </w:rPr>
              <m:t>MAE</m:t>
            </m:r>
          </m:e>
          <m:sub>
            <m:r>
              <m:rPr>
                <m:sty m:val="p"/>
              </m:rPr>
              <w:rPr>
                <w:rFonts w:ascii="Cambria Math" w:eastAsiaTheme="minorEastAsia" w:hAnsi="Cambria Math"/>
              </w:rPr>
              <m:t>ϕ</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σ</m:t>
                    </m:r>
                  </m:e>
                  <m:sub>
                    <m:r>
                      <m:rPr>
                        <m:nor/>
                      </m:rPr>
                      <w:rPr>
                        <w:rFonts w:ascii="Cambria Math" w:hAnsi="Cambria Math"/>
                      </w:rPr>
                      <m:t>mod</m:t>
                    </m:r>
                  </m:sub>
                  <m:sup>
                    <m:r>
                      <m:rPr>
                        <m:sty m:val="p"/>
                      </m:rPr>
                      <w:rPr>
                        <w:rFonts w:ascii="Cambria Math" w:hAnsi="Cambria Math"/>
                      </w:rPr>
                      <m:t>i</m:t>
                    </m:r>
                  </m:sup>
                </m:sSubSup>
                <m:d>
                  <m:dPr>
                    <m:ctrlPr>
                      <w:rPr>
                        <w:rFonts w:ascii="Cambria Math" w:hAnsi="Cambria Math"/>
                      </w:rPr>
                    </m:ctrlPr>
                  </m:dPr>
                  <m:e>
                    <m:sSub>
                      <m:sSubPr>
                        <m:ctrlPr>
                          <w:rPr>
                            <w:rFonts w:ascii="Cambria Math" w:hAnsi="Cambria Math"/>
                            <w:noProof/>
                          </w:rPr>
                        </m:ctrlPr>
                      </m:sSubPr>
                      <m:e>
                        <m:r>
                          <m:rPr>
                            <m:sty m:val="p"/>
                          </m:rPr>
                          <w:rPr>
                            <w:rFonts w:ascii="Cambria Math" w:eastAsiaTheme="minorEastAsia" w:hAnsi="Cambria Math"/>
                          </w:rPr>
                          <m:t>ϕ∙</m:t>
                        </m:r>
                        <m:r>
                          <w:rPr>
                            <w:rFonts w:ascii="Cambria Math" w:hAnsi="Cambria Math"/>
                          </w:rPr>
                          <m:t>l</m:t>
                        </m:r>
                      </m:e>
                      <m:sub>
                        <m:r>
                          <w:rPr>
                            <w:rFonts w:ascii="Cambria Math" w:hAnsi="Cambria Math"/>
                          </w:rPr>
                          <m:t>ex</m:t>
                        </m:r>
                      </m:sub>
                    </m:sSub>
                    <m:r>
                      <m:rPr>
                        <m:sty m:val="p"/>
                      </m:rPr>
                      <w:rPr>
                        <w:rFonts w:ascii="Cambria Math" w:hAnsi="Cambria Math"/>
                      </w:rPr>
                      <m:t>,</m:t>
                    </m:r>
                    <m:sSub>
                      <m:sSubPr>
                        <m:ctrlPr>
                          <w:rPr>
                            <w:rFonts w:ascii="Cambria Math" w:hAnsi="Cambria Math"/>
                            <w:i/>
                          </w:rPr>
                        </m:ctrlPr>
                      </m:sSubPr>
                      <m:e>
                        <m:r>
                          <w:rPr>
                            <w:rFonts w:ascii="Cambria Math" w:hAnsi="Cambria Math"/>
                          </w:rPr>
                          <m:t>x</m:t>
                        </m:r>
                      </m:e>
                      <m:sub>
                        <m:r>
                          <m:rPr>
                            <m:nor/>
                          </m:rPr>
                          <w:rPr>
                            <w:rFonts w:ascii="Cambria Math" w:hAnsi="Cambria Math"/>
                          </w:rPr>
                          <m:t>obs</m:t>
                        </m:r>
                      </m:sub>
                    </m:sSub>
                  </m:e>
                </m:d>
                <m:r>
                  <w:rPr>
                    <w:rFonts w:ascii="Cambria Math" w:hAnsi="Cambria Math"/>
                  </w:rPr>
                  <m:t xml:space="preserve">- </m:t>
                </m:r>
                <m:sSubSup>
                  <m:sSubSupPr>
                    <m:ctrlPr>
                      <w:rPr>
                        <w:rFonts w:ascii="Cambria Math" w:hAnsi="Cambria Math"/>
                        <w:i/>
                      </w:rPr>
                    </m:ctrlPr>
                  </m:sSubSupPr>
                  <m:e>
                    <m:r>
                      <w:rPr>
                        <w:rFonts w:ascii="Cambria Math" w:hAnsi="Cambria Math"/>
                      </w:rPr>
                      <m:t>σ</m:t>
                    </m:r>
                  </m:e>
                  <m:sub>
                    <m:r>
                      <m:rPr>
                        <m:nor/>
                      </m:rPr>
                      <w:rPr>
                        <w:rFonts w:ascii="Cambria Math" w:hAnsi="Cambria Math"/>
                      </w:rPr>
                      <m:t>obs</m:t>
                    </m:r>
                  </m:sub>
                  <m:sup>
                    <m:r>
                      <m:rPr>
                        <m:sty m:val="p"/>
                      </m:rPr>
                      <w:rPr>
                        <w:rFonts w:ascii="Cambria Math" w:hAnsi="Cambria Math"/>
                      </w:rPr>
                      <m:t>i</m:t>
                    </m:r>
                  </m:sup>
                </m:sSubSup>
              </m:e>
            </m:d>
          </m:e>
        </m:nary>
        <m:r>
          <w:rPr>
            <w:rFonts w:ascii="Cambria Math" w:hAnsi="Cambria Math"/>
          </w:rPr>
          <m:t xml:space="preserve"> </m:t>
        </m:r>
      </m:oMath>
      <w:r w:rsidR="00754C85" w:rsidRPr="00DE65D5">
        <w:rPr>
          <w:rFonts w:ascii="Cambria Math" w:eastAsiaTheme="minorEastAsia" w:hAnsi="Cambria Math"/>
        </w:rPr>
        <w:tab/>
      </w:r>
      <w:r w:rsidR="00754C85" w:rsidRPr="00DE65D5">
        <w:rPr>
          <w:rFonts w:cs="Helvetica"/>
          <w:sz w:val="18"/>
          <w:szCs w:val="18"/>
        </w:rPr>
        <w:t>(</w:t>
      </w:r>
      <w:r w:rsidR="00754C85">
        <w:rPr>
          <w:rFonts w:cs="Helvetica"/>
          <w:sz w:val="18"/>
          <w:szCs w:val="18"/>
        </w:rPr>
        <w:t>6</w:t>
      </w:r>
      <w:r w:rsidR="00754C85" w:rsidRPr="00DE65D5">
        <w:rPr>
          <w:rFonts w:cs="Helvetica"/>
          <w:sz w:val="18"/>
          <w:szCs w:val="18"/>
        </w:rPr>
        <w:t>)</w:t>
      </w:r>
    </w:p>
    <w:p w:rsidR="00754C85" w:rsidRPr="000A685F" w:rsidRDefault="00CB3866" w:rsidP="00754C85">
      <w:pPr>
        <w:pStyle w:val="Caption"/>
        <w:spacing w:line="360" w:lineRule="auto"/>
        <w:jc w:val="center"/>
        <w:rPr>
          <w:rFonts w:eastAsiaTheme="minorEastAsia"/>
          <w:b w:val="0"/>
          <w:color w:val="auto"/>
        </w:rPr>
      </w:pPr>
      <m:oMath>
        <m:sSub>
          <m:sSubPr>
            <m:ctrlPr>
              <w:rPr>
                <w:rFonts w:ascii="Cambria Math" w:eastAsiaTheme="minorEastAsia" w:hAnsi="Cambria Math"/>
                <w:b w:val="0"/>
                <w:color w:val="auto"/>
                <w:sz w:val="22"/>
                <w:szCs w:val="22"/>
              </w:rPr>
            </m:ctrlPr>
          </m:sSubPr>
          <m:e>
            <m:r>
              <m:rPr>
                <m:sty m:val="b"/>
              </m:rPr>
              <w:rPr>
                <w:rFonts w:ascii="Cambria Math" w:eastAsiaTheme="minorEastAsia" w:hAnsi="Cambria Math"/>
                <w:color w:val="auto"/>
                <w:sz w:val="22"/>
                <w:szCs w:val="22"/>
              </w:rPr>
              <m:t>ϕ</m:t>
            </m:r>
          </m:e>
          <m:sub>
            <m:r>
              <m:rPr>
                <m:nor/>
              </m:rPr>
              <w:rPr>
                <w:rFonts w:ascii="Cambria Math" w:eastAsiaTheme="minorEastAsia" w:hAnsi="Cambria Math"/>
                <w:b w:val="0"/>
                <w:color w:val="auto"/>
                <w:sz w:val="22"/>
                <w:szCs w:val="22"/>
              </w:rPr>
              <m:t>opt</m:t>
            </m:r>
          </m:sub>
        </m:sSub>
        <m:r>
          <m:rPr>
            <m:sty m:val="bi"/>
          </m:rPr>
          <w:rPr>
            <w:rFonts w:ascii="Cambria Math" w:eastAsiaTheme="minorEastAsia" w:hAnsi="Cambria Math"/>
            <w:color w:val="auto"/>
            <w:sz w:val="22"/>
            <w:szCs w:val="22"/>
          </w:rPr>
          <m:t>=</m:t>
        </m:r>
        <m:r>
          <m:rPr>
            <m:sty m:val="b"/>
          </m:rPr>
          <w:rPr>
            <w:rFonts w:ascii="Cambria Math" w:eastAsiaTheme="minorEastAsia" w:hAnsi="Cambria Math"/>
            <w:color w:val="auto"/>
            <w:sz w:val="22"/>
            <w:szCs w:val="22"/>
          </w:rPr>
          <m:t>min⁡</m:t>
        </m:r>
        <m:r>
          <m:rPr>
            <m:sty m:val="bi"/>
          </m:rPr>
          <w:rPr>
            <w:rFonts w:ascii="Cambria Math" w:eastAsiaTheme="minorEastAsia" w:hAnsi="Cambria Math"/>
            <w:color w:val="auto"/>
            <w:sz w:val="22"/>
            <w:szCs w:val="22"/>
          </w:rPr>
          <m:t>(</m:t>
        </m:r>
        <m:sSub>
          <m:sSubPr>
            <m:ctrlPr>
              <w:rPr>
                <w:rFonts w:ascii="Cambria Math" w:hAnsi="Cambria Math"/>
                <w:b w:val="0"/>
                <w:color w:val="auto"/>
                <w:sz w:val="22"/>
                <w:szCs w:val="22"/>
              </w:rPr>
            </m:ctrlPr>
          </m:sSubPr>
          <m:e>
            <m:r>
              <m:rPr>
                <m:nor/>
              </m:rPr>
              <w:rPr>
                <w:rFonts w:ascii="Cambria Math" w:hAnsi="Cambria Math"/>
                <w:b w:val="0"/>
                <w:color w:val="auto"/>
                <w:sz w:val="22"/>
                <w:szCs w:val="22"/>
              </w:rPr>
              <m:t>MAE</m:t>
            </m:r>
          </m:e>
          <m:sub>
            <m:r>
              <m:rPr>
                <m:sty m:val="b"/>
              </m:rPr>
              <w:rPr>
                <w:rFonts w:ascii="Cambria Math" w:eastAsiaTheme="minorEastAsia" w:hAnsi="Cambria Math"/>
                <w:color w:val="auto"/>
                <w:sz w:val="22"/>
                <w:szCs w:val="22"/>
              </w:rPr>
              <m:t>ϕ</m:t>
            </m:r>
          </m:sub>
        </m:sSub>
        <m:r>
          <m:rPr>
            <m:sty m:val="bi"/>
          </m:rPr>
          <w:rPr>
            <w:rFonts w:ascii="Cambria Math" w:eastAsiaTheme="minorEastAsia" w:hAnsi="Cambria Math"/>
            <w:color w:val="auto"/>
            <w:sz w:val="22"/>
            <w:szCs w:val="22"/>
          </w:rPr>
          <m:t>)</m:t>
        </m:r>
      </m:oMath>
      <w:r w:rsidR="00754C85" w:rsidRPr="000A685F">
        <w:rPr>
          <w:rFonts w:eastAsiaTheme="minorEastAsia"/>
          <w:b w:val="0"/>
          <w:color w:val="auto"/>
        </w:rPr>
        <w:t xml:space="preserve"> </w:t>
      </w:r>
      <w:r w:rsidR="00754C85" w:rsidRPr="000A685F">
        <w:rPr>
          <w:rFonts w:eastAsiaTheme="minorEastAsia"/>
          <w:b w:val="0"/>
          <w:color w:val="auto"/>
        </w:rPr>
        <w:tab/>
      </w:r>
      <w:r w:rsidR="00754C85" w:rsidRPr="000A685F">
        <w:rPr>
          <w:rFonts w:eastAsiaTheme="minorEastAsia"/>
          <w:b w:val="0"/>
          <w:color w:val="auto"/>
        </w:rPr>
        <w:tab/>
      </w:r>
      <w:r w:rsidR="00754C85" w:rsidRPr="000A685F">
        <w:rPr>
          <w:rFonts w:eastAsiaTheme="minorEastAsia"/>
          <w:b w:val="0"/>
          <w:color w:val="auto"/>
        </w:rPr>
        <w:tab/>
      </w:r>
      <w:r w:rsidR="00754C85" w:rsidRPr="000A685F">
        <w:rPr>
          <w:rFonts w:eastAsiaTheme="minorEastAsia"/>
          <w:b w:val="0"/>
          <w:color w:val="auto"/>
        </w:rPr>
        <w:tab/>
      </w:r>
      <w:r w:rsidR="00754C85" w:rsidRPr="000A685F">
        <w:rPr>
          <w:b w:val="0"/>
          <w:color w:val="auto"/>
        </w:rPr>
        <w:t>(7)</w:t>
      </w:r>
    </w:p>
    <w:p w:rsidR="00754C85" w:rsidRDefault="00754C85" w:rsidP="00754C85">
      <w:pPr>
        <w:spacing w:line="480" w:lineRule="auto"/>
      </w:pPr>
      <w:r>
        <w:rPr>
          <w:rFonts w:eastAsiaTheme="minorEastAsia"/>
        </w:rPr>
        <w:t>where snow property inputs (</w:t>
      </w:r>
      <m:oMath>
        <m:sSub>
          <m:sSubPr>
            <m:ctrlPr>
              <w:rPr>
                <w:rFonts w:ascii="Cambria Math" w:hAnsi="Cambria Math"/>
                <w:i/>
              </w:rPr>
            </m:ctrlPr>
          </m:sSubPr>
          <m:e>
            <m:r>
              <w:rPr>
                <w:rFonts w:ascii="Cambria Math" w:hAnsi="Cambria Math"/>
              </w:rPr>
              <m:t>x</m:t>
            </m:r>
          </m:e>
          <m:sub>
            <m:r>
              <m:rPr>
                <m:nor/>
              </m:rPr>
              <w:rPr>
                <w:rFonts w:ascii="Cambria Math" w:hAnsi="Cambria Math"/>
              </w:rPr>
              <m:t>obs</m:t>
            </m:r>
          </m:sub>
        </m:sSub>
        <m:r>
          <w:rPr>
            <w:rFonts w:ascii="Cambria Math" w:hAnsi="Cambria Math"/>
          </w:rPr>
          <m:t>)</m:t>
        </m:r>
      </m:oMath>
      <w:r>
        <w:rPr>
          <w:rFonts w:eastAsiaTheme="minorEastAsia"/>
        </w:rPr>
        <w:t xml:space="preserve"> other than </w:t>
      </w:r>
      <m:oMath>
        <m:sSub>
          <m:sSubPr>
            <m:ctrlPr>
              <w:rPr>
                <w:rFonts w:ascii="Cambria Math" w:hAnsi="Cambria Math"/>
                <w:i/>
              </w:rPr>
            </m:ctrlPr>
          </m:sSubPr>
          <m:e>
            <m:r>
              <w:rPr>
                <w:rFonts w:ascii="Cambria Math" w:hAnsi="Cambria Math"/>
              </w:rPr>
              <m:t>l</m:t>
            </m:r>
          </m:e>
          <m:sub>
            <m:r>
              <m:rPr>
                <m:nor/>
              </m:rPr>
              <w:rPr>
                <w:rFonts w:ascii="Cambria Math" w:hAnsi="Cambria Math"/>
              </w:rPr>
              <m:t>ex</m:t>
            </m:r>
          </m:sub>
        </m:sSub>
        <m:r>
          <w:rPr>
            <w:rFonts w:ascii="Cambria Math" w:hAnsi="Cambria Math"/>
          </w:rPr>
          <m:t xml:space="preserve"> </m:t>
        </m:r>
      </m:oMath>
      <w:r>
        <w:rPr>
          <w:rFonts w:eastAsiaTheme="minorEastAsia"/>
        </w:rPr>
        <w:t xml:space="preserve"> were held constant and </w:t>
      </w:r>
      <m:oMath>
        <m:r>
          <w:rPr>
            <w:rFonts w:ascii="Cambria Math" w:hAnsi="Cambria Math"/>
          </w:rPr>
          <m:t>σ</m:t>
        </m:r>
      </m:oMath>
      <w:r>
        <w:rPr>
          <w:rFonts w:eastAsiaTheme="minorEastAsia"/>
        </w:rPr>
        <w:t xml:space="preserve"> </w:t>
      </w:r>
      <w:r w:rsidR="001D2D60">
        <w:rPr>
          <w:rFonts w:eastAsiaTheme="minorEastAsia"/>
        </w:rPr>
        <w:t>are</w:t>
      </w:r>
      <w:r>
        <w:rPr>
          <w:rFonts w:eastAsiaTheme="minorEastAsia"/>
        </w:rPr>
        <w:t xml:space="preserve"> </w:t>
      </w:r>
      <w:r w:rsidR="001D2D60">
        <w:rPr>
          <w:rFonts w:eastAsiaTheme="minorEastAsia"/>
        </w:rPr>
        <w:t>in</w:t>
      </w:r>
      <w:r>
        <w:rPr>
          <w:rFonts w:eastAsiaTheme="minorEastAsia"/>
        </w:rPr>
        <w:t xml:space="preserve"> linear units. </w:t>
      </w:r>
      <w:r>
        <w:t xml:space="preserve">Only the higher frequency 17.2 GHz SnowSAR measurements were considered in this evaluation to limit influence of the snow-ground interface. Background reflectivity was approximated with </w:t>
      </w:r>
      <w:r>
        <w:rPr>
          <w:i/>
        </w:rPr>
        <w:t xml:space="preserve">h </w:t>
      </w:r>
      <w:r>
        <w:t xml:space="preserve">of </w:t>
      </w:r>
      <w:r w:rsidRPr="003F2BD0">
        <w:t>1</w:t>
      </w:r>
      <w:r>
        <w:t xml:space="preserve">.0 cm, and additional input parameters detailed in section 2.3.2. </w:t>
      </w:r>
      <w:r w:rsidRPr="00E75C9C">
        <w:t>Given</w:t>
      </w:r>
      <w:r>
        <w:t xml:space="preserve"> that the cross-polarized outputs of MEMLS</w:t>
      </w:r>
      <w:r w:rsidR="001B73DC">
        <w:t xml:space="preserve"> </w:t>
      </w:r>
      <w:r>
        <w:t>are scaled quantities of the co-polarized (Proksch et al., 2015), they add no independent information and were therefore not considered in the optimization.</w:t>
      </w:r>
    </w:p>
    <w:p w:rsidR="004B1F50" w:rsidRPr="00814881" w:rsidRDefault="00754C85" w:rsidP="004B1F50">
      <w:pPr>
        <w:spacing w:line="480" w:lineRule="auto"/>
      </w:pPr>
      <w:r>
        <w:t xml:space="preserve">Figure </w:t>
      </w:r>
      <w:r w:rsidR="00565C65">
        <w:t>7</w:t>
      </w:r>
      <w:r>
        <w:t xml:space="preserve"> introduces modeled</w:t>
      </w:r>
      <w:r w:rsidRPr="00C40601">
        <w:t xml:space="preserve"> </w:t>
      </w:r>
      <w:r>
        <w:t xml:space="preserve">MAE as a function of </w:t>
      </w:r>
      <m:oMath>
        <m:r>
          <m:rPr>
            <m:sty m:val="p"/>
          </m:rPr>
          <w:rPr>
            <w:rFonts w:ascii="Cambria Math" w:eastAsiaTheme="minorEastAsia" w:hAnsi="Cambria Math"/>
          </w:rPr>
          <m:t>ϕ</m:t>
        </m:r>
      </m:oMath>
      <w:r>
        <w:t xml:space="preserve"> in 1-, 2-, and n-layer configurations of MEMLS. In each case, errors were minimized with positive scaling of </w:t>
      </w:r>
      <m:oMath>
        <m:sSub>
          <m:sSubPr>
            <m:ctrlPr>
              <w:rPr>
                <w:rFonts w:ascii="Cambria Math" w:hAnsi="Cambria Math"/>
                <w:i/>
              </w:rPr>
            </m:ctrlPr>
          </m:sSubPr>
          <m:e>
            <m:r>
              <w:rPr>
                <w:rFonts w:ascii="Cambria Math" w:hAnsi="Cambria Math"/>
              </w:rPr>
              <m:t>l</m:t>
            </m:r>
          </m:e>
          <m:sub>
            <m:r>
              <m:rPr>
                <m:nor/>
              </m:rPr>
              <w:rPr>
                <w:rFonts w:ascii="Cambria Math" w:hAnsi="Cambria Math"/>
              </w:rPr>
              <m:t>ex</m:t>
            </m:r>
          </m:sub>
        </m:sSub>
      </m:oMath>
      <w:r>
        <w:rPr>
          <w:rFonts w:eastAsiaTheme="minorEastAsia"/>
        </w:rPr>
        <w:t xml:space="preserve"> (i.e. larger than the IRIS estimated values)</w:t>
      </w:r>
      <w:r>
        <w:t xml:space="preserve">, although the retrieved </w:t>
      </w:r>
      <m:oMath>
        <m:sSub>
          <m:sSubPr>
            <m:ctrlPr>
              <w:rPr>
                <w:rFonts w:ascii="Cambria Math" w:eastAsiaTheme="minorEastAsia" w:hAnsi="Cambria Math"/>
              </w:rPr>
            </m:ctrlPr>
          </m:sSubPr>
          <m:e>
            <m:r>
              <m:rPr>
                <m:sty m:val="p"/>
              </m:rPr>
              <w:rPr>
                <w:rFonts w:ascii="Cambria Math" w:eastAsiaTheme="minorEastAsia" w:hAnsi="Cambria Math"/>
              </w:rPr>
              <m:t>ϕ</m:t>
            </m:r>
          </m:e>
          <m:sub>
            <m:r>
              <m:rPr>
                <m:nor/>
              </m:rPr>
              <w:rPr>
                <w:rFonts w:ascii="Cambria Math" w:eastAsiaTheme="minorEastAsia" w:hAnsi="Cambria Math"/>
              </w:rPr>
              <m:t>opt</m:t>
            </m:r>
          </m:sub>
        </m:sSub>
      </m:oMath>
      <w:r>
        <w:rPr>
          <w:rFonts w:eastAsiaTheme="minorEastAsia"/>
        </w:rPr>
        <w:t xml:space="preserve"> </w:t>
      </w:r>
      <w:r>
        <w:t>was dependent on layer configuration. As a single layer, global MAE</w:t>
      </w:r>
      <w:r>
        <w:rPr>
          <w:rFonts w:eastAsiaTheme="minorEastAsia"/>
        </w:rPr>
        <w:t xml:space="preserve"> was minimized with </w:t>
      </w:r>
      <m:oMath>
        <m:r>
          <m:rPr>
            <m:sty m:val="p"/>
          </m:rPr>
          <w:rPr>
            <w:rFonts w:ascii="Cambria Math" w:eastAsiaTheme="minorEastAsia" w:hAnsi="Cambria Math"/>
          </w:rPr>
          <m:t>ϕ</m:t>
        </m:r>
      </m:oMath>
      <w:r>
        <w:rPr>
          <w:rFonts w:eastAsiaTheme="minorEastAsia"/>
        </w:rPr>
        <w:t xml:space="preserve"> scaling of 1.37.</w:t>
      </w:r>
      <w:r>
        <w:t xml:space="preserve"> </w:t>
      </w:r>
      <w:r>
        <w:rPr>
          <w:rFonts w:eastAsiaTheme="minorEastAsia"/>
        </w:rPr>
        <w:t xml:space="preserve">While </w:t>
      </w:r>
      <m:oMath>
        <m:sSub>
          <m:sSubPr>
            <m:ctrlPr>
              <w:rPr>
                <w:rFonts w:ascii="Cambria Math" w:eastAsiaTheme="minorEastAsia" w:hAnsi="Cambria Math"/>
              </w:rPr>
            </m:ctrlPr>
          </m:sSubPr>
          <m:e>
            <m:r>
              <m:rPr>
                <m:sty m:val="p"/>
              </m:rPr>
              <w:rPr>
                <w:rFonts w:ascii="Cambria Math" w:eastAsiaTheme="minorEastAsia" w:hAnsi="Cambria Math"/>
              </w:rPr>
              <m:t>ϕ</m:t>
            </m:r>
          </m:e>
          <m:sub>
            <m:r>
              <m:rPr>
                <m:nor/>
              </m:rPr>
              <w:rPr>
                <w:rFonts w:ascii="Cambria Math" w:eastAsiaTheme="minorEastAsia" w:hAnsi="Cambria Math"/>
              </w:rPr>
              <m:t>opt</m:t>
            </m:r>
          </m:sub>
        </m:sSub>
      </m:oMath>
      <w:r>
        <w:rPr>
          <w:rFonts w:eastAsiaTheme="minorEastAsia"/>
        </w:rPr>
        <w:t xml:space="preserve"> inherently describes a single point of convergence</w:t>
      </w:r>
      <w:r>
        <w:t xml:space="preserve">, optimal scaling of individual </w:t>
      </w:r>
      <w:r>
        <w:rPr>
          <w:rFonts w:eastAsiaTheme="minorEastAsia"/>
        </w:rPr>
        <w:t xml:space="preserve">1-layer snow pits ranged from </w:t>
      </w:r>
      <w:r>
        <w:t>1.13 to 1.73 with a standard deviation of 0.17.</w:t>
      </w:r>
      <w:r>
        <w:rPr>
          <w:rFonts w:eastAsiaTheme="minorEastAsia"/>
        </w:rPr>
        <w:t xml:space="preserve"> </w:t>
      </w:r>
      <w:r>
        <w:t xml:space="preserve">Divided into separate slab and hoar components as a 2-layer configuration, </w:t>
      </w:r>
      <m:oMath>
        <m:sSub>
          <m:sSubPr>
            <m:ctrlPr>
              <w:rPr>
                <w:rFonts w:ascii="Cambria Math" w:eastAsiaTheme="minorEastAsia" w:hAnsi="Cambria Math"/>
              </w:rPr>
            </m:ctrlPr>
          </m:sSubPr>
          <m:e>
            <m:r>
              <m:rPr>
                <m:sty m:val="p"/>
              </m:rPr>
              <w:rPr>
                <w:rFonts w:ascii="Cambria Math" w:eastAsiaTheme="minorEastAsia" w:hAnsi="Cambria Math"/>
              </w:rPr>
              <m:t>ϕ</m:t>
            </m:r>
          </m:e>
          <m:sub>
            <m:r>
              <m:rPr>
                <m:nor/>
              </m:rPr>
              <w:rPr>
                <w:rFonts w:ascii="Cambria Math" w:eastAsiaTheme="minorEastAsia" w:hAnsi="Cambria Math"/>
              </w:rPr>
              <m:t>opt</m:t>
            </m:r>
          </m:sub>
        </m:sSub>
      </m:oMath>
      <w:r>
        <w:t xml:space="preserve"> was reduced to 1.08. The change</w:t>
      </w:r>
      <w:r w:rsidR="009E6D17">
        <w:t xml:space="preserve"> in</w:t>
      </w:r>
      <w:r>
        <w:t xml:space="preserve"> </w:t>
      </w:r>
      <m:oMath>
        <m:sSub>
          <m:sSubPr>
            <m:ctrlPr>
              <w:rPr>
                <w:rFonts w:ascii="Cambria Math" w:eastAsiaTheme="minorEastAsia" w:hAnsi="Cambria Math"/>
              </w:rPr>
            </m:ctrlPr>
          </m:sSubPr>
          <m:e>
            <m:r>
              <m:rPr>
                <m:sty m:val="p"/>
              </m:rPr>
              <w:rPr>
                <w:rFonts w:ascii="Cambria Math" w:eastAsiaTheme="minorEastAsia" w:hAnsi="Cambria Math"/>
              </w:rPr>
              <m:t>ϕ</m:t>
            </m:r>
          </m:e>
          <m:sub>
            <m:r>
              <m:rPr>
                <m:nor/>
              </m:rPr>
              <w:rPr>
                <w:rFonts w:ascii="Cambria Math" w:eastAsiaTheme="minorEastAsia" w:hAnsi="Cambria Math"/>
              </w:rPr>
              <m:t>opt</m:t>
            </m:r>
          </m:sub>
        </m:sSub>
      </m:oMath>
      <w:r>
        <w:t xml:space="preserve"> was accompanied by a smaller standard deviation of 0.09, signifying stronger agreement </w:t>
      </w:r>
      <w:r w:rsidR="009E6D17">
        <w:t>amongst the individual snow pit optimizations</w:t>
      </w:r>
      <w:r>
        <w:t xml:space="preserve">. The n-Layer results were comparable, with  </w:t>
      </w:r>
      <m:oMath>
        <m:sSub>
          <m:sSubPr>
            <m:ctrlPr>
              <w:rPr>
                <w:rFonts w:ascii="Cambria Math" w:eastAsiaTheme="minorEastAsia" w:hAnsi="Cambria Math"/>
              </w:rPr>
            </m:ctrlPr>
          </m:sSubPr>
          <m:e>
            <m:r>
              <m:rPr>
                <m:sty m:val="p"/>
              </m:rPr>
              <w:rPr>
                <w:rFonts w:ascii="Cambria Math" w:eastAsiaTheme="minorEastAsia" w:hAnsi="Cambria Math"/>
              </w:rPr>
              <m:t>ϕ</m:t>
            </m:r>
          </m:e>
          <m:sub>
            <m:r>
              <m:rPr>
                <m:sty m:val="p"/>
              </m:rPr>
              <w:rPr>
                <w:rFonts w:ascii="Cambria Math" w:eastAsiaTheme="minorEastAsia" w:hAnsi="Cambria Math"/>
              </w:rPr>
              <m:t>opt</m:t>
            </m:r>
          </m:sub>
        </m:sSub>
        <m:r>
          <m:rPr>
            <m:sty m:val="p"/>
          </m:rPr>
          <w:rPr>
            <w:rFonts w:ascii="Cambria Math" w:hAnsi="Cambria Math"/>
          </w:rPr>
          <m:t xml:space="preserve"> </m:t>
        </m:r>
      </m:oMath>
      <w:r>
        <w:t xml:space="preserve"> of 1.09, and a standard deviation of 0.11. Given the power relationship between </w:t>
      </w:r>
      <m:oMath>
        <m:sSub>
          <m:sSubPr>
            <m:ctrlPr>
              <w:rPr>
                <w:rFonts w:ascii="Cambria Math" w:hAnsi="Cambria Math"/>
                <w:i/>
              </w:rPr>
            </m:ctrlPr>
          </m:sSubPr>
          <m:e>
            <m:r>
              <w:rPr>
                <w:rFonts w:ascii="Cambria Math" w:hAnsi="Cambria Math"/>
              </w:rPr>
              <m:t>l</m:t>
            </m:r>
          </m:e>
          <m:sub>
            <m:r>
              <m:rPr>
                <m:nor/>
              </m:rPr>
              <w:rPr>
                <w:rFonts w:ascii="Cambria Math" w:hAnsi="Cambria Math"/>
              </w:rPr>
              <m:t>ex</m:t>
            </m:r>
          </m:sub>
        </m:sSub>
      </m:oMath>
      <w:r>
        <w:t xml:space="preserve"> and scattering, the difference between configurations when depth hoar is considered as a separate layer is important, as reflected in the 21% reduction of </w:t>
      </w:r>
      <m:oMath>
        <m:sSub>
          <m:sSubPr>
            <m:ctrlPr>
              <w:rPr>
                <w:rFonts w:ascii="Cambria Math" w:eastAsiaTheme="minorEastAsia" w:hAnsi="Cambria Math"/>
              </w:rPr>
            </m:ctrlPr>
          </m:sSubPr>
          <m:e>
            <m:r>
              <m:rPr>
                <m:sty m:val="p"/>
              </m:rPr>
              <w:rPr>
                <w:rFonts w:ascii="Cambria Math" w:eastAsiaTheme="minorEastAsia" w:hAnsi="Cambria Math"/>
              </w:rPr>
              <m:t>ϕ</m:t>
            </m:r>
          </m:e>
          <m:sub>
            <m:r>
              <m:rPr>
                <m:nor/>
              </m:rPr>
              <w:rPr>
                <w:rFonts w:ascii="Cambria Math" w:eastAsiaTheme="minorEastAsia" w:hAnsi="Cambria Math"/>
              </w:rPr>
              <m:t>opt</m:t>
            </m:r>
          </m:sub>
        </m:sSub>
      </m:oMath>
      <w:r>
        <w:rPr>
          <w:rFonts w:eastAsiaTheme="minorEastAsia"/>
        </w:rPr>
        <w:t xml:space="preserve">. </w:t>
      </w:r>
      <w:r>
        <w:t>The close agreement between the 2- and n-layer models is viewed positively, as it suggests that a 2-layer simplification</w:t>
      </w:r>
      <w:r w:rsidR="00F82931">
        <w:t xml:space="preserve"> is sufficient for tundra snow.</w:t>
      </w:r>
    </w:p>
    <w:tbl>
      <w:tblPr>
        <w:tblW w:w="0" w:type="auto"/>
        <w:tblLook w:val="04A0" w:firstRow="1" w:lastRow="0" w:firstColumn="1" w:lastColumn="0" w:noHBand="0" w:noVBand="1"/>
      </w:tblPr>
      <w:tblGrid>
        <w:gridCol w:w="4413"/>
        <w:gridCol w:w="4413"/>
      </w:tblGrid>
      <w:tr w:rsidR="004B1F50" w:rsidTr="00AB4D9C">
        <w:trPr>
          <w:trHeight w:val="2440"/>
        </w:trPr>
        <w:tc>
          <w:tcPr>
            <w:tcW w:w="4413" w:type="dxa"/>
          </w:tcPr>
          <w:p w:rsidR="004B1F50" w:rsidRDefault="00E8708B" w:rsidP="00AB4D9C">
            <w:r>
              <w:rPr>
                <w:noProof/>
                <w:lang w:val="en-GB" w:eastAsia="en-GB"/>
              </w:rPr>
              <w:drawing>
                <wp:inline distT="0" distB="0" distL="0" distR="0">
                  <wp:extent cx="2638800" cy="1980000"/>
                  <wp:effectExtent l="0" t="0" r="9525" b="1270"/>
                  <wp:docPr id="13" name="Picture 13" descr="D:\Josh\Figure_7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osh\Figure_7A.ti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8800" cy="1980000"/>
                          </a:xfrm>
                          <a:prstGeom prst="rect">
                            <a:avLst/>
                          </a:prstGeom>
                          <a:noFill/>
                          <a:ln>
                            <a:noFill/>
                          </a:ln>
                        </pic:spPr>
                      </pic:pic>
                    </a:graphicData>
                  </a:graphic>
                </wp:inline>
              </w:drawing>
            </w:r>
          </w:p>
        </w:tc>
        <w:tc>
          <w:tcPr>
            <w:tcW w:w="4413" w:type="dxa"/>
          </w:tcPr>
          <w:p w:rsidR="004B1F50" w:rsidRDefault="00F82931" w:rsidP="00AB4D9C">
            <w:pPr>
              <w:jc w:val="center"/>
            </w:pPr>
            <w:r>
              <w:rPr>
                <w:noProof/>
                <w:lang w:val="en-GB" w:eastAsia="en-GB"/>
              </w:rPr>
              <w:drawing>
                <wp:inline distT="0" distB="0" distL="0" distR="0" wp14:anchorId="174F2A7F" wp14:editId="531DFDD6">
                  <wp:extent cx="2638800" cy="1980000"/>
                  <wp:effectExtent l="0" t="0" r="9525" b="1270"/>
                  <wp:docPr id="12" name="Picture 12" descr="D:\Josh\Figure_7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osh\Figure_7B.ti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8800" cy="1980000"/>
                          </a:xfrm>
                          <a:prstGeom prst="rect">
                            <a:avLst/>
                          </a:prstGeom>
                          <a:noFill/>
                          <a:ln>
                            <a:noFill/>
                          </a:ln>
                        </pic:spPr>
                      </pic:pic>
                    </a:graphicData>
                  </a:graphic>
                </wp:inline>
              </w:drawing>
            </w:r>
          </w:p>
        </w:tc>
      </w:tr>
    </w:tbl>
    <w:p w:rsidR="00754C85" w:rsidRDefault="00754C85" w:rsidP="00754C85">
      <w:pPr>
        <w:pStyle w:val="Caption"/>
        <w:spacing w:line="360" w:lineRule="auto"/>
        <w:rPr>
          <w:color w:val="000000" w:themeColor="text1"/>
        </w:rPr>
      </w:pPr>
      <w:r w:rsidRPr="006F4AB9">
        <w:rPr>
          <w:color w:val="000000" w:themeColor="text1"/>
        </w:rPr>
        <w:t xml:space="preserve">Figure </w:t>
      </w:r>
      <w:r w:rsidR="00565C65">
        <w:rPr>
          <w:noProof/>
          <w:color w:val="000000" w:themeColor="text1"/>
        </w:rPr>
        <w:t>7</w:t>
      </w:r>
      <w:r>
        <w:rPr>
          <w:color w:val="000000" w:themeColor="text1"/>
        </w:rPr>
        <w:t xml:space="preserve">: Optimization of exponential </w:t>
      </w:r>
      <w:r w:rsidRPr="006F4AB9">
        <w:rPr>
          <w:color w:val="000000" w:themeColor="text1"/>
        </w:rPr>
        <w:t>correlation length</w:t>
      </w:r>
      <w:r>
        <w:rPr>
          <w:color w:val="000000" w:themeColor="text1"/>
        </w:rPr>
        <w:t xml:space="preserve"> </w:t>
      </w:r>
      <w:r w:rsidRPr="00CB27EA">
        <w:rPr>
          <w:rFonts w:eastAsiaTheme="minorEastAsia"/>
          <w:color w:val="000000" w:themeColor="text1"/>
        </w:rPr>
        <w:t>(</w:t>
      </w:r>
      <m:oMath>
        <m:sSub>
          <m:sSubPr>
            <m:ctrlPr>
              <w:rPr>
                <w:rFonts w:ascii="Cambria Math" w:hAnsi="Cambria Math"/>
                <w:noProof/>
                <w:color w:val="000000" w:themeColor="text1"/>
              </w:rPr>
            </m:ctrlPr>
          </m:sSubPr>
          <m:e>
            <m:r>
              <m:rPr>
                <m:sty m:val="bi"/>
              </m:rPr>
              <w:rPr>
                <w:rFonts w:ascii="Cambria Math" w:hAnsi="Cambria Math"/>
                <w:color w:val="000000" w:themeColor="text1"/>
              </w:rPr>
              <m:t>l</m:t>
            </m:r>
          </m:e>
          <m:sub>
            <m:r>
              <m:rPr>
                <m:sty m:val="bi"/>
              </m:rPr>
              <w:rPr>
                <w:rFonts w:ascii="Cambria Math" w:hAnsi="Cambria Math"/>
                <w:color w:val="000000" w:themeColor="text1"/>
              </w:rPr>
              <m:t>ex</m:t>
            </m:r>
          </m:sub>
        </m:sSub>
      </m:oMath>
      <w:r w:rsidRPr="00CB27EA">
        <w:rPr>
          <w:rFonts w:eastAsiaTheme="minorEastAsia"/>
          <w:color w:val="000000" w:themeColor="text1"/>
        </w:rPr>
        <w:t>)</w:t>
      </w:r>
      <w:r w:rsidRPr="00CB27EA">
        <w:rPr>
          <w:color w:val="000000" w:themeColor="text1"/>
        </w:rPr>
        <w:t xml:space="preserve"> </w:t>
      </w:r>
      <w:r w:rsidRPr="006F4AB9">
        <w:rPr>
          <w:color w:val="000000" w:themeColor="text1"/>
        </w:rPr>
        <w:t>at 17.2 GHz</w:t>
      </w:r>
      <w:r>
        <w:rPr>
          <w:color w:val="000000" w:themeColor="text1"/>
        </w:rPr>
        <w:t xml:space="preserve"> (A) by way of scaling </w:t>
      </w:r>
      <w:r w:rsidRPr="00CB27EA">
        <w:rPr>
          <w:color w:val="000000" w:themeColor="text1"/>
        </w:rPr>
        <w:t>(</w:t>
      </w:r>
      <m:oMath>
        <m:r>
          <m:rPr>
            <m:sty m:val="b"/>
          </m:rPr>
          <w:rPr>
            <w:rFonts w:ascii="Cambria Math" w:eastAsiaTheme="minorEastAsia" w:hAnsi="Cambria Math"/>
            <w:color w:val="000000" w:themeColor="text1"/>
          </w:rPr>
          <m:t>ϕ</m:t>
        </m:r>
      </m:oMath>
      <w:r w:rsidRPr="00CB27EA">
        <w:rPr>
          <w:color w:val="000000" w:themeColor="text1"/>
        </w:rPr>
        <w:t xml:space="preserve">) </w:t>
      </w:r>
      <w:r>
        <w:rPr>
          <w:color w:val="000000" w:themeColor="text1"/>
        </w:rPr>
        <w:t>in 1-, 2-, and n-layer configurations of MEMLS. Soil roughness (</w:t>
      </w:r>
      <m:oMath>
        <m:r>
          <m:rPr>
            <m:sty m:val="bi"/>
          </m:rPr>
          <w:rPr>
            <w:rFonts w:ascii="Cambria Math" w:hAnsi="Cambria Math"/>
            <w:color w:val="000000" w:themeColor="text1"/>
          </w:rPr>
          <m:t>h</m:t>
        </m:r>
      </m:oMath>
      <w:r>
        <w:rPr>
          <w:color w:val="000000" w:themeColor="text1"/>
        </w:rPr>
        <w:t>) sensitivity analysis at 9.6 GHz (B) using the reflectivity mo</w:t>
      </w:r>
      <w:r w:rsidRPr="00CB27EA">
        <w:rPr>
          <w:color w:val="000000" w:themeColor="text1"/>
        </w:rPr>
        <w:t>del of Wegmüller and Mätzler (1999).</w:t>
      </w:r>
    </w:p>
    <w:p w:rsidR="00565C65" w:rsidRDefault="00565C65" w:rsidP="00565C65">
      <w:pPr>
        <w:spacing w:line="480" w:lineRule="auto"/>
        <w:rPr>
          <w:rFonts w:eastAsiaTheme="minorEastAsia"/>
        </w:rPr>
      </w:pPr>
      <w:r>
        <w:t>Microstructure optimized</w:t>
      </w:r>
      <w:r>
        <w:rPr>
          <w:rFonts w:eastAsiaTheme="minorEastAsia"/>
        </w:rPr>
        <w:t xml:space="preserve"> estimates of </w:t>
      </w:r>
      <w:r w:rsidR="009E6D17">
        <w:rPr>
          <w:rFonts w:eastAsiaTheme="minorEastAsia"/>
        </w:rPr>
        <w:t>MEMLS</w:t>
      </w:r>
      <w:r>
        <w:rPr>
          <w:rFonts w:eastAsiaTheme="minorEastAsia"/>
        </w:rPr>
        <w:t xml:space="preserve"> backscatter at 17.2 GHz</w:t>
      </w:r>
      <w:r>
        <w:rPr>
          <w:rFonts w:eastAsiaTheme="minorEastAsia"/>
          <w:vertAlign w:val="superscript"/>
        </w:rPr>
        <w:t xml:space="preserve"> </w:t>
      </w:r>
      <w:r>
        <w:rPr>
          <w:rFonts w:eastAsiaTheme="minorEastAsia"/>
        </w:rPr>
        <w:t>are compared against the co-located SnowSAR measurements in Figure 8</w:t>
      </w:r>
      <w:r w:rsidR="00021F71">
        <w:rPr>
          <w:rFonts w:eastAsiaTheme="minorEastAsia"/>
        </w:rPr>
        <w:t>A</w:t>
      </w:r>
      <w:r>
        <w:rPr>
          <w:rFonts w:eastAsiaTheme="minorEastAsia"/>
        </w:rPr>
        <w:t xml:space="preserve">, using the derived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rPr>
              <m:t>ϕ</m:t>
            </m:r>
          </m:e>
          <m:sub>
            <m:r>
              <m:rPr>
                <m:sty m:val="p"/>
              </m:rPr>
              <w:rPr>
                <w:rFonts w:ascii="Cambria Math" w:eastAsiaTheme="minorEastAsia" w:hAnsi="Cambria Math"/>
              </w:rPr>
              <m:t>opt</m:t>
            </m:r>
          </m:sub>
        </m:sSub>
      </m:oMath>
      <w:r>
        <w:rPr>
          <w:rFonts w:eastAsiaTheme="minorEastAsia"/>
        </w:rPr>
        <w:t xml:space="preserve"> of 1.37, 1.08 and 1.09 for 1-,2-, and n-layer cases, respectively. In all three configurations correlations are strong (0.71&lt;R&lt;0.73), demonstrating forward skill in the snow pit abstractions. Root mean square error (RMSE) was largest in the 1-layer configuration (1.15 dB), corresponding with the </w:t>
      </w:r>
      <w:r w:rsidR="006F4EAC">
        <w:rPr>
          <w:rFonts w:eastAsiaTheme="minorEastAsia"/>
        </w:rPr>
        <w:t>largest</w:t>
      </w:r>
      <w:r>
        <w:rPr>
          <w:rFonts w:eastAsiaTheme="minorEastAsia"/>
        </w:rPr>
        <w:t xml:space="preserve"> </w:t>
      </w:r>
      <m:oMath>
        <m:sSub>
          <m:sSubPr>
            <m:ctrlPr>
              <w:rPr>
                <w:rFonts w:ascii="Cambria Math" w:eastAsiaTheme="minorEastAsia" w:hAnsi="Cambria Math"/>
              </w:rPr>
            </m:ctrlPr>
          </m:sSubPr>
          <m:e>
            <m:r>
              <m:rPr>
                <m:sty m:val="p"/>
              </m:rPr>
              <w:rPr>
                <w:rFonts w:ascii="Cambria Math" w:eastAsiaTheme="minorEastAsia" w:hAnsi="Cambria Math"/>
              </w:rPr>
              <m:t>ϕ</m:t>
            </m:r>
          </m:e>
          <m:sub>
            <m:r>
              <m:rPr>
                <m:nor/>
              </m:rPr>
              <w:rPr>
                <w:rFonts w:ascii="Cambria Math" w:eastAsiaTheme="minorEastAsia" w:hAnsi="Cambria Math"/>
              </w:rPr>
              <m:t>opt</m:t>
            </m:r>
          </m:sub>
        </m:sSub>
      </m:oMath>
      <w:r>
        <w:rPr>
          <w:rFonts w:eastAsiaTheme="minorEastAsia"/>
        </w:rPr>
        <w:t xml:space="preserve"> adjustment. The 2- and n-layer configurations were of reduced RMSE at 0.8</w:t>
      </w:r>
      <w:r w:rsidR="00450AE0">
        <w:rPr>
          <w:rFonts w:eastAsiaTheme="minorEastAsia"/>
        </w:rPr>
        <w:t>0 dB and 0.98 dB, respectively.</w:t>
      </w:r>
    </w:p>
    <w:tbl>
      <w:tblPr>
        <w:tblW w:w="0" w:type="auto"/>
        <w:tblLook w:val="04A0" w:firstRow="1" w:lastRow="0" w:firstColumn="1" w:lastColumn="0" w:noHBand="0" w:noVBand="1"/>
      </w:tblPr>
      <w:tblGrid>
        <w:gridCol w:w="9576"/>
      </w:tblGrid>
      <w:tr w:rsidR="00450AE0" w:rsidTr="00AB4D9C">
        <w:tc>
          <w:tcPr>
            <w:tcW w:w="9576" w:type="dxa"/>
          </w:tcPr>
          <w:p w:rsidR="00450AE0" w:rsidRDefault="00021F71" w:rsidP="00AB4D9C">
            <w:pPr>
              <w:pStyle w:val="Caption"/>
              <w:jc w:val="center"/>
              <w:rPr>
                <w:color w:val="000000" w:themeColor="text1"/>
              </w:rPr>
            </w:pPr>
            <w:r>
              <w:rPr>
                <w:noProof/>
                <w:color w:val="000000" w:themeColor="text1"/>
                <w:lang w:val="en-GB" w:eastAsia="en-GB"/>
              </w:rPr>
              <w:drawing>
                <wp:inline distT="0" distB="0" distL="0" distR="0">
                  <wp:extent cx="5479200" cy="2520000"/>
                  <wp:effectExtent l="0" t="0" r="7620" b="0"/>
                  <wp:docPr id="18" name="Picture 18" descr="D:\Josh\Figure_8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osh\Figure_8A.ti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9200" cy="2520000"/>
                          </a:xfrm>
                          <a:prstGeom prst="rect">
                            <a:avLst/>
                          </a:prstGeom>
                          <a:noFill/>
                          <a:ln>
                            <a:noFill/>
                          </a:ln>
                        </pic:spPr>
                      </pic:pic>
                    </a:graphicData>
                  </a:graphic>
                </wp:inline>
              </w:drawing>
            </w:r>
          </w:p>
          <w:p w:rsidR="00450AE0" w:rsidRPr="00C15DB3" w:rsidRDefault="00021F71" w:rsidP="00E8708B">
            <w:pPr>
              <w:jc w:val="center"/>
            </w:pPr>
            <w:r>
              <w:rPr>
                <w:noProof/>
                <w:lang w:val="en-GB" w:eastAsia="en-GB"/>
              </w:rPr>
              <w:drawing>
                <wp:inline distT="0" distB="0" distL="0" distR="0">
                  <wp:extent cx="5479200" cy="2520000"/>
                  <wp:effectExtent l="0" t="0" r="7620" b="0"/>
                  <wp:docPr id="19" name="Picture 19" descr="D:\Josh\Figure_8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Josh\Figure_8B.ti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9200" cy="2520000"/>
                          </a:xfrm>
                          <a:prstGeom prst="rect">
                            <a:avLst/>
                          </a:prstGeom>
                          <a:noFill/>
                          <a:ln>
                            <a:noFill/>
                          </a:ln>
                        </pic:spPr>
                      </pic:pic>
                    </a:graphicData>
                  </a:graphic>
                </wp:inline>
              </w:drawing>
            </w:r>
          </w:p>
        </w:tc>
      </w:tr>
    </w:tbl>
    <w:p w:rsidR="00565C65" w:rsidRPr="006E47AF" w:rsidRDefault="00565C65" w:rsidP="00565C65">
      <w:pPr>
        <w:pStyle w:val="Caption"/>
        <w:spacing w:line="360" w:lineRule="auto"/>
        <w:rPr>
          <w:rFonts w:cs="Helvetica"/>
          <w:color w:val="auto"/>
        </w:rPr>
      </w:pPr>
      <w:r w:rsidRPr="006E47AF">
        <w:rPr>
          <w:rFonts w:cs="Helvetica"/>
          <w:color w:val="auto"/>
        </w:rPr>
        <w:t xml:space="preserve">Figure </w:t>
      </w:r>
      <w:r w:rsidR="00221A16">
        <w:rPr>
          <w:rFonts w:cs="Helvetica"/>
          <w:noProof/>
          <w:color w:val="auto"/>
        </w:rPr>
        <w:t>8</w:t>
      </w:r>
      <w:r w:rsidRPr="006E47AF">
        <w:rPr>
          <w:rFonts w:cs="Helvetica"/>
          <w:color w:val="auto"/>
        </w:rPr>
        <w:t xml:space="preserve">: Comparison of optimized MEMLS simulations and SnowSAR measured </w:t>
      </w:r>
      <m:oMath>
        <m:sSubSup>
          <m:sSubSupPr>
            <m:ctrlPr>
              <w:rPr>
                <w:rFonts w:ascii="Cambria Math" w:hAnsi="Cambria Math" w:cs="Helvetica"/>
                <w:color w:val="auto"/>
                <w:vertAlign w:val="superscript"/>
              </w:rPr>
            </m:ctrlPr>
          </m:sSubSupPr>
          <m:e>
            <m:r>
              <m:rPr>
                <m:sty m:val="bi"/>
              </m:rPr>
              <w:rPr>
                <w:rFonts w:ascii="Cambria Math" w:hAnsi="Cambria Math" w:cs="Helvetica"/>
                <w:color w:val="auto"/>
                <w:vertAlign w:val="superscript"/>
              </w:rPr>
              <m:t>σ</m:t>
            </m:r>
          </m:e>
          <m:sub>
            <m:r>
              <m:rPr>
                <m:sty m:val="bi"/>
              </m:rPr>
              <w:rPr>
                <w:rFonts w:ascii="Cambria Math" w:hAnsi="Cambria Math" w:cs="Helvetica"/>
                <w:color w:val="auto"/>
                <w:vertAlign w:val="superscript"/>
              </w:rPr>
              <m:t>vv</m:t>
            </m:r>
          </m:sub>
          <m:sup>
            <m:r>
              <m:rPr>
                <m:sty m:val="bi"/>
              </m:rPr>
              <w:rPr>
                <w:rFonts w:ascii="Cambria Math" w:hAnsi="Cambria Math" w:cs="Helvetica"/>
                <w:color w:val="auto"/>
                <w:vertAlign w:val="superscript"/>
              </w:rPr>
              <m:t>0</m:t>
            </m:r>
          </m:sup>
        </m:sSubSup>
      </m:oMath>
      <w:r w:rsidRPr="006E47AF">
        <w:rPr>
          <w:rFonts w:eastAsiaTheme="minorEastAsia" w:cs="Helvetica"/>
          <w:color w:val="auto"/>
          <w:vertAlign w:val="superscript"/>
        </w:rPr>
        <w:t xml:space="preserve"> </w:t>
      </w:r>
      <w:r w:rsidRPr="006E47AF">
        <w:rPr>
          <w:rFonts w:eastAsiaTheme="minorEastAsia" w:cs="Helvetica"/>
          <w:color w:val="auto"/>
        </w:rPr>
        <w:t>at each snow pit</w:t>
      </w:r>
      <w:r>
        <w:rPr>
          <w:rFonts w:eastAsiaTheme="minorEastAsia" w:cs="Helvetica"/>
          <w:color w:val="auto"/>
        </w:rPr>
        <w:t xml:space="preserve"> in 1-, 2- and n-layer configurations</w:t>
      </w:r>
      <w:r w:rsidRPr="006E47AF">
        <w:rPr>
          <w:rFonts w:cs="Helvetica"/>
          <w:color w:val="auto"/>
        </w:rPr>
        <w:t>. Adjusted (</w:t>
      </w:r>
      <m:oMath>
        <m:sSub>
          <m:sSubPr>
            <m:ctrlPr>
              <w:rPr>
                <w:rFonts w:ascii="Cambria Math" w:eastAsiaTheme="minorEastAsia" w:hAnsi="Cambria Math" w:cs="Helvetica"/>
                <w:color w:val="auto"/>
              </w:rPr>
            </m:ctrlPr>
          </m:sSubPr>
          <m:e>
            <m:r>
              <m:rPr>
                <m:sty m:val="b"/>
              </m:rPr>
              <w:rPr>
                <w:rFonts w:ascii="Cambria Math" w:eastAsiaTheme="minorEastAsia" w:hAnsi="Cambria Math" w:cs="Helvetica"/>
                <w:color w:val="auto"/>
              </w:rPr>
              <m:t>ϕ</m:t>
            </m:r>
          </m:e>
          <m:sub>
            <m:r>
              <m:rPr>
                <m:sty m:val="b"/>
              </m:rPr>
              <w:rPr>
                <w:rFonts w:ascii="Cambria Math" w:eastAsiaTheme="minorEastAsia" w:hAnsi="Cambria Math" w:cs="Helvetica"/>
                <w:color w:val="auto"/>
              </w:rPr>
              <m:t>opt</m:t>
            </m:r>
          </m:sub>
        </m:sSub>
      </m:oMath>
      <w:r w:rsidRPr="006E47AF">
        <w:rPr>
          <w:rFonts w:eastAsiaTheme="minorEastAsia" w:cs="Helvetica"/>
          <w:color w:val="auto"/>
        </w:rPr>
        <w:t xml:space="preserve">) input of </w:t>
      </w:r>
      <m:oMath>
        <m:sSub>
          <m:sSubPr>
            <m:ctrlPr>
              <w:rPr>
                <w:rFonts w:ascii="Cambria Math" w:hAnsi="Cambria Math" w:cs="Helvetica"/>
                <w:i/>
                <w:color w:val="auto"/>
              </w:rPr>
            </m:ctrlPr>
          </m:sSubPr>
          <m:e>
            <m:r>
              <m:rPr>
                <m:sty m:val="bi"/>
              </m:rPr>
              <w:rPr>
                <w:rFonts w:ascii="Cambria Math" w:hAnsi="Cambria Math" w:cs="Helvetica"/>
                <w:color w:val="auto"/>
              </w:rPr>
              <m:t>l</m:t>
            </m:r>
          </m:e>
          <m:sub>
            <m:r>
              <m:rPr>
                <m:nor/>
              </m:rPr>
              <w:rPr>
                <w:rFonts w:cs="Helvetica"/>
                <w:color w:val="auto"/>
              </w:rPr>
              <m:t>ex</m:t>
            </m:r>
          </m:sub>
        </m:sSub>
      </m:oMath>
      <w:r w:rsidRPr="006E47AF">
        <w:rPr>
          <w:rFonts w:eastAsiaTheme="minorEastAsia" w:cs="Helvetica"/>
          <w:color w:val="auto"/>
        </w:rPr>
        <w:t xml:space="preserve"> listed </w:t>
      </w:r>
      <w:r>
        <w:rPr>
          <w:rFonts w:eastAsiaTheme="minorEastAsia" w:cs="Helvetica"/>
          <w:color w:val="auto"/>
        </w:rPr>
        <w:t>for each configuration</w:t>
      </w:r>
      <w:r w:rsidRPr="006E47AF">
        <w:rPr>
          <w:rFonts w:eastAsiaTheme="minorEastAsia" w:cs="Helvetica"/>
          <w:color w:val="auto"/>
        </w:rPr>
        <w:t xml:space="preserve"> in addition to </w:t>
      </w:r>
      <w:r>
        <w:rPr>
          <w:rFonts w:eastAsiaTheme="minorEastAsia" w:cs="Helvetica"/>
          <w:color w:val="auto"/>
        </w:rPr>
        <w:t xml:space="preserve">the </w:t>
      </w:r>
      <w:r w:rsidRPr="006E47AF">
        <w:rPr>
          <w:rFonts w:eastAsiaTheme="minorEastAsia" w:cs="Helvetica"/>
          <w:color w:val="auto"/>
        </w:rPr>
        <w:t>optimized soil input (</w:t>
      </w:r>
      <w:r w:rsidRPr="006E47AF">
        <w:rPr>
          <w:rFonts w:eastAsiaTheme="minorEastAsia" w:cs="Helvetica"/>
          <w:i/>
          <w:color w:val="auto"/>
        </w:rPr>
        <w:t>h</w:t>
      </w:r>
      <w:r w:rsidRPr="006E47AF">
        <w:rPr>
          <w:rFonts w:eastAsiaTheme="minorEastAsia" w:cs="Helvetica"/>
          <w:color w:val="auto"/>
        </w:rPr>
        <w:t>).</w:t>
      </w:r>
    </w:p>
    <w:p w:rsidR="00C93D05" w:rsidRDefault="00C93D05" w:rsidP="00C93D05">
      <w:pPr>
        <w:pStyle w:val="MDPI23heading3"/>
        <w:spacing w:line="360" w:lineRule="auto"/>
        <w:rPr>
          <w:snapToGrid/>
          <w:color w:val="auto"/>
          <w:lang w:eastAsia="en-US" w:bidi="ar-SA"/>
        </w:rPr>
      </w:pPr>
      <w:r>
        <w:t>3</w:t>
      </w:r>
      <w:r w:rsidRPr="00F34C44">
        <w:t>.</w:t>
      </w:r>
      <w:r>
        <w:t>2.2</w:t>
      </w:r>
      <w:r w:rsidRPr="00F34C44">
        <w:t xml:space="preserve">. </w:t>
      </w:r>
      <w:r>
        <w:t>Forward model evaluation of</w:t>
      </w:r>
      <w:r w:rsidRPr="00C93D05">
        <w:rPr>
          <w:rFonts w:ascii="Arial" w:eastAsiaTheme="minorEastAsia" w:hAnsi="Arial" w:cs="Arial"/>
          <w:i/>
        </w:rPr>
        <w:t xml:space="preserve"> </w:t>
      </w:r>
      <w:r>
        <w:rPr>
          <w:rFonts w:ascii="Arial" w:eastAsiaTheme="minorEastAsia" w:hAnsi="Arial" w:cs="Arial"/>
          <w:i/>
        </w:rPr>
        <w:t>h</w:t>
      </w:r>
    </w:p>
    <w:p w:rsidR="00565C65" w:rsidRPr="00EF28A9" w:rsidRDefault="00565C65" w:rsidP="00565C65">
      <w:pPr>
        <w:spacing w:line="480" w:lineRule="auto"/>
        <w:rPr>
          <w:rFonts w:eastAsiaTheme="minorEastAsia"/>
        </w:rPr>
      </w:pPr>
      <w:r>
        <w:rPr>
          <w:rFonts w:eastAsiaTheme="minorEastAsia"/>
        </w:rPr>
        <w:t xml:space="preserve">To evaluate background sensitivity and determine optimized input, </w:t>
      </w:r>
      <w:r>
        <w:rPr>
          <w:rFonts w:ascii="Arial" w:eastAsiaTheme="minorEastAsia" w:hAnsi="Arial" w:cs="Arial"/>
        </w:rPr>
        <w:t>standard deviation of surface height (</w:t>
      </w:r>
      <w:r>
        <w:rPr>
          <w:rFonts w:ascii="Arial" w:eastAsiaTheme="minorEastAsia" w:hAnsi="Arial" w:cs="Arial"/>
          <w:i/>
        </w:rPr>
        <w:t>h</w:t>
      </w:r>
      <w:r>
        <w:rPr>
          <w:rFonts w:ascii="Arial" w:eastAsiaTheme="minorEastAsia" w:hAnsi="Arial" w:cs="Arial"/>
        </w:rPr>
        <w:t xml:space="preserve">) in the </w:t>
      </w:r>
      <w:r>
        <w:t xml:space="preserve">soil </w:t>
      </w:r>
      <w:r>
        <w:rPr>
          <w:rFonts w:eastAsiaTheme="minorEastAsia"/>
        </w:rPr>
        <w:t xml:space="preserve">reflectivity model was assessed using values between 0.01 and 4.00 cm. As in the microstructure evaluation, simulations were completed in 1-, 2-, and n-layer configurations for each of the available snow pits and compared with SnowSAR measurements to calculate MAE. Background sensitivity was initially evaluated at 9.6 GHz to maximize penetration of the tundra snowpack. </w:t>
      </w:r>
    </w:p>
    <w:p w:rsidR="00565C65" w:rsidRDefault="00565C65" w:rsidP="00565C65">
      <w:pPr>
        <w:spacing w:line="480" w:lineRule="auto"/>
      </w:pPr>
      <w:r>
        <w:rPr>
          <w:rFonts w:eastAsiaTheme="minorEastAsia"/>
        </w:rPr>
        <w:t xml:space="preserve">Close agreement was noted between the different snow layer configurations in the evaluation of </w:t>
      </w:r>
      <w:r w:rsidRPr="008608EB">
        <w:rPr>
          <w:rFonts w:eastAsiaTheme="minorEastAsia"/>
          <w:i/>
        </w:rPr>
        <w:t>h</w:t>
      </w:r>
      <w:r>
        <w:rPr>
          <w:rFonts w:eastAsiaTheme="minorEastAsia"/>
          <w:i/>
        </w:rPr>
        <w:t xml:space="preserve"> </w:t>
      </w:r>
      <w:r>
        <w:rPr>
          <w:rFonts w:eastAsiaTheme="minorEastAsia"/>
        </w:rPr>
        <w:t xml:space="preserve">(Figure 7B). This was consistent with higher penetration at 9.6 GHz, indicating reduced dependence on the properties of the snowpack. Optimized minimums were identified at </w:t>
      </w:r>
      <w:r w:rsidR="00240550">
        <w:rPr>
          <w:rFonts w:eastAsiaTheme="minorEastAsia"/>
        </w:rPr>
        <w:t>1.37</w:t>
      </w:r>
      <w:r w:rsidRPr="00991B27">
        <w:rPr>
          <w:rFonts w:eastAsiaTheme="minorEastAsia"/>
        </w:rPr>
        <w:t xml:space="preserve">, </w:t>
      </w:r>
      <w:r w:rsidR="00240550">
        <w:rPr>
          <w:rFonts w:eastAsiaTheme="minorEastAsia"/>
        </w:rPr>
        <w:t>1.28</w:t>
      </w:r>
      <w:r w:rsidRPr="00991B27">
        <w:rPr>
          <w:rFonts w:eastAsiaTheme="minorEastAsia"/>
        </w:rPr>
        <w:t xml:space="preserve">, and </w:t>
      </w:r>
      <w:r w:rsidR="00240550">
        <w:rPr>
          <w:rFonts w:eastAsiaTheme="minorEastAsia"/>
        </w:rPr>
        <w:t>1.21</w:t>
      </w:r>
      <w:r w:rsidRPr="00991B27">
        <w:rPr>
          <w:rFonts w:eastAsiaTheme="minorEastAsia"/>
        </w:rPr>
        <w:t xml:space="preserve"> cm </w:t>
      </w:r>
      <w:r>
        <w:rPr>
          <w:rFonts w:eastAsiaTheme="minorEastAsia"/>
        </w:rPr>
        <w:t>in</w:t>
      </w:r>
      <w:r w:rsidRPr="00991B27">
        <w:rPr>
          <w:rFonts w:eastAsiaTheme="minorEastAsia"/>
        </w:rPr>
        <w:t xml:space="preserve"> the 1-, 2-, and n-Layer configurations, </w:t>
      </w:r>
      <w:r>
        <w:rPr>
          <w:rFonts w:eastAsiaTheme="minorEastAsia"/>
        </w:rPr>
        <w:t xml:space="preserve">although each lacked clear convergence. </w:t>
      </w:r>
      <w:r>
        <w:t xml:space="preserve">The reason for this was evident in the individual snow pit simulations, where optimal values of </w:t>
      </w:r>
      <w:r w:rsidRPr="000C546D">
        <w:rPr>
          <w:i/>
        </w:rPr>
        <w:t>h</w:t>
      </w:r>
      <w:r>
        <w:t xml:space="preserve"> spanned a large range of 0.</w:t>
      </w:r>
      <w:r w:rsidR="00C658BA">
        <w:t>30</w:t>
      </w:r>
      <w:r>
        <w:t xml:space="preserve"> to 3.</w:t>
      </w:r>
      <w:r w:rsidR="00C658BA">
        <w:t>82</w:t>
      </w:r>
      <w:r>
        <w:t xml:space="preserve"> cm, with a standard deviation of 1.0</w:t>
      </w:r>
      <w:r w:rsidR="00C658BA">
        <w:t>9</w:t>
      </w:r>
      <w:r>
        <w:t xml:space="preserve"> cm. Using the retrieved standard deviation to bound potential influence, we find that </w:t>
      </w:r>
      <w:r>
        <w:rPr>
          <w:i/>
        </w:rPr>
        <w:t xml:space="preserve">h </w:t>
      </w:r>
      <w:r>
        <w:t xml:space="preserve">contributes on average </w:t>
      </w:r>
      <w:r w:rsidR="00C658BA">
        <w:t>2.9</w:t>
      </w:r>
      <w:r>
        <w:t xml:space="preserve"> dB of variability amongst the</w:t>
      </w:r>
      <w:r w:rsidR="001D2D60">
        <w:t xml:space="preserve"> 1-layer</w:t>
      </w:r>
      <w:r>
        <w:t xml:space="preserve"> snow pit simulations, or in the worst case, </w:t>
      </w:r>
      <w:r w:rsidR="00C658BA">
        <w:t xml:space="preserve">3.9 </w:t>
      </w:r>
      <w:r>
        <w:t xml:space="preserve">dB if the full input range of </w:t>
      </w:r>
      <w:r w:rsidRPr="008608EB">
        <w:rPr>
          <w:rFonts w:eastAsiaTheme="minorEastAsia"/>
          <w:i/>
        </w:rPr>
        <w:t>h</w:t>
      </w:r>
      <w:r>
        <w:t xml:space="preserve"> is considered (i.e. 0.01 to 4.00 cm). Evaluating the same standard deviation range of </w:t>
      </w:r>
      <w:r>
        <w:rPr>
          <w:i/>
        </w:rPr>
        <w:t xml:space="preserve">h </w:t>
      </w:r>
      <w:r>
        <w:t>at 17.2 GHz, a much lower sensitivity of 1.3 dB is found</w:t>
      </w:r>
      <w:r w:rsidR="001D2D60">
        <w:t>,</w:t>
      </w:r>
      <w:r>
        <w:t xml:space="preserve"> or 2.5 dB if the full range of input is considered. </w:t>
      </w:r>
    </w:p>
    <w:p w:rsidR="00565C65" w:rsidRPr="00565C65" w:rsidRDefault="00565C65" w:rsidP="00882A06">
      <w:pPr>
        <w:spacing w:line="480" w:lineRule="auto"/>
      </w:pPr>
      <w:r>
        <w:rPr>
          <w:rFonts w:eastAsiaTheme="minorEastAsia"/>
        </w:rPr>
        <w:t xml:space="preserve">Comparison of the </w:t>
      </w:r>
      <w:r>
        <w:rPr>
          <w:rFonts w:eastAsiaTheme="minorEastAsia"/>
          <w:i/>
        </w:rPr>
        <w:t xml:space="preserve">h </w:t>
      </w:r>
      <w:r>
        <w:rPr>
          <w:rFonts w:eastAsiaTheme="minorEastAsia"/>
        </w:rPr>
        <w:t>optimized MEMLS simulations and 9.6 GHz SnowSAR measurements shows little difference between the three snow layer configurations (RMSEs of 0.86, 0.90, and 0.90 dB), along with lower</w:t>
      </w:r>
      <w:r w:rsidR="001D2D60">
        <w:rPr>
          <w:rFonts w:eastAsiaTheme="minorEastAsia"/>
        </w:rPr>
        <w:t xml:space="preserve"> correlations (0.72, 0.69, 0.67; </w:t>
      </w:r>
      <w:r>
        <w:rPr>
          <w:rFonts w:eastAsiaTheme="minorEastAsia"/>
        </w:rPr>
        <w:t>Figure 8</w:t>
      </w:r>
      <w:r w:rsidR="00021F71">
        <w:rPr>
          <w:rFonts w:eastAsiaTheme="minorEastAsia"/>
        </w:rPr>
        <w:t>B</w:t>
      </w:r>
      <w:r>
        <w:rPr>
          <w:rFonts w:eastAsiaTheme="minorEastAsia"/>
        </w:rPr>
        <w:t xml:space="preserve">). However, the moderate correlations at 9.6 GHz were largely driven by the two strongest SnowSAR backscatter values which were both located in the north of the SS site. </w:t>
      </w:r>
      <w:r>
        <w:t xml:space="preserve">As a whole, the sensitivity to </w:t>
      </w:r>
      <w:r w:rsidRPr="00383A70">
        <w:rPr>
          <w:i/>
        </w:rPr>
        <w:t>h</w:t>
      </w:r>
      <w:r>
        <w:t xml:space="preserve"> demonstrates considerable, and spatially variable, influence from the underlying surface at 9.6 GHz, with a much narrower influence at 17.2 GHz.</w:t>
      </w:r>
    </w:p>
    <w:p w:rsidR="00882A06" w:rsidRDefault="00882A06" w:rsidP="00882A06">
      <w:pPr>
        <w:pStyle w:val="MDPI22heading2"/>
        <w:spacing w:line="360" w:lineRule="auto"/>
      </w:pPr>
      <w:r>
        <w:t xml:space="preserve">3.3. </w:t>
      </w:r>
      <w:r w:rsidR="00FC55AC">
        <w:t>Comparison of o</w:t>
      </w:r>
      <w:r>
        <w:t xml:space="preserve">bserved and </w:t>
      </w:r>
      <w:r w:rsidR="001C1E77">
        <w:t>MEMLS</w:t>
      </w:r>
      <w:r w:rsidR="009E6D17">
        <w:t xml:space="preserve"> simulated</w:t>
      </w:r>
      <w:r w:rsidR="00905DF4">
        <w:t xml:space="preserve"> </w:t>
      </w:r>
      <w:r w:rsidR="006F4EAC">
        <w:t>backscatter</w:t>
      </w:r>
    </w:p>
    <w:p w:rsidR="00882A06" w:rsidRDefault="00882A06" w:rsidP="00882A06">
      <w:pPr>
        <w:pStyle w:val="MDPI23heading3"/>
        <w:spacing w:line="360" w:lineRule="auto"/>
        <w:rPr>
          <w:snapToGrid/>
          <w:color w:val="auto"/>
          <w:lang w:eastAsia="en-US" w:bidi="ar-SA"/>
        </w:rPr>
      </w:pPr>
      <w:r>
        <w:t>3</w:t>
      </w:r>
      <w:r w:rsidRPr="00F34C44">
        <w:t>.</w:t>
      </w:r>
      <w:r>
        <w:t>3</w:t>
      </w:r>
      <w:r w:rsidRPr="00F34C44">
        <w:t xml:space="preserve">.1. </w:t>
      </w:r>
      <w:r>
        <w:t>SnowSAR backscatter response</w:t>
      </w:r>
    </w:p>
    <w:p w:rsidR="00882A06" w:rsidRPr="009B0AB9" w:rsidRDefault="00882A06" w:rsidP="00882A06">
      <w:pPr>
        <w:spacing w:line="480" w:lineRule="auto"/>
      </w:pPr>
      <w:r>
        <w:t xml:space="preserve">Although </w:t>
      </w:r>
      <w:r w:rsidR="009B52D1">
        <w:t xml:space="preserve">previous </w:t>
      </w:r>
      <w:r>
        <w:t>airborne studies have identified direct relationships between backscatter and SWE (i.e. Yueh et al., 2009; Chang et al., 2014), we anticipate it necessary to account for microstructure because</w:t>
      </w:r>
      <w:r w:rsidRPr="00AE1808">
        <w:t xml:space="preserve"> </w:t>
      </w:r>
      <w:r>
        <w:t xml:space="preserve">of the strong contrast between slab and depth hoar. </w:t>
      </w:r>
      <w:r w:rsidR="009B52D1">
        <w:t xml:space="preserve">The </w:t>
      </w:r>
      <w:r w:rsidR="00824C47">
        <w:t>TVC</w:t>
      </w:r>
      <w:r w:rsidR="009B52D1">
        <w:t xml:space="preserve"> </w:t>
      </w:r>
      <w:r w:rsidR="006D48B4">
        <w:t xml:space="preserve">backscatter </w:t>
      </w:r>
      <w:r w:rsidR="009B52D1">
        <w:t>response</w:t>
      </w:r>
      <w:r w:rsidR="00824C47">
        <w:t xml:space="preserve">, irrespective of microstructure, is </w:t>
      </w:r>
      <w:r w:rsidR="009B52D1">
        <w:t xml:space="preserve">introduced in </w:t>
      </w:r>
      <w:r w:rsidR="009B0AB9">
        <w:t xml:space="preserve">Figure 9 </w:t>
      </w:r>
      <w:r w:rsidR="009B52D1">
        <w:t xml:space="preserve">where </w:t>
      </w:r>
      <w:r>
        <w:t xml:space="preserve">SnowSAR </w:t>
      </w:r>
      <m:oMath>
        <m:sSubSup>
          <m:sSubSupPr>
            <m:ctrlPr>
              <w:rPr>
                <w:rFonts w:ascii="Cambria Math" w:hAnsi="Cambria Math" w:cs="Helvetica"/>
                <w:vertAlign w:val="superscript"/>
              </w:rPr>
            </m:ctrlPr>
          </m:sSubSupPr>
          <m:e>
            <m:r>
              <w:rPr>
                <w:rFonts w:ascii="Cambria Math" w:hAnsi="Cambria Math" w:cs="Helvetica"/>
                <w:vertAlign w:val="superscript"/>
              </w:rPr>
              <m:t>σ</m:t>
            </m:r>
          </m:e>
          <m:sub>
            <m:r>
              <w:rPr>
                <w:rFonts w:ascii="Cambria Math" w:hAnsi="Cambria Math" w:cs="Helvetica"/>
                <w:vertAlign w:val="superscript"/>
              </w:rPr>
              <m:t>vv</m:t>
            </m:r>
          </m:sub>
          <m:sup>
            <m:r>
              <w:rPr>
                <w:rFonts w:ascii="Cambria Math" w:hAnsi="Cambria Math" w:cs="Helvetica"/>
                <w:vertAlign w:val="superscript"/>
              </w:rPr>
              <m:t>0</m:t>
            </m:r>
          </m:sup>
        </m:sSubSup>
      </m:oMath>
      <w:r w:rsidR="009B0AB9">
        <w:rPr>
          <w:rFonts w:eastAsiaTheme="minorEastAsia"/>
          <w:vertAlign w:val="superscript"/>
        </w:rPr>
        <w:t xml:space="preserve"> </w:t>
      </w:r>
      <w:r w:rsidR="009B52D1">
        <w:rPr>
          <w:rFonts w:eastAsiaTheme="minorEastAsia"/>
        </w:rPr>
        <w:t>is d</w:t>
      </w:r>
      <w:r>
        <w:rPr>
          <w:rFonts w:eastAsiaTheme="minorEastAsia"/>
        </w:rPr>
        <w:t>elineated by site</w:t>
      </w:r>
      <w:r w:rsidR="009B0AB9">
        <w:rPr>
          <w:rFonts w:eastAsiaTheme="minorEastAsia"/>
        </w:rPr>
        <w:t xml:space="preserve"> and frequency</w:t>
      </w:r>
      <w:r w:rsidR="00824C47">
        <w:rPr>
          <w:rFonts w:eastAsiaTheme="minorEastAsia"/>
        </w:rPr>
        <w:t xml:space="preserve"> in open tundra</w:t>
      </w:r>
      <w:r>
        <w:rPr>
          <w:rFonts w:eastAsiaTheme="minorEastAsia"/>
        </w:rPr>
        <w:t xml:space="preserve">. Within the smaller SS domain, 17.2 GHz </w:t>
      </w:r>
      <m:oMath>
        <m:sSubSup>
          <m:sSubSupPr>
            <m:ctrlPr>
              <w:rPr>
                <w:rFonts w:ascii="Cambria Math" w:hAnsi="Cambria Math" w:cs="Helvetica"/>
                <w:vertAlign w:val="superscript"/>
              </w:rPr>
            </m:ctrlPr>
          </m:sSubSupPr>
          <m:e>
            <m:r>
              <w:rPr>
                <w:rFonts w:ascii="Cambria Math" w:hAnsi="Cambria Math" w:cs="Helvetica"/>
                <w:vertAlign w:val="superscript"/>
              </w:rPr>
              <m:t>σ</m:t>
            </m:r>
          </m:e>
          <m:sub>
            <m:r>
              <w:rPr>
                <w:rFonts w:ascii="Cambria Math" w:hAnsi="Cambria Math" w:cs="Helvetica"/>
                <w:vertAlign w:val="superscript"/>
              </w:rPr>
              <m:t>vv</m:t>
            </m:r>
          </m:sub>
          <m:sup>
            <m:r>
              <w:rPr>
                <w:rFonts w:ascii="Cambria Math" w:hAnsi="Cambria Math" w:cs="Helvetica"/>
                <w:vertAlign w:val="superscript"/>
              </w:rPr>
              <m:t>0</m:t>
            </m:r>
          </m:sup>
        </m:sSubSup>
      </m:oMath>
      <w:r>
        <w:rPr>
          <w:rFonts w:eastAsiaTheme="minorEastAsia"/>
        </w:rPr>
        <w:t xml:space="preserve"> measurements were normally distributed with a mean of -9.1</w:t>
      </w:r>
      <w:r>
        <w:rPr>
          <w:rStyle w:val="tgc"/>
        </w:rPr>
        <w:t>±0.5 dB</w:t>
      </w:r>
      <w:r>
        <w:rPr>
          <w:rFonts w:eastAsiaTheme="minorEastAsia"/>
        </w:rPr>
        <w:t xml:space="preserve">. Higher </w:t>
      </w:r>
      <w:r w:rsidR="009B52D1">
        <w:rPr>
          <w:rFonts w:eastAsiaTheme="minorEastAsia"/>
        </w:rPr>
        <w:t xml:space="preserve">17.2 GHz </w:t>
      </w:r>
      <w:r>
        <w:rPr>
          <w:rFonts w:eastAsiaTheme="minorEastAsia"/>
        </w:rPr>
        <w:t>backscatter and</w:t>
      </w:r>
      <w:r w:rsidR="00905DF4">
        <w:rPr>
          <w:rFonts w:eastAsiaTheme="minorEastAsia"/>
        </w:rPr>
        <w:t xml:space="preserve"> increased</w:t>
      </w:r>
      <w:r>
        <w:rPr>
          <w:rFonts w:eastAsiaTheme="minorEastAsia"/>
        </w:rPr>
        <w:t xml:space="preserve"> variability were </w:t>
      </w:r>
      <w:r w:rsidR="00905DF4">
        <w:rPr>
          <w:rFonts w:eastAsiaTheme="minorEastAsia"/>
        </w:rPr>
        <w:t>found</w:t>
      </w:r>
      <w:r>
        <w:rPr>
          <w:rFonts w:eastAsiaTheme="minorEastAsia"/>
        </w:rPr>
        <w:t xml:space="preserve"> within the</w:t>
      </w:r>
      <w:r w:rsidR="00D728DD">
        <w:rPr>
          <w:rFonts w:eastAsiaTheme="minorEastAsia"/>
        </w:rPr>
        <w:t xml:space="preserve"> larger SS site with a mean of -</w:t>
      </w:r>
      <w:r>
        <w:rPr>
          <w:rFonts w:eastAsiaTheme="minorEastAsia"/>
        </w:rPr>
        <w:t>8.5</w:t>
      </w:r>
      <w:r>
        <w:rPr>
          <w:rStyle w:val="tgc"/>
        </w:rPr>
        <w:t>±</w:t>
      </w:r>
      <w:r>
        <w:rPr>
          <w:rFonts w:eastAsiaTheme="minorEastAsia"/>
        </w:rPr>
        <w:t xml:space="preserve">0.8 dB. The 9.6 GHz </w:t>
      </w:r>
      <m:oMath>
        <m:sSubSup>
          <m:sSubSupPr>
            <m:ctrlPr>
              <w:rPr>
                <w:rFonts w:ascii="Cambria Math" w:hAnsi="Cambria Math" w:cs="Helvetica"/>
                <w:vertAlign w:val="superscript"/>
              </w:rPr>
            </m:ctrlPr>
          </m:sSubSupPr>
          <m:e>
            <m:r>
              <w:rPr>
                <w:rFonts w:ascii="Cambria Math" w:hAnsi="Cambria Math" w:cs="Helvetica"/>
                <w:vertAlign w:val="superscript"/>
              </w:rPr>
              <m:t>σ</m:t>
            </m:r>
          </m:e>
          <m:sub>
            <m:r>
              <w:rPr>
                <w:rFonts w:ascii="Cambria Math" w:hAnsi="Cambria Math" w:cs="Helvetica"/>
                <w:vertAlign w:val="superscript"/>
              </w:rPr>
              <m:t>vv</m:t>
            </m:r>
          </m:sub>
          <m:sup>
            <m:r>
              <w:rPr>
                <w:rFonts w:ascii="Cambria Math" w:hAnsi="Cambria Math" w:cs="Helvetica"/>
                <w:vertAlign w:val="superscript"/>
              </w:rPr>
              <m:t>0</m:t>
            </m:r>
          </m:sup>
        </m:sSubSup>
      </m:oMath>
      <w:r>
        <w:rPr>
          <w:rFonts w:eastAsiaTheme="minorEastAsia"/>
          <w:vertAlign w:val="superscript"/>
        </w:rPr>
        <w:t xml:space="preserve"> </w:t>
      </w:r>
      <w:r>
        <w:rPr>
          <w:rFonts w:eastAsiaTheme="minorEastAsia"/>
        </w:rPr>
        <w:t>response was expectedly lower at both sites</w:t>
      </w:r>
      <w:r w:rsidR="006D48B4">
        <w:rPr>
          <w:rFonts w:eastAsiaTheme="minorEastAsia"/>
        </w:rPr>
        <w:t xml:space="preserve"> due to its reduced dependence on the snowpack</w:t>
      </w:r>
      <w:r>
        <w:rPr>
          <w:rFonts w:eastAsiaTheme="minorEastAsia"/>
        </w:rPr>
        <w:t>, with means of -14.8</w:t>
      </w:r>
      <w:r>
        <w:rPr>
          <w:rStyle w:val="tgc"/>
        </w:rPr>
        <w:t>±</w:t>
      </w:r>
      <w:r>
        <w:rPr>
          <w:rFonts w:eastAsiaTheme="minorEastAsia"/>
        </w:rPr>
        <w:t>0.6 and -14.3</w:t>
      </w:r>
      <w:r>
        <w:rPr>
          <w:rStyle w:val="tgc"/>
        </w:rPr>
        <w:t>±</w:t>
      </w:r>
      <w:r>
        <w:rPr>
          <w:rFonts w:eastAsiaTheme="minorEastAsia"/>
        </w:rPr>
        <w:t xml:space="preserve">0.9 dB. </w:t>
      </w:r>
      <w:r w:rsidR="00117A26">
        <w:rPr>
          <w:rFonts w:eastAsiaTheme="minorEastAsia"/>
        </w:rPr>
        <w:t>Much like in the higher frequency case, a wider range at 9.6 GHz was captured within the UT domain.</w:t>
      </w:r>
    </w:p>
    <w:p w:rsidR="000F17E8" w:rsidRPr="00613EAD" w:rsidRDefault="00021F71" w:rsidP="000F17E8">
      <w:pPr>
        <w:spacing w:line="480" w:lineRule="auto"/>
        <w:jc w:val="center"/>
      </w:pPr>
      <w:r>
        <w:rPr>
          <w:noProof/>
          <w:lang w:val="en-GB" w:eastAsia="en-GB"/>
        </w:rPr>
        <w:drawing>
          <wp:inline distT="0" distB="0" distL="0" distR="0" wp14:anchorId="11D029CE" wp14:editId="79E08B64">
            <wp:extent cx="2739600" cy="2160000"/>
            <wp:effectExtent l="0" t="0" r="3810" b="0"/>
            <wp:docPr id="21" name="Picture 21" descr="D:\Josh\Figure_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Josh\Figure_9.ti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9600" cy="2160000"/>
                    </a:xfrm>
                    <a:prstGeom prst="rect">
                      <a:avLst/>
                    </a:prstGeom>
                    <a:noFill/>
                    <a:ln>
                      <a:noFill/>
                    </a:ln>
                  </pic:spPr>
                </pic:pic>
              </a:graphicData>
            </a:graphic>
          </wp:inline>
        </w:drawing>
      </w:r>
    </w:p>
    <w:p w:rsidR="00882A06" w:rsidRPr="00905DF4" w:rsidRDefault="00905DF4" w:rsidP="00221A16">
      <w:pPr>
        <w:pStyle w:val="Caption"/>
        <w:spacing w:line="360" w:lineRule="auto"/>
        <w:rPr>
          <w:rFonts w:eastAsiaTheme="minorEastAsia"/>
          <w:color w:val="auto"/>
        </w:rPr>
      </w:pPr>
      <w:r w:rsidRPr="00054C2E">
        <w:rPr>
          <w:color w:val="auto"/>
        </w:rPr>
        <w:t xml:space="preserve">Figure </w:t>
      </w:r>
      <w:r>
        <w:rPr>
          <w:noProof/>
          <w:color w:val="auto"/>
        </w:rPr>
        <w:t>9</w:t>
      </w:r>
      <w:r w:rsidRPr="00054C2E">
        <w:rPr>
          <w:color w:val="auto"/>
        </w:rPr>
        <w:t xml:space="preserve">: </w:t>
      </w:r>
      <w:r w:rsidR="009531B0">
        <w:rPr>
          <w:color w:val="auto"/>
        </w:rPr>
        <w:t>Distributions</w:t>
      </w:r>
      <w:r>
        <w:rPr>
          <w:color w:val="auto"/>
        </w:rPr>
        <w:t xml:space="preserve"> of </w:t>
      </w:r>
      <w:r w:rsidRPr="00054C2E">
        <w:rPr>
          <w:color w:val="auto"/>
        </w:rPr>
        <w:t>SnowSAR</w:t>
      </w:r>
      <w:r>
        <w:rPr>
          <w:color w:val="auto"/>
        </w:rPr>
        <w:t xml:space="preserve"> </w:t>
      </w:r>
      <m:oMath>
        <m:sSubSup>
          <m:sSubSupPr>
            <m:ctrlPr>
              <w:rPr>
                <w:rFonts w:ascii="Cambria Math" w:hAnsi="Cambria Math" w:cs="Helvetica"/>
                <w:color w:val="auto"/>
                <w:vertAlign w:val="superscript"/>
              </w:rPr>
            </m:ctrlPr>
          </m:sSubSupPr>
          <m:e>
            <m:r>
              <m:rPr>
                <m:sty m:val="bi"/>
              </m:rPr>
              <w:rPr>
                <w:rFonts w:ascii="Cambria Math" w:hAnsi="Cambria Math" w:cs="Helvetica"/>
                <w:color w:val="auto"/>
                <w:vertAlign w:val="superscript"/>
              </w:rPr>
              <m:t>σ</m:t>
            </m:r>
          </m:e>
          <m:sub>
            <m:r>
              <m:rPr>
                <m:sty m:val="bi"/>
              </m:rPr>
              <w:rPr>
                <w:rFonts w:ascii="Cambria Math" w:hAnsi="Cambria Math" w:cs="Helvetica"/>
                <w:color w:val="auto"/>
                <w:vertAlign w:val="superscript"/>
              </w:rPr>
              <m:t>vv</m:t>
            </m:r>
          </m:sub>
          <m:sup>
            <m:r>
              <m:rPr>
                <m:sty m:val="bi"/>
              </m:rPr>
              <w:rPr>
                <w:rFonts w:ascii="Cambria Math" w:hAnsi="Cambria Math" w:cs="Helvetica"/>
                <w:color w:val="auto"/>
                <w:vertAlign w:val="superscript"/>
              </w:rPr>
              <m:t>0</m:t>
            </m:r>
          </m:sup>
        </m:sSubSup>
      </m:oMath>
      <w:r>
        <w:rPr>
          <w:rFonts w:eastAsiaTheme="minorEastAsia"/>
          <w:color w:val="auto"/>
        </w:rPr>
        <w:t xml:space="preserve"> at 9.6 (Black) and 17.2 GHz (Grey) within the SikSik (SS) and Upland Tundra (UT) sites. Measurements have been </w:t>
      </w:r>
      <w:r w:rsidR="002F5157">
        <w:rPr>
          <w:rFonts w:eastAsiaTheme="minorEastAsia"/>
          <w:color w:val="auto"/>
        </w:rPr>
        <w:t>limited</w:t>
      </w:r>
      <w:r>
        <w:rPr>
          <w:rFonts w:eastAsiaTheme="minorEastAsia"/>
          <w:color w:val="auto"/>
        </w:rPr>
        <w:t xml:space="preserve"> to those located</w:t>
      </w:r>
      <w:r w:rsidR="009531B0">
        <w:rPr>
          <w:rFonts w:eastAsiaTheme="minorEastAsia"/>
          <w:color w:val="auto"/>
        </w:rPr>
        <w:t xml:space="preserve"> in</w:t>
      </w:r>
      <w:r>
        <w:rPr>
          <w:rFonts w:eastAsiaTheme="minorEastAsia"/>
          <w:color w:val="auto"/>
        </w:rPr>
        <w:t xml:space="preserve"> open tundra.</w:t>
      </w:r>
    </w:p>
    <w:p w:rsidR="00905DF4" w:rsidRPr="00824C47" w:rsidRDefault="00BC102A" w:rsidP="00905DF4">
      <w:pPr>
        <w:spacing w:line="480" w:lineRule="auto"/>
        <w:rPr>
          <w:rFonts w:eastAsiaTheme="minorEastAsia"/>
        </w:rPr>
      </w:pPr>
      <w:r>
        <w:t xml:space="preserve">The </w:t>
      </w:r>
      <w:r w:rsidR="00117A26">
        <w:t xml:space="preserve">SnowSAR </w:t>
      </w:r>
      <w:r>
        <w:t>response to</w:t>
      </w:r>
      <w:r w:rsidR="001959E4">
        <w:t xml:space="preserve"> </w:t>
      </w:r>
      <w:r w:rsidR="00F561B9">
        <w:t>snow</w:t>
      </w:r>
      <w:r w:rsidR="00461500">
        <w:t xml:space="preserve"> mass</w:t>
      </w:r>
      <w:r w:rsidR="006D48B4">
        <w:t xml:space="preserve"> is introduced in Figure </w:t>
      </w:r>
      <w:r w:rsidR="00A3638B">
        <w:t>10</w:t>
      </w:r>
      <w:r w:rsidR="006D48B4">
        <w:t xml:space="preserve"> where dual-frequency </w:t>
      </w:r>
      <m:oMath>
        <m:sSubSup>
          <m:sSubSupPr>
            <m:ctrlPr>
              <w:rPr>
                <w:rFonts w:ascii="Cambria Math" w:hAnsi="Cambria Math" w:cs="Helvetica"/>
                <w:vertAlign w:val="superscript"/>
              </w:rPr>
            </m:ctrlPr>
          </m:sSubSupPr>
          <m:e>
            <m:r>
              <w:rPr>
                <w:rFonts w:ascii="Cambria Math" w:hAnsi="Cambria Math" w:cs="Helvetica"/>
                <w:vertAlign w:val="superscript"/>
              </w:rPr>
              <m:t>σ</m:t>
            </m:r>
          </m:e>
          <m:sub>
            <m:r>
              <w:rPr>
                <w:rFonts w:ascii="Cambria Math" w:hAnsi="Cambria Math" w:cs="Helvetica"/>
                <w:vertAlign w:val="superscript"/>
              </w:rPr>
              <m:t>vv</m:t>
            </m:r>
          </m:sub>
          <m:sup>
            <m:r>
              <w:rPr>
                <w:rFonts w:ascii="Cambria Math" w:hAnsi="Cambria Math" w:cs="Helvetica"/>
                <w:vertAlign w:val="superscript"/>
              </w:rPr>
              <m:t>0</m:t>
            </m:r>
          </m:sup>
        </m:sSubSup>
      </m:oMath>
      <w:r w:rsidR="007534D9">
        <w:rPr>
          <w:rFonts w:eastAsiaTheme="minorEastAsia"/>
          <w:vertAlign w:val="superscript"/>
        </w:rPr>
        <w:t xml:space="preserve"> </w:t>
      </w:r>
      <w:r w:rsidR="007534D9">
        <w:rPr>
          <w:rFonts w:eastAsiaTheme="minorEastAsia"/>
        </w:rPr>
        <w:t xml:space="preserve">is </w:t>
      </w:r>
      <w:r w:rsidR="006D48B4">
        <w:rPr>
          <w:rFonts w:eastAsiaTheme="minorEastAsia"/>
        </w:rPr>
        <w:t xml:space="preserve">shown </w:t>
      </w:r>
      <w:r>
        <w:rPr>
          <w:rFonts w:eastAsiaTheme="minorEastAsia"/>
        </w:rPr>
        <w:t>with</w:t>
      </w:r>
      <w:r w:rsidR="006D48B4">
        <w:rPr>
          <w:rFonts w:eastAsiaTheme="minorEastAsia"/>
        </w:rPr>
        <w:t xml:space="preserve"> </w:t>
      </w:r>
      <w:r w:rsidR="002D2D9A">
        <w:rPr>
          <w:rFonts w:eastAsiaTheme="minorEastAsia"/>
        </w:rPr>
        <w:t>co-located</w:t>
      </w:r>
      <w:r w:rsidR="006D48B4">
        <w:rPr>
          <w:rFonts w:eastAsiaTheme="minorEastAsia"/>
        </w:rPr>
        <w:t xml:space="preserve"> </w:t>
      </w:r>
      <w:r w:rsidR="00461500">
        <w:rPr>
          <w:rFonts w:eastAsiaTheme="minorEastAsia"/>
        </w:rPr>
        <w:t>estimates of SWE</w:t>
      </w:r>
      <w:r w:rsidR="006D48B4">
        <w:rPr>
          <w:rFonts w:eastAsiaTheme="minorEastAsia"/>
        </w:rPr>
        <w:t xml:space="preserve">. </w:t>
      </w:r>
      <w:r w:rsidR="00905DF4">
        <w:rPr>
          <w:rFonts w:eastAsiaTheme="minorEastAsia"/>
        </w:rPr>
        <w:t>Overlaid boxplots</w:t>
      </w:r>
      <w:r w:rsidR="00A3638B">
        <w:rPr>
          <w:rFonts w:eastAsiaTheme="minorEastAsia"/>
        </w:rPr>
        <w:t xml:space="preserve"> </w:t>
      </w:r>
      <w:r w:rsidR="00905DF4">
        <w:rPr>
          <w:rFonts w:eastAsiaTheme="minorEastAsia"/>
        </w:rPr>
        <w:t>summarize</w:t>
      </w:r>
      <w:r w:rsidR="00A3638B">
        <w:rPr>
          <w:rFonts w:eastAsiaTheme="minorEastAsia"/>
        </w:rPr>
        <w:t xml:space="preserve"> </w:t>
      </w:r>
      <w:r w:rsidR="00905DF4">
        <w:rPr>
          <w:rFonts w:eastAsiaTheme="minorEastAsia"/>
        </w:rPr>
        <w:t>sensitivity across the first standard deviation of SWE in 10 mm increments</w:t>
      </w:r>
      <w:r w:rsidR="00905DF4">
        <w:t xml:space="preserve">. At the UT site the 17.2 GHz median values describe a </w:t>
      </w:r>
      <w:r w:rsidR="00221A16">
        <w:t>weak</w:t>
      </w:r>
      <w:r w:rsidR="00905DF4">
        <w:t xml:space="preserve"> change in backscatter</w:t>
      </w:r>
      <w:r w:rsidR="00221A16">
        <w:t xml:space="preserve"> with increasing SWE (+0.13 dB</w:t>
      </w:r>
      <w:r w:rsidR="006F4EAC">
        <w:t xml:space="preserve"> over </w:t>
      </w:r>
      <w:r w:rsidR="00905DF4">
        <w:t xml:space="preserve">108 to 206 mm). The interquartile range (IQR) of 17.2 GHz UT boxplots were on average 0.61 dB, larger than the observed trend with SWE. Similar behaviour was identified at the SS site, where a small increase in 17.2 GHz </w:t>
      </w:r>
      <m:oMath>
        <m:sSubSup>
          <m:sSubSupPr>
            <m:ctrlPr>
              <w:rPr>
                <w:rFonts w:ascii="Cambria Math" w:hAnsi="Cambria Math" w:cs="Helvetica"/>
                <w:vertAlign w:val="superscript"/>
              </w:rPr>
            </m:ctrlPr>
          </m:sSubSupPr>
          <m:e>
            <m:r>
              <w:rPr>
                <w:rFonts w:ascii="Cambria Math" w:hAnsi="Cambria Math" w:cs="Helvetica"/>
                <w:vertAlign w:val="superscript"/>
              </w:rPr>
              <m:t>σ</m:t>
            </m:r>
          </m:e>
          <m:sub>
            <m:r>
              <w:rPr>
                <w:rFonts w:ascii="Cambria Math" w:hAnsi="Cambria Math" w:cs="Helvetica"/>
                <w:vertAlign w:val="superscript"/>
              </w:rPr>
              <m:t>vv</m:t>
            </m:r>
          </m:sub>
          <m:sup>
            <m:r>
              <w:rPr>
                <w:rFonts w:ascii="Cambria Math" w:hAnsi="Cambria Math" w:cs="Helvetica"/>
                <w:vertAlign w:val="superscript"/>
              </w:rPr>
              <m:t>0</m:t>
            </m:r>
          </m:sup>
        </m:sSubSup>
      </m:oMath>
      <w:r w:rsidR="00905DF4">
        <w:rPr>
          <w:rFonts w:eastAsiaTheme="minorEastAsia"/>
        </w:rPr>
        <w:t xml:space="preserve"> (+0.3 dB) was characterized across the </w:t>
      </w:r>
      <w:r w:rsidR="009F6A00">
        <w:rPr>
          <w:rFonts w:eastAsiaTheme="minorEastAsia"/>
        </w:rPr>
        <w:t>standard deviation</w:t>
      </w:r>
      <w:r w:rsidR="00905DF4">
        <w:rPr>
          <w:rFonts w:eastAsiaTheme="minorEastAsia"/>
        </w:rPr>
        <w:t xml:space="preserve"> range of SWE</w:t>
      </w:r>
      <w:r w:rsidR="00905DF4">
        <w:t xml:space="preserve"> (between 95 and 165 mm)</w:t>
      </w:r>
      <w:r w:rsidR="00905DF4">
        <w:rPr>
          <w:rFonts w:eastAsiaTheme="minorEastAsia"/>
        </w:rPr>
        <w:t>.</w:t>
      </w:r>
      <w:r w:rsidR="00905DF4">
        <w:t xml:space="preserve"> A larger IQR (0.90 dB on average) was associated with the SS backscatter, particularly at lower SWE. At 9.6 GHz,</w:t>
      </w:r>
      <w:r w:rsidR="00824C47">
        <w:t xml:space="preserve"> </w:t>
      </w:r>
      <w:r w:rsidR="00905DF4">
        <w:t xml:space="preserve">decreases in median </w:t>
      </w:r>
      <m:oMath>
        <m:sSubSup>
          <m:sSubSupPr>
            <m:ctrlPr>
              <w:rPr>
                <w:rFonts w:ascii="Cambria Math" w:hAnsi="Cambria Math" w:cs="Helvetica"/>
                <w:vertAlign w:val="superscript"/>
              </w:rPr>
            </m:ctrlPr>
          </m:sSubSupPr>
          <m:e>
            <m:r>
              <w:rPr>
                <w:rFonts w:ascii="Cambria Math" w:hAnsi="Cambria Math" w:cs="Helvetica"/>
                <w:vertAlign w:val="superscript"/>
              </w:rPr>
              <m:t>σ</m:t>
            </m:r>
          </m:e>
          <m:sub>
            <m:r>
              <w:rPr>
                <w:rFonts w:ascii="Cambria Math" w:hAnsi="Cambria Math" w:cs="Helvetica"/>
                <w:vertAlign w:val="superscript"/>
              </w:rPr>
              <m:t>vv</m:t>
            </m:r>
          </m:sub>
          <m:sup>
            <m:r>
              <w:rPr>
                <w:rFonts w:ascii="Cambria Math" w:hAnsi="Cambria Math" w:cs="Helvetica"/>
                <w:vertAlign w:val="superscript"/>
              </w:rPr>
              <m:t>0</m:t>
            </m:r>
          </m:sup>
        </m:sSubSup>
      </m:oMath>
      <w:r w:rsidR="00905DF4">
        <w:t xml:space="preserve"> were noted at both sites (-0.24 dB at UT and -0.36 dB at SS), although as in the higher frequency case, the change was small in comparison to the IQR (0.</w:t>
      </w:r>
      <w:r w:rsidR="009F6A00">
        <w:t>77 dB at UT and 1.13 dB at SS).</w:t>
      </w:r>
    </w:p>
    <w:p w:rsidR="000F17E8" w:rsidRPr="0066471C" w:rsidRDefault="002A05DE" w:rsidP="000F17E8">
      <w:pPr>
        <w:spacing w:line="480" w:lineRule="auto"/>
        <w:jc w:val="center"/>
      </w:pPr>
      <w:r>
        <w:rPr>
          <w:noProof/>
          <w:lang w:val="en-GB" w:eastAsia="en-GB"/>
        </w:rPr>
        <w:drawing>
          <wp:inline distT="0" distB="0" distL="0" distR="0" wp14:anchorId="7FEE12ED" wp14:editId="6B591843">
            <wp:extent cx="4935600" cy="2520000"/>
            <wp:effectExtent l="0" t="0" r="0" b="0"/>
            <wp:docPr id="22" name="Picture 22" descr="D:\Josh\Figure_1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Josh\Figure_10.ti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35600" cy="2520000"/>
                    </a:xfrm>
                    <a:prstGeom prst="rect">
                      <a:avLst/>
                    </a:prstGeom>
                    <a:noFill/>
                    <a:ln>
                      <a:noFill/>
                    </a:ln>
                  </pic:spPr>
                </pic:pic>
              </a:graphicData>
            </a:graphic>
          </wp:inline>
        </w:drawing>
      </w:r>
    </w:p>
    <w:p w:rsidR="00905DF4" w:rsidRPr="00221A16" w:rsidRDefault="00905DF4" w:rsidP="00221A16">
      <w:pPr>
        <w:pStyle w:val="Caption"/>
        <w:spacing w:before="240" w:line="360" w:lineRule="auto"/>
        <w:rPr>
          <w:rFonts w:eastAsiaTheme="minorEastAsia" w:cs="Helvetica"/>
          <w:color w:val="auto"/>
        </w:rPr>
      </w:pPr>
      <w:r w:rsidRPr="001734A7">
        <w:rPr>
          <w:rFonts w:cs="Helvetica"/>
          <w:color w:val="auto"/>
        </w:rPr>
        <w:t xml:space="preserve">Figure </w:t>
      </w:r>
      <w:r>
        <w:rPr>
          <w:rFonts w:cs="Helvetica"/>
          <w:color w:val="auto"/>
        </w:rPr>
        <w:t>10</w:t>
      </w:r>
      <w:r w:rsidRPr="001734A7">
        <w:rPr>
          <w:rFonts w:cs="Helvetica"/>
          <w:color w:val="auto"/>
        </w:rPr>
        <w:t xml:space="preserve">: </w:t>
      </w:r>
      <w:r>
        <w:rPr>
          <w:rFonts w:cs="Helvetica"/>
          <w:color w:val="auto"/>
        </w:rPr>
        <w:t xml:space="preserve">Relationship between </w:t>
      </w:r>
      <w:r w:rsidRPr="00A07536">
        <w:rPr>
          <w:rFonts w:cs="Helvetica"/>
          <w:color w:val="auto"/>
        </w:rPr>
        <w:t xml:space="preserve">SnowSAR </w:t>
      </w:r>
      <m:oMath>
        <m:sSubSup>
          <m:sSubSupPr>
            <m:ctrlPr>
              <w:rPr>
                <w:rFonts w:ascii="Cambria Math" w:hAnsi="Cambria Math" w:cs="Helvetica"/>
                <w:b w:val="0"/>
                <w:color w:val="auto"/>
                <w:vertAlign w:val="superscript"/>
              </w:rPr>
            </m:ctrlPr>
          </m:sSubSupPr>
          <m:e>
            <m:r>
              <m:rPr>
                <m:sty m:val="bi"/>
              </m:rPr>
              <w:rPr>
                <w:rFonts w:ascii="Cambria Math" w:hAnsi="Cambria Math" w:cs="Helvetica"/>
                <w:color w:val="auto"/>
                <w:vertAlign w:val="superscript"/>
              </w:rPr>
              <m:t>σ</m:t>
            </m:r>
          </m:e>
          <m:sub>
            <m:r>
              <m:rPr>
                <m:sty m:val="bi"/>
              </m:rPr>
              <w:rPr>
                <w:rFonts w:ascii="Cambria Math" w:hAnsi="Cambria Math" w:cs="Helvetica"/>
                <w:color w:val="auto"/>
                <w:vertAlign w:val="superscript"/>
              </w:rPr>
              <m:t>vv</m:t>
            </m:r>
          </m:sub>
          <m:sup>
            <m:r>
              <m:rPr>
                <m:sty m:val="bi"/>
              </m:rPr>
              <w:rPr>
                <w:rFonts w:ascii="Cambria Math" w:hAnsi="Cambria Math" w:cs="Helvetica"/>
                <w:color w:val="auto"/>
                <w:vertAlign w:val="superscript"/>
              </w:rPr>
              <m:t>0</m:t>
            </m:r>
          </m:sup>
        </m:sSubSup>
      </m:oMath>
      <w:r w:rsidRPr="00A07536">
        <w:rPr>
          <w:rFonts w:eastAsiaTheme="minorEastAsia" w:cs="Helvetica"/>
          <w:color w:val="auto"/>
          <w:vertAlign w:val="superscript"/>
        </w:rPr>
        <w:t xml:space="preserve"> </w:t>
      </w:r>
      <w:r w:rsidRPr="00A07536">
        <w:rPr>
          <w:rFonts w:eastAsiaTheme="minorEastAsia" w:cs="Helvetica"/>
          <w:color w:val="auto"/>
        </w:rPr>
        <w:t xml:space="preserve">and </w:t>
      </w:r>
      <w:r>
        <w:rPr>
          <w:rFonts w:eastAsiaTheme="minorEastAsia" w:cs="Helvetica"/>
          <w:color w:val="auto"/>
        </w:rPr>
        <w:t>SWE at the SS and UT sites (Black dots and boxplots)</w:t>
      </w:r>
      <w:r>
        <w:rPr>
          <w:rFonts w:cs="Helvetica"/>
          <w:color w:val="auto"/>
        </w:rPr>
        <w:t xml:space="preserve">. </w:t>
      </w:r>
      <w:r w:rsidRPr="001734A7">
        <w:rPr>
          <w:rFonts w:eastAsiaTheme="minorEastAsia" w:cs="Helvetica"/>
          <w:color w:val="auto"/>
        </w:rPr>
        <w:t xml:space="preserve">Grey shaded area shows </w:t>
      </w:r>
      <w:r w:rsidR="00D935DE">
        <w:rPr>
          <w:rFonts w:eastAsiaTheme="minorEastAsia" w:cs="Helvetica"/>
          <w:color w:val="auto"/>
        </w:rPr>
        <w:t xml:space="preserve">the MEMLS </w:t>
      </w:r>
      <w:r w:rsidR="00D728DD">
        <w:rPr>
          <w:rFonts w:eastAsiaTheme="minorEastAsia" w:cs="Helvetica"/>
          <w:color w:val="auto"/>
        </w:rPr>
        <w:t xml:space="preserve">1-layer </w:t>
      </w:r>
      <w:r>
        <w:rPr>
          <w:rFonts w:eastAsiaTheme="minorEastAsia" w:cs="Helvetica"/>
          <w:color w:val="auto"/>
        </w:rPr>
        <w:t>simulated</w:t>
      </w:r>
      <w:r w:rsidRPr="001734A7">
        <w:rPr>
          <w:rFonts w:eastAsiaTheme="minorEastAsia" w:cs="Helvetica"/>
          <w:color w:val="auto"/>
        </w:rPr>
        <w:t xml:space="preserve"> range o</w:t>
      </w:r>
      <w:r w:rsidR="00D728DD">
        <w:rPr>
          <w:rFonts w:eastAsiaTheme="minorEastAsia" w:cs="Helvetica"/>
          <w:color w:val="auto"/>
        </w:rPr>
        <w:t>f variability based on snow pit measurements</w:t>
      </w:r>
      <w:r w:rsidRPr="001734A7">
        <w:rPr>
          <w:rFonts w:eastAsiaTheme="minorEastAsia" w:cs="Helvetica"/>
          <w:color w:val="auto"/>
        </w:rPr>
        <w:t>.</w:t>
      </w:r>
      <w:r w:rsidR="00654A21">
        <w:rPr>
          <w:rFonts w:eastAsiaTheme="minorEastAsia" w:cs="Helvetica"/>
          <w:color w:val="auto"/>
        </w:rPr>
        <w:t xml:space="preserve"> The </w:t>
      </w:r>
      <w:r w:rsidR="00BC102A">
        <w:rPr>
          <w:rFonts w:eastAsiaTheme="minorEastAsia" w:cs="Helvetica"/>
          <w:color w:val="auto"/>
        </w:rPr>
        <w:t>solid</w:t>
      </w:r>
      <w:r w:rsidR="00654A21">
        <w:rPr>
          <w:rFonts w:eastAsiaTheme="minorEastAsia" w:cs="Helvetica"/>
          <w:color w:val="auto"/>
        </w:rPr>
        <w:t xml:space="preserve"> and dashed lines are </w:t>
      </w:r>
      <w:r w:rsidR="00804DC6">
        <w:rPr>
          <w:rFonts w:eastAsiaTheme="minorEastAsia" w:cs="Helvetica"/>
          <w:color w:val="auto"/>
        </w:rPr>
        <w:t xml:space="preserve">for </w:t>
      </w:r>
      <m:oMath>
        <m:sSub>
          <m:sSubPr>
            <m:ctrlPr>
              <w:rPr>
                <w:rFonts w:ascii="Cambria Math" w:hAnsi="Cambria Math"/>
                <w:i/>
                <w:color w:val="auto"/>
              </w:rPr>
            </m:ctrlPr>
          </m:sSubPr>
          <m:e>
            <m:r>
              <m:rPr>
                <m:sty m:val="bi"/>
              </m:rPr>
              <w:rPr>
                <w:rFonts w:ascii="Cambria Math" w:hAnsi="Cambria Math"/>
                <w:color w:val="auto"/>
              </w:rPr>
              <m:t>l</m:t>
            </m:r>
          </m:e>
          <m:sub>
            <m:r>
              <m:rPr>
                <m:nor/>
              </m:rPr>
              <w:rPr>
                <w:rFonts w:ascii="Cambria Math" w:hAnsi="Cambria Math"/>
                <w:color w:val="auto"/>
              </w:rPr>
              <m:t>ex</m:t>
            </m:r>
          </m:sub>
        </m:sSub>
      </m:oMath>
      <w:r w:rsidR="00654A21" w:rsidRPr="00A07536">
        <w:rPr>
          <w:rFonts w:eastAsiaTheme="minorEastAsia" w:cs="Helvetica"/>
          <w:color w:val="auto"/>
        </w:rPr>
        <w:t xml:space="preserve"> </w:t>
      </w:r>
      <w:r w:rsidR="00804DC6">
        <w:rPr>
          <w:rFonts w:eastAsiaTheme="minorEastAsia" w:cs="Helvetica"/>
          <w:color w:val="auto"/>
        </w:rPr>
        <w:t>of</w:t>
      </w:r>
      <w:r w:rsidR="00654A21">
        <w:rPr>
          <w:rFonts w:eastAsiaTheme="minorEastAsia" w:cs="Helvetica"/>
          <w:color w:val="auto"/>
        </w:rPr>
        <w:t xml:space="preserve"> 0.383 and 0.247 mm, representing the </w:t>
      </w:r>
      <w:r w:rsidR="00D728DD">
        <w:rPr>
          <w:rFonts w:eastAsiaTheme="minorEastAsia" w:cs="Helvetica"/>
          <w:color w:val="auto"/>
        </w:rPr>
        <w:t xml:space="preserve">first </w:t>
      </w:r>
      <w:r w:rsidR="00654A21">
        <w:rPr>
          <w:rFonts w:eastAsiaTheme="minorEastAsia" w:cs="Helvetica"/>
          <w:color w:val="auto"/>
        </w:rPr>
        <w:t>standard devia</w:t>
      </w:r>
      <w:r w:rsidR="00804DC6">
        <w:rPr>
          <w:rFonts w:eastAsiaTheme="minorEastAsia" w:cs="Helvetica"/>
          <w:color w:val="auto"/>
        </w:rPr>
        <w:t xml:space="preserve">tion of </w:t>
      </w:r>
      <w:r w:rsidR="00D728DD">
        <w:rPr>
          <w:rFonts w:eastAsiaTheme="minorEastAsia" w:cs="Helvetica"/>
          <w:color w:val="auto"/>
        </w:rPr>
        <w:t>measurements</w:t>
      </w:r>
      <w:r w:rsidR="00654A21">
        <w:rPr>
          <w:rFonts w:eastAsiaTheme="minorEastAsia" w:cs="Helvetica"/>
          <w:color w:val="auto"/>
        </w:rPr>
        <w:t>.</w:t>
      </w:r>
    </w:p>
    <w:p w:rsidR="00905DF4" w:rsidRDefault="00905DF4" w:rsidP="00905DF4">
      <w:pPr>
        <w:pStyle w:val="MDPI23heading3"/>
        <w:spacing w:line="360" w:lineRule="auto"/>
      </w:pPr>
      <w:r>
        <w:t>3</w:t>
      </w:r>
      <w:r w:rsidRPr="00F34C44">
        <w:t>.</w:t>
      </w:r>
      <w:r>
        <w:t>3</w:t>
      </w:r>
      <w:r w:rsidRPr="00F34C44">
        <w:t>.</w:t>
      </w:r>
      <w:r>
        <w:t>2</w:t>
      </w:r>
      <w:r w:rsidRPr="00F34C44">
        <w:t xml:space="preserve">. </w:t>
      </w:r>
      <w:r w:rsidR="00AF414C">
        <w:t>MEMLS</w:t>
      </w:r>
      <w:r>
        <w:t xml:space="preserve"> </w:t>
      </w:r>
      <w:r w:rsidR="00703C32">
        <w:t>sensitivity to microstructure and SWE</w:t>
      </w:r>
    </w:p>
    <w:p w:rsidR="00544151" w:rsidRDefault="009F6A00" w:rsidP="001C1E77">
      <w:pPr>
        <w:spacing w:line="480" w:lineRule="auto"/>
      </w:pPr>
      <w:r>
        <w:t>Given the flat</w:t>
      </w:r>
      <w:r w:rsidR="00544151">
        <w:t xml:space="preserve"> response</w:t>
      </w:r>
      <w:r w:rsidR="00032D64">
        <w:t xml:space="preserve"> of SnowSAR</w:t>
      </w:r>
      <w:r>
        <w:t xml:space="preserve">, it </w:t>
      </w:r>
      <w:r w:rsidR="006D48B4">
        <w:t>was</w:t>
      </w:r>
      <w:r>
        <w:t xml:space="preserve"> clear that factors other than</w:t>
      </w:r>
      <w:r w:rsidR="00F65F06">
        <w:t xml:space="preserve"> </w:t>
      </w:r>
      <w:r w:rsidR="00D96660">
        <w:t>snow mass</w:t>
      </w:r>
      <w:r w:rsidR="002D2D9A">
        <w:t xml:space="preserve"> were</w:t>
      </w:r>
      <w:r w:rsidR="007534D9">
        <w:t xml:space="preserve"> strong</w:t>
      </w:r>
      <w:r w:rsidR="002D2D9A">
        <w:t xml:space="preserve"> </w:t>
      </w:r>
      <w:r w:rsidR="000D508A">
        <w:t>contributors</w:t>
      </w:r>
      <w:r>
        <w:t xml:space="preserve">, requiring additional information to </w:t>
      </w:r>
      <w:r w:rsidR="002F5157">
        <w:t>decompose</w:t>
      </w:r>
      <w:r>
        <w:t xml:space="preserve">. </w:t>
      </w:r>
      <w:r w:rsidR="00873EB3">
        <w:t>Two</w:t>
      </w:r>
      <w:r>
        <w:t xml:space="preserve"> </w:t>
      </w:r>
      <w:r w:rsidR="00D935DE">
        <w:t xml:space="preserve">MEMLS </w:t>
      </w:r>
      <w:r>
        <w:t>sensitivity</w:t>
      </w:r>
      <w:r w:rsidR="00D935DE">
        <w:t xml:space="preserve"> studies</w:t>
      </w:r>
      <w:r w:rsidR="005F0D0B">
        <w:t xml:space="preserve"> </w:t>
      </w:r>
      <w:r w:rsidR="00D935DE">
        <w:t xml:space="preserve">were </w:t>
      </w:r>
      <w:r w:rsidR="000D508A">
        <w:t>generated</w:t>
      </w:r>
      <w:r w:rsidR="00D935DE">
        <w:t xml:space="preserve"> to</w:t>
      </w:r>
      <w:r w:rsidR="00544151">
        <w:t xml:space="preserve"> address </w:t>
      </w:r>
      <w:r w:rsidR="009D1E53">
        <w:t>this</w:t>
      </w:r>
      <w:r w:rsidR="00544151">
        <w:t xml:space="preserve"> </w:t>
      </w:r>
      <w:r w:rsidR="007534D9">
        <w:t xml:space="preserve">ambiguity, </w:t>
      </w:r>
      <w:r w:rsidR="00DD4075">
        <w:t xml:space="preserve">contrasting </w:t>
      </w:r>
      <w:r w:rsidR="00703C32">
        <w:t xml:space="preserve">the response of </w:t>
      </w:r>
      <w:r w:rsidR="007534A8">
        <w:t xml:space="preserve">a </w:t>
      </w:r>
      <w:r w:rsidR="005551B6">
        <w:t xml:space="preserve">microstructure invariant </w:t>
      </w:r>
      <w:r w:rsidR="00DD4075">
        <w:t xml:space="preserve">snowpack against </w:t>
      </w:r>
      <w:r w:rsidR="00F65F06">
        <w:t xml:space="preserve">stratigraphic </w:t>
      </w:r>
      <w:r w:rsidR="005F0D0B">
        <w:t>variability</w:t>
      </w:r>
      <w:r w:rsidR="00824C47">
        <w:t xml:space="preserve"> </w:t>
      </w:r>
      <w:r w:rsidR="00F37F5B">
        <w:t>similar</w:t>
      </w:r>
      <w:r w:rsidR="00824C47">
        <w:t xml:space="preserve"> to the </w:t>
      </w:r>
      <w:r w:rsidR="005F0D0B">
        <w:t>observed slab-hoar dichotomy</w:t>
      </w:r>
      <w:r w:rsidR="00DD4075">
        <w:t xml:space="preserve">. </w:t>
      </w:r>
      <w:r w:rsidR="00703C32">
        <w:t>These simulations</w:t>
      </w:r>
      <w:r w:rsidR="00180157">
        <w:t xml:space="preserve"> </w:t>
      </w:r>
      <w:r w:rsidR="00183702">
        <w:t>attempt</w:t>
      </w:r>
      <w:r w:rsidR="00595FE5">
        <w:t>ed</w:t>
      </w:r>
      <w:r w:rsidR="00183702">
        <w:t xml:space="preserve"> to </w:t>
      </w:r>
      <w:r w:rsidR="00DD1C3E">
        <w:t>characterize</w:t>
      </w:r>
      <w:r w:rsidR="00524BFA">
        <w:t xml:space="preserve"> the</w:t>
      </w:r>
      <w:r w:rsidR="00D728DD">
        <w:t xml:space="preserve"> </w:t>
      </w:r>
      <w:r w:rsidR="00524BFA">
        <w:t>eff</w:t>
      </w:r>
      <w:r w:rsidR="00DD1C3E">
        <w:t>ect</w:t>
      </w:r>
      <w:r w:rsidR="00514E82">
        <w:t xml:space="preserve"> of </w:t>
      </w:r>
      <w:r w:rsidR="00703C32">
        <w:t>wind</w:t>
      </w:r>
      <w:r w:rsidR="000C4574">
        <w:t xml:space="preserve"> </w:t>
      </w:r>
      <w:r w:rsidR="00DE4870">
        <w:t xml:space="preserve">rounding </w:t>
      </w:r>
      <w:r w:rsidR="00524BFA">
        <w:t>and</w:t>
      </w:r>
      <w:r w:rsidR="00DD4075">
        <w:t xml:space="preserve"> temperature gradient </w:t>
      </w:r>
      <w:r w:rsidR="00F65F06">
        <w:t>metamorphosis</w:t>
      </w:r>
      <w:r w:rsidR="00785912">
        <w:t xml:space="preserve"> on backscatter</w:t>
      </w:r>
      <w:r w:rsidR="005F0D0B">
        <w:t>,</w:t>
      </w:r>
      <w:r w:rsidR="002A3400">
        <w:t xml:space="preserve"> as </w:t>
      </w:r>
      <w:r w:rsidR="009457E8">
        <w:t>controlling processes</w:t>
      </w:r>
      <w:r w:rsidR="00F73818">
        <w:t xml:space="preserve"> </w:t>
      </w:r>
      <w:r w:rsidR="00671D54">
        <w:t>within</w:t>
      </w:r>
      <w:r w:rsidR="00143317">
        <w:t xml:space="preserve"> </w:t>
      </w:r>
      <w:r w:rsidR="00180157">
        <w:t>the</w:t>
      </w:r>
      <w:r w:rsidR="00BE1996">
        <w:t xml:space="preserve"> </w:t>
      </w:r>
      <w:r w:rsidR="006D48B4">
        <w:t>drifted</w:t>
      </w:r>
      <w:r w:rsidR="00BE1996">
        <w:t xml:space="preserve"> and </w:t>
      </w:r>
      <w:r w:rsidR="004D7876">
        <w:t>thin</w:t>
      </w:r>
      <w:r w:rsidR="009457E8">
        <w:t xml:space="preserve"> </w:t>
      </w:r>
      <w:r w:rsidR="00F65F06">
        <w:t>snowpac</w:t>
      </w:r>
      <w:r w:rsidR="00785912">
        <w:t>k</w:t>
      </w:r>
      <w:r w:rsidR="00595FE5">
        <w:t xml:space="preserve"> elements</w:t>
      </w:r>
      <w:r w:rsidR="00DD4075">
        <w:t xml:space="preserve">. </w:t>
      </w:r>
      <w:r w:rsidR="00E90942">
        <w:t xml:space="preserve">In all </w:t>
      </w:r>
      <w:r w:rsidR="00441673">
        <w:t>simulations</w:t>
      </w:r>
      <w:r w:rsidR="00E90942">
        <w:t xml:space="preserve">, </w:t>
      </w:r>
      <w:r w:rsidR="002A05DE">
        <w:t xml:space="preserve">MEMLS </w:t>
      </w:r>
      <w:r w:rsidR="001137EB">
        <w:t>input</w:t>
      </w:r>
      <w:r w:rsidR="00401792">
        <w:t xml:space="preserve"> </w:t>
      </w:r>
      <w:r w:rsidR="00BB7412">
        <w:t>was</w:t>
      </w:r>
      <w:r w:rsidR="00401792">
        <w:t xml:space="preserve"> de</w:t>
      </w:r>
      <w:r w:rsidR="002A05DE">
        <w:t>rived from the layer weighted</w:t>
      </w:r>
      <w:r w:rsidR="00401792">
        <w:t xml:space="preserve"> properties</w:t>
      </w:r>
      <w:r w:rsidR="002A05DE">
        <w:t xml:space="preserve"> of the snow pits</w:t>
      </w:r>
      <w:r w:rsidR="00401792">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rPr>
              <m:t>ex</m:t>
            </m:r>
          </m:sub>
        </m:sSub>
      </m:oMath>
      <w:r w:rsidR="00703C32">
        <w:t xml:space="preserve"> </w:t>
      </w:r>
      <w:r w:rsidR="00654A21">
        <w:t>was</w:t>
      </w:r>
      <w:r w:rsidR="00E90942">
        <w:t xml:space="preserve"> adjusted </w:t>
      </w:r>
      <w:r w:rsidR="009457E8">
        <w:t xml:space="preserve">with </w:t>
      </w:r>
      <m:oMath>
        <m:sSub>
          <m:sSubPr>
            <m:ctrlPr>
              <w:rPr>
                <w:rFonts w:ascii="Cambria Math" w:eastAsiaTheme="minorEastAsia" w:hAnsi="Cambria Math"/>
              </w:rPr>
            </m:ctrlPr>
          </m:sSubPr>
          <m:e>
            <m:r>
              <m:rPr>
                <m:sty m:val="p"/>
              </m:rPr>
              <w:rPr>
                <w:rFonts w:ascii="Cambria Math" w:eastAsiaTheme="minorEastAsia" w:hAnsi="Cambria Math"/>
              </w:rPr>
              <m:t>ϕ</m:t>
            </m:r>
          </m:e>
          <m:sub>
            <m:r>
              <m:rPr>
                <m:nor/>
              </m:rPr>
              <w:rPr>
                <w:rFonts w:ascii="Cambria Math" w:eastAsiaTheme="minorEastAsia" w:hAnsi="Cambria Math"/>
              </w:rPr>
              <m:t>opt</m:t>
            </m:r>
          </m:sub>
        </m:sSub>
      </m:oMath>
      <w:r w:rsidR="00785912">
        <w:t>,</w:t>
      </w:r>
      <w:r w:rsidR="00F120E5">
        <w:t xml:space="preserve"> and a radar </w:t>
      </w:r>
      <w:r w:rsidR="00383454">
        <w:t>incidence angle of 4</w:t>
      </w:r>
      <w:r w:rsidR="00514E82">
        <w:t>0°</w:t>
      </w:r>
      <w:r w:rsidR="00383454">
        <w:t xml:space="preserve"> was applied</w:t>
      </w:r>
      <w:r w:rsidR="00E90942">
        <w:t>.</w:t>
      </w:r>
    </w:p>
    <w:p w:rsidR="007534D9" w:rsidRPr="00873EB3" w:rsidRDefault="00905DF4" w:rsidP="006154AB">
      <w:pPr>
        <w:spacing w:line="480" w:lineRule="auto"/>
      </w:pPr>
      <w:r>
        <w:t>As a first step,</w:t>
      </w:r>
      <w:r w:rsidR="00441673">
        <w:t xml:space="preserve"> field-parametrized </w:t>
      </w:r>
      <w:r w:rsidR="00221A16">
        <w:t xml:space="preserve">1-layer </w:t>
      </w:r>
      <w:r w:rsidR="00E90942">
        <w:t>simulations</w:t>
      </w:r>
      <w:r>
        <w:t xml:space="preserve"> were </w:t>
      </w:r>
      <w:r w:rsidR="009B7A16">
        <w:t>completed</w:t>
      </w:r>
      <w:r w:rsidR="007E59F7">
        <w:t xml:space="preserve"> to </w:t>
      </w:r>
      <w:r w:rsidR="000C4574">
        <w:t xml:space="preserve">establish </w:t>
      </w:r>
      <w:r w:rsidR="00E90942">
        <w:t xml:space="preserve">bounds </w:t>
      </w:r>
      <w:r w:rsidR="000C4574">
        <w:t>on</w:t>
      </w:r>
      <w:r w:rsidR="00E90942">
        <w:t xml:space="preserve"> </w:t>
      </w:r>
      <w:r w:rsidR="006E396D">
        <w:t xml:space="preserve">expected </w:t>
      </w:r>
      <w:r w:rsidR="00A90451">
        <w:t>variability</w:t>
      </w:r>
      <w:r w:rsidR="009B7A16">
        <w:t xml:space="preserve"> </w:t>
      </w:r>
      <w:r w:rsidR="00DD1C3E">
        <w:t>as</w:t>
      </w:r>
      <w:r w:rsidR="00180157">
        <w:t xml:space="preserve"> </w:t>
      </w:r>
      <w:r w:rsidR="00DD1C3E">
        <w:t>related</w:t>
      </w:r>
      <w:r w:rsidR="002313F8">
        <w:t xml:space="preserve"> </w:t>
      </w:r>
      <w:r w:rsidR="00524BFA">
        <w:t>to</w:t>
      </w:r>
      <w:r w:rsidR="00D728DD">
        <w:t xml:space="preserve"> </w:t>
      </w:r>
      <w:r w:rsidR="00C168BA">
        <w:t>microstructure and SWE</w:t>
      </w:r>
      <w:r w:rsidR="00544151">
        <w:t>.</w:t>
      </w:r>
      <w:r w:rsidR="006E396D">
        <w:t xml:space="preserve"> The grey shaded </w:t>
      </w:r>
      <w:r w:rsidR="002A3400">
        <w:t>areas in Figure 10 show</w:t>
      </w:r>
      <w:r w:rsidR="006E396D">
        <w:t xml:space="preserve"> </w:t>
      </w:r>
      <w:r w:rsidR="0027494F">
        <w:t>the</w:t>
      </w:r>
      <w:r w:rsidR="00F73818">
        <w:t xml:space="preserve"> range of</w:t>
      </w:r>
      <w:r w:rsidR="0027494F">
        <w:t xml:space="preserve"> simulated </w:t>
      </w:r>
      <w:r w:rsidR="00AD1795">
        <w:t>relationship</w:t>
      </w:r>
      <w:r>
        <w:t xml:space="preserve"> between SWE and </w:t>
      </w:r>
      <m:oMath>
        <m:sSubSup>
          <m:sSubSupPr>
            <m:ctrlPr>
              <w:rPr>
                <w:rFonts w:ascii="Cambria Math" w:hAnsi="Cambria Math" w:cs="Helvetica"/>
                <w:vertAlign w:val="superscript"/>
              </w:rPr>
            </m:ctrlPr>
          </m:sSubSupPr>
          <m:e>
            <m:r>
              <w:rPr>
                <w:rFonts w:ascii="Cambria Math" w:hAnsi="Cambria Math" w:cs="Helvetica"/>
                <w:vertAlign w:val="superscript"/>
              </w:rPr>
              <m:t>σ</m:t>
            </m:r>
          </m:e>
          <m:sub>
            <m:r>
              <w:rPr>
                <w:rFonts w:ascii="Cambria Math" w:hAnsi="Cambria Math" w:cs="Helvetica"/>
                <w:vertAlign w:val="superscript"/>
              </w:rPr>
              <m:t>vv</m:t>
            </m:r>
          </m:sub>
          <m:sup>
            <m:r>
              <w:rPr>
                <w:rFonts w:ascii="Cambria Math" w:hAnsi="Cambria Math" w:cs="Helvetica"/>
                <w:vertAlign w:val="superscript"/>
              </w:rPr>
              <m:t>0</m:t>
            </m:r>
          </m:sup>
        </m:sSubSup>
      </m:oMath>
      <w:r w:rsidR="00FA4A4C">
        <w:rPr>
          <w:rFonts w:eastAsiaTheme="minorEastAsia"/>
          <w:vertAlign w:val="superscript"/>
        </w:rPr>
        <w:t xml:space="preserve"> </w:t>
      </w:r>
      <w:r>
        <w:t xml:space="preserve">when </w:t>
      </w:r>
      <m:oMath>
        <m:sSub>
          <m:sSubPr>
            <m:ctrlPr>
              <w:rPr>
                <w:rFonts w:ascii="Cambria Math" w:hAnsi="Cambria Math"/>
                <w:i/>
              </w:rPr>
            </m:ctrlPr>
          </m:sSubPr>
          <m:e>
            <m:r>
              <w:rPr>
                <w:rFonts w:ascii="Cambria Math" w:hAnsi="Cambria Math"/>
              </w:rPr>
              <m:t>l</m:t>
            </m:r>
          </m:e>
          <m:sub>
            <m:r>
              <m:rPr>
                <m:nor/>
              </m:rPr>
              <w:rPr>
                <w:rFonts w:ascii="Cambria Math" w:hAnsi="Cambria Math"/>
              </w:rPr>
              <m:t>ex</m:t>
            </m:r>
          </m:sub>
        </m:sSub>
      </m:oMath>
      <w:r w:rsidR="002A3400">
        <w:rPr>
          <w:rFonts w:eastAsiaTheme="minorEastAsia"/>
        </w:rPr>
        <w:t xml:space="preserve"> </w:t>
      </w:r>
      <w:r w:rsidR="007E67C5">
        <w:rPr>
          <w:rFonts w:eastAsiaTheme="minorEastAsia"/>
        </w:rPr>
        <w:t>is</w:t>
      </w:r>
      <w:r w:rsidR="002A3400">
        <w:rPr>
          <w:rFonts w:eastAsiaTheme="minorEastAsia"/>
        </w:rPr>
        <w:t xml:space="preserve"> parametrized</w:t>
      </w:r>
      <w:r>
        <w:rPr>
          <w:rFonts w:eastAsiaTheme="minorEastAsia"/>
        </w:rPr>
        <w:t xml:space="preserve"> according to </w:t>
      </w:r>
      <w:r w:rsidR="00AD1795">
        <w:rPr>
          <w:rFonts w:eastAsiaTheme="minorEastAsia"/>
        </w:rPr>
        <w:t>the first standard deviation of</w:t>
      </w:r>
      <w:r w:rsidR="002313F8">
        <w:rPr>
          <w:rFonts w:eastAsiaTheme="minorEastAsia"/>
        </w:rPr>
        <w:t xml:space="preserve"> </w:t>
      </w:r>
      <w:r w:rsidR="00BB7412">
        <w:rPr>
          <w:rFonts w:eastAsiaTheme="minorEastAsia"/>
        </w:rPr>
        <w:t xml:space="preserve">observed </w:t>
      </w:r>
      <w:r w:rsidR="00D43F65">
        <w:rPr>
          <w:rFonts w:eastAsiaTheme="minorEastAsia"/>
        </w:rPr>
        <w:t>microstructure</w:t>
      </w:r>
      <w:r>
        <w:rPr>
          <w:rFonts w:eastAsiaTheme="minorEastAsia"/>
        </w:rPr>
        <w:t xml:space="preserve"> (</w:t>
      </w:r>
      <w:r w:rsidR="00D84B0F">
        <w:t xml:space="preserve">0.247 </w:t>
      </w:r>
      <w:r w:rsidR="002313F8">
        <w:t>to</w:t>
      </w:r>
      <w:r w:rsidR="00D84B0F">
        <w:t xml:space="preserve"> 0.383</w:t>
      </w:r>
      <w:r w:rsidR="00E90942">
        <w:rPr>
          <w:rStyle w:val="tgc"/>
        </w:rPr>
        <w:t xml:space="preserve"> mm</w:t>
      </w:r>
      <w:r w:rsidR="00DE4870">
        <w:rPr>
          <w:rStyle w:val="tgc"/>
        </w:rPr>
        <w:t>;</w:t>
      </w:r>
      <w:r w:rsidR="00C168BA">
        <w:rPr>
          <w:rStyle w:val="tgc"/>
        </w:rPr>
        <w:t xml:space="preserve"> Table 4</w:t>
      </w:r>
      <w:r>
        <w:rPr>
          <w:rStyle w:val="tgc"/>
        </w:rPr>
        <w:t>)</w:t>
      </w:r>
      <w:r>
        <w:rPr>
          <w:rFonts w:eastAsiaTheme="minorEastAsia"/>
        </w:rPr>
        <w:t xml:space="preserve">. </w:t>
      </w:r>
      <w:r w:rsidR="00AD1795">
        <w:rPr>
          <w:rFonts w:eastAsiaTheme="minorEastAsia"/>
        </w:rPr>
        <w:t>Snow density</w:t>
      </w:r>
      <w:r w:rsidR="00924FF6">
        <w:rPr>
          <w:rFonts w:eastAsiaTheme="minorEastAsia"/>
        </w:rPr>
        <w:t xml:space="preserve"> </w:t>
      </w:r>
      <w:r w:rsidR="00DD1C3E">
        <w:rPr>
          <w:rFonts w:eastAsiaTheme="minorEastAsia"/>
        </w:rPr>
        <w:t xml:space="preserve">in the simulations </w:t>
      </w:r>
      <w:r w:rsidR="00180157">
        <w:rPr>
          <w:rFonts w:eastAsiaTheme="minorEastAsia"/>
        </w:rPr>
        <w:t>was set at</w:t>
      </w:r>
      <w:r w:rsidR="00AD1795">
        <w:rPr>
          <w:rFonts w:eastAsiaTheme="minorEastAsia"/>
        </w:rPr>
        <w:t xml:space="preserve"> 264 kg m</w:t>
      </w:r>
      <w:r w:rsidR="00AD1795">
        <w:rPr>
          <w:rFonts w:eastAsiaTheme="minorEastAsia"/>
          <w:vertAlign w:val="superscript"/>
        </w:rPr>
        <w:t>-3</w:t>
      </w:r>
      <w:r w:rsidR="006E396D">
        <w:rPr>
          <w:rFonts w:eastAsiaTheme="minorEastAsia"/>
        </w:rPr>
        <w:t xml:space="preserve"> </w:t>
      </w:r>
      <w:r w:rsidR="00E348B6">
        <w:rPr>
          <w:rFonts w:eastAsiaTheme="minorEastAsia"/>
        </w:rPr>
        <w:t>(</w:t>
      </w:r>
      <w:r w:rsidR="00180157">
        <w:rPr>
          <w:rFonts w:eastAsiaTheme="minorEastAsia"/>
        </w:rPr>
        <w:t xml:space="preserve">mean from </w:t>
      </w:r>
      <w:r w:rsidR="002A3400">
        <w:rPr>
          <w:rFonts w:eastAsiaTheme="minorEastAsia"/>
        </w:rPr>
        <w:t>Table 4</w:t>
      </w:r>
      <w:r w:rsidR="00CD0871">
        <w:rPr>
          <w:rFonts w:eastAsiaTheme="minorEastAsia"/>
        </w:rPr>
        <w:t xml:space="preserve">) </w:t>
      </w:r>
      <w:r w:rsidR="00AD1795">
        <w:rPr>
          <w:rFonts w:eastAsiaTheme="minorEastAsia"/>
        </w:rPr>
        <w:t xml:space="preserve">and </w:t>
      </w:r>
      <w:r w:rsidR="00514E82">
        <w:rPr>
          <w:rFonts w:eastAsiaTheme="minorEastAsia"/>
        </w:rPr>
        <w:t>background contributions were optimized according to</w:t>
      </w:r>
      <w:r w:rsidR="00180157">
        <w:rPr>
          <w:rFonts w:eastAsiaTheme="minorEastAsia"/>
        </w:rPr>
        <w:t xml:space="preserve"> the process </w:t>
      </w:r>
      <w:r w:rsidR="00873EB3">
        <w:rPr>
          <w:rFonts w:eastAsiaTheme="minorEastAsia"/>
        </w:rPr>
        <w:t>in</w:t>
      </w:r>
      <w:r w:rsidR="00514E82">
        <w:rPr>
          <w:rFonts w:eastAsiaTheme="minorEastAsia"/>
        </w:rPr>
        <w:t xml:space="preserve"> Section 3.2.2. </w:t>
      </w:r>
      <w:r w:rsidR="00401792">
        <w:rPr>
          <w:rFonts w:eastAsiaTheme="minorEastAsia"/>
        </w:rPr>
        <w:t xml:space="preserve">Variability of SnowSAR </w:t>
      </w:r>
      <m:oMath>
        <m:sSubSup>
          <m:sSubSupPr>
            <m:ctrlPr>
              <w:rPr>
                <w:rFonts w:ascii="Cambria Math" w:hAnsi="Cambria Math" w:cs="Helvetica"/>
                <w:vertAlign w:val="superscript"/>
              </w:rPr>
            </m:ctrlPr>
          </m:sSubSupPr>
          <m:e>
            <m:r>
              <w:rPr>
                <w:rFonts w:ascii="Cambria Math" w:hAnsi="Cambria Math" w:cs="Helvetica"/>
                <w:vertAlign w:val="superscript"/>
              </w:rPr>
              <m:t>σ</m:t>
            </m:r>
          </m:e>
          <m:sub>
            <m:r>
              <w:rPr>
                <w:rFonts w:ascii="Cambria Math" w:hAnsi="Cambria Math" w:cs="Helvetica"/>
                <w:vertAlign w:val="superscript"/>
              </w:rPr>
              <m:t>vv</m:t>
            </m:r>
          </m:sub>
          <m:sup>
            <m:r>
              <w:rPr>
                <w:rFonts w:ascii="Cambria Math" w:hAnsi="Cambria Math" w:cs="Helvetica"/>
                <w:vertAlign w:val="superscript"/>
              </w:rPr>
              <m:t>0</m:t>
            </m:r>
          </m:sup>
        </m:sSubSup>
      </m:oMath>
      <w:r w:rsidR="00401792">
        <w:rPr>
          <w:rFonts w:eastAsiaTheme="minorEastAsia"/>
          <w:vertAlign w:val="superscript"/>
        </w:rPr>
        <w:t xml:space="preserve"> </w:t>
      </w:r>
      <w:r w:rsidR="00183702">
        <w:rPr>
          <w:rFonts w:eastAsiaTheme="minorEastAsia"/>
        </w:rPr>
        <w:t>was</w:t>
      </w:r>
      <w:r w:rsidR="00401792">
        <w:rPr>
          <w:rFonts w:eastAsiaTheme="minorEastAsia"/>
        </w:rPr>
        <w:t xml:space="preserve"> </w:t>
      </w:r>
      <w:r w:rsidR="00D96660">
        <w:rPr>
          <w:rFonts w:eastAsiaTheme="minorEastAsia"/>
        </w:rPr>
        <w:t xml:space="preserve">well </w:t>
      </w:r>
      <w:r w:rsidR="00401792">
        <w:rPr>
          <w:rFonts w:eastAsiaTheme="minorEastAsia"/>
        </w:rPr>
        <w:t xml:space="preserve">contained by the </w:t>
      </w:r>
      <w:r w:rsidR="00180157">
        <w:rPr>
          <w:rFonts w:eastAsiaTheme="minorEastAsia"/>
        </w:rPr>
        <w:t xml:space="preserve">1-layer </w:t>
      </w:r>
      <w:r w:rsidR="00401792">
        <w:rPr>
          <w:rFonts w:eastAsiaTheme="minorEastAsia"/>
        </w:rPr>
        <w:t>simulations, but in each case, the simulations show</w:t>
      </w:r>
      <w:r w:rsidR="002313F8">
        <w:rPr>
          <w:rFonts w:eastAsiaTheme="minorEastAsia"/>
        </w:rPr>
        <w:t xml:space="preserve"> a</w:t>
      </w:r>
      <w:r w:rsidR="00401792">
        <w:rPr>
          <w:rFonts w:eastAsiaTheme="minorEastAsia"/>
        </w:rPr>
        <w:t xml:space="preserve"> strong positive relationship</w:t>
      </w:r>
      <w:r w:rsidR="00524BFA">
        <w:rPr>
          <w:rFonts w:eastAsiaTheme="minorEastAsia"/>
        </w:rPr>
        <w:t xml:space="preserve"> </w:t>
      </w:r>
      <w:r w:rsidR="00401792">
        <w:rPr>
          <w:rFonts w:eastAsiaTheme="minorEastAsia"/>
        </w:rPr>
        <w:t>absent in the observations</w:t>
      </w:r>
      <w:r w:rsidR="00A70725">
        <w:rPr>
          <w:rFonts w:eastAsiaTheme="minorEastAsia"/>
        </w:rPr>
        <w:t>.</w:t>
      </w:r>
      <w:r w:rsidR="00D96660">
        <w:rPr>
          <w:rFonts w:eastAsiaTheme="minorEastAsia"/>
        </w:rPr>
        <w:t xml:space="preserve"> </w:t>
      </w:r>
      <w:r w:rsidR="000B6221">
        <w:rPr>
          <w:rFonts w:eastAsiaTheme="minorEastAsia"/>
        </w:rPr>
        <w:t>Between 50 and 250 mm</w:t>
      </w:r>
      <w:r w:rsidR="00E348B6">
        <w:rPr>
          <w:rFonts w:eastAsiaTheme="minorEastAsia"/>
        </w:rPr>
        <w:t xml:space="preserve"> SWE</w:t>
      </w:r>
      <w:r w:rsidR="000B6221">
        <w:rPr>
          <w:rFonts w:eastAsiaTheme="minorEastAsia"/>
        </w:rPr>
        <w:t xml:space="preserve">, </w:t>
      </w:r>
      <w:r w:rsidR="00673F34">
        <w:rPr>
          <w:rFonts w:eastAsiaTheme="minorEastAsia"/>
        </w:rPr>
        <w:t>MEMLS</w:t>
      </w:r>
      <w:r w:rsidR="00D96660">
        <w:rPr>
          <w:rFonts w:eastAsiaTheme="minorEastAsia"/>
        </w:rPr>
        <w:t xml:space="preserve"> </w:t>
      </w:r>
      <m:oMath>
        <m:sSubSup>
          <m:sSubSupPr>
            <m:ctrlPr>
              <w:rPr>
                <w:rFonts w:ascii="Cambria Math" w:hAnsi="Cambria Math" w:cs="Helvetica"/>
                <w:vertAlign w:val="superscript"/>
              </w:rPr>
            </m:ctrlPr>
          </m:sSubSupPr>
          <m:e>
            <m:r>
              <w:rPr>
                <w:rFonts w:ascii="Cambria Math" w:hAnsi="Cambria Math" w:cs="Helvetica"/>
                <w:vertAlign w:val="superscript"/>
              </w:rPr>
              <m:t>σ</m:t>
            </m:r>
          </m:e>
          <m:sub>
            <m:r>
              <w:rPr>
                <w:rFonts w:ascii="Cambria Math" w:hAnsi="Cambria Math" w:cs="Helvetica"/>
                <w:vertAlign w:val="superscript"/>
              </w:rPr>
              <m:t>vv</m:t>
            </m:r>
          </m:sub>
          <m:sup>
            <m:r>
              <w:rPr>
                <w:rFonts w:ascii="Cambria Math" w:hAnsi="Cambria Math" w:cs="Helvetica"/>
                <w:vertAlign w:val="superscript"/>
              </w:rPr>
              <m:t>0</m:t>
            </m:r>
          </m:sup>
        </m:sSubSup>
      </m:oMath>
      <w:r w:rsidR="00514E82">
        <w:rPr>
          <w:rFonts w:eastAsiaTheme="minorEastAsia"/>
          <w:vertAlign w:val="superscript"/>
        </w:rPr>
        <w:t xml:space="preserve"> </w:t>
      </w:r>
      <w:r w:rsidR="00180157">
        <w:rPr>
          <w:rFonts w:eastAsiaTheme="minorEastAsia"/>
        </w:rPr>
        <w:t>increase</w:t>
      </w:r>
      <w:r w:rsidR="00804DC6">
        <w:rPr>
          <w:rFonts w:eastAsiaTheme="minorEastAsia"/>
        </w:rPr>
        <w:t>d</w:t>
      </w:r>
      <w:r w:rsidR="00924FF6">
        <w:rPr>
          <w:rFonts w:eastAsiaTheme="minorEastAsia"/>
        </w:rPr>
        <w:t xml:space="preserve"> </w:t>
      </w:r>
      <w:r w:rsidR="002313F8">
        <w:rPr>
          <w:rFonts w:eastAsiaTheme="minorEastAsia"/>
        </w:rPr>
        <w:t>by</w:t>
      </w:r>
      <w:r w:rsidR="00924FF6">
        <w:rPr>
          <w:rFonts w:eastAsiaTheme="minorEastAsia"/>
        </w:rPr>
        <w:t xml:space="preserve"> 5.</w:t>
      </w:r>
      <w:r w:rsidR="004C3AB1">
        <w:rPr>
          <w:rFonts w:eastAsiaTheme="minorEastAsia"/>
        </w:rPr>
        <w:t>2</w:t>
      </w:r>
      <w:r w:rsidR="00924FF6">
        <w:rPr>
          <w:rFonts w:eastAsiaTheme="minorEastAsia"/>
        </w:rPr>
        <w:t xml:space="preserve"> </w:t>
      </w:r>
      <w:r w:rsidR="00E348B6">
        <w:rPr>
          <w:rFonts w:eastAsiaTheme="minorEastAsia"/>
        </w:rPr>
        <w:t xml:space="preserve">dB at 17.2 GHz and </w:t>
      </w:r>
      <w:r w:rsidR="002948BC">
        <w:rPr>
          <w:rFonts w:eastAsiaTheme="minorEastAsia"/>
        </w:rPr>
        <w:t>2.9</w:t>
      </w:r>
      <w:r w:rsidR="00E348B6">
        <w:rPr>
          <w:rFonts w:eastAsiaTheme="minorEastAsia"/>
        </w:rPr>
        <w:t xml:space="preserve"> dB at 9.6 GHz</w:t>
      </w:r>
      <w:r w:rsidR="00924FF6">
        <w:rPr>
          <w:rFonts w:eastAsiaTheme="minorEastAsia"/>
        </w:rPr>
        <w:t>,</w:t>
      </w:r>
      <w:r w:rsidR="00DA060A">
        <w:rPr>
          <w:rFonts w:eastAsiaTheme="minorEastAsia"/>
        </w:rPr>
        <w:t xml:space="preserve"> </w:t>
      </w:r>
      <w:r w:rsidR="00DD1C3E">
        <w:rPr>
          <w:rFonts w:eastAsiaTheme="minorEastAsia"/>
        </w:rPr>
        <w:t>using</w:t>
      </w:r>
      <w:r w:rsidR="00180157">
        <w:rPr>
          <w:rFonts w:eastAsiaTheme="minorEastAsia"/>
        </w:rPr>
        <w:t xml:space="preserve"> </w:t>
      </w:r>
      <w:r w:rsidR="00BB3B76">
        <w:rPr>
          <w:rFonts w:eastAsiaTheme="minorEastAsia"/>
        </w:rPr>
        <w:t>the</w:t>
      </w:r>
      <w:r w:rsidR="00BB7412">
        <w:rPr>
          <w:rFonts w:eastAsiaTheme="minorEastAsia"/>
        </w:rPr>
        <w:t xml:space="preserve"> observed</w:t>
      </w:r>
      <w:r w:rsidR="00180334">
        <w:rPr>
          <w:rFonts w:eastAsiaTheme="minorEastAsia"/>
        </w:rPr>
        <w:t xml:space="preserve"> mean</w:t>
      </w:r>
      <w:r w:rsidR="00180157">
        <w:rPr>
          <w:rFonts w:eastAsiaTheme="minorEastAsia"/>
        </w:rPr>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rPr>
              <m:t>ex</m:t>
            </m:r>
          </m:sub>
        </m:sSub>
      </m:oMath>
      <w:r w:rsidR="00442062">
        <w:rPr>
          <w:rFonts w:eastAsiaTheme="minorEastAsia"/>
        </w:rPr>
        <w:t xml:space="preserve"> of </w:t>
      </w:r>
      <w:r w:rsidR="00442062">
        <w:t>0.315 mm</w:t>
      </w:r>
      <w:r w:rsidR="00924FF6">
        <w:t>.</w:t>
      </w:r>
      <w:r w:rsidR="00671D54">
        <w:t xml:space="preserve"> </w:t>
      </w:r>
      <w:r w:rsidR="00665193">
        <w:t>S</w:t>
      </w:r>
      <w:r w:rsidR="00524BFA">
        <w:t>ensitivity to</w:t>
      </w:r>
      <w:r w:rsidR="00665193">
        <w:t xml:space="preserve"> </w:t>
      </w:r>
      <w:r w:rsidR="00BB7412">
        <w:t>increasing</w:t>
      </w:r>
      <w:r w:rsidR="00180157">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rPr>
              <m:t>ex</m:t>
            </m:r>
          </m:sub>
        </m:sSub>
      </m:oMath>
      <w:r w:rsidR="00524BFA">
        <w:rPr>
          <w:rFonts w:eastAsiaTheme="minorEastAsia"/>
        </w:rPr>
        <w:t xml:space="preserve"> </w:t>
      </w:r>
      <w:r w:rsidR="00BB7412">
        <w:rPr>
          <w:rFonts w:eastAsiaTheme="minorEastAsia"/>
        </w:rPr>
        <w:t>was</w:t>
      </w:r>
      <w:r w:rsidR="00524BFA">
        <w:rPr>
          <w:rFonts w:eastAsiaTheme="minorEastAsia"/>
        </w:rPr>
        <w:t xml:space="preserve"> </w:t>
      </w:r>
      <w:r w:rsidR="00092052">
        <w:rPr>
          <w:rFonts w:eastAsiaTheme="minorEastAsia"/>
        </w:rPr>
        <w:t>comparable</w:t>
      </w:r>
      <w:r w:rsidR="00524BFA">
        <w:rPr>
          <w:rFonts w:eastAsiaTheme="minorEastAsia"/>
        </w:rPr>
        <w:t xml:space="preserve">, </w:t>
      </w:r>
      <w:r w:rsidR="00180334">
        <w:rPr>
          <w:rFonts w:eastAsiaTheme="minorEastAsia"/>
        </w:rPr>
        <w:t>as shown by</w:t>
      </w:r>
      <w:r w:rsidR="00E02EF6">
        <w:rPr>
          <w:rFonts w:eastAsiaTheme="minorEastAsia"/>
        </w:rPr>
        <w:t xml:space="preserve"> </w:t>
      </w:r>
      <w:r w:rsidR="00524BFA">
        <w:rPr>
          <w:rFonts w:eastAsiaTheme="minorEastAsia"/>
        </w:rPr>
        <w:t xml:space="preserve">average differences </w:t>
      </w:r>
      <w:r w:rsidR="002313F8">
        <w:rPr>
          <w:rFonts w:eastAsiaTheme="minorEastAsia"/>
        </w:rPr>
        <w:t>of</w:t>
      </w:r>
      <w:r w:rsidR="00524BFA">
        <w:rPr>
          <w:rFonts w:eastAsiaTheme="minorEastAsia"/>
        </w:rPr>
        <w:t xml:space="preserve"> 4.6 dB at 17.2 GHz and 3.3 dB at 9.6 GHz</w:t>
      </w:r>
      <w:r w:rsidR="008C6888">
        <w:rPr>
          <w:rFonts w:eastAsiaTheme="minorEastAsia"/>
        </w:rPr>
        <w:t xml:space="preserve"> between the 0.247 and 0.383 mm simulations</w:t>
      </w:r>
      <w:r w:rsidR="00524BFA">
        <w:rPr>
          <w:rFonts w:eastAsiaTheme="minorEastAsia"/>
        </w:rPr>
        <w:t>.</w:t>
      </w:r>
    </w:p>
    <w:p w:rsidR="00E02EF6" w:rsidRDefault="00F62F97" w:rsidP="006154AB">
      <w:pPr>
        <w:spacing w:line="480" w:lineRule="auto"/>
      </w:pPr>
      <w:r>
        <w:rPr>
          <w:rFonts w:eastAsiaTheme="minorEastAsia"/>
        </w:rPr>
        <w:t xml:space="preserve">While the </w:t>
      </w:r>
      <w:r w:rsidR="00524BFA">
        <w:rPr>
          <w:rFonts w:eastAsiaTheme="minorEastAsia"/>
        </w:rPr>
        <w:t>1-layer</w:t>
      </w:r>
      <w:r w:rsidR="00C71E00">
        <w:rPr>
          <w:rFonts w:eastAsiaTheme="minorEastAsia"/>
        </w:rPr>
        <w:t xml:space="preserve"> </w:t>
      </w:r>
      <w:r>
        <w:rPr>
          <w:rFonts w:eastAsiaTheme="minorEastAsia"/>
        </w:rPr>
        <w:t xml:space="preserve">simulations </w:t>
      </w:r>
      <w:r w:rsidR="00D96660">
        <w:rPr>
          <w:rFonts w:eastAsiaTheme="minorEastAsia"/>
        </w:rPr>
        <w:t>indicate</w:t>
      </w:r>
      <w:r w:rsidR="00143317">
        <w:rPr>
          <w:rFonts w:eastAsiaTheme="minorEastAsia"/>
        </w:rPr>
        <w:t xml:space="preserve">d </w:t>
      </w:r>
      <w:r w:rsidR="008C6888">
        <w:rPr>
          <w:rFonts w:eastAsiaTheme="minorEastAsia"/>
        </w:rPr>
        <w:t xml:space="preserve">strong </w:t>
      </w:r>
      <w:r w:rsidR="000064B5">
        <w:rPr>
          <w:rFonts w:eastAsiaTheme="minorEastAsia"/>
        </w:rPr>
        <w:t>microstructural sensitivity</w:t>
      </w:r>
      <w:r>
        <w:rPr>
          <w:rFonts w:eastAsiaTheme="minorEastAsia"/>
        </w:rPr>
        <w:t>,</w:t>
      </w:r>
      <w:r w:rsidR="00795BC3">
        <w:rPr>
          <w:rFonts w:eastAsiaTheme="minorEastAsia"/>
        </w:rPr>
        <w:t xml:space="preserve"> </w:t>
      </w:r>
      <w:r w:rsidR="00C07557">
        <w:rPr>
          <w:rFonts w:eastAsiaTheme="minorEastAsia"/>
        </w:rPr>
        <w:t>the invariant nature of</w:t>
      </w:r>
      <w:r w:rsidR="00F120E5">
        <w:rPr>
          <w:rFonts w:eastAsiaTheme="minorEastAsia"/>
        </w:rPr>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rPr>
              <m:t>ex</m:t>
            </m:r>
          </m:sub>
        </m:sSub>
      </m:oMath>
      <w:r w:rsidR="00C07557">
        <w:rPr>
          <w:rFonts w:eastAsiaTheme="minorEastAsia"/>
        </w:rPr>
        <w:t xml:space="preserve"> with respect to SWE</w:t>
      </w:r>
      <w:r w:rsidR="00E37D30">
        <w:rPr>
          <w:rFonts w:eastAsiaTheme="minorEastAsia"/>
        </w:rPr>
        <w:t xml:space="preserve"> </w:t>
      </w:r>
      <w:r w:rsidR="00457BF2">
        <w:rPr>
          <w:rFonts w:eastAsiaTheme="minorEastAsia"/>
        </w:rPr>
        <w:t>was</w:t>
      </w:r>
      <w:r w:rsidR="004125C3">
        <w:rPr>
          <w:rFonts w:eastAsiaTheme="minorEastAsia"/>
        </w:rPr>
        <w:t xml:space="preserve"> uncharacteristic of </w:t>
      </w:r>
      <w:r w:rsidR="00D43F65">
        <w:rPr>
          <w:rFonts w:eastAsiaTheme="minorEastAsia"/>
        </w:rPr>
        <w:t>the</w:t>
      </w:r>
      <w:r w:rsidR="00F120E5">
        <w:rPr>
          <w:rFonts w:eastAsiaTheme="minorEastAsia"/>
        </w:rPr>
        <w:t xml:space="preserve"> </w:t>
      </w:r>
      <w:r w:rsidR="00D96660">
        <w:rPr>
          <w:rFonts w:eastAsiaTheme="minorEastAsia"/>
        </w:rPr>
        <w:t>observed</w:t>
      </w:r>
      <w:r w:rsidR="004125C3">
        <w:rPr>
          <w:rFonts w:eastAsiaTheme="minorEastAsia"/>
        </w:rPr>
        <w:t xml:space="preserve"> </w:t>
      </w:r>
      <w:r w:rsidR="00666457">
        <w:rPr>
          <w:rFonts w:eastAsiaTheme="minorEastAsia"/>
        </w:rPr>
        <w:t>environment</w:t>
      </w:r>
      <w:r w:rsidR="00C07557">
        <w:rPr>
          <w:rFonts w:eastAsiaTheme="minorEastAsia"/>
        </w:rPr>
        <w:t xml:space="preserve">. </w:t>
      </w:r>
      <w:r w:rsidR="00666457">
        <w:rPr>
          <w:rFonts w:eastAsiaTheme="minorEastAsia"/>
        </w:rPr>
        <w:t>In</w:t>
      </w:r>
      <w:r w:rsidR="008C6888">
        <w:rPr>
          <w:rFonts w:eastAsiaTheme="minorEastAsia"/>
        </w:rPr>
        <w:t xml:space="preserve"> particular</w:t>
      </w:r>
      <w:r w:rsidR="00F81370">
        <w:rPr>
          <w:rFonts w:eastAsiaTheme="minorEastAsia"/>
        </w:rPr>
        <w:t>,</w:t>
      </w:r>
      <w:r w:rsidR="008C6888">
        <w:rPr>
          <w:rFonts w:eastAsiaTheme="minorEastAsia"/>
        </w:rPr>
        <w:t xml:space="preserve"> </w:t>
      </w:r>
      <w:r w:rsidR="00666457">
        <w:rPr>
          <w:rFonts w:eastAsiaTheme="minorEastAsia"/>
        </w:rPr>
        <w:t>the</w:t>
      </w:r>
      <w:r w:rsidR="00180157">
        <w:rPr>
          <w:rFonts w:eastAsiaTheme="minorEastAsia"/>
        </w:rPr>
        <w:t xml:space="preserve"> simulations fail</w:t>
      </w:r>
      <w:r w:rsidR="004F0EB6">
        <w:rPr>
          <w:rFonts w:eastAsiaTheme="minorEastAsia"/>
        </w:rPr>
        <w:t>ed</w:t>
      </w:r>
      <w:r w:rsidR="00666457">
        <w:rPr>
          <w:rFonts w:eastAsiaTheme="minorEastAsia"/>
        </w:rPr>
        <w:t xml:space="preserve"> to address</w:t>
      </w:r>
      <w:r w:rsidR="00180157">
        <w:rPr>
          <w:rFonts w:eastAsiaTheme="minorEastAsia"/>
        </w:rPr>
        <w:t xml:space="preserve"> the</w:t>
      </w:r>
      <w:r w:rsidR="00666457">
        <w:rPr>
          <w:rFonts w:eastAsiaTheme="minorEastAsia"/>
        </w:rPr>
        <w:t xml:space="preserve"> </w:t>
      </w:r>
      <w:r w:rsidR="004125C3">
        <w:rPr>
          <w:rFonts w:eastAsiaTheme="minorEastAsia"/>
        </w:rPr>
        <w:t xml:space="preserve">impact of </w:t>
      </w:r>
      <w:r w:rsidR="00186262">
        <w:rPr>
          <w:rFonts w:eastAsiaTheme="minorEastAsia"/>
        </w:rPr>
        <w:t>accumulating</w:t>
      </w:r>
      <w:r w:rsidR="004125C3">
        <w:rPr>
          <w:rFonts w:eastAsiaTheme="minorEastAsia"/>
        </w:rPr>
        <w:t xml:space="preserve"> slab</w:t>
      </w:r>
      <w:r w:rsidR="00D802CB">
        <w:rPr>
          <w:rFonts w:eastAsiaTheme="minorEastAsia"/>
        </w:rPr>
        <w:t>,</w:t>
      </w:r>
      <w:r w:rsidR="00666457">
        <w:rPr>
          <w:rFonts w:eastAsiaTheme="minorEastAsia"/>
        </w:rPr>
        <w:t xml:space="preserve"> </w:t>
      </w:r>
      <w:r w:rsidR="008B1D55">
        <w:rPr>
          <w:rFonts w:eastAsiaTheme="minorEastAsia"/>
        </w:rPr>
        <w:t xml:space="preserve">where the contributing </w:t>
      </w:r>
      <w:r w:rsidR="00DD1C3E">
        <w:rPr>
          <w:rFonts w:eastAsiaTheme="minorEastAsia"/>
        </w:rPr>
        <w:t xml:space="preserve">microstructures </w:t>
      </w:r>
      <w:r w:rsidR="004F0EB6">
        <w:rPr>
          <w:rFonts w:eastAsiaTheme="minorEastAsia"/>
        </w:rPr>
        <w:t>were</w:t>
      </w:r>
      <w:r w:rsidR="008B1D55">
        <w:rPr>
          <w:rFonts w:eastAsiaTheme="minorEastAsia"/>
        </w:rPr>
        <w:t xml:space="preserve"> small relative to the</w:t>
      </w:r>
      <w:r w:rsidR="00671D54">
        <w:rPr>
          <w:rFonts w:eastAsiaTheme="minorEastAsia"/>
        </w:rPr>
        <w:t xml:space="preserve"> </w:t>
      </w:r>
      <w:r w:rsidR="009E2365">
        <w:rPr>
          <w:rFonts w:eastAsiaTheme="minorEastAsia"/>
        </w:rPr>
        <w:t>mean</w:t>
      </w:r>
      <w:r w:rsidR="00092052">
        <w:rPr>
          <w:rFonts w:eastAsiaTheme="minorEastAsia"/>
        </w:rPr>
        <w:t xml:space="preserve"> </w:t>
      </w:r>
      <w:r w:rsidR="003A7BBE">
        <w:rPr>
          <w:rFonts w:eastAsiaTheme="minorEastAsia"/>
        </w:rPr>
        <w:t>(</w:t>
      </w:r>
      <w:r w:rsidR="00092052">
        <w:rPr>
          <w:rFonts w:eastAsiaTheme="minorEastAsia"/>
        </w:rPr>
        <w:t>Figure 4</w:t>
      </w:r>
      <w:r w:rsidR="00E37D30">
        <w:rPr>
          <w:rFonts w:eastAsiaTheme="minorEastAsia"/>
        </w:rPr>
        <w:t>)</w:t>
      </w:r>
      <w:r w:rsidR="008B1D55">
        <w:rPr>
          <w:rFonts w:eastAsiaTheme="minorEastAsia"/>
        </w:rPr>
        <w:t>. A set of</w:t>
      </w:r>
      <w:r w:rsidR="00D43F65">
        <w:rPr>
          <w:rFonts w:eastAsiaTheme="minorEastAsia"/>
        </w:rPr>
        <w:t xml:space="preserve"> 2-layer</w:t>
      </w:r>
      <w:r w:rsidR="008B1D55">
        <w:rPr>
          <w:rFonts w:eastAsiaTheme="minorEastAsia"/>
        </w:rPr>
        <w:t xml:space="preserve"> simulations </w:t>
      </w:r>
      <w:r w:rsidR="004125C3">
        <w:rPr>
          <w:rFonts w:eastAsiaTheme="minorEastAsia"/>
        </w:rPr>
        <w:t xml:space="preserve">were completed </w:t>
      </w:r>
      <w:r w:rsidR="00F81370">
        <w:rPr>
          <w:rFonts w:eastAsiaTheme="minorEastAsia"/>
        </w:rPr>
        <w:t xml:space="preserve">to </w:t>
      </w:r>
      <w:r w:rsidR="00D802CB">
        <w:rPr>
          <w:rFonts w:eastAsiaTheme="minorEastAsia"/>
        </w:rPr>
        <w:t>evaluate</w:t>
      </w:r>
      <w:r w:rsidR="0023424E">
        <w:rPr>
          <w:rFonts w:eastAsiaTheme="minorEastAsia"/>
        </w:rPr>
        <w:t xml:space="preserve"> backscatter</w:t>
      </w:r>
      <w:r w:rsidR="008533D1">
        <w:rPr>
          <w:rFonts w:eastAsiaTheme="minorEastAsia"/>
        </w:rPr>
        <w:t xml:space="preserve"> </w:t>
      </w:r>
      <w:r w:rsidR="00F90444">
        <w:rPr>
          <w:rFonts w:eastAsiaTheme="minorEastAsia"/>
        </w:rPr>
        <w:t xml:space="preserve">response </w:t>
      </w:r>
      <w:r w:rsidR="00A10740">
        <w:rPr>
          <w:rFonts w:eastAsiaTheme="minorEastAsia"/>
        </w:rPr>
        <w:t>to</w:t>
      </w:r>
      <w:r w:rsidR="008533D1">
        <w:rPr>
          <w:rFonts w:eastAsiaTheme="minorEastAsia"/>
        </w:rPr>
        <w:t xml:space="preserve"> </w:t>
      </w:r>
      <w:r w:rsidR="004E25CA">
        <w:rPr>
          <w:rFonts w:eastAsiaTheme="minorEastAsia"/>
        </w:rPr>
        <w:t xml:space="preserve">increasing </w:t>
      </w:r>
      <w:r w:rsidR="00D802CB">
        <w:rPr>
          <w:rFonts w:eastAsiaTheme="minorEastAsia"/>
        </w:rPr>
        <w:t>slab</w:t>
      </w:r>
      <w:r w:rsidR="004125C3">
        <w:rPr>
          <w:rFonts w:eastAsiaTheme="minorEastAsia"/>
        </w:rPr>
        <w:t xml:space="preserve"> </w:t>
      </w:r>
      <w:r w:rsidR="0023424E">
        <w:rPr>
          <w:rFonts w:eastAsiaTheme="minorEastAsia"/>
        </w:rPr>
        <w:t xml:space="preserve">thickness </w:t>
      </w:r>
      <w:r w:rsidR="00A10740">
        <w:t>between</w:t>
      </w:r>
      <w:r w:rsidR="00AD1795">
        <w:t xml:space="preserve"> </w:t>
      </w:r>
      <w:r w:rsidR="00027080">
        <w:t>5</w:t>
      </w:r>
      <w:r w:rsidR="00AD1795">
        <w:t xml:space="preserve"> </w:t>
      </w:r>
      <w:r w:rsidR="00A70725">
        <w:t>and</w:t>
      </w:r>
      <w:r w:rsidR="00AD1795">
        <w:t xml:space="preserve"> </w:t>
      </w:r>
      <w:r w:rsidR="00D12ADD">
        <w:t>75</w:t>
      </w:r>
      <w:r w:rsidR="00AD1795">
        <w:t xml:space="preserve"> cm</w:t>
      </w:r>
      <w:r w:rsidR="00027080">
        <w:t xml:space="preserve"> (14 to </w:t>
      </w:r>
      <w:r w:rsidR="003A7BBE">
        <w:t>213</w:t>
      </w:r>
      <w:r w:rsidR="00027080">
        <w:t xml:space="preserve"> mm</w:t>
      </w:r>
      <w:r w:rsidR="00605BB3">
        <w:t xml:space="preserve"> SWE</w:t>
      </w:r>
      <w:r w:rsidR="00027080">
        <w:t>)</w:t>
      </w:r>
      <w:r w:rsidR="001959E4">
        <w:t xml:space="preserve"> </w:t>
      </w:r>
      <w:r w:rsidR="008533D1">
        <w:t xml:space="preserve">when </w:t>
      </w:r>
      <w:r w:rsidR="001959E4">
        <w:t>underlain</w:t>
      </w:r>
      <w:r w:rsidR="00AD1795">
        <w:t xml:space="preserve"> </w:t>
      </w:r>
      <w:r w:rsidR="00151D6E">
        <w:t>with</w:t>
      </w:r>
      <w:r w:rsidR="00AA1D23">
        <w:t xml:space="preserve"> </w:t>
      </w:r>
      <w:r w:rsidR="004E25CA">
        <w:t xml:space="preserve">the </w:t>
      </w:r>
      <w:r w:rsidR="00B42C39">
        <w:t xml:space="preserve">observed </w:t>
      </w:r>
      <w:r w:rsidR="004E25CA">
        <w:t>mean</w:t>
      </w:r>
      <w:r w:rsidR="0023424E">
        <w:t xml:space="preserve"> </w:t>
      </w:r>
      <w:r w:rsidR="008533D1">
        <w:t>depth hoar</w:t>
      </w:r>
      <w:r w:rsidR="0023424E">
        <w:t xml:space="preserve"> </w:t>
      </w:r>
      <w:r w:rsidR="008533D1">
        <w:t xml:space="preserve">of 15 cm </w:t>
      </w:r>
      <w:r w:rsidR="00027080">
        <w:t>(34 mm SWE</w:t>
      </w:r>
      <w:r w:rsidR="00AD1795">
        <w:t>).</w:t>
      </w:r>
      <w:r w:rsidR="00666457">
        <w:rPr>
          <w:rFonts w:eastAsiaTheme="minorEastAsia"/>
        </w:rPr>
        <w:t xml:space="preserve"> </w:t>
      </w:r>
      <w:r w:rsidR="00027080">
        <w:t xml:space="preserve">Density of the slab and hoar layers were </w:t>
      </w:r>
      <w:r w:rsidR="00605BB3">
        <w:t>set</w:t>
      </w:r>
      <w:r w:rsidR="008C6888">
        <w:t xml:space="preserve"> </w:t>
      </w:r>
      <w:r w:rsidR="00605BB3">
        <w:t>at</w:t>
      </w:r>
      <w:r w:rsidR="00DE4870">
        <w:t xml:space="preserve"> </w:t>
      </w:r>
      <w:r w:rsidR="00D31F2A">
        <w:t>288</w:t>
      </w:r>
      <w:r w:rsidR="00026B92">
        <w:t xml:space="preserve"> and 225 kg m</w:t>
      </w:r>
      <w:r w:rsidR="00026B92">
        <w:rPr>
          <w:vertAlign w:val="superscript"/>
        </w:rPr>
        <w:t>-3</w:t>
      </w:r>
      <w:r w:rsidR="00666457">
        <w:t xml:space="preserve">, </w:t>
      </w:r>
      <w:r w:rsidR="004125C3">
        <w:t xml:space="preserve">according to </w:t>
      </w:r>
      <w:r w:rsidR="00F30491">
        <w:t>their</w:t>
      </w:r>
      <w:r w:rsidR="004125C3">
        <w:t xml:space="preserve"> </w:t>
      </w:r>
      <w:r w:rsidR="00F30491">
        <w:t>respective</w:t>
      </w:r>
      <w:r w:rsidR="004125C3">
        <w:t xml:space="preserve"> mean</w:t>
      </w:r>
      <w:r w:rsidR="008533D1">
        <w:t>s</w:t>
      </w:r>
      <w:r w:rsidR="008C6888">
        <w:t>.</w:t>
      </w:r>
      <w:r w:rsidR="00027080">
        <w:t xml:space="preserve"> </w:t>
      </w:r>
      <w:r w:rsidR="00666457">
        <w:t>Slab m</w:t>
      </w:r>
      <w:r w:rsidR="00AD1795">
        <w:t xml:space="preserve">icrostructure was parametrized across a range </w:t>
      </w:r>
      <w:r w:rsidR="0074272E">
        <w:t xml:space="preserve">of </w:t>
      </w:r>
      <m:oMath>
        <m:sSub>
          <m:sSubPr>
            <m:ctrlPr>
              <w:rPr>
                <w:rFonts w:ascii="Cambria Math" w:hAnsi="Cambria Math"/>
                <w:i/>
              </w:rPr>
            </m:ctrlPr>
          </m:sSubPr>
          <m:e>
            <m:r>
              <w:rPr>
                <w:rFonts w:ascii="Cambria Math" w:hAnsi="Cambria Math"/>
              </w:rPr>
              <m:t>l</m:t>
            </m:r>
          </m:e>
          <m:sub>
            <m:r>
              <m:rPr>
                <m:nor/>
              </m:rPr>
              <w:rPr>
                <w:rFonts w:ascii="Cambria Math" w:hAnsi="Cambria Math"/>
              </w:rPr>
              <m:t>ex</m:t>
            </m:r>
          </m:sub>
        </m:sSub>
      </m:oMath>
      <w:r w:rsidR="0074272E">
        <w:rPr>
          <w:rFonts w:eastAsiaTheme="minorEastAsia"/>
        </w:rPr>
        <w:t xml:space="preserve"> </w:t>
      </w:r>
      <w:r w:rsidR="003B5639">
        <w:t>equivalent to the observed</w:t>
      </w:r>
      <w:r w:rsidR="009B61CB">
        <w:t xml:space="preserve"> </w:t>
      </w:r>
      <w:r w:rsidR="00AD1795">
        <w:t>standard deviation</w:t>
      </w:r>
      <w:r w:rsidR="00BB3B76">
        <w:t xml:space="preserve"> </w:t>
      </w:r>
      <w:r w:rsidR="00AD1795">
        <w:t>(0.102-0.198 mm</w:t>
      </w:r>
      <w:r w:rsidR="00F30491">
        <w:t>; Figure 6</w:t>
      </w:r>
      <w:r w:rsidR="00027080">
        <w:t xml:space="preserve">) </w:t>
      </w:r>
      <w:r w:rsidR="00D31F2A">
        <w:t>and</w:t>
      </w:r>
      <w:r w:rsidR="00027080">
        <w:t xml:space="preserve"> d</w:t>
      </w:r>
      <w:r w:rsidR="00AD1795">
        <w:t xml:space="preserve">epth hoar </w:t>
      </w:r>
      <w:r w:rsidR="00AD1795">
        <w:rPr>
          <w:rFonts w:eastAsiaTheme="minorEastAsia"/>
        </w:rPr>
        <w:t xml:space="preserve">was </w:t>
      </w:r>
      <w:r w:rsidR="00BB3B76">
        <w:rPr>
          <w:rFonts w:eastAsiaTheme="minorEastAsia"/>
        </w:rPr>
        <w:t>assigned</w:t>
      </w:r>
      <w:r w:rsidR="00671D54">
        <w:rPr>
          <w:rFonts w:eastAsiaTheme="minorEastAsia"/>
        </w:rPr>
        <w:t xml:space="preserve"> </w:t>
      </w:r>
      <w:r w:rsidR="004E25CA">
        <w:rPr>
          <w:rFonts w:eastAsiaTheme="minorEastAsia"/>
        </w:rPr>
        <w:t>the</w:t>
      </w:r>
      <w:r w:rsidR="00186262">
        <w:rPr>
          <w:rFonts w:eastAsiaTheme="minorEastAsia"/>
        </w:rPr>
        <w:t xml:space="preserve"> </w:t>
      </w:r>
      <w:r w:rsidR="00F30491">
        <w:rPr>
          <w:rFonts w:eastAsiaTheme="minorEastAsia"/>
        </w:rPr>
        <w:t>mean</w:t>
      </w:r>
      <w:r w:rsidR="009B61CB">
        <w:rPr>
          <w:rFonts w:eastAsiaTheme="minorEastAsia"/>
        </w:rPr>
        <w:t xml:space="preserve"> </w:t>
      </w:r>
      <w:r w:rsidR="00F30491">
        <w:rPr>
          <w:rFonts w:eastAsiaTheme="minorEastAsia"/>
        </w:rPr>
        <w:t>of</w:t>
      </w:r>
      <w:r w:rsidR="00E37D30">
        <w:rPr>
          <w:rFonts w:eastAsiaTheme="minorEastAsia"/>
        </w:rPr>
        <w:t xml:space="preserve"> </w:t>
      </w:r>
      <w:r w:rsidR="00AD1795">
        <w:rPr>
          <w:rFonts w:eastAsiaTheme="minorEastAsia"/>
        </w:rPr>
        <w:t>0.388</w:t>
      </w:r>
      <w:r w:rsidR="00605BB3">
        <w:rPr>
          <w:rFonts w:eastAsiaTheme="minorEastAsia"/>
        </w:rPr>
        <w:t xml:space="preserve"> mm</w:t>
      </w:r>
      <w:r w:rsidR="00AD1795">
        <w:rPr>
          <w:rFonts w:eastAsiaTheme="minorEastAsia"/>
        </w:rPr>
        <w:t>.</w:t>
      </w:r>
      <w:r w:rsidR="00AD1795">
        <w:t xml:space="preserve"> </w:t>
      </w:r>
      <w:r w:rsidR="00666457">
        <w:t>Additional control simulations were</w:t>
      </w:r>
      <w:r w:rsidR="00F120E5">
        <w:t xml:space="preserve"> completed </w:t>
      </w:r>
      <w:r w:rsidR="008533D1">
        <w:t>where</w:t>
      </w:r>
      <w:r w:rsidR="00E02EF6">
        <w:t xml:space="preserve"> both layers were </w:t>
      </w:r>
      <w:r w:rsidR="008533D1">
        <w:t>assigned</w:t>
      </w:r>
      <w:r w:rsidR="00E02EF6">
        <w:t xml:space="preserve"> </w:t>
      </w:r>
      <w:r w:rsidR="005F031A">
        <w:t xml:space="preserve">equal </w:t>
      </w:r>
      <m:oMath>
        <m:sSub>
          <m:sSubPr>
            <m:ctrlPr>
              <w:rPr>
                <w:rFonts w:ascii="Cambria Math" w:hAnsi="Cambria Math"/>
                <w:i/>
              </w:rPr>
            </m:ctrlPr>
          </m:sSubPr>
          <m:e>
            <m:r>
              <w:rPr>
                <w:rFonts w:ascii="Cambria Math" w:hAnsi="Cambria Math"/>
              </w:rPr>
              <m:t>l</m:t>
            </m:r>
          </m:e>
          <m:sub>
            <m:r>
              <m:rPr>
                <m:nor/>
              </m:rPr>
              <w:rPr>
                <w:rFonts w:ascii="Cambria Math" w:hAnsi="Cambria Math"/>
              </w:rPr>
              <m:t>ex</m:t>
            </m:r>
          </m:sub>
        </m:sSub>
      </m:oMath>
      <w:r w:rsidR="005F031A">
        <w:rPr>
          <w:rFonts w:eastAsiaTheme="minorEastAsia"/>
        </w:rPr>
        <w:t xml:space="preserve"> </w:t>
      </w:r>
      <w:r w:rsidR="008533D1">
        <w:rPr>
          <w:rFonts w:eastAsiaTheme="minorEastAsia"/>
        </w:rPr>
        <w:t>according to</w:t>
      </w:r>
      <w:r w:rsidR="00E02EF6">
        <w:rPr>
          <w:rFonts w:eastAsiaTheme="minorEastAsia"/>
        </w:rPr>
        <w:t xml:space="preserve"> the depth hoar</w:t>
      </w:r>
      <w:r w:rsidR="00DA0FFC">
        <w:rPr>
          <w:rFonts w:eastAsiaTheme="minorEastAsia"/>
        </w:rPr>
        <w:t xml:space="preserve"> </w:t>
      </w:r>
      <w:r w:rsidR="0023424E">
        <w:rPr>
          <w:rFonts w:eastAsiaTheme="minorEastAsia"/>
        </w:rPr>
        <w:t xml:space="preserve">mean </w:t>
      </w:r>
      <w:r w:rsidR="00DA0FFC">
        <w:rPr>
          <w:rFonts w:eastAsiaTheme="minorEastAsia"/>
        </w:rPr>
        <w:t>(0.388 mm)</w:t>
      </w:r>
      <w:r w:rsidR="00E02EF6">
        <w:rPr>
          <w:rFonts w:eastAsiaTheme="minorEastAsia"/>
        </w:rPr>
        <w:t>.</w:t>
      </w:r>
    </w:p>
    <w:p w:rsidR="007547AA" w:rsidRDefault="00E57DC0" w:rsidP="00873EB3">
      <w:pPr>
        <w:spacing w:line="480" w:lineRule="auto"/>
        <w:rPr>
          <w:rFonts w:eastAsiaTheme="minorEastAsia"/>
        </w:rPr>
      </w:pPr>
      <w:r>
        <w:rPr>
          <w:rFonts w:eastAsiaTheme="minorEastAsia"/>
        </w:rPr>
        <w:t xml:space="preserve">Figure 11 shows the result of the 2-layer simulations where large increases in SWE produced </w:t>
      </w:r>
      <w:r w:rsidR="008E5E5E">
        <w:rPr>
          <w:rFonts w:eastAsiaTheme="minorEastAsia"/>
        </w:rPr>
        <w:t>small</w:t>
      </w:r>
      <w:r>
        <w:rPr>
          <w:rFonts w:eastAsiaTheme="minorEastAsia"/>
        </w:rPr>
        <w:t xml:space="preserve"> increases in </w:t>
      </w:r>
      <m:oMath>
        <m:sSubSup>
          <m:sSubSupPr>
            <m:ctrlPr>
              <w:rPr>
                <w:rFonts w:ascii="Cambria Math" w:hAnsi="Cambria Math" w:cs="Helvetica"/>
                <w:vertAlign w:val="superscript"/>
              </w:rPr>
            </m:ctrlPr>
          </m:sSubSupPr>
          <m:e>
            <m:r>
              <w:rPr>
                <w:rFonts w:ascii="Cambria Math" w:hAnsi="Cambria Math" w:cs="Helvetica"/>
                <w:vertAlign w:val="superscript"/>
              </w:rPr>
              <m:t>σ</m:t>
            </m:r>
          </m:e>
          <m:sub>
            <m:r>
              <w:rPr>
                <w:rFonts w:ascii="Cambria Math" w:hAnsi="Cambria Math" w:cs="Helvetica"/>
                <w:vertAlign w:val="superscript"/>
              </w:rPr>
              <m:t>vv</m:t>
            </m:r>
          </m:sub>
          <m:sup>
            <m:r>
              <w:rPr>
                <w:rFonts w:ascii="Cambria Math" w:hAnsi="Cambria Math" w:cs="Helvetica"/>
                <w:vertAlign w:val="superscript"/>
              </w:rPr>
              <m:t>0</m:t>
            </m:r>
          </m:sup>
        </m:sSubSup>
      </m:oMath>
      <w:r>
        <w:rPr>
          <w:rFonts w:eastAsiaTheme="minorEastAsia"/>
          <w:vertAlign w:val="superscript"/>
        </w:rPr>
        <w:t xml:space="preserve"> </w:t>
      </w:r>
      <w:r>
        <w:rPr>
          <w:rFonts w:eastAsiaTheme="minorEastAsia"/>
        </w:rPr>
        <w:t xml:space="preserve">when slab was the </w:t>
      </w:r>
      <w:r w:rsidR="00DD1C3E">
        <w:rPr>
          <w:rFonts w:eastAsiaTheme="minorEastAsia"/>
        </w:rPr>
        <w:t>driver</w:t>
      </w:r>
      <w:r>
        <w:rPr>
          <w:rFonts w:eastAsiaTheme="minorEastAsia"/>
        </w:rPr>
        <w:t xml:space="preserve"> of change. </w:t>
      </w:r>
      <w:r w:rsidR="007547AA">
        <w:rPr>
          <w:rFonts w:eastAsiaTheme="minorEastAsia"/>
        </w:rPr>
        <w:t>F</w:t>
      </w:r>
      <w:r w:rsidR="00DA1608">
        <w:rPr>
          <w:rFonts w:eastAsiaTheme="minorEastAsia"/>
        </w:rPr>
        <w:t>ractional slab</w:t>
      </w:r>
      <w:r w:rsidR="007547AA">
        <w:rPr>
          <w:rFonts w:eastAsiaTheme="minorEastAsia"/>
        </w:rPr>
        <w:t xml:space="preserve"> </w:t>
      </w:r>
      <w:r w:rsidR="00A80456">
        <w:rPr>
          <w:rFonts w:eastAsiaTheme="minorEastAsia"/>
        </w:rPr>
        <w:t>composition</w:t>
      </w:r>
      <w:r w:rsidR="00B42C39">
        <w:rPr>
          <w:rFonts w:eastAsiaTheme="minorEastAsia"/>
        </w:rPr>
        <w:t xml:space="preserve"> </w:t>
      </w:r>
      <w:r w:rsidR="00DA1608">
        <w:rPr>
          <w:rFonts w:eastAsiaTheme="minorEastAsia"/>
        </w:rPr>
        <w:t>increased from 25 to 8</w:t>
      </w:r>
      <w:r w:rsidR="003A7BBE">
        <w:rPr>
          <w:rFonts w:eastAsiaTheme="minorEastAsia"/>
        </w:rPr>
        <w:t>4</w:t>
      </w:r>
      <w:r w:rsidR="00DA1608">
        <w:rPr>
          <w:rFonts w:eastAsiaTheme="minorEastAsia"/>
        </w:rPr>
        <w:t>%, representative of the full range</w:t>
      </w:r>
      <w:r w:rsidR="007263A4">
        <w:rPr>
          <w:rFonts w:eastAsiaTheme="minorEastAsia"/>
        </w:rPr>
        <w:t xml:space="preserve"> </w:t>
      </w:r>
      <w:r w:rsidR="008E5E5E">
        <w:rPr>
          <w:rFonts w:eastAsiaTheme="minorEastAsia"/>
        </w:rPr>
        <w:t>of</w:t>
      </w:r>
      <w:r w:rsidR="006A0CA0">
        <w:rPr>
          <w:rFonts w:eastAsiaTheme="minorEastAsia"/>
        </w:rPr>
        <w:t xml:space="preserve"> snow pit observations</w:t>
      </w:r>
      <w:r w:rsidR="0023424E">
        <w:rPr>
          <w:rFonts w:eastAsiaTheme="minorEastAsia"/>
        </w:rPr>
        <w:t xml:space="preserve"> </w:t>
      </w:r>
      <w:r w:rsidR="007263A4">
        <w:rPr>
          <w:rFonts w:eastAsiaTheme="minorEastAsia"/>
        </w:rPr>
        <w:t>(Table 4)</w:t>
      </w:r>
      <w:r w:rsidR="006A0CA0">
        <w:rPr>
          <w:rFonts w:eastAsiaTheme="minorEastAsia"/>
        </w:rPr>
        <w:t xml:space="preserve">. </w:t>
      </w:r>
      <w:r w:rsidR="00F1585E">
        <w:rPr>
          <w:rFonts w:eastAsiaTheme="minorEastAsia"/>
        </w:rPr>
        <w:t>The addition of</w:t>
      </w:r>
      <w:r w:rsidR="00A80456">
        <w:rPr>
          <w:rFonts w:eastAsiaTheme="minorEastAsia"/>
        </w:rPr>
        <w:t xml:space="preserve"> 70 cm </w:t>
      </w:r>
      <w:r w:rsidR="00F1585E">
        <w:rPr>
          <w:rFonts w:eastAsiaTheme="minorEastAsia"/>
        </w:rPr>
        <w:t>of</w:t>
      </w:r>
      <w:r w:rsidR="00834487">
        <w:rPr>
          <w:rFonts w:eastAsiaTheme="minorEastAsia"/>
        </w:rPr>
        <w:t xml:space="preserve"> </w:t>
      </w:r>
      <w:r w:rsidR="00A80456">
        <w:rPr>
          <w:rFonts w:eastAsiaTheme="minorEastAsia"/>
        </w:rPr>
        <w:t xml:space="preserve">slab </w:t>
      </w:r>
      <w:r w:rsidR="001313B4">
        <w:rPr>
          <w:rFonts w:eastAsiaTheme="minorEastAsia"/>
        </w:rPr>
        <w:t xml:space="preserve">with </w:t>
      </w:r>
      <m:oMath>
        <m:sSub>
          <m:sSubPr>
            <m:ctrlPr>
              <w:rPr>
                <w:rFonts w:ascii="Cambria Math" w:hAnsi="Cambria Math"/>
                <w:i/>
              </w:rPr>
            </m:ctrlPr>
          </m:sSubPr>
          <m:e>
            <m:r>
              <w:rPr>
                <w:rFonts w:ascii="Cambria Math" w:hAnsi="Cambria Math"/>
              </w:rPr>
              <m:t>l</m:t>
            </m:r>
          </m:e>
          <m:sub>
            <m:r>
              <m:rPr>
                <m:nor/>
              </m:rPr>
              <w:rPr>
                <w:rFonts w:ascii="Cambria Math" w:hAnsi="Cambria Math"/>
              </w:rPr>
              <m:t>ex</m:t>
            </m:r>
          </m:sub>
        </m:sSub>
      </m:oMath>
      <w:r w:rsidR="001313B4">
        <w:rPr>
          <w:rFonts w:eastAsiaTheme="minorEastAsia"/>
        </w:rPr>
        <w:t xml:space="preserve"> of 0.150 mm</w:t>
      </w:r>
      <w:r w:rsidR="00F1585E">
        <w:rPr>
          <w:rFonts w:eastAsiaTheme="minorEastAsia"/>
        </w:rPr>
        <w:t xml:space="preserve"> </w:t>
      </w:r>
      <w:r w:rsidR="004F0EB6">
        <w:rPr>
          <w:rFonts w:eastAsiaTheme="minorEastAsia"/>
        </w:rPr>
        <w:t xml:space="preserve">increased </w:t>
      </w:r>
      <m:oMath>
        <m:sSubSup>
          <m:sSubSupPr>
            <m:ctrlPr>
              <w:rPr>
                <w:rFonts w:ascii="Cambria Math" w:hAnsi="Cambria Math" w:cs="Helvetica"/>
                <w:vertAlign w:val="superscript"/>
              </w:rPr>
            </m:ctrlPr>
          </m:sSubSupPr>
          <m:e>
            <m:r>
              <w:rPr>
                <w:rFonts w:ascii="Cambria Math" w:hAnsi="Cambria Math" w:cs="Helvetica"/>
                <w:vertAlign w:val="superscript"/>
              </w:rPr>
              <m:t>σ</m:t>
            </m:r>
          </m:e>
          <m:sub>
            <m:r>
              <w:rPr>
                <w:rFonts w:ascii="Cambria Math" w:hAnsi="Cambria Math" w:cs="Helvetica"/>
                <w:vertAlign w:val="superscript"/>
              </w:rPr>
              <m:t>vv</m:t>
            </m:r>
          </m:sub>
          <m:sup>
            <m:r>
              <w:rPr>
                <w:rFonts w:ascii="Cambria Math" w:hAnsi="Cambria Math" w:cs="Helvetica"/>
                <w:vertAlign w:val="superscript"/>
              </w:rPr>
              <m:t>0</m:t>
            </m:r>
          </m:sup>
        </m:sSubSup>
      </m:oMath>
      <w:r w:rsidR="004F0EB6">
        <w:rPr>
          <w:rFonts w:eastAsiaTheme="minorEastAsia"/>
        </w:rPr>
        <w:t xml:space="preserve"> by</w:t>
      </w:r>
      <w:r w:rsidR="00F1585E">
        <w:rPr>
          <w:rFonts w:eastAsiaTheme="minorEastAsia"/>
        </w:rPr>
        <w:t xml:space="preserve"> 0</w:t>
      </w:r>
      <w:r w:rsidR="00A80456">
        <w:rPr>
          <w:rFonts w:eastAsiaTheme="minorEastAsia"/>
        </w:rPr>
        <w:t>.25 dB at 17.2 GHz and 0.23 dB at 9.6 GHz</w:t>
      </w:r>
      <w:r w:rsidR="00DA0FFC">
        <w:rPr>
          <w:rFonts w:eastAsiaTheme="minorEastAsia"/>
        </w:rPr>
        <w:t>,</w:t>
      </w:r>
      <w:r w:rsidR="00A80456">
        <w:rPr>
          <w:rFonts w:eastAsiaTheme="minorEastAsia"/>
        </w:rPr>
        <w:t xml:space="preserve"> over the </w:t>
      </w:r>
      <w:r w:rsidR="00AB074D">
        <w:rPr>
          <w:rFonts w:eastAsiaTheme="minorEastAsia"/>
        </w:rPr>
        <w:t>constant</w:t>
      </w:r>
      <w:r w:rsidR="00F70C13">
        <w:rPr>
          <w:rFonts w:eastAsiaTheme="minorEastAsia"/>
        </w:rPr>
        <w:t xml:space="preserve"> </w:t>
      </w:r>
      <w:r w:rsidR="00A80456">
        <w:rPr>
          <w:rFonts w:eastAsiaTheme="minorEastAsia"/>
        </w:rPr>
        <w:t>depth hoar</w:t>
      </w:r>
      <w:r w:rsidR="00FF01BE">
        <w:rPr>
          <w:rFonts w:eastAsiaTheme="minorEastAsia"/>
        </w:rPr>
        <w:t xml:space="preserve"> </w:t>
      </w:r>
      <w:r w:rsidR="00874D80">
        <w:rPr>
          <w:rFonts w:eastAsiaTheme="minorEastAsia"/>
        </w:rPr>
        <w:t>contributio</w:t>
      </w:r>
      <w:r w:rsidR="00DD1C3E">
        <w:rPr>
          <w:rFonts w:eastAsiaTheme="minorEastAsia"/>
        </w:rPr>
        <w:t>n</w:t>
      </w:r>
      <w:r w:rsidR="00595FE5">
        <w:rPr>
          <w:rFonts w:eastAsiaTheme="minorEastAsia"/>
        </w:rPr>
        <w:t>s</w:t>
      </w:r>
      <w:r w:rsidR="00DA1608">
        <w:rPr>
          <w:rFonts w:eastAsiaTheme="minorEastAsia"/>
        </w:rPr>
        <w:t xml:space="preserve">. </w:t>
      </w:r>
      <w:r w:rsidR="00EA4CCB">
        <w:rPr>
          <w:rFonts w:eastAsiaTheme="minorEastAsia"/>
        </w:rPr>
        <w:t>Sensitivities of the 2-layer simulations were weak with maximums of 0.06 dB per cm SWE</w:t>
      </w:r>
      <w:r w:rsidR="00EA4CCB" w:rsidRPr="00966821">
        <w:rPr>
          <w:rFonts w:eastAsiaTheme="minorEastAsia"/>
        </w:rPr>
        <w:t xml:space="preserve"> </w:t>
      </w:r>
      <w:r w:rsidR="00EA4CCB">
        <w:rPr>
          <w:rFonts w:eastAsiaTheme="minorEastAsia"/>
        </w:rPr>
        <w:t>at 17.2 GHz and 0.04</w:t>
      </w:r>
      <w:r w:rsidR="00EA4CCB" w:rsidRPr="00966821">
        <w:rPr>
          <w:rFonts w:eastAsiaTheme="minorEastAsia"/>
        </w:rPr>
        <w:t xml:space="preserve"> </w:t>
      </w:r>
      <w:r w:rsidR="00EA4CCB">
        <w:rPr>
          <w:rFonts w:eastAsiaTheme="minorEastAsia"/>
        </w:rPr>
        <w:t>dB per cm SWE</w:t>
      </w:r>
      <w:r w:rsidR="00EA4CCB" w:rsidRPr="00966821">
        <w:rPr>
          <w:rFonts w:eastAsiaTheme="minorEastAsia"/>
        </w:rPr>
        <w:t xml:space="preserve"> </w:t>
      </w:r>
      <w:r w:rsidR="00EA4CCB">
        <w:rPr>
          <w:rFonts w:eastAsiaTheme="minorEastAsia"/>
        </w:rPr>
        <w:t xml:space="preserve">at 9.6 GHz </w:t>
      </w:r>
      <w:r w:rsidR="00DD1C3E">
        <w:rPr>
          <w:rFonts w:eastAsiaTheme="minorEastAsia"/>
        </w:rPr>
        <w:t>with</w:t>
      </w:r>
      <w:r w:rsidR="00EA4CCB">
        <w:rPr>
          <w:rFonts w:eastAsiaTheme="minorEastAsia"/>
        </w:rPr>
        <w:t xml:space="preserve"> the largest slab </w:t>
      </w:r>
      <m:oMath>
        <m:sSub>
          <m:sSubPr>
            <m:ctrlPr>
              <w:rPr>
                <w:rFonts w:ascii="Cambria Math" w:hAnsi="Cambria Math"/>
                <w:i/>
              </w:rPr>
            </m:ctrlPr>
          </m:sSubPr>
          <m:e>
            <m:r>
              <w:rPr>
                <w:rFonts w:ascii="Cambria Math" w:hAnsi="Cambria Math"/>
              </w:rPr>
              <m:t>l</m:t>
            </m:r>
          </m:e>
          <m:sub>
            <m:r>
              <m:rPr>
                <m:nor/>
              </m:rPr>
              <w:rPr>
                <w:rFonts w:ascii="Cambria Math" w:hAnsi="Cambria Math"/>
              </w:rPr>
              <m:t>ex</m:t>
            </m:r>
          </m:sub>
        </m:sSub>
      </m:oMath>
      <w:r w:rsidR="00EA4CCB">
        <w:rPr>
          <w:rFonts w:eastAsiaTheme="minorEastAsia"/>
        </w:rPr>
        <w:t xml:space="preserve"> </w:t>
      </w:r>
      <w:r w:rsidR="00874D80">
        <w:rPr>
          <w:rFonts w:eastAsiaTheme="minorEastAsia"/>
        </w:rPr>
        <w:t xml:space="preserve">parametrization </w:t>
      </w:r>
      <w:r w:rsidR="00EA4CCB">
        <w:rPr>
          <w:rFonts w:eastAsiaTheme="minorEastAsia"/>
        </w:rPr>
        <w:t xml:space="preserve">of 0.198 mm. The smallest slab </w:t>
      </w:r>
      <m:oMath>
        <m:sSub>
          <m:sSubPr>
            <m:ctrlPr>
              <w:rPr>
                <w:rFonts w:ascii="Cambria Math" w:hAnsi="Cambria Math"/>
                <w:i/>
              </w:rPr>
            </m:ctrlPr>
          </m:sSubPr>
          <m:e>
            <m:r>
              <w:rPr>
                <w:rFonts w:ascii="Cambria Math" w:hAnsi="Cambria Math"/>
              </w:rPr>
              <m:t>l</m:t>
            </m:r>
          </m:e>
          <m:sub>
            <m:r>
              <m:rPr>
                <m:nor/>
              </m:rPr>
              <w:rPr>
                <w:rFonts w:ascii="Cambria Math" w:hAnsi="Cambria Math"/>
              </w:rPr>
              <m:t>ex</m:t>
            </m:r>
          </m:sub>
        </m:sSub>
      </m:oMath>
      <w:r w:rsidR="00EA4CCB">
        <w:rPr>
          <w:rFonts w:eastAsiaTheme="minorEastAsia"/>
        </w:rPr>
        <w:t xml:space="preserve"> of 0.102 mm produced no sensitivity across the 200 mm range of evaluated SWE at either frequency. In contrast, sensitivities of 0.27 and 0.18 dB per cm SWE at 17.2 and 9.6 GHz were found when upper layer was replaced with depth hoar, similar to the response of the 1-layer simulations. </w:t>
      </w:r>
    </w:p>
    <w:p w:rsidR="00D96660" w:rsidRDefault="00B61838" w:rsidP="00D96660">
      <w:pPr>
        <w:spacing w:line="480" w:lineRule="auto"/>
        <w:jc w:val="center"/>
        <w:rPr>
          <w:rFonts w:eastAsiaTheme="minorEastAsia"/>
        </w:rPr>
      </w:pPr>
      <w:r>
        <w:rPr>
          <w:rFonts w:eastAsiaTheme="minorEastAsia"/>
          <w:noProof/>
          <w:lang w:val="en-GB" w:eastAsia="en-GB"/>
        </w:rPr>
        <w:drawing>
          <wp:inline distT="0" distB="0" distL="0" distR="0">
            <wp:extent cx="2250000" cy="3600000"/>
            <wp:effectExtent l="0" t="0" r="0" b="635"/>
            <wp:docPr id="1" name="Picture 1" descr="C:\Users\kingj\Documents\Papers\Authored\King_RSE_2016\Resubmit\Figures\Figure_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j\Documents\Papers\Authored\King_RSE_2016\Resubmit\Figures\Figure_11.ti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0000" cy="3600000"/>
                    </a:xfrm>
                    <a:prstGeom prst="rect">
                      <a:avLst/>
                    </a:prstGeom>
                    <a:noFill/>
                    <a:ln>
                      <a:noFill/>
                    </a:ln>
                  </pic:spPr>
                </pic:pic>
              </a:graphicData>
            </a:graphic>
          </wp:inline>
        </w:drawing>
      </w:r>
    </w:p>
    <w:p w:rsidR="00B9338E" w:rsidRPr="00B9338E" w:rsidRDefault="00B9338E" w:rsidP="00B9338E">
      <w:pPr>
        <w:pStyle w:val="Caption"/>
        <w:spacing w:before="240" w:line="276" w:lineRule="auto"/>
        <w:rPr>
          <w:rFonts w:eastAsiaTheme="minorEastAsia" w:cs="Helvetica"/>
          <w:color w:val="auto"/>
        </w:rPr>
      </w:pPr>
      <w:r w:rsidRPr="00B9338E">
        <w:rPr>
          <w:rFonts w:cs="Helvetica"/>
          <w:color w:val="auto"/>
        </w:rPr>
        <w:t xml:space="preserve">Figure 11: MEMLS 2-layer </w:t>
      </w:r>
      <m:oMath>
        <m:sSubSup>
          <m:sSubSupPr>
            <m:ctrlPr>
              <w:rPr>
                <w:rFonts w:ascii="Cambria Math" w:hAnsi="Cambria Math" w:cs="Helvetica"/>
                <w:color w:val="auto"/>
                <w:vertAlign w:val="superscript"/>
              </w:rPr>
            </m:ctrlPr>
          </m:sSubSupPr>
          <m:e>
            <m:r>
              <m:rPr>
                <m:sty m:val="bi"/>
              </m:rPr>
              <w:rPr>
                <w:rFonts w:ascii="Cambria Math" w:hAnsi="Cambria Math" w:cs="Helvetica"/>
                <w:color w:val="auto"/>
                <w:vertAlign w:val="superscript"/>
              </w:rPr>
              <m:t>σ</m:t>
            </m:r>
          </m:e>
          <m:sub>
            <m:r>
              <m:rPr>
                <m:sty m:val="bi"/>
              </m:rPr>
              <w:rPr>
                <w:rFonts w:ascii="Cambria Math" w:hAnsi="Cambria Math" w:cs="Helvetica"/>
                <w:color w:val="auto"/>
                <w:vertAlign w:val="superscript"/>
              </w:rPr>
              <m:t>vv</m:t>
            </m:r>
          </m:sub>
          <m:sup>
            <m:r>
              <m:rPr>
                <m:sty m:val="bi"/>
              </m:rPr>
              <w:rPr>
                <w:rFonts w:ascii="Cambria Math" w:hAnsi="Cambria Math" w:cs="Helvetica"/>
                <w:color w:val="auto"/>
                <w:vertAlign w:val="superscript"/>
              </w:rPr>
              <m:t>0</m:t>
            </m:r>
          </m:sup>
        </m:sSubSup>
      </m:oMath>
      <w:r w:rsidRPr="00B9338E">
        <w:rPr>
          <w:rFonts w:eastAsiaTheme="minorEastAsia" w:cs="Helvetica"/>
          <w:color w:val="auto"/>
          <w:vertAlign w:val="superscript"/>
        </w:rPr>
        <w:t xml:space="preserve"> </w:t>
      </w:r>
      <w:r w:rsidRPr="00B9338E">
        <w:rPr>
          <w:rFonts w:cs="Helvetica"/>
          <w:color w:val="auto"/>
        </w:rPr>
        <w:t xml:space="preserve">sensitivity to increasing wind slab composition in a snowpack with total SWE between 50 and 250 mm. A constant depth hoar layer of 15 cm (34 mm SWE) was maintained while increasing thickness of the wind slab between 5 and 75 cm. The grey shaded area shows the response within the standard deviation range of snow pit observed slab </w:t>
      </w:r>
      <m:oMath>
        <m:sSub>
          <m:sSubPr>
            <m:ctrlPr>
              <w:rPr>
                <w:rFonts w:ascii="Cambria Math" w:hAnsi="Cambria Math"/>
                <w:i/>
                <w:color w:val="auto"/>
              </w:rPr>
            </m:ctrlPr>
          </m:sSubPr>
          <m:e>
            <m:r>
              <m:rPr>
                <m:sty m:val="bi"/>
              </m:rPr>
              <w:rPr>
                <w:rFonts w:ascii="Cambria Math" w:hAnsi="Cambria Math"/>
                <w:color w:val="auto"/>
              </w:rPr>
              <m:t>l</m:t>
            </m:r>
          </m:e>
          <m:sub>
            <m:r>
              <m:rPr>
                <m:nor/>
              </m:rPr>
              <w:rPr>
                <w:rFonts w:ascii="Cambria Math" w:hAnsi="Cambria Math"/>
                <w:color w:val="auto"/>
              </w:rPr>
              <m:t>ex</m:t>
            </m:r>
          </m:sub>
        </m:sSub>
      </m:oMath>
      <w:r w:rsidRPr="00B9338E">
        <w:rPr>
          <w:rFonts w:eastAsiaTheme="minorEastAsia" w:cs="Helvetica"/>
          <w:color w:val="auto"/>
        </w:rPr>
        <w:t xml:space="preserve">. The top panel shows the thickness weighted mean for each of the slab parametrizations as a function of total SWE. Blue lines show control simulations where microstructures of both layers were assigned </w:t>
      </w:r>
      <m:oMath>
        <m:sSub>
          <m:sSubPr>
            <m:ctrlPr>
              <w:rPr>
                <w:rFonts w:ascii="Cambria Math" w:hAnsi="Cambria Math"/>
                <w:i/>
                <w:color w:val="auto"/>
              </w:rPr>
            </m:ctrlPr>
          </m:sSubPr>
          <m:e>
            <m:r>
              <m:rPr>
                <m:sty m:val="bi"/>
              </m:rPr>
              <w:rPr>
                <w:rFonts w:ascii="Cambria Math" w:hAnsi="Cambria Math"/>
                <w:color w:val="auto"/>
              </w:rPr>
              <m:t>l</m:t>
            </m:r>
          </m:e>
          <m:sub>
            <m:r>
              <m:rPr>
                <m:nor/>
              </m:rPr>
              <w:rPr>
                <w:rFonts w:ascii="Cambria Math" w:hAnsi="Cambria Math"/>
                <w:color w:val="auto"/>
              </w:rPr>
              <m:t>ex</m:t>
            </m:r>
          </m:sub>
        </m:sSub>
      </m:oMath>
      <w:r w:rsidRPr="00B9338E">
        <w:rPr>
          <w:rFonts w:eastAsiaTheme="minorEastAsia" w:cs="Helvetica"/>
          <w:color w:val="auto"/>
        </w:rPr>
        <w:t>of 0.388 mm.</w:t>
      </w:r>
    </w:p>
    <w:p w:rsidR="0023424E" w:rsidRDefault="00EA4CCB" w:rsidP="00DA1608">
      <w:pPr>
        <w:spacing w:line="480" w:lineRule="auto"/>
        <w:rPr>
          <w:rFonts w:eastAsiaTheme="minorEastAsia"/>
        </w:rPr>
      </w:pPr>
      <w:r>
        <w:rPr>
          <w:rFonts w:eastAsiaTheme="minorEastAsia"/>
        </w:rPr>
        <w:t>The</w:t>
      </w:r>
      <w:r w:rsidR="00F1585E">
        <w:rPr>
          <w:rFonts w:eastAsiaTheme="minorEastAsia"/>
        </w:rPr>
        <w:t xml:space="preserve"> </w:t>
      </w:r>
      <w:r>
        <w:rPr>
          <w:rFonts w:eastAsiaTheme="minorEastAsia"/>
        </w:rPr>
        <w:t xml:space="preserve">weighted mean of the 2-layer </w:t>
      </w:r>
      <m:oMath>
        <m:sSub>
          <m:sSubPr>
            <m:ctrlPr>
              <w:rPr>
                <w:rFonts w:ascii="Cambria Math" w:hAnsi="Cambria Math"/>
                <w:i/>
              </w:rPr>
            </m:ctrlPr>
          </m:sSubPr>
          <m:e>
            <m:r>
              <w:rPr>
                <w:rFonts w:ascii="Cambria Math" w:hAnsi="Cambria Math"/>
              </w:rPr>
              <m:t>l</m:t>
            </m:r>
          </m:e>
          <m:sub>
            <m:r>
              <m:rPr>
                <m:nor/>
              </m:rPr>
              <w:rPr>
                <w:rFonts w:ascii="Cambria Math" w:hAnsi="Cambria Math"/>
              </w:rPr>
              <m:t>ex</m:t>
            </m:r>
          </m:sub>
        </m:sSub>
      </m:oMath>
      <w:r>
        <w:rPr>
          <w:rFonts w:eastAsiaTheme="minorEastAsia"/>
        </w:rPr>
        <w:t xml:space="preserve"> </w:t>
      </w:r>
      <w:r w:rsidR="004F0EB6">
        <w:rPr>
          <w:rFonts w:eastAsiaTheme="minorEastAsia"/>
        </w:rPr>
        <w:t xml:space="preserve">input </w:t>
      </w:r>
      <w:r w:rsidR="00F1585E">
        <w:rPr>
          <w:rFonts w:eastAsiaTheme="minorEastAsia"/>
        </w:rPr>
        <w:t xml:space="preserve">decreased by </w:t>
      </w:r>
      <w:r w:rsidR="00874D80">
        <w:rPr>
          <w:rFonts w:eastAsiaTheme="minorEastAsia"/>
        </w:rPr>
        <w:t xml:space="preserve">approximately </w:t>
      </w:r>
      <w:r w:rsidR="00F1585E">
        <w:rPr>
          <w:rFonts w:eastAsiaTheme="minorEastAsia"/>
        </w:rPr>
        <w:t xml:space="preserve">42% (0.317 to 0.183 mm) </w:t>
      </w:r>
      <w:r w:rsidR="00595FE5">
        <w:rPr>
          <w:rFonts w:eastAsiaTheme="minorEastAsia"/>
        </w:rPr>
        <w:t>with</w:t>
      </w:r>
      <w:r w:rsidR="00F1585E">
        <w:rPr>
          <w:rFonts w:eastAsiaTheme="minorEastAsia"/>
        </w:rPr>
        <w:t xml:space="preserve"> the mean </w:t>
      </w:r>
      <w:r w:rsidR="00183702">
        <w:rPr>
          <w:rFonts w:eastAsiaTheme="minorEastAsia"/>
        </w:rPr>
        <w:t>slab</w:t>
      </w:r>
      <w:r w:rsidR="00874D80">
        <w:rPr>
          <w:rFonts w:eastAsiaTheme="minorEastAsia"/>
        </w:rPr>
        <w:t xml:space="preserve"> </w:t>
      </w:r>
      <w:r w:rsidR="00595FE5">
        <w:rPr>
          <w:rFonts w:eastAsiaTheme="minorEastAsia"/>
        </w:rPr>
        <w:t>parametrization</w:t>
      </w:r>
      <w:r w:rsidR="00F1585E">
        <w:rPr>
          <w:rFonts w:eastAsiaTheme="minorEastAsia"/>
        </w:rPr>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rPr>
              <m:t>ex</m:t>
            </m:r>
          </m:sub>
        </m:sSub>
      </m:oMath>
      <w:r w:rsidR="00F1585E">
        <w:rPr>
          <w:rFonts w:eastAsiaTheme="minorEastAsia"/>
        </w:rPr>
        <w:t xml:space="preserve"> 0.150 mm</w:t>
      </w:r>
      <w:r w:rsidR="00183702">
        <w:rPr>
          <w:rFonts w:eastAsiaTheme="minorEastAsia"/>
        </w:rPr>
        <w:t>; Figure 11</w:t>
      </w:r>
      <w:r w:rsidR="00F1585E">
        <w:rPr>
          <w:rFonts w:eastAsiaTheme="minorEastAsia"/>
        </w:rPr>
        <w:t>)</w:t>
      </w:r>
      <w:r w:rsidR="00595FE5">
        <w:rPr>
          <w:rFonts w:eastAsiaTheme="minorEastAsia"/>
        </w:rPr>
        <w:t xml:space="preserve">, </w:t>
      </w:r>
      <w:r w:rsidR="00692FA4">
        <w:rPr>
          <w:rFonts w:eastAsiaTheme="minorEastAsia"/>
        </w:rPr>
        <w:t>showing the potential for</w:t>
      </w:r>
      <w:r w:rsidR="00595FE5">
        <w:rPr>
          <w:rFonts w:eastAsiaTheme="minorEastAsia"/>
        </w:rPr>
        <w:t xml:space="preserve"> </w:t>
      </w:r>
      <w:r w:rsidR="004F0EB6">
        <w:rPr>
          <w:rFonts w:eastAsiaTheme="minorEastAsia"/>
        </w:rPr>
        <w:t>drastic change in</w:t>
      </w:r>
      <w:r w:rsidR="009E2469">
        <w:rPr>
          <w:rFonts w:eastAsiaTheme="minorEastAsia"/>
        </w:rPr>
        <w:t xml:space="preserve"> </w:t>
      </w:r>
      <w:r w:rsidR="004F0EB6">
        <w:rPr>
          <w:rFonts w:eastAsiaTheme="minorEastAsia"/>
        </w:rPr>
        <w:t>bulk</w:t>
      </w:r>
      <w:r w:rsidR="00183702">
        <w:rPr>
          <w:rFonts w:eastAsiaTheme="minorEastAsia"/>
        </w:rPr>
        <w:t xml:space="preserve"> </w:t>
      </w:r>
      <w:r w:rsidR="00874D80">
        <w:rPr>
          <w:rFonts w:eastAsiaTheme="minorEastAsia"/>
        </w:rPr>
        <w:t>microstructure</w:t>
      </w:r>
      <w:r w:rsidR="00183702">
        <w:rPr>
          <w:rFonts w:eastAsiaTheme="minorEastAsia"/>
        </w:rPr>
        <w:t xml:space="preserve"> </w:t>
      </w:r>
      <w:r w:rsidR="004F0EB6">
        <w:rPr>
          <w:rFonts w:eastAsiaTheme="minorEastAsia"/>
        </w:rPr>
        <w:t>where</w:t>
      </w:r>
      <w:r w:rsidR="00874D80">
        <w:rPr>
          <w:rFonts w:eastAsiaTheme="minorEastAsia"/>
        </w:rPr>
        <w:t xml:space="preserve"> </w:t>
      </w:r>
      <w:r w:rsidR="00595FE5">
        <w:rPr>
          <w:rFonts w:eastAsiaTheme="minorEastAsia"/>
        </w:rPr>
        <w:t>drifted snow is involved.</w:t>
      </w:r>
      <w:r w:rsidR="004F0EB6">
        <w:rPr>
          <w:rFonts w:eastAsiaTheme="minorEastAsia"/>
        </w:rPr>
        <w:t xml:space="preserve"> </w:t>
      </w:r>
      <w:r w:rsidR="0009261E">
        <w:rPr>
          <w:rFonts w:eastAsiaTheme="minorEastAsia"/>
        </w:rPr>
        <w:t xml:space="preserve">At </w:t>
      </w:r>
      <w:r w:rsidR="00595FE5">
        <w:rPr>
          <w:rFonts w:eastAsiaTheme="minorEastAsia"/>
        </w:rPr>
        <w:t>the mean</w:t>
      </w:r>
      <w:r w:rsidR="0009261E">
        <w:rPr>
          <w:rFonts w:eastAsiaTheme="minorEastAsia"/>
        </w:rPr>
        <w:t xml:space="preserve"> </w:t>
      </w:r>
      <w:r w:rsidR="00183702">
        <w:rPr>
          <w:rFonts w:eastAsiaTheme="minorEastAsia"/>
        </w:rPr>
        <w:t xml:space="preserve">fractional </w:t>
      </w:r>
      <w:r w:rsidR="00874D80">
        <w:rPr>
          <w:rFonts w:eastAsiaTheme="minorEastAsia"/>
        </w:rPr>
        <w:t>composition</w:t>
      </w:r>
      <w:r w:rsidR="0009261E">
        <w:rPr>
          <w:rFonts w:eastAsiaTheme="minorEastAsia"/>
        </w:rPr>
        <w:t xml:space="preserve"> of 65%</w:t>
      </w:r>
      <w:r w:rsidR="00DA0FFC">
        <w:rPr>
          <w:rFonts w:eastAsiaTheme="minorEastAsia"/>
        </w:rPr>
        <w:t xml:space="preserve"> (or 114 mm total SWE)</w:t>
      </w:r>
      <w:r w:rsidR="00F70C13">
        <w:rPr>
          <w:rFonts w:eastAsiaTheme="minorEastAsia"/>
        </w:rPr>
        <w:t xml:space="preserve">, the difference between the </w:t>
      </w:r>
      <w:r w:rsidR="00183702">
        <w:rPr>
          <w:rFonts w:eastAsiaTheme="minorEastAsia"/>
        </w:rPr>
        <w:t>slab</w:t>
      </w:r>
      <w:r w:rsidR="00874D80">
        <w:rPr>
          <w:rFonts w:eastAsiaTheme="minorEastAsia"/>
        </w:rPr>
        <w:t xml:space="preserve"> </w:t>
      </w:r>
      <w:r w:rsidR="00F70C13">
        <w:rPr>
          <w:rFonts w:eastAsiaTheme="minorEastAsia"/>
        </w:rPr>
        <w:t>(0.150 mm</w:t>
      </w:r>
      <w:r>
        <w:rPr>
          <w:rFonts w:eastAsiaTheme="minorEastAsia"/>
        </w:rPr>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rPr>
              <m:t>ex</m:t>
            </m:r>
          </m:sub>
        </m:sSub>
      </m:oMath>
      <w:r>
        <w:rPr>
          <w:rFonts w:eastAsiaTheme="minorEastAsia"/>
        </w:rPr>
        <w:t xml:space="preserve">) and control </w:t>
      </w:r>
      <w:r w:rsidR="00F70C13">
        <w:rPr>
          <w:rFonts w:eastAsiaTheme="minorEastAsia"/>
        </w:rPr>
        <w:t>simulations (0.388 mm</w:t>
      </w:r>
      <w:r>
        <w:rPr>
          <w:rFonts w:eastAsiaTheme="minorEastAsia"/>
        </w:rPr>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rPr>
              <m:t>ex</m:t>
            </m:r>
          </m:sub>
        </m:sSub>
      </m:oMath>
      <w:r w:rsidR="00F70C13">
        <w:rPr>
          <w:rFonts w:eastAsiaTheme="minorEastAsia"/>
        </w:rPr>
        <w:t xml:space="preserve">) </w:t>
      </w:r>
      <w:r w:rsidR="00B121C2">
        <w:rPr>
          <w:rFonts w:eastAsiaTheme="minorEastAsia"/>
        </w:rPr>
        <w:t>were</w:t>
      </w:r>
      <w:r w:rsidR="00F70C13">
        <w:rPr>
          <w:rFonts w:eastAsiaTheme="minorEastAsia"/>
        </w:rPr>
        <w:t xml:space="preserve"> 3.5 dB at 17.2 </w:t>
      </w:r>
      <w:r w:rsidR="00DE3414">
        <w:rPr>
          <w:rFonts w:eastAsiaTheme="minorEastAsia"/>
        </w:rPr>
        <w:t xml:space="preserve">GHz </w:t>
      </w:r>
      <w:r w:rsidR="00F70C13">
        <w:rPr>
          <w:rFonts w:eastAsiaTheme="minorEastAsia"/>
        </w:rPr>
        <w:t xml:space="preserve">and 2.3 dB at 9.6 GHz. </w:t>
      </w:r>
      <w:r w:rsidR="00B121C2">
        <w:rPr>
          <w:rFonts w:eastAsiaTheme="minorEastAsia"/>
        </w:rPr>
        <w:t xml:space="preserve">In contrast, variations in slab </w:t>
      </w:r>
      <m:oMath>
        <m:sSub>
          <m:sSubPr>
            <m:ctrlPr>
              <w:rPr>
                <w:rFonts w:ascii="Cambria Math" w:hAnsi="Cambria Math"/>
                <w:i/>
              </w:rPr>
            </m:ctrlPr>
          </m:sSubPr>
          <m:e>
            <m:r>
              <w:rPr>
                <w:rFonts w:ascii="Cambria Math" w:hAnsi="Cambria Math"/>
              </w:rPr>
              <m:t>l</m:t>
            </m:r>
          </m:e>
          <m:sub>
            <m:r>
              <m:rPr>
                <m:nor/>
              </m:rPr>
              <w:rPr>
                <w:rFonts w:ascii="Cambria Math" w:hAnsi="Cambria Math"/>
              </w:rPr>
              <m:t>ex</m:t>
            </m:r>
          </m:sub>
        </m:sSub>
      </m:oMath>
      <w:r w:rsidR="004F0EB6">
        <w:rPr>
          <w:rFonts w:eastAsiaTheme="minorEastAsia"/>
        </w:rPr>
        <w:t xml:space="preserve"> (0.102 to 0.198 mm) </w:t>
      </w:r>
      <w:r w:rsidR="00692FA4">
        <w:rPr>
          <w:rFonts w:eastAsiaTheme="minorEastAsia"/>
        </w:rPr>
        <w:t>at</w:t>
      </w:r>
      <w:r w:rsidR="004F0EB6">
        <w:rPr>
          <w:rFonts w:eastAsiaTheme="minorEastAsia"/>
        </w:rPr>
        <w:t xml:space="preserve"> the same fractional composition </w:t>
      </w:r>
      <w:r w:rsidR="00595FE5">
        <w:rPr>
          <w:rFonts w:eastAsiaTheme="minorEastAsia"/>
        </w:rPr>
        <w:t>produced much smaller</w:t>
      </w:r>
      <w:r w:rsidR="004F0EB6">
        <w:rPr>
          <w:rFonts w:eastAsiaTheme="minorEastAsia"/>
        </w:rPr>
        <w:t xml:space="preserve"> differences of</w:t>
      </w:r>
      <w:r w:rsidR="00B121C2">
        <w:rPr>
          <w:rFonts w:eastAsiaTheme="minorEastAsia"/>
        </w:rPr>
        <w:t xml:space="preserve"> 0.57 </w:t>
      </w:r>
      <w:r w:rsidR="004F0EB6">
        <w:rPr>
          <w:rFonts w:eastAsiaTheme="minorEastAsia"/>
        </w:rPr>
        <w:t>and</w:t>
      </w:r>
      <w:r w:rsidR="00D12ADD">
        <w:rPr>
          <w:rFonts w:eastAsiaTheme="minorEastAsia"/>
        </w:rPr>
        <w:t xml:space="preserve"> 0.29 dB at 17.2 and 9.6 GHz, respectfully. </w:t>
      </w:r>
      <w:r>
        <w:rPr>
          <w:rFonts w:eastAsiaTheme="minorEastAsia"/>
        </w:rPr>
        <w:t xml:space="preserve">Thus, if abstracted as a single layer, backscatter and sensitivity </w:t>
      </w:r>
      <w:r w:rsidR="00595FE5">
        <w:rPr>
          <w:rFonts w:eastAsiaTheme="minorEastAsia"/>
        </w:rPr>
        <w:t>will</w:t>
      </w:r>
      <w:r>
        <w:rPr>
          <w:rFonts w:eastAsiaTheme="minorEastAsia"/>
        </w:rPr>
        <w:t xml:space="preserve"> be overestimated</w:t>
      </w:r>
      <w:r w:rsidR="00874D80">
        <w:rPr>
          <w:rFonts w:eastAsiaTheme="minorEastAsia"/>
        </w:rPr>
        <w:t xml:space="preserve"> </w:t>
      </w:r>
      <w:r>
        <w:rPr>
          <w:rFonts w:eastAsiaTheme="minorEastAsia"/>
        </w:rPr>
        <w:t xml:space="preserve">unless covariance of </w:t>
      </w:r>
      <m:oMath>
        <m:sSub>
          <m:sSubPr>
            <m:ctrlPr>
              <w:rPr>
                <w:rFonts w:ascii="Cambria Math" w:hAnsi="Cambria Math"/>
                <w:i/>
              </w:rPr>
            </m:ctrlPr>
          </m:sSubPr>
          <m:e>
            <m:r>
              <w:rPr>
                <w:rFonts w:ascii="Cambria Math" w:hAnsi="Cambria Math"/>
              </w:rPr>
              <m:t>l</m:t>
            </m:r>
          </m:e>
          <m:sub>
            <m:r>
              <m:rPr>
                <m:nor/>
              </m:rPr>
              <w:rPr>
                <w:rFonts w:ascii="Cambria Math" w:hAnsi="Cambria Math"/>
              </w:rPr>
              <m:t>ex</m:t>
            </m:r>
          </m:sub>
        </m:sSub>
      </m:oMath>
      <w:r>
        <w:rPr>
          <w:rFonts w:eastAsiaTheme="minorEastAsia"/>
        </w:rPr>
        <w:t xml:space="preserve"> and </w:t>
      </w:r>
      <w:r w:rsidR="004F0EB6">
        <w:rPr>
          <w:rFonts w:eastAsiaTheme="minorEastAsia"/>
        </w:rPr>
        <w:t>snow mass</w:t>
      </w:r>
      <w:r>
        <w:rPr>
          <w:rFonts w:eastAsiaTheme="minorEastAsia"/>
        </w:rPr>
        <w:t xml:space="preserve"> is considered</w:t>
      </w:r>
      <w:r w:rsidR="009E2469">
        <w:rPr>
          <w:rFonts w:eastAsiaTheme="minorEastAsia"/>
        </w:rPr>
        <w:t xml:space="preserve"> in wind controlled environments</w:t>
      </w:r>
      <w:r>
        <w:rPr>
          <w:rFonts w:eastAsiaTheme="minorEastAsia"/>
        </w:rPr>
        <w:t>.</w:t>
      </w:r>
    </w:p>
    <w:p w:rsidR="002C1314" w:rsidRDefault="002C1314" w:rsidP="002C1314">
      <w:pPr>
        <w:pStyle w:val="Heading1"/>
        <w:spacing w:after="240"/>
      </w:pPr>
      <w:r>
        <w:t>4. Discussion and conclusions</w:t>
      </w:r>
    </w:p>
    <w:p w:rsidR="002C1314" w:rsidRDefault="002C1314" w:rsidP="002C1314">
      <w:pPr>
        <w:spacing w:line="480" w:lineRule="auto"/>
      </w:pPr>
      <w:r>
        <w:rPr>
          <w:rStyle w:val="tgc"/>
        </w:rPr>
        <w:t>As generalized from snow pits, the TVC volume was principally composed of wind</w:t>
      </w:r>
      <w:r w:rsidR="00427890">
        <w:rPr>
          <w:rStyle w:val="tgc"/>
        </w:rPr>
        <w:t xml:space="preserve"> slab</w:t>
      </w:r>
      <w:r>
        <w:rPr>
          <w:rStyle w:val="tgc"/>
        </w:rPr>
        <w:t xml:space="preserve"> and indurated</w:t>
      </w:r>
      <w:r w:rsidR="00B312E3">
        <w:rPr>
          <w:rStyle w:val="tgc"/>
        </w:rPr>
        <w:t xml:space="preserve"> </w:t>
      </w:r>
      <w:r>
        <w:rPr>
          <w:rStyle w:val="tgc"/>
        </w:rPr>
        <w:t>layers (65%), with smaller proportions of underlying depth hoar (35%). Their fractional composition however, diverged with increasing total depth where changes were slab dominated, consistent with a wind exposed tundra environment (</w:t>
      </w:r>
      <w:r>
        <w:t>Domine et al. 2012; Rutter et al., 2016)</w:t>
      </w:r>
      <w:r>
        <w:rPr>
          <w:rStyle w:val="tgc"/>
        </w:rPr>
        <w:t xml:space="preserve">. The restricted variation in depth hoar thickness </w:t>
      </w:r>
      <w:r w:rsidR="00CC10D0">
        <w:rPr>
          <w:rStyle w:val="tgc"/>
        </w:rPr>
        <w:t>is</w:t>
      </w:r>
      <w:r>
        <w:rPr>
          <w:rStyle w:val="tgc"/>
        </w:rPr>
        <w:t xml:space="preserve"> attributed to the small range of tussock micro-topography and its finite ability to trap early season accumulation (Benson and Sturm, 1993, King et. al. 2015</w:t>
      </w:r>
      <w:r>
        <w:t xml:space="preserve">). Lacking tall standing vegetation, larger variations in the open tundra were realized as substantial drift features where topographic relief was sufficient to accommodate deposition of additional wind transported snow (Essery and Pomeroy, 2004). Microstructures </w:t>
      </w:r>
      <w:r>
        <w:rPr>
          <w:rFonts w:eastAsiaTheme="minorEastAsia"/>
        </w:rPr>
        <w:t xml:space="preserve">of the </w:t>
      </w:r>
      <w:r>
        <w:rPr>
          <w:rStyle w:val="tgc"/>
        </w:rPr>
        <w:t xml:space="preserve">principal slab layers, </w:t>
      </w:r>
      <w:r w:rsidR="007B3467">
        <w:rPr>
          <w:rStyle w:val="tgc"/>
        </w:rPr>
        <w:t>estimated</w:t>
      </w:r>
      <w:r>
        <w:rPr>
          <w:rStyle w:val="tgc"/>
        </w:rPr>
        <w:t xml:space="preserve"> as </w:t>
      </w:r>
      <m:oMath>
        <m:sSub>
          <m:sSubPr>
            <m:ctrlPr>
              <w:rPr>
                <w:rFonts w:ascii="Cambria Math" w:hAnsi="Cambria Math"/>
                <w:noProof/>
              </w:rPr>
            </m:ctrlPr>
          </m:sSubPr>
          <m:e>
            <m:r>
              <w:rPr>
                <w:rFonts w:ascii="Cambria Math" w:hAnsi="Cambria Math"/>
              </w:rPr>
              <m:t>l</m:t>
            </m:r>
          </m:e>
          <m:sub>
            <m:r>
              <w:rPr>
                <w:rFonts w:ascii="Cambria Math" w:hAnsi="Cambria Math"/>
              </w:rPr>
              <m:t>ex,</m:t>
            </m:r>
          </m:sub>
        </m:sSub>
      </m:oMath>
      <w:r>
        <w:rPr>
          <w:rStyle w:val="tgc"/>
        </w:rPr>
        <w:t xml:space="preserve">, were on average 2.8 times smaller than the depth hoar, despite evidence of sub-surface faceting and slab-to-hoar conversion (Figure </w:t>
      </w:r>
      <w:r w:rsidR="00B312E3">
        <w:rPr>
          <w:rStyle w:val="tgc"/>
        </w:rPr>
        <w:t>6</w:t>
      </w:r>
      <w:r>
        <w:rPr>
          <w:rStyle w:val="tgc"/>
        </w:rPr>
        <w:t xml:space="preserve">). Thus, spatial </w:t>
      </w:r>
      <w:r w:rsidR="002E0644">
        <w:rPr>
          <w:rStyle w:val="tgc"/>
        </w:rPr>
        <w:t>increases</w:t>
      </w:r>
      <w:r>
        <w:rPr>
          <w:rStyle w:val="tgc"/>
        </w:rPr>
        <w:t xml:space="preserve"> in depth were generally not of equivalent bulk microstructure, but rather were characterized increasingly by larger proportions of small, wind-pulverized or transitional grain types. Additionally, </w:t>
      </w:r>
      <w:r>
        <w:t xml:space="preserve">depth of the drifted snow was sufficient to decouple the basal interface from air temperature (Taras et. al. 2002, Slater et. al, 2016), thermodynamically differentiating these features from the predominantly thin, heavily faceted, </w:t>
      </w:r>
      <w:r w:rsidR="00D33282">
        <w:t xml:space="preserve">open </w:t>
      </w:r>
      <w:r>
        <w:t xml:space="preserve">tundra snowpack. </w:t>
      </w:r>
    </w:p>
    <w:p w:rsidR="00084C19" w:rsidRDefault="00084C19" w:rsidP="00084C19">
      <w:pPr>
        <w:spacing w:line="480" w:lineRule="auto"/>
        <w:rPr>
          <w:rFonts w:eastAsiaTheme="minorEastAsia"/>
        </w:rPr>
      </w:pPr>
      <w:r>
        <w:t xml:space="preserve">The observed snowpack conditions had complex implications for </w:t>
      </w:r>
      <w:r>
        <w:rPr>
          <w:rFonts w:eastAsiaTheme="minorEastAsia"/>
        </w:rPr>
        <w:t>scattering where contributions from increasing depth (increasing scattering) and slab microstructure (decreasing scattering) were in apparent compensation, inferring nonlinearity in the expected radar response.</w:t>
      </w:r>
      <w:r>
        <w:t xml:space="preserve"> Forward MEMLS simulations, proposed to decompose these complexities, were able to replicate co-polarized SnowSAR measurements (9.6 GHz and 17.2 GHz) with RM</w:t>
      </w:r>
      <w:r w:rsidR="009E2469">
        <w:t>SE of less than 1.1 dB (Figure 8</w:t>
      </w:r>
      <w:r>
        <w:t xml:space="preserve">). To do so, optimization of field-measured microstructural quantities and soil unknowns was required. An optimized scaling factor, </w:t>
      </w:r>
      <m:oMath>
        <m:sSub>
          <m:sSubPr>
            <m:ctrlPr>
              <w:rPr>
                <w:rFonts w:ascii="Cambria Math" w:eastAsiaTheme="minorEastAsia" w:hAnsi="Cambria Math"/>
              </w:rPr>
            </m:ctrlPr>
          </m:sSubPr>
          <m:e>
            <m:r>
              <m:rPr>
                <m:sty m:val="p"/>
              </m:rPr>
              <w:rPr>
                <w:rFonts w:ascii="Cambria Math" w:eastAsiaTheme="minorEastAsia" w:hAnsi="Cambria Math"/>
              </w:rPr>
              <m:t>ϕ</m:t>
            </m:r>
          </m:e>
          <m:sub>
            <m:r>
              <m:rPr>
                <m:nor/>
              </m:rPr>
              <w:rPr>
                <w:rFonts w:ascii="Cambria Math" w:eastAsiaTheme="minorEastAsia" w:hAnsi="Cambria Math"/>
              </w:rPr>
              <m:t>opt</m:t>
            </m:r>
          </m:sub>
        </m:sSub>
      </m:oMath>
      <w:r>
        <w:rPr>
          <w:rFonts w:eastAsiaTheme="minorEastAsia"/>
        </w:rPr>
        <w:t>, for IRIS-based inputs of exponential correlation length (</w:t>
      </w:r>
      <m:oMath>
        <m:sSub>
          <m:sSubPr>
            <m:ctrlPr>
              <w:rPr>
                <w:rFonts w:ascii="Cambria Math" w:hAnsi="Cambria Math"/>
                <w:i/>
              </w:rPr>
            </m:ctrlPr>
          </m:sSubPr>
          <m:e>
            <m:r>
              <w:rPr>
                <w:rFonts w:ascii="Cambria Math" w:hAnsi="Cambria Math"/>
              </w:rPr>
              <m:t>l</m:t>
            </m:r>
          </m:e>
          <m:sub>
            <m:r>
              <m:rPr>
                <m:nor/>
              </m:rPr>
              <w:rPr>
                <w:rFonts w:ascii="Cambria Math" w:hAnsi="Cambria Math"/>
              </w:rPr>
              <m:t>ex</m:t>
            </m:r>
          </m:sub>
        </m:sSub>
      </m:oMath>
      <w:r>
        <w:rPr>
          <w:rFonts w:eastAsiaTheme="minorEastAsia"/>
        </w:rPr>
        <w:t xml:space="preserve">), was shown to be configuration dependent, where </w:t>
      </w:r>
      <w:r w:rsidR="00966980">
        <w:rPr>
          <w:rFonts w:eastAsiaTheme="minorEastAsia"/>
        </w:rPr>
        <w:t>separate</w:t>
      </w:r>
      <w:r>
        <w:rPr>
          <w:rFonts w:eastAsiaTheme="minorEastAsia"/>
        </w:rPr>
        <w:t xml:space="preserve"> representation of </w:t>
      </w:r>
      <w:r w:rsidR="00966980">
        <w:rPr>
          <w:rFonts w:eastAsiaTheme="minorEastAsia"/>
        </w:rPr>
        <w:t xml:space="preserve">the </w:t>
      </w:r>
      <w:r>
        <w:rPr>
          <w:rFonts w:eastAsiaTheme="minorEastAsia"/>
        </w:rPr>
        <w:t xml:space="preserve">slab and hoar layers greatly reduced the need for adjustment at 17.2 GHz (from 1.37 to 1.08). Chang et al., (2014) reported similar findings with multilayer QCA/DMRT and SnowSAR, also attributing the reduced simulation bias to improved representation of the basal snow layer. Positive scaling of </w:t>
      </w:r>
      <m:oMath>
        <m:sSub>
          <m:sSubPr>
            <m:ctrlPr>
              <w:rPr>
                <w:rFonts w:ascii="Cambria Math" w:hAnsi="Cambria Math"/>
                <w:i/>
              </w:rPr>
            </m:ctrlPr>
          </m:sSubPr>
          <m:e>
            <m:r>
              <w:rPr>
                <w:rFonts w:ascii="Cambria Math" w:hAnsi="Cambria Math"/>
              </w:rPr>
              <m:t>l</m:t>
            </m:r>
          </m:e>
          <m:sub>
            <m:r>
              <m:rPr>
                <m:nor/>
              </m:rPr>
              <w:rPr>
                <w:rFonts w:ascii="Cambria Math" w:hAnsi="Cambria Math"/>
              </w:rPr>
              <m:t>ex</m:t>
            </m:r>
          </m:sub>
        </m:sSub>
      </m:oMath>
      <w:r>
        <w:rPr>
          <w:rFonts w:eastAsiaTheme="minorEastAsia"/>
        </w:rPr>
        <w:t xml:space="preserve"> at the snow pits is in agreement with previous active and passive studies of MEMLS (Brucker et al. 2011; Montpetit, et. al. 2013; Lemmetyinen et. al, 2015). In particular, the 1-layer optimization agrees closely with Montpetit, et. al. (2013) who reported </w:t>
      </w:r>
      <m:oMath>
        <m:sSub>
          <m:sSubPr>
            <m:ctrlPr>
              <w:rPr>
                <w:rFonts w:ascii="Cambria Math" w:eastAsiaTheme="minorEastAsia" w:hAnsi="Cambria Math"/>
              </w:rPr>
            </m:ctrlPr>
          </m:sSubPr>
          <m:e>
            <m:r>
              <m:rPr>
                <m:sty m:val="p"/>
              </m:rPr>
              <w:rPr>
                <w:rFonts w:ascii="Cambria Math" w:eastAsiaTheme="minorEastAsia" w:hAnsi="Cambria Math"/>
              </w:rPr>
              <m:t>ϕ</m:t>
            </m:r>
          </m:e>
          <m:sub>
            <m:r>
              <m:rPr>
                <m:nor/>
              </m:rPr>
              <w:rPr>
                <w:rFonts w:ascii="Cambria Math" w:eastAsiaTheme="minorEastAsia" w:hAnsi="Cambria Math"/>
              </w:rPr>
              <m:t>opt</m:t>
            </m:r>
          </m:sub>
        </m:sSub>
      </m:oMath>
      <w:r>
        <w:rPr>
          <w:rFonts w:eastAsiaTheme="minorEastAsia"/>
        </w:rPr>
        <w:t xml:space="preserve"> of 1.3 with IRIS derived microstructure. In general, scaling and sensitivity testing of </w:t>
      </w:r>
      <m:oMath>
        <m:sSub>
          <m:sSubPr>
            <m:ctrlPr>
              <w:rPr>
                <w:rFonts w:ascii="Cambria Math" w:hAnsi="Cambria Math"/>
                <w:i/>
              </w:rPr>
            </m:ctrlPr>
          </m:sSubPr>
          <m:e>
            <m:r>
              <w:rPr>
                <w:rFonts w:ascii="Cambria Math" w:hAnsi="Cambria Math"/>
              </w:rPr>
              <m:t>l</m:t>
            </m:r>
          </m:e>
          <m:sub>
            <m:r>
              <m:rPr>
                <m:nor/>
              </m:rPr>
              <w:rPr>
                <w:rFonts w:ascii="Cambria Math" w:hAnsi="Cambria Math"/>
              </w:rPr>
              <m:t>ex</m:t>
            </m:r>
          </m:sub>
        </m:sSub>
      </m:oMath>
      <w:r>
        <w:rPr>
          <w:rFonts w:eastAsiaTheme="minorEastAsia"/>
        </w:rPr>
        <w:t xml:space="preserve"> highlighted the contrasting importance of the two layer types, where depth hoar </w:t>
      </w:r>
      <w:r w:rsidR="003835C3">
        <w:rPr>
          <w:rFonts w:eastAsiaTheme="minorEastAsia"/>
        </w:rPr>
        <w:t xml:space="preserve">in the observed tundra environment </w:t>
      </w:r>
      <w:r>
        <w:rPr>
          <w:rFonts w:eastAsiaTheme="minorEastAsia"/>
        </w:rPr>
        <w:t>scatters disproportionally to its</w:t>
      </w:r>
      <w:r w:rsidR="00CC10D0">
        <w:rPr>
          <w:rFonts w:eastAsiaTheme="minorEastAsia"/>
        </w:rPr>
        <w:t xml:space="preserve"> limited</w:t>
      </w:r>
      <w:r>
        <w:rPr>
          <w:rFonts w:eastAsiaTheme="minorEastAsia"/>
        </w:rPr>
        <w:t xml:space="preserve"> SWE</w:t>
      </w:r>
      <w:r w:rsidR="00966980">
        <w:rPr>
          <w:rFonts w:eastAsiaTheme="minorEastAsia"/>
        </w:rPr>
        <w:t xml:space="preserve"> or thickness</w:t>
      </w:r>
      <w:r>
        <w:rPr>
          <w:rFonts w:eastAsiaTheme="minorEastAsia"/>
        </w:rPr>
        <w:t>.</w:t>
      </w:r>
    </w:p>
    <w:p w:rsidR="00084C19" w:rsidRDefault="00084C19" w:rsidP="00084C19">
      <w:pPr>
        <w:spacing w:line="480" w:lineRule="auto"/>
        <w:rPr>
          <w:rFonts w:eastAsiaTheme="minorEastAsia"/>
        </w:rPr>
      </w:pPr>
      <w:r>
        <w:rPr>
          <w:rFonts w:eastAsiaTheme="minorEastAsia"/>
        </w:rPr>
        <w:t>Evaluation of background sensitivity at the same snow pits, via standard deviation of surface height (</w:t>
      </w:r>
      <w:r>
        <w:rPr>
          <w:rFonts w:eastAsiaTheme="minorEastAsia"/>
          <w:i/>
        </w:rPr>
        <w:t>h</w:t>
      </w:r>
      <w:r>
        <w:rPr>
          <w:rFonts w:eastAsiaTheme="minorEastAsia"/>
        </w:rPr>
        <w:t xml:space="preserve">), showed sensitivity at 9.6 GHz (2.2-4.1 dB) to be nearly twice that of 17.2 GHz (1.3-2.5 dB). Although snow volume contributions were expected at both frequencies (Rott et. al. 2010), sensitivity to </w:t>
      </w:r>
      <w:r>
        <w:rPr>
          <w:rFonts w:eastAsiaTheme="minorEastAsia"/>
          <w:i/>
        </w:rPr>
        <w:t>h</w:t>
      </w:r>
      <w:r>
        <w:rPr>
          <w:rFonts w:eastAsiaTheme="minorEastAsia"/>
        </w:rPr>
        <w:t xml:space="preserve"> confirmed that the evaluated snow pits were of insufficient depth to fully decouple spatial variations in the background signal. A lack of convergence in Figure </w:t>
      </w:r>
      <w:r w:rsidR="008E5E5E">
        <w:rPr>
          <w:rFonts w:eastAsiaTheme="minorEastAsia"/>
        </w:rPr>
        <w:t>7</w:t>
      </w:r>
      <w:r>
        <w:rPr>
          <w:rFonts w:eastAsiaTheme="minorEastAsia"/>
        </w:rPr>
        <w:t xml:space="preserve">B supports this finding at 9.6 GHz, </w:t>
      </w:r>
      <w:r w:rsidR="009E2469">
        <w:rPr>
          <w:rFonts w:eastAsiaTheme="minorEastAsia"/>
        </w:rPr>
        <w:t>showing</w:t>
      </w:r>
      <w:r>
        <w:rPr>
          <w:rFonts w:eastAsiaTheme="minorEastAsia"/>
        </w:rPr>
        <w:t xml:space="preserve"> high diversity in the optimized background reflectivity, and general insensitivity to changes in snow configuration. Conversely at 17.2 GHz, the range of SnowSAR measurements (4.2 dB) was much larger than the anticipated background sensitivity, allowing conclusion that the snow volume was the substantive contributor to spatial backscatter variability.</w:t>
      </w:r>
      <w:r w:rsidR="003835C3">
        <w:rPr>
          <w:rFonts w:eastAsiaTheme="minorEastAsia"/>
        </w:rPr>
        <w:t xml:space="preserve"> In future study, the acquisition</w:t>
      </w:r>
      <w:r w:rsidR="00FA3848">
        <w:rPr>
          <w:rFonts w:eastAsiaTheme="minorEastAsia"/>
        </w:rPr>
        <w:t xml:space="preserve"> of early season measurements may provide a means</w:t>
      </w:r>
      <w:r w:rsidR="008E5E5E">
        <w:rPr>
          <w:rFonts w:eastAsiaTheme="minorEastAsia"/>
        </w:rPr>
        <w:t xml:space="preserve"> </w:t>
      </w:r>
      <w:r w:rsidR="003835C3">
        <w:rPr>
          <w:rFonts w:eastAsiaTheme="minorEastAsia"/>
        </w:rPr>
        <w:t>to con</w:t>
      </w:r>
      <w:r w:rsidR="008E5E5E">
        <w:rPr>
          <w:rFonts w:eastAsiaTheme="minorEastAsia"/>
        </w:rPr>
        <w:t>strain background contributions</w:t>
      </w:r>
      <w:r w:rsidR="00FA3848">
        <w:rPr>
          <w:rFonts w:eastAsiaTheme="minorEastAsia"/>
        </w:rPr>
        <w:t xml:space="preserve"> including soil and vegetation</w:t>
      </w:r>
      <w:r w:rsidR="008E5E5E">
        <w:rPr>
          <w:rFonts w:eastAsiaTheme="minorEastAsia"/>
        </w:rPr>
        <w:t>.</w:t>
      </w:r>
    </w:p>
    <w:p w:rsidR="00CC10D0" w:rsidRPr="00CC10D0" w:rsidRDefault="00084C19" w:rsidP="00084C19">
      <w:pPr>
        <w:spacing w:line="480" w:lineRule="auto"/>
        <w:rPr>
          <w:rFonts w:eastAsiaTheme="minorEastAsia"/>
        </w:rPr>
      </w:pPr>
      <w:r>
        <w:rPr>
          <w:rFonts w:eastAsiaTheme="minorEastAsia"/>
        </w:rPr>
        <w:t xml:space="preserve">Apparent insensitivity of SnowSAR backscatter to increasing SWE confirmed that factors other than snow mass were robust contributors across the basin (Figure </w:t>
      </w:r>
      <w:r w:rsidR="003835C3">
        <w:rPr>
          <w:rFonts w:eastAsiaTheme="minorEastAsia"/>
        </w:rPr>
        <w:t>10</w:t>
      </w:r>
      <w:r>
        <w:rPr>
          <w:rFonts w:eastAsiaTheme="minorEastAsia"/>
        </w:rPr>
        <w:t xml:space="preserve">). Using 1-layer MEMLS simulations, it was demonstrated that the observed range of </w:t>
      </w:r>
      <m:oMath>
        <m:sSub>
          <m:sSubPr>
            <m:ctrlPr>
              <w:rPr>
                <w:rFonts w:ascii="Cambria Math" w:hAnsi="Cambria Math"/>
                <w:i/>
              </w:rPr>
            </m:ctrlPr>
          </m:sSubPr>
          <m:e>
            <m:r>
              <w:rPr>
                <w:rFonts w:ascii="Cambria Math" w:hAnsi="Cambria Math"/>
              </w:rPr>
              <m:t>l</m:t>
            </m:r>
          </m:e>
          <m:sub>
            <m:r>
              <w:rPr>
                <w:rFonts w:ascii="Cambria Math" w:hAnsi="Cambria Math"/>
              </w:rPr>
              <m:t>ex</m:t>
            </m:r>
          </m:sub>
        </m:sSub>
      </m:oMath>
      <w:r>
        <w:rPr>
          <w:rFonts w:eastAsiaTheme="minorEastAsia"/>
        </w:rPr>
        <w:t xml:space="preserve"> was capable of driving backscatter variations comparable to the full range of SnowSAR</w:t>
      </w:r>
      <w:r w:rsidR="00CC10D0">
        <w:rPr>
          <w:rFonts w:eastAsiaTheme="minorEastAsia"/>
        </w:rPr>
        <w:t xml:space="preserve"> </w:t>
      </w:r>
      <m:oMath>
        <m:sSubSup>
          <m:sSubSupPr>
            <m:ctrlPr>
              <w:rPr>
                <w:rFonts w:ascii="Cambria Math" w:hAnsi="Cambria Math" w:cs="Helvetica"/>
                <w:vertAlign w:val="superscript"/>
              </w:rPr>
            </m:ctrlPr>
          </m:sSubSupPr>
          <m:e>
            <m:r>
              <w:rPr>
                <w:rFonts w:ascii="Cambria Math" w:hAnsi="Cambria Math" w:cs="Helvetica"/>
                <w:vertAlign w:val="superscript"/>
              </w:rPr>
              <m:t>σ</m:t>
            </m:r>
          </m:e>
          <m:sub>
            <m:r>
              <w:rPr>
                <w:rFonts w:ascii="Cambria Math" w:hAnsi="Cambria Math" w:cs="Helvetica"/>
                <w:vertAlign w:val="superscript"/>
              </w:rPr>
              <m:t>vv</m:t>
            </m:r>
          </m:sub>
          <m:sup>
            <m:r>
              <w:rPr>
                <w:rFonts w:ascii="Cambria Math" w:hAnsi="Cambria Math" w:cs="Helvetica"/>
                <w:vertAlign w:val="superscript"/>
              </w:rPr>
              <m:t>0</m:t>
            </m:r>
          </m:sup>
        </m:sSubSup>
      </m:oMath>
      <w:r w:rsidR="00CC10D0">
        <w:rPr>
          <w:rFonts w:eastAsiaTheme="minorEastAsia"/>
        </w:rPr>
        <w:t xml:space="preserve"> </w:t>
      </w:r>
      <w:r>
        <w:rPr>
          <w:rFonts w:eastAsiaTheme="minorEastAsia"/>
        </w:rPr>
        <w:t xml:space="preserve">(Figure </w:t>
      </w:r>
      <w:r w:rsidR="007B3467">
        <w:rPr>
          <w:rFonts w:eastAsiaTheme="minorEastAsia"/>
        </w:rPr>
        <w:t>10</w:t>
      </w:r>
      <w:r>
        <w:rPr>
          <w:rFonts w:eastAsiaTheme="minorEastAsia"/>
        </w:rPr>
        <w:t xml:space="preserve">). The simulated positive relationship between SWE and backscatter was predicated on an assumption of spatially invariant microstructure (i.e. static </w:t>
      </w:r>
      <m:oMath>
        <m:sSub>
          <m:sSubPr>
            <m:ctrlPr>
              <w:rPr>
                <w:rFonts w:ascii="Cambria Math" w:hAnsi="Cambria Math"/>
                <w:i/>
              </w:rPr>
            </m:ctrlPr>
          </m:sSubPr>
          <m:e>
            <m:r>
              <w:rPr>
                <w:rFonts w:ascii="Cambria Math" w:hAnsi="Cambria Math"/>
              </w:rPr>
              <m:t>l</m:t>
            </m:r>
          </m:e>
          <m:sub>
            <m:r>
              <m:rPr>
                <m:nor/>
              </m:rPr>
              <w:rPr>
                <w:rFonts w:ascii="Cambria Math" w:hAnsi="Cambria Math"/>
              </w:rPr>
              <m:t>ex</m:t>
            </m:r>
          </m:sub>
        </m:sSub>
      </m:oMath>
      <w:r>
        <w:rPr>
          <w:rFonts w:eastAsiaTheme="minorEastAsia"/>
        </w:rPr>
        <w:t xml:space="preserve"> input), an undoubtedly invalid condition for both sites. Extended 2-layer simulations used to conceptualize microstructural </w:t>
      </w:r>
      <w:r w:rsidR="006D71A4">
        <w:rPr>
          <w:rFonts w:eastAsiaTheme="minorEastAsia"/>
        </w:rPr>
        <w:t>variability</w:t>
      </w:r>
      <w:r>
        <w:rPr>
          <w:rFonts w:eastAsiaTheme="minorEastAsia"/>
        </w:rPr>
        <w:t xml:space="preserve"> </w:t>
      </w:r>
      <w:r w:rsidR="006D71A4">
        <w:rPr>
          <w:rFonts w:eastAsiaTheme="minorEastAsia"/>
        </w:rPr>
        <w:t>showed</w:t>
      </w:r>
      <w:r>
        <w:rPr>
          <w:rFonts w:eastAsiaTheme="minorEastAsia"/>
        </w:rPr>
        <w:t xml:space="preserve"> that slab dominated changes in snow volume contribute</w:t>
      </w:r>
      <w:r w:rsidR="006C5790">
        <w:rPr>
          <w:rFonts w:eastAsiaTheme="minorEastAsia"/>
        </w:rPr>
        <w:t>d</w:t>
      </w:r>
      <w:r>
        <w:rPr>
          <w:rFonts w:eastAsiaTheme="minorEastAsia"/>
        </w:rPr>
        <w:t xml:space="preserve"> little to total backscatter over the already strong dep</w:t>
      </w:r>
      <w:r w:rsidR="00CC10D0">
        <w:rPr>
          <w:rFonts w:eastAsiaTheme="minorEastAsia"/>
        </w:rPr>
        <w:t xml:space="preserve">th hoar and background signals. </w:t>
      </w:r>
      <w:r>
        <w:rPr>
          <w:rFonts w:eastAsiaTheme="minorEastAsia"/>
          <w:color w:val="000000" w:themeColor="text1"/>
        </w:rPr>
        <w:t>The modeled behavior indicates a shift from thermodynamic to wind process control on backscatter, where areas of thin and heavily faceted snowpack scatter comparatively to substantially thickener slab dominated snowpack. This shift may explain the flat response of the SnowSAR backscatter where depth dependent variations in microstructure counter the expected increase in backscatter.</w:t>
      </w:r>
      <w:r w:rsidR="00427890">
        <w:rPr>
          <w:rFonts w:eastAsiaTheme="minorEastAsia"/>
          <w:color w:val="000000" w:themeColor="text1"/>
        </w:rPr>
        <w:t xml:space="preserve"> </w:t>
      </w:r>
    </w:p>
    <w:p w:rsidR="00084C19" w:rsidRPr="00427890" w:rsidRDefault="00084C19" w:rsidP="00084C19">
      <w:pPr>
        <w:spacing w:line="480" w:lineRule="auto"/>
        <w:rPr>
          <w:rFonts w:eastAsiaTheme="minorEastAsia"/>
          <w:color w:val="000000" w:themeColor="text1"/>
        </w:rPr>
      </w:pPr>
      <w:r>
        <w:rPr>
          <w:rFonts w:eastAsiaTheme="minorEastAsia"/>
        </w:rPr>
        <w:t xml:space="preserve">Passive microwave studies have demonstrated that physically based snow models, when carefully treated, can provide microstructural information needed to improve model simulations and </w:t>
      </w:r>
      <w:r w:rsidR="006D71A4">
        <w:rPr>
          <w:rFonts w:eastAsiaTheme="minorEastAsia"/>
        </w:rPr>
        <w:t xml:space="preserve">enable </w:t>
      </w:r>
      <w:r>
        <w:rPr>
          <w:rFonts w:eastAsiaTheme="minorEastAsia"/>
        </w:rPr>
        <w:t xml:space="preserve">retrieval of SWE </w:t>
      </w:r>
      <w:r w:rsidRPr="00F848F9">
        <w:rPr>
          <w:rFonts w:eastAsiaTheme="minorEastAsia"/>
        </w:rPr>
        <w:t>(Kelly et al., 2003; Langlois et al., 2012; Sandells et. al. 2017; Kontu et al., 2017)</w:t>
      </w:r>
      <w:r>
        <w:rPr>
          <w:rFonts w:eastAsiaTheme="minorEastAsia"/>
        </w:rPr>
        <w:t xml:space="preserve">. In the case of TVC, and other tundra environments, a key consideration </w:t>
      </w:r>
      <w:r w:rsidR="006D71A4">
        <w:rPr>
          <w:rFonts w:eastAsiaTheme="minorEastAsia"/>
        </w:rPr>
        <w:t xml:space="preserve">to decoupling the microstructural signals </w:t>
      </w:r>
      <w:r>
        <w:rPr>
          <w:rFonts w:eastAsiaTheme="minorEastAsia"/>
        </w:rPr>
        <w:t>will be the ability of physically based snow models to characterize the relevant snow processes of wind redistribution and temperature gradient metamorphosis. Given that satellite observations are likely to be of much lower resolution (&gt;50 m), the influence of smaller footprint features resolved by SnowSAR may be reduced, thus minimizing the need to strictly resolve spatial variations in microstructure. Much like background contributions (see Rott et al., 2010), spatial complexities related to microstructure may also be easier to constrain when viewed as a seasonal evolution where baselines (snow-free or sequential acquisitions) can be used to decompose change from a known state.</w:t>
      </w:r>
    </w:p>
    <w:p w:rsidR="00084C19" w:rsidRDefault="00084C19" w:rsidP="00084C19">
      <w:pPr>
        <w:spacing w:line="480" w:lineRule="auto"/>
      </w:pPr>
      <w:r>
        <w:t xml:space="preserve">At </w:t>
      </w:r>
      <w:r w:rsidRPr="00D023FC">
        <w:t xml:space="preserve">present, space-borne radar is </w:t>
      </w:r>
      <w:r>
        <w:t>one of few</w:t>
      </w:r>
      <w:r w:rsidRPr="00D023FC">
        <w:t xml:space="preserve"> concept</w:t>
      </w:r>
      <w:r>
        <w:t>s</w:t>
      </w:r>
      <w:r w:rsidRPr="00D023FC">
        <w:t xml:space="preserve"> which can combine a wide swath with moderate to high resolution measurements suitable for </w:t>
      </w:r>
      <w:r>
        <w:t>operational monitoring</w:t>
      </w:r>
      <w:r w:rsidRPr="00D023FC">
        <w:t xml:space="preserve"> of volumetric snow properties. </w:t>
      </w:r>
      <w:r w:rsidRPr="003B0C90">
        <w:t xml:space="preserve">It is clear that </w:t>
      </w:r>
      <w:r>
        <w:t>advancement of</w:t>
      </w:r>
      <w:r w:rsidRPr="003B0C90">
        <w:t xml:space="preserve"> radar</w:t>
      </w:r>
      <w:r>
        <w:t>-based</w:t>
      </w:r>
      <w:r w:rsidRPr="003B0C90">
        <w:t xml:space="preserve"> retrieval</w:t>
      </w:r>
      <w:r>
        <w:t>s of snow mass must occur</w:t>
      </w:r>
      <w:r w:rsidRPr="003B0C90">
        <w:t xml:space="preserve"> alongside improved understanding, measurement, and modeling of</w:t>
      </w:r>
      <w:r>
        <w:t xml:space="preserve"> microstructure and background signals.</w:t>
      </w:r>
      <w:r w:rsidRPr="009D2A4F">
        <w:t xml:space="preserve"> </w:t>
      </w:r>
      <w:r>
        <w:t xml:space="preserve">The expansive and coincident nature of the TVC datasets provided an opportunity to evaluate forward model skill and to diagnose geophysical contributors in a characteristic tundra environment. Similar </w:t>
      </w:r>
      <w:r w:rsidRPr="003B0C90">
        <w:t xml:space="preserve">analysis for </w:t>
      </w:r>
      <w:r>
        <w:t xml:space="preserve">other </w:t>
      </w:r>
      <w:r w:rsidRPr="003B0C90">
        <w:t xml:space="preserve">climate classes of snow cover </w:t>
      </w:r>
      <w:r>
        <w:t xml:space="preserve">will be vital </w:t>
      </w:r>
      <w:r w:rsidRPr="003B0C90">
        <w:t xml:space="preserve">because of the </w:t>
      </w:r>
      <w:r>
        <w:t xml:space="preserve">inherent </w:t>
      </w:r>
      <w:r w:rsidRPr="003B0C90">
        <w:t>link between</w:t>
      </w:r>
      <w:r>
        <w:t xml:space="preserve"> snow</w:t>
      </w:r>
      <w:r w:rsidRPr="003B0C90">
        <w:t xml:space="preserve"> micr</w:t>
      </w:r>
      <w:r>
        <w:t xml:space="preserve">ostructure and radar signatures. This is a </w:t>
      </w:r>
      <w:r w:rsidRPr="003B0C90">
        <w:t xml:space="preserve">fundamental gap </w:t>
      </w:r>
      <w:r>
        <w:t>which</w:t>
      </w:r>
      <w:r w:rsidRPr="003B0C90">
        <w:t xml:space="preserve"> must be addressed</w:t>
      </w:r>
      <w:r>
        <w:t xml:space="preserve"> at multiple frequencies</w:t>
      </w:r>
      <w:r w:rsidRPr="003B0C90">
        <w:t xml:space="preserve"> in order to </w:t>
      </w:r>
      <w:r>
        <w:t>further</w:t>
      </w:r>
      <w:r w:rsidRPr="003B0C90">
        <w:t xml:space="preserve"> the justification for future sp</w:t>
      </w:r>
      <w:r>
        <w:t>ace borne radar mission concepts.</w:t>
      </w:r>
    </w:p>
    <w:p w:rsidR="00F35226" w:rsidRDefault="00F35226" w:rsidP="00F35226">
      <w:pPr>
        <w:pStyle w:val="Heading1"/>
        <w:spacing w:line="360" w:lineRule="auto"/>
      </w:pPr>
      <w:r w:rsidRPr="00F34C44">
        <w:t>Acknowledgements</w:t>
      </w:r>
    </w:p>
    <w:p w:rsidR="00F35226" w:rsidRDefault="00F35226" w:rsidP="00F35226">
      <w:pPr>
        <w:spacing w:line="480" w:lineRule="auto"/>
      </w:pPr>
      <w:r>
        <w:t>Trail Valley Creek activities were supported by the European Space Agency, University of Alaska Fairbanks, and Environment and Climate Change Canada. Thanks to Arvids Silis, Tom Watts, Charles Papasodoro, Chris Hiemstra, Art Galvin, Glen Liston, Grant Gunn, and Claude Duguay, for their contributions to the TVC field campaign. Field and airborne activities were jointly supported by Environment and Climate Change Canada, Canadian Space Agency, European Space Agency, and NASA. Thank you to Ghislain Picard and the two anonymous reviewers for their efforts to improve the quality of this paper.</w:t>
      </w:r>
    </w:p>
    <w:p w:rsidR="00B9338E" w:rsidRDefault="00B9338E">
      <w:pPr>
        <w:jc w:val="left"/>
        <w:rPr>
          <w:rFonts w:eastAsiaTheme="majorEastAsia" w:cstheme="majorBidi"/>
          <w:b/>
          <w:bCs/>
          <w:color w:val="000000" w:themeColor="text1"/>
          <w:szCs w:val="28"/>
        </w:rPr>
      </w:pPr>
      <w:r>
        <w:br w:type="page"/>
      </w:r>
    </w:p>
    <w:p w:rsidR="00F35226" w:rsidRDefault="00F35226" w:rsidP="00F35226">
      <w:pPr>
        <w:pStyle w:val="Heading1"/>
      </w:pPr>
      <w:r>
        <w:t>References</w:t>
      </w:r>
    </w:p>
    <w:p w:rsidR="003C21A0" w:rsidRDefault="00F35226" w:rsidP="003C21A0">
      <w:pPr>
        <w:ind w:left="284" w:hanging="284"/>
      </w:pPr>
      <w:r w:rsidRPr="005B2C52">
        <w:t xml:space="preserve">Bernier, N. B., Bélair, S., Bilodeau, B., and Tong, L. (2011). </w:t>
      </w:r>
      <w:r>
        <w:t xml:space="preserve">Near-surface and land surface forecast system of the Vancouver 2010 Winter Olympic and Paralympic Games. </w:t>
      </w:r>
      <w:r w:rsidRPr="005B2C52">
        <w:rPr>
          <w:iCs/>
        </w:rPr>
        <w:t>Journal of Hydrometeorology</w:t>
      </w:r>
      <w:r w:rsidRPr="0014089C">
        <w:t xml:space="preserve">, </w:t>
      </w:r>
      <w:r w:rsidRPr="005B2C52">
        <w:rPr>
          <w:iCs/>
        </w:rPr>
        <w:t>12</w:t>
      </w:r>
      <w:r w:rsidRPr="0014089C">
        <w:t>(4)</w:t>
      </w:r>
      <w:r>
        <w:t xml:space="preserve">, 508-530, doi: </w:t>
      </w:r>
      <w:r w:rsidRPr="00544F92">
        <w:t>10.1175/2010JHM1274.1</w:t>
      </w:r>
      <w:r>
        <w:t>.</w:t>
      </w:r>
      <w:r w:rsidR="003C21A0">
        <w:t>\</w:t>
      </w:r>
    </w:p>
    <w:p w:rsidR="003C21A0" w:rsidRPr="00AC3D33" w:rsidRDefault="003C21A0" w:rsidP="00F35226">
      <w:pPr>
        <w:ind w:left="284" w:hanging="284"/>
      </w:pPr>
      <w:r>
        <w:t xml:space="preserve">Brucker, L., Royer, A., Picard, G., Langlois, A., and Fily, M. (2011). Hourly simulations of the microwave brightness temperature of seasonal snow in Quebec, Canada, using a coupled snow evolution–emission model. </w:t>
      </w:r>
      <w:r w:rsidRPr="003C21A0">
        <w:rPr>
          <w:iCs/>
        </w:rPr>
        <w:t>Remote Sensing of Environment</w:t>
      </w:r>
      <w:r w:rsidRPr="003C21A0">
        <w:t xml:space="preserve">, </w:t>
      </w:r>
      <w:r w:rsidRPr="003C21A0">
        <w:rPr>
          <w:iCs/>
        </w:rPr>
        <w:t>115</w:t>
      </w:r>
      <w:r w:rsidRPr="003C21A0">
        <w:t>(8),</w:t>
      </w:r>
      <w:r>
        <w:t xml:space="preserve"> 1966-1977, doi: </w:t>
      </w:r>
      <w:r w:rsidRPr="003C21A0">
        <w:t>10.1016/j.rse.2011.03.019</w:t>
      </w:r>
      <w:r>
        <w:t>.</w:t>
      </w:r>
    </w:p>
    <w:p w:rsidR="00F35226" w:rsidRDefault="00F35226" w:rsidP="00F35226">
      <w:pPr>
        <w:ind w:left="284" w:hanging="284"/>
      </w:pPr>
      <w:r w:rsidRPr="005B2C52">
        <w:t xml:space="preserve">Carrera, M. L., Bélair, S., Fortin, V., Bilodeau, B., Charpentier, D., and Doré, I. (2010). </w:t>
      </w:r>
      <w:r>
        <w:t xml:space="preserve">Evaluation of snowpack simulations over the Canadian Rockies with an experimental hydrometeorological modeling system. </w:t>
      </w:r>
      <w:r w:rsidRPr="005B2C52">
        <w:rPr>
          <w:iCs/>
        </w:rPr>
        <w:t>Journal of Hydrometeorology</w:t>
      </w:r>
      <w:r w:rsidRPr="0014089C">
        <w:t xml:space="preserve">, </w:t>
      </w:r>
      <w:r w:rsidRPr="005B2C52">
        <w:rPr>
          <w:iCs/>
        </w:rPr>
        <w:t>11</w:t>
      </w:r>
      <w:r w:rsidRPr="0014089C">
        <w:t>(5</w:t>
      </w:r>
      <w:r>
        <w:t xml:space="preserve">), 1123-1140, doi </w:t>
      </w:r>
      <w:r w:rsidRPr="00544F92">
        <w:t>10.1175/2010JHM1274.1</w:t>
      </w:r>
      <w:r>
        <w:t>.</w:t>
      </w:r>
    </w:p>
    <w:p w:rsidR="00F35226" w:rsidRDefault="00F35226" w:rsidP="00F35226">
      <w:pPr>
        <w:ind w:left="284" w:hanging="284"/>
      </w:pPr>
      <w:r w:rsidRPr="005B2C52">
        <w:t xml:space="preserve">Chang, W., Tan, S., Lemmetyinen, J., Tsang, L., Xu, X., and Yueh, S. H. (2014). </w:t>
      </w:r>
      <w:r>
        <w:t xml:space="preserve">Dense media radiative transfer applied to SnowScat and SnowSAR. </w:t>
      </w:r>
      <w:r w:rsidRPr="005B2C52">
        <w:rPr>
          <w:iCs/>
        </w:rPr>
        <w:t>IEEE Journal of Selected Topics in Applied Earth Observations and Remote Sensing</w:t>
      </w:r>
      <w:r w:rsidRPr="00A27ACB">
        <w:t xml:space="preserve">, </w:t>
      </w:r>
      <w:r w:rsidRPr="005B2C52">
        <w:rPr>
          <w:iCs/>
        </w:rPr>
        <w:t>7</w:t>
      </w:r>
      <w:r>
        <w:t xml:space="preserve">(9), 3811-3825, doi: </w:t>
      </w:r>
      <w:r w:rsidRPr="00544F92">
        <w:t>10.1109/JSTARS.2014.2343519</w:t>
      </w:r>
      <w:r>
        <w:t>.</w:t>
      </w:r>
    </w:p>
    <w:p w:rsidR="00F35226" w:rsidRDefault="00F35226" w:rsidP="00F35226">
      <w:pPr>
        <w:ind w:left="284" w:hanging="284"/>
      </w:pPr>
      <w:r>
        <w:t xml:space="preserve">Colbeck, S. C. (1983). Theory of metamorphism of dry snow. </w:t>
      </w:r>
      <w:r w:rsidRPr="005B2C52">
        <w:rPr>
          <w:iCs/>
        </w:rPr>
        <w:t>Journal of Geophysical Research: Oceans</w:t>
      </w:r>
      <w:r w:rsidRPr="00613192">
        <w:t xml:space="preserve">, </w:t>
      </w:r>
      <w:r w:rsidRPr="005B2C52">
        <w:rPr>
          <w:iCs/>
        </w:rPr>
        <w:t>88</w:t>
      </w:r>
      <w:r w:rsidRPr="00613192">
        <w:t>(</w:t>
      </w:r>
      <w:r>
        <w:t>C9), 5475-5482, doi:</w:t>
      </w:r>
      <w:r w:rsidRPr="00483119">
        <w:rPr>
          <w:rStyle w:val="LineNumber"/>
        </w:rPr>
        <w:t xml:space="preserve"> </w:t>
      </w:r>
      <w:r>
        <w:rPr>
          <w:rStyle w:val="article-headermeta-info-data"/>
        </w:rPr>
        <w:t>10.1029/JC088iC09p05475</w:t>
      </w:r>
      <w:r>
        <w:t>.</w:t>
      </w:r>
    </w:p>
    <w:p w:rsidR="00F35226" w:rsidRDefault="00F35226" w:rsidP="00F35226">
      <w:pPr>
        <w:ind w:left="284" w:hanging="284"/>
      </w:pPr>
      <w:r>
        <w:t xml:space="preserve">Debye, P., Anderson Jr, H. R., and Brumberger, H. (1957). Scattering by an inhomogeneous solid. II. The correlation function and its application. </w:t>
      </w:r>
      <w:r>
        <w:rPr>
          <w:i/>
          <w:iCs/>
        </w:rPr>
        <w:t>Journal of applied Physics</w:t>
      </w:r>
      <w:r>
        <w:t xml:space="preserve">, </w:t>
      </w:r>
      <w:r>
        <w:rPr>
          <w:i/>
          <w:iCs/>
        </w:rPr>
        <w:t>28</w:t>
      </w:r>
      <w:r>
        <w:t xml:space="preserve">(6), 679-683, doi: </w:t>
      </w:r>
      <w:r w:rsidRPr="00544F92">
        <w:t>10.1063/1.1698419</w:t>
      </w:r>
      <w:r>
        <w:t>.</w:t>
      </w:r>
    </w:p>
    <w:p w:rsidR="00F35226" w:rsidRPr="00777B24" w:rsidRDefault="00F35226" w:rsidP="00F35226">
      <w:pPr>
        <w:ind w:left="284" w:hanging="284"/>
      </w:pPr>
      <w:r>
        <w:t xml:space="preserve">Derksen, C., Silis, A., Sturm, M., Holmgren, J., Liston, G. E., Huntington, H., and Solie, D. (2009). Northwest Territories and Nunavut snow characteristics from a subarctic traverse: Implications for passive microwave remote sensing. </w:t>
      </w:r>
      <w:r w:rsidRPr="005B2C52">
        <w:rPr>
          <w:iCs/>
        </w:rPr>
        <w:t>Journal of Hydrometeorology</w:t>
      </w:r>
      <w:r>
        <w:t xml:space="preserve">, </w:t>
      </w:r>
      <w:r w:rsidRPr="005B2C52">
        <w:rPr>
          <w:iCs/>
        </w:rPr>
        <w:t>10</w:t>
      </w:r>
      <w:r>
        <w:t xml:space="preserve">(2), 448-463, doi: </w:t>
      </w:r>
      <w:r w:rsidRPr="00544F92">
        <w:t>10.1175/2008JHM1074.1</w:t>
      </w:r>
      <w:r>
        <w:t>.</w:t>
      </w:r>
    </w:p>
    <w:p w:rsidR="00F35226" w:rsidRDefault="00F35226" w:rsidP="00F35226">
      <w:pPr>
        <w:ind w:left="284" w:hanging="284"/>
      </w:pPr>
      <w:r w:rsidRPr="005B2C52">
        <w:t xml:space="preserve">Di Leo, D., Coccia, A., Meta, A., and Corucci, L. (2015). </w:t>
      </w:r>
      <w:r>
        <w:t xml:space="preserve">Radiometric calibration of the SnowSAR images of sub-artic open tundra watershed in Canada, IET International Radar Conference 2015, doi: </w:t>
      </w:r>
      <w:r w:rsidRPr="00544F92">
        <w:t>10.1049/cp.2015.1117</w:t>
      </w:r>
      <w:r>
        <w:t>.</w:t>
      </w:r>
    </w:p>
    <w:p w:rsidR="00F35226" w:rsidRDefault="00F35226" w:rsidP="00F35226">
      <w:pPr>
        <w:ind w:left="284" w:hanging="284"/>
      </w:pPr>
      <w:r w:rsidRPr="005B2C52">
        <w:rPr>
          <w:lang w:val="fr-CA"/>
        </w:rPr>
        <w:t xml:space="preserve">Domine, F., Taillandier, A. S., </w:t>
      </w:r>
      <w:r>
        <w:rPr>
          <w:lang w:val="fr-CA"/>
        </w:rPr>
        <w:t>and</w:t>
      </w:r>
      <w:r w:rsidRPr="005B2C52">
        <w:rPr>
          <w:lang w:val="fr-CA"/>
        </w:rPr>
        <w:t xml:space="preserve"> Simpson, W. R. (2007). </w:t>
      </w:r>
      <w:r>
        <w:t xml:space="preserve">A parameterization of the specific surface area of seasonal snow for field use and for models of snowpack evolution. </w:t>
      </w:r>
      <w:r w:rsidRPr="005B2C52">
        <w:rPr>
          <w:iCs/>
        </w:rPr>
        <w:t>Journal of Geophysical Research: Earth Surface</w:t>
      </w:r>
      <w:r w:rsidRPr="003F5F1E">
        <w:t xml:space="preserve">, </w:t>
      </w:r>
      <w:r w:rsidRPr="005B2C52">
        <w:rPr>
          <w:iCs/>
        </w:rPr>
        <w:t>112</w:t>
      </w:r>
      <w:r>
        <w:t xml:space="preserve">(F2), doi: </w:t>
      </w:r>
      <w:r>
        <w:rPr>
          <w:rStyle w:val="article-headermeta-info-data"/>
        </w:rPr>
        <w:t>10.1029/2006JF000512</w:t>
      </w:r>
      <w:r>
        <w:t>.</w:t>
      </w:r>
    </w:p>
    <w:p w:rsidR="00F35226" w:rsidRPr="000A0938" w:rsidRDefault="00F35226" w:rsidP="00F35226">
      <w:pPr>
        <w:ind w:left="284" w:hanging="284"/>
      </w:pPr>
      <w:r>
        <w:t xml:space="preserve">Domine, F., Gallet, J. C., Bock, J., and Morin, S. (2012). Structure, specific surface area and thermal conductivity of the snowpack around Barrow, Alaska. </w:t>
      </w:r>
      <w:r w:rsidRPr="005B2C52">
        <w:rPr>
          <w:iCs/>
        </w:rPr>
        <w:t>Journal of Geophysical Research: Atmospheres</w:t>
      </w:r>
      <w:r w:rsidRPr="005F6A5A">
        <w:t>,</w:t>
      </w:r>
      <w:r>
        <w:t xml:space="preserve"> </w:t>
      </w:r>
      <w:r w:rsidRPr="005B2C52">
        <w:rPr>
          <w:iCs/>
        </w:rPr>
        <w:t>117</w:t>
      </w:r>
      <w:r>
        <w:t xml:space="preserve">(D14), doi: </w:t>
      </w:r>
      <w:r>
        <w:rPr>
          <w:rStyle w:val="article-headermeta-info-data"/>
        </w:rPr>
        <w:t>10.1029/2011JD016647</w:t>
      </w:r>
      <w:r>
        <w:t>.</w:t>
      </w:r>
    </w:p>
    <w:p w:rsidR="00F35226" w:rsidRDefault="00F35226" w:rsidP="00F35226">
      <w:pPr>
        <w:ind w:left="284" w:hanging="284"/>
      </w:pPr>
      <w:r>
        <w:t xml:space="preserve">Durand, M., Kim, E. J., and Margulis, S. A. (2008). Quantifying uncertainty in modeling snow microwave radiance for a mountain snowpack at the point-scale, including stratigraphic effects. </w:t>
      </w:r>
      <w:r w:rsidRPr="005B2C52">
        <w:rPr>
          <w:iCs/>
        </w:rPr>
        <w:t>IEEE Transactions on Geoscience and Remote Sensing</w:t>
      </w:r>
      <w:r w:rsidRPr="00C33215">
        <w:t xml:space="preserve">, </w:t>
      </w:r>
      <w:r w:rsidRPr="005B2C52">
        <w:rPr>
          <w:iCs/>
        </w:rPr>
        <w:t>46</w:t>
      </w:r>
      <w:r w:rsidRPr="00C33215">
        <w:t>(</w:t>
      </w:r>
      <w:r>
        <w:t xml:space="preserve">6), 1753-1767, doi: </w:t>
      </w:r>
      <w:r w:rsidRPr="005352EA">
        <w:t>10.1109/TGRS.2008.916221</w:t>
      </w:r>
      <w:r>
        <w:t>.</w:t>
      </w:r>
    </w:p>
    <w:p w:rsidR="00F35226" w:rsidRDefault="00F35226" w:rsidP="00F35226">
      <w:pPr>
        <w:ind w:left="284" w:hanging="284"/>
      </w:pPr>
      <w:r>
        <w:t xml:space="preserve">Essery, R., and Pomeroy, J. (2004). Vegetation and topographic control of wind-blown snow distributions in distributed and aggregated simulations for an Arctic tundra basin. </w:t>
      </w:r>
      <w:r w:rsidRPr="005B2C52">
        <w:rPr>
          <w:iCs/>
        </w:rPr>
        <w:t>Journal of Hydrometeorology</w:t>
      </w:r>
      <w:r w:rsidRPr="005F6A5A">
        <w:t xml:space="preserve">, </w:t>
      </w:r>
      <w:r w:rsidRPr="005B2C52">
        <w:rPr>
          <w:iCs/>
        </w:rPr>
        <w:t>5</w:t>
      </w:r>
      <w:r w:rsidRPr="005F6A5A">
        <w:t>(5)</w:t>
      </w:r>
      <w:bookmarkStart w:id="2" w:name="_Ref498624970"/>
      <w:r>
        <w:t>, 735-744.</w:t>
      </w:r>
    </w:p>
    <w:p w:rsidR="00F35226" w:rsidRPr="005352EA" w:rsidRDefault="00F35226" w:rsidP="00F35226">
      <w:pPr>
        <w:ind w:left="284" w:hanging="284"/>
      </w:pPr>
      <w:r>
        <w:rPr>
          <w:rFonts w:eastAsia="MS Mincho"/>
        </w:rPr>
        <w:t xml:space="preserve">Fierz, C., Armstrong, R. L., Durand, Y., Etchevers, P., Greene, E., McClung, D. M., Nishimura, K., Satyawali, P. K., and Sokratov, S. A. The international classification for seasonal snow on the ground. UNESCOIHP, I HP-VII Tech. Doc. in Hydrol., </w:t>
      </w:r>
      <w:r w:rsidRPr="005B2C52">
        <w:rPr>
          <w:rFonts w:eastAsia="MS Mincho"/>
        </w:rPr>
        <w:t>2009</w:t>
      </w:r>
      <w:r>
        <w:rPr>
          <w:rFonts w:eastAsia="MS Mincho"/>
        </w:rPr>
        <w:t>, 83, IACS Contribution no. 1.</w:t>
      </w:r>
      <w:bookmarkEnd w:id="2"/>
    </w:p>
    <w:p w:rsidR="00F35226" w:rsidRDefault="00F35226" w:rsidP="00F35226">
      <w:pPr>
        <w:ind w:left="284" w:hanging="284"/>
      </w:pPr>
      <w:r w:rsidRPr="005352EA">
        <w:t>Gallet, J.-C., Domine,</w:t>
      </w:r>
      <w:r>
        <w:t xml:space="preserve"> F.,</w:t>
      </w:r>
      <w:r w:rsidRPr="005352EA">
        <w:t xml:space="preserve"> Zender,</w:t>
      </w:r>
      <w:r>
        <w:t xml:space="preserve"> C.,</w:t>
      </w:r>
      <w:r w:rsidRPr="005352EA">
        <w:t xml:space="preserve"> and Picard, </w:t>
      </w:r>
      <w:r>
        <w:t xml:space="preserve">G. </w:t>
      </w:r>
      <w:r w:rsidRPr="005352EA">
        <w:t>(2009). Measurement of the specific surface area of snow using infrared reflectance in an integrating sphere at 1310 and 1550 nm, The Cryosphere, 3, 167</w:t>
      </w:r>
      <w:r>
        <w:t>-</w:t>
      </w:r>
      <w:r w:rsidRPr="005352EA">
        <w:t>182</w:t>
      </w:r>
      <w:r>
        <w:t xml:space="preserve">, doi: </w:t>
      </w:r>
      <w:r>
        <w:rPr>
          <w:rStyle w:val="pbtoclink"/>
        </w:rPr>
        <w:t>10.5194/tc-3-167-2009.</w:t>
      </w:r>
    </w:p>
    <w:p w:rsidR="00F35226" w:rsidRDefault="00F35226" w:rsidP="00F35226">
      <w:pPr>
        <w:ind w:left="284" w:hanging="284"/>
      </w:pPr>
      <w:r>
        <w:t xml:space="preserve">Hall, D. K., Riggs, G. A., Foster, J. L., and Kumar, S. V. (2010). Development and evaluation of a cloud-gap-filled MODIS daily snow-cover product. </w:t>
      </w:r>
      <w:r w:rsidRPr="005B2C52">
        <w:rPr>
          <w:iCs/>
        </w:rPr>
        <w:t>Remote sensing of environment</w:t>
      </w:r>
      <w:r w:rsidRPr="0014089C">
        <w:t xml:space="preserve">, </w:t>
      </w:r>
      <w:r w:rsidRPr="005B2C52">
        <w:rPr>
          <w:iCs/>
        </w:rPr>
        <w:t>114</w:t>
      </w:r>
      <w:r w:rsidRPr="0014089C">
        <w:t>(3),</w:t>
      </w:r>
      <w:r>
        <w:t xml:space="preserve"> 496-503, doi: </w:t>
      </w:r>
      <w:r w:rsidRPr="00544F92">
        <w:t>10.1016/j.rse.2009.10.007</w:t>
      </w:r>
      <w:r>
        <w:t>.</w:t>
      </w:r>
    </w:p>
    <w:p w:rsidR="00F35226" w:rsidRPr="0060676E" w:rsidRDefault="00F35226" w:rsidP="00F35226">
      <w:pPr>
        <w:ind w:left="284" w:hanging="284"/>
        <w:rPr>
          <w:rFonts w:cs="Helvetica"/>
        </w:rPr>
      </w:pPr>
      <w:r w:rsidRPr="0014089C">
        <w:rPr>
          <w:rFonts w:cs="Helvetica"/>
        </w:rPr>
        <w:t>Johnson, A.J., Larsen, C.F., Murphy, N., Arendt, A.A. and Zirnheld, S.L., (2013), Mass balance in the Glacier Bay area of Alaska, USA, and British Columbia, Canada, 1995–2011, using airborne laser altimetry. Journal of Glaciology, 59(216),</w:t>
      </w:r>
      <w:r>
        <w:rPr>
          <w:rFonts w:cs="Helvetica"/>
        </w:rPr>
        <w:t xml:space="preserve"> </w:t>
      </w:r>
      <w:r w:rsidRPr="0014089C">
        <w:rPr>
          <w:rFonts w:cs="Helvetica"/>
        </w:rPr>
        <w:t>632-648</w:t>
      </w:r>
      <w:r>
        <w:rPr>
          <w:rFonts w:cs="Helvetica"/>
        </w:rPr>
        <w:t>, doi: 1</w:t>
      </w:r>
      <w:r>
        <w:t>0.3189/2013JoG12J101</w:t>
      </w:r>
      <w:r w:rsidRPr="0014089C">
        <w:rPr>
          <w:rFonts w:cs="Helvetica"/>
        </w:rPr>
        <w:t>.</w:t>
      </w:r>
    </w:p>
    <w:p w:rsidR="00F35226" w:rsidRPr="005352EA" w:rsidRDefault="00F35226" w:rsidP="00F35226">
      <w:pPr>
        <w:ind w:left="284" w:hanging="284"/>
      </w:pPr>
      <w:r w:rsidRPr="005352EA">
        <w:t xml:space="preserve">Kelly, R. E., Chang, A. T., Tsang, L., </w:t>
      </w:r>
      <w:r>
        <w:t>and</w:t>
      </w:r>
      <w:r w:rsidRPr="005352EA">
        <w:t xml:space="preserve"> Foster, J. L. (2003). A prototype AMSR-E global snow area and snow depth algorithm. </w:t>
      </w:r>
      <w:r w:rsidRPr="005B2C52">
        <w:rPr>
          <w:iCs/>
        </w:rPr>
        <w:t>IEEE Transactions on Geoscience and Remote Sensing</w:t>
      </w:r>
      <w:r w:rsidRPr="0014089C">
        <w:t xml:space="preserve">, </w:t>
      </w:r>
      <w:r w:rsidRPr="005B2C52">
        <w:rPr>
          <w:iCs/>
        </w:rPr>
        <w:t>41</w:t>
      </w:r>
      <w:r w:rsidRPr="005352EA">
        <w:t>(2), 230-242, doi: 10.1109/TGRS.2003.809118.</w:t>
      </w:r>
    </w:p>
    <w:p w:rsidR="00F35226" w:rsidRDefault="00F35226" w:rsidP="00F35226">
      <w:pPr>
        <w:ind w:left="284" w:hanging="284"/>
      </w:pPr>
      <w:r w:rsidRPr="005352EA">
        <w:t xml:space="preserve">King, J., Kelly, R., Kasurak, A., Duguay, C., Gunn, G., Rutter, N., </w:t>
      </w:r>
      <w:r>
        <w:t>and</w:t>
      </w:r>
      <w:r w:rsidRPr="005352EA">
        <w:t xml:space="preserve"> Derksen, C. (2015). Spatio-temporal influence of tundra snow properties on Ku-band (17.2 GHz) backscatter. </w:t>
      </w:r>
      <w:r w:rsidRPr="005B2C52">
        <w:rPr>
          <w:iCs/>
        </w:rPr>
        <w:t>Journal of Glaciology</w:t>
      </w:r>
      <w:r w:rsidRPr="00A27ACB">
        <w:t xml:space="preserve">, </w:t>
      </w:r>
      <w:r w:rsidRPr="005B2C52">
        <w:rPr>
          <w:iCs/>
        </w:rPr>
        <w:t>61</w:t>
      </w:r>
      <w:r w:rsidRPr="005352EA">
        <w:t>(226), 267-279, doi: 10.3189/2015JoG14J020.</w:t>
      </w:r>
    </w:p>
    <w:p w:rsidR="00F35226" w:rsidRPr="00186262" w:rsidRDefault="00F35226" w:rsidP="00F35226">
      <w:pPr>
        <w:ind w:left="284" w:hanging="284"/>
      </w:pPr>
      <w:r w:rsidRPr="00186262">
        <w:t xml:space="preserve">Kokhanovsky, A., and Zege, E. (2004). Scattering optics of snow. </w:t>
      </w:r>
      <w:r w:rsidRPr="00186262">
        <w:rPr>
          <w:iCs/>
        </w:rPr>
        <w:t>Applied Optics</w:t>
      </w:r>
      <w:r w:rsidRPr="00186262">
        <w:t xml:space="preserve">, </w:t>
      </w:r>
      <w:r w:rsidRPr="00186262">
        <w:rPr>
          <w:i/>
          <w:iCs/>
        </w:rPr>
        <w:t>43</w:t>
      </w:r>
      <w:r w:rsidRPr="00186262">
        <w:t xml:space="preserve">(7), 1589-1602, doi: </w:t>
      </w:r>
      <w:hyperlink r:id="rId21" w:history="1">
        <w:r w:rsidRPr="00186262">
          <w:rPr>
            <w:rStyle w:val="Hyperlink"/>
            <w:color w:val="auto"/>
            <w:u w:val="none"/>
          </w:rPr>
          <w:t>10.1364/AO.43.001589</w:t>
        </w:r>
      </w:hyperlink>
      <w:r w:rsidRPr="00186262">
        <w:t>.</w:t>
      </w:r>
    </w:p>
    <w:p w:rsidR="00F35226" w:rsidRDefault="00F35226" w:rsidP="00F35226">
      <w:pPr>
        <w:ind w:left="284" w:hanging="284"/>
      </w:pPr>
      <w:r w:rsidRPr="005B2C52">
        <w:t xml:space="preserve">Kontu, A., Lemmetyinen, J., Vehviläinen, J., Leppänen, L., and Pulliainen, J. (2017). </w:t>
      </w:r>
      <w:r>
        <w:t xml:space="preserve">Coupling SNOWPACK-modeled grain size parameters with the HUT snow emission model. </w:t>
      </w:r>
      <w:r w:rsidRPr="005B2C52">
        <w:rPr>
          <w:iCs/>
        </w:rPr>
        <w:t>Remote Sensing of Environment</w:t>
      </w:r>
      <w:r w:rsidRPr="00F24682">
        <w:t xml:space="preserve">, </w:t>
      </w:r>
      <w:r w:rsidRPr="005B2C52">
        <w:rPr>
          <w:iCs/>
        </w:rPr>
        <w:t>194</w:t>
      </w:r>
      <w:r>
        <w:t>, 33-47,</w:t>
      </w:r>
      <w:r w:rsidRPr="00F24682">
        <w:t xml:space="preserve"> </w:t>
      </w:r>
      <w:r>
        <w:t xml:space="preserve">doi: </w:t>
      </w:r>
      <w:r w:rsidRPr="00544F92">
        <w:t>10.1016/j.rse.2016.12.021</w:t>
      </w:r>
      <w:r>
        <w:t>.</w:t>
      </w:r>
    </w:p>
    <w:p w:rsidR="00F35226" w:rsidRDefault="00F35226" w:rsidP="00F35226">
      <w:pPr>
        <w:ind w:left="284" w:hanging="284"/>
      </w:pPr>
      <w:r w:rsidRPr="005B2C52">
        <w:t xml:space="preserve">Langlois, A., Royer, A., Derksen, C., Montpetit, B., Dupont, F., and Goïta, K. (2012). </w:t>
      </w:r>
      <w:r>
        <w:t xml:space="preserve">Coupling the snow thermodynamic model SNOWPACK with the microwave emission model of layered snowpacks for subarctic and arctic snow water equivalent retrievals. </w:t>
      </w:r>
      <w:r w:rsidRPr="005B2C52">
        <w:rPr>
          <w:iCs/>
        </w:rPr>
        <w:t>Water Resources Research</w:t>
      </w:r>
      <w:r w:rsidRPr="005F6A5A">
        <w:t>,</w:t>
      </w:r>
      <w:r>
        <w:t xml:space="preserve"> </w:t>
      </w:r>
      <w:r w:rsidRPr="005B2C52">
        <w:rPr>
          <w:iCs/>
        </w:rPr>
        <w:t>48</w:t>
      </w:r>
      <w:r>
        <w:t xml:space="preserve">(12), doi: </w:t>
      </w:r>
      <w:r>
        <w:rPr>
          <w:rStyle w:val="article-headermeta-info-data"/>
        </w:rPr>
        <w:t>10.1029/2012WR012133</w:t>
      </w:r>
      <w:r>
        <w:t>.</w:t>
      </w:r>
    </w:p>
    <w:p w:rsidR="00F35226" w:rsidRDefault="00F35226" w:rsidP="00F35226">
      <w:pPr>
        <w:ind w:left="284" w:hanging="284"/>
      </w:pPr>
      <w:r w:rsidRPr="0041418B">
        <w:t xml:space="preserve">Lemmetyinen, J., Derksen, C., Toose, P., Proksch, M., Pulliainen, J., Kontu, A., Rautiainen, K., Seppänen, J., and Hallikainen, M. (2015). </w:t>
      </w:r>
      <w:r w:rsidRPr="002E377D">
        <w:t xml:space="preserve">Simulating seasonally and spatially varying snow cover brightness temperature using HUT snow emission model and retrieval of a microwave effective grain size. </w:t>
      </w:r>
      <w:r w:rsidRPr="005B2C52">
        <w:t>Remote Sensing of Environment</w:t>
      </w:r>
      <w:r w:rsidRPr="002E377D">
        <w:t>, 156, 71-95</w:t>
      </w:r>
      <w:r>
        <w:t xml:space="preserve">, doi: </w:t>
      </w:r>
      <w:r w:rsidRPr="00544F92">
        <w:t>10.1016/j.rse.2014.09.016</w:t>
      </w:r>
      <w:r w:rsidRPr="002E377D">
        <w:t>.</w:t>
      </w:r>
    </w:p>
    <w:p w:rsidR="00F35226" w:rsidRPr="005352EA" w:rsidRDefault="00F35226" w:rsidP="00F35226">
      <w:pPr>
        <w:ind w:left="284" w:hanging="284"/>
        <w:rPr>
          <w:lang w:val="fi-FI"/>
        </w:rPr>
      </w:pPr>
      <w:r>
        <w:t>Lemmetyinen, J.,</w:t>
      </w:r>
      <w:r w:rsidRPr="005352EA">
        <w:t xml:space="preserve"> A. Kontu, J. Pulliainen, J. Vehviläinen, K. Rautiainen, A Wiesmann, C. Mätzler, C. </w:t>
      </w:r>
      <w:r w:rsidRPr="005352EA">
        <w:rPr>
          <w:lang w:val="fi-FI"/>
        </w:rPr>
        <w:t xml:space="preserve">Werner, H. Rott, T. Nagler, M. Schneebeli, M. Proksch, D. Schüttemeyer, M. Kern, and M. Davidson (2016). Nordic Snow Radar Experiment. </w:t>
      </w:r>
      <w:r>
        <w:rPr>
          <w:lang w:val="fi-FI"/>
        </w:rPr>
        <w:t>Geoscientific Instrumentation, Methods and Data Systems</w:t>
      </w:r>
      <w:r w:rsidRPr="005352EA">
        <w:rPr>
          <w:lang w:val="fi-FI"/>
        </w:rPr>
        <w:t>, 5, 403-415, doi:10.5194/gi-5-403-201.</w:t>
      </w:r>
    </w:p>
    <w:p w:rsidR="00F35226" w:rsidRPr="005352EA" w:rsidRDefault="00F35226" w:rsidP="00F35226">
      <w:pPr>
        <w:ind w:left="284" w:hanging="284"/>
      </w:pPr>
      <w:r w:rsidRPr="005352EA">
        <w:rPr>
          <w:lang w:val="fi-FI"/>
        </w:rPr>
        <w:t xml:space="preserve">Lin C., B. Rommen, N. Floury, D. Schûttemeyer, M.W. Davidson, M. Kern, A. Kontu, J. Lemmetyinen, J. Pulliainen, A. Wiesmann, C. I. Werner, C. Mätzler, M. Schneebeli, M. Proksch, and T. Nagler, (2016). </w:t>
      </w:r>
      <w:r w:rsidRPr="005352EA">
        <w:t>Active Microwave Scattering Signature of Snowpack-Continuous Multiyear SnowScat Observation Experiments</w:t>
      </w:r>
      <w:r w:rsidRPr="00A27ACB">
        <w:rPr>
          <w:i/>
          <w:iCs/>
        </w:rPr>
        <w:t xml:space="preserve"> </w:t>
      </w:r>
      <w:r w:rsidRPr="005B2C52">
        <w:rPr>
          <w:iCs/>
        </w:rPr>
        <w:t>IEEE Journal of Selected Topics in Applied Earth Observations and Remote Sensing</w:t>
      </w:r>
      <w:r w:rsidRPr="00A27ACB">
        <w:t xml:space="preserve">, </w:t>
      </w:r>
      <w:r w:rsidRPr="005B2C52">
        <w:rPr>
          <w:iCs/>
        </w:rPr>
        <w:t>9</w:t>
      </w:r>
      <w:r w:rsidRPr="00A27ACB">
        <w:t>(</w:t>
      </w:r>
      <w:r>
        <w:t>8), 3849-3869,</w:t>
      </w:r>
      <w:r w:rsidRPr="005352EA">
        <w:t xml:space="preserve"> doi: 10.1109/JSTARS.2016.2560168.</w:t>
      </w:r>
    </w:p>
    <w:p w:rsidR="00F35226" w:rsidRDefault="00F35226" w:rsidP="00F35226">
      <w:pPr>
        <w:ind w:left="284" w:hanging="284"/>
        <w:rPr>
          <w:rStyle w:val="Strong"/>
          <w:b w:val="0"/>
        </w:rPr>
      </w:pPr>
      <w:r w:rsidRPr="005352EA">
        <w:t xml:space="preserve">Löwe, H., </w:t>
      </w:r>
      <w:r>
        <w:t>and</w:t>
      </w:r>
      <w:r w:rsidRPr="005352EA">
        <w:t xml:space="preserve"> Picard, G. (2015). Microwave scattering coefficient of snow in MEMLS and DMRT-ML revisited: the relevance of sticky hard spheres and tomography-based estimates of stickiness. </w:t>
      </w:r>
      <w:r w:rsidRPr="005B2C52">
        <w:rPr>
          <w:iCs/>
        </w:rPr>
        <w:t>The Cryosphere</w:t>
      </w:r>
      <w:r w:rsidRPr="00C33215">
        <w:t xml:space="preserve">, </w:t>
      </w:r>
      <w:r w:rsidRPr="005B2C52">
        <w:rPr>
          <w:iCs/>
        </w:rPr>
        <w:t>9</w:t>
      </w:r>
      <w:r w:rsidRPr="00C33215">
        <w:t>(</w:t>
      </w:r>
      <w:r w:rsidRPr="005352EA">
        <w:t xml:space="preserve">6), 2101-2117, doi: </w:t>
      </w:r>
      <w:r w:rsidRPr="005352EA">
        <w:rPr>
          <w:rStyle w:val="Strong"/>
          <w:b w:val="0"/>
        </w:rPr>
        <w:t>10.5194/tc-9-2101-2015.</w:t>
      </w:r>
    </w:p>
    <w:p w:rsidR="00F35226" w:rsidRDefault="00F35226" w:rsidP="00F35226">
      <w:pPr>
        <w:ind w:left="284" w:hanging="284"/>
        <w:rPr>
          <w:rStyle w:val="Strong"/>
          <w:b w:val="0"/>
        </w:rPr>
      </w:pPr>
      <w:r w:rsidRPr="009B0AB9">
        <w:rPr>
          <w:lang w:val="fr-CA"/>
        </w:rPr>
        <w:t xml:space="preserve">Marsh, P., Quinton, W., &amp; Pomeroy, J. (1994). </w:t>
      </w:r>
      <w:r>
        <w:t xml:space="preserve">Hydrological processes and runoff at the arctic treeline in northwestern Canada. </w:t>
      </w:r>
      <w:r w:rsidRPr="007D03D6">
        <w:t xml:space="preserve">In </w:t>
      </w:r>
      <w:r w:rsidRPr="005B2C52">
        <w:rPr>
          <w:iCs/>
        </w:rPr>
        <w:t>Proceedings of the Tenth International Northern Research Basins Symposium and Workshop, Norway</w:t>
      </w:r>
      <w:r>
        <w:t xml:space="preserve"> (Vol. 28).</w:t>
      </w:r>
    </w:p>
    <w:p w:rsidR="00F35226" w:rsidRDefault="00F35226" w:rsidP="00F35226">
      <w:pPr>
        <w:ind w:left="284" w:hanging="284"/>
        <w:rPr>
          <w:rStyle w:val="Strong"/>
          <w:b w:val="0"/>
        </w:rPr>
      </w:pPr>
      <w:r>
        <w:t xml:space="preserve">Marsh, P., Bartlett, P., MacKay, M., Pohl, S., and Lantz, T. (2010). Snowmelt energetics at a shrub tundra site in the western Canadian Arctic. </w:t>
      </w:r>
      <w:r w:rsidRPr="00544F92">
        <w:rPr>
          <w:iCs/>
        </w:rPr>
        <w:t>Hydrological Processes</w:t>
      </w:r>
      <w:r w:rsidRPr="00544F92">
        <w:t xml:space="preserve">, </w:t>
      </w:r>
      <w:r w:rsidRPr="00544F92">
        <w:rPr>
          <w:iCs/>
        </w:rPr>
        <w:t>24</w:t>
      </w:r>
      <w:r w:rsidRPr="00544F92">
        <w:t>(</w:t>
      </w:r>
      <w:r>
        <w:t xml:space="preserve">25), 3603-3620, doi: </w:t>
      </w:r>
      <w:r>
        <w:rPr>
          <w:rStyle w:val="article-headermeta-info-data"/>
        </w:rPr>
        <w:t>10.1002/hyp.7786</w:t>
      </w:r>
      <w:r>
        <w:t>.</w:t>
      </w:r>
    </w:p>
    <w:p w:rsidR="00F35226" w:rsidRPr="005352EA" w:rsidRDefault="00F35226" w:rsidP="00F35226">
      <w:pPr>
        <w:ind w:left="284" w:hanging="284"/>
      </w:pPr>
      <w:r>
        <w:t xml:space="preserve">Mätzler, C. (1998). Improved Born approximation for scattering of radiation in a granular medium. </w:t>
      </w:r>
      <w:r w:rsidRPr="005B2C52">
        <w:rPr>
          <w:iCs/>
        </w:rPr>
        <w:t>Journal of Applied Physics</w:t>
      </w:r>
      <w:r w:rsidRPr="005F6A5A">
        <w:t xml:space="preserve">, </w:t>
      </w:r>
      <w:r w:rsidRPr="005B2C52">
        <w:rPr>
          <w:iCs/>
        </w:rPr>
        <w:t>83</w:t>
      </w:r>
      <w:r>
        <w:t xml:space="preserve">(11), 6111-6117, doi: </w:t>
      </w:r>
      <w:r w:rsidRPr="00544F92">
        <w:t>10.1063/1.367496</w:t>
      </w:r>
      <w:r>
        <w:t>.</w:t>
      </w:r>
    </w:p>
    <w:p w:rsidR="00F35226" w:rsidRDefault="00F35226" w:rsidP="00F35226">
      <w:pPr>
        <w:ind w:left="284" w:hanging="284"/>
        <w:rPr>
          <w:rFonts w:eastAsia="MS Mincho"/>
        </w:rPr>
      </w:pPr>
      <w:r>
        <w:t xml:space="preserve">Mätzler, C. (2002). Relation between grain-size and correlation length of snow. </w:t>
      </w:r>
      <w:r w:rsidRPr="005B2C52">
        <w:rPr>
          <w:iCs/>
        </w:rPr>
        <w:t>Journal of Glaciology</w:t>
      </w:r>
      <w:r w:rsidRPr="00F24682">
        <w:t>,</w:t>
      </w:r>
      <w:r>
        <w:t xml:space="preserve"> </w:t>
      </w:r>
      <w:r>
        <w:rPr>
          <w:i/>
          <w:iCs/>
        </w:rPr>
        <w:t>48</w:t>
      </w:r>
      <w:r>
        <w:t>(162), 461-466, doi: 10.3189/1727565027818</w:t>
      </w:r>
      <w:r w:rsidRPr="00E06DC2">
        <w:rPr>
          <w:rFonts w:eastAsia="MS Mincho"/>
        </w:rPr>
        <w:t>.</w:t>
      </w:r>
    </w:p>
    <w:p w:rsidR="00F35226" w:rsidRDefault="00F35226" w:rsidP="00F35226">
      <w:pPr>
        <w:ind w:left="284" w:hanging="284"/>
        <w:rPr>
          <w:rFonts w:eastAsia="MS Mincho"/>
        </w:rPr>
      </w:pPr>
      <w:r>
        <w:t xml:space="preserve">Mironov, V. L., De Roo, R. D., and Savin, I. V. (2010). Temperature-dependable microwave dielectric model for an arctic soil. </w:t>
      </w:r>
      <w:r w:rsidRPr="005B2C52">
        <w:rPr>
          <w:iCs/>
        </w:rPr>
        <w:t>IEEE Transactions on Geoscience and Remote Sensing</w:t>
      </w:r>
      <w:r w:rsidRPr="005F6A5A">
        <w:t xml:space="preserve">, </w:t>
      </w:r>
      <w:r w:rsidRPr="005B2C52">
        <w:rPr>
          <w:iCs/>
        </w:rPr>
        <w:t>48</w:t>
      </w:r>
      <w:r w:rsidRPr="005F6A5A">
        <w:t>(</w:t>
      </w:r>
      <w:r>
        <w:t xml:space="preserve">6), 2544-2556, doi: </w:t>
      </w:r>
      <w:r w:rsidRPr="00544F92">
        <w:t>10.1109/TGRS.2010.2040034</w:t>
      </w:r>
      <w:r>
        <w:t>.</w:t>
      </w:r>
    </w:p>
    <w:p w:rsidR="00F35226" w:rsidRDefault="00F35226" w:rsidP="00F35226">
      <w:pPr>
        <w:ind w:left="284" w:hanging="284"/>
      </w:pPr>
      <w:r w:rsidRPr="009B0AB9">
        <w:rPr>
          <w:lang w:val="fr-CA"/>
        </w:rPr>
        <w:t xml:space="preserve">Montpetit, B., Royer, A., Langlois, A., Cliche, P., Roy, A., Champollion, N., and Obbard, R. (2012). </w:t>
      </w:r>
      <w:r>
        <w:t xml:space="preserve">New shortwave infrared albedo measurements for snow specific surface area retrieval. </w:t>
      </w:r>
      <w:r w:rsidRPr="005B2C52">
        <w:rPr>
          <w:iCs/>
        </w:rPr>
        <w:t>Journal of Glaciology</w:t>
      </w:r>
      <w:r w:rsidRPr="0094650E">
        <w:t xml:space="preserve">, </w:t>
      </w:r>
      <w:r w:rsidRPr="005B2C52">
        <w:rPr>
          <w:iCs/>
        </w:rPr>
        <w:t>58</w:t>
      </w:r>
      <w:r w:rsidRPr="0094650E">
        <w:t>(</w:t>
      </w:r>
      <w:r>
        <w:t>211), 941-952, doi: 10.3189/2012JoG11J248.</w:t>
      </w:r>
    </w:p>
    <w:p w:rsidR="00F35226" w:rsidRDefault="00F35226" w:rsidP="00F35226">
      <w:pPr>
        <w:ind w:left="284" w:hanging="284"/>
      </w:pPr>
      <w:r w:rsidRPr="005B2C52">
        <w:t xml:space="preserve">Montpetit, B., Royer, A., Roy, A., Langlois, A., and Derksen, C. (2013). </w:t>
      </w:r>
      <w:r>
        <w:t xml:space="preserve">Snow microwave emission modeling of ice lenses within a snowpack using the microwave emission model for layered snowpacks. </w:t>
      </w:r>
      <w:r w:rsidRPr="005B2C52">
        <w:rPr>
          <w:iCs/>
        </w:rPr>
        <w:t>IEEE Transactions on Geoscience and Remote Sensing</w:t>
      </w:r>
      <w:r w:rsidRPr="0094650E">
        <w:t xml:space="preserve">, </w:t>
      </w:r>
      <w:r w:rsidRPr="005B2C52">
        <w:rPr>
          <w:iCs/>
        </w:rPr>
        <w:t>51</w:t>
      </w:r>
      <w:r>
        <w:t xml:space="preserve">(9), 4705-4717, doi: </w:t>
      </w:r>
      <w:r w:rsidRPr="00544F92">
        <w:t>10.1109/TGRS.2013.2250509</w:t>
      </w:r>
      <w:r>
        <w:t>.</w:t>
      </w:r>
    </w:p>
    <w:p w:rsidR="00F35226" w:rsidRDefault="00F35226" w:rsidP="00F35226">
      <w:pPr>
        <w:ind w:left="284" w:hanging="284"/>
      </w:pPr>
      <w:r>
        <w:t xml:space="preserve">Montpetit, B., Royer, A., Wigneron, J. P., Chanzy, A., and Mialon, A. (2015). Evaluation of multi-frequency bare soil microwave reflectivity models. </w:t>
      </w:r>
      <w:r w:rsidRPr="005B2C52">
        <w:rPr>
          <w:iCs/>
        </w:rPr>
        <w:t>Remote Sensing of Environment</w:t>
      </w:r>
      <w:r w:rsidRPr="005F6A5A">
        <w:t xml:space="preserve">, </w:t>
      </w:r>
      <w:r w:rsidRPr="005B2C52">
        <w:rPr>
          <w:iCs/>
        </w:rPr>
        <w:t>162</w:t>
      </w:r>
      <w:r>
        <w:t xml:space="preserve">, 186-195, doi: </w:t>
      </w:r>
      <w:r w:rsidRPr="00544F92">
        <w:t>10.1016/j.rse.2015.02.015</w:t>
      </w:r>
      <w:r>
        <w:t>.</w:t>
      </w:r>
    </w:p>
    <w:p w:rsidR="00F35226" w:rsidRDefault="00F35226" w:rsidP="00F35226">
      <w:pPr>
        <w:ind w:left="284" w:hanging="284"/>
        <w:rPr>
          <w:rFonts w:cs="Helvetica"/>
        </w:rPr>
      </w:pPr>
      <w:r w:rsidRPr="00544F92">
        <w:rPr>
          <w:rFonts w:cs="Helvetica"/>
        </w:rPr>
        <w:t xml:space="preserve">Moran, P. A. (1950). Notes on continuous stochastic phenomena. </w:t>
      </w:r>
      <w:r w:rsidRPr="00544F92">
        <w:rPr>
          <w:rFonts w:cs="Helvetica"/>
          <w:iCs/>
        </w:rPr>
        <w:t>Biometrika</w:t>
      </w:r>
      <w:r w:rsidRPr="00544F92">
        <w:rPr>
          <w:rFonts w:cs="Helvetica"/>
        </w:rPr>
        <w:t xml:space="preserve">, </w:t>
      </w:r>
      <w:r w:rsidRPr="00544F92">
        <w:rPr>
          <w:rFonts w:cs="Helvetica"/>
          <w:iCs/>
        </w:rPr>
        <w:t>37</w:t>
      </w:r>
      <w:r w:rsidRPr="00544F92">
        <w:rPr>
          <w:rFonts w:cs="Helvetica"/>
        </w:rPr>
        <w:t>(1/2), 17-23, doi: 10.2307/2332142.</w:t>
      </w:r>
    </w:p>
    <w:p w:rsidR="00324816" w:rsidRDefault="00F35226" w:rsidP="00F35226">
      <w:pPr>
        <w:ind w:left="284" w:hanging="284"/>
      </w:pPr>
      <w:r>
        <w:t xml:space="preserve">Picard, G., Arnaud, L., Domine, F., and Fily, M. (2009). Determining snow specific surface area from near-infrared reflectance measurements: Numerical study of the influence of grain shape. </w:t>
      </w:r>
      <w:r w:rsidRPr="00E51E52">
        <w:rPr>
          <w:iCs/>
        </w:rPr>
        <w:t>Cold Regions Science and Technology</w:t>
      </w:r>
      <w:r>
        <w:t xml:space="preserve">, </w:t>
      </w:r>
      <w:r>
        <w:rPr>
          <w:i/>
          <w:iCs/>
        </w:rPr>
        <w:t>56</w:t>
      </w:r>
      <w:r>
        <w:t>(1), 10-17, doi:</w:t>
      </w:r>
      <w:r w:rsidRPr="00E51E52">
        <w:t xml:space="preserve"> </w:t>
      </w:r>
      <w:r w:rsidRPr="00324816">
        <w:t>10.1016/j.coldregions.2008.10.001</w:t>
      </w:r>
      <w:r>
        <w:t>.</w:t>
      </w:r>
    </w:p>
    <w:p w:rsidR="00F35226" w:rsidRPr="00544F92" w:rsidRDefault="00F35226" w:rsidP="00F35226">
      <w:pPr>
        <w:ind w:left="284" w:hanging="284"/>
        <w:rPr>
          <w:rFonts w:eastAsia="MS Mincho" w:cs="Helvetica"/>
        </w:rPr>
      </w:pPr>
      <w:r w:rsidRPr="00544F92">
        <w:rPr>
          <w:rFonts w:cs="Helvetica"/>
        </w:rPr>
        <w:t>Proksch, M., Löwe, H., and Schneebeli, M. (2015a). Density, specific surface area, and correlation length of snow measured by high</w:t>
      </w:r>
      <w:r w:rsidRPr="00544F92">
        <w:rPr>
          <w:rFonts w:ascii="Cambria Math" w:hAnsi="Cambria Math" w:cs="Cambria Math"/>
        </w:rPr>
        <w:t>‐</w:t>
      </w:r>
      <w:r w:rsidRPr="00544F92">
        <w:rPr>
          <w:rFonts w:cs="Helvetica"/>
        </w:rPr>
        <w:t xml:space="preserve">resolution penetrometry. </w:t>
      </w:r>
      <w:r w:rsidRPr="00544F92">
        <w:rPr>
          <w:rFonts w:cs="Helvetica"/>
          <w:iCs/>
        </w:rPr>
        <w:t>Journal of Geophysical Research: Earth Surface</w:t>
      </w:r>
      <w:r w:rsidRPr="00544F92">
        <w:rPr>
          <w:rFonts w:cs="Helvetica"/>
        </w:rPr>
        <w:t xml:space="preserve">, </w:t>
      </w:r>
      <w:r w:rsidRPr="00544F92">
        <w:rPr>
          <w:rFonts w:cs="Helvetica"/>
          <w:iCs/>
        </w:rPr>
        <w:t>120</w:t>
      </w:r>
      <w:r w:rsidRPr="00544F92">
        <w:rPr>
          <w:rFonts w:cs="Helvetica"/>
        </w:rPr>
        <w:t xml:space="preserve">(2), 346-362, doi: </w:t>
      </w:r>
      <w:r w:rsidRPr="00544F92">
        <w:rPr>
          <w:rStyle w:val="article-headermeta-info-data"/>
          <w:rFonts w:cs="Helvetica"/>
        </w:rPr>
        <w:t>10.1002/2014JF003266</w:t>
      </w:r>
      <w:r w:rsidRPr="00544F92">
        <w:rPr>
          <w:rFonts w:cs="Helvetica"/>
        </w:rPr>
        <w:t>.</w:t>
      </w:r>
    </w:p>
    <w:p w:rsidR="00F35226" w:rsidRPr="00544F92" w:rsidRDefault="00F35226" w:rsidP="00F35226">
      <w:pPr>
        <w:ind w:left="284" w:hanging="284"/>
        <w:rPr>
          <w:rFonts w:eastAsia="MS Mincho" w:cs="Helvetica"/>
        </w:rPr>
      </w:pPr>
      <w:r w:rsidRPr="00544F92">
        <w:rPr>
          <w:rFonts w:eastAsia="MS Mincho" w:cs="Helvetica"/>
        </w:rPr>
        <w:t>Proksch, M., Mätzler, C., Wiesmann, A., Lemmetyinen, J., Schwank, M., Löwe, H., and M. Schneebeli (2015b). MEMLS3&amp;a: Microwave emission model of layered snowpacks adapted to include backscattering. Geosci. Model Dev., 8 (8), 2611–2626, doi:10.5194/gmd-8-2611-2015.</w:t>
      </w:r>
    </w:p>
    <w:p w:rsidR="00F35226" w:rsidRPr="00544F92" w:rsidRDefault="00F35226" w:rsidP="00F35226">
      <w:pPr>
        <w:ind w:left="284" w:hanging="284"/>
        <w:rPr>
          <w:rFonts w:eastAsia="MS Mincho" w:cs="Helvetica"/>
        </w:rPr>
      </w:pPr>
      <w:r w:rsidRPr="00544F92">
        <w:rPr>
          <w:rFonts w:cs="Helvetica"/>
        </w:rPr>
        <w:t xml:space="preserve">Proksch, M., Rutter, N., Fierz, C., and Schneebeli, M. (2016). Intercomparison of snow density measurements: bias, precision, and vertical resolution. </w:t>
      </w:r>
      <w:r w:rsidRPr="00544F92">
        <w:rPr>
          <w:rFonts w:cs="Helvetica"/>
          <w:iCs/>
        </w:rPr>
        <w:t>The Cryosphere</w:t>
      </w:r>
      <w:r w:rsidRPr="00544F92">
        <w:rPr>
          <w:rFonts w:cs="Helvetica"/>
        </w:rPr>
        <w:t xml:space="preserve">, </w:t>
      </w:r>
      <w:r w:rsidRPr="00544F92">
        <w:rPr>
          <w:rFonts w:cs="Helvetica"/>
          <w:iCs/>
        </w:rPr>
        <w:t>10</w:t>
      </w:r>
      <w:r w:rsidRPr="00544F92">
        <w:rPr>
          <w:rFonts w:cs="Helvetica"/>
        </w:rPr>
        <w:t>(1), 371-384, doi: 10.5194/tc-10-371-2016.</w:t>
      </w:r>
    </w:p>
    <w:p w:rsidR="00F35226" w:rsidRDefault="00F35226" w:rsidP="00F35226">
      <w:pPr>
        <w:pStyle w:val="references"/>
        <w:numPr>
          <w:ilvl w:val="0"/>
          <w:numId w:val="0"/>
        </w:numPr>
        <w:spacing w:line="276" w:lineRule="auto"/>
        <w:ind w:left="284" w:hanging="284"/>
        <w:rPr>
          <w:rFonts w:ascii="Helvetica" w:hAnsi="Helvetica" w:cs="Helvetica"/>
          <w:sz w:val="22"/>
          <w:szCs w:val="22"/>
          <w:lang w:val="fi-FI"/>
        </w:rPr>
      </w:pPr>
      <w:bookmarkStart w:id="3" w:name="_Ref195886866"/>
      <w:r w:rsidRPr="00544F92">
        <w:rPr>
          <w:rFonts w:ascii="Helvetica" w:hAnsi="Helvetica" w:cs="Helvetica"/>
          <w:sz w:val="22"/>
          <w:szCs w:val="22"/>
        </w:rPr>
        <w:t xml:space="preserve">Pulliainen, J. (2006). Mapping of snow water equivalent and snow depth in boreal and sub-arctic zones by assimilating space-borne microwave radiometer data and ground-based observations. </w:t>
      </w:r>
      <w:r w:rsidRPr="00544F92">
        <w:rPr>
          <w:rFonts w:ascii="Helvetica" w:hAnsi="Helvetica" w:cs="Helvetica"/>
          <w:sz w:val="22"/>
          <w:szCs w:val="22"/>
          <w:lang w:val="fi-FI"/>
        </w:rPr>
        <w:t xml:space="preserve">Remote sensing of Environment, 101, 257-269, doi: </w:t>
      </w:r>
      <w:r w:rsidRPr="00544F92">
        <w:rPr>
          <w:rFonts w:ascii="Helvetica" w:hAnsi="Helvetica" w:cs="Helvetica"/>
          <w:sz w:val="22"/>
          <w:szCs w:val="22"/>
        </w:rPr>
        <w:t>10.1016/j.rse.2006.01.002</w:t>
      </w:r>
      <w:r w:rsidRPr="00544F92">
        <w:rPr>
          <w:rFonts w:ascii="Helvetica" w:hAnsi="Helvetica" w:cs="Helvetica"/>
          <w:sz w:val="22"/>
          <w:szCs w:val="22"/>
          <w:lang w:val="fi-FI"/>
        </w:rPr>
        <w:t>.</w:t>
      </w:r>
      <w:bookmarkEnd w:id="3"/>
    </w:p>
    <w:p w:rsidR="00F35226" w:rsidRDefault="00F35226" w:rsidP="00F35226">
      <w:pPr>
        <w:pStyle w:val="references"/>
        <w:numPr>
          <w:ilvl w:val="0"/>
          <w:numId w:val="0"/>
        </w:numPr>
        <w:spacing w:line="276" w:lineRule="auto"/>
        <w:rPr>
          <w:rFonts w:ascii="Helvetica" w:hAnsi="Helvetica" w:cs="Helvetica"/>
          <w:sz w:val="22"/>
          <w:szCs w:val="22"/>
        </w:rPr>
      </w:pPr>
    </w:p>
    <w:p w:rsidR="00F35226" w:rsidRDefault="00F35226" w:rsidP="00F35226">
      <w:pPr>
        <w:pStyle w:val="references"/>
        <w:numPr>
          <w:ilvl w:val="0"/>
          <w:numId w:val="0"/>
        </w:numPr>
        <w:spacing w:line="276" w:lineRule="auto"/>
        <w:rPr>
          <w:rFonts w:ascii="Helvetica" w:hAnsi="Helvetica" w:cs="Helvetica"/>
          <w:sz w:val="22"/>
          <w:szCs w:val="22"/>
        </w:rPr>
      </w:pPr>
      <w:r w:rsidRPr="00544F92">
        <w:rPr>
          <w:rFonts w:ascii="Helvetica" w:hAnsi="Helvetica" w:cs="Helvetica"/>
          <w:sz w:val="22"/>
          <w:szCs w:val="22"/>
        </w:rPr>
        <w:t xml:space="preserve">Rott, H., Yueh, S. H., Cline, D. W., Duguay, C., Essery, R., Haas, C., Heliere, F., Kern, M., </w:t>
      </w:r>
      <w:r>
        <w:rPr>
          <w:rFonts w:ascii="Helvetica" w:hAnsi="Helvetica" w:cs="Helvetica"/>
          <w:sz w:val="22"/>
          <w:szCs w:val="22"/>
        </w:rPr>
        <w:t xml:space="preserve">  </w:t>
      </w:r>
    </w:p>
    <w:p w:rsidR="00F35226" w:rsidRPr="00544F92" w:rsidRDefault="00F35226" w:rsidP="00F35226">
      <w:pPr>
        <w:pStyle w:val="references"/>
        <w:numPr>
          <w:ilvl w:val="0"/>
          <w:numId w:val="0"/>
        </w:numPr>
        <w:spacing w:line="276" w:lineRule="auto"/>
        <w:ind w:left="227"/>
        <w:rPr>
          <w:rFonts w:ascii="Helvetica" w:hAnsi="Helvetica" w:cs="Helvetica"/>
          <w:sz w:val="22"/>
          <w:szCs w:val="22"/>
          <w:lang w:val="fi-FI"/>
        </w:rPr>
      </w:pPr>
      <w:r w:rsidRPr="00544F92">
        <w:rPr>
          <w:rFonts w:ascii="Helvetica" w:hAnsi="Helvetica" w:cs="Helvetica"/>
          <w:sz w:val="22"/>
          <w:szCs w:val="22"/>
        </w:rPr>
        <w:t xml:space="preserve">Macelloni, G., Malnes, E., Nagler, T., Pulliainen, J., Rebhan, H., and Thompson, A. (2010). Cold regions hydrology high-resolution observatory for snow and cold land processes. </w:t>
      </w:r>
      <w:r w:rsidRPr="00544F92">
        <w:rPr>
          <w:rFonts w:ascii="Helvetica" w:hAnsi="Helvetica" w:cs="Helvetica"/>
          <w:iCs/>
          <w:sz w:val="22"/>
          <w:szCs w:val="22"/>
        </w:rPr>
        <w:t>Proceedings of the IEEE</w:t>
      </w:r>
      <w:r w:rsidRPr="00544F92">
        <w:rPr>
          <w:rFonts w:ascii="Helvetica" w:hAnsi="Helvetica" w:cs="Helvetica"/>
          <w:sz w:val="22"/>
          <w:szCs w:val="22"/>
        </w:rPr>
        <w:t xml:space="preserve">, </w:t>
      </w:r>
      <w:r w:rsidRPr="00544F92">
        <w:rPr>
          <w:rFonts w:ascii="Helvetica" w:hAnsi="Helvetica" w:cs="Helvetica"/>
          <w:iCs/>
          <w:sz w:val="22"/>
          <w:szCs w:val="22"/>
        </w:rPr>
        <w:t>98</w:t>
      </w:r>
      <w:r w:rsidRPr="00544F92">
        <w:rPr>
          <w:rFonts w:ascii="Helvetica" w:hAnsi="Helvetica" w:cs="Helvetica"/>
          <w:sz w:val="22"/>
          <w:szCs w:val="22"/>
        </w:rPr>
        <w:t>(5), 752-765, doi: 10.1109/JPROC.2009.2038947.</w:t>
      </w:r>
    </w:p>
    <w:p w:rsidR="00F35226" w:rsidRPr="00544F92" w:rsidRDefault="00F35226" w:rsidP="00F35226">
      <w:pPr>
        <w:pStyle w:val="references"/>
        <w:numPr>
          <w:ilvl w:val="0"/>
          <w:numId w:val="0"/>
        </w:numPr>
        <w:spacing w:line="276" w:lineRule="auto"/>
        <w:rPr>
          <w:rFonts w:ascii="Helvetica" w:hAnsi="Helvetica" w:cs="Helvetica"/>
          <w:sz w:val="22"/>
          <w:szCs w:val="22"/>
          <w:lang w:val="fi-FI"/>
        </w:rPr>
      </w:pPr>
    </w:p>
    <w:p w:rsidR="00F35226" w:rsidRPr="00544F92" w:rsidRDefault="00F35226" w:rsidP="00F35226">
      <w:pPr>
        <w:ind w:left="284" w:hanging="284"/>
        <w:rPr>
          <w:rFonts w:cs="Helvetica"/>
        </w:rPr>
      </w:pPr>
      <w:r w:rsidRPr="00544F92">
        <w:rPr>
          <w:rFonts w:cs="Helvetica"/>
        </w:rPr>
        <w:t xml:space="preserve">Roy, A., Royer, A., Montpetit, B., Bartlett, P. A., and Langlois, A. (2013). Snow specific surface area simulation using the one-layer snow model in the Canadian LAnd Surface Scheme (CLASS). </w:t>
      </w:r>
      <w:r w:rsidRPr="00544F92">
        <w:rPr>
          <w:rFonts w:cs="Helvetica"/>
          <w:iCs/>
        </w:rPr>
        <w:t>The Cryosphere</w:t>
      </w:r>
      <w:r w:rsidRPr="00544F92">
        <w:rPr>
          <w:rFonts w:cs="Helvetica"/>
        </w:rPr>
        <w:t xml:space="preserve">, </w:t>
      </w:r>
      <w:r w:rsidRPr="00544F92">
        <w:rPr>
          <w:rFonts w:cs="Helvetica"/>
          <w:iCs/>
        </w:rPr>
        <w:t>7</w:t>
      </w:r>
      <w:r w:rsidRPr="00544F92">
        <w:rPr>
          <w:rFonts w:cs="Helvetica"/>
        </w:rPr>
        <w:t xml:space="preserve">(3), 961, doi: </w:t>
      </w:r>
      <w:r w:rsidRPr="00544F92">
        <w:rPr>
          <w:rStyle w:val="pbtoclink"/>
          <w:rFonts w:cs="Helvetica"/>
        </w:rPr>
        <w:t>10.5194/tc-7-961-2013</w:t>
      </w:r>
      <w:r w:rsidRPr="00544F92">
        <w:rPr>
          <w:rFonts w:cs="Helvetica"/>
        </w:rPr>
        <w:t>.</w:t>
      </w:r>
    </w:p>
    <w:p w:rsidR="00F35226" w:rsidRPr="00544F92" w:rsidRDefault="00F35226" w:rsidP="00F35226">
      <w:pPr>
        <w:ind w:left="284" w:hanging="284"/>
        <w:rPr>
          <w:rFonts w:cs="Helvetica"/>
        </w:rPr>
      </w:pPr>
      <w:r w:rsidRPr="00544F92">
        <w:rPr>
          <w:rFonts w:cs="Helvetica"/>
        </w:rPr>
        <w:t xml:space="preserve">Royer, A., Roy, A., Montpetit, B., Saint-Jean-Rondeau, O., Picard, G., Brucker, L., and Langlois, A. (2017). Comparison of commonly-used microwave radiative transfer models for snow remote sensing. </w:t>
      </w:r>
      <w:r w:rsidRPr="00544F92">
        <w:rPr>
          <w:rFonts w:cs="Helvetica"/>
          <w:iCs/>
        </w:rPr>
        <w:t>Remote Sensing of Environment</w:t>
      </w:r>
      <w:r w:rsidRPr="00544F92">
        <w:rPr>
          <w:rFonts w:cs="Helvetica"/>
        </w:rPr>
        <w:t xml:space="preserve">, </w:t>
      </w:r>
      <w:r w:rsidRPr="00544F92">
        <w:rPr>
          <w:rFonts w:cs="Helvetica"/>
          <w:iCs/>
        </w:rPr>
        <w:t>190</w:t>
      </w:r>
      <w:r w:rsidRPr="00544F92">
        <w:rPr>
          <w:rFonts w:cs="Helvetica"/>
        </w:rPr>
        <w:t>, 247-259, doi: 10.1016/j.rse.2016.12.020.</w:t>
      </w:r>
    </w:p>
    <w:p w:rsidR="00F35226" w:rsidRPr="00544F92" w:rsidRDefault="00F35226" w:rsidP="00F35226">
      <w:pPr>
        <w:ind w:left="284" w:hanging="284"/>
        <w:rPr>
          <w:rFonts w:eastAsia="MS Mincho" w:cs="Helvetica"/>
        </w:rPr>
      </w:pPr>
      <w:r w:rsidRPr="00544F92">
        <w:rPr>
          <w:rFonts w:cs="Helvetica"/>
        </w:rPr>
        <w:t xml:space="preserve">Rutter, N., Marshall, H. P., Tape, K., Essery, R., and King, J. (2016). Impact of spatial averaging on radar reflectivity at internal snowpack layer boundaries. </w:t>
      </w:r>
      <w:r w:rsidRPr="00544F92">
        <w:rPr>
          <w:rFonts w:cs="Helvetica"/>
          <w:iCs/>
        </w:rPr>
        <w:t>Journal of Glaciology</w:t>
      </w:r>
      <w:r w:rsidRPr="00544F92">
        <w:rPr>
          <w:rFonts w:cs="Helvetica"/>
        </w:rPr>
        <w:t xml:space="preserve">, </w:t>
      </w:r>
      <w:r w:rsidRPr="00544F92">
        <w:rPr>
          <w:rFonts w:cs="Helvetica"/>
          <w:iCs/>
        </w:rPr>
        <w:t>62</w:t>
      </w:r>
      <w:r w:rsidRPr="00544F92">
        <w:rPr>
          <w:rFonts w:cs="Helvetica"/>
        </w:rPr>
        <w:t>(236), 1065-1074, doi: 10.1017/jog.2016.99.</w:t>
      </w:r>
    </w:p>
    <w:p w:rsidR="00F35226" w:rsidRPr="00544F92" w:rsidRDefault="00F35226" w:rsidP="00F35226">
      <w:pPr>
        <w:ind w:left="284" w:hanging="284"/>
        <w:rPr>
          <w:rFonts w:cs="Helvetica"/>
          <w:lang w:val="fi-FI"/>
        </w:rPr>
      </w:pPr>
      <w:r w:rsidRPr="00544F92">
        <w:rPr>
          <w:rStyle w:val="ng-binding"/>
          <w:rFonts w:cs="Helvetica"/>
        </w:rPr>
        <w:t xml:space="preserve">Sandells, M., R. Essery, N. Rutter, L. Wake, L. Leppänen, and J. Lemmetyinen. (2017). Microstructure representation of snow in coupled snowpack and microwave emission models. </w:t>
      </w:r>
      <w:r w:rsidRPr="00544F92">
        <w:rPr>
          <w:rFonts w:cs="Helvetica"/>
          <w:lang w:val="fi-FI"/>
        </w:rPr>
        <w:t>The Cryosphere, 11, 229-246. doi:10.5194/tc-11-229-2017.</w:t>
      </w:r>
    </w:p>
    <w:p w:rsidR="00F35226" w:rsidRDefault="00F35226" w:rsidP="00F35226">
      <w:pPr>
        <w:ind w:left="284" w:hanging="284"/>
        <w:rPr>
          <w:rFonts w:cs="Helvetica"/>
          <w:lang w:val="fi-FI"/>
        </w:rPr>
      </w:pPr>
      <w:r>
        <w:t xml:space="preserve">Slater, A., Lawrence, D., and Koven, C. (2017). Process-level model evaluation: a snow and heat transfer metric. </w:t>
      </w:r>
      <w:r w:rsidRPr="00B368A2">
        <w:rPr>
          <w:iCs/>
        </w:rPr>
        <w:t>The Cryosphere</w:t>
      </w:r>
      <w:r w:rsidRPr="00B368A2">
        <w:t xml:space="preserve">, </w:t>
      </w:r>
      <w:r w:rsidRPr="00B368A2">
        <w:rPr>
          <w:iCs/>
        </w:rPr>
        <w:t>11</w:t>
      </w:r>
      <w:r w:rsidRPr="00B368A2">
        <w:t>(2)</w:t>
      </w:r>
      <w:r>
        <w:t>, 989-996, doi: 10.5194/tc-11-989-2017.</w:t>
      </w:r>
    </w:p>
    <w:p w:rsidR="00F35226" w:rsidRDefault="00F35226" w:rsidP="00F35226">
      <w:pPr>
        <w:ind w:left="284" w:hanging="284"/>
      </w:pPr>
      <w:r>
        <w:t xml:space="preserve">Sturm, M., and Holmgren, J. (1994). Effects of microtopography on texture, temperature and heat flow in Arctic and sub-Arctic snow. </w:t>
      </w:r>
      <w:r w:rsidRPr="00011E9F">
        <w:rPr>
          <w:iCs/>
        </w:rPr>
        <w:t>Annals of glaciology</w:t>
      </w:r>
      <w:r>
        <w:t xml:space="preserve">, </w:t>
      </w:r>
      <w:r w:rsidRPr="00011E9F">
        <w:rPr>
          <w:iCs/>
        </w:rPr>
        <w:t>19</w:t>
      </w:r>
      <w:r w:rsidRPr="00011E9F">
        <w:t>,</w:t>
      </w:r>
      <w:r>
        <w:t xml:space="preserve"> 63-68, doi:</w:t>
      </w:r>
      <w:r w:rsidRPr="00011E9F">
        <w:t xml:space="preserve"> 10.3189/1994AoG19-1-63-68</w:t>
      </w:r>
      <w:r>
        <w:t>.</w:t>
      </w:r>
    </w:p>
    <w:p w:rsidR="00F35226" w:rsidRPr="00544F92" w:rsidRDefault="00F35226" w:rsidP="00F35226">
      <w:pPr>
        <w:ind w:left="284" w:hanging="284"/>
        <w:rPr>
          <w:rFonts w:cs="Helvetica"/>
          <w:lang w:val="fi-FI"/>
        </w:rPr>
      </w:pPr>
      <w:r>
        <w:t>Sturm, M., and Holmgren, J. (1999). Self-recording snow depth probe. Patent issued to the U.S. Army Corps fo Engineers by the U.S. patent office.</w:t>
      </w:r>
    </w:p>
    <w:p w:rsidR="00F35226" w:rsidRPr="00544F92" w:rsidRDefault="00F35226" w:rsidP="00F35226">
      <w:pPr>
        <w:ind w:left="284" w:hanging="284"/>
        <w:rPr>
          <w:rFonts w:cs="Helvetica"/>
        </w:rPr>
      </w:pPr>
      <w:r w:rsidRPr="00544F92">
        <w:rPr>
          <w:rFonts w:cs="Helvetica"/>
        </w:rPr>
        <w:t xml:space="preserve">Sturm, M., Taras, B., Liston, G. E., Derksen, C., Jonas, T., and Lea, J. (2010). Estimating snow water equivalent using snow depth data and climate classes. </w:t>
      </w:r>
      <w:r w:rsidRPr="00544F92">
        <w:rPr>
          <w:rFonts w:cs="Helvetica"/>
          <w:iCs/>
        </w:rPr>
        <w:t>Journal of Hydrometeorology</w:t>
      </w:r>
      <w:r w:rsidRPr="00544F92">
        <w:rPr>
          <w:rFonts w:cs="Helvetica"/>
        </w:rPr>
        <w:t xml:space="preserve">, </w:t>
      </w:r>
      <w:r w:rsidRPr="00544F92">
        <w:rPr>
          <w:rFonts w:cs="Helvetica"/>
          <w:iCs/>
        </w:rPr>
        <w:t>11</w:t>
      </w:r>
      <w:r w:rsidRPr="00544F92">
        <w:rPr>
          <w:rFonts w:cs="Helvetica"/>
        </w:rPr>
        <w:t>(6), 1380-1394, doi: 10.1175/2010JHM1202.1.</w:t>
      </w:r>
    </w:p>
    <w:p w:rsidR="00F35226" w:rsidRDefault="00F35226" w:rsidP="00F35226">
      <w:pPr>
        <w:ind w:left="284" w:hanging="284"/>
        <w:rPr>
          <w:rFonts w:cs="Helvetica"/>
        </w:rPr>
      </w:pPr>
      <w:r w:rsidRPr="00544F92">
        <w:rPr>
          <w:rFonts w:cs="Helvetica"/>
        </w:rPr>
        <w:t xml:space="preserve">Takala, M., Luojus, K., Pulliainen, J., Derksen, C., Lemmetyinen, J., Kärnä, J. P., Koskinen, J., and Bojkov, B. (2011). Estimating northern hemisphere snow water equivalent for climate research through assimilation of space-borne radiometer data and ground-based measurements. </w:t>
      </w:r>
      <w:r w:rsidRPr="00544F92">
        <w:rPr>
          <w:rFonts w:cs="Helvetica"/>
          <w:iCs/>
        </w:rPr>
        <w:t>Remote Sensing of Environment</w:t>
      </w:r>
      <w:r w:rsidRPr="00544F92">
        <w:rPr>
          <w:rFonts w:cs="Helvetica"/>
        </w:rPr>
        <w:t xml:space="preserve">, </w:t>
      </w:r>
      <w:r w:rsidRPr="00544F92">
        <w:rPr>
          <w:rFonts w:cs="Helvetica"/>
          <w:iCs/>
        </w:rPr>
        <w:t>115</w:t>
      </w:r>
      <w:r w:rsidRPr="00544F92">
        <w:rPr>
          <w:rFonts w:cs="Helvetica"/>
        </w:rPr>
        <w:t>(12), 3517-3529, doi: 10.1016/j.rse.2011.08.014.</w:t>
      </w:r>
    </w:p>
    <w:p w:rsidR="00DA0FFC" w:rsidRDefault="00F35226" w:rsidP="00F35226">
      <w:pPr>
        <w:ind w:left="284" w:hanging="284"/>
      </w:pPr>
      <w:r>
        <w:t xml:space="preserve">Taras, B., Sturm, M., and Liston, G. (2002). Snow–ground interface temperatures in the Kuparuk River Basin, arctic Alaska: Measurements and model. </w:t>
      </w:r>
      <w:r w:rsidRPr="006A6CD6">
        <w:rPr>
          <w:iCs/>
        </w:rPr>
        <w:t>Journal of Hydrometeorology</w:t>
      </w:r>
      <w:r w:rsidRPr="006A6CD6">
        <w:t xml:space="preserve">, </w:t>
      </w:r>
      <w:r w:rsidRPr="006A6CD6">
        <w:rPr>
          <w:iCs/>
        </w:rPr>
        <w:t>3</w:t>
      </w:r>
      <w:r w:rsidRPr="006A6CD6">
        <w:t>(4), 377-394</w:t>
      </w:r>
      <w:r>
        <w:t xml:space="preserve">, doi: </w:t>
      </w:r>
      <w:r w:rsidRPr="00DA0FFC">
        <w:t>10.1175/1525-7541(2002)003&lt;0377:SGITIT&gt;2.0.CO;2</w:t>
      </w:r>
      <w:r w:rsidRPr="006A6CD6">
        <w:t>.</w:t>
      </w:r>
    </w:p>
    <w:p w:rsidR="00F35226" w:rsidRPr="00544F92" w:rsidRDefault="00F35226" w:rsidP="00F35226">
      <w:pPr>
        <w:ind w:left="284" w:hanging="284"/>
        <w:rPr>
          <w:rFonts w:cs="Helvetica"/>
        </w:rPr>
      </w:pPr>
      <w:r w:rsidRPr="00544F92">
        <w:rPr>
          <w:rFonts w:cs="Helvetica"/>
        </w:rPr>
        <w:t xml:space="preserve">Tedesco, M., and Jeyaratnam, J. (2016). A New Operational Snow Retrieval Algorithm Applied to Historical AMSR-E Brightness Temperatures. </w:t>
      </w:r>
      <w:r w:rsidRPr="00544F92">
        <w:rPr>
          <w:rFonts w:cs="Helvetica"/>
          <w:iCs/>
        </w:rPr>
        <w:t>Remote Sensing</w:t>
      </w:r>
      <w:r w:rsidRPr="00544F92">
        <w:rPr>
          <w:rFonts w:cs="Helvetica"/>
        </w:rPr>
        <w:t xml:space="preserve">, </w:t>
      </w:r>
      <w:r w:rsidRPr="00544F92">
        <w:rPr>
          <w:rFonts w:cs="Helvetica"/>
          <w:iCs/>
        </w:rPr>
        <w:t>8</w:t>
      </w:r>
      <w:r w:rsidRPr="00544F92">
        <w:rPr>
          <w:rFonts w:cs="Helvetica"/>
        </w:rPr>
        <w:t>(12), 1037, doi: 10.3390/rs8121037.</w:t>
      </w:r>
    </w:p>
    <w:p w:rsidR="00F35226" w:rsidRPr="00544F92" w:rsidRDefault="00F35226" w:rsidP="00F35226">
      <w:pPr>
        <w:ind w:left="284" w:hanging="284"/>
        <w:rPr>
          <w:rFonts w:cs="Helvetica"/>
          <w:lang w:val="fi-FI"/>
        </w:rPr>
      </w:pPr>
      <w:r w:rsidRPr="00544F92">
        <w:rPr>
          <w:rFonts w:cs="Helvetica"/>
        </w:rPr>
        <w:t xml:space="preserve">Trabant, D., and Benson, C. (1972). Field experiments on the development of depth hoar. </w:t>
      </w:r>
      <w:r w:rsidRPr="00544F92">
        <w:rPr>
          <w:rFonts w:cs="Helvetica"/>
          <w:iCs/>
        </w:rPr>
        <w:t>Geological Society of America Memoirs</w:t>
      </w:r>
      <w:r w:rsidRPr="00544F92">
        <w:rPr>
          <w:rFonts w:cs="Helvetica"/>
        </w:rPr>
        <w:t xml:space="preserve">, </w:t>
      </w:r>
      <w:r w:rsidRPr="00544F92">
        <w:rPr>
          <w:rFonts w:cs="Helvetica"/>
          <w:iCs/>
        </w:rPr>
        <w:t>135</w:t>
      </w:r>
      <w:r w:rsidRPr="00544F92">
        <w:rPr>
          <w:rFonts w:cs="Helvetica"/>
        </w:rPr>
        <w:t>, 309-322, doi: 10.1130/MEM135-p309.</w:t>
      </w:r>
    </w:p>
    <w:p w:rsidR="00F35226" w:rsidRPr="00544F92" w:rsidRDefault="00F35226" w:rsidP="00F35226">
      <w:pPr>
        <w:ind w:left="284" w:hanging="284"/>
        <w:rPr>
          <w:rFonts w:eastAsia="MS Mincho" w:cs="Helvetica"/>
        </w:rPr>
      </w:pPr>
      <w:r w:rsidRPr="00544F92">
        <w:rPr>
          <w:rFonts w:cs="Helvetica"/>
        </w:rPr>
        <w:t xml:space="preserve">Ulaby, F. T., and Stiles, W. H. (1980). The active and passive microwave response to snow parameters: 2. Water equivalent of dry snow. </w:t>
      </w:r>
      <w:r w:rsidRPr="00544F92">
        <w:rPr>
          <w:rFonts w:cs="Helvetica"/>
          <w:iCs/>
        </w:rPr>
        <w:t>Journal of Geophysical Research: Oceans</w:t>
      </w:r>
      <w:r w:rsidRPr="00544F92">
        <w:rPr>
          <w:rFonts w:cs="Helvetica"/>
        </w:rPr>
        <w:t xml:space="preserve">, </w:t>
      </w:r>
      <w:r w:rsidRPr="00544F92">
        <w:rPr>
          <w:rFonts w:cs="Helvetica"/>
          <w:iCs/>
        </w:rPr>
        <w:t>85</w:t>
      </w:r>
      <w:r w:rsidRPr="00544F92">
        <w:rPr>
          <w:rFonts w:cs="Helvetica"/>
        </w:rPr>
        <w:t xml:space="preserve">(C2), 1045-1049, doi: </w:t>
      </w:r>
      <w:r w:rsidRPr="00544F92">
        <w:rPr>
          <w:rStyle w:val="article-headermeta-info-data"/>
          <w:rFonts w:cs="Helvetica"/>
        </w:rPr>
        <w:t>10.1029/JC085iC02p01045.</w:t>
      </w:r>
    </w:p>
    <w:p w:rsidR="00F35226" w:rsidRPr="00544F92" w:rsidRDefault="00F35226" w:rsidP="00F35226">
      <w:pPr>
        <w:ind w:left="284" w:hanging="284"/>
        <w:rPr>
          <w:rFonts w:cs="Helvetica"/>
        </w:rPr>
      </w:pPr>
      <w:bookmarkStart w:id="4" w:name="_Ref195888507"/>
      <w:r w:rsidRPr="00544F92">
        <w:rPr>
          <w:rFonts w:cs="Helvetica"/>
        </w:rPr>
        <w:t xml:space="preserve">Wegmüller, U., and C. Mätzler (1999). Rough Bare Soil Reflectivity Model. </w:t>
      </w:r>
      <w:r w:rsidRPr="00544F92">
        <w:rPr>
          <w:rFonts w:cs="Helvetica"/>
          <w:i/>
        </w:rPr>
        <w:t xml:space="preserve">IEEE </w:t>
      </w:r>
      <w:r w:rsidRPr="00544F92">
        <w:rPr>
          <w:rFonts w:cs="Helvetica"/>
        </w:rPr>
        <w:t>Transactions on Geoscience and Remote Sensing., 37: 1391-1395, doi: 10.1109/36.763303.</w:t>
      </w:r>
      <w:bookmarkEnd w:id="4"/>
    </w:p>
    <w:p w:rsidR="00F35226" w:rsidRPr="00544F92" w:rsidRDefault="00F35226" w:rsidP="00F35226">
      <w:pPr>
        <w:ind w:left="284" w:hanging="284"/>
        <w:rPr>
          <w:rFonts w:eastAsia="MS Mincho" w:cs="Helvetica"/>
        </w:rPr>
      </w:pPr>
      <w:r w:rsidRPr="00544F92">
        <w:rPr>
          <w:rFonts w:eastAsia="MS Mincho" w:cs="Helvetica"/>
        </w:rPr>
        <w:t xml:space="preserve">Wiesmann, A., and C. Mätzler, 1999. Microwave emission model of layered snowpacks. Remote Sensing of Environment, 70(3) 307–316, doi: </w:t>
      </w:r>
      <w:r w:rsidRPr="00544F92">
        <w:rPr>
          <w:rFonts w:cs="Helvetica"/>
        </w:rPr>
        <w:t>10.1016/S0034-4257(99)00046-2</w:t>
      </w:r>
      <w:r w:rsidRPr="00544F92">
        <w:rPr>
          <w:rFonts w:eastAsia="MS Mincho" w:cs="Helvetica"/>
        </w:rPr>
        <w:t>.</w:t>
      </w:r>
    </w:p>
    <w:p w:rsidR="00F35226" w:rsidRPr="00544F92" w:rsidRDefault="00F35226" w:rsidP="00F35226">
      <w:pPr>
        <w:ind w:left="284" w:hanging="284"/>
        <w:rPr>
          <w:rFonts w:eastAsia="MS Mincho" w:cs="Helvetica"/>
        </w:rPr>
      </w:pPr>
      <w:r w:rsidRPr="00544F92">
        <w:rPr>
          <w:rFonts w:cs="Helvetica"/>
        </w:rPr>
        <w:t xml:space="preserve">Wiscombe, W. J., and Warren, S. G. (1980). A model for the spectral albedo of snow. I: Pure snow. </w:t>
      </w:r>
      <w:r w:rsidRPr="00544F92">
        <w:rPr>
          <w:rFonts w:cs="Helvetica"/>
          <w:iCs/>
        </w:rPr>
        <w:t>Journal of the Atmospheric Sciences</w:t>
      </w:r>
      <w:r w:rsidRPr="00544F92">
        <w:rPr>
          <w:rFonts w:cs="Helvetica"/>
        </w:rPr>
        <w:t xml:space="preserve">, </w:t>
      </w:r>
      <w:r w:rsidRPr="00544F92">
        <w:rPr>
          <w:rFonts w:cs="Helvetica"/>
          <w:iCs/>
        </w:rPr>
        <w:t>37</w:t>
      </w:r>
      <w:r w:rsidRPr="00544F92">
        <w:rPr>
          <w:rFonts w:cs="Helvetica"/>
        </w:rPr>
        <w:t>(12), 2712-2733, doi: 10.1175/1520-0469(1980)037&lt;2712:AMFTSA&gt;2.0.CO;2.</w:t>
      </w:r>
    </w:p>
    <w:p w:rsidR="005667C0" w:rsidRDefault="00F35226" w:rsidP="00F35226">
      <w:pPr>
        <w:rPr>
          <w:rFonts w:cs="Helvetica"/>
        </w:rPr>
      </w:pPr>
      <w:r w:rsidRPr="00544F92">
        <w:rPr>
          <w:rFonts w:cs="Helvetica"/>
        </w:rPr>
        <w:t xml:space="preserve">Yueh, S. H., Dinardo, S. J., Akgiray, A., West, R., Cline, D. W., and Elder, K. (2009). Airborne Ku-band polarimetric radar remote sensing of terrestrial snow cover. </w:t>
      </w:r>
      <w:r w:rsidRPr="00544F92">
        <w:rPr>
          <w:rFonts w:cs="Helvetica"/>
          <w:iCs/>
        </w:rPr>
        <w:t>IEEE Transactions on Geoscience and Remote Sensing</w:t>
      </w:r>
      <w:r w:rsidRPr="00544F92">
        <w:rPr>
          <w:rFonts w:cs="Helvetica"/>
        </w:rPr>
        <w:t xml:space="preserve">, </w:t>
      </w:r>
      <w:r w:rsidRPr="00544F92">
        <w:rPr>
          <w:rFonts w:cs="Helvetica"/>
          <w:iCs/>
        </w:rPr>
        <w:t>47</w:t>
      </w:r>
      <w:r w:rsidRPr="00544F92">
        <w:rPr>
          <w:rFonts w:cs="Helvetica"/>
        </w:rPr>
        <w:t>(10), 3347-3364, doi: 10.1109/TGRS.2009.2022945</w:t>
      </w:r>
    </w:p>
    <w:p w:rsidR="001341ED" w:rsidRDefault="001341ED" w:rsidP="00F35226">
      <w:pPr>
        <w:rPr>
          <w:rFonts w:cs="Helvetica"/>
        </w:rPr>
      </w:pPr>
    </w:p>
    <w:p w:rsidR="001341ED" w:rsidRDefault="001341ED" w:rsidP="00713C01">
      <w:pPr>
        <w:pStyle w:val="Heading1"/>
        <w:spacing w:after="240"/>
      </w:pPr>
      <w:r>
        <w:t>List of figure captions</w:t>
      </w:r>
    </w:p>
    <w:p w:rsidR="001341ED" w:rsidRPr="001341ED" w:rsidRDefault="001341ED" w:rsidP="001341ED">
      <w:pPr>
        <w:pStyle w:val="Caption"/>
        <w:spacing w:line="360" w:lineRule="auto"/>
        <w:rPr>
          <w:b w:val="0"/>
          <w:color w:val="auto"/>
        </w:rPr>
      </w:pPr>
      <w:r w:rsidRPr="001341ED">
        <w:rPr>
          <w:b w:val="0"/>
          <w:color w:val="auto"/>
        </w:rPr>
        <w:t xml:space="preserve">Figure </w:t>
      </w:r>
      <w:r w:rsidRPr="001341ED">
        <w:rPr>
          <w:b w:val="0"/>
          <w:noProof/>
          <w:color w:val="auto"/>
        </w:rPr>
        <w:t>1</w:t>
      </w:r>
      <w:r w:rsidRPr="001341ED">
        <w:rPr>
          <w:b w:val="0"/>
          <w:color w:val="auto"/>
        </w:rPr>
        <w:t>: Overview of the Trail Valley Creek (TVC) research basin with vegetation (A) and SnowSAR 17.2 GHz VV backscatter overlaid (B). Boundaries of the Upland tundra (UT) and SikSik (SS) study sites are outlined in red. The higher elevation UT site was generally free of shrub or forest vegetation while SS contains discontinuous open coverage and a range of vegetated features.</w:t>
      </w:r>
    </w:p>
    <w:p w:rsidR="001341ED" w:rsidRPr="001341ED" w:rsidRDefault="001341ED" w:rsidP="001341ED">
      <w:pPr>
        <w:pStyle w:val="Caption"/>
        <w:spacing w:line="360" w:lineRule="auto"/>
        <w:rPr>
          <w:b w:val="0"/>
          <w:color w:val="auto"/>
        </w:rPr>
      </w:pPr>
      <w:r w:rsidRPr="001341ED">
        <w:rPr>
          <w:b w:val="0"/>
          <w:color w:val="auto"/>
        </w:rPr>
        <w:t xml:space="preserve">Figure </w:t>
      </w:r>
      <w:r w:rsidRPr="001341ED">
        <w:rPr>
          <w:b w:val="0"/>
          <w:noProof/>
          <w:color w:val="auto"/>
        </w:rPr>
        <w:t>2</w:t>
      </w:r>
      <w:r w:rsidRPr="001341ED">
        <w:rPr>
          <w:b w:val="0"/>
          <w:color w:val="auto"/>
        </w:rPr>
        <w:t>: Transect, pit, and airborne snow measurements at the Upland Tundra (UT) and SikSik (SS) sites. Green shaded areas indicate areas of shrub or forest vegetation greater than 50 cm in height. The background shows lidar derived snow depths detailed in section 2.3.2.</w:t>
      </w:r>
    </w:p>
    <w:p w:rsidR="001341ED" w:rsidRPr="001341ED" w:rsidRDefault="001341ED" w:rsidP="001341ED">
      <w:pPr>
        <w:pStyle w:val="Caption"/>
        <w:spacing w:line="360" w:lineRule="auto"/>
        <w:rPr>
          <w:b w:val="0"/>
          <w:noProof/>
          <w:color w:val="000000" w:themeColor="text1"/>
        </w:rPr>
      </w:pPr>
      <w:r w:rsidRPr="001341ED">
        <w:rPr>
          <w:b w:val="0"/>
          <w:color w:val="000000" w:themeColor="text1"/>
        </w:rPr>
        <w:t xml:space="preserve">Figure </w:t>
      </w:r>
      <w:r w:rsidRPr="001341ED">
        <w:rPr>
          <w:b w:val="0"/>
          <w:noProof/>
          <w:color w:val="000000" w:themeColor="text1"/>
        </w:rPr>
        <w:t>3</w:t>
      </w:r>
      <w:r w:rsidRPr="001341ED">
        <w:rPr>
          <w:b w:val="0"/>
          <w:color w:val="000000" w:themeColor="text1"/>
        </w:rPr>
        <w:t>: Probability density functions (PDFs; A) and length scales of variability (B) for open tundra SWE at the Upland Tundra (UT) and SikSik (SS) sites.</w:t>
      </w:r>
    </w:p>
    <w:p w:rsidR="001341ED" w:rsidRPr="00713C01" w:rsidRDefault="001341ED" w:rsidP="00713C01">
      <w:pPr>
        <w:pStyle w:val="Caption"/>
        <w:spacing w:after="0" w:line="360" w:lineRule="auto"/>
        <w:rPr>
          <w:color w:val="000000" w:themeColor="text1"/>
        </w:rPr>
      </w:pPr>
      <w:r w:rsidRPr="001341ED">
        <w:rPr>
          <w:b w:val="0"/>
          <w:color w:val="000000" w:themeColor="text1"/>
        </w:rPr>
        <w:t xml:space="preserve">Figure </w:t>
      </w:r>
      <w:r w:rsidRPr="001341ED">
        <w:rPr>
          <w:b w:val="0"/>
          <w:noProof/>
          <w:color w:val="000000" w:themeColor="text1"/>
        </w:rPr>
        <w:t>4</w:t>
      </w:r>
      <w:r w:rsidRPr="001341ED">
        <w:rPr>
          <w:b w:val="0"/>
          <w:color w:val="000000" w:themeColor="text1"/>
        </w:rPr>
        <w:t>: Lidar derived snow water equivalent (</w:t>
      </w:r>
      <w:r>
        <w:rPr>
          <w:b w:val="0"/>
          <w:color w:val="000000" w:themeColor="text1"/>
        </w:rPr>
        <w:t xml:space="preserve">SWE; </w:t>
      </w:r>
      <w:r w:rsidRPr="001341ED">
        <w:rPr>
          <w:b w:val="0"/>
          <w:color w:val="000000" w:themeColor="text1"/>
        </w:rPr>
        <w:t>Left) and digital elevation model derived slope (right) and at the UT site. The locations of large snow drifts are outlined in black</w:t>
      </w:r>
      <w:r>
        <w:rPr>
          <w:color w:val="000000" w:themeColor="text1"/>
        </w:rPr>
        <w:t xml:space="preserve">. </w:t>
      </w:r>
    </w:p>
    <w:p w:rsidR="00713C01" w:rsidRPr="00713C01" w:rsidRDefault="00713C01" w:rsidP="00713C01">
      <w:pPr>
        <w:pStyle w:val="Caption"/>
        <w:spacing w:before="240" w:line="360" w:lineRule="auto"/>
        <w:rPr>
          <w:b w:val="0"/>
          <w:color w:val="000000" w:themeColor="text1"/>
        </w:rPr>
      </w:pPr>
      <w:r w:rsidRPr="00713C01">
        <w:rPr>
          <w:b w:val="0"/>
          <w:color w:val="000000" w:themeColor="text1"/>
        </w:rPr>
        <w:t xml:space="preserve">Figure </w:t>
      </w:r>
      <w:r w:rsidRPr="00713C01">
        <w:rPr>
          <w:b w:val="0"/>
          <w:noProof/>
          <w:color w:val="000000" w:themeColor="text1"/>
        </w:rPr>
        <w:t>5</w:t>
      </w:r>
      <w:r w:rsidRPr="00713C01">
        <w:rPr>
          <w:b w:val="0"/>
          <w:color w:val="000000" w:themeColor="text1"/>
        </w:rPr>
        <w:t xml:space="preserve">: Near infrared photograph of snow pit 6 within the SS domain (Left) where basal depth hoar is easily distinguished by texture due to its unconsolidated structure. Microstructure estimates from IRIS, shown as </w:t>
      </w:r>
      <m:oMath>
        <m:sSub>
          <m:sSubPr>
            <m:ctrlPr>
              <w:rPr>
                <w:rFonts w:ascii="Cambria Math" w:hAnsi="Cambria Math" w:cs="Arial"/>
                <w:b w:val="0"/>
                <w:i/>
                <w:color w:val="000000" w:themeColor="text1"/>
              </w:rPr>
            </m:ctrlPr>
          </m:sSubPr>
          <m:e>
            <m:r>
              <m:rPr>
                <m:sty m:val="bi"/>
              </m:rPr>
              <w:rPr>
                <w:rFonts w:ascii="Cambria Math" w:hAnsi="Cambria Math" w:cs="Arial"/>
                <w:color w:val="000000" w:themeColor="text1"/>
              </w:rPr>
              <m:t>l</m:t>
            </m:r>
          </m:e>
          <m:sub>
            <m:r>
              <m:rPr>
                <m:nor/>
              </m:rPr>
              <w:rPr>
                <w:rFonts w:ascii="Cambria Math" w:hAnsi="Cambria Math" w:cs="Arial"/>
                <w:b w:val="0"/>
                <w:color w:val="000000" w:themeColor="text1"/>
              </w:rPr>
              <m:t>ex</m:t>
            </m:r>
          </m:sub>
        </m:sSub>
      </m:oMath>
      <w:r w:rsidRPr="00713C01">
        <w:rPr>
          <w:b w:val="0"/>
          <w:color w:val="000000" w:themeColor="text1"/>
        </w:rPr>
        <w:t>, were largest near the basal surface.</w:t>
      </w:r>
    </w:p>
    <w:p w:rsidR="00713C01" w:rsidRPr="00713C01" w:rsidRDefault="00713C01" w:rsidP="00713C01">
      <w:pPr>
        <w:pStyle w:val="Caption"/>
        <w:spacing w:line="360" w:lineRule="auto"/>
        <w:rPr>
          <w:b w:val="0"/>
          <w:color w:val="000000" w:themeColor="text1"/>
        </w:rPr>
      </w:pPr>
      <w:r w:rsidRPr="00713C01">
        <w:rPr>
          <w:b w:val="0"/>
          <w:color w:val="000000" w:themeColor="text1"/>
        </w:rPr>
        <w:t xml:space="preserve">Figure </w:t>
      </w:r>
      <w:r w:rsidRPr="00713C01">
        <w:rPr>
          <w:b w:val="0"/>
          <w:noProof/>
          <w:color w:val="000000" w:themeColor="text1"/>
        </w:rPr>
        <w:t>6</w:t>
      </w:r>
      <w:r w:rsidRPr="00713C01">
        <w:rPr>
          <w:b w:val="0"/>
          <w:color w:val="000000" w:themeColor="text1"/>
        </w:rPr>
        <w:t>: Exponential correlation length (</w:t>
      </w:r>
      <m:oMath>
        <m:sSub>
          <m:sSubPr>
            <m:ctrlPr>
              <w:rPr>
                <w:rFonts w:ascii="Cambria Math" w:hAnsi="Cambria Math" w:cs="Arial"/>
                <w:b w:val="0"/>
                <w:i/>
                <w:color w:val="000000" w:themeColor="text1"/>
              </w:rPr>
            </m:ctrlPr>
          </m:sSubPr>
          <m:e>
            <m:r>
              <m:rPr>
                <m:sty m:val="bi"/>
              </m:rPr>
              <w:rPr>
                <w:rFonts w:ascii="Cambria Math" w:hAnsi="Cambria Math" w:cs="Arial"/>
                <w:color w:val="000000" w:themeColor="text1"/>
              </w:rPr>
              <m:t>l</m:t>
            </m:r>
          </m:e>
          <m:sub>
            <m:r>
              <m:rPr>
                <m:nor/>
              </m:rPr>
              <w:rPr>
                <w:rFonts w:ascii="Cambria Math" w:hAnsi="Cambria Math" w:cs="Arial"/>
                <w:b w:val="0"/>
                <w:color w:val="000000" w:themeColor="text1"/>
              </w:rPr>
              <m:t>ex</m:t>
            </m:r>
          </m:sub>
        </m:sSub>
      </m:oMath>
      <w:r w:rsidRPr="00713C01">
        <w:rPr>
          <w:b w:val="0"/>
          <w:color w:val="000000" w:themeColor="text1"/>
        </w:rPr>
        <w:t xml:space="preserve">) within the 11 snow pits. Probability density functions (PDFs) show difference between slab </w:t>
      </w:r>
      <w:r>
        <w:rPr>
          <w:b w:val="0"/>
          <w:color w:val="000000" w:themeColor="text1"/>
        </w:rPr>
        <w:t>and</w:t>
      </w:r>
      <w:r w:rsidRPr="00713C01">
        <w:rPr>
          <w:b w:val="0"/>
          <w:color w:val="000000" w:themeColor="text1"/>
        </w:rPr>
        <w:t xml:space="preserve"> depth hoar layer classified measurements. Estimates of </w:t>
      </w:r>
      <m:oMath>
        <m:sSub>
          <m:sSubPr>
            <m:ctrlPr>
              <w:rPr>
                <w:rFonts w:ascii="Cambria Math" w:hAnsi="Cambria Math" w:cs="Arial"/>
                <w:b w:val="0"/>
                <w:i/>
                <w:color w:val="000000" w:themeColor="text1"/>
              </w:rPr>
            </m:ctrlPr>
          </m:sSubPr>
          <m:e>
            <m:r>
              <m:rPr>
                <m:sty m:val="bi"/>
              </m:rPr>
              <w:rPr>
                <w:rFonts w:ascii="Cambria Math" w:hAnsi="Cambria Math" w:cs="Arial"/>
                <w:color w:val="000000" w:themeColor="text1"/>
              </w:rPr>
              <m:t>l</m:t>
            </m:r>
          </m:e>
          <m:sub>
            <m:r>
              <m:rPr>
                <m:nor/>
              </m:rPr>
              <w:rPr>
                <w:rFonts w:ascii="Cambria Math" w:hAnsi="Cambria Math" w:cs="Arial"/>
                <w:b w:val="0"/>
                <w:color w:val="000000" w:themeColor="text1"/>
              </w:rPr>
              <m:t>ex</m:t>
            </m:r>
          </m:sub>
        </m:sSub>
      </m:oMath>
      <w:r w:rsidRPr="00713C01">
        <w:rPr>
          <w:b w:val="0"/>
          <w:color w:val="000000" w:themeColor="text1"/>
        </w:rPr>
        <w:t xml:space="preserve"> were derived from IRIS measurements as detailed in Section 2.2.</w:t>
      </w:r>
    </w:p>
    <w:p w:rsidR="00713C01" w:rsidRPr="00713C01" w:rsidRDefault="00713C01" w:rsidP="00713C01">
      <w:pPr>
        <w:pStyle w:val="Caption"/>
        <w:rPr>
          <w:b w:val="0"/>
          <w:color w:val="000000" w:themeColor="text1"/>
        </w:rPr>
      </w:pPr>
      <w:r w:rsidRPr="00713C01">
        <w:rPr>
          <w:b w:val="0"/>
          <w:color w:val="000000" w:themeColor="text1"/>
        </w:rPr>
        <w:t xml:space="preserve">Figure </w:t>
      </w:r>
      <w:r w:rsidRPr="00713C01">
        <w:rPr>
          <w:b w:val="0"/>
          <w:noProof/>
          <w:color w:val="000000" w:themeColor="text1"/>
        </w:rPr>
        <w:t>7</w:t>
      </w:r>
      <w:r w:rsidRPr="00713C01">
        <w:rPr>
          <w:b w:val="0"/>
          <w:color w:val="000000" w:themeColor="text1"/>
        </w:rPr>
        <w:t xml:space="preserve">: Optimization of exponential correlation length </w:t>
      </w:r>
      <w:r w:rsidRPr="00713C01">
        <w:rPr>
          <w:rFonts w:eastAsiaTheme="minorEastAsia"/>
          <w:b w:val="0"/>
          <w:color w:val="000000" w:themeColor="text1"/>
        </w:rPr>
        <w:t>(</w:t>
      </w:r>
      <m:oMath>
        <m:sSub>
          <m:sSubPr>
            <m:ctrlPr>
              <w:rPr>
                <w:rFonts w:ascii="Cambria Math" w:hAnsi="Cambria Math"/>
                <w:b w:val="0"/>
                <w:noProof/>
                <w:color w:val="000000" w:themeColor="text1"/>
              </w:rPr>
            </m:ctrlPr>
          </m:sSubPr>
          <m:e>
            <m:r>
              <m:rPr>
                <m:sty m:val="bi"/>
              </m:rPr>
              <w:rPr>
                <w:rFonts w:ascii="Cambria Math" w:hAnsi="Cambria Math"/>
                <w:color w:val="000000" w:themeColor="text1"/>
              </w:rPr>
              <m:t>l</m:t>
            </m:r>
          </m:e>
          <m:sub>
            <m:r>
              <m:rPr>
                <m:sty m:val="bi"/>
              </m:rPr>
              <w:rPr>
                <w:rFonts w:ascii="Cambria Math" w:hAnsi="Cambria Math"/>
                <w:color w:val="000000" w:themeColor="text1"/>
              </w:rPr>
              <m:t>ex</m:t>
            </m:r>
          </m:sub>
        </m:sSub>
      </m:oMath>
      <w:r w:rsidRPr="00713C01">
        <w:rPr>
          <w:rFonts w:eastAsiaTheme="minorEastAsia"/>
          <w:b w:val="0"/>
          <w:color w:val="000000" w:themeColor="text1"/>
        </w:rPr>
        <w:t>)</w:t>
      </w:r>
      <w:r w:rsidRPr="00713C01">
        <w:rPr>
          <w:b w:val="0"/>
          <w:color w:val="000000" w:themeColor="text1"/>
        </w:rPr>
        <w:t xml:space="preserve"> at 17.2 GHz (A) by way of scaling (</w:t>
      </w:r>
      <m:oMath>
        <m:r>
          <m:rPr>
            <m:sty m:val="b"/>
          </m:rPr>
          <w:rPr>
            <w:rFonts w:ascii="Cambria Math" w:eastAsiaTheme="minorEastAsia" w:hAnsi="Cambria Math"/>
            <w:color w:val="000000" w:themeColor="text1"/>
          </w:rPr>
          <m:t>ϕ</m:t>
        </m:r>
      </m:oMath>
      <w:r w:rsidRPr="00713C01">
        <w:rPr>
          <w:b w:val="0"/>
          <w:color w:val="000000" w:themeColor="text1"/>
        </w:rPr>
        <w:t>) in 1-, 2-, and n-layer configurations of MEMLS. Soil roughness (</w:t>
      </w:r>
      <m:oMath>
        <m:r>
          <m:rPr>
            <m:sty m:val="bi"/>
          </m:rPr>
          <w:rPr>
            <w:rFonts w:ascii="Cambria Math" w:hAnsi="Cambria Math"/>
            <w:color w:val="000000" w:themeColor="text1"/>
          </w:rPr>
          <m:t>h</m:t>
        </m:r>
      </m:oMath>
      <w:r w:rsidRPr="00713C01">
        <w:rPr>
          <w:b w:val="0"/>
          <w:color w:val="000000" w:themeColor="text1"/>
        </w:rPr>
        <w:t>) sensitivity analysis at 9.6 GHz (B) using the reflectivity model of Wegmüller and Mätzler (1999).</w:t>
      </w:r>
    </w:p>
    <w:p w:rsidR="00713C01" w:rsidRPr="00713C01" w:rsidRDefault="00713C01" w:rsidP="00713C01">
      <w:pPr>
        <w:pStyle w:val="Caption"/>
        <w:rPr>
          <w:rFonts w:cs="Helvetica"/>
          <w:b w:val="0"/>
          <w:color w:val="auto"/>
        </w:rPr>
      </w:pPr>
      <w:r w:rsidRPr="00713C01">
        <w:rPr>
          <w:rFonts w:cs="Helvetica"/>
          <w:b w:val="0"/>
          <w:color w:val="auto"/>
        </w:rPr>
        <w:t xml:space="preserve">Figure </w:t>
      </w:r>
      <w:r w:rsidRPr="00713C01">
        <w:rPr>
          <w:rFonts w:cs="Helvetica"/>
          <w:b w:val="0"/>
          <w:noProof/>
          <w:color w:val="auto"/>
        </w:rPr>
        <w:t>8</w:t>
      </w:r>
      <w:r w:rsidRPr="00713C01">
        <w:rPr>
          <w:rFonts w:cs="Helvetica"/>
          <w:b w:val="0"/>
          <w:color w:val="auto"/>
        </w:rPr>
        <w:t xml:space="preserve">: Comparison of optimized MEMLS simulations and SnowSAR measured </w:t>
      </w:r>
      <m:oMath>
        <m:sSubSup>
          <m:sSubSupPr>
            <m:ctrlPr>
              <w:rPr>
                <w:rFonts w:ascii="Cambria Math" w:hAnsi="Cambria Math" w:cs="Helvetica"/>
                <w:b w:val="0"/>
                <w:color w:val="auto"/>
                <w:vertAlign w:val="superscript"/>
              </w:rPr>
            </m:ctrlPr>
          </m:sSubSupPr>
          <m:e>
            <m:r>
              <m:rPr>
                <m:sty m:val="bi"/>
              </m:rPr>
              <w:rPr>
                <w:rFonts w:ascii="Cambria Math" w:hAnsi="Cambria Math" w:cs="Helvetica"/>
                <w:color w:val="auto"/>
                <w:vertAlign w:val="superscript"/>
              </w:rPr>
              <m:t>σ</m:t>
            </m:r>
          </m:e>
          <m:sub>
            <m:r>
              <m:rPr>
                <m:sty m:val="bi"/>
              </m:rPr>
              <w:rPr>
                <w:rFonts w:ascii="Cambria Math" w:hAnsi="Cambria Math" w:cs="Helvetica"/>
                <w:color w:val="auto"/>
                <w:vertAlign w:val="superscript"/>
              </w:rPr>
              <m:t>vv</m:t>
            </m:r>
          </m:sub>
          <m:sup>
            <m:r>
              <m:rPr>
                <m:sty m:val="bi"/>
              </m:rPr>
              <w:rPr>
                <w:rFonts w:ascii="Cambria Math" w:hAnsi="Cambria Math" w:cs="Helvetica"/>
                <w:color w:val="auto"/>
                <w:vertAlign w:val="superscript"/>
              </w:rPr>
              <m:t>0</m:t>
            </m:r>
          </m:sup>
        </m:sSubSup>
      </m:oMath>
      <w:r w:rsidRPr="00713C01">
        <w:rPr>
          <w:rFonts w:eastAsiaTheme="minorEastAsia" w:cs="Helvetica"/>
          <w:b w:val="0"/>
          <w:color w:val="auto"/>
          <w:vertAlign w:val="superscript"/>
        </w:rPr>
        <w:t xml:space="preserve"> </w:t>
      </w:r>
      <w:r w:rsidRPr="00713C01">
        <w:rPr>
          <w:rFonts w:eastAsiaTheme="minorEastAsia" w:cs="Helvetica"/>
          <w:b w:val="0"/>
          <w:color w:val="auto"/>
        </w:rPr>
        <w:t>at each snow pit in 1-, 2- and n-layer configurations</w:t>
      </w:r>
      <w:r w:rsidRPr="00713C01">
        <w:rPr>
          <w:rFonts w:cs="Helvetica"/>
          <w:b w:val="0"/>
          <w:color w:val="auto"/>
        </w:rPr>
        <w:t>.  Adjusted (</w:t>
      </w:r>
      <m:oMath>
        <m:sSub>
          <m:sSubPr>
            <m:ctrlPr>
              <w:rPr>
                <w:rFonts w:ascii="Cambria Math" w:eastAsiaTheme="minorEastAsia" w:hAnsi="Cambria Math" w:cs="Helvetica"/>
                <w:b w:val="0"/>
                <w:color w:val="auto"/>
              </w:rPr>
            </m:ctrlPr>
          </m:sSubPr>
          <m:e>
            <m:r>
              <m:rPr>
                <m:sty m:val="b"/>
              </m:rPr>
              <w:rPr>
                <w:rFonts w:ascii="Cambria Math" w:eastAsiaTheme="minorEastAsia" w:hAnsi="Cambria Math" w:cs="Helvetica"/>
                <w:color w:val="auto"/>
              </w:rPr>
              <m:t>ϕ</m:t>
            </m:r>
          </m:e>
          <m:sub>
            <m:r>
              <m:rPr>
                <m:sty m:val="b"/>
              </m:rPr>
              <w:rPr>
                <w:rFonts w:ascii="Cambria Math" w:eastAsiaTheme="minorEastAsia" w:hAnsi="Cambria Math" w:cs="Helvetica"/>
                <w:color w:val="auto"/>
              </w:rPr>
              <m:t>opt</m:t>
            </m:r>
          </m:sub>
        </m:sSub>
      </m:oMath>
      <w:r w:rsidRPr="00713C01">
        <w:rPr>
          <w:rFonts w:eastAsiaTheme="minorEastAsia" w:cs="Helvetica"/>
          <w:b w:val="0"/>
          <w:color w:val="auto"/>
        </w:rPr>
        <w:t xml:space="preserve">) input of </w:t>
      </w:r>
      <m:oMath>
        <m:sSub>
          <m:sSubPr>
            <m:ctrlPr>
              <w:rPr>
                <w:rFonts w:ascii="Cambria Math" w:hAnsi="Cambria Math" w:cs="Helvetica"/>
                <w:b w:val="0"/>
                <w:i/>
                <w:color w:val="auto"/>
              </w:rPr>
            </m:ctrlPr>
          </m:sSubPr>
          <m:e>
            <m:r>
              <m:rPr>
                <m:sty m:val="bi"/>
              </m:rPr>
              <w:rPr>
                <w:rFonts w:ascii="Cambria Math" w:hAnsi="Cambria Math" w:cs="Helvetica"/>
                <w:color w:val="auto"/>
              </w:rPr>
              <m:t>l</m:t>
            </m:r>
          </m:e>
          <m:sub>
            <m:r>
              <m:rPr>
                <m:nor/>
              </m:rPr>
              <w:rPr>
                <w:rFonts w:cs="Helvetica"/>
                <w:b w:val="0"/>
                <w:color w:val="auto"/>
              </w:rPr>
              <m:t>ex</m:t>
            </m:r>
          </m:sub>
        </m:sSub>
      </m:oMath>
      <w:r w:rsidRPr="00713C01">
        <w:rPr>
          <w:rFonts w:eastAsiaTheme="minorEastAsia" w:cs="Helvetica"/>
          <w:b w:val="0"/>
          <w:color w:val="auto"/>
        </w:rPr>
        <w:t xml:space="preserve"> listed for each configuration in addition to the optimized soil input (</w:t>
      </w:r>
      <w:r w:rsidRPr="00713C01">
        <w:rPr>
          <w:rFonts w:eastAsiaTheme="minorEastAsia" w:cs="Helvetica"/>
          <w:b w:val="0"/>
          <w:i/>
          <w:color w:val="auto"/>
        </w:rPr>
        <w:t>h</w:t>
      </w:r>
      <w:r w:rsidRPr="00713C01">
        <w:rPr>
          <w:rFonts w:eastAsiaTheme="minorEastAsia" w:cs="Helvetica"/>
          <w:b w:val="0"/>
          <w:color w:val="auto"/>
        </w:rPr>
        <w:t>).</w:t>
      </w:r>
    </w:p>
    <w:p w:rsidR="00713C01" w:rsidRPr="00713C01" w:rsidRDefault="00713C01" w:rsidP="00713C01">
      <w:pPr>
        <w:pStyle w:val="Caption"/>
        <w:rPr>
          <w:rFonts w:eastAsiaTheme="minorEastAsia"/>
          <w:b w:val="0"/>
          <w:color w:val="auto"/>
        </w:rPr>
      </w:pPr>
      <w:r w:rsidRPr="00713C01">
        <w:rPr>
          <w:b w:val="0"/>
          <w:color w:val="auto"/>
        </w:rPr>
        <w:t xml:space="preserve">Figure </w:t>
      </w:r>
      <w:r w:rsidRPr="00713C01">
        <w:rPr>
          <w:b w:val="0"/>
          <w:noProof/>
          <w:color w:val="auto"/>
        </w:rPr>
        <w:t>9</w:t>
      </w:r>
      <w:r w:rsidRPr="00713C01">
        <w:rPr>
          <w:b w:val="0"/>
          <w:color w:val="auto"/>
        </w:rPr>
        <w:t xml:space="preserve">: </w:t>
      </w:r>
      <w:r>
        <w:rPr>
          <w:b w:val="0"/>
          <w:color w:val="auto"/>
        </w:rPr>
        <w:t>Distribution</w:t>
      </w:r>
      <w:r w:rsidRPr="00713C01">
        <w:rPr>
          <w:b w:val="0"/>
          <w:color w:val="auto"/>
        </w:rPr>
        <w:t xml:space="preserve"> of SnowSAR </w:t>
      </w:r>
      <m:oMath>
        <m:sSubSup>
          <m:sSubSupPr>
            <m:ctrlPr>
              <w:rPr>
                <w:rFonts w:ascii="Cambria Math" w:hAnsi="Cambria Math" w:cs="Helvetica"/>
                <w:b w:val="0"/>
                <w:color w:val="auto"/>
                <w:vertAlign w:val="superscript"/>
              </w:rPr>
            </m:ctrlPr>
          </m:sSubSupPr>
          <m:e>
            <m:r>
              <m:rPr>
                <m:sty m:val="bi"/>
              </m:rPr>
              <w:rPr>
                <w:rFonts w:ascii="Cambria Math" w:hAnsi="Cambria Math" w:cs="Helvetica"/>
                <w:color w:val="auto"/>
                <w:vertAlign w:val="superscript"/>
              </w:rPr>
              <m:t>σ</m:t>
            </m:r>
          </m:e>
          <m:sub>
            <m:r>
              <m:rPr>
                <m:sty m:val="bi"/>
              </m:rPr>
              <w:rPr>
                <w:rFonts w:ascii="Cambria Math" w:hAnsi="Cambria Math" w:cs="Helvetica"/>
                <w:color w:val="auto"/>
                <w:vertAlign w:val="superscript"/>
              </w:rPr>
              <m:t>vv</m:t>
            </m:r>
          </m:sub>
          <m:sup>
            <m:r>
              <m:rPr>
                <m:sty m:val="bi"/>
              </m:rPr>
              <w:rPr>
                <w:rFonts w:ascii="Cambria Math" w:hAnsi="Cambria Math" w:cs="Helvetica"/>
                <w:color w:val="auto"/>
                <w:vertAlign w:val="superscript"/>
              </w:rPr>
              <m:t>0</m:t>
            </m:r>
          </m:sup>
        </m:sSubSup>
      </m:oMath>
      <w:r w:rsidRPr="00713C01">
        <w:rPr>
          <w:rFonts w:eastAsiaTheme="minorEastAsia"/>
          <w:b w:val="0"/>
          <w:color w:val="auto"/>
        </w:rPr>
        <w:t xml:space="preserve"> at 9.6 (Black) and 17.2 GHz (Grey) within the SikSik (SS) and Upland Tundra (UT) sites. Measurements have been restricted to those located in open tundra.</w:t>
      </w:r>
    </w:p>
    <w:p w:rsidR="00713C01" w:rsidRPr="00713C01" w:rsidRDefault="00713C01" w:rsidP="00713C01">
      <w:pPr>
        <w:pStyle w:val="Caption"/>
        <w:spacing w:before="240"/>
        <w:rPr>
          <w:rFonts w:cs="Helvetica"/>
          <w:b w:val="0"/>
          <w:color w:val="auto"/>
        </w:rPr>
      </w:pPr>
      <w:r w:rsidRPr="00713C01">
        <w:rPr>
          <w:rFonts w:cs="Helvetica"/>
          <w:b w:val="0"/>
          <w:color w:val="auto"/>
        </w:rPr>
        <w:t xml:space="preserve">Figure 10: Relationship between SnowSAR </w:t>
      </w:r>
      <m:oMath>
        <m:sSubSup>
          <m:sSubSupPr>
            <m:ctrlPr>
              <w:rPr>
                <w:rFonts w:ascii="Cambria Math" w:hAnsi="Cambria Math" w:cs="Helvetica"/>
                <w:b w:val="0"/>
                <w:color w:val="auto"/>
                <w:vertAlign w:val="superscript"/>
              </w:rPr>
            </m:ctrlPr>
          </m:sSubSupPr>
          <m:e>
            <m:r>
              <m:rPr>
                <m:sty m:val="bi"/>
              </m:rPr>
              <w:rPr>
                <w:rFonts w:ascii="Cambria Math" w:hAnsi="Cambria Math" w:cs="Helvetica"/>
                <w:color w:val="auto"/>
                <w:vertAlign w:val="superscript"/>
              </w:rPr>
              <m:t>σ</m:t>
            </m:r>
          </m:e>
          <m:sub>
            <m:r>
              <m:rPr>
                <m:sty m:val="bi"/>
              </m:rPr>
              <w:rPr>
                <w:rFonts w:ascii="Cambria Math" w:hAnsi="Cambria Math" w:cs="Helvetica"/>
                <w:color w:val="auto"/>
                <w:vertAlign w:val="superscript"/>
              </w:rPr>
              <m:t>vv</m:t>
            </m:r>
          </m:sub>
          <m:sup>
            <m:r>
              <m:rPr>
                <m:sty m:val="bi"/>
              </m:rPr>
              <w:rPr>
                <w:rFonts w:ascii="Cambria Math" w:hAnsi="Cambria Math" w:cs="Helvetica"/>
                <w:color w:val="auto"/>
                <w:vertAlign w:val="superscript"/>
              </w:rPr>
              <m:t>0</m:t>
            </m:r>
          </m:sup>
        </m:sSubSup>
      </m:oMath>
      <w:r w:rsidRPr="00713C01">
        <w:rPr>
          <w:rFonts w:eastAsiaTheme="minorEastAsia" w:cs="Helvetica"/>
          <w:b w:val="0"/>
          <w:color w:val="auto"/>
          <w:vertAlign w:val="superscript"/>
        </w:rPr>
        <w:t xml:space="preserve"> </w:t>
      </w:r>
      <w:r w:rsidRPr="00713C01">
        <w:rPr>
          <w:rFonts w:eastAsiaTheme="minorEastAsia" w:cs="Helvetica"/>
          <w:b w:val="0"/>
          <w:color w:val="auto"/>
        </w:rPr>
        <w:t>and SWE at the SS and UT sites (Black dots and boxplots)</w:t>
      </w:r>
      <w:r w:rsidRPr="00713C01">
        <w:rPr>
          <w:rFonts w:cs="Helvetica"/>
          <w:b w:val="0"/>
          <w:color w:val="auto"/>
        </w:rPr>
        <w:t xml:space="preserve">. </w:t>
      </w:r>
      <w:r w:rsidRPr="00713C01">
        <w:rPr>
          <w:rFonts w:eastAsiaTheme="minorEastAsia" w:cs="Helvetica"/>
          <w:b w:val="0"/>
          <w:color w:val="auto"/>
        </w:rPr>
        <w:t xml:space="preserve">Grey shaded area shows the MEMLS 1-layer simulated range of variability based on snow pit properties. The solid and dashed lines are for </w:t>
      </w:r>
      <m:oMath>
        <m:sSub>
          <m:sSubPr>
            <m:ctrlPr>
              <w:rPr>
                <w:rFonts w:ascii="Cambria Math" w:hAnsi="Cambria Math"/>
                <w:b w:val="0"/>
                <w:i/>
                <w:color w:val="auto"/>
              </w:rPr>
            </m:ctrlPr>
          </m:sSubPr>
          <m:e>
            <m:r>
              <m:rPr>
                <m:sty m:val="bi"/>
              </m:rPr>
              <w:rPr>
                <w:rFonts w:ascii="Cambria Math" w:hAnsi="Cambria Math"/>
                <w:color w:val="auto"/>
              </w:rPr>
              <m:t>l</m:t>
            </m:r>
          </m:e>
          <m:sub>
            <m:r>
              <m:rPr>
                <m:nor/>
              </m:rPr>
              <w:rPr>
                <w:rFonts w:ascii="Cambria Math" w:hAnsi="Cambria Math"/>
                <w:b w:val="0"/>
                <w:color w:val="auto"/>
              </w:rPr>
              <m:t>ex</m:t>
            </m:r>
          </m:sub>
        </m:sSub>
      </m:oMath>
      <w:r w:rsidRPr="00713C01">
        <w:rPr>
          <w:rFonts w:eastAsiaTheme="minorEastAsia" w:cs="Helvetica"/>
          <w:b w:val="0"/>
          <w:color w:val="auto"/>
        </w:rPr>
        <w:t xml:space="preserve"> of 0.383 and 0.247 mm, representing the first standard deviation of the in situ measurements.</w:t>
      </w:r>
    </w:p>
    <w:p w:rsidR="00713C01" w:rsidRPr="00713C01" w:rsidRDefault="00713C01" w:rsidP="00713C01">
      <w:pPr>
        <w:pStyle w:val="Caption"/>
        <w:spacing w:before="240"/>
        <w:rPr>
          <w:rFonts w:eastAsiaTheme="minorEastAsia" w:cs="Helvetica"/>
          <w:b w:val="0"/>
          <w:color w:val="auto"/>
        </w:rPr>
      </w:pPr>
      <w:r w:rsidRPr="00713C01">
        <w:rPr>
          <w:rFonts w:cs="Helvetica"/>
          <w:b w:val="0"/>
          <w:color w:val="auto"/>
        </w:rPr>
        <w:t xml:space="preserve">Figure 11: MEMLS 2-layer </w:t>
      </w:r>
      <m:oMath>
        <m:sSubSup>
          <m:sSubSupPr>
            <m:ctrlPr>
              <w:rPr>
                <w:rFonts w:ascii="Cambria Math" w:hAnsi="Cambria Math" w:cs="Helvetica"/>
                <w:b w:val="0"/>
                <w:color w:val="auto"/>
                <w:vertAlign w:val="superscript"/>
              </w:rPr>
            </m:ctrlPr>
          </m:sSubSupPr>
          <m:e>
            <m:r>
              <m:rPr>
                <m:sty m:val="bi"/>
              </m:rPr>
              <w:rPr>
                <w:rFonts w:ascii="Cambria Math" w:hAnsi="Cambria Math" w:cs="Helvetica"/>
                <w:color w:val="auto"/>
                <w:vertAlign w:val="superscript"/>
              </w:rPr>
              <m:t>σ</m:t>
            </m:r>
          </m:e>
          <m:sub>
            <m:r>
              <m:rPr>
                <m:sty m:val="bi"/>
              </m:rPr>
              <w:rPr>
                <w:rFonts w:ascii="Cambria Math" w:hAnsi="Cambria Math" w:cs="Helvetica"/>
                <w:color w:val="auto"/>
                <w:vertAlign w:val="superscript"/>
              </w:rPr>
              <m:t>vv</m:t>
            </m:r>
          </m:sub>
          <m:sup>
            <m:r>
              <m:rPr>
                <m:sty m:val="bi"/>
              </m:rPr>
              <w:rPr>
                <w:rFonts w:ascii="Cambria Math" w:hAnsi="Cambria Math" w:cs="Helvetica"/>
                <w:color w:val="auto"/>
                <w:vertAlign w:val="superscript"/>
              </w:rPr>
              <m:t>0</m:t>
            </m:r>
          </m:sup>
        </m:sSubSup>
      </m:oMath>
      <w:r w:rsidRPr="00713C01">
        <w:rPr>
          <w:rFonts w:eastAsiaTheme="minorEastAsia" w:cs="Helvetica"/>
          <w:b w:val="0"/>
          <w:color w:val="auto"/>
          <w:vertAlign w:val="superscript"/>
        </w:rPr>
        <w:t xml:space="preserve"> </w:t>
      </w:r>
      <w:r w:rsidRPr="00713C01">
        <w:rPr>
          <w:rFonts w:cs="Helvetica"/>
          <w:b w:val="0"/>
          <w:color w:val="auto"/>
        </w:rPr>
        <w:t>sensitivity to increasing wind slab composition</w:t>
      </w:r>
      <w:r>
        <w:rPr>
          <w:rFonts w:cs="Helvetica"/>
          <w:b w:val="0"/>
          <w:color w:val="auto"/>
        </w:rPr>
        <w:t xml:space="preserve"> in a snowpack</w:t>
      </w:r>
      <w:r w:rsidRPr="00713C01">
        <w:rPr>
          <w:rFonts w:cs="Helvetica"/>
          <w:b w:val="0"/>
          <w:color w:val="auto"/>
        </w:rPr>
        <w:t xml:space="preserve"> with total SWE between 50 and 250 mm. A constant depth hoar layer of 15 cm (34 mm SWE) was maintained while increasing thickness of the wind slab </w:t>
      </w:r>
      <w:r>
        <w:rPr>
          <w:rFonts w:cs="Helvetica"/>
          <w:b w:val="0"/>
          <w:color w:val="auto"/>
        </w:rPr>
        <w:t>between</w:t>
      </w:r>
      <w:r w:rsidRPr="00713C01">
        <w:rPr>
          <w:rFonts w:cs="Helvetica"/>
          <w:b w:val="0"/>
          <w:color w:val="auto"/>
        </w:rPr>
        <w:t xml:space="preserve"> 5 </w:t>
      </w:r>
      <w:r>
        <w:rPr>
          <w:rFonts w:cs="Helvetica"/>
          <w:b w:val="0"/>
          <w:color w:val="auto"/>
        </w:rPr>
        <w:t>and</w:t>
      </w:r>
      <w:r w:rsidRPr="00713C01">
        <w:rPr>
          <w:rFonts w:cs="Helvetica"/>
          <w:b w:val="0"/>
          <w:color w:val="auto"/>
        </w:rPr>
        <w:t xml:space="preserve"> 75 cm. The grey shaded area shows the response within the standard deviation range of snow pit observed slab </w:t>
      </w:r>
      <m:oMath>
        <m:sSub>
          <m:sSubPr>
            <m:ctrlPr>
              <w:rPr>
                <w:rFonts w:ascii="Cambria Math" w:hAnsi="Cambria Math"/>
                <w:b w:val="0"/>
                <w:i/>
                <w:color w:val="auto"/>
              </w:rPr>
            </m:ctrlPr>
          </m:sSubPr>
          <m:e>
            <m:r>
              <m:rPr>
                <m:sty m:val="bi"/>
              </m:rPr>
              <w:rPr>
                <w:rFonts w:ascii="Cambria Math" w:hAnsi="Cambria Math"/>
                <w:color w:val="auto"/>
              </w:rPr>
              <m:t>l</m:t>
            </m:r>
          </m:e>
          <m:sub>
            <m:r>
              <m:rPr>
                <m:nor/>
              </m:rPr>
              <w:rPr>
                <w:rFonts w:ascii="Cambria Math" w:hAnsi="Cambria Math"/>
                <w:b w:val="0"/>
                <w:color w:val="auto"/>
              </w:rPr>
              <m:t>ex</m:t>
            </m:r>
          </m:sub>
        </m:sSub>
      </m:oMath>
      <w:r w:rsidRPr="00713C01">
        <w:rPr>
          <w:rFonts w:eastAsiaTheme="minorEastAsia" w:cs="Helvetica"/>
          <w:b w:val="0"/>
          <w:color w:val="auto"/>
        </w:rPr>
        <w:t xml:space="preserve">. </w:t>
      </w:r>
      <w:r>
        <w:rPr>
          <w:rFonts w:eastAsiaTheme="minorEastAsia" w:cs="Helvetica"/>
          <w:b w:val="0"/>
          <w:color w:val="auto"/>
        </w:rPr>
        <w:t xml:space="preserve">The top panel shows the thickness weighted mean for each of the slab parametrizations as a function of total SWE. </w:t>
      </w:r>
      <w:r w:rsidRPr="00713C01">
        <w:rPr>
          <w:rFonts w:eastAsiaTheme="minorEastAsia" w:cs="Helvetica"/>
          <w:b w:val="0"/>
          <w:color w:val="auto"/>
        </w:rPr>
        <w:t xml:space="preserve">Blue lines show control simulations where microstructures of both layers </w:t>
      </w:r>
      <w:r>
        <w:rPr>
          <w:rFonts w:eastAsiaTheme="minorEastAsia" w:cs="Helvetica"/>
          <w:b w:val="0"/>
          <w:color w:val="auto"/>
        </w:rPr>
        <w:t>were assigned</w:t>
      </w:r>
      <w:r w:rsidRPr="00713C01">
        <w:rPr>
          <w:rFonts w:eastAsiaTheme="minorEastAsia" w:cs="Helvetica"/>
          <w:b w:val="0"/>
          <w:color w:val="auto"/>
        </w:rPr>
        <w:t xml:space="preserve"> </w:t>
      </w:r>
      <m:oMath>
        <m:sSub>
          <m:sSubPr>
            <m:ctrlPr>
              <w:rPr>
                <w:rFonts w:ascii="Cambria Math" w:hAnsi="Cambria Math"/>
                <w:b w:val="0"/>
                <w:i/>
                <w:color w:val="auto"/>
              </w:rPr>
            </m:ctrlPr>
          </m:sSubPr>
          <m:e>
            <m:r>
              <m:rPr>
                <m:sty m:val="bi"/>
              </m:rPr>
              <w:rPr>
                <w:rFonts w:ascii="Cambria Math" w:hAnsi="Cambria Math"/>
                <w:color w:val="auto"/>
              </w:rPr>
              <m:t>l</m:t>
            </m:r>
          </m:e>
          <m:sub>
            <m:r>
              <m:rPr>
                <m:nor/>
              </m:rPr>
              <w:rPr>
                <w:rFonts w:ascii="Cambria Math" w:hAnsi="Cambria Math"/>
                <w:b w:val="0"/>
                <w:color w:val="auto"/>
              </w:rPr>
              <m:t>ex</m:t>
            </m:r>
          </m:sub>
        </m:sSub>
      </m:oMath>
      <w:r w:rsidRPr="00713C01">
        <w:rPr>
          <w:rFonts w:eastAsiaTheme="minorEastAsia" w:cs="Helvetica"/>
          <w:b w:val="0"/>
          <w:color w:val="auto"/>
        </w:rPr>
        <w:t>of 0.388 mm.</w:t>
      </w:r>
    </w:p>
    <w:p w:rsidR="001341ED" w:rsidRPr="001341ED" w:rsidRDefault="001341ED" w:rsidP="00F35226">
      <w:pPr>
        <w:rPr>
          <w:b/>
        </w:rPr>
      </w:pPr>
    </w:p>
    <w:sectPr w:rsidR="001341ED" w:rsidRPr="001341ED" w:rsidSect="00F94DDB">
      <w:headerReference w:type="default" r:id="rId22"/>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277" w:rsidRDefault="004D7277" w:rsidP="001B73DC">
      <w:pPr>
        <w:spacing w:after="0" w:line="240" w:lineRule="auto"/>
      </w:pPr>
      <w:r>
        <w:separator/>
      </w:r>
    </w:p>
  </w:endnote>
  <w:endnote w:type="continuationSeparator" w:id="0">
    <w:p w:rsidR="004D7277" w:rsidRDefault="004D7277" w:rsidP="001B7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277" w:rsidRDefault="004D7277" w:rsidP="001B73DC">
      <w:pPr>
        <w:spacing w:after="0" w:line="240" w:lineRule="auto"/>
      </w:pPr>
      <w:r>
        <w:separator/>
      </w:r>
    </w:p>
  </w:footnote>
  <w:footnote w:type="continuationSeparator" w:id="0">
    <w:p w:rsidR="004D7277" w:rsidRDefault="004D7277" w:rsidP="001B73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2498653"/>
      <w:docPartObj>
        <w:docPartGallery w:val="Page Numbers (Top of Page)"/>
        <w:docPartUnique/>
      </w:docPartObj>
    </w:sdtPr>
    <w:sdtEndPr>
      <w:rPr>
        <w:noProof/>
      </w:rPr>
    </w:sdtEndPr>
    <w:sdtContent>
      <w:p w:rsidR="008243A4" w:rsidRDefault="008243A4">
        <w:pPr>
          <w:pStyle w:val="Header"/>
        </w:pPr>
        <w:r>
          <w:fldChar w:fldCharType="begin"/>
        </w:r>
        <w:r>
          <w:instrText xml:space="preserve"> PAGE   \* MERGEFORMAT </w:instrText>
        </w:r>
        <w:r>
          <w:fldChar w:fldCharType="separate"/>
        </w:r>
        <w:r w:rsidR="00CB3866">
          <w:rPr>
            <w:noProof/>
          </w:rPr>
          <w:t>1</w:t>
        </w:r>
        <w:r>
          <w:rPr>
            <w:noProof/>
          </w:rPr>
          <w:fldChar w:fldCharType="end"/>
        </w:r>
      </w:p>
    </w:sdtContent>
  </w:sdt>
  <w:p w:rsidR="008243A4" w:rsidRDefault="008243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AC53D0"/>
    <w:multiLevelType w:val="hybridMultilevel"/>
    <w:tmpl w:val="13503114"/>
    <w:lvl w:ilvl="0" w:tplc="C05E83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i w:val="0"/>
        <w:sz w:val="16"/>
        <w:szCs w:val="16"/>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011"/>
    <w:rsid w:val="00000479"/>
    <w:rsid w:val="000064B5"/>
    <w:rsid w:val="00006B21"/>
    <w:rsid w:val="0002155D"/>
    <w:rsid w:val="00021F71"/>
    <w:rsid w:val="00022965"/>
    <w:rsid w:val="00024AC8"/>
    <w:rsid w:val="00026B92"/>
    <w:rsid w:val="00027080"/>
    <w:rsid w:val="00032D64"/>
    <w:rsid w:val="00055A63"/>
    <w:rsid w:val="00061A3F"/>
    <w:rsid w:val="00084C19"/>
    <w:rsid w:val="00092052"/>
    <w:rsid w:val="0009261E"/>
    <w:rsid w:val="000A02F0"/>
    <w:rsid w:val="000A685F"/>
    <w:rsid w:val="000A72EA"/>
    <w:rsid w:val="000B6221"/>
    <w:rsid w:val="000C203D"/>
    <w:rsid w:val="000C4574"/>
    <w:rsid w:val="000C5976"/>
    <w:rsid w:val="000D508A"/>
    <w:rsid w:val="000F17E8"/>
    <w:rsid w:val="00104890"/>
    <w:rsid w:val="00104944"/>
    <w:rsid w:val="001049B0"/>
    <w:rsid w:val="001137EB"/>
    <w:rsid w:val="001166D8"/>
    <w:rsid w:val="00117A26"/>
    <w:rsid w:val="001313B4"/>
    <w:rsid w:val="00132186"/>
    <w:rsid w:val="001341ED"/>
    <w:rsid w:val="00143317"/>
    <w:rsid w:val="00151D6E"/>
    <w:rsid w:val="001657F5"/>
    <w:rsid w:val="00176B09"/>
    <w:rsid w:val="00177641"/>
    <w:rsid w:val="00180157"/>
    <w:rsid w:val="00180334"/>
    <w:rsid w:val="00183702"/>
    <w:rsid w:val="00186262"/>
    <w:rsid w:val="0019331D"/>
    <w:rsid w:val="001959E4"/>
    <w:rsid w:val="001A5D06"/>
    <w:rsid w:val="001B73DC"/>
    <w:rsid w:val="001C1E77"/>
    <w:rsid w:val="001D2D60"/>
    <w:rsid w:val="001D7EEE"/>
    <w:rsid w:val="001E221A"/>
    <w:rsid w:val="001F2875"/>
    <w:rsid w:val="001F6707"/>
    <w:rsid w:val="00211EE2"/>
    <w:rsid w:val="00214CBC"/>
    <w:rsid w:val="00215C4D"/>
    <w:rsid w:val="00221A16"/>
    <w:rsid w:val="00222AAA"/>
    <w:rsid w:val="002269A3"/>
    <w:rsid w:val="002313F8"/>
    <w:rsid w:val="0023354D"/>
    <w:rsid w:val="0023424E"/>
    <w:rsid w:val="0023694C"/>
    <w:rsid w:val="00240550"/>
    <w:rsid w:val="00241594"/>
    <w:rsid w:val="00263025"/>
    <w:rsid w:val="00270898"/>
    <w:rsid w:val="002740C0"/>
    <w:rsid w:val="0027494F"/>
    <w:rsid w:val="002908EF"/>
    <w:rsid w:val="0029188E"/>
    <w:rsid w:val="002948BC"/>
    <w:rsid w:val="002A05DE"/>
    <w:rsid w:val="002A3400"/>
    <w:rsid w:val="002B4F7A"/>
    <w:rsid w:val="002C1314"/>
    <w:rsid w:val="002C675B"/>
    <w:rsid w:val="002D147F"/>
    <w:rsid w:val="002D2D9A"/>
    <w:rsid w:val="002E0644"/>
    <w:rsid w:val="002E667A"/>
    <w:rsid w:val="002F5157"/>
    <w:rsid w:val="002F5578"/>
    <w:rsid w:val="002F74A4"/>
    <w:rsid w:val="00324816"/>
    <w:rsid w:val="003319C5"/>
    <w:rsid w:val="003360E2"/>
    <w:rsid w:val="00383454"/>
    <w:rsid w:val="003835C3"/>
    <w:rsid w:val="00384B60"/>
    <w:rsid w:val="00393A69"/>
    <w:rsid w:val="003A7BBE"/>
    <w:rsid w:val="003B5639"/>
    <w:rsid w:val="003C21A0"/>
    <w:rsid w:val="003C7BC7"/>
    <w:rsid w:val="003D76E5"/>
    <w:rsid w:val="00401792"/>
    <w:rsid w:val="00401881"/>
    <w:rsid w:val="004020FB"/>
    <w:rsid w:val="004125C3"/>
    <w:rsid w:val="0041638E"/>
    <w:rsid w:val="00417781"/>
    <w:rsid w:val="0042168E"/>
    <w:rsid w:val="00421B9B"/>
    <w:rsid w:val="00427890"/>
    <w:rsid w:val="00430EAC"/>
    <w:rsid w:val="00441673"/>
    <w:rsid w:val="00442062"/>
    <w:rsid w:val="00445CDC"/>
    <w:rsid w:val="00450AE0"/>
    <w:rsid w:val="00457BF2"/>
    <w:rsid w:val="00461500"/>
    <w:rsid w:val="0046150C"/>
    <w:rsid w:val="00461CE3"/>
    <w:rsid w:val="00467ED3"/>
    <w:rsid w:val="004827A0"/>
    <w:rsid w:val="00482A6B"/>
    <w:rsid w:val="00490D59"/>
    <w:rsid w:val="004A3170"/>
    <w:rsid w:val="004B1F50"/>
    <w:rsid w:val="004C0B96"/>
    <w:rsid w:val="004C3AB1"/>
    <w:rsid w:val="004D141F"/>
    <w:rsid w:val="004D6F3F"/>
    <w:rsid w:val="004D7277"/>
    <w:rsid w:val="004D7876"/>
    <w:rsid w:val="004E25CA"/>
    <w:rsid w:val="004F0EB6"/>
    <w:rsid w:val="00514E82"/>
    <w:rsid w:val="00524BFA"/>
    <w:rsid w:val="00525726"/>
    <w:rsid w:val="00525B00"/>
    <w:rsid w:val="00544151"/>
    <w:rsid w:val="00550C24"/>
    <w:rsid w:val="005551B6"/>
    <w:rsid w:val="00565C65"/>
    <w:rsid w:val="005667C0"/>
    <w:rsid w:val="005751E4"/>
    <w:rsid w:val="00584B1A"/>
    <w:rsid w:val="00595FE5"/>
    <w:rsid w:val="005D4CAD"/>
    <w:rsid w:val="005E645B"/>
    <w:rsid w:val="005F031A"/>
    <w:rsid w:val="005F0D0B"/>
    <w:rsid w:val="005F6C21"/>
    <w:rsid w:val="00605BB3"/>
    <w:rsid w:val="006154AB"/>
    <w:rsid w:val="00630C59"/>
    <w:rsid w:val="006311A0"/>
    <w:rsid w:val="00634F9D"/>
    <w:rsid w:val="00644BF5"/>
    <w:rsid w:val="00654A21"/>
    <w:rsid w:val="00665193"/>
    <w:rsid w:val="00666457"/>
    <w:rsid w:val="006717DB"/>
    <w:rsid w:val="00671D54"/>
    <w:rsid w:val="00673F34"/>
    <w:rsid w:val="00692FA4"/>
    <w:rsid w:val="006A0CA0"/>
    <w:rsid w:val="006B000D"/>
    <w:rsid w:val="006B7290"/>
    <w:rsid w:val="006C40D2"/>
    <w:rsid w:val="006C5790"/>
    <w:rsid w:val="006C742C"/>
    <w:rsid w:val="006D246C"/>
    <w:rsid w:val="006D48B4"/>
    <w:rsid w:val="006D71A4"/>
    <w:rsid w:val="006E396D"/>
    <w:rsid w:val="006F4EAC"/>
    <w:rsid w:val="00703C32"/>
    <w:rsid w:val="00712F0D"/>
    <w:rsid w:val="00713C01"/>
    <w:rsid w:val="007249A2"/>
    <w:rsid w:val="007263A4"/>
    <w:rsid w:val="00730A48"/>
    <w:rsid w:val="00737E6F"/>
    <w:rsid w:val="0074272E"/>
    <w:rsid w:val="007534A8"/>
    <w:rsid w:val="007534D9"/>
    <w:rsid w:val="007547AA"/>
    <w:rsid w:val="00754C85"/>
    <w:rsid w:val="00760E0F"/>
    <w:rsid w:val="00785912"/>
    <w:rsid w:val="00795BC3"/>
    <w:rsid w:val="007A3862"/>
    <w:rsid w:val="007A5DF0"/>
    <w:rsid w:val="007B3467"/>
    <w:rsid w:val="007C5030"/>
    <w:rsid w:val="007E59F7"/>
    <w:rsid w:val="007E67C5"/>
    <w:rsid w:val="008036E7"/>
    <w:rsid w:val="00804DC6"/>
    <w:rsid w:val="008243A4"/>
    <w:rsid w:val="00824C47"/>
    <w:rsid w:val="00834487"/>
    <w:rsid w:val="00843724"/>
    <w:rsid w:val="00847500"/>
    <w:rsid w:val="008533D1"/>
    <w:rsid w:val="00873EB3"/>
    <w:rsid w:val="00874D80"/>
    <w:rsid w:val="00875E3B"/>
    <w:rsid w:val="00876913"/>
    <w:rsid w:val="00882A06"/>
    <w:rsid w:val="00885ADE"/>
    <w:rsid w:val="00894EB4"/>
    <w:rsid w:val="008A2AD9"/>
    <w:rsid w:val="008B1D55"/>
    <w:rsid w:val="008B3507"/>
    <w:rsid w:val="008C5C04"/>
    <w:rsid w:val="008C6888"/>
    <w:rsid w:val="008C7AAA"/>
    <w:rsid w:val="008E5E5E"/>
    <w:rsid w:val="008F6122"/>
    <w:rsid w:val="00905DF4"/>
    <w:rsid w:val="00907834"/>
    <w:rsid w:val="00920461"/>
    <w:rsid w:val="00924FF6"/>
    <w:rsid w:val="0094496E"/>
    <w:rsid w:val="009457E8"/>
    <w:rsid w:val="00950787"/>
    <w:rsid w:val="00950AD6"/>
    <w:rsid w:val="009531B0"/>
    <w:rsid w:val="00964761"/>
    <w:rsid w:val="00966821"/>
    <w:rsid w:val="00966980"/>
    <w:rsid w:val="00966C19"/>
    <w:rsid w:val="0098564D"/>
    <w:rsid w:val="0098793A"/>
    <w:rsid w:val="009B0AB9"/>
    <w:rsid w:val="009B4A98"/>
    <w:rsid w:val="009B52D1"/>
    <w:rsid w:val="009B61CB"/>
    <w:rsid w:val="009B7A16"/>
    <w:rsid w:val="009C70AD"/>
    <w:rsid w:val="009D01A5"/>
    <w:rsid w:val="009D1E53"/>
    <w:rsid w:val="009E2365"/>
    <w:rsid w:val="009E2469"/>
    <w:rsid w:val="009E6D17"/>
    <w:rsid w:val="009F6A00"/>
    <w:rsid w:val="00A10740"/>
    <w:rsid w:val="00A2093E"/>
    <w:rsid w:val="00A31EFA"/>
    <w:rsid w:val="00A3638B"/>
    <w:rsid w:val="00A70725"/>
    <w:rsid w:val="00A73D69"/>
    <w:rsid w:val="00A80456"/>
    <w:rsid w:val="00A817AF"/>
    <w:rsid w:val="00A9019F"/>
    <w:rsid w:val="00A90451"/>
    <w:rsid w:val="00AA1D23"/>
    <w:rsid w:val="00AA26CF"/>
    <w:rsid w:val="00AB074D"/>
    <w:rsid w:val="00AB4D9C"/>
    <w:rsid w:val="00AB66DD"/>
    <w:rsid w:val="00AC483F"/>
    <w:rsid w:val="00AD1795"/>
    <w:rsid w:val="00AF414C"/>
    <w:rsid w:val="00B051E6"/>
    <w:rsid w:val="00B121C2"/>
    <w:rsid w:val="00B23790"/>
    <w:rsid w:val="00B312E3"/>
    <w:rsid w:val="00B316BB"/>
    <w:rsid w:val="00B33034"/>
    <w:rsid w:val="00B37011"/>
    <w:rsid w:val="00B42C39"/>
    <w:rsid w:val="00B61838"/>
    <w:rsid w:val="00B9338E"/>
    <w:rsid w:val="00B942EB"/>
    <w:rsid w:val="00BA2C94"/>
    <w:rsid w:val="00BB3B76"/>
    <w:rsid w:val="00BB7412"/>
    <w:rsid w:val="00BC102A"/>
    <w:rsid w:val="00BD33FD"/>
    <w:rsid w:val="00BE1996"/>
    <w:rsid w:val="00BE4ABA"/>
    <w:rsid w:val="00C07557"/>
    <w:rsid w:val="00C077B1"/>
    <w:rsid w:val="00C168BA"/>
    <w:rsid w:val="00C41AB8"/>
    <w:rsid w:val="00C543DD"/>
    <w:rsid w:val="00C64FD7"/>
    <w:rsid w:val="00C658BA"/>
    <w:rsid w:val="00C71E00"/>
    <w:rsid w:val="00C74F3D"/>
    <w:rsid w:val="00C93D05"/>
    <w:rsid w:val="00CB1CDE"/>
    <w:rsid w:val="00CB3866"/>
    <w:rsid w:val="00CC0B4D"/>
    <w:rsid w:val="00CC10D0"/>
    <w:rsid w:val="00CC514D"/>
    <w:rsid w:val="00CD0871"/>
    <w:rsid w:val="00D12ADD"/>
    <w:rsid w:val="00D20BDB"/>
    <w:rsid w:val="00D20C65"/>
    <w:rsid w:val="00D31F2A"/>
    <w:rsid w:val="00D33282"/>
    <w:rsid w:val="00D43F65"/>
    <w:rsid w:val="00D54B7C"/>
    <w:rsid w:val="00D72047"/>
    <w:rsid w:val="00D728DD"/>
    <w:rsid w:val="00D7691A"/>
    <w:rsid w:val="00D802CB"/>
    <w:rsid w:val="00D81E05"/>
    <w:rsid w:val="00D84B0F"/>
    <w:rsid w:val="00D86F4F"/>
    <w:rsid w:val="00D90C92"/>
    <w:rsid w:val="00D9219C"/>
    <w:rsid w:val="00D935DE"/>
    <w:rsid w:val="00D96660"/>
    <w:rsid w:val="00D971CF"/>
    <w:rsid w:val="00DA060A"/>
    <w:rsid w:val="00DA0FFC"/>
    <w:rsid w:val="00DA1608"/>
    <w:rsid w:val="00DB2415"/>
    <w:rsid w:val="00DB5A03"/>
    <w:rsid w:val="00DC07F0"/>
    <w:rsid w:val="00DD1C3E"/>
    <w:rsid w:val="00DD4075"/>
    <w:rsid w:val="00DE18E6"/>
    <w:rsid w:val="00DE3414"/>
    <w:rsid w:val="00DE4870"/>
    <w:rsid w:val="00DE7F8F"/>
    <w:rsid w:val="00E02A8E"/>
    <w:rsid w:val="00E02EF6"/>
    <w:rsid w:val="00E03957"/>
    <w:rsid w:val="00E15D4B"/>
    <w:rsid w:val="00E348B6"/>
    <w:rsid w:val="00E36EF7"/>
    <w:rsid w:val="00E37D30"/>
    <w:rsid w:val="00E54D74"/>
    <w:rsid w:val="00E57DC0"/>
    <w:rsid w:val="00E70415"/>
    <w:rsid w:val="00E74C28"/>
    <w:rsid w:val="00E8708B"/>
    <w:rsid w:val="00E90942"/>
    <w:rsid w:val="00E921BE"/>
    <w:rsid w:val="00E9769A"/>
    <w:rsid w:val="00EA11BB"/>
    <w:rsid w:val="00EA1892"/>
    <w:rsid w:val="00EA4CCB"/>
    <w:rsid w:val="00EA6385"/>
    <w:rsid w:val="00EC281A"/>
    <w:rsid w:val="00F00CF4"/>
    <w:rsid w:val="00F068BE"/>
    <w:rsid w:val="00F120E5"/>
    <w:rsid w:val="00F143D1"/>
    <w:rsid w:val="00F153A4"/>
    <w:rsid w:val="00F1585E"/>
    <w:rsid w:val="00F2574F"/>
    <w:rsid w:val="00F30491"/>
    <w:rsid w:val="00F35226"/>
    <w:rsid w:val="00F37F5B"/>
    <w:rsid w:val="00F55AB0"/>
    <w:rsid w:val="00F561B9"/>
    <w:rsid w:val="00F62F97"/>
    <w:rsid w:val="00F65F06"/>
    <w:rsid w:val="00F70C13"/>
    <w:rsid w:val="00F73818"/>
    <w:rsid w:val="00F73E89"/>
    <w:rsid w:val="00F74B16"/>
    <w:rsid w:val="00F81370"/>
    <w:rsid w:val="00F82931"/>
    <w:rsid w:val="00F83300"/>
    <w:rsid w:val="00F90444"/>
    <w:rsid w:val="00F94DDB"/>
    <w:rsid w:val="00FA01D5"/>
    <w:rsid w:val="00FA3848"/>
    <w:rsid w:val="00FA4A4C"/>
    <w:rsid w:val="00FB2C72"/>
    <w:rsid w:val="00FC55AC"/>
    <w:rsid w:val="00FC68BB"/>
    <w:rsid w:val="00FC6EB8"/>
    <w:rsid w:val="00FE047F"/>
    <w:rsid w:val="00FE114F"/>
    <w:rsid w:val="00FF004A"/>
    <w:rsid w:val="00FF0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BE2721-ECDC-4C7A-8E58-483589A01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DDB"/>
    <w:pPr>
      <w:jc w:val="both"/>
    </w:pPr>
    <w:rPr>
      <w:rFonts w:ascii="Helvetica" w:hAnsi="Helvetica"/>
    </w:rPr>
  </w:style>
  <w:style w:type="paragraph" w:styleId="Heading1">
    <w:name w:val="heading 1"/>
    <w:basedOn w:val="Normal"/>
    <w:next w:val="Normal"/>
    <w:link w:val="Heading1Char"/>
    <w:uiPriority w:val="9"/>
    <w:qFormat/>
    <w:rsid w:val="00F94DDB"/>
    <w:pPr>
      <w:keepNext/>
      <w:keepLines/>
      <w:spacing w:before="480" w:after="0"/>
      <w:outlineLvl w:val="0"/>
    </w:pPr>
    <w:rPr>
      <w:rFonts w:eastAsiaTheme="majorEastAsia" w:cstheme="majorBidi"/>
      <w:b/>
      <w:bCs/>
      <w:color w:val="000000" w:themeColor="text1"/>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DDB"/>
    <w:rPr>
      <w:rFonts w:ascii="Helvetica" w:eastAsiaTheme="majorEastAsia" w:hAnsi="Helvetica" w:cstheme="majorBidi"/>
      <w:b/>
      <w:bCs/>
      <w:color w:val="000000" w:themeColor="text1"/>
      <w:szCs w:val="28"/>
    </w:rPr>
  </w:style>
  <w:style w:type="paragraph" w:customStyle="1" w:styleId="MDPI14history">
    <w:name w:val="MDPI_1.4_history"/>
    <w:basedOn w:val="Normal"/>
    <w:next w:val="Normal"/>
    <w:qFormat/>
    <w:rsid w:val="00F94DDB"/>
    <w:pPr>
      <w:adjustRightInd w:val="0"/>
      <w:snapToGrid w:val="0"/>
      <w:spacing w:before="120" w:after="0" w:line="200" w:lineRule="atLeast"/>
      <w:ind w:left="113"/>
    </w:pPr>
    <w:rPr>
      <w:rFonts w:ascii="Palatino Linotype" w:eastAsia="Times New Roman" w:hAnsi="Palatino Linotype" w:cs="Times New Roman"/>
      <w:color w:val="000000"/>
      <w:sz w:val="18"/>
      <w:szCs w:val="20"/>
      <w:lang w:eastAsia="de-DE" w:bidi="en-US"/>
    </w:rPr>
  </w:style>
  <w:style w:type="paragraph" w:customStyle="1" w:styleId="MDPI16affiliation">
    <w:name w:val="MDPI_1.6_affiliation"/>
    <w:basedOn w:val="Normal"/>
    <w:qFormat/>
    <w:rsid w:val="00F94DDB"/>
    <w:pPr>
      <w:adjustRightInd w:val="0"/>
      <w:snapToGrid w:val="0"/>
      <w:spacing w:after="0" w:line="200" w:lineRule="atLeast"/>
      <w:ind w:left="311" w:hanging="198"/>
    </w:pPr>
    <w:rPr>
      <w:rFonts w:ascii="Palatino Linotype" w:eastAsia="Times New Roman" w:hAnsi="Palatino Linotype" w:cs="Times New Roman"/>
      <w:color w:val="000000"/>
      <w:sz w:val="18"/>
      <w:szCs w:val="18"/>
      <w:lang w:eastAsia="de-DE" w:bidi="en-US"/>
    </w:rPr>
  </w:style>
  <w:style w:type="paragraph" w:styleId="ListParagraph">
    <w:name w:val="List Paragraph"/>
    <w:basedOn w:val="Normal"/>
    <w:uiPriority w:val="34"/>
    <w:qFormat/>
    <w:rsid w:val="00F94DDB"/>
    <w:pPr>
      <w:ind w:left="720"/>
      <w:contextualSpacing/>
    </w:pPr>
  </w:style>
  <w:style w:type="character" w:styleId="CommentReference">
    <w:name w:val="annotation reference"/>
    <w:basedOn w:val="DefaultParagraphFont"/>
    <w:uiPriority w:val="99"/>
    <w:semiHidden/>
    <w:unhideWhenUsed/>
    <w:rsid w:val="00F94DDB"/>
    <w:rPr>
      <w:sz w:val="16"/>
      <w:szCs w:val="16"/>
    </w:rPr>
  </w:style>
  <w:style w:type="paragraph" w:styleId="CommentText">
    <w:name w:val="annotation text"/>
    <w:basedOn w:val="Normal"/>
    <w:link w:val="CommentTextChar"/>
    <w:uiPriority w:val="99"/>
    <w:semiHidden/>
    <w:unhideWhenUsed/>
    <w:rsid w:val="00F94DDB"/>
    <w:pPr>
      <w:spacing w:line="240" w:lineRule="auto"/>
    </w:pPr>
    <w:rPr>
      <w:sz w:val="20"/>
      <w:szCs w:val="20"/>
    </w:rPr>
  </w:style>
  <w:style w:type="character" w:customStyle="1" w:styleId="CommentTextChar">
    <w:name w:val="Comment Text Char"/>
    <w:basedOn w:val="DefaultParagraphFont"/>
    <w:link w:val="CommentText"/>
    <w:uiPriority w:val="99"/>
    <w:semiHidden/>
    <w:rsid w:val="00F94DDB"/>
    <w:rPr>
      <w:rFonts w:ascii="Helvetica" w:hAnsi="Helvetica"/>
      <w:sz w:val="20"/>
      <w:szCs w:val="20"/>
    </w:rPr>
  </w:style>
  <w:style w:type="paragraph" w:styleId="BalloonText">
    <w:name w:val="Balloon Text"/>
    <w:basedOn w:val="Normal"/>
    <w:link w:val="BalloonTextChar"/>
    <w:uiPriority w:val="99"/>
    <w:semiHidden/>
    <w:unhideWhenUsed/>
    <w:rsid w:val="00F94D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DDB"/>
    <w:rPr>
      <w:rFonts w:ascii="Tahoma" w:hAnsi="Tahoma" w:cs="Tahoma"/>
      <w:sz w:val="16"/>
      <w:szCs w:val="16"/>
    </w:rPr>
  </w:style>
  <w:style w:type="character" w:styleId="LineNumber">
    <w:name w:val="line number"/>
    <w:basedOn w:val="DefaultParagraphFont"/>
    <w:uiPriority w:val="99"/>
    <w:semiHidden/>
    <w:unhideWhenUsed/>
    <w:rsid w:val="00F94DDB"/>
  </w:style>
  <w:style w:type="paragraph" w:customStyle="1" w:styleId="MDPI22heading2">
    <w:name w:val="MDPI_2.2_heading2"/>
    <w:basedOn w:val="Normal"/>
    <w:qFormat/>
    <w:rsid w:val="00F94DDB"/>
    <w:pPr>
      <w:kinsoku w:val="0"/>
      <w:overflowPunct w:val="0"/>
      <w:autoSpaceDE w:val="0"/>
      <w:autoSpaceDN w:val="0"/>
      <w:adjustRightInd w:val="0"/>
      <w:snapToGrid w:val="0"/>
      <w:spacing w:before="240" w:after="120" w:line="260" w:lineRule="atLeast"/>
      <w:outlineLvl w:val="1"/>
    </w:pPr>
    <w:rPr>
      <w:rFonts w:eastAsia="Times New Roman" w:cs="Times New Roman"/>
      <w:i/>
      <w:noProof/>
      <w:snapToGrid w:val="0"/>
      <w:color w:val="000000"/>
      <w:lang w:eastAsia="de-DE" w:bidi="en-US"/>
    </w:rPr>
  </w:style>
  <w:style w:type="character" w:customStyle="1" w:styleId="tgc">
    <w:name w:val="_tgc"/>
    <w:basedOn w:val="DefaultParagraphFont"/>
    <w:rsid w:val="00F94DDB"/>
  </w:style>
  <w:style w:type="paragraph" w:styleId="Caption">
    <w:name w:val="caption"/>
    <w:basedOn w:val="Normal"/>
    <w:next w:val="Normal"/>
    <w:uiPriority w:val="35"/>
    <w:unhideWhenUsed/>
    <w:qFormat/>
    <w:rsid w:val="00F94DDB"/>
    <w:pPr>
      <w:spacing w:line="240" w:lineRule="auto"/>
    </w:pPr>
    <w:rPr>
      <w:b/>
      <w:bCs/>
      <w:color w:val="4F81BD" w:themeColor="accent1"/>
      <w:sz w:val="18"/>
      <w:szCs w:val="18"/>
    </w:rPr>
  </w:style>
  <w:style w:type="character" w:customStyle="1" w:styleId="st">
    <w:name w:val="st"/>
    <w:basedOn w:val="DefaultParagraphFont"/>
    <w:rsid w:val="00F94DDB"/>
  </w:style>
  <w:style w:type="paragraph" w:styleId="PlainText">
    <w:name w:val="Plain Text"/>
    <w:basedOn w:val="Normal"/>
    <w:link w:val="PlainTextChar"/>
    <w:uiPriority w:val="99"/>
    <w:unhideWhenUsed/>
    <w:rsid w:val="00104890"/>
    <w:pPr>
      <w:spacing w:after="0" w:line="240" w:lineRule="auto"/>
      <w:jc w:val="left"/>
    </w:pPr>
    <w:rPr>
      <w:rFonts w:ascii="Calibri" w:eastAsia="Calibri" w:hAnsi="Calibri" w:cs="Times New Roman"/>
      <w:szCs w:val="21"/>
    </w:rPr>
  </w:style>
  <w:style w:type="character" w:customStyle="1" w:styleId="PlainTextChar">
    <w:name w:val="Plain Text Char"/>
    <w:basedOn w:val="DefaultParagraphFont"/>
    <w:link w:val="PlainText"/>
    <w:uiPriority w:val="99"/>
    <w:rsid w:val="00104890"/>
    <w:rPr>
      <w:rFonts w:ascii="Calibri" w:eastAsia="Calibri" w:hAnsi="Calibri" w:cs="Times New Roman"/>
      <w:szCs w:val="21"/>
    </w:rPr>
  </w:style>
  <w:style w:type="paragraph" w:customStyle="1" w:styleId="MDPI23heading3">
    <w:name w:val="MDPI_2.3_heading3"/>
    <w:basedOn w:val="Normal"/>
    <w:qFormat/>
    <w:rsid w:val="00104890"/>
    <w:pPr>
      <w:adjustRightInd w:val="0"/>
      <w:snapToGrid w:val="0"/>
      <w:spacing w:before="240" w:after="120" w:line="260" w:lineRule="atLeast"/>
      <w:outlineLvl w:val="2"/>
    </w:pPr>
    <w:rPr>
      <w:rFonts w:eastAsia="Times New Roman" w:cs="Times New Roman"/>
      <w:snapToGrid w:val="0"/>
      <w:color w:val="000000"/>
      <w:lang w:eastAsia="de-DE" w:bidi="en-US"/>
    </w:rPr>
  </w:style>
  <w:style w:type="character" w:customStyle="1" w:styleId="y0nh2b">
    <w:name w:val="y0nh2b"/>
    <w:basedOn w:val="DefaultParagraphFont"/>
    <w:rsid w:val="0046150C"/>
  </w:style>
  <w:style w:type="character" w:customStyle="1" w:styleId="ya-q-full-text">
    <w:name w:val="ya-q-full-text"/>
    <w:basedOn w:val="DefaultParagraphFont"/>
    <w:rsid w:val="00905DF4"/>
  </w:style>
  <w:style w:type="character" w:styleId="Hyperlink">
    <w:name w:val="Hyperlink"/>
    <w:basedOn w:val="DefaultParagraphFont"/>
    <w:uiPriority w:val="99"/>
    <w:semiHidden/>
    <w:unhideWhenUsed/>
    <w:rsid w:val="00F35226"/>
    <w:rPr>
      <w:color w:val="0000FF"/>
      <w:u w:val="single"/>
    </w:rPr>
  </w:style>
  <w:style w:type="character" w:customStyle="1" w:styleId="ng-binding">
    <w:name w:val="ng-binding"/>
    <w:basedOn w:val="DefaultParagraphFont"/>
    <w:rsid w:val="00F35226"/>
  </w:style>
  <w:style w:type="character" w:styleId="Strong">
    <w:name w:val="Strong"/>
    <w:basedOn w:val="DefaultParagraphFont"/>
    <w:uiPriority w:val="22"/>
    <w:qFormat/>
    <w:rsid w:val="00F35226"/>
    <w:rPr>
      <w:b/>
      <w:bCs/>
    </w:rPr>
  </w:style>
  <w:style w:type="paragraph" w:customStyle="1" w:styleId="references">
    <w:name w:val="references"/>
    <w:rsid w:val="00F35226"/>
    <w:pPr>
      <w:numPr>
        <w:numId w:val="2"/>
      </w:numPr>
      <w:spacing w:after="50" w:line="180" w:lineRule="exact"/>
      <w:jc w:val="both"/>
    </w:pPr>
    <w:rPr>
      <w:rFonts w:ascii="Times New Roman" w:eastAsia="MS Mincho" w:hAnsi="Times New Roman" w:cs="Times New Roman"/>
      <w:noProof/>
      <w:sz w:val="16"/>
      <w:szCs w:val="16"/>
    </w:rPr>
  </w:style>
  <w:style w:type="character" w:customStyle="1" w:styleId="article-headermeta-info-data">
    <w:name w:val="article-header__meta-info-data"/>
    <w:basedOn w:val="DefaultParagraphFont"/>
    <w:rsid w:val="00F35226"/>
  </w:style>
  <w:style w:type="character" w:customStyle="1" w:styleId="pbtoclink">
    <w:name w:val="pb_toc_link"/>
    <w:basedOn w:val="DefaultParagraphFont"/>
    <w:rsid w:val="00F35226"/>
  </w:style>
  <w:style w:type="paragraph" w:styleId="Header">
    <w:name w:val="header"/>
    <w:basedOn w:val="Normal"/>
    <w:link w:val="HeaderChar"/>
    <w:uiPriority w:val="99"/>
    <w:unhideWhenUsed/>
    <w:rsid w:val="001B73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3DC"/>
    <w:rPr>
      <w:rFonts w:ascii="Helvetica" w:hAnsi="Helvetica"/>
    </w:rPr>
  </w:style>
  <w:style w:type="paragraph" w:styleId="Footer">
    <w:name w:val="footer"/>
    <w:basedOn w:val="Normal"/>
    <w:link w:val="FooterChar"/>
    <w:uiPriority w:val="99"/>
    <w:unhideWhenUsed/>
    <w:rsid w:val="001B73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3DC"/>
    <w:rPr>
      <w:rFonts w:ascii="Helvetica" w:hAnsi="Helvetica"/>
    </w:rPr>
  </w:style>
  <w:style w:type="paragraph" w:styleId="CommentSubject">
    <w:name w:val="annotation subject"/>
    <w:basedOn w:val="CommentText"/>
    <w:next w:val="CommentText"/>
    <w:link w:val="CommentSubjectChar"/>
    <w:uiPriority w:val="99"/>
    <w:semiHidden/>
    <w:unhideWhenUsed/>
    <w:rsid w:val="00F143D1"/>
    <w:rPr>
      <w:b/>
      <w:bCs/>
    </w:rPr>
  </w:style>
  <w:style w:type="character" w:customStyle="1" w:styleId="CommentSubjectChar">
    <w:name w:val="Comment Subject Char"/>
    <w:basedOn w:val="CommentTextChar"/>
    <w:link w:val="CommentSubject"/>
    <w:uiPriority w:val="99"/>
    <w:semiHidden/>
    <w:rsid w:val="00F143D1"/>
    <w:rPr>
      <w:rFonts w:ascii="Helvetica" w:hAnsi="Helvetica"/>
      <w:b/>
      <w:bCs/>
      <w:sz w:val="20"/>
      <w:szCs w:val="20"/>
    </w:rPr>
  </w:style>
  <w:style w:type="table" w:styleId="TableGrid">
    <w:name w:val="Table Grid"/>
    <w:basedOn w:val="TableNormal"/>
    <w:uiPriority w:val="59"/>
    <w:rsid w:val="00C71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hyperlink" Target="https://doi.org/10.1364/AO.43.001589" TargetMode="Externa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C1FB9-056A-4D72-970F-061E74ED6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10710</Words>
  <Characters>61048</Characters>
  <Application>Microsoft Office Word</Application>
  <DocSecurity>4</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Environment Canada</Company>
  <LinksUpToDate>false</LinksUpToDate>
  <CharactersWithSpaces>71615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King,Joshua [Ontario]</dc:creator>
  <cp:lastModifiedBy>Paul Burns</cp:lastModifiedBy>
  <cp:revision>2</cp:revision>
  <dcterms:created xsi:type="dcterms:W3CDTF">2018-05-30T15:51:00Z</dcterms:created>
  <dcterms:modified xsi:type="dcterms:W3CDTF">2018-05-30T15:51:00Z</dcterms:modified>
</cp:coreProperties>
</file>