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F053A" w14:textId="77777777" w:rsidR="00482176" w:rsidRPr="008F4B6A" w:rsidRDefault="00482176" w:rsidP="00D82B0C">
      <w:pPr>
        <w:spacing w:after="0" w:line="480" w:lineRule="auto"/>
        <w:rPr>
          <w:rFonts w:ascii="Arial" w:eastAsia="Times New Roman" w:hAnsi="Arial" w:cs="Arial"/>
          <w:b/>
          <w:sz w:val="18"/>
          <w:szCs w:val="18"/>
          <w:lang w:eastAsia="en-GB"/>
        </w:rPr>
      </w:pPr>
    </w:p>
    <w:p w14:paraId="37A86F77" w14:textId="77777777" w:rsidR="00482176" w:rsidRPr="008F4B6A" w:rsidRDefault="00482176" w:rsidP="00D82B0C">
      <w:pPr>
        <w:spacing w:after="0" w:line="480" w:lineRule="auto"/>
        <w:rPr>
          <w:rFonts w:ascii="Arial" w:eastAsia="Times New Roman" w:hAnsi="Arial" w:cs="Arial"/>
          <w:b/>
          <w:sz w:val="18"/>
          <w:szCs w:val="18"/>
          <w:lang w:eastAsia="en-GB"/>
        </w:rPr>
      </w:pPr>
    </w:p>
    <w:p w14:paraId="2C2A7416" w14:textId="7FA2D75E" w:rsidR="002D7B9E" w:rsidRDefault="00167329" w:rsidP="00F6253C">
      <w:pPr>
        <w:spacing w:line="480" w:lineRule="auto"/>
        <w:jc w:val="center"/>
        <w:rPr>
          <w:b/>
          <w:sz w:val="36"/>
        </w:rPr>
      </w:pPr>
      <w:r w:rsidRPr="008F4B6A">
        <w:rPr>
          <w:b/>
          <w:sz w:val="36"/>
        </w:rPr>
        <w:t xml:space="preserve">Institutional </w:t>
      </w:r>
      <w:r w:rsidR="007F6663" w:rsidRPr="008F4B6A">
        <w:rPr>
          <w:b/>
          <w:sz w:val="36"/>
        </w:rPr>
        <w:t xml:space="preserve">Theory and </w:t>
      </w:r>
      <w:r w:rsidR="00F6253C">
        <w:rPr>
          <w:b/>
          <w:sz w:val="36"/>
        </w:rPr>
        <w:t xml:space="preserve">Evolution </w:t>
      </w:r>
      <w:r w:rsidR="007F6663">
        <w:rPr>
          <w:b/>
          <w:sz w:val="36"/>
        </w:rPr>
        <w:t>o</w:t>
      </w:r>
      <w:r w:rsidR="007F6663" w:rsidRPr="008F4B6A">
        <w:rPr>
          <w:b/>
          <w:sz w:val="36"/>
        </w:rPr>
        <w:t xml:space="preserve">f </w:t>
      </w:r>
      <w:r w:rsidR="007F6663">
        <w:rPr>
          <w:b/>
          <w:sz w:val="36"/>
        </w:rPr>
        <w:t>‘</w:t>
      </w:r>
      <w:r w:rsidR="007F6663" w:rsidRPr="00E57609">
        <w:rPr>
          <w:b/>
          <w:sz w:val="36"/>
        </w:rPr>
        <w:t xml:space="preserve">A Legitimate’ </w:t>
      </w:r>
      <w:r w:rsidR="007F6663" w:rsidRPr="008F4B6A">
        <w:rPr>
          <w:b/>
          <w:sz w:val="36"/>
        </w:rPr>
        <w:t xml:space="preserve">Compliance Culture: The Case </w:t>
      </w:r>
      <w:r w:rsidR="00320A49">
        <w:rPr>
          <w:b/>
          <w:sz w:val="36"/>
        </w:rPr>
        <w:t>o</w:t>
      </w:r>
      <w:r w:rsidR="007F6663" w:rsidRPr="008F4B6A">
        <w:rPr>
          <w:b/>
          <w:sz w:val="36"/>
        </w:rPr>
        <w:t xml:space="preserve">f The </w:t>
      </w:r>
      <w:r w:rsidRPr="008F4B6A">
        <w:rPr>
          <w:b/>
          <w:sz w:val="36"/>
        </w:rPr>
        <w:t xml:space="preserve">UK </w:t>
      </w:r>
      <w:r w:rsidR="007F6663" w:rsidRPr="008F4B6A">
        <w:rPr>
          <w:b/>
          <w:sz w:val="36"/>
        </w:rPr>
        <w:t>Financial Service Sector</w:t>
      </w:r>
    </w:p>
    <w:p w14:paraId="252D365F" w14:textId="338E72C9" w:rsidR="00D22697" w:rsidRPr="008F4B6A" w:rsidRDefault="00D22697" w:rsidP="00D22697">
      <w:r>
        <w:t>Dr Wendy Mason Burdon, Dr Mohamed Karim Sorour</w:t>
      </w:r>
    </w:p>
    <w:p w14:paraId="64007B3E" w14:textId="1ACF9153" w:rsidR="00E172C1" w:rsidRPr="00E3490A" w:rsidRDefault="00E172C1" w:rsidP="00D82B0C">
      <w:pPr>
        <w:pStyle w:val="Heading1"/>
        <w:spacing w:line="480" w:lineRule="auto"/>
        <w:rPr>
          <w:color w:val="FF00FF"/>
        </w:rPr>
      </w:pPr>
      <w:r w:rsidRPr="008F4B6A">
        <w:rPr>
          <w:color w:val="auto"/>
        </w:rPr>
        <w:t>Abstract</w:t>
      </w:r>
    </w:p>
    <w:p w14:paraId="1B3AA8DD" w14:textId="7BB0536D" w:rsidR="009D2133" w:rsidRPr="00E57609" w:rsidRDefault="006613EF" w:rsidP="009D2133">
      <w:pPr>
        <w:spacing w:line="480" w:lineRule="auto"/>
        <w:jc w:val="both"/>
      </w:pPr>
      <w:r w:rsidRPr="00E57609">
        <w:t>Over the last decade</w:t>
      </w:r>
      <w:r w:rsidR="00287595">
        <w:t>,</w:t>
      </w:r>
      <w:r w:rsidRPr="00E57609">
        <w:t xml:space="preserve"> s</w:t>
      </w:r>
      <w:r w:rsidR="00BD1618" w:rsidRPr="00E57609">
        <w:t xml:space="preserve">candals within the </w:t>
      </w:r>
      <w:r w:rsidR="00B10E72" w:rsidRPr="00E57609">
        <w:t>UK Financial</w:t>
      </w:r>
      <w:r w:rsidR="00BD1618" w:rsidRPr="00E57609">
        <w:t xml:space="preserve"> </w:t>
      </w:r>
      <w:r w:rsidR="00E57609">
        <w:t>Service</w:t>
      </w:r>
      <w:r w:rsidR="00BD1618" w:rsidRPr="00E57609">
        <w:t xml:space="preserve"> sector has </w:t>
      </w:r>
      <w:r w:rsidRPr="00E57609">
        <w:t xml:space="preserve">impacted their legitimacy and </w:t>
      </w:r>
      <w:r w:rsidR="00BD1618" w:rsidRPr="00E57609">
        <w:t xml:space="preserve">raised questions whether </w:t>
      </w:r>
      <w:r w:rsidRPr="00E57609">
        <w:t>a compliance</w:t>
      </w:r>
      <w:r w:rsidR="00BD1618" w:rsidRPr="00E57609">
        <w:t xml:space="preserve"> culture exists or not</w:t>
      </w:r>
      <w:r w:rsidRPr="00E57609">
        <w:t xml:space="preserve">. </w:t>
      </w:r>
      <w:r w:rsidR="00B96F20" w:rsidRPr="00E57609">
        <w:t>Several</w:t>
      </w:r>
      <w:r w:rsidR="00CF3C6E" w:rsidRPr="00E57609">
        <w:t xml:space="preserve"> institutional</w:t>
      </w:r>
      <w:r w:rsidR="00A428F4" w:rsidRPr="00E57609">
        <w:t xml:space="preserve"> changes at the regulatory and normative level</w:t>
      </w:r>
      <w:r w:rsidR="00CF3C6E" w:rsidRPr="00E57609">
        <w:t>s</w:t>
      </w:r>
      <w:r w:rsidR="00A428F4" w:rsidRPr="00E57609">
        <w:t xml:space="preserve"> have targeted stakeholders’ concerns regarding compliance culture</w:t>
      </w:r>
      <w:r w:rsidR="00CF3C6E" w:rsidRPr="00E57609">
        <w:t xml:space="preserve"> and le</w:t>
      </w:r>
      <w:r w:rsidR="00B96F20" w:rsidRPr="00E57609">
        <w:t>d</w:t>
      </w:r>
      <w:r w:rsidR="00CF3C6E" w:rsidRPr="00E57609">
        <w:t xml:space="preserve"> to changes in the legitimation process</w:t>
      </w:r>
      <w:r w:rsidR="00A428F4" w:rsidRPr="00E57609">
        <w:t xml:space="preserve">. This paper attempts to address a gap in the literature by asking the following question: How is the UK financial institutions’ compliance culture shaped by the institutional environment and changing legitimacy claims? </w:t>
      </w:r>
      <w:r w:rsidR="00A2298B" w:rsidRPr="00E57609">
        <w:t xml:space="preserve">Towards achieving this objective, the paper draws on </w:t>
      </w:r>
      <w:r w:rsidR="007A5563" w:rsidRPr="00E57609">
        <w:t xml:space="preserve">the institutional theory </w:t>
      </w:r>
      <w:r w:rsidR="00A2298B" w:rsidRPr="00E57609">
        <w:t xml:space="preserve">and pays attention to </w:t>
      </w:r>
      <w:r w:rsidR="007A5563" w:rsidRPr="00E57609">
        <w:t>the various configurations of the legitimacy notion (property v</w:t>
      </w:r>
      <w:r w:rsidR="00786A15" w:rsidRPr="00E57609">
        <w:t>s</w:t>
      </w:r>
      <w:r w:rsidR="004249AB">
        <w:t xml:space="preserve">. process </w:t>
      </w:r>
      <w:proofErr w:type="spellStart"/>
      <w:r w:rsidR="004249AB">
        <w:t>Suddaby</w:t>
      </w:r>
      <w:proofErr w:type="spellEnd"/>
      <w:r w:rsidR="004249AB">
        <w:t xml:space="preserve"> et al.</w:t>
      </w:r>
      <w:r w:rsidR="007A5563" w:rsidRPr="00E57609">
        <w:t xml:space="preserve"> 2017</w:t>
      </w:r>
      <w:r w:rsidR="00A2298B" w:rsidRPr="00E57609">
        <w:t>)</w:t>
      </w:r>
      <w:r w:rsidR="007A5563" w:rsidRPr="00E57609">
        <w:t xml:space="preserve">. </w:t>
      </w:r>
      <w:r w:rsidR="007A11CB" w:rsidRPr="00E57609">
        <w:t>The paper utilises a longitudinal interpretive design and undertakes</w:t>
      </w:r>
      <w:r w:rsidR="00AF6E4C" w:rsidRPr="00E57609">
        <w:t xml:space="preserve"> a qualitative content analysis </w:t>
      </w:r>
      <w:r w:rsidR="007A5563" w:rsidRPr="00E57609">
        <w:t>of fines issued by the UK regulator</w:t>
      </w:r>
      <w:r w:rsidR="00AF6E4C" w:rsidRPr="00E57609">
        <w:t xml:space="preserve"> </w:t>
      </w:r>
      <w:r w:rsidR="007A5563" w:rsidRPr="00E57609">
        <w:t xml:space="preserve">and the communicated response of violating firms as well as non-sanctioned firms. Our findings indicate that </w:t>
      </w:r>
      <w:r w:rsidR="00CF3C6E" w:rsidRPr="00E57609">
        <w:t xml:space="preserve">there </w:t>
      </w:r>
      <w:r w:rsidR="00134099" w:rsidRPr="00E57609">
        <w:t xml:space="preserve">is </w:t>
      </w:r>
      <w:r w:rsidR="009D2133" w:rsidRPr="00E57609">
        <w:t>a cyclical ‘evolutionary compliance’ rather than the more widely recognised state of ‘compliance culture</w:t>
      </w:r>
      <w:r w:rsidR="00E57609">
        <w:t>’</w:t>
      </w:r>
      <w:r w:rsidR="009D2133" w:rsidRPr="00E57609">
        <w:t>. This c</w:t>
      </w:r>
      <w:r w:rsidR="00134099" w:rsidRPr="00E57609">
        <w:t xml:space="preserve">ulture </w:t>
      </w:r>
      <w:r w:rsidR="009D2133" w:rsidRPr="00E57609">
        <w:t xml:space="preserve">is </w:t>
      </w:r>
      <w:r w:rsidR="00134099" w:rsidRPr="00E57609">
        <w:t>fuelled by</w:t>
      </w:r>
      <w:r w:rsidR="00B96F20" w:rsidRPr="00E57609">
        <w:t xml:space="preserve"> interchangeable isomorphic</w:t>
      </w:r>
      <w:r w:rsidR="009D2133" w:rsidRPr="00E57609">
        <w:t xml:space="preserve"> forces where the majority of violating firms are seen to issue similar responses to the regulators sanction to maintain their reputation and legitimacy in the market. Notably, legitimacy is now defined within an interactive process between the regulator and firms</w:t>
      </w:r>
      <w:r w:rsidR="00B96F20" w:rsidRPr="00E57609">
        <w:t xml:space="preserve"> rather than being static and achieved by ticking the box. </w:t>
      </w:r>
      <w:r w:rsidR="00134099" w:rsidRPr="00E57609">
        <w:t xml:space="preserve"> </w:t>
      </w:r>
      <w:r w:rsidR="007A5563" w:rsidRPr="00E57609">
        <w:t xml:space="preserve"> </w:t>
      </w:r>
    </w:p>
    <w:p w14:paraId="2DF46F7A" w14:textId="7B29EFBA" w:rsidR="00DC271B" w:rsidRPr="009D2133" w:rsidRDefault="007A5563" w:rsidP="004F004E">
      <w:pPr>
        <w:spacing w:line="480" w:lineRule="auto"/>
        <w:jc w:val="both"/>
        <w:rPr>
          <w:b/>
          <w:bCs/>
        </w:rPr>
      </w:pPr>
      <w:r w:rsidRPr="009D2133">
        <w:rPr>
          <w:b/>
          <w:bCs/>
        </w:rPr>
        <w:t>Keywords</w:t>
      </w:r>
      <w:r w:rsidR="004F004E">
        <w:rPr>
          <w:b/>
          <w:bCs/>
        </w:rPr>
        <w:t xml:space="preserve">: </w:t>
      </w:r>
      <w:r w:rsidRPr="009D2133">
        <w:rPr>
          <w:b/>
          <w:bCs/>
        </w:rPr>
        <w:t>Compliance, Culture, Financial Services, Regulation</w:t>
      </w:r>
      <w:r w:rsidR="009D2133">
        <w:rPr>
          <w:b/>
          <w:bCs/>
        </w:rPr>
        <w:t xml:space="preserve">, legitimacy </w:t>
      </w:r>
      <w:r w:rsidR="00DC271B" w:rsidRPr="009D2133">
        <w:rPr>
          <w:b/>
          <w:bCs/>
        </w:rPr>
        <w:br w:type="page"/>
      </w:r>
    </w:p>
    <w:p w14:paraId="7FAC7509" w14:textId="1340E691" w:rsidR="001A76A6" w:rsidRPr="008F4B6A" w:rsidRDefault="001A76A6" w:rsidP="00D82B0C">
      <w:pPr>
        <w:spacing w:line="480" w:lineRule="auto"/>
        <w:jc w:val="center"/>
        <w:rPr>
          <w:rFonts w:asciiTheme="majorBidi" w:hAnsiTheme="majorBidi" w:cstheme="majorBidi"/>
          <w:i/>
        </w:rPr>
      </w:pPr>
      <w:r w:rsidRPr="008F4B6A">
        <w:rPr>
          <w:rFonts w:asciiTheme="majorBidi" w:hAnsiTheme="majorBidi" w:cstheme="majorBidi"/>
          <w:i/>
        </w:rPr>
        <w:lastRenderedPageBreak/>
        <w:t xml:space="preserve">For review under the </w:t>
      </w:r>
      <w:r w:rsidRPr="008F4B6A">
        <w:rPr>
          <w:rFonts w:asciiTheme="majorBidi" w:hAnsiTheme="majorBidi" w:cstheme="majorBidi"/>
          <w:b/>
          <w:i/>
        </w:rPr>
        <w:t>Corporate Governance Section</w:t>
      </w:r>
    </w:p>
    <w:p w14:paraId="76B1D014" w14:textId="6684896C" w:rsidR="001A76A6" w:rsidRPr="008F4B6A" w:rsidRDefault="001A76A6" w:rsidP="007D09C5">
      <w:pPr>
        <w:spacing w:line="480" w:lineRule="auto"/>
        <w:jc w:val="center"/>
        <w:rPr>
          <w:b/>
          <w:sz w:val="36"/>
        </w:rPr>
      </w:pPr>
      <w:r w:rsidRPr="008F4B6A">
        <w:rPr>
          <w:b/>
          <w:sz w:val="36"/>
        </w:rPr>
        <w:t xml:space="preserve">Institutional </w:t>
      </w:r>
      <w:r w:rsidR="00AF0E23" w:rsidRPr="008F4B6A">
        <w:rPr>
          <w:b/>
          <w:sz w:val="36"/>
        </w:rPr>
        <w:t xml:space="preserve">Theory </w:t>
      </w:r>
      <w:r w:rsidR="00AF0E23">
        <w:rPr>
          <w:b/>
          <w:sz w:val="36"/>
        </w:rPr>
        <w:t>a</w:t>
      </w:r>
      <w:r w:rsidR="00AF0E23" w:rsidRPr="008F4B6A">
        <w:rPr>
          <w:b/>
          <w:sz w:val="36"/>
        </w:rPr>
        <w:t xml:space="preserve">nd </w:t>
      </w:r>
      <w:r w:rsidR="007D09C5">
        <w:rPr>
          <w:b/>
          <w:sz w:val="36"/>
        </w:rPr>
        <w:t xml:space="preserve">Evolution </w:t>
      </w:r>
      <w:r w:rsidR="00AF0E23">
        <w:rPr>
          <w:b/>
          <w:sz w:val="36"/>
        </w:rPr>
        <w:t>o</w:t>
      </w:r>
      <w:r w:rsidR="00AF0E23" w:rsidRPr="008F4B6A">
        <w:rPr>
          <w:b/>
          <w:sz w:val="36"/>
        </w:rPr>
        <w:t xml:space="preserve">f </w:t>
      </w:r>
      <w:r w:rsidR="00AF0E23" w:rsidRPr="00E57609">
        <w:rPr>
          <w:b/>
          <w:sz w:val="36"/>
        </w:rPr>
        <w:t xml:space="preserve">‘A Legitimate’ </w:t>
      </w:r>
      <w:r w:rsidR="00AF0E23" w:rsidRPr="008F4B6A">
        <w:rPr>
          <w:b/>
          <w:sz w:val="36"/>
        </w:rPr>
        <w:t xml:space="preserve">Compliance Culture: The Case </w:t>
      </w:r>
      <w:r w:rsidR="00AF0E23">
        <w:rPr>
          <w:b/>
          <w:sz w:val="36"/>
        </w:rPr>
        <w:t>o</w:t>
      </w:r>
      <w:r w:rsidR="00AF0E23" w:rsidRPr="008F4B6A">
        <w:rPr>
          <w:b/>
          <w:sz w:val="36"/>
        </w:rPr>
        <w:t xml:space="preserve">f The </w:t>
      </w:r>
      <w:r w:rsidRPr="008F4B6A">
        <w:rPr>
          <w:b/>
          <w:sz w:val="36"/>
        </w:rPr>
        <w:t xml:space="preserve">UK </w:t>
      </w:r>
      <w:r w:rsidR="00AF0E23" w:rsidRPr="008F4B6A">
        <w:rPr>
          <w:b/>
          <w:sz w:val="36"/>
        </w:rPr>
        <w:t>Financial Service Sector</w:t>
      </w:r>
    </w:p>
    <w:p w14:paraId="4A7E4392" w14:textId="77777777" w:rsidR="00390D8A" w:rsidRPr="008F4B6A" w:rsidRDefault="00DC271B" w:rsidP="00390D8A">
      <w:pPr>
        <w:spacing w:line="480" w:lineRule="auto"/>
        <w:rPr>
          <w:rFonts w:asciiTheme="majorBidi" w:hAnsiTheme="majorBidi" w:cstheme="majorBidi"/>
          <w:b/>
          <w:bCs/>
          <w:sz w:val="28"/>
          <w:szCs w:val="28"/>
          <w:lang w:eastAsia="en-GB"/>
        </w:rPr>
      </w:pPr>
      <w:r w:rsidRPr="008F4B6A">
        <w:rPr>
          <w:rFonts w:asciiTheme="majorBidi" w:hAnsiTheme="majorBidi" w:cstheme="majorBidi"/>
          <w:b/>
          <w:bCs/>
          <w:sz w:val="28"/>
          <w:szCs w:val="28"/>
          <w:lang w:eastAsia="en-GB"/>
        </w:rPr>
        <w:t>Introduction</w:t>
      </w:r>
    </w:p>
    <w:p w14:paraId="4E3D8349" w14:textId="57070064" w:rsidR="000B4E05" w:rsidRPr="008F4B6A" w:rsidRDefault="000B4E05" w:rsidP="00FA3722">
      <w:pPr>
        <w:spacing w:line="480" w:lineRule="auto"/>
        <w:jc w:val="both"/>
      </w:pPr>
      <w:r w:rsidRPr="008F4B6A">
        <w:t>The UK regulator, the Financial Conduct Authority (FCA)</w:t>
      </w:r>
      <w:r w:rsidR="00DA3093" w:rsidRPr="008F4B6A">
        <w:rPr>
          <w:rStyle w:val="EndnoteReference"/>
        </w:rPr>
        <w:endnoteReference w:id="1"/>
      </w:r>
      <w:r w:rsidRPr="008F4B6A">
        <w:t xml:space="preserve"> has issued discussion papers on compliance culture </w:t>
      </w:r>
      <w:r w:rsidR="00800857">
        <w:t xml:space="preserve">pre </w:t>
      </w:r>
      <w:r w:rsidR="00800857" w:rsidRPr="008F4B6A">
        <w:t>and</w:t>
      </w:r>
      <w:r w:rsidRPr="008F4B6A">
        <w:t xml:space="preserve"> post t</w:t>
      </w:r>
      <w:r w:rsidR="00FA3722">
        <w:t>he global financial crisis (FSA</w:t>
      </w:r>
      <w:r w:rsidR="00557AE1">
        <w:t>,</w:t>
      </w:r>
      <w:r w:rsidRPr="008F4B6A">
        <w:t xml:space="preserve"> 2007</w:t>
      </w:r>
      <w:r w:rsidR="006133FA" w:rsidRPr="008F4B6A">
        <w:t xml:space="preserve">; </w:t>
      </w:r>
      <w:r w:rsidRPr="008F4B6A">
        <w:t>FCA</w:t>
      </w:r>
      <w:r w:rsidR="00557AE1">
        <w:t>,</w:t>
      </w:r>
      <w:r w:rsidR="006133FA" w:rsidRPr="008F4B6A">
        <w:t xml:space="preserve"> 2013</w:t>
      </w:r>
      <w:r w:rsidR="00FA3722">
        <w:t>; PRA</w:t>
      </w:r>
      <w:r w:rsidR="00557AE1">
        <w:t>,</w:t>
      </w:r>
      <w:r w:rsidRPr="008F4B6A">
        <w:t xml:space="preserve"> 2014</w:t>
      </w:r>
      <w:r w:rsidR="00512940">
        <w:t>; FCA</w:t>
      </w:r>
      <w:r w:rsidR="00557AE1">
        <w:t>,</w:t>
      </w:r>
      <w:r w:rsidR="00512940">
        <w:t xml:space="preserve"> 2016b</w:t>
      </w:r>
      <w:r w:rsidRPr="008F4B6A">
        <w:t xml:space="preserve">), in an attempt to encourage financial institutions to adhere with norms of compliance culture. </w:t>
      </w:r>
      <w:r w:rsidR="006F5255" w:rsidRPr="008F4B6A">
        <w:t>However, and d</w:t>
      </w:r>
      <w:r w:rsidRPr="008F4B6A">
        <w:t xml:space="preserve">espite </w:t>
      </w:r>
      <w:r w:rsidR="006F5255" w:rsidRPr="008F4B6A">
        <w:t>these efforts,</w:t>
      </w:r>
      <w:r w:rsidR="007C664D" w:rsidRPr="008F4B6A">
        <w:t xml:space="preserve"> </w:t>
      </w:r>
      <w:r w:rsidR="006F5255" w:rsidRPr="008F4B6A">
        <w:t>compliance violations are still evident within the UK financial</w:t>
      </w:r>
      <w:r w:rsidR="00DE45D1" w:rsidRPr="008F4B6A">
        <w:t xml:space="preserve"> </w:t>
      </w:r>
      <w:r w:rsidR="006F5255" w:rsidRPr="008F4B6A">
        <w:t>sector</w:t>
      </w:r>
      <w:r w:rsidR="005F066B">
        <w:t xml:space="preserve">. This </w:t>
      </w:r>
      <w:r w:rsidR="008C4867" w:rsidRPr="008F4B6A">
        <w:t>phenomenon could not only undermine the effectiveness of the regulatory efforts but would also question the existence of a compliance culture within the sector</w:t>
      </w:r>
      <w:r w:rsidR="005F066B">
        <w:t xml:space="preserve"> as indicated by the FCA d</w:t>
      </w:r>
      <w:r w:rsidRPr="008F4B6A">
        <w:t xml:space="preserve">irector of </w:t>
      </w:r>
      <w:r w:rsidR="005F066B">
        <w:t>e</w:t>
      </w:r>
      <w:r w:rsidRPr="008F4B6A">
        <w:t>nforcement and Financial Crime</w:t>
      </w:r>
      <w:r w:rsidR="005F066B">
        <w:t xml:space="preserve"> following comment:</w:t>
      </w:r>
    </w:p>
    <w:p w14:paraId="28E27268" w14:textId="157E94CA" w:rsidR="000B4E05" w:rsidRPr="008F4B6A" w:rsidRDefault="000B4E05" w:rsidP="005F066B">
      <w:pPr>
        <w:spacing w:line="240" w:lineRule="auto"/>
        <w:ind w:left="720"/>
        <w:jc w:val="both"/>
        <w:rPr>
          <w:i/>
        </w:rPr>
      </w:pPr>
      <w:r w:rsidRPr="008F4B6A">
        <w:rPr>
          <w:i/>
        </w:rPr>
        <w:t xml:space="preserve">“The misconduct in relation to LIBOR has cast a shadow over the financial service industry. The findings we publish today illustrate, once again, individuals within the industry acting with a cavalier disregard both for regulatory obligation and the interests of the markets. </w:t>
      </w:r>
      <w:r w:rsidR="00712E77">
        <w:rPr>
          <w:i/>
        </w:rPr>
        <w:t>IEL</w:t>
      </w:r>
      <w:r w:rsidRPr="008F4B6A">
        <w:rPr>
          <w:i/>
        </w:rPr>
        <w:t xml:space="preserve">’s significant failings in CULTURE and controls allowed that misconduct to flourish and fell far </w:t>
      </w:r>
      <w:r w:rsidR="00FA3722">
        <w:rPr>
          <w:i/>
        </w:rPr>
        <w:t>short of our expectations” (FCA</w:t>
      </w:r>
      <w:r w:rsidRPr="008F4B6A">
        <w:rPr>
          <w:i/>
        </w:rPr>
        <w:t xml:space="preserve"> 2013, emphasis added)</w:t>
      </w:r>
    </w:p>
    <w:p w14:paraId="4C78348E" w14:textId="6389F983" w:rsidR="00860745" w:rsidRDefault="000B4E05" w:rsidP="00860745">
      <w:pPr>
        <w:spacing w:line="480" w:lineRule="auto"/>
        <w:jc w:val="both"/>
        <w:rPr>
          <w:color w:val="FF0000"/>
        </w:rPr>
      </w:pPr>
      <w:r w:rsidRPr="008F4B6A">
        <w:t xml:space="preserve">Compliance can be defined as </w:t>
      </w:r>
      <w:r w:rsidRPr="008F4B6A">
        <w:rPr>
          <w:i/>
          <w:iCs/>
        </w:rPr>
        <w:t xml:space="preserve">“conscious obedience to or incorporation of values norms or institutional requirements” </w:t>
      </w:r>
      <w:r w:rsidR="00FA3722">
        <w:t>(Oliver</w:t>
      </w:r>
      <w:r w:rsidR="00557AE1">
        <w:t>,</w:t>
      </w:r>
      <w:r w:rsidRPr="008F4B6A">
        <w:t xml:space="preserve"> 1991, p. 152</w:t>
      </w:r>
      <w:r w:rsidR="009B26F0" w:rsidRPr="008F4B6A">
        <w:rPr>
          <w:rStyle w:val="EndnoteReference"/>
          <w:sz w:val="20"/>
          <w:szCs w:val="20"/>
        </w:rPr>
        <w:endnoteReference w:id="2"/>
      </w:r>
      <w:r w:rsidRPr="008F4B6A">
        <w:t xml:space="preserve">). </w:t>
      </w:r>
      <w:r w:rsidR="00937DB3" w:rsidRPr="008F4B6A">
        <w:t>While, c</w:t>
      </w:r>
      <w:r w:rsidRPr="008F4B6A">
        <w:t>ulture deal</w:t>
      </w:r>
      <w:r w:rsidR="00937DB3" w:rsidRPr="008F4B6A">
        <w:t>s</w:t>
      </w:r>
      <w:r w:rsidRPr="008F4B6A">
        <w:t xml:space="preserve"> with ‘intra-organization</w:t>
      </w:r>
      <w:r w:rsidR="00FA3722">
        <w:t>al processes’ (</w:t>
      </w:r>
      <w:proofErr w:type="spellStart"/>
      <w:r w:rsidR="00FA3722">
        <w:t>Kondra</w:t>
      </w:r>
      <w:proofErr w:type="spellEnd"/>
      <w:r w:rsidR="00FA3722">
        <w:t xml:space="preserve"> and Hurst</w:t>
      </w:r>
      <w:r w:rsidR="00557AE1">
        <w:t>,</w:t>
      </w:r>
      <w:r w:rsidRPr="008F4B6A">
        <w:t xml:space="preserve"> 2009, p. 39)</w:t>
      </w:r>
      <w:r w:rsidR="005B2DF0" w:rsidRPr="008F4B6A">
        <w:t>, as such the concept of compliance culture is usually seen as e</w:t>
      </w:r>
      <w:r w:rsidR="00FA3722">
        <w:t>mbedded within the firm (Newton</w:t>
      </w:r>
      <w:r w:rsidR="00557AE1">
        <w:t>,</w:t>
      </w:r>
      <w:r w:rsidR="005B2DF0" w:rsidRPr="008F4B6A">
        <w:t xml:space="preserve"> 2001)</w:t>
      </w:r>
      <w:r w:rsidR="00F77829" w:rsidRPr="008F4B6A">
        <w:t xml:space="preserve"> in response to </w:t>
      </w:r>
      <w:r w:rsidR="00F77829" w:rsidRPr="000F1380">
        <w:t>institutional requirements</w:t>
      </w:r>
      <w:r w:rsidR="00BB6B53">
        <w:t xml:space="preserve"> (e.g. codes of conduct)</w:t>
      </w:r>
      <w:r w:rsidR="000F1380">
        <w:rPr>
          <w:color w:val="FF0000"/>
        </w:rPr>
        <w:t xml:space="preserve"> </w:t>
      </w:r>
      <w:r w:rsidR="000F1380" w:rsidRPr="00E57609">
        <w:t xml:space="preserve">which are communicated through senior management, and then layered </w:t>
      </w:r>
      <w:r w:rsidR="00BB6B53" w:rsidRPr="00E57609">
        <w:t>down throughout organisations</w:t>
      </w:r>
      <w:r w:rsidR="005B2DF0" w:rsidRPr="00E57609">
        <w:t>.</w:t>
      </w:r>
      <w:r w:rsidR="007B07AF" w:rsidRPr="00E57609">
        <w:t xml:space="preserve"> </w:t>
      </w:r>
      <w:r w:rsidR="00C17EB3" w:rsidRPr="00E57609">
        <w:t>I</w:t>
      </w:r>
      <w:r w:rsidR="00C17EB3" w:rsidRPr="00FA3722">
        <w:t>n the extant</w:t>
      </w:r>
      <w:r w:rsidR="00BD1618">
        <w:t xml:space="preserve"> literature</w:t>
      </w:r>
      <w:r w:rsidR="00C17EB3" w:rsidRPr="00FA3722">
        <w:t xml:space="preserve">, however, </w:t>
      </w:r>
      <w:r w:rsidR="00FC0FF4" w:rsidRPr="00FA3722">
        <w:t xml:space="preserve">this internalisation of cultural norms imposed by the immediate environment (industry) raised </w:t>
      </w:r>
      <w:r w:rsidR="00CC202B" w:rsidRPr="00FA3722">
        <w:t>questions regarding</w:t>
      </w:r>
      <w:r w:rsidR="00115BA4" w:rsidRPr="00FA3722">
        <w:t xml:space="preserve"> </w:t>
      </w:r>
      <w:r w:rsidR="002F53C7" w:rsidRPr="00FA3722">
        <w:t xml:space="preserve">the organisational </w:t>
      </w:r>
      <w:r w:rsidR="00FC0FF4" w:rsidRPr="00FA3722">
        <w:t xml:space="preserve">orientation </w:t>
      </w:r>
      <w:r w:rsidR="002F53C7" w:rsidRPr="00FA3722">
        <w:t xml:space="preserve">towards </w:t>
      </w:r>
      <w:r w:rsidR="002F53C7" w:rsidRPr="00FA3722">
        <w:lastRenderedPageBreak/>
        <w:t xml:space="preserve">such </w:t>
      </w:r>
      <w:r w:rsidR="00FC0FF4" w:rsidRPr="00FA3722">
        <w:t>compliance culture (i.e. wh</w:t>
      </w:r>
      <w:r w:rsidR="00BC23B2" w:rsidRPr="00FA3722">
        <w:t xml:space="preserve">at </w:t>
      </w:r>
      <w:r w:rsidR="00FC0FF4" w:rsidRPr="00FA3722">
        <w:t>does a company do about complying with such culture?) rather than whether it exists or not</w:t>
      </w:r>
      <w:r w:rsidR="00C17EB3" w:rsidRPr="00FA3722">
        <w:t>. A</w:t>
      </w:r>
      <w:r w:rsidR="00FC0FF4" w:rsidRPr="00FA3722">
        <w:t xml:space="preserve">n example for this </w:t>
      </w:r>
      <w:r w:rsidR="0095569C" w:rsidRPr="00FA3722">
        <w:t xml:space="preserve">can be seen in </w:t>
      </w:r>
      <w:r w:rsidR="00CF4B00" w:rsidRPr="00FA3722">
        <w:t>Jenkinson (1996</w:t>
      </w:r>
      <w:r w:rsidR="00FC0FF4" w:rsidRPr="00FA3722">
        <w:t>).</w:t>
      </w:r>
      <w:r w:rsidR="00F77829" w:rsidRPr="00FA3722">
        <w:t xml:space="preserve"> </w:t>
      </w:r>
      <w:r w:rsidR="00467FBF" w:rsidRPr="00FA3722">
        <w:t>Clearly, organisational compliance with such culture is an expectation from the Financial</w:t>
      </w:r>
      <w:r w:rsidR="00F77829" w:rsidRPr="00FA3722">
        <w:t xml:space="preserve"> Conduct Authority </w:t>
      </w:r>
      <w:r w:rsidR="00467FBF" w:rsidRPr="00FA3722">
        <w:t>as indicated in the following quote</w:t>
      </w:r>
      <w:r w:rsidR="00467FBF">
        <w:rPr>
          <w:color w:val="FF00FF"/>
        </w:rPr>
        <w:t xml:space="preserve"> </w:t>
      </w:r>
      <w:r w:rsidR="00FC0FF4" w:rsidRPr="008F4B6A">
        <w:t>“</w:t>
      </w:r>
      <w:r w:rsidR="00FC0FF4" w:rsidRPr="008F4B6A">
        <w:rPr>
          <w:i/>
          <w:iCs/>
        </w:rPr>
        <w:t>Where we believe cultural measures expose the firm to a high level of risk in the context of our objectives, we will expect the firm to take account of it”</w:t>
      </w:r>
      <w:r w:rsidR="00FA3722">
        <w:t xml:space="preserve"> (FCA</w:t>
      </w:r>
      <w:r w:rsidR="00557AE1">
        <w:t>,</w:t>
      </w:r>
      <w:r w:rsidR="00FC0FF4" w:rsidRPr="008F4B6A">
        <w:t xml:space="preserve"> 2013, p.1). </w:t>
      </w:r>
      <w:r w:rsidR="00115F28" w:rsidRPr="008F4B6A">
        <w:t xml:space="preserve">Furthermore, examining the extant literature shows </w:t>
      </w:r>
      <w:r w:rsidR="009B4A16" w:rsidRPr="008F4B6A">
        <w:t xml:space="preserve">that </w:t>
      </w:r>
      <w:r w:rsidR="005B2DF0" w:rsidRPr="008F4B6A">
        <w:t xml:space="preserve">the concept of culture </w:t>
      </w:r>
      <w:r w:rsidR="009B4A16" w:rsidRPr="008F4B6A">
        <w:t xml:space="preserve">has been studied </w:t>
      </w:r>
      <w:r w:rsidR="005B2DF0" w:rsidRPr="008F4B6A">
        <w:t>from the perspective of the regulator (</w:t>
      </w:r>
      <w:r w:rsidR="00FA3722">
        <w:t xml:space="preserve">O’Brien </w:t>
      </w:r>
      <w:r w:rsidR="005D42E6">
        <w:t>et al.</w:t>
      </w:r>
      <w:r w:rsidR="005B2DF0" w:rsidRPr="008F4B6A">
        <w:t xml:space="preserve"> 2014; Ring </w:t>
      </w:r>
      <w:r w:rsidR="00DA0F47">
        <w:t xml:space="preserve">et al. </w:t>
      </w:r>
      <w:r w:rsidR="005B2DF0" w:rsidRPr="008F4B6A">
        <w:t>201</w:t>
      </w:r>
      <w:r w:rsidR="00A160C2">
        <w:t>6</w:t>
      </w:r>
      <w:r w:rsidR="005B2DF0" w:rsidRPr="008F4B6A">
        <w:t xml:space="preserve">). </w:t>
      </w:r>
      <w:r w:rsidR="009B4A16" w:rsidRPr="008F4B6A">
        <w:t xml:space="preserve">However, this has been criticised on the grounds that </w:t>
      </w:r>
      <w:r w:rsidR="005B2DF0" w:rsidRPr="008F4B6A">
        <w:t>culture is presented in a ‘diffuse, inconsistent, and often simplistic ways’ (</w:t>
      </w:r>
      <w:proofErr w:type="spellStart"/>
      <w:r w:rsidR="005B2DF0" w:rsidRPr="008F4B6A">
        <w:t>Meidinger</w:t>
      </w:r>
      <w:proofErr w:type="spellEnd"/>
      <w:r w:rsidR="00E57609">
        <w:t>,</w:t>
      </w:r>
      <w:r w:rsidR="00FA3722">
        <w:t xml:space="preserve"> </w:t>
      </w:r>
      <w:r w:rsidR="005B2DF0" w:rsidRPr="008F4B6A">
        <w:t xml:space="preserve">1987). </w:t>
      </w:r>
      <w:r w:rsidR="00786A15" w:rsidRPr="00786A15">
        <w:t xml:space="preserve">There are similar concerns with regard to the over simplification of the construct of legitimacy, and </w:t>
      </w:r>
      <w:r w:rsidR="00BD1618" w:rsidRPr="00786A15">
        <w:t>its</w:t>
      </w:r>
      <w:r w:rsidR="00786A15" w:rsidRPr="00786A15">
        <w:t xml:space="preserve"> widespread application resulting in misuse o</w:t>
      </w:r>
      <w:r w:rsidR="004249AB">
        <w:t>f the construct (</w:t>
      </w:r>
      <w:proofErr w:type="spellStart"/>
      <w:r w:rsidR="004249AB">
        <w:t>Suddaby</w:t>
      </w:r>
      <w:proofErr w:type="spellEnd"/>
      <w:r w:rsidR="004249AB">
        <w:t xml:space="preserve"> et al.</w:t>
      </w:r>
      <w:r w:rsidR="00786A15" w:rsidRPr="00786A15">
        <w:t xml:space="preserve"> 2017). </w:t>
      </w:r>
      <w:r w:rsidR="005B2DF0" w:rsidRPr="008F4B6A">
        <w:t>Compounding the matter further, less has been said from the perspective of the compliance functions</w:t>
      </w:r>
      <w:r w:rsidR="002657B6" w:rsidRPr="008F4B6A">
        <w:t>,</w:t>
      </w:r>
      <w:r w:rsidR="005B2DF0" w:rsidRPr="008F4B6A">
        <w:t xml:space="preserve"> within the firms where the </w:t>
      </w:r>
      <w:r w:rsidR="009B4A16" w:rsidRPr="008F4B6A">
        <w:t xml:space="preserve">continued </w:t>
      </w:r>
      <w:r w:rsidR="00BC23B2" w:rsidRPr="008F4B6A">
        <w:t xml:space="preserve">dysfunctional </w:t>
      </w:r>
      <w:r w:rsidR="009B4A16" w:rsidRPr="008F4B6A">
        <w:t xml:space="preserve">cultural </w:t>
      </w:r>
      <w:r w:rsidR="005B2DF0" w:rsidRPr="008F4B6A">
        <w:t>issues exist.</w:t>
      </w:r>
      <w:r w:rsidR="0077774D" w:rsidRPr="008F4B6A">
        <w:t xml:space="preserve"> </w:t>
      </w:r>
      <w:r w:rsidR="00860745" w:rsidRPr="00E57609">
        <w:t xml:space="preserve">Thus, an evident gap in the literature is to explore firms’ compliance culture and how it is formulated vis-à-vis the institutional environment in fulfilment of legitimacy claims from various stakeholders. </w:t>
      </w:r>
      <w:r w:rsidR="0077774D" w:rsidRPr="008F4B6A">
        <w:t xml:space="preserve">Clearly, this is increasingly important given recent media speculation about the shift in regulatory direction of the FCA, where it will no longer be viewed </w:t>
      </w:r>
      <w:r w:rsidR="00F53EBB">
        <w:t xml:space="preserve">as ‘enforcement-led’, or </w:t>
      </w:r>
      <w:r w:rsidR="00F53EBB" w:rsidRPr="002311FA">
        <w:t>following the</w:t>
      </w:r>
      <w:r w:rsidR="0077774D" w:rsidRPr="002311FA">
        <w:t xml:space="preserve"> ‘shoot first, ask questions later’ approach </w:t>
      </w:r>
      <w:r w:rsidR="000C6A7F" w:rsidRPr="002311FA">
        <w:t>after</w:t>
      </w:r>
      <w:r w:rsidR="0077774D" w:rsidRPr="002311FA">
        <w:t xml:space="preserve"> the appointment of Andrew Bailey</w:t>
      </w:r>
      <w:r w:rsidR="007C664D" w:rsidRPr="002311FA">
        <w:t xml:space="preserve"> in</w:t>
      </w:r>
      <w:r w:rsidR="007C664D" w:rsidRPr="008F4B6A">
        <w:t xml:space="preserve"> 2016</w:t>
      </w:r>
      <w:r w:rsidR="0077774D" w:rsidRPr="008F4B6A">
        <w:t xml:space="preserve">. </w:t>
      </w:r>
    </w:p>
    <w:p w14:paraId="21D6E768" w14:textId="2ED14B4F" w:rsidR="00860745" w:rsidRPr="00E57609" w:rsidRDefault="00E57609" w:rsidP="00860745">
      <w:pPr>
        <w:spacing w:line="480" w:lineRule="auto"/>
        <w:jc w:val="both"/>
        <w:rPr>
          <w:b/>
          <w:i/>
        </w:rPr>
      </w:pPr>
      <w:r w:rsidRPr="00E57609">
        <w:t xml:space="preserve">Essentially, this shift </w:t>
      </w:r>
      <w:r w:rsidR="00860745" w:rsidRPr="00E57609">
        <w:t>not only mark</w:t>
      </w:r>
      <w:r w:rsidRPr="00E57609">
        <w:t>s</w:t>
      </w:r>
      <w:r w:rsidR="00860745" w:rsidRPr="00E57609">
        <w:t xml:space="preserve"> a significant change in the institutional environment</w:t>
      </w:r>
      <w:r w:rsidRPr="00E57609">
        <w:t>,</w:t>
      </w:r>
      <w:r w:rsidR="00860745" w:rsidRPr="00E57609">
        <w:t xml:space="preserve"> but also a change in the notion of legitima</w:t>
      </w:r>
      <w:r w:rsidR="00BD1618" w:rsidRPr="00E57609">
        <w:t>tion</w:t>
      </w:r>
      <w:r w:rsidR="008456FD">
        <w:t xml:space="preserve">. Drawing on </w:t>
      </w:r>
      <w:proofErr w:type="spellStart"/>
      <w:r w:rsidR="008456FD">
        <w:t>Suddaby</w:t>
      </w:r>
      <w:proofErr w:type="spellEnd"/>
      <w:r w:rsidR="008456FD">
        <w:t xml:space="preserve"> et </w:t>
      </w:r>
      <w:r w:rsidR="00860745" w:rsidRPr="00E57609">
        <w:t>al. (2017), this could be interpreted as a shift from perc</w:t>
      </w:r>
      <w:r w:rsidRPr="00E57609">
        <w:t>eiving legitimacy as a property</w:t>
      </w:r>
      <w:r w:rsidR="00860745" w:rsidRPr="00E57609">
        <w:t xml:space="preserve"> </w:t>
      </w:r>
      <w:r w:rsidRPr="00E57609">
        <w:t>(</w:t>
      </w:r>
      <w:r w:rsidR="00860745" w:rsidRPr="00E57609">
        <w:t>which is simply achieved (or lost) by firms’ compliance (or non-compliance) with law and regulations i.e. through coercion</w:t>
      </w:r>
      <w:r w:rsidRPr="00E57609">
        <w:t>)</w:t>
      </w:r>
      <w:r w:rsidR="00860745" w:rsidRPr="00E57609">
        <w:t>, to perceiving legitimacy as a process which socially constructs the terms of reference of legitimacy, a</w:t>
      </w:r>
      <w:r w:rsidRPr="00E57609">
        <w:t>s a</w:t>
      </w:r>
      <w:r w:rsidR="00860745" w:rsidRPr="00E57609">
        <w:t xml:space="preserve"> process that is based on collaboration rather than enforcement.   This led to formulation of our research question of: </w:t>
      </w:r>
      <w:r w:rsidR="00860745" w:rsidRPr="00E57609">
        <w:rPr>
          <w:b/>
          <w:i/>
        </w:rPr>
        <w:t>How is the UK financial institutions’ compliance culture shaped by the institutional environment and changing legitimacy claims?</w:t>
      </w:r>
    </w:p>
    <w:p w14:paraId="6A34E26B" w14:textId="410246C5" w:rsidR="00860745" w:rsidRPr="00DD2C74" w:rsidRDefault="005B2DF0" w:rsidP="00860745">
      <w:pPr>
        <w:spacing w:line="480" w:lineRule="auto"/>
        <w:jc w:val="both"/>
      </w:pPr>
      <w:r w:rsidRPr="008F4B6A">
        <w:lastRenderedPageBreak/>
        <w:t xml:space="preserve"> </w:t>
      </w:r>
      <w:r w:rsidR="009B4A16" w:rsidRPr="008F4B6A">
        <w:t>Against this background, this</w:t>
      </w:r>
      <w:r w:rsidRPr="008F4B6A">
        <w:t xml:space="preserve"> paper</w:t>
      </w:r>
      <w:r w:rsidR="00BE2729" w:rsidRPr="008F4B6A">
        <w:t xml:space="preserve"> uses an institutional theory lens to investigate the concept of compliance culture within the UK financial sector. Here, the aim of this paper is to understand how financial institutions </w:t>
      </w:r>
      <w:r w:rsidR="00860745" w:rsidRPr="00DD2C74">
        <w:t xml:space="preserve">(both the offending and non-offending </w:t>
      </w:r>
      <w:r w:rsidR="00B752FA" w:rsidRPr="008F4B6A">
        <w:t>companies) internalise</w:t>
      </w:r>
      <w:r w:rsidR="00BE2729" w:rsidRPr="008F4B6A">
        <w:t xml:space="preserve"> the institutional pressures from their immediate external environment in their quest t</w:t>
      </w:r>
      <w:r w:rsidR="002311FA">
        <w:t>o maintain legitimacy (</w:t>
      </w:r>
      <w:proofErr w:type="spellStart"/>
      <w:r w:rsidR="002311FA">
        <w:t>Suchman</w:t>
      </w:r>
      <w:proofErr w:type="spellEnd"/>
      <w:r w:rsidR="00557AE1">
        <w:t>,</w:t>
      </w:r>
      <w:r w:rsidR="002311FA">
        <w:t xml:space="preserve"> </w:t>
      </w:r>
      <w:r w:rsidR="00BE2729" w:rsidRPr="008F4B6A">
        <w:t>1995</w:t>
      </w:r>
      <w:r w:rsidR="00BE2729" w:rsidRPr="00DD2C74">
        <w:t xml:space="preserve">). </w:t>
      </w:r>
      <w:r w:rsidR="00860745" w:rsidRPr="00DD2C74">
        <w:t>Inevitably, the paper will also discuss the how this internalisation has been influenced by the change in the regulatory approach and the implications on legitimacy notion</w:t>
      </w:r>
      <w:r w:rsidR="00DD2C74">
        <w:t>,</w:t>
      </w:r>
      <w:r w:rsidR="00860745" w:rsidRPr="00DD2C74">
        <w:t xml:space="preserve"> if any.</w:t>
      </w:r>
    </w:p>
    <w:p w14:paraId="7BB987A3" w14:textId="39600698" w:rsidR="0091252E" w:rsidRPr="008F4B6A" w:rsidRDefault="002765F9" w:rsidP="00D82B0C">
      <w:pPr>
        <w:spacing w:line="480" w:lineRule="auto"/>
        <w:jc w:val="both"/>
      </w:pPr>
      <w:r w:rsidRPr="00374BFB">
        <w:t>Following</w:t>
      </w:r>
      <w:r w:rsidR="00234FFA" w:rsidRPr="00374BFB">
        <w:t xml:space="preserve"> a pragmatic </w:t>
      </w:r>
      <w:r w:rsidR="00234FFA" w:rsidRPr="008F4B6A">
        <w:t xml:space="preserve">research design, this paper undertakes a longitudinal </w:t>
      </w:r>
      <w:r w:rsidR="00B752FA" w:rsidRPr="008F4B6A">
        <w:t>in-depth</w:t>
      </w:r>
      <w:r w:rsidR="00234FFA" w:rsidRPr="008F4B6A">
        <w:t xml:space="preserve"> website </w:t>
      </w:r>
      <w:r w:rsidR="00906ADA" w:rsidRPr="008F4B6A">
        <w:t>analysis of</w:t>
      </w:r>
      <w:r w:rsidR="00234FFA" w:rsidRPr="008F4B6A">
        <w:t xml:space="preserve"> </w:t>
      </w:r>
      <w:r w:rsidR="007C664D" w:rsidRPr="008F4B6A">
        <w:t xml:space="preserve">the </w:t>
      </w:r>
      <w:r w:rsidR="00234FFA" w:rsidRPr="008F4B6A">
        <w:t>press releases of 23 non-compliant firms</w:t>
      </w:r>
      <w:r w:rsidR="007C664D" w:rsidRPr="008F4B6A">
        <w:t>,</w:t>
      </w:r>
      <w:r w:rsidR="00234FFA" w:rsidRPr="008F4B6A">
        <w:t xml:space="preserve"> alongside</w:t>
      </w:r>
      <w:r w:rsidR="007C664D" w:rsidRPr="008F4B6A">
        <w:t xml:space="preserve"> those</w:t>
      </w:r>
      <w:r w:rsidR="00E10888">
        <w:t xml:space="preserve"> of the regulator</w:t>
      </w:r>
      <w:r w:rsidR="00234FFA" w:rsidRPr="008F4B6A">
        <w:t xml:space="preserve">, during the period of 2013-2016. This captures the public responses of those firms fined by the regulator (the </w:t>
      </w:r>
      <w:r w:rsidR="007C664D" w:rsidRPr="008F4B6A">
        <w:t>FCA</w:t>
      </w:r>
      <w:r w:rsidR="00234FFA" w:rsidRPr="008F4B6A">
        <w:t xml:space="preserve">) for compliance culture failings. </w:t>
      </w:r>
      <w:r w:rsidR="001D4BA7" w:rsidRPr="008F4B6A">
        <w:t xml:space="preserve">Essentially, this </w:t>
      </w:r>
      <w:r w:rsidR="00931B90" w:rsidRPr="008F4B6A">
        <w:t xml:space="preserve">analysis is underpinned by institutional theory, where organisations follow an isomorphic pattern in responding to particular institutional pressures in order to maintain their </w:t>
      </w:r>
      <w:r w:rsidR="00374BFB">
        <w:t>legitimacy (DiMaggio and Powell</w:t>
      </w:r>
      <w:r w:rsidR="00557AE1">
        <w:t>,</w:t>
      </w:r>
      <w:r w:rsidR="001E39E5" w:rsidRPr="008F4B6A">
        <w:t xml:space="preserve"> </w:t>
      </w:r>
      <w:r w:rsidR="00931B90" w:rsidRPr="008F4B6A">
        <w:t>1983</w:t>
      </w:r>
      <w:r w:rsidR="00374BFB">
        <w:t>; Scott</w:t>
      </w:r>
      <w:r w:rsidR="00557AE1">
        <w:t>,</w:t>
      </w:r>
      <w:r w:rsidR="00234FFA" w:rsidRPr="008F4B6A">
        <w:t xml:space="preserve"> 2014</w:t>
      </w:r>
      <w:r w:rsidR="00931B90" w:rsidRPr="008F4B6A">
        <w:t>).</w:t>
      </w:r>
      <w:r w:rsidR="00C81F64" w:rsidRPr="008F4B6A">
        <w:t xml:space="preserve"> </w:t>
      </w:r>
      <w:r w:rsidR="001060E6" w:rsidRPr="001060E6">
        <w:t>The resulting model of evolutionary compliance culture evidences the impact of pressures, and the nature of regulatory flux which has advanced the pursuit of legitimacy from a ‘property’ (measurable) to a ‘interactive process’ (</w:t>
      </w:r>
      <w:proofErr w:type="spellStart"/>
      <w:r w:rsidR="001060E6" w:rsidRPr="001060E6">
        <w:t>Suddaby</w:t>
      </w:r>
      <w:proofErr w:type="spellEnd"/>
      <w:r w:rsidR="001060E6" w:rsidRPr="001060E6">
        <w:t xml:space="preserve"> et al. 2017) in the contemporary banking industry in the UK.  </w:t>
      </w:r>
    </w:p>
    <w:p w14:paraId="02A5562B" w14:textId="12A3AB0C" w:rsidR="001A76A6" w:rsidRPr="00374BFB" w:rsidRDefault="00DC0AED" w:rsidP="00D82B0C">
      <w:pPr>
        <w:spacing w:line="480" w:lineRule="auto"/>
        <w:jc w:val="both"/>
      </w:pPr>
      <w:r w:rsidRPr="008F4B6A">
        <w:t xml:space="preserve">The paper is structured as follows: </w:t>
      </w:r>
      <w:r w:rsidR="00E10888">
        <w:rPr>
          <w:color w:val="FF0000"/>
        </w:rPr>
        <w:t xml:space="preserve"> </w:t>
      </w:r>
      <w:r w:rsidR="00E10888" w:rsidRPr="00374BFB">
        <w:t xml:space="preserve">the next </w:t>
      </w:r>
      <w:r w:rsidR="00625155" w:rsidRPr="00374BFB">
        <w:t>section explores</w:t>
      </w:r>
      <w:r w:rsidR="00D22070" w:rsidRPr="00374BFB">
        <w:t xml:space="preserve"> the concept of </w:t>
      </w:r>
      <w:r w:rsidR="00935693" w:rsidRPr="00374BFB">
        <w:t xml:space="preserve">compliance culture </w:t>
      </w:r>
      <w:r w:rsidR="00625155" w:rsidRPr="00374BFB">
        <w:t>as presented</w:t>
      </w:r>
      <w:r w:rsidR="00935693" w:rsidRPr="00374BFB">
        <w:t xml:space="preserve"> </w:t>
      </w:r>
      <w:r w:rsidR="00B01CF9" w:rsidRPr="00374BFB">
        <w:t xml:space="preserve">within </w:t>
      </w:r>
      <w:r w:rsidR="00810B27" w:rsidRPr="00374BFB">
        <w:t xml:space="preserve">the </w:t>
      </w:r>
      <w:r w:rsidR="00935693" w:rsidRPr="00374BFB">
        <w:t>academic</w:t>
      </w:r>
      <w:r w:rsidR="00810B27" w:rsidRPr="00374BFB">
        <w:t xml:space="preserve"> and industry </w:t>
      </w:r>
      <w:r w:rsidR="00DE40A6" w:rsidRPr="00374BFB">
        <w:t xml:space="preserve">extant </w:t>
      </w:r>
      <w:r w:rsidR="00E8525B" w:rsidRPr="00374BFB">
        <w:t>literatures</w:t>
      </w:r>
      <w:r w:rsidR="00935693" w:rsidRPr="00374BFB">
        <w:t>.</w:t>
      </w:r>
      <w:r w:rsidR="00D271C8" w:rsidRPr="00374BFB">
        <w:t xml:space="preserve"> </w:t>
      </w:r>
      <w:r w:rsidR="00DE40A6" w:rsidRPr="00374BFB">
        <w:t xml:space="preserve">This is followed by </w:t>
      </w:r>
      <w:r w:rsidR="00E8525B" w:rsidRPr="00374BFB">
        <w:t xml:space="preserve">the methods </w:t>
      </w:r>
      <w:r w:rsidR="00B01CF9" w:rsidRPr="00374BFB">
        <w:t>and methodology</w:t>
      </w:r>
      <w:r w:rsidR="00625155" w:rsidRPr="00374BFB">
        <w:t xml:space="preserve"> section</w:t>
      </w:r>
      <w:r w:rsidR="00234FFA" w:rsidRPr="00374BFB">
        <w:t xml:space="preserve">. </w:t>
      </w:r>
      <w:r w:rsidR="00935693" w:rsidRPr="00374BFB">
        <w:t xml:space="preserve"> </w:t>
      </w:r>
      <w:r w:rsidR="00625155" w:rsidRPr="00374BFB">
        <w:t>Then,</w:t>
      </w:r>
      <w:r w:rsidR="00B01CF9" w:rsidRPr="00374BFB">
        <w:t xml:space="preserve"> the </w:t>
      </w:r>
      <w:r w:rsidRPr="00374BFB">
        <w:t>results and discuss</w:t>
      </w:r>
      <w:r w:rsidR="00A61AFA" w:rsidRPr="00374BFB">
        <w:t xml:space="preserve">ion of </w:t>
      </w:r>
      <w:r w:rsidRPr="00374BFB">
        <w:t>findings</w:t>
      </w:r>
      <w:r w:rsidR="00A61AFA" w:rsidRPr="00374BFB">
        <w:t xml:space="preserve"> is presented</w:t>
      </w:r>
      <w:r w:rsidR="00B01CF9" w:rsidRPr="00374BFB">
        <w:t xml:space="preserve">. Finally, </w:t>
      </w:r>
      <w:r w:rsidR="00C31659" w:rsidRPr="00374BFB">
        <w:t>the</w:t>
      </w:r>
      <w:r w:rsidR="007A49B3" w:rsidRPr="00374BFB">
        <w:t xml:space="preserve"> conclusion, recommendations and areas of future research</w:t>
      </w:r>
      <w:r w:rsidR="00A61AFA" w:rsidRPr="00374BFB">
        <w:t xml:space="preserve"> are highlighted in the last section.</w:t>
      </w:r>
    </w:p>
    <w:p w14:paraId="166543E7" w14:textId="10E02984" w:rsidR="00DC271B" w:rsidRPr="008F4B6A" w:rsidRDefault="00DC271B" w:rsidP="00D82B0C">
      <w:pPr>
        <w:spacing w:line="480" w:lineRule="auto"/>
        <w:jc w:val="both"/>
      </w:pPr>
      <w:r w:rsidRPr="008F4B6A">
        <w:rPr>
          <w:rFonts w:asciiTheme="majorBidi" w:hAnsiTheme="majorBidi" w:cstheme="majorBidi"/>
          <w:b/>
          <w:bCs/>
          <w:sz w:val="28"/>
          <w:szCs w:val="28"/>
          <w:lang w:eastAsia="en-GB"/>
        </w:rPr>
        <w:t>Literature Review</w:t>
      </w:r>
    </w:p>
    <w:p w14:paraId="4F1B0926" w14:textId="4630E568" w:rsidR="002E4781" w:rsidRPr="008F4B6A" w:rsidRDefault="001804CF" w:rsidP="00D82B0C">
      <w:pPr>
        <w:spacing w:line="480" w:lineRule="auto"/>
        <w:jc w:val="both"/>
      </w:pPr>
      <w:r w:rsidRPr="008F4B6A">
        <w:t>Undoubtedly,</w:t>
      </w:r>
      <w:r w:rsidR="001D7FAA" w:rsidRPr="008F4B6A">
        <w:t xml:space="preserve"> </w:t>
      </w:r>
      <w:r w:rsidR="001B5A3C" w:rsidRPr="008F4B6A">
        <w:t>t</w:t>
      </w:r>
      <w:r w:rsidR="00071C4B" w:rsidRPr="008F4B6A">
        <w:t xml:space="preserve">here has been a general movement by </w:t>
      </w:r>
      <w:r w:rsidR="001B5A3C" w:rsidRPr="008F4B6A">
        <w:t xml:space="preserve">both academic researchers and </w:t>
      </w:r>
      <w:r w:rsidR="00071C4B" w:rsidRPr="008F4B6A">
        <w:t>pract</w:t>
      </w:r>
      <w:r w:rsidR="00D22070" w:rsidRPr="008F4B6A">
        <w:t xml:space="preserve">itioners to </w:t>
      </w:r>
      <w:r w:rsidR="001B5A3C" w:rsidRPr="008F4B6A">
        <w:t xml:space="preserve">identify and </w:t>
      </w:r>
      <w:r w:rsidR="00D22070" w:rsidRPr="008F4B6A">
        <w:t xml:space="preserve">improve </w:t>
      </w:r>
      <w:r w:rsidR="007B6102" w:rsidRPr="008F4B6A">
        <w:t xml:space="preserve">corporate </w:t>
      </w:r>
      <w:r w:rsidR="00071C4B" w:rsidRPr="008F4B6A">
        <w:t xml:space="preserve">governance structures </w:t>
      </w:r>
      <w:r w:rsidR="00290CDE" w:rsidRPr="008F4B6A">
        <w:t>within firms</w:t>
      </w:r>
      <w:r w:rsidR="002F6392" w:rsidRPr="008F4B6A">
        <w:t>,</w:t>
      </w:r>
      <w:r w:rsidR="00290CDE" w:rsidRPr="008F4B6A">
        <w:t xml:space="preserve"> since earlier crise</w:t>
      </w:r>
      <w:r w:rsidR="00071C4B" w:rsidRPr="008F4B6A">
        <w:t>s of Enron, WorldCom, and Arthur Anderson at the start of the millennium</w:t>
      </w:r>
      <w:r w:rsidR="006357B3" w:rsidRPr="008F4B6A">
        <w:t xml:space="preserve">, </w:t>
      </w:r>
      <w:r w:rsidR="00BB1C0A" w:rsidRPr="008F4B6A">
        <w:t xml:space="preserve">shortly </w:t>
      </w:r>
      <w:r w:rsidR="006357B3" w:rsidRPr="008F4B6A">
        <w:t>followed thereafter by the Global Financial Crisis of 2007-08</w:t>
      </w:r>
      <w:r w:rsidR="003159D0" w:rsidRPr="00374BFB">
        <w:t>.</w:t>
      </w:r>
      <w:r w:rsidR="00E2412E" w:rsidRPr="00374BFB">
        <w:t xml:space="preserve"> </w:t>
      </w:r>
      <w:r w:rsidR="00374BFB" w:rsidRPr="00374BFB">
        <w:t xml:space="preserve"> A</w:t>
      </w:r>
      <w:r w:rsidR="00CB2EDF" w:rsidRPr="00374BFB">
        <w:t xml:space="preserve"> </w:t>
      </w:r>
      <w:r w:rsidR="007D19F9" w:rsidRPr="00374BFB">
        <w:t xml:space="preserve">common underlying reason for these failure is </w:t>
      </w:r>
      <w:r w:rsidR="007536D3" w:rsidRPr="00374BFB">
        <w:t xml:space="preserve">what </w:t>
      </w:r>
      <w:proofErr w:type="spellStart"/>
      <w:r w:rsidR="007536D3" w:rsidRPr="00374BFB">
        <w:t>Zyglidopoulos</w:t>
      </w:r>
      <w:proofErr w:type="spellEnd"/>
      <w:r w:rsidR="00DD2C74">
        <w:t xml:space="preserve"> </w:t>
      </w:r>
      <w:r w:rsidR="000B5AAC">
        <w:lastRenderedPageBreak/>
        <w:t>et al.</w:t>
      </w:r>
      <w:r w:rsidR="00B64DDB" w:rsidRPr="008F4B6A">
        <w:t xml:space="preserve"> (2009) </w:t>
      </w:r>
      <w:r w:rsidR="007D19F9" w:rsidRPr="00374BFB">
        <w:t>called a borderline</w:t>
      </w:r>
      <w:r w:rsidR="003B653F" w:rsidRPr="00374BFB">
        <w:t xml:space="preserve"> and </w:t>
      </w:r>
      <w:r w:rsidR="003B653F" w:rsidRPr="00374BFB">
        <w:rPr>
          <w:i/>
          <w:iCs/>
        </w:rPr>
        <w:t>‘delusional’</w:t>
      </w:r>
      <w:r w:rsidR="00B64DDB" w:rsidRPr="00374BFB">
        <w:t xml:space="preserve"> corporate culture </w:t>
      </w:r>
      <w:r w:rsidR="003B653F" w:rsidRPr="00374BFB">
        <w:t xml:space="preserve">caused by an </w:t>
      </w:r>
      <w:r w:rsidR="00B64DDB" w:rsidRPr="00374BFB">
        <w:t xml:space="preserve">over confidence in ability and importance. </w:t>
      </w:r>
      <w:r w:rsidR="00A83E5D" w:rsidRPr="00374BFB">
        <w:t xml:space="preserve">Of note that the extant literature focused on </w:t>
      </w:r>
      <w:r w:rsidR="007B6102" w:rsidRPr="00374BFB">
        <w:t>explain</w:t>
      </w:r>
      <w:r w:rsidR="00A83E5D" w:rsidRPr="00374BFB">
        <w:t>ing</w:t>
      </w:r>
      <w:r w:rsidR="007B6102" w:rsidRPr="00374BFB">
        <w:t xml:space="preserve"> the </w:t>
      </w:r>
      <w:r w:rsidR="007B6102" w:rsidRPr="008F4B6A">
        <w:t xml:space="preserve">motivation behind practitioners’ </w:t>
      </w:r>
      <w:r w:rsidR="007B6102" w:rsidRPr="00374BFB">
        <w:t xml:space="preserve">actions </w:t>
      </w:r>
      <w:r w:rsidR="004257DE" w:rsidRPr="00374BFB">
        <w:t xml:space="preserve">to improve </w:t>
      </w:r>
      <w:r w:rsidR="007B6102" w:rsidRPr="00374BFB">
        <w:t xml:space="preserve">corporate governance compliance, </w:t>
      </w:r>
      <w:r w:rsidR="004257DE" w:rsidRPr="00374BFB">
        <w:t xml:space="preserve">here, </w:t>
      </w:r>
      <w:r w:rsidR="00A374B2" w:rsidRPr="00374BFB">
        <w:t xml:space="preserve">a number </w:t>
      </w:r>
      <w:r w:rsidR="00B17532" w:rsidRPr="00374BFB">
        <w:t>of academics</w:t>
      </w:r>
      <w:r w:rsidR="00071C4B" w:rsidRPr="00374BFB">
        <w:t xml:space="preserve"> have </w:t>
      </w:r>
      <w:r w:rsidR="00CE4129" w:rsidRPr="00374BFB">
        <w:t xml:space="preserve">correlated </w:t>
      </w:r>
      <w:r w:rsidR="00D22070" w:rsidRPr="00374BFB">
        <w:t xml:space="preserve">the implementation of </w:t>
      </w:r>
      <w:r w:rsidR="00071C4B" w:rsidRPr="00374BFB">
        <w:t xml:space="preserve">effective </w:t>
      </w:r>
      <w:r w:rsidR="009A20F5" w:rsidRPr="00374BFB">
        <w:t xml:space="preserve">corporate </w:t>
      </w:r>
      <w:r w:rsidR="00071C4B" w:rsidRPr="00374BFB">
        <w:t xml:space="preserve">governance and control structures </w:t>
      </w:r>
      <w:r w:rsidR="00CE4129" w:rsidRPr="00374BFB">
        <w:t>w</w:t>
      </w:r>
      <w:r w:rsidR="00ED11B9" w:rsidRPr="00374BFB">
        <w:t xml:space="preserve">ith </w:t>
      </w:r>
      <w:r w:rsidR="00CE4129" w:rsidRPr="00374BFB">
        <w:t xml:space="preserve">an </w:t>
      </w:r>
      <w:r w:rsidR="00ED11B9" w:rsidRPr="00374BFB">
        <w:t xml:space="preserve">improved </w:t>
      </w:r>
      <w:r w:rsidR="00D22070" w:rsidRPr="00374BFB">
        <w:t>firm</w:t>
      </w:r>
      <w:r w:rsidR="00071C4B" w:rsidRPr="00374BFB">
        <w:t>s</w:t>
      </w:r>
      <w:r w:rsidR="00D22070" w:rsidRPr="00374BFB">
        <w:t>’</w:t>
      </w:r>
      <w:r w:rsidR="00071C4B" w:rsidRPr="00374BFB">
        <w:t xml:space="preserve"> valu</w:t>
      </w:r>
      <w:r w:rsidR="00ED11B9" w:rsidRPr="008F4B6A">
        <w:t>e</w:t>
      </w:r>
      <w:r w:rsidR="00071C4B" w:rsidRPr="008F4B6A">
        <w:t xml:space="preserve"> </w:t>
      </w:r>
      <w:r w:rsidR="00374BFB">
        <w:t xml:space="preserve">(Hendricks and </w:t>
      </w:r>
      <w:proofErr w:type="spellStart"/>
      <w:r w:rsidR="00374BFB">
        <w:t>Singhal</w:t>
      </w:r>
      <w:proofErr w:type="spellEnd"/>
      <w:r w:rsidR="00DD2C74">
        <w:t>,</w:t>
      </w:r>
      <w:r w:rsidR="008A6FE1" w:rsidRPr="008F4B6A">
        <w:t xml:space="preserve"> 1996; </w:t>
      </w:r>
      <w:proofErr w:type="spellStart"/>
      <w:r w:rsidR="008A6FE1" w:rsidRPr="008F4B6A">
        <w:t>Akhigbe</w:t>
      </w:r>
      <w:proofErr w:type="spellEnd"/>
      <w:r w:rsidR="008A6FE1" w:rsidRPr="008F4B6A">
        <w:t xml:space="preserve"> and Martin</w:t>
      </w:r>
      <w:r w:rsidR="00DD2C74">
        <w:t>,</w:t>
      </w:r>
      <w:r w:rsidR="00374BFB">
        <w:t xml:space="preserve"> 2006; Henry</w:t>
      </w:r>
      <w:r w:rsidR="00DD2C74">
        <w:t>,</w:t>
      </w:r>
      <w:r w:rsidR="008A6FE1" w:rsidRPr="008F4B6A">
        <w:t xml:space="preserve"> 2008)</w:t>
      </w:r>
      <w:r w:rsidR="00071C4B" w:rsidRPr="008F4B6A">
        <w:t xml:space="preserve">. </w:t>
      </w:r>
      <w:r w:rsidR="003159D0" w:rsidRPr="008F4B6A">
        <w:t xml:space="preserve">However, </w:t>
      </w:r>
      <w:r w:rsidR="007B6102" w:rsidRPr="008F4B6A">
        <w:t>with the cost of complian</w:t>
      </w:r>
      <w:r w:rsidR="00374BFB">
        <w:t>ce argued to be so high (Garcia</w:t>
      </w:r>
      <w:r w:rsidR="00DD2C74">
        <w:t>,</w:t>
      </w:r>
      <w:r w:rsidR="007B6102" w:rsidRPr="008F4B6A">
        <w:t xml:space="preserve"> 2004; Bambe</w:t>
      </w:r>
      <w:r w:rsidR="00374BFB">
        <w:t>rger</w:t>
      </w:r>
      <w:r w:rsidR="00DD2C74">
        <w:t>,</w:t>
      </w:r>
      <w:r w:rsidR="007B6102" w:rsidRPr="008F4B6A">
        <w:t xml:space="preserve"> 2010; English and Hammond</w:t>
      </w:r>
      <w:r w:rsidR="00DD2C74">
        <w:t>,</w:t>
      </w:r>
      <w:r w:rsidR="007B6102" w:rsidRPr="008F4B6A">
        <w:t xml:space="preserve"> 2012, 2015) the</w:t>
      </w:r>
      <w:r w:rsidR="003159D0" w:rsidRPr="008F4B6A">
        <w:t xml:space="preserve"> fundamental question over why management comply</w:t>
      </w:r>
      <w:r w:rsidR="00E02D32" w:rsidRPr="008F4B6A">
        <w:t>,</w:t>
      </w:r>
      <w:r w:rsidR="007B6102" w:rsidRPr="008F4B6A">
        <w:t xml:space="preserve"> remains </w:t>
      </w:r>
      <w:r w:rsidR="00E60F64" w:rsidRPr="00374BFB">
        <w:t>ambiguous</w:t>
      </w:r>
      <w:r w:rsidR="003159D0" w:rsidRPr="00374BFB">
        <w:t xml:space="preserve">. Another </w:t>
      </w:r>
      <w:r w:rsidR="003159D0" w:rsidRPr="008F4B6A">
        <w:t xml:space="preserve">line of research has focused on the role of media in setting the public agenda, </w:t>
      </w:r>
      <w:r w:rsidR="00B01162" w:rsidRPr="008F4B6A">
        <w:t xml:space="preserve">and </w:t>
      </w:r>
      <w:r w:rsidR="003159D0" w:rsidRPr="008F4B6A">
        <w:t xml:space="preserve">how this would be reflected </w:t>
      </w:r>
      <w:r w:rsidR="00B01162" w:rsidRPr="008F4B6A">
        <w:t>within</w:t>
      </w:r>
      <w:r w:rsidR="003159D0" w:rsidRPr="008F4B6A">
        <w:t xml:space="preserve"> the publics</w:t>
      </w:r>
      <w:r w:rsidR="007C664D" w:rsidRPr="008F4B6A">
        <w:t>’</w:t>
      </w:r>
      <w:r w:rsidR="003159D0" w:rsidRPr="008F4B6A">
        <w:t xml:space="preserve"> perceptio</w:t>
      </w:r>
      <w:r w:rsidR="00374BFB">
        <w:t xml:space="preserve">n of risk (McCarthy and </w:t>
      </w:r>
      <w:proofErr w:type="spellStart"/>
      <w:r w:rsidR="00374BFB">
        <w:t>Dolfsma</w:t>
      </w:r>
      <w:proofErr w:type="spellEnd"/>
      <w:r w:rsidR="00DD2C74">
        <w:t>,</w:t>
      </w:r>
      <w:r w:rsidR="003159D0" w:rsidRPr="008F4B6A">
        <w:t xml:space="preserve"> 2014). </w:t>
      </w:r>
      <w:r w:rsidR="00C806BA" w:rsidRPr="008F4B6A">
        <w:t>Here</w:t>
      </w:r>
      <w:r w:rsidR="003159D0" w:rsidRPr="008F4B6A">
        <w:t>, some researchers</w:t>
      </w:r>
      <w:r w:rsidR="00ED11B9" w:rsidRPr="008F4B6A">
        <w:t xml:space="preserve"> </w:t>
      </w:r>
      <w:r w:rsidR="003159D0" w:rsidRPr="008F4B6A">
        <w:t>focused</w:t>
      </w:r>
      <w:r w:rsidR="00ED11B9" w:rsidRPr="008F4B6A">
        <w:t xml:space="preserve"> </w:t>
      </w:r>
      <w:r w:rsidR="00B01162" w:rsidRPr="008F4B6A">
        <w:t>and</w:t>
      </w:r>
      <w:r w:rsidR="00ED11B9" w:rsidRPr="008F4B6A">
        <w:t xml:space="preserve"> </w:t>
      </w:r>
      <w:r w:rsidR="003159D0" w:rsidRPr="008F4B6A">
        <w:t>argued that governance</w:t>
      </w:r>
      <w:r w:rsidR="00ED11B9" w:rsidRPr="008F4B6A">
        <w:t xml:space="preserve"> reforms </w:t>
      </w:r>
      <w:r w:rsidR="003159D0" w:rsidRPr="008F4B6A">
        <w:t>and enhanced compliance is just</w:t>
      </w:r>
      <w:r w:rsidR="00ED11B9" w:rsidRPr="008F4B6A">
        <w:t xml:space="preserve"> an attempt by firms to improve their reputation and gain legitimacy </w:t>
      </w:r>
      <w:r w:rsidR="008A6FE1" w:rsidRPr="008F4B6A">
        <w:t xml:space="preserve">(Arora and </w:t>
      </w:r>
      <w:proofErr w:type="spellStart"/>
      <w:r w:rsidR="008A6FE1" w:rsidRPr="008F4B6A">
        <w:t>Gangopadhyay</w:t>
      </w:r>
      <w:proofErr w:type="spellEnd"/>
      <w:r w:rsidR="00DD2C74">
        <w:t>,</w:t>
      </w:r>
      <w:r w:rsidR="008A6FE1" w:rsidRPr="008F4B6A">
        <w:t xml:space="preserve"> 1995)</w:t>
      </w:r>
      <w:r w:rsidR="003159D0" w:rsidRPr="008F4B6A">
        <w:t xml:space="preserve"> or just a reaction to e</w:t>
      </w:r>
      <w:r w:rsidR="00744C72">
        <w:t>nforcement by regulators (Yeung</w:t>
      </w:r>
      <w:r w:rsidR="00DD2C74">
        <w:t>,</w:t>
      </w:r>
      <w:r w:rsidR="00744C72">
        <w:t xml:space="preserve"> 2002; </w:t>
      </w:r>
      <w:proofErr w:type="spellStart"/>
      <w:r w:rsidR="00744C72">
        <w:t>Zubic</w:t>
      </w:r>
      <w:proofErr w:type="spellEnd"/>
      <w:r w:rsidR="00744C72">
        <w:t xml:space="preserve"> and Sims</w:t>
      </w:r>
      <w:r w:rsidR="00DD2C74">
        <w:t>,</w:t>
      </w:r>
      <w:r w:rsidR="00B7166E" w:rsidRPr="008F4B6A">
        <w:t xml:space="preserve"> 2011).</w:t>
      </w:r>
      <w:r w:rsidR="003159D0" w:rsidRPr="008F4B6A">
        <w:t xml:space="preserve"> </w:t>
      </w:r>
      <w:r w:rsidR="00BE55FA" w:rsidRPr="008F4B6A">
        <w:t>Although</w:t>
      </w:r>
      <w:r w:rsidR="003159D0" w:rsidRPr="008F4B6A">
        <w:t xml:space="preserve">, each of the previous </w:t>
      </w:r>
      <w:r w:rsidR="00BE55FA" w:rsidRPr="008F4B6A">
        <w:t>justifications</w:t>
      </w:r>
      <w:r w:rsidR="003159D0" w:rsidRPr="008F4B6A">
        <w:t xml:space="preserve"> of </w:t>
      </w:r>
      <w:r w:rsidR="00C806BA" w:rsidRPr="008F4B6A">
        <w:t xml:space="preserve">corporate governance </w:t>
      </w:r>
      <w:r w:rsidR="003159D0" w:rsidRPr="008F4B6A">
        <w:t xml:space="preserve">reforms and enhanced compliance </w:t>
      </w:r>
      <w:r w:rsidR="00BE55FA" w:rsidRPr="008F4B6A">
        <w:t xml:space="preserve">is plausible, we argue that it captures one facet of a complex multi-faceted </w:t>
      </w:r>
      <w:r w:rsidR="005A6D2C" w:rsidRPr="008F4B6A">
        <w:t>phenomenon that is being institutionalized</w:t>
      </w:r>
      <w:r w:rsidR="00B77ECD" w:rsidRPr="008F4B6A">
        <w:t xml:space="preserve">, as </w:t>
      </w:r>
      <w:r w:rsidR="009A20F5" w:rsidRPr="008F4B6A">
        <w:t xml:space="preserve">compliance </w:t>
      </w:r>
      <w:r w:rsidR="00B77ECD" w:rsidRPr="008F4B6A">
        <w:t xml:space="preserve">function </w:t>
      </w:r>
      <w:r w:rsidR="009A20F5" w:rsidRPr="008F4B6A">
        <w:t xml:space="preserve">is now viewed in practice as </w:t>
      </w:r>
      <w:r w:rsidR="009A20F5" w:rsidRPr="008F4B6A">
        <w:rPr>
          <w:i/>
          <w:iCs/>
        </w:rPr>
        <w:t>‘core within organisations’</w:t>
      </w:r>
      <w:r w:rsidR="00744C72">
        <w:t xml:space="preserve"> (</w:t>
      </w:r>
      <w:proofErr w:type="spellStart"/>
      <w:r w:rsidR="00744C72">
        <w:t>Perezts</w:t>
      </w:r>
      <w:proofErr w:type="spellEnd"/>
      <w:r w:rsidR="00744C72">
        <w:t xml:space="preserve"> and Picard</w:t>
      </w:r>
      <w:r w:rsidR="00557AE1">
        <w:t>,</w:t>
      </w:r>
      <w:r w:rsidR="009A20F5" w:rsidRPr="008F4B6A">
        <w:t xml:space="preserve"> 201</w:t>
      </w:r>
      <w:r w:rsidR="009C0CBA">
        <w:t>5</w:t>
      </w:r>
      <w:r w:rsidR="009A20F5" w:rsidRPr="008F4B6A">
        <w:t>)</w:t>
      </w:r>
      <w:r w:rsidR="00B77ECD" w:rsidRPr="008F4B6A">
        <w:t xml:space="preserve">. Here, </w:t>
      </w:r>
      <w:r w:rsidR="00512A72" w:rsidRPr="008F4B6A">
        <w:t xml:space="preserve">firms may be seen to </w:t>
      </w:r>
      <w:r w:rsidR="009A20F5" w:rsidRPr="008F4B6A">
        <w:t xml:space="preserve">structure their compliance function </w:t>
      </w:r>
      <w:r w:rsidR="00AE6EF0" w:rsidRPr="008F4B6A">
        <w:t xml:space="preserve">in response to institutional pressures </w:t>
      </w:r>
      <w:r w:rsidR="009A20F5" w:rsidRPr="008F4B6A">
        <w:t>as indicated by DiMaggio and Powell</w:t>
      </w:r>
      <w:r w:rsidR="00E12E32" w:rsidRPr="008F4B6A">
        <w:t xml:space="preserve"> </w:t>
      </w:r>
      <w:r w:rsidR="009A20F5" w:rsidRPr="008F4B6A">
        <w:t>(1983). These pr</w:t>
      </w:r>
      <w:r w:rsidR="00AE6EF0" w:rsidRPr="008F4B6A">
        <w:t>essures are</w:t>
      </w:r>
      <w:r w:rsidR="00512A72" w:rsidRPr="008F4B6A">
        <w:t xml:space="preserve"> coercive (formal and informal pressures exerted by </w:t>
      </w:r>
      <w:r w:rsidR="00AE6EF0" w:rsidRPr="008F4B6A">
        <w:t>law and regulation</w:t>
      </w:r>
      <w:r w:rsidR="00512A72" w:rsidRPr="008F4B6A">
        <w:t xml:space="preserve">), mimetic (firms modelling themselves on other organisations) and normative (resulting primarily from professionalization). </w:t>
      </w:r>
      <w:r w:rsidR="00C91BF4" w:rsidRPr="008F4B6A">
        <w:t xml:space="preserve">In support of this view, </w:t>
      </w:r>
      <w:proofErr w:type="spellStart"/>
      <w:r w:rsidR="00506BF1" w:rsidRPr="008F4B6A">
        <w:rPr>
          <w:iCs/>
        </w:rPr>
        <w:t>Fashola</w:t>
      </w:r>
      <w:proofErr w:type="spellEnd"/>
      <w:r w:rsidR="00506BF1" w:rsidRPr="008F4B6A">
        <w:rPr>
          <w:iCs/>
        </w:rPr>
        <w:t xml:space="preserve"> (2014, p.2)</w:t>
      </w:r>
      <w:r w:rsidR="00506BF1" w:rsidRPr="008F4B6A">
        <w:rPr>
          <w:i/>
        </w:rPr>
        <w:t xml:space="preserve"> </w:t>
      </w:r>
      <w:r w:rsidR="00C91BF4" w:rsidRPr="008F4B6A">
        <w:t xml:space="preserve">indicated that </w:t>
      </w:r>
      <w:r w:rsidR="009A20F5" w:rsidRPr="008F4B6A">
        <w:rPr>
          <w:i/>
        </w:rPr>
        <w:t>“</w:t>
      </w:r>
      <w:r w:rsidR="002E4781" w:rsidRPr="008F4B6A">
        <w:rPr>
          <w:i/>
        </w:rPr>
        <w:t>Organizations are prone to yielding to coercive and normative pressures arising from their institutional context (for example banks adhering to capital base requirements or to corporate governance code) as these are likely to confer social privileges from their stakeholders”</w:t>
      </w:r>
      <w:r w:rsidR="00506BF1" w:rsidRPr="008F4B6A">
        <w:rPr>
          <w:i/>
        </w:rPr>
        <w:t xml:space="preserve">. </w:t>
      </w:r>
      <w:r w:rsidR="002E4781" w:rsidRPr="008F4B6A">
        <w:rPr>
          <w:i/>
        </w:rPr>
        <w:t xml:space="preserve"> </w:t>
      </w:r>
      <w:r w:rsidR="00332482" w:rsidRPr="008F4B6A">
        <w:rPr>
          <w:iCs/>
        </w:rPr>
        <w:t>Additionally</w:t>
      </w:r>
      <w:r w:rsidR="00506BF1" w:rsidRPr="008F4B6A">
        <w:rPr>
          <w:iCs/>
        </w:rPr>
        <w:t xml:space="preserve">, </w:t>
      </w:r>
      <w:r w:rsidR="003F1665">
        <w:t>DiMaggio and Powell (1983</w:t>
      </w:r>
      <w:r w:rsidR="00591D9C" w:rsidRPr="008F4B6A">
        <w:t xml:space="preserve">) </w:t>
      </w:r>
      <w:r w:rsidR="007F1CB7" w:rsidRPr="008F4B6A">
        <w:t>and Aldrich</w:t>
      </w:r>
      <w:r w:rsidR="00591D9C" w:rsidRPr="008F4B6A">
        <w:t xml:space="preserve"> (1979) agreed that the most </w:t>
      </w:r>
      <w:r w:rsidR="00B752FA" w:rsidRPr="008F4B6A">
        <w:t>crucial factors</w:t>
      </w:r>
      <w:r w:rsidR="00591D9C" w:rsidRPr="008F4B6A">
        <w:t xml:space="preserve"> that organization must consider are other </w:t>
      </w:r>
      <w:r w:rsidR="007F1CB7" w:rsidRPr="008F4B6A">
        <w:t>organizations</w:t>
      </w:r>
      <w:r w:rsidR="00591D9C" w:rsidRPr="008F4B6A">
        <w:t xml:space="preserve">. </w:t>
      </w:r>
      <w:r w:rsidR="007F1CB7" w:rsidRPr="008F4B6A">
        <w:t>As</w:t>
      </w:r>
      <w:r w:rsidR="00591D9C" w:rsidRPr="008F4B6A">
        <w:t xml:space="preserve"> competition between organizations is not limited only to customers and resources </w:t>
      </w:r>
      <w:r w:rsidR="007F1CB7" w:rsidRPr="008F4B6A">
        <w:t>but</w:t>
      </w:r>
      <w:r w:rsidR="00591D9C" w:rsidRPr="008F4B6A">
        <w:t xml:space="preserve"> for </w:t>
      </w:r>
      <w:r w:rsidR="00591D9C" w:rsidRPr="008F4B6A">
        <w:rPr>
          <w:i/>
          <w:iCs/>
        </w:rPr>
        <w:t xml:space="preserve">“political power, institutional </w:t>
      </w:r>
      <w:r w:rsidR="00591D9C" w:rsidRPr="008F4B6A">
        <w:rPr>
          <w:i/>
          <w:iCs/>
        </w:rPr>
        <w:lastRenderedPageBreak/>
        <w:t xml:space="preserve">legitimacy... as well as economic fitness” </w:t>
      </w:r>
      <w:r w:rsidR="00591D9C" w:rsidRPr="008F4B6A">
        <w:t>(</w:t>
      </w:r>
      <w:r w:rsidR="00744C72">
        <w:t>DiMaggio and Powell</w:t>
      </w:r>
      <w:r w:rsidR="00557AE1">
        <w:t>,</w:t>
      </w:r>
      <w:r w:rsidR="007F1CB7" w:rsidRPr="008F4B6A">
        <w:t xml:space="preserve"> 1983</w:t>
      </w:r>
      <w:r w:rsidR="00B3085A" w:rsidRPr="008F4B6A">
        <w:t>, p.150</w:t>
      </w:r>
      <w:r w:rsidR="00591D9C" w:rsidRPr="008F4B6A">
        <w:t xml:space="preserve">). </w:t>
      </w:r>
      <w:r w:rsidR="007F1CB7" w:rsidRPr="008F4B6A">
        <w:t xml:space="preserve">Thus, companies can model their internal changes on other organisations in the field. </w:t>
      </w:r>
      <w:r w:rsidR="00B3085A" w:rsidRPr="008F4B6A">
        <w:t xml:space="preserve">The following sections will discuss in further detail the </w:t>
      </w:r>
      <w:r w:rsidR="00D22070" w:rsidRPr="008F4B6A">
        <w:t>evolution</w:t>
      </w:r>
      <w:r w:rsidR="002E4781" w:rsidRPr="008F4B6A">
        <w:t xml:space="preserve"> of compliance function</w:t>
      </w:r>
      <w:r w:rsidR="00B3085A" w:rsidRPr="008F4B6A">
        <w:t xml:space="preserve"> </w:t>
      </w:r>
      <w:r w:rsidR="005729E5">
        <w:t xml:space="preserve">as </w:t>
      </w:r>
      <w:r w:rsidR="005729E5" w:rsidRPr="00744C72">
        <w:t>co-created by organisations i</w:t>
      </w:r>
      <w:r w:rsidR="00B3085A" w:rsidRPr="00744C72">
        <w:t xml:space="preserve">n response </w:t>
      </w:r>
      <w:r w:rsidR="00B3085A" w:rsidRPr="008F4B6A">
        <w:t xml:space="preserve">to external institutional pressures namely: regulatory, normative and cultural. </w:t>
      </w:r>
    </w:p>
    <w:p w14:paraId="5B3AD656" w14:textId="675FBC38" w:rsidR="00DC271B" w:rsidRPr="008F4B6A" w:rsidRDefault="00B9204B" w:rsidP="00D82B0C">
      <w:pPr>
        <w:spacing w:line="480" w:lineRule="auto"/>
        <w:jc w:val="both"/>
        <w:rPr>
          <w:rFonts w:asciiTheme="majorBidi" w:hAnsiTheme="majorBidi" w:cstheme="majorBidi"/>
          <w:b/>
          <w:sz w:val="24"/>
          <w:szCs w:val="24"/>
          <w:lang w:eastAsia="en-GB"/>
        </w:rPr>
      </w:pPr>
      <w:r w:rsidRPr="008F4B6A">
        <w:rPr>
          <w:rFonts w:asciiTheme="majorBidi" w:hAnsiTheme="majorBidi" w:cstheme="majorBidi"/>
          <w:b/>
          <w:sz w:val="24"/>
          <w:szCs w:val="24"/>
          <w:lang w:eastAsia="en-GB"/>
        </w:rPr>
        <w:t xml:space="preserve">Understanding </w:t>
      </w:r>
      <w:r w:rsidR="00DC271B" w:rsidRPr="008F4B6A">
        <w:rPr>
          <w:rFonts w:asciiTheme="majorBidi" w:hAnsiTheme="majorBidi" w:cstheme="majorBidi"/>
          <w:b/>
          <w:sz w:val="24"/>
          <w:szCs w:val="24"/>
          <w:lang w:eastAsia="en-GB"/>
        </w:rPr>
        <w:t>Compliance Culture</w:t>
      </w:r>
      <w:r w:rsidR="002F7FD9" w:rsidRPr="008F4B6A">
        <w:rPr>
          <w:rFonts w:asciiTheme="majorBidi" w:hAnsiTheme="majorBidi" w:cstheme="majorBidi"/>
          <w:b/>
          <w:sz w:val="24"/>
          <w:szCs w:val="24"/>
          <w:lang w:eastAsia="en-GB"/>
        </w:rPr>
        <w:t xml:space="preserve"> – approaches adopted by firms</w:t>
      </w:r>
    </w:p>
    <w:p w14:paraId="0C4AC5DD" w14:textId="0D681D7B" w:rsidR="00B9204B" w:rsidRPr="008F4B6A" w:rsidRDefault="00B75E1B" w:rsidP="00D82B0C">
      <w:pPr>
        <w:spacing w:line="480" w:lineRule="auto"/>
        <w:jc w:val="both"/>
      </w:pPr>
      <w:r w:rsidRPr="008F4B6A">
        <w:t xml:space="preserve">Organisational </w:t>
      </w:r>
      <w:r w:rsidR="002B4FE7" w:rsidRPr="008F4B6A">
        <w:t>c</w:t>
      </w:r>
      <w:r w:rsidR="003E370C" w:rsidRPr="008F4B6A">
        <w:t>ompliance culture reflects the individual firm’s</w:t>
      </w:r>
      <w:r w:rsidR="00744C72">
        <w:t xml:space="preserve"> approach to regulation (</w:t>
      </w:r>
      <w:proofErr w:type="spellStart"/>
      <w:r w:rsidR="00744C72">
        <w:t>Alfon</w:t>
      </w:r>
      <w:proofErr w:type="spellEnd"/>
      <w:r w:rsidR="00557AE1">
        <w:t>,</w:t>
      </w:r>
      <w:r w:rsidR="00744C72">
        <w:t xml:space="preserve"> </w:t>
      </w:r>
      <w:r w:rsidR="003E370C" w:rsidRPr="008F4B6A">
        <w:t>1996, p. 20)</w:t>
      </w:r>
      <w:r w:rsidR="00C338A0" w:rsidRPr="008F4B6A">
        <w:t xml:space="preserve">. It </w:t>
      </w:r>
      <w:r w:rsidR="002B4FE7" w:rsidRPr="008F4B6A">
        <w:t xml:space="preserve">could </w:t>
      </w:r>
      <w:r w:rsidR="00C338A0" w:rsidRPr="008F4B6A">
        <w:t xml:space="preserve">also </w:t>
      </w:r>
      <w:r w:rsidR="002B4FE7" w:rsidRPr="008F4B6A">
        <w:t xml:space="preserve">be linked to the firm’s attempt to adopt </w:t>
      </w:r>
      <w:r w:rsidR="003E370C" w:rsidRPr="008F4B6A">
        <w:t>best practice</w:t>
      </w:r>
      <w:r w:rsidR="002B4FE7" w:rsidRPr="008F4B6A">
        <w:t xml:space="preserve">s </w:t>
      </w:r>
      <w:r w:rsidR="003E370C" w:rsidRPr="008F4B6A">
        <w:t xml:space="preserve">or </w:t>
      </w:r>
      <w:r w:rsidR="002B4FE7" w:rsidRPr="008F4B6A">
        <w:t>simply managing regulatory risk</w:t>
      </w:r>
      <w:r w:rsidR="00860745" w:rsidRPr="00557AE1">
        <w:t>, which could obviously endanger its legitimacy and existence</w:t>
      </w:r>
      <w:r w:rsidR="00557AE1">
        <w:t>.</w:t>
      </w:r>
      <w:r w:rsidR="003E370C" w:rsidRPr="00557AE1">
        <w:t xml:space="preserve"> </w:t>
      </w:r>
      <w:r w:rsidR="0056525F" w:rsidRPr="00557AE1">
        <w:t xml:space="preserve"> </w:t>
      </w:r>
      <w:r w:rsidR="00C338A0" w:rsidRPr="00557AE1">
        <w:t>A</w:t>
      </w:r>
      <w:r w:rsidR="00C338A0" w:rsidRPr="008F4B6A">
        <w:t xml:space="preserve">dditionally, </w:t>
      </w:r>
      <w:r w:rsidR="00475959" w:rsidRPr="008F4B6A">
        <w:t>it</w:t>
      </w:r>
      <w:r w:rsidR="0056525F" w:rsidRPr="008F4B6A">
        <w:t xml:space="preserve"> </w:t>
      </w:r>
      <w:r w:rsidR="00C338A0" w:rsidRPr="008F4B6A">
        <w:t xml:space="preserve">can be </w:t>
      </w:r>
      <w:r w:rsidR="0056525F" w:rsidRPr="008F4B6A">
        <w:t xml:space="preserve">affected by the leadership style within the organisation </w:t>
      </w:r>
      <w:r w:rsidR="00744C72">
        <w:t>(Jenkinson</w:t>
      </w:r>
      <w:r w:rsidR="00557AE1">
        <w:t>,</w:t>
      </w:r>
      <w:r w:rsidR="003E370C" w:rsidRPr="008F4B6A">
        <w:t xml:space="preserve"> 1995, p. 42)</w:t>
      </w:r>
      <w:r w:rsidR="0056525F" w:rsidRPr="008F4B6A">
        <w:t xml:space="preserve"> and </w:t>
      </w:r>
      <w:r w:rsidR="00DC3B15" w:rsidRPr="008F4B6A">
        <w:t xml:space="preserve">whether </w:t>
      </w:r>
      <w:r w:rsidR="0056525F" w:rsidRPr="008F4B6A">
        <w:t xml:space="preserve">the company </w:t>
      </w:r>
      <w:r w:rsidR="00DC3B15" w:rsidRPr="008F4B6A">
        <w:t xml:space="preserve">is </w:t>
      </w:r>
      <w:r w:rsidR="0056525F" w:rsidRPr="008F4B6A">
        <w:t xml:space="preserve">more interested in complying with </w:t>
      </w:r>
      <w:r w:rsidR="00C338A0" w:rsidRPr="008F4B6A">
        <w:t xml:space="preserve">the </w:t>
      </w:r>
      <w:r w:rsidR="0056525F" w:rsidRPr="008F4B6A">
        <w:t>letter of law</w:t>
      </w:r>
      <w:r w:rsidR="007875A9" w:rsidRPr="008F4B6A">
        <w:t xml:space="preserve"> </w:t>
      </w:r>
      <w:r w:rsidR="0056525F" w:rsidRPr="008F4B6A">
        <w:rPr>
          <w:i/>
          <w:iCs/>
        </w:rPr>
        <w:t>“</w:t>
      </w:r>
      <w:r w:rsidR="003E370C" w:rsidRPr="008F4B6A">
        <w:rPr>
          <w:i/>
          <w:iCs/>
        </w:rPr>
        <w:t>while evading engagement with its substance spirit and soul</w:t>
      </w:r>
      <w:r w:rsidR="0056525F" w:rsidRPr="008F4B6A">
        <w:rPr>
          <w:i/>
          <w:iCs/>
        </w:rPr>
        <w:t>”</w:t>
      </w:r>
      <w:r w:rsidR="00744C72">
        <w:t xml:space="preserve"> (Parker</w:t>
      </w:r>
      <w:r w:rsidR="003F1665">
        <w:t>,</w:t>
      </w:r>
      <w:r w:rsidR="003E370C" w:rsidRPr="008F4B6A">
        <w:t xml:space="preserve"> 2000, p. 342). </w:t>
      </w:r>
      <w:r w:rsidR="00ED599D" w:rsidRPr="008F4B6A">
        <w:t xml:space="preserve">The literature also highlights that the modification of compliance culture within organisations </w:t>
      </w:r>
      <w:r w:rsidR="007875A9" w:rsidRPr="008F4B6A">
        <w:t xml:space="preserve">requires alignment </w:t>
      </w:r>
      <w:r w:rsidR="00ED599D" w:rsidRPr="008F4B6A">
        <w:t xml:space="preserve">of organisational </w:t>
      </w:r>
      <w:r w:rsidR="00ED599D" w:rsidRPr="008F4B6A">
        <w:rPr>
          <w:i/>
        </w:rPr>
        <w:t>‘values, attitudes and beliefs’</w:t>
      </w:r>
      <w:r w:rsidR="00ED599D" w:rsidRPr="008F4B6A">
        <w:t xml:space="preserve"> to the principles </w:t>
      </w:r>
      <w:r w:rsidR="00744C72">
        <w:t>of financial regulation (Newton</w:t>
      </w:r>
      <w:r w:rsidR="003F1665">
        <w:t>,</w:t>
      </w:r>
      <w:r w:rsidR="00ED599D" w:rsidRPr="008F4B6A">
        <w:t xml:space="preserve"> 2001, p. 16). </w:t>
      </w:r>
      <w:r w:rsidR="00DC3B15" w:rsidRPr="008F4B6A">
        <w:t>Dynamics of corruption and rationalisation can influence the organizational compliance culture (</w:t>
      </w:r>
      <w:proofErr w:type="spellStart"/>
      <w:r w:rsidR="00DC3B15" w:rsidRPr="008F4B6A">
        <w:t>Zyglidopoulos</w:t>
      </w:r>
      <w:proofErr w:type="spellEnd"/>
      <w:r w:rsidR="008456FD">
        <w:t xml:space="preserve"> et </w:t>
      </w:r>
      <w:r w:rsidR="009522EC">
        <w:t xml:space="preserve">al. </w:t>
      </w:r>
      <w:r w:rsidR="00DC3B15" w:rsidRPr="008F4B6A">
        <w:t>2009)</w:t>
      </w:r>
      <w:r w:rsidR="00C338A0" w:rsidRPr="008F4B6A">
        <w:t xml:space="preserve"> as </w:t>
      </w:r>
      <w:r w:rsidR="002275E5" w:rsidRPr="008F4B6A">
        <w:t xml:space="preserve">a </w:t>
      </w:r>
      <w:r w:rsidR="002275E5" w:rsidRPr="008F4B6A">
        <w:rPr>
          <w:i/>
          <w:iCs/>
        </w:rPr>
        <w:t>“</w:t>
      </w:r>
      <w:r w:rsidR="00ED599D" w:rsidRPr="008F4B6A">
        <w:rPr>
          <w:i/>
          <w:iCs/>
        </w:rPr>
        <w:t>shared set of values and standards</w:t>
      </w:r>
      <w:r w:rsidR="002275E5" w:rsidRPr="008F4B6A">
        <w:rPr>
          <w:i/>
          <w:iCs/>
        </w:rPr>
        <w:t>”</w:t>
      </w:r>
      <w:r w:rsidR="002275E5" w:rsidRPr="008F4B6A">
        <w:t xml:space="preserve"> (</w:t>
      </w:r>
      <w:r w:rsidR="00ED599D" w:rsidRPr="008F4B6A">
        <w:t>Barry</w:t>
      </w:r>
      <w:r w:rsidR="0004389D">
        <w:t>,</w:t>
      </w:r>
      <w:r w:rsidR="00C338A0" w:rsidRPr="008F4B6A">
        <w:t xml:space="preserve"> 2002</w:t>
      </w:r>
      <w:r w:rsidR="00ED599D" w:rsidRPr="008F4B6A">
        <w:t xml:space="preserve">, p. 39). </w:t>
      </w:r>
    </w:p>
    <w:p w14:paraId="2C82076B" w14:textId="76038363" w:rsidR="00CA2C3B" w:rsidRPr="008F4B6A" w:rsidRDefault="00DC3B15" w:rsidP="00D82B0C">
      <w:pPr>
        <w:spacing w:line="480" w:lineRule="auto"/>
        <w:jc w:val="both"/>
      </w:pPr>
      <w:r w:rsidRPr="008F4B6A">
        <w:t>Moreover,</w:t>
      </w:r>
      <w:r w:rsidR="003E370C" w:rsidRPr="008F4B6A">
        <w:t xml:space="preserve"> compliance culture cannot be bought or </w:t>
      </w:r>
      <w:r w:rsidR="003E370C" w:rsidRPr="008F4B6A">
        <w:rPr>
          <w:i/>
          <w:iCs/>
        </w:rPr>
        <w:t xml:space="preserve">‘taught by a high priced management consultant’ </w:t>
      </w:r>
      <w:r w:rsidR="003E370C" w:rsidRPr="008F4B6A">
        <w:t>(</w:t>
      </w:r>
      <w:r w:rsidR="00744C72">
        <w:t>Morton</w:t>
      </w:r>
      <w:r w:rsidR="0004389D">
        <w:t>,</w:t>
      </w:r>
      <w:r w:rsidR="007875A9" w:rsidRPr="008F4B6A">
        <w:t xml:space="preserve"> </w:t>
      </w:r>
      <w:r w:rsidRPr="008F4B6A">
        <w:t>2005,</w:t>
      </w:r>
      <w:r w:rsidR="007875A9" w:rsidRPr="008F4B6A">
        <w:t xml:space="preserve"> </w:t>
      </w:r>
      <w:r w:rsidRPr="008F4B6A">
        <w:t>p.</w:t>
      </w:r>
      <w:r w:rsidR="003E370C" w:rsidRPr="008F4B6A">
        <w:t>60), which further highlights the complexity of the concept</w:t>
      </w:r>
      <w:r w:rsidR="0056525F" w:rsidRPr="008F4B6A">
        <w:t xml:space="preserve"> as a socially constructed phenomenon.  Subsequently, </w:t>
      </w:r>
      <w:r w:rsidR="003E370C" w:rsidRPr="008F4B6A">
        <w:t xml:space="preserve">measuring compliance culture </w:t>
      </w:r>
      <w:r w:rsidRPr="008F4B6A">
        <w:t xml:space="preserve">against set criteria </w:t>
      </w:r>
      <w:r w:rsidR="0056525F" w:rsidRPr="008F4B6A">
        <w:t xml:space="preserve">can be </w:t>
      </w:r>
      <w:r w:rsidR="00C469C2" w:rsidRPr="008F4B6A">
        <w:t>problematic</w:t>
      </w:r>
      <w:r w:rsidR="0056525F" w:rsidRPr="008F4B6A">
        <w:t xml:space="preserve"> and simplistic</w:t>
      </w:r>
      <w:r w:rsidR="005927B7" w:rsidRPr="008F4B6A">
        <w:t>.</w:t>
      </w:r>
      <w:r w:rsidR="00631AED">
        <w:t xml:space="preserve"> However, issues within culture cannot be ignored.</w:t>
      </w:r>
      <w:r w:rsidR="005927B7" w:rsidRPr="008F4B6A">
        <w:t xml:space="preserve"> </w:t>
      </w:r>
      <w:r w:rsidR="00631AED">
        <w:t xml:space="preserve">Indeed, this has recently been re-emphasised by the regulator whereby “culture may not be measurable, but it is manageable” (FCA, 2017). </w:t>
      </w:r>
      <w:r w:rsidR="005927B7" w:rsidRPr="008F4B6A">
        <w:t>Evidently, previous</w:t>
      </w:r>
      <w:r w:rsidRPr="008F4B6A">
        <w:t xml:space="preserve"> attempts to </w:t>
      </w:r>
      <w:r w:rsidR="0056525F" w:rsidRPr="008F4B6A">
        <w:t>measur</w:t>
      </w:r>
      <w:r w:rsidR="007875A9" w:rsidRPr="008F4B6A">
        <w:t>e</w:t>
      </w:r>
      <w:r w:rsidR="0056525F" w:rsidRPr="008F4B6A">
        <w:t xml:space="preserve"> </w:t>
      </w:r>
      <w:r w:rsidRPr="008F4B6A">
        <w:t>companies’</w:t>
      </w:r>
      <w:r w:rsidR="0056525F" w:rsidRPr="008F4B6A">
        <w:t xml:space="preserve"> compliance culture ha</w:t>
      </w:r>
      <w:r w:rsidR="007875A9" w:rsidRPr="008F4B6A">
        <w:t>ve</w:t>
      </w:r>
      <w:r w:rsidR="0056525F" w:rsidRPr="008F4B6A">
        <w:t xml:space="preserve"> failed. Here</w:t>
      </w:r>
      <w:r w:rsidR="003C04A7" w:rsidRPr="008F4B6A">
        <w:t>, one</w:t>
      </w:r>
      <w:r w:rsidR="00C469C2" w:rsidRPr="008F4B6A">
        <w:t xml:space="preserve"> example </w:t>
      </w:r>
      <w:r w:rsidR="007875A9" w:rsidRPr="008F4B6A">
        <w:t>to</w:t>
      </w:r>
      <w:r w:rsidR="00C469C2" w:rsidRPr="008F4B6A">
        <w:t xml:space="preserve"> demonstrate this, is that d</w:t>
      </w:r>
      <w:r w:rsidR="003E370C" w:rsidRPr="008F4B6A">
        <w:t xml:space="preserve">espite the assertion of the US regulator of a </w:t>
      </w:r>
      <w:r w:rsidR="003E370C" w:rsidRPr="008F4B6A">
        <w:rPr>
          <w:i/>
          <w:iCs/>
        </w:rPr>
        <w:t xml:space="preserve">‘formal approach to assessing </w:t>
      </w:r>
      <w:r w:rsidR="00F5623D">
        <w:rPr>
          <w:i/>
          <w:iCs/>
        </w:rPr>
        <w:t>…</w:t>
      </w:r>
      <w:r w:rsidR="003E370C" w:rsidRPr="008F4B6A">
        <w:rPr>
          <w:i/>
          <w:iCs/>
        </w:rPr>
        <w:t xml:space="preserve"> culture of compliance’</w:t>
      </w:r>
      <w:r w:rsidR="003E370C" w:rsidRPr="008F4B6A">
        <w:t xml:space="preserve"> (SEC, 2003), the adoption of this model clearly failed in the </w:t>
      </w:r>
      <w:r w:rsidR="00C469C2" w:rsidRPr="008F4B6A">
        <w:t xml:space="preserve">global </w:t>
      </w:r>
      <w:r w:rsidR="003E370C" w:rsidRPr="008F4B6A">
        <w:t>financial crisis</w:t>
      </w:r>
      <w:r w:rsidR="0056525F" w:rsidRPr="008F4B6A">
        <w:t xml:space="preserve"> 2008</w:t>
      </w:r>
      <w:r w:rsidR="003E370C" w:rsidRPr="008F4B6A">
        <w:t xml:space="preserve">. </w:t>
      </w:r>
      <w:r w:rsidR="00B57305" w:rsidRPr="008F4B6A">
        <w:t xml:space="preserve">Similarly, the complexity of embedding compliance culture is clear in the ongoing </w:t>
      </w:r>
      <w:r w:rsidR="00B57305" w:rsidRPr="008F4B6A">
        <w:lastRenderedPageBreak/>
        <w:t xml:space="preserve">scandals within the UK financial service sector </w:t>
      </w:r>
      <w:r w:rsidR="007875A9" w:rsidRPr="008F4B6A">
        <w:t>following</w:t>
      </w:r>
      <w:r w:rsidR="00B57305" w:rsidRPr="008F4B6A">
        <w:t xml:space="preserve"> the global financial crisis (for example the Libor scandal, 2012).</w:t>
      </w:r>
      <w:r w:rsidR="00604908" w:rsidRPr="008F4B6A">
        <w:t xml:space="preserve"> </w:t>
      </w:r>
      <w:r w:rsidR="0056525F" w:rsidRPr="008F4B6A">
        <w:t>Thus, understanding companies’ compliance culture requires a holistic approach, which consider the compliance culture within the wider institutional environment.</w:t>
      </w:r>
      <w:r w:rsidR="009073BB">
        <w:t xml:space="preserve"> This holistic approach to understanding and embedding compliance culture may apply both internally within the firm by compliance officers’ communicating the spirit of regulation; but also externally through their relationship with the regulator and communicating and acknowledging the rapid pace of change within the</w:t>
      </w:r>
      <w:r w:rsidR="00152B60">
        <w:t xml:space="preserve"> wider</w:t>
      </w:r>
      <w:r w:rsidR="009073BB">
        <w:t xml:space="preserve"> financial services market place.</w:t>
      </w:r>
      <w:r w:rsidR="00E641E4">
        <w:t xml:space="preserve"> The holistic approach embraces the cooperation of all actors towards regulatory compliance.</w:t>
      </w:r>
      <w:r w:rsidR="009073BB">
        <w:t xml:space="preserve"> </w:t>
      </w:r>
      <w:r w:rsidR="0056525F" w:rsidRPr="008F4B6A">
        <w:t xml:space="preserve"> </w:t>
      </w:r>
      <w:r w:rsidR="00B57305" w:rsidRPr="008F4B6A">
        <w:t xml:space="preserve">Noting that, </w:t>
      </w:r>
      <w:r w:rsidR="00F026A9" w:rsidRPr="008F4B6A">
        <w:t xml:space="preserve">companies </w:t>
      </w:r>
      <w:r w:rsidR="0098395E" w:rsidRPr="008F4B6A">
        <w:t xml:space="preserve">may </w:t>
      </w:r>
      <w:r w:rsidR="00F026A9" w:rsidRPr="008F4B6A">
        <w:t xml:space="preserve">not necessarily </w:t>
      </w:r>
      <w:r w:rsidR="0098395E" w:rsidRPr="008F4B6A">
        <w:t>maintain</w:t>
      </w:r>
      <w:r w:rsidR="00F026A9" w:rsidRPr="008F4B6A">
        <w:t xml:space="preserve"> the same compliance culture</w:t>
      </w:r>
      <w:r w:rsidR="009073BB">
        <w:t xml:space="preserve"> across the sector</w:t>
      </w:r>
      <w:r w:rsidR="0098395E" w:rsidRPr="008F4B6A">
        <w:t>;</w:t>
      </w:r>
      <w:r w:rsidR="00F026A9" w:rsidRPr="008F4B6A">
        <w:t xml:space="preserve"> </w:t>
      </w:r>
      <w:r w:rsidR="009073BB">
        <w:t>with compliance approaches</w:t>
      </w:r>
      <w:r w:rsidRPr="008F4B6A">
        <w:t xml:space="preserve"> </w:t>
      </w:r>
      <w:r w:rsidR="00F026A9" w:rsidRPr="008F4B6A">
        <w:t>rang</w:t>
      </w:r>
      <w:r w:rsidR="009073BB">
        <w:t>ing</w:t>
      </w:r>
      <w:r w:rsidR="00F026A9" w:rsidRPr="008F4B6A">
        <w:t xml:space="preserve"> from a state of non-compliance to over compliance (Jenkinson</w:t>
      </w:r>
      <w:r w:rsidR="0004389D">
        <w:t>,</w:t>
      </w:r>
      <w:r w:rsidR="00F026A9" w:rsidRPr="008F4B6A">
        <w:t xml:space="preserve"> 1995, p. 42),</w:t>
      </w:r>
      <w:r w:rsidR="00DC3282" w:rsidRPr="008F4B6A">
        <w:t xml:space="preserve"> whereby some organisations are extremely proactive</w:t>
      </w:r>
      <w:r w:rsidR="008D503B" w:rsidRPr="008F4B6A">
        <w:t xml:space="preserve"> and choose to ‘over comply’, </w:t>
      </w:r>
      <w:r w:rsidR="009073BB">
        <w:t xml:space="preserve">and </w:t>
      </w:r>
      <w:r w:rsidRPr="008F4B6A">
        <w:t xml:space="preserve">other </w:t>
      </w:r>
      <w:r w:rsidR="008D503B" w:rsidRPr="008F4B6A">
        <w:t>organisations choos</w:t>
      </w:r>
      <w:r w:rsidR="009073BB">
        <w:t>ing</w:t>
      </w:r>
      <w:r w:rsidR="008D503B" w:rsidRPr="008F4B6A">
        <w:t xml:space="preserve"> a strategy of minimal efforts to achieve compliance, or indeed</w:t>
      </w:r>
      <w:r w:rsidR="009073BB">
        <w:t xml:space="preserve"> those that</w:t>
      </w:r>
      <w:r w:rsidR="008D503B" w:rsidRPr="008F4B6A">
        <w:t xml:space="preserve"> </w:t>
      </w:r>
      <w:r w:rsidR="00ED599D" w:rsidRPr="008F4B6A">
        <w:t>do not</w:t>
      </w:r>
      <w:r w:rsidR="008D503B" w:rsidRPr="008F4B6A">
        <w:t xml:space="preserve"> meet regulatory compliance standards</w:t>
      </w:r>
      <w:r w:rsidR="00D14BC0" w:rsidRPr="008F4B6A">
        <w:rPr>
          <w:rStyle w:val="EndnoteReference"/>
        </w:rPr>
        <w:endnoteReference w:id="3"/>
      </w:r>
      <w:r w:rsidR="008D503B" w:rsidRPr="008F4B6A">
        <w:t xml:space="preserve">. </w:t>
      </w:r>
    </w:p>
    <w:p w14:paraId="7BF0DB1A" w14:textId="4F757221" w:rsidR="00B9204B" w:rsidRPr="0004389D" w:rsidRDefault="00CA2C3B" w:rsidP="00D82B0C">
      <w:pPr>
        <w:spacing w:line="480" w:lineRule="auto"/>
        <w:jc w:val="both"/>
      </w:pPr>
      <w:r w:rsidRPr="008F4B6A">
        <w:t xml:space="preserve">Acknowledging the complex nature of </w:t>
      </w:r>
      <w:r w:rsidR="000567C9" w:rsidRPr="008F4B6A">
        <w:t xml:space="preserve">the </w:t>
      </w:r>
      <w:r w:rsidR="00373745" w:rsidRPr="008F4B6A">
        <w:t>compliance culture</w:t>
      </w:r>
      <w:r w:rsidRPr="008F4B6A">
        <w:t xml:space="preserve">, </w:t>
      </w:r>
      <w:r w:rsidR="00733BE1" w:rsidRPr="008F4B6A">
        <w:t>p</w:t>
      </w:r>
      <w:r w:rsidR="00D375E6" w:rsidRPr="008F4B6A">
        <w:t xml:space="preserve">revious studies have indicated that good compliance involves engagement and persuasion within the organisation so that the </w:t>
      </w:r>
      <w:r w:rsidR="0021344E" w:rsidRPr="008F4B6A">
        <w:t>“</w:t>
      </w:r>
      <w:r w:rsidR="00D375E6" w:rsidRPr="008F4B6A">
        <w:rPr>
          <w:i/>
          <w:iCs/>
        </w:rPr>
        <w:t xml:space="preserve">ethically and legally responsible action is consistent with business </w:t>
      </w:r>
      <w:r w:rsidR="0021344E" w:rsidRPr="008F4B6A">
        <w:rPr>
          <w:i/>
          <w:iCs/>
        </w:rPr>
        <w:t>goals”</w:t>
      </w:r>
      <w:r w:rsidR="0021344E" w:rsidRPr="008F4B6A">
        <w:t xml:space="preserve"> </w:t>
      </w:r>
      <w:r w:rsidR="00D375E6" w:rsidRPr="008F4B6A">
        <w:t>(</w:t>
      </w:r>
      <w:r w:rsidR="00FD22A8" w:rsidRPr="008F4B6A">
        <w:t>Parker</w:t>
      </w:r>
      <w:r w:rsidR="0004389D">
        <w:t>,</w:t>
      </w:r>
      <w:r w:rsidR="00373745" w:rsidRPr="008F4B6A">
        <w:t xml:space="preserve"> 2000</w:t>
      </w:r>
      <w:r w:rsidR="00D22070" w:rsidRPr="008F4B6A">
        <w:t>, p. 345</w:t>
      </w:r>
      <w:r w:rsidR="00FD22A8" w:rsidRPr="008F4B6A">
        <w:t>)</w:t>
      </w:r>
      <w:r w:rsidR="00D375E6" w:rsidRPr="008F4B6A">
        <w:t xml:space="preserve">. Moreover, it is about the </w:t>
      </w:r>
      <w:r w:rsidR="000322E5" w:rsidRPr="008F4B6A">
        <w:t>culture and a commitment to partnersh</w:t>
      </w:r>
      <w:r w:rsidR="00744C72">
        <w:t>ip with the regulators (Edwards</w:t>
      </w:r>
      <w:r w:rsidR="0004389D">
        <w:t>,</w:t>
      </w:r>
      <w:r w:rsidR="000322E5" w:rsidRPr="008F4B6A">
        <w:t xml:space="preserve"> 200</w:t>
      </w:r>
      <w:r w:rsidR="00CB0281" w:rsidRPr="008F4B6A">
        <w:t>3</w:t>
      </w:r>
      <w:r w:rsidR="000322E5" w:rsidRPr="008F4B6A">
        <w:t>).</w:t>
      </w:r>
      <w:r w:rsidR="00D445E7" w:rsidRPr="008F4B6A">
        <w:t xml:space="preserve"> </w:t>
      </w:r>
      <w:r w:rsidR="00D375E6" w:rsidRPr="008F4B6A">
        <w:t>Still,</w:t>
      </w:r>
      <w:r w:rsidR="00B1238C" w:rsidRPr="008F4B6A">
        <w:t xml:space="preserve"> to others </w:t>
      </w:r>
      <w:r w:rsidR="00FD22A8" w:rsidRPr="008F4B6A">
        <w:rPr>
          <w:i/>
          <w:iCs/>
        </w:rPr>
        <w:t>“the concept of culture of compliance lacks definition, theoretical explication and empirical support for the proposed link with improved compliance outcome”</w:t>
      </w:r>
      <w:r w:rsidR="00FD22A8" w:rsidRPr="008F4B6A">
        <w:t xml:space="preserve"> (</w:t>
      </w:r>
      <w:proofErr w:type="spellStart"/>
      <w:r w:rsidR="00D375E6" w:rsidRPr="008F4B6A">
        <w:t>Interligi</w:t>
      </w:r>
      <w:proofErr w:type="spellEnd"/>
      <w:r w:rsidR="0004389D">
        <w:t>,</w:t>
      </w:r>
      <w:r w:rsidR="00D375E6" w:rsidRPr="008F4B6A">
        <w:t xml:space="preserve"> 2010, </w:t>
      </w:r>
      <w:r w:rsidR="00FD22A8" w:rsidRPr="008F4B6A">
        <w:t>p. 237)</w:t>
      </w:r>
      <w:r w:rsidR="00B1238C" w:rsidRPr="008F4B6A">
        <w:t>.</w:t>
      </w:r>
      <w:r w:rsidR="00733BE1" w:rsidRPr="008F4B6A">
        <w:t xml:space="preserve"> </w:t>
      </w:r>
      <w:r w:rsidR="002F6D0D" w:rsidRPr="008F4B6A">
        <w:t>As such,</w:t>
      </w:r>
      <w:r w:rsidR="00B9204B" w:rsidRPr="008F4B6A">
        <w:t xml:space="preserve"> </w:t>
      </w:r>
      <w:r w:rsidR="002F6D0D" w:rsidRPr="008F4B6A">
        <w:t xml:space="preserve">better </w:t>
      </w:r>
      <w:r w:rsidR="00B9204B" w:rsidRPr="008F4B6A">
        <w:t xml:space="preserve">understanding </w:t>
      </w:r>
      <w:r w:rsidR="000567C9" w:rsidRPr="008F4B6A">
        <w:t xml:space="preserve">of </w:t>
      </w:r>
      <w:r w:rsidR="00B9204B" w:rsidRPr="008F4B6A">
        <w:t xml:space="preserve">compliance culture would require reviewing the actual practice, which imposes the regulatory, normative and cultural pressures on the UK financial </w:t>
      </w:r>
      <w:r w:rsidR="00B9204B" w:rsidRPr="0004389D">
        <w:t>institutions</w:t>
      </w:r>
      <w:r w:rsidR="00860745" w:rsidRPr="0004389D">
        <w:t xml:space="preserve"> and their related legitimacy basis.</w:t>
      </w:r>
      <w:r w:rsidR="00B9204B" w:rsidRPr="0004389D">
        <w:t xml:space="preserve"> This will be discussed </w:t>
      </w:r>
      <w:r w:rsidR="002F6D0D" w:rsidRPr="0004389D">
        <w:t>in the following sections.</w:t>
      </w:r>
    </w:p>
    <w:p w14:paraId="6E2AF3A0" w14:textId="77777777" w:rsidR="00860745" w:rsidRPr="0004389D" w:rsidRDefault="00860745" w:rsidP="00860745">
      <w:pPr>
        <w:pStyle w:val="Heading4"/>
        <w:spacing w:line="480" w:lineRule="auto"/>
        <w:rPr>
          <w:color w:val="auto"/>
        </w:rPr>
      </w:pPr>
      <w:r w:rsidRPr="0004389D">
        <w:rPr>
          <w:color w:val="auto"/>
        </w:rPr>
        <w:t xml:space="preserve">Regulatory pillar, legitimacy and compliance </w:t>
      </w:r>
    </w:p>
    <w:p w14:paraId="0124E852" w14:textId="6F78F68B" w:rsidR="00437112" w:rsidRPr="008F4B6A" w:rsidRDefault="00913A4F" w:rsidP="00D82B0C">
      <w:pPr>
        <w:spacing w:line="480" w:lineRule="auto"/>
        <w:jc w:val="both"/>
      </w:pPr>
      <w:r w:rsidRPr="008F4B6A">
        <w:t>There is extensive literature on the role of regulation, and the various regulatory app</w:t>
      </w:r>
      <w:r w:rsidRPr="005F72C6">
        <w:t>roach</w:t>
      </w:r>
      <w:r w:rsidR="005F72C6" w:rsidRPr="005F72C6">
        <w:t>e</w:t>
      </w:r>
      <w:r w:rsidR="00854852" w:rsidRPr="005F72C6">
        <w:t>s</w:t>
      </w:r>
      <w:r w:rsidRPr="008F4B6A">
        <w:t xml:space="preserve"> across sectors and jurisdictions. </w:t>
      </w:r>
      <w:r w:rsidR="00320D36" w:rsidRPr="008F4B6A">
        <w:t>Responsive regulation and</w:t>
      </w:r>
      <w:r w:rsidRPr="008F4B6A">
        <w:t xml:space="preserve"> the enforcement</w:t>
      </w:r>
      <w:r w:rsidR="005F72C6">
        <w:t xml:space="preserve"> pyramid (Ayres and Braithwaite</w:t>
      </w:r>
      <w:r w:rsidR="0004389D">
        <w:t>,</w:t>
      </w:r>
      <w:r w:rsidRPr="008F4B6A">
        <w:t xml:space="preserve"> 199</w:t>
      </w:r>
      <w:r w:rsidR="00320D36" w:rsidRPr="008F4B6A">
        <w:t>2</w:t>
      </w:r>
      <w:r w:rsidRPr="008F4B6A">
        <w:t>) is widely cited in the literature</w:t>
      </w:r>
      <w:r w:rsidR="005F72C6">
        <w:t xml:space="preserve"> (Ayres</w:t>
      </w:r>
      <w:r w:rsidR="0004389D">
        <w:t>,</w:t>
      </w:r>
      <w:r w:rsidR="00320D36" w:rsidRPr="008F4B6A">
        <w:t xml:space="preserve"> 2013)</w:t>
      </w:r>
      <w:r w:rsidRPr="008F4B6A">
        <w:t xml:space="preserve"> and offers a framework for regulatory response </w:t>
      </w:r>
      <w:r w:rsidRPr="008F4B6A">
        <w:lastRenderedPageBreak/>
        <w:t xml:space="preserve">ranging from </w:t>
      </w:r>
      <w:r w:rsidR="00CC287E">
        <w:t xml:space="preserve">a </w:t>
      </w:r>
      <w:r w:rsidR="00CC287E" w:rsidRPr="008F4B6A">
        <w:t>hands</w:t>
      </w:r>
      <w:r w:rsidRPr="008F4B6A">
        <w:t xml:space="preserve"> off </w:t>
      </w:r>
      <w:r w:rsidRPr="008F4B6A">
        <w:rPr>
          <w:i/>
          <w:iCs/>
        </w:rPr>
        <w:t>‘</w:t>
      </w:r>
      <w:r w:rsidR="00320D36" w:rsidRPr="008F4B6A">
        <w:rPr>
          <w:i/>
          <w:iCs/>
        </w:rPr>
        <w:t>self-</w:t>
      </w:r>
      <w:r w:rsidRPr="008F4B6A">
        <w:rPr>
          <w:i/>
          <w:iCs/>
        </w:rPr>
        <w:t xml:space="preserve">regulatory’ </w:t>
      </w:r>
      <w:r w:rsidRPr="008F4B6A">
        <w:t>approach to a more coercive ‘sanctioning’ role</w:t>
      </w:r>
      <w:r w:rsidR="005C708E" w:rsidRPr="008F4B6A">
        <w:t xml:space="preserve">. Of note that the latter approach is </w:t>
      </w:r>
      <w:r w:rsidR="005C42DE" w:rsidRPr="008F4B6A">
        <w:t xml:space="preserve">more </w:t>
      </w:r>
      <w:r w:rsidR="00BF33E8" w:rsidRPr="008F4B6A">
        <w:t xml:space="preserve">aligned </w:t>
      </w:r>
      <w:r w:rsidR="00062A86" w:rsidRPr="008F4B6A">
        <w:t>with the</w:t>
      </w:r>
      <w:r w:rsidR="005C42DE" w:rsidRPr="008F4B6A">
        <w:t xml:space="preserve"> regulatory pillar of institutions and the use of coercion to bring about compliance </w:t>
      </w:r>
      <w:r w:rsidR="00BF33E8" w:rsidRPr="008F4B6A">
        <w:t>(Scott</w:t>
      </w:r>
      <w:r w:rsidR="001A651E" w:rsidRPr="008F4B6A">
        <w:t xml:space="preserve"> 2014</w:t>
      </w:r>
      <w:r w:rsidR="00BF33E8" w:rsidRPr="008F4B6A">
        <w:t xml:space="preserve">). </w:t>
      </w:r>
      <w:r w:rsidR="00437112" w:rsidRPr="008F4B6A">
        <w:t xml:space="preserve"> </w:t>
      </w:r>
    </w:p>
    <w:p w14:paraId="34A41E46" w14:textId="7E35DE32" w:rsidR="009B7416" w:rsidRPr="005A348C" w:rsidRDefault="005C42DE" w:rsidP="00D82B0C">
      <w:pPr>
        <w:spacing w:line="480" w:lineRule="auto"/>
        <w:jc w:val="both"/>
      </w:pPr>
      <w:r w:rsidRPr="008F4B6A">
        <w:t xml:space="preserve">In the UK, we would argue that the regulatory approach has witnessed a number of </w:t>
      </w:r>
      <w:r w:rsidR="00CC5DBA" w:rsidRPr="008F4B6A">
        <w:t>changes over</w:t>
      </w:r>
      <w:r w:rsidR="007875A9" w:rsidRPr="008F4B6A">
        <w:t xml:space="preserve"> </w:t>
      </w:r>
      <w:r w:rsidR="00CC5DBA" w:rsidRPr="008F4B6A">
        <w:t>time</w:t>
      </w:r>
      <w:r w:rsidR="007875A9" w:rsidRPr="008F4B6A">
        <w:t>,</w:t>
      </w:r>
      <w:r w:rsidR="00CC5DBA" w:rsidRPr="008F4B6A">
        <w:t xml:space="preserve"> perhaps in response to a dynamic </w:t>
      </w:r>
      <w:r w:rsidRPr="008F4B6A">
        <w:t xml:space="preserve">financial sector landscape.  </w:t>
      </w:r>
      <w:r w:rsidR="0019177B" w:rsidRPr="008F4B6A">
        <w:t>We argue that the modifications in the regulatory approach, have not only influenced the compliance culture, but also rendered having a stable compliance culture rather unachievable. Prior</w:t>
      </w:r>
      <w:r w:rsidRPr="008F4B6A">
        <w:t xml:space="preserve"> to the global financial crisis, the UK adopted a</w:t>
      </w:r>
      <w:r w:rsidR="00CC5DBA" w:rsidRPr="008F4B6A">
        <w:t>n</w:t>
      </w:r>
      <w:r w:rsidRPr="008F4B6A">
        <w:t xml:space="preserve"> </w:t>
      </w:r>
      <w:r w:rsidR="00CC5DBA" w:rsidRPr="008F4B6A">
        <w:t xml:space="preserve">allegedly </w:t>
      </w:r>
      <w:r w:rsidRPr="008F4B6A">
        <w:rPr>
          <w:i/>
        </w:rPr>
        <w:t>‘light touch’</w:t>
      </w:r>
      <w:r w:rsidRPr="008F4B6A">
        <w:t xml:space="preserve"> regulation </w:t>
      </w:r>
      <w:r w:rsidR="00CC5DBA" w:rsidRPr="008F4B6A">
        <w:t xml:space="preserve">approach </w:t>
      </w:r>
      <w:r w:rsidRPr="008F4B6A">
        <w:t>relying on industry self-r</w:t>
      </w:r>
      <w:r w:rsidR="005A348C">
        <w:t>egulation (Buller and Lindstrom</w:t>
      </w:r>
      <w:r w:rsidR="0004389D">
        <w:t>,</w:t>
      </w:r>
      <w:r w:rsidRPr="008F4B6A">
        <w:t xml:space="preserve"> 2013). </w:t>
      </w:r>
      <w:r w:rsidR="004A03F9" w:rsidRPr="008F4B6A">
        <w:t>During this period, (i.e. before the global financial crisis 2007), a framework for compliance culture was also proposed by the UK regulator (the Financial Services Authority (FSA) to ensure fair customer treatment. Towards this end</w:t>
      </w:r>
      <w:r w:rsidR="007875A9" w:rsidRPr="008F4B6A">
        <w:t>,</w:t>
      </w:r>
      <w:r w:rsidR="004A03F9" w:rsidRPr="008F4B6A">
        <w:t xml:space="preserve"> and recognising the importance of compliance culture, a tool was designed to measure compliance culture within individual firms, thus enforcing firms to ‘deliv</w:t>
      </w:r>
      <w:r w:rsidR="005A348C">
        <w:t>er fair consumer outcomes’ (FSA</w:t>
      </w:r>
      <w:r w:rsidR="009F6FEF">
        <w:t>,</w:t>
      </w:r>
      <w:r w:rsidR="004A03F9" w:rsidRPr="008F4B6A">
        <w:t xml:space="preserve"> 2007, p. 3). The model (see Figure 1) presented by the FSA includes key drivers of: leadership, strategy, decision making, contro</w:t>
      </w:r>
      <w:r w:rsidR="005A348C">
        <w:t>ls, recruitment and reward (FSA</w:t>
      </w:r>
      <w:r w:rsidR="009F6FEF">
        <w:t>,</w:t>
      </w:r>
      <w:r w:rsidR="004A03F9" w:rsidRPr="008F4B6A">
        <w:t xml:space="preserve"> 2007, p. 21) which sets out a clear expectation of best practice and expectations of the regulators. However, in a more recent policy statement, a broader model with the specific inclusion of culture </w:t>
      </w:r>
      <w:r w:rsidR="002B264D" w:rsidRPr="008F4B6A">
        <w:t>was</w:t>
      </w:r>
      <w:r w:rsidR="004A03F9" w:rsidRPr="008F4B6A">
        <w:t xml:space="preserve"> discussed</w:t>
      </w:r>
      <w:r w:rsidR="002B264D" w:rsidRPr="008F4B6A">
        <w:t xml:space="preserve"> as </w:t>
      </w:r>
      <w:r w:rsidR="004A03F9" w:rsidRPr="008F4B6A">
        <w:rPr>
          <w:i/>
        </w:rPr>
        <w:t xml:space="preserve">“the </w:t>
      </w:r>
      <w:r w:rsidR="004A03F9" w:rsidRPr="00397EC3">
        <w:rPr>
          <w:i/>
        </w:rPr>
        <w:t>PRA</w:t>
      </w:r>
      <w:r w:rsidR="004A03F9" w:rsidRPr="008F4B6A">
        <w:rPr>
          <w:i/>
        </w:rPr>
        <w:t xml:space="preserve"> consider a variety of factors to identify failings in culture, including governance, incentives, risk awareness and the ability to challenge senior management”</w:t>
      </w:r>
      <w:r w:rsidR="005A348C">
        <w:t xml:space="preserve"> (PRA</w:t>
      </w:r>
      <w:r w:rsidR="0004389D">
        <w:t>,</w:t>
      </w:r>
      <w:r w:rsidR="004A03F9" w:rsidRPr="008F4B6A">
        <w:t xml:space="preserve"> 2014, p. 4). </w:t>
      </w:r>
      <w:r w:rsidR="00CE27AA">
        <w:t xml:space="preserve">This indicates an ongoing evolution to identifying specific measures for culture by the regulator, perhaps indicating that ‘one size’ does not fit all. More </w:t>
      </w:r>
      <w:r w:rsidR="00860745">
        <w:t>recently,</w:t>
      </w:r>
      <w:r w:rsidR="00CE27AA">
        <w:t xml:space="preserve"> the regulator has </w:t>
      </w:r>
      <w:r w:rsidR="004F1565">
        <w:t>communicated</w:t>
      </w:r>
      <w:r w:rsidR="00CE27AA">
        <w:t xml:space="preserve"> that they will work more within individual firms to review culture (FCA Annual report, 2015/16) rather than undertaking industry wide thematic reviews. Perhaps then</w:t>
      </w:r>
      <w:r w:rsidR="004A03F9" w:rsidRPr="008F4B6A">
        <w:t xml:space="preserve">, it is necessary for supervisors to avoid models and guidance, which may encourage a </w:t>
      </w:r>
      <w:r w:rsidR="007875A9" w:rsidRPr="008F4B6A">
        <w:t>‘</w:t>
      </w:r>
      <w:r w:rsidR="004A03F9" w:rsidRPr="008F4B6A">
        <w:t>tick the box</w:t>
      </w:r>
      <w:r w:rsidR="007875A9" w:rsidRPr="008F4B6A">
        <w:t>’</w:t>
      </w:r>
      <w:r w:rsidR="004A03F9" w:rsidRPr="008F4B6A">
        <w:t xml:space="preserve"> approach to compliance (and compliance culture). In contrast, </w:t>
      </w:r>
      <w:proofErr w:type="spellStart"/>
      <w:r w:rsidR="004A03F9" w:rsidRPr="008F4B6A">
        <w:t>Carretta</w:t>
      </w:r>
      <w:proofErr w:type="spellEnd"/>
      <w:r w:rsidR="004A03F9" w:rsidRPr="008F4B6A">
        <w:t xml:space="preserve"> et al. (2010) contend that the new relationship models between supervisors and banks need to be supported by organisational tools, which enable sharing of information between </w:t>
      </w:r>
      <w:r w:rsidR="004A03F9" w:rsidRPr="008F4B6A">
        <w:lastRenderedPageBreak/>
        <w:t xml:space="preserve">parties; to promote </w:t>
      </w:r>
      <w:r w:rsidR="002B264D" w:rsidRPr="008F4B6A">
        <w:t xml:space="preserve">both </w:t>
      </w:r>
      <w:r w:rsidR="004A03F9" w:rsidRPr="008F4B6A">
        <w:t xml:space="preserve">the advisory function of supervisors and </w:t>
      </w:r>
      <w:r w:rsidR="002B264D" w:rsidRPr="008F4B6A">
        <w:t>a</w:t>
      </w:r>
      <w:r w:rsidR="004A03F9" w:rsidRPr="008F4B6A">
        <w:t xml:space="preserve"> partnership model</w:t>
      </w:r>
      <w:r w:rsidR="00BE477D" w:rsidRPr="008F4B6A">
        <w:t>,</w:t>
      </w:r>
      <w:r w:rsidR="004A03F9" w:rsidRPr="008F4B6A">
        <w:t xml:space="preserve"> premised on cooperation between the supervisory bodies and banks. This was considered necessary given the risks</w:t>
      </w:r>
      <w:r w:rsidR="00CC5DBA" w:rsidRPr="008F4B6A">
        <w:t xml:space="preserve"> regarding </w:t>
      </w:r>
      <w:r w:rsidR="00CC5DBA" w:rsidRPr="008F4B6A">
        <w:rPr>
          <w:i/>
        </w:rPr>
        <w:t>‘perfunctory cosmetic</w:t>
      </w:r>
      <w:r w:rsidR="004A03F9" w:rsidRPr="008F4B6A">
        <w:rPr>
          <w:i/>
        </w:rPr>
        <w:t xml:space="preserve">’ compliance </w:t>
      </w:r>
      <w:r w:rsidR="005A348C">
        <w:t>(</w:t>
      </w:r>
      <w:proofErr w:type="spellStart"/>
      <w:r w:rsidR="005A348C">
        <w:t>Calcott</w:t>
      </w:r>
      <w:proofErr w:type="spellEnd"/>
      <w:r w:rsidR="0004389D">
        <w:t>,</w:t>
      </w:r>
      <w:r w:rsidR="00CC5DBA" w:rsidRPr="008F4B6A">
        <w:t xml:space="preserve"> 2010)</w:t>
      </w:r>
      <w:r w:rsidRPr="008F4B6A">
        <w:t xml:space="preserve">. However, </w:t>
      </w:r>
      <w:r w:rsidR="00B948F6" w:rsidRPr="008F4B6A">
        <w:t xml:space="preserve">it is worthwhile mentioning that </w:t>
      </w:r>
      <w:r w:rsidRPr="008F4B6A">
        <w:t>the advantages of firms choosing their own approach is also recognised, whereby they can draw on their own experience and reflect on individual circumstance</w:t>
      </w:r>
      <w:r w:rsidR="005A348C">
        <w:t>s to approach compliance (Rossi</w:t>
      </w:r>
      <w:r w:rsidR="0004389D">
        <w:t>,</w:t>
      </w:r>
      <w:r w:rsidR="00BE477D" w:rsidRPr="008F4B6A">
        <w:t xml:space="preserve"> </w:t>
      </w:r>
      <w:r w:rsidRPr="008F4B6A">
        <w:t xml:space="preserve">2010). </w:t>
      </w:r>
      <w:r w:rsidR="0019177B" w:rsidRPr="008F4B6A">
        <w:t xml:space="preserve"> </w:t>
      </w:r>
      <w:r w:rsidR="002245BB">
        <w:t>More recently, culture</w:t>
      </w:r>
      <w:r w:rsidR="00DB3BE4">
        <w:t xml:space="preserve"> issues were</w:t>
      </w:r>
      <w:r w:rsidR="002245BB">
        <w:t xml:space="preserve"> revisited b</w:t>
      </w:r>
      <w:r w:rsidR="00DB3BE4">
        <w:t xml:space="preserve">y the FCA whereby the regulator intends </w:t>
      </w:r>
      <w:r w:rsidR="002245BB">
        <w:t>to impact compliance decisions</w:t>
      </w:r>
      <w:r w:rsidR="00DB3BE4">
        <w:t xml:space="preserve"> within firms, and culture in the sector using</w:t>
      </w:r>
      <w:r w:rsidR="002245BB">
        <w:t xml:space="preserve"> mechanisms such as ‘publicising exampl</w:t>
      </w:r>
      <w:r w:rsidR="00512940">
        <w:t>es of good behaviour’ (FCA, 2016b</w:t>
      </w:r>
      <w:r w:rsidR="002245BB">
        <w:t>)</w:t>
      </w:r>
      <w:r w:rsidR="00DB3BE4">
        <w:t xml:space="preserve">. </w:t>
      </w:r>
      <w:r w:rsidR="005A348C" w:rsidRPr="005A348C">
        <w:t>These</w:t>
      </w:r>
      <w:r w:rsidR="00B30C41" w:rsidRPr="005A348C">
        <w:t xml:space="preserve"> ongoing changes to the regulatory approach, highlights the compliance culture co-creation idea.</w:t>
      </w:r>
    </w:p>
    <w:p w14:paraId="5374EDD8" w14:textId="179A787E" w:rsidR="00860745" w:rsidRPr="0004389D" w:rsidRDefault="00A0677A" w:rsidP="00860745">
      <w:pPr>
        <w:spacing w:line="480" w:lineRule="auto"/>
        <w:jc w:val="both"/>
      </w:pPr>
      <w:r w:rsidRPr="008F4B6A">
        <w:t xml:space="preserve">Furthermore, </w:t>
      </w:r>
      <w:r w:rsidR="00ED0479" w:rsidRPr="008F4B6A">
        <w:t xml:space="preserve">following the appointment of Andrew Bailey as </w:t>
      </w:r>
      <w:r w:rsidR="00387075" w:rsidRPr="008F4B6A">
        <w:t>the FCA’s chief e</w:t>
      </w:r>
      <w:r w:rsidR="00ED0479" w:rsidRPr="008F4B6A">
        <w:t>xecutive in 2016, media speculated another significant shift in the regulatory direction of the FCA.</w:t>
      </w:r>
      <w:r w:rsidR="00495866">
        <w:t xml:space="preserve"> </w:t>
      </w:r>
      <w:r w:rsidR="00495866" w:rsidRPr="008F4B6A">
        <w:t xml:space="preserve">A shift in the regulatory approach that would will no longer be viewed as </w:t>
      </w:r>
      <w:r w:rsidR="00495866" w:rsidRPr="008F4B6A">
        <w:rPr>
          <w:i/>
        </w:rPr>
        <w:t>‘enforcement-led’</w:t>
      </w:r>
      <w:r w:rsidR="00495866" w:rsidRPr="008F4B6A">
        <w:t xml:space="preserve">, or be based on </w:t>
      </w:r>
      <w:r w:rsidR="00495866" w:rsidRPr="008F4B6A">
        <w:rPr>
          <w:i/>
        </w:rPr>
        <w:t>‘shoot first, ask questions later’</w:t>
      </w:r>
      <w:r w:rsidR="00495866" w:rsidRPr="008F4B6A">
        <w:rPr>
          <w:rStyle w:val="EndnoteReference"/>
        </w:rPr>
        <w:endnoteReference w:id="4"/>
      </w:r>
      <w:r w:rsidR="00495866" w:rsidRPr="008F4B6A">
        <w:t>.</w:t>
      </w:r>
      <w:r w:rsidR="00ED0479" w:rsidRPr="008F4B6A">
        <w:t xml:space="preserve">  </w:t>
      </w:r>
      <w:proofErr w:type="spellStart"/>
      <w:r w:rsidR="00495866" w:rsidRPr="00495866">
        <w:t>WSJCity</w:t>
      </w:r>
      <w:proofErr w:type="spellEnd"/>
      <w:r w:rsidR="00495866" w:rsidRPr="00495866">
        <w:t xml:space="preserve"> (2016</w:t>
      </w:r>
      <w:r w:rsidR="00495866">
        <w:t>) provide commentary on the appointment</w:t>
      </w:r>
      <w:r w:rsidR="00495866" w:rsidRPr="00495866">
        <w:t xml:space="preserve"> with various leading actors from the City providing their assessment on Andrew Bailey’s characteristics</w:t>
      </w:r>
      <w:r w:rsidR="00495866">
        <w:t xml:space="preserve">, </w:t>
      </w:r>
      <w:r w:rsidR="00495866" w:rsidRPr="00495866">
        <w:t>which are quoted as ‘considerate but tough’, ‘commercially thoughtful’, and ‘when he acts, he acts having considered all the issues’. This indicates a consensus within the city of a more measured approach</w:t>
      </w:r>
      <w:r w:rsidR="00495866">
        <w:t xml:space="preserve"> by Andrew Bailey, with the observation also that the appointment acted</w:t>
      </w:r>
      <w:r w:rsidR="00495866" w:rsidRPr="00495866">
        <w:t xml:space="preserve"> as an indication of the movement towards ‘the regulatory agenda</w:t>
      </w:r>
      <w:r w:rsidR="00495866">
        <w:t>,</w:t>
      </w:r>
      <w:r w:rsidR="00495866" w:rsidRPr="00495866">
        <w:t xml:space="preserve"> from the crisis agenda’ (</w:t>
      </w:r>
      <w:proofErr w:type="spellStart"/>
      <w:r w:rsidR="00495866" w:rsidRPr="00495866">
        <w:t>WSJCity</w:t>
      </w:r>
      <w:proofErr w:type="spellEnd"/>
      <w:r w:rsidR="00B23A8A">
        <w:t>,</w:t>
      </w:r>
      <w:r w:rsidR="00495866" w:rsidRPr="00495866">
        <w:t xml:space="preserve"> 2016).</w:t>
      </w:r>
      <w:r w:rsidR="00860745" w:rsidRPr="00860745">
        <w:rPr>
          <w:color w:val="FF0000"/>
        </w:rPr>
        <w:t xml:space="preserve"> </w:t>
      </w:r>
      <w:r w:rsidR="00860745" w:rsidRPr="0004389D">
        <w:t xml:space="preserve">This marks a significant shift in defining compliance and hence legitimacy. Here, legitimacy is changing from being a static property, achieved by complying with law/regulations to a more dynamic process socially constructed by the </w:t>
      </w:r>
      <w:r w:rsidR="009F6FEF">
        <w:t>regulator and firms (</w:t>
      </w:r>
      <w:proofErr w:type="spellStart"/>
      <w:r w:rsidR="009F6FEF">
        <w:t>Suddaby</w:t>
      </w:r>
      <w:proofErr w:type="spellEnd"/>
      <w:r w:rsidR="009F6FEF">
        <w:t xml:space="preserve"> et</w:t>
      </w:r>
      <w:r w:rsidR="00860745" w:rsidRPr="0004389D">
        <w:t xml:space="preserve"> al., 2017).</w:t>
      </w:r>
    </w:p>
    <w:p w14:paraId="52F40EB8" w14:textId="218DF978" w:rsidR="005732B6" w:rsidRPr="0004389D" w:rsidRDefault="00ED0479" w:rsidP="00D82B0C">
      <w:pPr>
        <w:spacing w:line="480" w:lineRule="auto"/>
        <w:jc w:val="both"/>
      </w:pPr>
      <w:r w:rsidRPr="008F4B6A">
        <w:t xml:space="preserve">Alternatively, the approach is based on </w:t>
      </w:r>
      <w:r w:rsidR="00BE477D" w:rsidRPr="008F4B6A">
        <w:t>‘</w:t>
      </w:r>
      <w:r w:rsidRPr="008F4B6A">
        <w:t>credible deterrence</w:t>
      </w:r>
      <w:r w:rsidR="00BE477D" w:rsidRPr="008F4B6A">
        <w:t>’</w:t>
      </w:r>
      <w:r w:rsidR="00512940">
        <w:t xml:space="preserve"> (FCA, 2016b</w:t>
      </w:r>
      <w:r w:rsidR="002E1503">
        <w:t>)</w:t>
      </w:r>
      <w:r w:rsidRPr="008F4B6A">
        <w:t>, whereby the regulator, the FCA, can adopt wider regulatory actions and become more proactive rather than reactive. This include: taking away firms/individuals operating authorisation; issuing fines; issuing public/messages warnings; and bringing cases to court</w:t>
      </w:r>
      <w:r w:rsidRPr="008F4B6A">
        <w:rPr>
          <w:rStyle w:val="EndnoteReference"/>
        </w:rPr>
        <w:endnoteReference w:id="5"/>
      </w:r>
      <w:r w:rsidRPr="008F4B6A">
        <w:t xml:space="preserve">, and indeed continue to hold </w:t>
      </w:r>
      <w:r w:rsidR="008F310D">
        <w:t xml:space="preserve">senior managers to account (FCA </w:t>
      </w:r>
      <w:r w:rsidRPr="008F4B6A">
        <w:t>2013)</w:t>
      </w:r>
      <w:r w:rsidR="00BE477D" w:rsidRPr="008F4B6A">
        <w:rPr>
          <w:rStyle w:val="EndnoteReference"/>
        </w:rPr>
        <w:endnoteReference w:id="6"/>
      </w:r>
      <w:r w:rsidRPr="008F4B6A">
        <w:t xml:space="preserve">. </w:t>
      </w:r>
      <w:r w:rsidRPr="008F4B6A">
        <w:lastRenderedPageBreak/>
        <w:t xml:space="preserve">This change within the regulatory stance may in turn bring </w:t>
      </w:r>
      <w:r w:rsidR="00042A23" w:rsidRPr="008F4B6A">
        <w:t xml:space="preserve">about </w:t>
      </w:r>
      <w:r w:rsidR="005732B6" w:rsidRPr="008F4B6A">
        <w:t xml:space="preserve">isomorphic </w:t>
      </w:r>
      <w:r w:rsidRPr="008F4B6A">
        <w:t xml:space="preserve">changes within the </w:t>
      </w:r>
      <w:r w:rsidR="00042A23" w:rsidRPr="008F4B6A">
        <w:t xml:space="preserve">sectors’ </w:t>
      </w:r>
      <w:r w:rsidR="007279B9" w:rsidRPr="008F4B6A">
        <w:t>‘</w:t>
      </w:r>
      <w:r w:rsidRPr="008F4B6A">
        <w:t>compliance culture</w:t>
      </w:r>
      <w:r w:rsidR="007279B9" w:rsidRPr="008F4B6A">
        <w:t>’</w:t>
      </w:r>
      <w:r w:rsidRPr="008F4B6A">
        <w:t xml:space="preserve"> through </w:t>
      </w:r>
      <w:r w:rsidR="005732B6" w:rsidRPr="008F4B6A">
        <w:t>the said</w:t>
      </w:r>
      <w:r w:rsidRPr="008F4B6A">
        <w:t xml:space="preserve"> coercive measures (which links back to Ayres and Brathwaite’s Enforcement Pyramid). </w:t>
      </w:r>
      <w:r w:rsidR="005732B6" w:rsidRPr="008F4B6A">
        <w:t xml:space="preserve"> Yet, given the high costs of compliance to the financial service sector in the UK, the </w:t>
      </w:r>
      <w:r w:rsidR="007279B9" w:rsidRPr="008F4B6A">
        <w:t xml:space="preserve">problem of cosmetic/minimal compliance </w:t>
      </w:r>
      <w:r w:rsidR="005732B6" w:rsidRPr="008F4B6A">
        <w:t>prese</w:t>
      </w:r>
      <w:r w:rsidR="008F310D">
        <w:t>nted in the literature (Jackson</w:t>
      </w:r>
      <w:r w:rsidR="00BA5AF2">
        <w:t>,</w:t>
      </w:r>
      <w:r w:rsidR="008F310D">
        <w:t xml:space="preserve"> 2001; Crump</w:t>
      </w:r>
      <w:r w:rsidR="00BA5AF2">
        <w:t>,</w:t>
      </w:r>
      <w:r w:rsidR="008F310D">
        <w:t xml:space="preserve"> 2007; </w:t>
      </w:r>
      <w:proofErr w:type="spellStart"/>
      <w:r w:rsidR="008F310D">
        <w:t>Calcott</w:t>
      </w:r>
      <w:proofErr w:type="spellEnd"/>
      <w:r w:rsidR="00BA5AF2">
        <w:t>,</w:t>
      </w:r>
      <w:r w:rsidR="005732B6" w:rsidRPr="008F4B6A">
        <w:t xml:space="preserve"> 2010) are still relevant, and can hinder the isomorphic effect on the overall compliance culture within the sector. </w:t>
      </w:r>
      <w:r w:rsidR="0099333A">
        <w:t xml:space="preserve"> </w:t>
      </w:r>
      <w:r w:rsidR="0099333A" w:rsidRPr="0004389D">
        <w:t>As such it might be the case that some firms’</w:t>
      </w:r>
      <w:r w:rsidR="00BD30C3" w:rsidRPr="0004389D">
        <w:t xml:space="preserve"> have different response from the majo</w:t>
      </w:r>
      <w:r w:rsidR="0004389D">
        <w:t>rity of firms within the sector. A</w:t>
      </w:r>
      <w:r w:rsidR="00BD30C3" w:rsidRPr="0004389D">
        <w:t xml:space="preserve">s noted by </w:t>
      </w:r>
      <w:proofErr w:type="spellStart"/>
      <w:r w:rsidR="00BD30C3" w:rsidRPr="0004389D">
        <w:t>Lamin</w:t>
      </w:r>
      <w:proofErr w:type="spellEnd"/>
      <w:r w:rsidR="00BD30C3" w:rsidRPr="0004389D">
        <w:t xml:space="preserve"> and </w:t>
      </w:r>
      <w:proofErr w:type="spellStart"/>
      <w:r w:rsidR="00BD30C3" w:rsidRPr="0004389D">
        <w:t>Zaheer</w:t>
      </w:r>
      <w:proofErr w:type="spellEnd"/>
      <w:r w:rsidR="00BD30C3" w:rsidRPr="0004389D">
        <w:t xml:space="preserve"> (2012) these responses can include denial (dismissal of allegation in the form of denial that the problem exist</w:t>
      </w:r>
      <w:r w:rsidR="00B23A8A">
        <w:t>,</w:t>
      </w:r>
      <w:r w:rsidR="00BD30C3" w:rsidRPr="0004389D">
        <w:t xml:space="preserve"> or it was related to factors such as labour practices or contractors or denying responsibility as indicated by Sutton an</w:t>
      </w:r>
      <w:r w:rsidR="0004389D">
        <w:t>d Callahan, 1987) or defiance (</w:t>
      </w:r>
      <w:r w:rsidR="00BD30C3" w:rsidRPr="0004389D">
        <w:t>contesting accusation and challenging accuser).</w:t>
      </w:r>
    </w:p>
    <w:p w14:paraId="742AC529" w14:textId="6091326E" w:rsidR="00ED0479" w:rsidRPr="008F4B6A" w:rsidRDefault="00ED0479" w:rsidP="00D82B0C">
      <w:pPr>
        <w:pStyle w:val="Caption"/>
        <w:spacing w:line="480" w:lineRule="auto"/>
        <w:jc w:val="both"/>
        <w:rPr>
          <w:color w:val="auto"/>
        </w:rPr>
      </w:pPr>
      <w:r w:rsidRPr="008F4B6A">
        <w:rPr>
          <w:color w:val="auto"/>
        </w:rPr>
        <w:t xml:space="preserve">Figure </w:t>
      </w:r>
      <w:r w:rsidR="007115E2" w:rsidRPr="008F4B6A">
        <w:rPr>
          <w:color w:val="auto"/>
        </w:rPr>
        <w:fldChar w:fldCharType="begin"/>
      </w:r>
      <w:r w:rsidR="007115E2" w:rsidRPr="008F4B6A">
        <w:rPr>
          <w:color w:val="auto"/>
        </w:rPr>
        <w:instrText xml:space="preserve"> SEQ Figure \* ARABIC </w:instrText>
      </w:r>
      <w:r w:rsidR="007115E2" w:rsidRPr="008F4B6A">
        <w:rPr>
          <w:color w:val="auto"/>
        </w:rPr>
        <w:fldChar w:fldCharType="separate"/>
      </w:r>
      <w:r w:rsidR="004249AB">
        <w:rPr>
          <w:noProof/>
          <w:color w:val="auto"/>
        </w:rPr>
        <w:t>1</w:t>
      </w:r>
      <w:r w:rsidR="007115E2" w:rsidRPr="008F4B6A">
        <w:rPr>
          <w:noProof/>
          <w:color w:val="auto"/>
        </w:rPr>
        <w:fldChar w:fldCharType="end"/>
      </w:r>
      <w:r w:rsidR="00D358A3">
        <w:rPr>
          <w:color w:val="auto"/>
        </w:rPr>
        <w:t xml:space="preserve"> Culture Framework (FSA</w:t>
      </w:r>
      <w:r w:rsidRPr="008F4B6A">
        <w:rPr>
          <w:color w:val="auto"/>
        </w:rPr>
        <w:t xml:space="preserve"> 2007, p.21)</w:t>
      </w:r>
    </w:p>
    <w:p w14:paraId="42D6CFFA" w14:textId="3A8B93E9" w:rsidR="009B7416" w:rsidRPr="008F4B6A" w:rsidRDefault="00946F0C" w:rsidP="00D82B0C">
      <w:pPr>
        <w:spacing w:line="480" w:lineRule="auto"/>
        <w:jc w:val="both"/>
      </w:pPr>
      <w:r>
        <w:rPr>
          <w:noProof/>
          <w:lang w:eastAsia="en-GB"/>
        </w:rPr>
        <w:drawing>
          <wp:inline distT="0" distB="0" distL="0" distR="0" wp14:anchorId="2C4DBC37" wp14:editId="39778DE6">
            <wp:extent cx="5730875" cy="29870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2987040"/>
                    </a:xfrm>
                    <a:prstGeom prst="rect">
                      <a:avLst/>
                    </a:prstGeom>
                    <a:noFill/>
                  </pic:spPr>
                </pic:pic>
              </a:graphicData>
            </a:graphic>
          </wp:inline>
        </w:drawing>
      </w:r>
    </w:p>
    <w:p w14:paraId="04D33C3E" w14:textId="38012AEA" w:rsidR="006321D1" w:rsidRPr="00BA5AF2" w:rsidRDefault="00860745" w:rsidP="006321D1">
      <w:pPr>
        <w:pStyle w:val="Heading4"/>
        <w:spacing w:line="480" w:lineRule="auto"/>
        <w:rPr>
          <w:color w:val="auto"/>
        </w:rPr>
      </w:pPr>
      <w:r w:rsidRPr="00BA5AF2">
        <w:rPr>
          <w:color w:val="auto"/>
        </w:rPr>
        <w:t xml:space="preserve">Normative and cultural pressures, legitimacy and compliance </w:t>
      </w:r>
    </w:p>
    <w:p w14:paraId="1FD833E4" w14:textId="77777777" w:rsidR="006321D1" w:rsidRPr="006321D1" w:rsidRDefault="006321D1" w:rsidP="006321D1"/>
    <w:p w14:paraId="1DC49154" w14:textId="1F2E7DE2" w:rsidR="000A369E" w:rsidRDefault="00577936" w:rsidP="00C84C8C">
      <w:pPr>
        <w:spacing w:line="480" w:lineRule="auto"/>
        <w:jc w:val="both"/>
      </w:pPr>
      <w:r w:rsidRPr="008F4B6A">
        <w:t xml:space="preserve">There are significant </w:t>
      </w:r>
      <w:r w:rsidR="007A70E3" w:rsidRPr="008F4B6A">
        <w:t xml:space="preserve">normative </w:t>
      </w:r>
      <w:r w:rsidRPr="008F4B6A">
        <w:t>forces</w:t>
      </w:r>
      <w:r w:rsidR="00F4141D" w:rsidRPr="008F4B6A">
        <w:t xml:space="preserve"> </w:t>
      </w:r>
      <w:r w:rsidR="003D1EF2" w:rsidRPr="008F4B6A">
        <w:t>affecting</w:t>
      </w:r>
      <w:r w:rsidRPr="008F4B6A">
        <w:t xml:space="preserve"> </w:t>
      </w:r>
      <w:r w:rsidR="0075770A" w:rsidRPr="008F4B6A">
        <w:t xml:space="preserve">professionals working </w:t>
      </w:r>
      <w:r w:rsidR="007A70E3" w:rsidRPr="008F4B6A">
        <w:t xml:space="preserve">within the </w:t>
      </w:r>
      <w:r w:rsidR="0075770A" w:rsidRPr="008F4B6A">
        <w:t xml:space="preserve">financial </w:t>
      </w:r>
      <w:r w:rsidR="007A70E3" w:rsidRPr="008F4B6A">
        <w:t>industry</w:t>
      </w:r>
      <w:r w:rsidR="0075770A" w:rsidRPr="008F4B6A">
        <w:t xml:space="preserve"> and as such the compliance culture. This includes</w:t>
      </w:r>
      <w:r w:rsidRPr="008F4B6A">
        <w:t xml:space="preserve"> adherence to </w:t>
      </w:r>
      <w:r w:rsidR="0080458E" w:rsidRPr="008F4B6A">
        <w:t xml:space="preserve">relevant </w:t>
      </w:r>
      <w:r w:rsidR="00D6448A" w:rsidRPr="00D358A3">
        <w:t>professional</w:t>
      </w:r>
      <w:r w:rsidR="00116F1F" w:rsidRPr="00D358A3">
        <w:t xml:space="preserve"> bodies’</w:t>
      </w:r>
      <w:r w:rsidR="00D6448A" w:rsidRPr="00D358A3">
        <w:t xml:space="preserve"> </w:t>
      </w:r>
      <w:r w:rsidRPr="00D358A3">
        <w:t xml:space="preserve">codes </w:t>
      </w:r>
      <w:r w:rsidRPr="008F4B6A">
        <w:t xml:space="preserve">of </w:t>
      </w:r>
      <w:r w:rsidRPr="008F4B6A">
        <w:lastRenderedPageBreak/>
        <w:t>conduct/ethics</w:t>
      </w:r>
      <w:r w:rsidR="00116F1F">
        <w:t xml:space="preserve"> (such</w:t>
      </w:r>
      <w:r w:rsidR="00116F1F">
        <w:rPr>
          <w:color w:val="FF00FF"/>
        </w:rPr>
        <w:t xml:space="preserve"> </w:t>
      </w:r>
      <w:r w:rsidR="00116F1F" w:rsidRPr="00D358A3">
        <w:t>as accounting and legal professional bodies)</w:t>
      </w:r>
      <w:r w:rsidRPr="00D358A3">
        <w:t xml:space="preserve">, </w:t>
      </w:r>
      <w:r w:rsidRPr="008F4B6A">
        <w:t xml:space="preserve">with threats of dismissal from professional </w:t>
      </w:r>
      <w:r w:rsidR="00F4141D" w:rsidRPr="008F4B6A">
        <w:t>membership for cas</w:t>
      </w:r>
      <w:r w:rsidRPr="008F4B6A">
        <w:t>es of non-adherenc</w:t>
      </w:r>
      <w:r w:rsidR="00F4141D" w:rsidRPr="008F4B6A">
        <w:t>e</w:t>
      </w:r>
      <w:r w:rsidR="0080458E" w:rsidRPr="008F4B6A">
        <w:t xml:space="preserve"> by affiliated individuals</w:t>
      </w:r>
      <w:r w:rsidRPr="008F4B6A">
        <w:rPr>
          <w:rStyle w:val="EndnoteReference"/>
        </w:rPr>
        <w:endnoteReference w:id="7"/>
      </w:r>
      <w:r w:rsidRPr="008F4B6A">
        <w:t>. Individual</w:t>
      </w:r>
      <w:r w:rsidR="00F4141D" w:rsidRPr="008F4B6A">
        <w:t xml:space="preserve"> banking organisations usually also</w:t>
      </w:r>
      <w:r w:rsidRPr="008F4B6A">
        <w:t xml:space="preserve"> apply their own code</w:t>
      </w:r>
      <w:r w:rsidR="00F4141D" w:rsidRPr="008F4B6A">
        <w:t>s</w:t>
      </w:r>
      <w:r w:rsidRPr="008F4B6A">
        <w:t xml:space="preserve"> of conduct</w:t>
      </w:r>
      <w:r w:rsidR="00DF3617" w:rsidRPr="008F4B6A">
        <w:t xml:space="preserve"> for employees</w:t>
      </w:r>
      <w:r w:rsidR="001A651E" w:rsidRPr="008F4B6A">
        <w:t>, which reflects banks’ attempt to conform with industrial norms</w:t>
      </w:r>
      <w:r w:rsidR="00992828" w:rsidRPr="008F4B6A">
        <w:t xml:space="preserve"> including recent expectation of boards and leadership taking own</w:t>
      </w:r>
      <w:r w:rsidR="00D358A3">
        <w:t>ership for company culture (FRC</w:t>
      </w:r>
      <w:r w:rsidR="00B23A8A">
        <w:t>,</w:t>
      </w:r>
      <w:r w:rsidR="00992828" w:rsidRPr="008F4B6A">
        <w:t xml:space="preserve"> 2016).</w:t>
      </w:r>
      <w:r w:rsidRPr="008F4B6A">
        <w:t xml:space="preserve"> </w:t>
      </w:r>
      <w:r w:rsidR="00B01162" w:rsidRPr="008F4B6A">
        <w:t>Within UK financial services, professionalization</w:t>
      </w:r>
      <w:r w:rsidR="0080458E" w:rsidRPr="008F4B6A">
        <w:t xml:space="preserve"> and creation of compliance norm, </w:t>
      </w:r>
      <w:r w:rsidR="00B01162" w:rsidRPr="008F4B6A">
        <w:t xml:space="preserve">is </w:t>
      </w:r>
      <w:r w:rsidR="00F4141D" w:rsidRPr="008F4B6A">
        <w:t>facilitat</w:t>
      </w:r>
      <w:r w:rsidR="00B01162" w:rsidRPr="008F4B6A">
        <w:t>ed through institutes such as the British Bankers Association (BBA)</w:t>
      </w:r>
      <w:r w:rsidR="00F8014C" w:rsidRPr="008F4B6A">
        <w:t xml:space="preserve"> which has recently been superseded by the UK Finance group in July 2017</w:t>
      </w:r>
      <w:r w:rsidR="00113B30">
        <w:t>. One way such bodies</w:t>
      </w:r>
      <w:r w:rsidR="00B01162" w:rsidRPr="008F4B6A">
        <w:t xml:space="preserve"> </w:t>
      </w:r>
      <w:r w:rsidR="00113B30">
        <w:t xml:space="preserve">promote </w:t>
      </w:r>
      <w:r w:rsidR="00B01162" w:rsidRPr="008F4B6A">
        <w:t>best practice</w:t>
      </w:r>
      <w:r w:rsidR="00113B30">
        <w:t xml:space="preserve"> is</w:t>
      </w:r>
      <w:r w:rsidR="00B01162" w:rsidRPr="008F4B6A">
        <w:t xml:space="preserve"> through </w:t>
      </w:r>
      <w:r w:rsidR="006F6F0E">
        <w:t xml:space="preserve">mechanism such as </w:t>
      </w:r>
      <w:r w:rsidR="00F67DA8" w:rsidRPr="00D358A3">
        <w:t>continu</w:t>
      </w:r>
      <w:r w:rsidR="00DC3DC8">
        <w:t>ous</w:t>
      </w:r>
      <w:r w:rsidR="00F67DA8" w:rsidRPr="00D358A3">
        <w:t xml:space="preserve"> professional development (</w:t>
      </w:r>
      <w:r w:rsidR="00B01162" w:rsidRPr="00D358A3">
        <w:t>CPD</w:t>
      </w:r>
      <w:r w:rsidR="00113B30">
        <w:t>), and also facilitating discussion and</w:t>
      </w:r>
      <w:r w:rsidR="006F6F0E">
        <w:t xml:space="preserve"> communication</w:t>
      </w:r>
      <w:r w:rsidR="00113B30">
        <w:t xml:space="preserve"> of issues</w:t>
      </w:r>
      <w:r w:rsidR="006F6F0E">
        <w:t xml:space="preserve"> between forum </w:t>
      </w:r>
      <w:r w:rsidR="00113B30">
        <w:t>members</w:t>
      </w:r>
      <w:r w:rsidR="00B01162" w:rsidRPr="008F4B6A">
        <w:t xml:space="preserve">. </w:t>
      </w:r>
      <w:r w:rsidR="00F8014C" w:rsidRPr="008F4B6A">
        <w:t>Previously the</w:t>
      </w:r>
      <w:r w:rsidR="00CB0281" w:rsidRPr="008F4B6A">
        <w:t xml:space="preserve"> </w:t>
      </w:r>
      <w:r w:rsidR="00B01162" w:rsidRPr="008F4B6A">
        <w:t>BBA</w:t>
      </w:r>
      <w:r w:rsidRPr="008F4B6A">
        <w:t xml:space="preserve"> have </w:t>
      </w:r>
      <w:r w:rsidR="00B01162" w:rsidRPr="008F4B6A">
        <w:t xml:space="preserve">also </w:t>
      </w:r>
      <w:r w:rsidRPr="008F4B6A">
        <w:t xml:space="preserve">called for </w:t>
      </w:r>
      <w:r w:rsidR="00B01162" w:rsidRPr="008F4B6A">
        <w:t>“</w:t>
      </w:r>
      <w:r w:rsidRPr="008F4B6A">
        <w:t>license to trade</w:t>
      </w:r>
      <w:r w:rsidR="00B01162" w:rsidRPr="008F4B6A">
        <w:t>”</w:t>
      </w:r>
      <w:r w:rsidRPr="008F4B6A">
        <w:t xml:space="preserve"> qualification</w:t>
      </w:r>
      <w:r w:rsidR="00B01162" w:rsidRPr="008F4B6A">
        <w:t>s</w:t>
      </w:r>
      <w:r w:rsidRPr="008F4B6A">
        <w:t xml:space="preserve"> (and </w:t>
      </w:r>
      <w:r w:rsidR="00794259" w:rsidRPr="008F4B6A">
        <w:t>associated</w:t>
      </w:r>
      <w:r w:rsidRPr="008F4B6A">
        <w:t xml:space="preserve"> profession requirements/codes of conduct)</w:t>
      </w:r>
      <w:r w:rsidR="009F7BD0" w:rsidRPr="008F4B6A">
        <w:rPr>
          <w:rStyle w:val="EndnoteReference"/>
        </w:rPr>
        <w:endnoteReference w:id="8"/>
      </w:r>
      <w:r w:rsidRPr="008F4B6A">
        <w:t xml:space="preserve">. </w:t>
      </w:r>
      <w:r w:rsidR="0080458E" w:rsidRPr="008F4B6A">
        <w:t xml:space="preserve">Moreover, </w:t>
      </w:r>
      <w:r w:rsidRPr="008F4B6A">
        <w:t xml:space="preserve">BASEL </w:t>
      </w:r>
      <w:r w:rsidR="00C84C8C" w:rsidRPr="00D358A3">
        <w:t xml:space="preserve">committee on banking supervision </w:t>
      </w:r>
      <w:r w:rsidRPr="00D358A3">
        <w:t xml:space="preserve">issued </w:t>
      </w:r>
      <w:r w:rsidRPr="008F4B6A">
        <w:t>a framework of principles in 2005, on which they followed up</w:t>
      </w:r>
      <w:r w:rsidR="00562DE2" w:rsidRPr="008F4B6A">
        <w:t xml:space="preserve"> </w:t>
      </w:r>
      <w:r w:rsidRPr="008F4B6A">
        <w:t>through the Accounting Task Force in 2008 to assess the degree of implementation within the industry</w:t>
      </w:r>
      <w:r w:rsidR="00562DE2" w:rsidRPr="008F4B6A">
        <w:rPr>
          <w:rStyle w:val="EndnoteReference"/>
        </w:rPr>
        <w:endnoteReference w:id="9"/>
      </w:r>
      <w:r w:rsidRPr="008F4B6A">
        <w:t>.</w:t>
      </w:r>
      <w:r w:rsidR="00D92345" w:rsidRPr="008F4B6A">
        <w:t xml:space="preserve"> </w:t>
      </w:r>
      <w:r w:rsidR="00B01162" w:rsidRPr="008F4B6A">
        <w:t>Individual firms</w:t>
      </w:r>
      <w:r w:rsidR="00783118" w:rsidRPr="008F4B6A">
        <w:t xml:space="preserve"> such as Barclays have set up ‘Compliance </w:t>
      </w:r>
      <w:r w:rsidR="00D358A3">
        <w:t>Academies’ (Compliance Exchange</w:t>
      </w:r>
      <w:r w:rsidR="00B23A8A">
        <w:t>,</w:t>
      </w:r>
      <w:r w:rsidR="00783118" w:rsidRPr="008F4B6A">
        <w:t xml:space="preserve"> 2014), in an attempt to force changes in culture</w:t>
      </w:r>
      <w:r w:rsidR="00633FF0" w:rsidRPr="008F4B6A">
        <w:t xml:space="preserve"> through mechanisms of CPD</w:t>
      </w:r>
      <w:r w:rsidR="00783118" w:rsidRPr="008F4B6A">
        <w:t xml:space="preserve">. </w:t>
      </w:r>
      <w:proofErr w:type="spellStart"/>
      <w:r w:rsidR="000A369E">
        <w:t>Bussman</w:t>
      </w:r>
      <w:proofErr w:type="spellEnd"/>
      <w:r w:rsidR="000A369E">
        <w:t xml:space="preserve"> and </w:t>
      </w:r>
      <w:proofErr w:type="spellStart"/>
      <w:r w:rsidR="000A369E">
        <w:t>Niemeczek</w:t>
      </w:r>
      <w:proofErr w:type="spellEnd"/>
      <w:r w:rsidR="000A369E">
        <w:t xml:space="preserve"> (2017) provide empirical evidence to support the importance of ‘transfer in knowledge of norms’, when reviewing compliance through culture.</w:t>
      </w:r>
      <w:r w:rsidR="009649D0">
        <w:t xml:space="preserve"> </w:t>
      </w:r>
      <w:proofErr w:type="spellStart"/>
      <w:r w:rsidR="009649D0">
        <w:t>Zaal</w:t>
      </w:r>
      <w:proofErr w:type="spellEnd"/>
      <w:r w:rsidR="009649D0">
        <w:t xml:space="preserve"> et al. (2017) also highlight the importance of CPD and training</w:t>
      </w:r>
      <w:r w:rsidR="00922E41">
        <w:t xml:space="preserve"> within organisations,</w:t>
      </w:r>
      <w:r w:rsidR="009649D0">
        <w:t xml:space="preserve"> to ensure that employees understand ‘rules’ (clarity) and what is acceptable and thus ‘</w:t>
      </w:r>
      <w:proofErr w:type="spellStart"/>
      <w:r w:rsidR="009649D0">
        <w:t>san</w:t>
      </w:r>
      <w:r w:rsidR="00B64B8F">
        <w:t>c</w:t>
      </w:r>
      <w:r w:rsidR="009649D0">
        <w:t>tionability</w:t>
      </w:r>
      <w:proofErr w:type="spellEnd"/>
      <w:r w:rsidR="009649D0">
        <w:t>’ within an organisational structure, to improve overall integrity.</w:t>
      </w:r>
    </w:p>
    <w:p w14:paraId="0D2BB0E2" w14:textId="17086B46" w:rsidR="00D92345" w:rsidRPr="008F4B6A" w:rsidRDefault="0074568D" w:rsidP="00C84C8C">
      <w:pPr>
        <w:spacing w:line="480" w:lineRule="auto"/>
        <w:jc w:val="both"/>
      </w:pPr>
      <w:r w:rsidRPr="008F4B6A">
        <w:t>Most recently there are directives to ‘audit’ culture, although guidance on this is in a developing stage</w:t>
      </w:r>
      <w:r w:rsidR="00D358A3">
        <w:t xml:space="preserve"> (UK Finance</w:t>
      </w:r>
      <w:r w:rsidR="00B23A8A">
        <w:t>,</w:t>
      </w:r>
      <w:r w:rsidRPr="008F4B6A">
        <w:t xml:space="preserve"> 2017).</w:t>
      </w:r>
      <w:r w:rsidR="0077796D">
        <w:t xml:space="preserve"> This seems counter intuitive to the comments by the FCA, whereby they consider that ‘culture may not be measurable’ (FCA, 2017). However, despite this they have described various ‘levers’ that they consider to manageable including; ‘clearly communicated sense of purpose’, ‘tone at the top’, ‘formal governance processes’, and ‘people related practice’ (FCA, 2017). </w:t>
      </w:r>
      <w:r w:rsidR="003D1EF2" w:rsidRPr="008F4B6A">
        <w:t xml:space="preserve">These </w:t>
      </w:r>
      <w:r w:rsidR="00BA2585" w:rsidRPr="008F4B6A">
        <w:t>measures</w:t>
      </w:r>
      <w:r w:rsidR="0077796D">
        <w:t xml:space="preserve"> (or levers, as described most recently by the FCA)</w:t>
      </w:r>
      <w:r w:rsidR="00BA2585" w:rsidRPr="008F4B6A">
        <w:t xml:space="preserve"> have all emphasised and created an industry wide </w:t>
      </w:r>
      <w:r w:rsidR="00BA2585" w:rsidRPr="008F4B6A">
        <w:lastRenderedPageBreak/>
        <w:t>norm of compliance culture on both organisations (through codes of conduct) as well as through individuals</w:t>
      </w:r>
      <w:r w:rsidR="00AE3C97">
        <w:t xml:space="preserve"> (</w:t>
      </w:r>
      <w:r w:rsidR="00AE3C97" w:rsidRPr="00D358A3">
        <w:t>banking professionals)</w:t>
      </w:r>
      <w:r w:rsidR="004F19D8" w:rsidRPr="00D358A3">
        <w:t>.</w:t>
      </w:r>
      <w:r w:rsidR="00BA2585" w:rsidRPr="00D358A3">
        <w:t xml:space="preserve"> </w:t>
      </w:r>
      <w:r w:rsidR="004F19D8" w:rsidRPr="00D358A3">
        <w:t xml:space="preserve">These </w:t>
      </w:r>
      <w:r w:rsidR="004F19D8" w:rsidRPr="008F4B6A">
        <w:t xml:space="preserve">individuals </w:t>
      </w:r>
      <w:r w:rsidR="00BA2585" w:rsidRPr="008F4B6A">
        <w:t xml:space="preserve">internalise a compliance culture to the organisations they work for and through their personal conduct, which should </w:t>
      </w:r>
      <w:r w:rsidR="004F19D8" w:rsidRPr="008F4B6A">
        <w:t>be</w:t>
      </w:r>
      <w:r w:rsidR="00BA2585" w:rsidRPr="008F4B6A">
        <w:t xml:space="preserve"> compliant with professional bodies and educational institutions. </w:t>
      </w:r>
    </w:p>
    <w:p w14:paraId="3A3421E8" w14:textId="3E0AAF65" w:rsidR="00144C26" w:rsidRPr="00B23A8A" w:rsidRDefault="00FE4766" w:rsidP="00144C26">
      <w:pPr>
        <w:spacing w:line="480" w:lineRule="auto"/>
        <w:jc w:val="both"/>
      </w:pPr>
      <w:r w:rsidRPr="008F4B6A">
        <w:t xml:space="preserve">To shed further light on the complexity of the compliance culture, </w:t>
      </w:r>
      <w:r w:rsidR="00E54DBA" w:rsidRPr="008F4B6A">
        <w:t xml:space="preserve">it would be useful to </w:t>
      </w:r>
      <w:r w:rsidR="005F5A26" w:rsidRPr="008F4B6A">
        <w:t>note that companies</w:t>
      </w:r>
      <w:r w:rsidR="004F19D8" w:rsidRPr="008F4B6A">
        <w:t xml:space="preserve"> may</w:t>
      </w:r>
      <w:r w:rsidR="005F5A26" w:rsidRPr="008F4B6A">
        <w:t xml:space="preserve"> comply with regulations </w:t>
      </w:r>
      <w:r w:rsidR="004F19D8" w:rsidRPr="008F4B6A">
        <w:t>through</w:t>
      </w:r>
      <w:r w:rsidR="005F5A26" w:rsidRPr="008F4B6A">
        <w:t xml:space="preserve"> ‘getting by’ and ‘keeping the regulators happy</w:t>
      </w:r>
      <w:r w:rsidR="004F19D8" w:rsidRPr="008F4B6A">
        <w:t>’</w:t>
      </w:r>
      <w:r w:rsidR="005F5A26" w:rsidRPr="008F4B6A">
        <w:t xml:space="preserve"> (</w:t>
      </w:r>
      <w:r w:rsidR="007D275C" w:rsidRPr="008F4B6A">
        <w:t>Jackman</w:t>
      </w:r>
      <w:r w:rsidR="00B23A8A">
        <w:t>,</w:t>
      </w:r>
      <w:r w:rsidR="00D358A3">
        <w:t xml:space="preserve"> </w:t>
      </w:r>
      <w:r w:rsidR="00E54DBA" w:rsidRPr="008F4B6A">
        <w:t>2</w:t>
      </w:r>
      <w:r w:rsidR="007D275C" w:rsidRPr="008F4B6A">
        <w:t>001)</w:t>
      </w:r>
      <w:r w:rsidR="005F5A26" w:rsidRPr="008F4B6A">
        <w:t>.</w:t>
      </w:r>
      <w:r w:rsidR="00E54DBA" w:rsidRPr="008F4B6A">
        <w:t xml:space="preserve"> </w:t>
      </w:r>
      <w:r w:rsidR="00BC2213" w:rsidRPr="008F4B6A">
        <w:t xml:space="preserve"> </w:t>
      </w:r>
      <w:r w:rsidR="00930DBC" w:rsidRPr="008F4B6A">
        <w:t xml:space="preserve">Clearly, this cannot only </w:t>
      </w:r>
      <w:r w:rsidR="004F19D8" w:rsidRPr="008F4B6A">
        <w:t>occur through</w:t>
      </w:r>
      <w:r w:rsidR="00930DBC" w:rsidRPr="008F4B6A">
        <w:t xml:space="preserve"> coercive pressures</w:t>
      </w:r>
      <w:r w:rsidR="004F19D8" w:rsidRPr="008F4B6A">
        <w:t xml:space="preserve"> alone</w:t>
      </w:r>
      <w:r w:rsidR="00930DBC" w:rsidRPr="008F4B6A">
        <w:t>, but with normative pressures</w:t>
      </w:r>
      <w:r w:rsidR="0077796D">
        <w:t>, promoted by the regulators</w:t>
      </w:r>
      <w:r w:rsidR="00930DBC" w:rsidRPr="008F4B6A">
        <w:t xml:space="preserve"> </w:t>
      </w:r>
      <w:r w:rsidR="000E6B3B">
        <w:t>in the form of ‘manageable levers’</w:t>
      </w:r>
      <w:r w:rsidR="00930DBC" w:rsidRPr="008F4B6A">
        <w:t xml:space="preserve"> give a more meaningful reason to comply</w:t>
      </w:r>
      <w:r w:rsidR="000E6B3B">
        <w:t xml:space="preserve"> (FCA, 2017)</w:t>
      </w:r>
      <w:r w:rsidR="004F19D8" w:rsidRPr="008F4B6A">
        <w:t>.</w:t>
      </w:r>
      <w:r w:rsidR="00930DBC" w:rsidRPr="008F4B6A">
        <w:t xml:space="preserve"> </w:t>
      </w:r>
      <w:r w:rsidR="004F19D8" w:rsidRPr="008F4B6A">
        <w:t>T</w:t>
      </w:r>
      <w:r w:rsidR="00930DBC" w:rsidRPr="008F4B6A">
        <w:t>his could happen through developing a partnership between the ‘regulator and the regulated’ (</w:t>
      </w:r>
      <w:r w:rsidR="00D358A3">
        <w:t>Edwards and Wolfe</w:t>
      </w:r>
      <w:r w:rsidR="00B23A8A">
        <w:t>,</w:t>
      </w:r>
      <w:r w:rsidR="00753B70" w:rsidRPr="008F4B6A">
        <w:t xml:space="preserve"> 2005,</w:t>
      </w:r>
      <w:r w:rsidR="00CB0281" w:rsidRPr="008F4B6A">
        <w:t xml:space="preserve"> </w:t>
      </w:r>
      <w:r w:rsidR="00930DBC" w:rsidRPr="008F4B6A">
        <w:t xml:space="preserve">p. 52). </w:t>
      </w:r>
      <w:r w:rsidR="007D275C" w:rsidRPr="008F4B6A">
        <w:t>Th</w:t>
      </w:r>
      <w:r w:rsidR="00753B70" w:rsidRPr="008F4B6A">
        <w:t xml:space="preserve">is </w:t>
      </w:r>
      <w:r w:rsidR="007D275C" w:rsidRPr="008F4B6A">
        <w:t xml:space="preserve">link to </w:t>
      </w:r>
      <w:r w:rsidR="00F8598F" w:rsidRPr="008F4B6A">
        <w:t>a</w:t>
      </w:r>
      <w:r w:rsidR="007D275C" w:rsidRPr="008F4B6A">
        <w:t xml:space="preserve"> </w:t>
      </w:r>
      <w:r w:rsidR="00A730C2" w:rsidRPr="008F4B6A">
        <w:t xml:space="preserve">normative </w:t>
      </w:r>
      <w:r w:rsidR="00B23A8A">
        <w:t>ethical framework were</w:t>
      </w:r>
      <w:r w:rsidR="007D275C" w:rsidRPr="008F4B6A">
        <w:t xml:space="preserve"> echoed</w:t>
      </w:r>
      <w:r w:rsidR="00B23A8A">
        <w:t xml:space="preserve"> earlier</w:t>
      </w:r>
      <w:r w:rsidR="007D275C" w:rsidRPr="008F4B6A">
        <w:t xml:space="preserve"> in </w:t>
      </w:r>
      <w:r w:rsidR="00BC2213" w:rsidRPr="00D358A3">
        <w:t xml:space="preserve">practitioner </w:t>
      </w:r>
      <w:r w:rsidR="00D77265" w:rsidRPr="00D358A3">
        <w:t>literature,</w:t>
      </w:r>
      <w:r w:rsidR="00F84319" w:rsidRPr="00D358A3">
        <w:t xml:space="preserve"> which </w:t>
      </w:r>
      <w:r w:rsidR="00F84319" w:rsidRPr="008F4B6A">
        <w:t xml:space="preserve">prioritise the need for an ethical </w:t>
      </w:r>
      <w:r w:rsidR="00663E9D" w:rsidRPr="008F4B6A">
        <w:t>motive</w:t>
      </w:r>
      <w:r w:rsidR="00F84319" w:rsidRPr="008F4B6A">
        <w:t xml:space="preserve"> to compliance culture (</w:t>
      </w:r>
      <w:r w:rsidR="00096BF7" w:rsidRPr="008F4B6A">
        <w:t>Newton</w:t>
      </w:r>
      <w:r w:rsidR="00B23A8A">
        <w:t>,</w:t>
      </w:r>
      <w:r w:rsidR="00F84319" w:rsidRPr="008F4B6A">
        <w:t xml:space="preserve"> </w:t>
      </w:r>
      <w:r w:rsidR="001A5523" w:rsidRPr="008F4B6A">
        <w:t>2</w:t>
      </w:r>
      <w:r w:rsidR="00F84319" w:rsidRPr="008F4B6A">
        <w:t>0</w:t>
      </w:r>
      <w:r w:rsidR="001A5523" w:rsidRPr="008F4B6A">
        <w:t>01</w:t>
      </w:r>
      <w:r w:rsidR="00F84319" w:rsidRPr="008F4B6A">
        <w:t>,</w:t>
      </w:r>
      <w:r w:rsidR="004F19D8" w:rsidRPr="008F4B6A">
        <w:t xml:space="preserve"> </w:t>
      </w:r>
      <w:r w:rsidR="00F84319" w:rsidRPr="008F4B6A">
        <w:t xml:space="preserve">p.3). </w:t>
      </w:r>
      <w:r w:rsidR="00663E9D" w:rsidRPr="008F4B6A">
        <w:t>H</w:t>
      </w:r>
      <w:r w:rsidR="006048CD" w:rsidRPr="008F4B6A">
        <w:t>ighlight</w:t>
      </w:r>
      <w:r w:rsidR="00663E9D" w:rsidRPr="008F4B6A">
        <w:t>ing</w:t>
      </w:r>
      <w:r w:rsidR="006048CD" w:rsidRPr="008F4B6A">
        <w:t xml:space="preserve"> the role of normative pressure</w:t>
      </w:r>
      <w:r w:rsidR="00087BBF" w:rsidRPr="008F4B6A">
        <w:t>s</w:t>
      </w:r>
      <w:r w:rsidR="006048CD" w:rsidRPr="008F4B6A">
        <w:t xml:space="preserve">, </w:t>
      </w:r>
      <w:proofErr w:type="spellStart"/>
      <w:r w:rsidR="006048CD" w:rsidRPr="008F4B6A">
        <w:t>Duska</w:t>
      </w:r>
      <w:proofErr w:type="spellEnd"/>
      <w:r w:rsidR="004F19D8" w:rsidRPr="008F4B6A">
        <w:t xml:space="preserve"> </w:t>
      </w:r>
      <w:r w:rsidR="006048CD" w:rsidRPr="008F4B6A">
        <w:t xml:space="preserve">(2011) contends </w:t>
      </w:r>
      <w:r w:rsidR="007D275C" w:rsidRPr="008F4B6A">
        <w:t>that being ethical and following the law are not the same</w:t>
      </w:r>
      <w:r w:rsidR="00DD3CE3" w:rsidRPr="008F4B6A">
        <w:t xml:space="preserve">, </w:t>
      </w:r>
      <w:r w:rsidR="00FF550B" w:rsidRPr="008F4B6A">
        <w:t xml:space="preserve">as </w:t>
      </w:r>
      <w:r w:rsidR="00A730C2" w:rsidRPr="008F4B6A">
        <w:rPr>
          <w:i/>
        </w:rPr>
        <w:t>“It</w:t>
      </w:r>
      <w:r w:rsidR="007D275C" w:rsidRPr="008F4B6A">
        <w:rPr>
          <w:i/>
        </w:rPr>
        <w:t xml:space="preserve"> is not an adequate ethical standard to aspire to get through the day without </w:t>
      </w:r>
      <w:r w:rsidR="00F27604" w:rsidRPr="008F4B6A">
        <w:rPr>
          <w:i/>
        </w:rPr>
        <w:t>being indicted”</w:t>
      </w:r>
      <w:r w:rsidR="00D358A3">
        <w:t xml:space="preserve"> (</w:t>
      </w:r>
      <w:proofErr w:type="spellStart"/>
      <w:r w:rsidR="00D358A3">
        <w:t>Duska</w:t>
      </w:r>
      <w:proofErr w:type="spellEnd"/>
      <w:r w:rsidR="00EF4AB5">
        <w:t>,</w:t>
      </w:r>
      <w:r w:rsidR="00F27604" w:rsidRPr="008F4B6A">
        <w:t xml:space="preserve"> 2011</w:t>
      </w:r>
      <w:r w:rsidR="004F19D8" w:rsidRPr="008F4B6A">
        <w:t>,</w:t>
      </w:r>
      <w:r w:rsidR="00F27604" w:rsidRPr="008F4B6A">
        <w:t xml:space="preserve"> p</w:t>
      </w:r>
      <w:r w:rsidR="007D275C" w:rsidRPr="008F4B6A">
        <w:t>. 22)</w:t>
      </w:r>
      <w:r w:rsidR="002A0A42" w:rsidRPr="008F4B6A">
        <w:t>.</w:t>
      </w:r>
      <w:r w:rsidR="00144C26">
        <w:t xml:space="preserve"> </w:t>
      </w:r>
      <w:r w:rsidR="00B23A8A" w:rsidRPr="00B23A8A">
        <w:t xml:space="preserve">In effect, </w:t>
      </w:r>
      <w:r w:rsidR="00144C26" w:rsidRPr="00B23A8A">
        <w:t>normative pressures play an active role in the social construction of the l</w:t>
      </w:r>
      <w:r w:rsidR="005D4172">
        <w:t>egitimation process (</w:t>
      </w:r>
      <w:proofErr w:type="spellStart"/>
      <w:r w:rsidR="005D4172">
        <w:t>Suddaby</w:t>
      </w:r>
      <w:proofErr w:type="spellEnd"/>
      <w:r w:rsidR="005D4172">
        <w:t xml:space="preserve"> et al.</w:t>
      </w:r>
      <w:r w:rsidR="00144C26" w:rsidRPr="00B23A8A">
        <w:t xml:space="preserve"> 2017), which affects the professional conduct of individuals and hence the existence of a compliance culture within firms. Here, as Human and </w:t>
      </w:r>
      <w:proofErr w:type="spellStart"/>
      <w:r w:rsidR="00144C26" w:rsidRPr="00B23A8A">
        <w:t>Provan</w:t>
      </w:r>
      <w:proofErr w:type="spellEnd"/>
      <w:r w:rsidR="00144C26" w:rsidRPr="00B23A8A">
        <w:t xml:space="preserve"> (2000) shows, the process of legitimation is “not a monolithic or universal construct but, rather, varied as the field matured and emphasized different aspects of the organizational </w:t>
      </w:r>
      <w:r w:rsidR="005D4172">
        <w:t>network over time.” (</w:t>
      </w:r>
      <w:proofErr w:type="spellStart"/>
      <w:r w:rsidR="005D4172">
        <w:t>Suddaby</w:t>
      </w:r>
      <w:proofErr w:type="spellEnd"/>
      <w:r w:rsidR="005D4172">
        <w:t xml:space="preserve"> et</w:t>
      </w:r>
      <w:r w:rsidR="00144C26" w:rsidRPr="00B23A8A">
        <w:t xml:space="preserve"> al. 2017, p.25).</w:t>
      </w:r>
    </w:p>
    <w:p w14:paraId="1D9C4075" w14:textId="7F0BA7DA" w:rsidR="008457A7" w:rsidRPr="001272BE" w:rsidRDefault="008457A7" w:rsidP="00AB1113">
      <w:pPr>
        <w:tabs>
          <w:tab w:val="left" w:pos="1701"/>
        </w:tabs>
        <w:spacing w:line="480" w:lineRule="auto"/>
        <w:jc w:val="both"/>
      </w:pPr>
      <w:r w:rsidRPr="008F4B6A">
        <w:t>Malloy (2003) identified two attitudes of firms</w:t>
      </w:r>
      <w:r w:rsidR="00087BBF" w:rsidRPr="008F4B6A">
        <w:t xml:space="preserve"> to normative ethical pressures</w:t>
      </w:r>
      <w:r w:rsidRPr="008F4B6A">
        <w:t xml:space="preserve">. The first, which adopts a consequentialist normative ethical model, represents one of a rational egoist profit </w:t>
      </w:r>
      <w:proofErr w:type="spellStart"/>
      <w:r w:rsidRPr="008F4B6A">
        <w:t>maximiser</w:t>
      </w:r>
      <w:proofErr w:type="spellEnd"/>
      <w:r w:rsidR="004F19D8" w:rsidRPr="008F4B6A">
        <w:t>;</w:t>
      </w:r>
      <w:r w:rsidRPr="008F4B6A">
        <w:t xml:space="preserve"> obeying laws and regulations only when it is in the firm’s best economic </w:t>
      </w:r>
      <w:r w:rsidR="00E06FC7" w:rsidRPr="008F4B6A">
        <w:t>interest, which</w:t>
      </w:r>
      <w:r w:rsidR="004C13BD" w:rsidRPr="008F4B6A">
        <w:t xml:space="preserve"> serves particular stakeholders who are critical to the </w:t>
      </w:r>
      <w:r w:rsidR="00E06FC7" w:rsidRPr="008F4B6A">
        <w:t>existence of the firm such as regulators and shareholders</w:t>
      </w:r>
      <w:r w:rsidRPr="008F4B6A">
        <w:t xml:space="preserve">. </w:t>
      </w:r>
      <w:r w:rsidR="00144C26" w:rsidRPr="001272BE">
        <w:t xml:space="preserve">This essentialist stance is more congruent with conceiving legitimacy as a property rather than a process. </w:t>
      </w:r>
      <w:r w:rsidRPr="001272BE">
        <w:t xml:space="preserve">The </w:t>
      </w:r>
      <w:r w:rsidRPr="008F4B6A">
        <w:t xml:space="preserve">second, adopts a non- consequentialist normative model, where the firm </w:t>
      </w:r>
      <w:r w:rsidRPr="008F4B6A">
        <w:lastRenderedPageBreak/>
        <w:t>abid</w:t>
      </w:r>
      <w:r w:rsidR="00083659" w:rsidRPr="008F4B6A">
        <w:t>e</w:t>
      </w:r>
      <w:r w:rsidRPr="008F4B6A">
        <w:t>s with laws and beyond as matter of being duty bound and in good faith despite struggling with increasingly complicated and contradictory laws and regulation.</w:t>
      </w:r>
      <w:r w:rsidR="00E06FC7" w:rsidRPr="008F4B6A">
        <w:t xml:space="preserve"> Clearly, this attitude, does not take into account any </w:t>
      </w:r>
      <w:r w:rsidR="00E70183" w:rsidRPr="008F4B6A">
        <w:t>consequences</w:t>
      </w:r>
      <w:r w:rsidR="00E06FC7" w:rsidRPr="008F4B6A">
        <w:t xml:space="preserve"> regarding the firm or its affected stakeholder. </w:t>
      </w:r>
      <w:r w:rsidRPr="008F4B6A">
        <w:t xml:space="preserve"> Realistically, and paying attention that compliance ca</w:t>
      </w:r>
      <w:r w:rsidR="003077D0">
        <w:t>n only happen at a cost (Malloy</w:t>
      </w:r>
      <w:r w:rsidR="005D4172">
        <w:t>,</w:t>
      </w:r>
      <w:r w:rsidRPr="008F4B6A">
        <w:t xml:space="preserve"> 2003), the model of the firm behaviour as a rational profit </w:t>
      </w:r>
      <w:proofErr w:type="spellStart"/>
      <w:r w:rsidRPr="008F4B6A">
        <w:t>maximiser</w:t>
      </w:r>
      <w:proofErr w:type="spellEnd"/>
      <w:r w:rsidRPr="008F4B6A">
        <w:t xml:space="preserve"> would have prevalence</w:t>
      </w:r>
      <w:r w:rsidR="001935BA">
        <w:t xml:space="preserve"> </w:t>
      </w:r>
      <w:r w:rsidR="001935BA" w:rsidRPr="003077D0">
        <w:t>in reality</w:t>
      </w:r>
      <w:r w:rsidRPr="003077D0">
        <w:t xml:space="preserve">, as managers </w:t>
      </w:r>
      <w:r w:rsidRPr="008F4B6A">
        <w:t xml:space="preserve">analyse ‘regulation via a prism of costs and </w:t>
      </w:r>
      <w:r w:rsidR="001272BE">
        <w:t>gains’ whilst appreciating the “</w:t>
      </w:r>
      <w:r w:rsidRPr="008F4B6A">
        <w:t>commercial and reputational gains that can be extracted from effec</w:t>
      </w:r>
      <w:r w:rsidR="001272BE">
        <w:t>tive compliance systems”</w:t>
      </w:r>
      <w:r w:rsidR="003077D0">
        <w:t xml:space="preserve"> (Gilad</w:t>
      </w:r>
      <w:r w:rsidR="001272BE">
        <w:t>,</w:t>
      </w:r>
      <w:r w:rsidRPr="008F4B6A">
        <w:t xml:space="preserve"> 2011, p. 310</w:t>
      </w:r>
      <w:r w:rsidRPr="001272BE">
        <w:t xml:space="preserve">). </w:t>
      </w:r>
      <w:r w:rsidR="00840BAB" w:rsidRPr="001272BE">
        <w:t>However, the</w:t>
      </w:r>
      <w:r w:rsidRPr="001272BE">
        <w:t xml:space="preserve"> </w:t>
      </w:r>
      <w:r w:rsidRPr="008F4B6A">
        <w:t>complexity of real world</w:t>
      </w:r>
      <w:r w:rsidR="00AB1113">
        <w:t xml:space="preserve"> </w:t>
      </w:r>
      <w:r w:rsidR="000E4B46" w:rsidRPr="001272BE">
        <w:t xml:space="preserve">could </w:t>
      </w:r>
      <w:r w:rsidR="000E4B46" w:rsidRPr="008F4B6A">
        <w:t>make</w:t>
      </w:r>
      <w:r w:rsidRPr="008F4B6A">
        <w:t xml:space="preserve"> it difficult to make a compliance decision p</w:t>
      </w:r>
      <w:r w:rsidR="001272BE">
        <w:t>urely on cost vs. ethical basis.</w:t>
      </w:r>
      <w:r w:rsidRPr="008F4B6A">
        <w:t xml:space="preserve"> Nielsen and Parker (2012) argue that compliance can be driven by three different motives: Economic (maximising economic utility), Social (earning approval and respect</w:t>
      </w:r>
      <w:r w:rsidR="0002350A" w:rsidRPr="008F4B6A">
        <w:t xml:space="preserve"> from stakeholders</w:t>
      </w:r>
      <w:r w:rsidRPr="008F4B6A">
        <w:t>) and Normative (doing the right thing). Nielson and Parker (2012) suggest that each business would be holding a ‘plural of motives’ along this basis.  Finally, the extant literature identifies that compliant behaviour might face certain barriers such as: perceived incentives to comply (incentives and sanctions, monitoring problems, and enforcement problems); willingness to comply (information and cognition problems, attitude and belief problems and peer effects); and capacity to comply (including resource and autonomy pro</w:t>
      </w:r>
      <w:r w:rsidR="003077D0">
        <w:t>blems) (Weaver</w:t>
      </w:r>
      <w:r w:rsidR="001272BE">
        <w:t>,</w:t>
      </w:r>
      <w:r w:rsidR="00285786">
        <w:t xml:space="preserve"> 2014</w:t>
      </w:r>
      <w:r w:rsidRPr="008F4B6A">
        <w:t xml:space="preserve">). </w:t>
      </w:r>
      <w:r w:rsidR="00AB1113">
        <w:t xml:space="preserve"> </w:t>
      </w:r>
      <w:r w:rsidR="00AB1113" w:rsidRPr="001272BE">
        <w:t>These views are consistent with considering that compliance could be based on a multiple dimension legitimacy notion, which is socially constructed by stakeholders including firms</w:t>
      </w:r>
      <w:r w:rsidR="001272BE">
        <w:t xml:space="preserve"> and</w:t>
      </w:r>
      <w:r w:rsidR="005D4172">
        <w:t xml:space="preserve"> regulators (</w:t>
      </w:r>
      <w:proofErr w:type="spellStart"/>
      <w:r w:rsidR="005D4172">
        <w:t>Suddaby</w:t>
      </w:r>
      <w:proofErr w:type="spellEnd"/>
      <w:r w:rsidR="005D4172">
        <w:t xml:space="preserve"> et </w:t>
      </w:r>
      <w:r w:rsidR="00AB1113" w:rsidRPr="001272BE">
        <w:t>al. 2017).</w:t>
      </w:r>
    </w:p>
    <w:p w14:paraId="4DA1C21A" w14:textId="0C13CAC7" w:rsidR="006303B7" w:rsidRPr="008F4B6A" w:rsidRDefault="00741335" w:rsidP="00D82B0C">
      <w:pPr>
        <w:tabs>
          <w:tab w:val="left" w:pos="1701"/>
        </w:tabs>
        <w:spacing w:line="480" w:lineRule="auto"/>
        <w:jc w:val="both"/>
      </w:pPr>
      <w:r w:rsidRPr="008F4B6A">
        <w:t xml:space="preserve">For other academics such as </w:t>
      </w:r>
      <w:r w:rsidR="006303B7" w:rsidRPr="008F4B6A">
        <w:t>Harvey and Bosworth-Davies (2013</w:t>
      </w:r>
      <w:r w:rsidR="00A565AF" w:rsidRPr="008F4B6A">
        <w:t>, p. 5</w:t>
      </w:r>
      <w:r w:rsidR="006303B7" w:rsidRPr="008F4B6A">
        <w:t>)</w:t>
      </w:r>
      <w:r w:rsidRPr="008F4B6A">
        <w:t xml:space="preserve">, </w:t>
      </w:r>
      <w:r w:rsidR="00C91C68" w:rsidRPr="008F4B6A">
        <w:t>compliance</w:t>
      </w:r>
      <w:r w:rsidR="00135E41" w:rsidRPr="008F4B6A">
        <w:t xml:space="preserve"> is a matter of culture, which stands as ‘taken for granted’ and unquestioned values that become</w:t>
      </w:r>
      <w:r w:rsidR="00C91C68" w:rsidRPr="008F4B6A">
        <w:t xml:space="preserve"> embedded within organisations to an extent when procedures/guidelines are no longer necessary.</w:t>
      </w:r>
      <w:r w:rsidR="00515E4E" w:rsidRPr="008F4B6A">
        <w:t xml:space="preserve"> These </w:t>
      </w:r>
      <w:r w:rsidR="00FC349E" w:rsidRPr="008F4B6A">
        <w:t>models</w:t>
      </w:r>
      <w:r w:rsidR="00515E4E" w:rsidRPr="008F4B6A">
        <w:t xml:space="preserve"> can be linked clearly to the literature around compliance culture, with the underlying commitment to compliance through </w:t>
      </w:r>
      <w:r w:rsidR="00A565AF" w:rsidRPr="008F4B6A">
        <w:t>improved</w:t>
      </w:r>
      <w:r w:rsidR="00515E4E" w:rsidRPr="008F4B6A">
        <w:t xml:space="preserve"> organisational culture. Although the responsibility for compliance ultimately remains with the board, compliance occurs naturally through the engagement of staff through </w:t>
      </w:r>
      <w:r w:rsidR="00A730C2" w:rsidRPr="008F4B6A">
        <w:t>normative</w:t>
      </w:r>
      <w:r w:rsidR="00515E4E" w:rsidRPr="008F4B6A">
        <w:t xml:space="preserve"> ethical adoption of compliance culture.</w:t>
      </w:r>
      <w:r w:rsidR="00FC349E" w:rsidRPr="008F4B6A">
        <w:t xml:space="preserve"> This is </w:t>
      </w:r>
      <w:r w:rsidR="00A565AF" w:rsidRPr="008F4B6A">
        <w:t xml:space="preserve">in direct contrast to </w:t>
      </w:r>
      <w:r w:rsidR="000E1EB5" w:rsidRPr="008F4B6A">
        <w:t>‘</w:t>
      </w:r>
      <w:r w:rsidR="00FC349E" w:rsidRPr="008F4B6A">
        <w:t xml:space="preserve">passive </w:t>
      </w:r>
      <w:r w:rsidR="00FC349E" w:rsidRPr="008F4B6A">
        <w:lastRenderedPageBreak/>
        <w:t>compliance</w:t>
      </w:r>
      <w:r w:rsidR="000E1EB5" w:rsidRPr="008F4B6A">
        <w:t>’</w:t>
      </w:r>
      <w:r w:rsidR="00FC349E" w:rsidRPr="008F4B6A">
        <w:t xml:space="preserve"> whereby minimal compliance is </w:t>
      </w:r>
      <w:r w:rsidR="00A565AF" w:rsidRPr="008F4B6A">
        <w:t xml:space="preserve">sought at minimal expense in a </w:t>
      </w:r>
      <w:r w:rsidR="000E1EB5" w:rsidRPr="008F4B6A">
        <w:t>‘</w:t>
      </w:r>
      <w:r w:rsidR="00A565AF" w:rsidRPr="008F4B6A">
        <w:t>reactive</w:t>
      </w:r>
      <w:r w:rsidR="000E1EB5" w:rsidRPr="008F4B6A">
        <w:t>’</w:t>
      </w:r>
      <w:r w:rsidR="00FC349E" w:rsidRPr="008F4B6A">
        <w:t xml:space="preserve"> fashion, with no improvemen</w:t>
      </w:r>
      <w:r w:rsidR="003077D0">
        <w:t>t of conduct of business (Crump</w:t>
      </w:r>
      <w:r w:rsidR="00FC349E" w:rsidRPr="008F4B6A">
        <w:t xml:space="preserve"> 2007).</w:t>
      </w:r>
      <w:r w:rsidR="0082467E" w:rsidRPr="008F4B6A">
        <w:t xml:space="preserve"> </w:t>
      </w:r>
      <w:r w:rsidR="00466A89">
        <w:t xml:space="preserve">This is also discussed by </w:t>
      </w:r>
      <w:proofErr w:type="spellStart"/>
      <w:r w:rsidR="00466A89">
        <w:t>Zaal</w:t>
      </w:r>
      <w:proofErr w:type="spellEnd"/>
      <w:r w:rsidR="005D4172">
        <w:t xml:space="preserve"> et al.</w:t>
      </w:r>
      <w:r w:rsidR="00466A89">
        <w:t xml:space="preserve"> (2017), who highlights that there is a distinction between integrity and compliance, but that both approaches are relevant and complementary within organisations. </w:t>
      </w:r>
      <w:r w:rsidR="00C01FEB">
        <w:t>Thus,</w:t>
      </w:r>
      <w:r w:rsidR="00466A89">
        <w:t xml:space="preserve"> if only ‘passive compliance’ is in place, and no integrity or normative ethical adoption of compliance culture, then compliance frameworks will break down.</w:t>
      </w:r>
    </w:p>
    <w:p w14:paraId="774AA7C5" w14:textId="38D60785" w:rsidR="00FE4766" w:rsidRPr="008F4B6A" w:rsidRDefault="00FE4766" w:rsidP="007F422F">
      <w:pPr>
        <w:spacing w:line="480" w:lineRule="auto"/>
        <w:jc w:val="both"/>
      </w:pPr>
      <w:r w:rsidRPr="008F4B6A">
        <w:t xml:space="preserve">Here, </w:t>
      </w:r>
      <w:r w:rsidR="00761885" w:rsidRPr="008F4B6A">
        <w:t xml:space="preserve">as the literature review shows, </w:t>
      </w:r>
      <w:r w:rsidRPr="008F4B6A">
        <w:t xml:space="preserve">compliance culture is </w:t>
      </w:r>
      <w:r w:rsidR="00761885" w:rsidRPr="008F4B6A">
        <w:t xml:space="preserve">a </w:t>
      </w:r>
      <w:r w:rsidRPr="008F4B6A">
        <w:t xml:space="preserve">complicated </w:t>
      </w:r>
      <w:r w:rsidR="00761885" w:rsidRPr="008F4B6A">
        <w:t>concept</w:t>
      </w:r>
      <w:r w:rsidR="00804D20" w:rsidRPr="008F4B6A">
        <w:t>,</w:t>
      </w:r>
      <w:r w:rsidR="00761885" w:rsidRPr="008F4B6A">
        <w:t xml:space="preserve"> which is socially constructed by the interaction of financial institutions and the environment where they are operating. </w:t>
      </w:r>
      <w:r w:rsidR="00C01FEB" w:rsidRPr="008F4B6A">
        <w:t>Thus,</w:t>
      </w:r>
      <w:r w:rsidR="00761885" w:rsidRPr="008F4B6A">
        <w:t xml:space="preserve"> understanding such concept requires </w:t>
      </w:r>
      <w:r w:rsidR="00891EF5" w:rsidRPr="008F4B6A">
        <w:t xml:space="preserve">devising an analytical approach that </w:t>
      </w:r>
      <w:r w:rsidR="00761885" w:rsidRPr="008F4B6A">
        <w:t xml:space="preserve">pays attention to </w:t>
      </w:r>
      <w:r w:rsidR="00891EF5" w:rsidRPr="008F4B6A">
        <w:t>its dynamic</w:t>
      </w:r>
      <w:r w:rsidR="00761885" w:rsidRPr="008F4B6A">
        <w:t xml:space="preserve"> and </w:t>
      </w:r>
      <w:r w:rsidR="00891EF5" w:rsidRPr="008F4B6A">
        <w:t xml:space="preserve">context specific nature which determines how </w:t>
      </w:r>
      <w:r w:rsidR="00E258D9" w:rsidRPr="008F4B6A">
        <w:t xml:space="preserve">it </w:t>
      </w:r>
      <w:r w:rsidR="00891EF5" w:rsidRPr="008F4B6A">
        <w:t>is d</w:t>
      </w:r>
      <w:r w:rsidR="003077D0">
        <w:t>iffused in the field (</w:t>
      </w:r>
      <w:proofErr w:type="spellStart"/>
      <w:r w:rsidR="003077D0">
        <w:t>Meidinger</w:t>
      </w:r>
      <w:proofErr w:type="spellEnd"/>
      <w:r w:rsidR="00861388">
        <w:t>,</w:t>
      </w:r>
      <w:r w:rsidR="003077D0">
        <w:t xml:space="preserve"> </w:t>
      </w:r>
      <w:r w:rsidR="00891EF5" w:rsidRPr="008F4B6A">
        <w:t>1987).  This research fills the gap in the extant literature by investigating compliance culture from the financial institutions perspective rather than regulator’s perspective</w:t>
      </w:r>
      <w:r w:rsidR="00AB1113">
        <w:t xml:space="preserve"> </w:t>
      </w:r>
      <w:r w:rsidR="00AB1113" w:rsidRPr="00861388">
        <w:t>only</w:t>
      </w:r>
      <w:r w:rsidR="00891EF5" w:rsidRPr="00861388">
        <w:t xml:space="preserve"> </w:t>
      </w:r>
      <w:r w:rsidR="00CD567F" w:rsidRPr="008F4B6A">
        <w:t>(</w:t>
      </w:r>
      <w:r w:rsidR="00891EF5" w:rsidRPr="008F4B6A">
        <w:t xml:space="preserve">O’Brien </w:t>
      </w:r>
      <w:r w:rsidR="005D42E6">
        <w:t>et al.</w:t>
      </w:r>
      <w:r w:rsidR="00891EF5" w:rsidRPr="008F4B6A">
        <w:t xml:space="preserve"> 2014; Ring </w:t>
      </w:r>
      <w:r w:rsidR="005D42E6">
        <w:t>et al.</w:t>
      </w:r>
      <w:r w:rsidR="00891EF5" w:rsidRPr="008F4B6A">
        <w:t xml:space="preserve"> 201</w:t>
      </w:r>
      <w:r w:rsidR="00A160C2">
        <w:t>6</w:t>
      </w:r>
      <w:r w:rsidR="00891EF5" w:rsidRPr="008F4B6A">
        <w:t>).</w:t>
      </w:r>
      <w:r w:rsidR="005432DA" w:rsidRPr="008F4B6A">
        <w:t xml:space="preserve"> </w:t>
      </w:r>
      <w:r w:rsidR="00CD567F" w:rsidRPr="008F4B6A">
        <w:t>The analysis here is underpinned by the i</w:t>
      </w:r>
      <w:r w:rsidR="00E12E32" w:rsidRPr="008F4B6A">
        <w:t xml:space="preserve">nstitutional theory </w:t>
      </w:r>
      <w:r w:rsidR="003077D0">
        <w:t>(DiMaggio and Powell</w:t>
      </w:r>
      <w:r w:rsidR="00861388">
        <w:t>,</w:t>
      </w:r>
      <w:r w:rsidR="003077D0">
        <w:t xml:space="preserve"> 1983; </w:t>
      </w:r>
      <w:proofErr w:type="spellStart"/>
      <w:r w:rsidR="003077D0">
        <w:t>Perezts</w:t>
      </w:r>
      <w:proofErr w:type="spellEnd"/>
      <w:r w:rsidR="003077D0">
        <w:t xml:space="preserve"> and Picard</w:t>
      </w:r>
      <w:r w:rsidR="00861388">
        <w:t>,</w:t>
      </w:r>
      <w:r w:rsidR="00CD567F" w:rsidRPr="008F4B6A">
        <w:t xml:space="preserve"> 201</w:t>
      </w:r>
      <w:r w:rsidR="009C0CBA">
        <w:t>5</w:t>
      </w:r>
      <w:r w:rsidR="00CD567F" w:rsidRPr="008F4B6A">
        <w:t xml:space="preserve">; </w:t>
      </w:r>
      <w:proofErr w:type="spellStart"/>
      <w:r w:rsidR="00CD567F" w:rsidRPr="008F4B6A">
        <w:t>Fashola</w:t>
      </w:r>
      <w:proofErr w:type="spellEnd"/>
      <w:r w:rsidR="00861388">
        <w:t>,</w:t>
      </w:r>
      <w:r w:rsidR="00CD567F" w:rsidRPr="008F4B6A">
        <w:t xml:space="preserve"> 2014)</w:t>
      </w:r>
      <w:r w:rsidR="00AB1113">
        <w:t xml:space="preserve"> </w:t>
      </w:r>
      <w:r w:rsidR="00AB1113" w:rsidRPr="00861388">
        <w:t>and varying notions of legitimacy (</w:t>
      </w:r>
      <w:proofErr w:type="spellStart"/>
      <w:r w:rsidR="00AB1113" w:rsidRPr="00861388">
        <w:t>Suddaby</w:t>
      </w:r>
      <w:proofErr w:type="spellEnd"/>
      <w:r w:rsidR="00AB1113" w:rsidRPr="00861388">
        <w:t xml:space="preserve"> et al. 2017).</w:t>
      </w:r>
      <w:r w:rsidR="00CD567F" w:rsidRPr="00861388">
        <w:t xml:space="preserve"> We </w:t>
      </w:r>
      <w:r w:rsidR="00CD567F" w:rsidRPr="008F4B6A">
        <w:t xml:space="preserve">pay attention to </w:t>
      </w:r>
      <w:r w:rsidR="00E12E32" w:rsidRPr="008F4B6A">
        <w:t xml:space="preserve">the isomorphic processes of </w:t>
      </w:r>
      <w:r w:rsidR="00B90751" w:rsidRPr="008F4B6A">
        <w:t>coercion</w:t>
      </w:r>
      <w:r w:rsidR="00E12E32" w:rsidRPr="008F4B6A">
        <w:t>, mimetic</w:t>
      </w:r>
      <w:r w:rsidR="00FB1D04" w:rsidRPr="008F4B6A">
        <w:t xml:space="preserve"> and normative</w:t>
      </w:r>
      <w:r w:rsidR="002F7FD9" w:rsidRPr="008F4B6A">
        <w:t xml:space="preserve"> action</w:t>
      </w:r>
      <w:r w:rsidR="00CD567F" w:rsidRPr="008F4B6A">
        <w:t>s</w:t>
      </w:r>
      <w:r w:rsidR="002F7FD9" w:rsidRPr="008F4B6A">
        <w:t xml:space="preserve"> (</w:t>
      </w:r>
      <w:r w:rsidR="003077D0">
        <w:t>DiMaggio and Powell</w:t>
      </w:r>
      <w:r w:rsidR="00861388">
        <w:t>,</w:t>
      </w:r>
      <w:r w:rsidR="00CD567F" w:rsidRPr="008F4B6A">
        <w:t xml:space="preserve"> 1983</w:t>
      </w:r>
      <w:r w:rsidR="002F7FD9" w:rsidRPr="008F4B6A">
        <w:t>)</w:t>
      </w:r>
      <w:r w:rsidR="00B751C1">
        <w:t xml:space="preserve"> </w:t>
      </w:r>
      <w:r w:rsidR="00B751C1" w:rsidRPr="00861388">
        <w:t>and their legitimating effect</w:t>
      </w:r>
      <w:r w:rsidR="00CD567F" w:rsidRPr="00861388">
        <w:t>.</w:t>
      </w:r>
      <w:r w:rsidR="00FB1D04" w:rsidRPr="00861388">
        <w:t xml:space="preserve"> </w:t>
      </w:r>
      <w:r w:rsidR="00CD567F" w:rsidRPr="008F4B6A">
        <w:t xml:space="preserve">More specifically, this paper investigates, first, </w:t>
      </w:r>
      <w:r w:rsidR="00B90751" w:rsidRPr="008F4B6A">
        <w:t>the role of coercion by the regulators (in the UK, the FCA) through issue of fines, and the resulting impact on the violators</w:t>
      </w:r>
      <w:r w:rsidR="00CD567F" w:rsidRPr="008F4B6A">
        <w:t>. Second, t</w:t>
      </w:r>
      <w:r w:rsidR="00FA0605" w:rsidRPr="008F4B6A">
        <w:t>he</w:t>
      </w:r>
      <w:r w:rsidR="00861388">
        <w:t xml:space="preserve"> resulting response from the violators and the impact on</w:t>
      </w:r>
      <w:r w:rsidR="00FA0605" w:rsidRPr="008F4B6A">
        <w:t xml:space="preserve"> </w:t>
      </w:r>
      <w:r w:rsidR="00CD567F" w:rsidRPr="008F4B6A">
        <w:t>role of other financial institutions (</w:t>
      </w:r>
      <w:r w:rsidR="00FA0605" w:rsidRPr="008F4B6A">
        <w:t>mimetic processes</w:t>
      </w:r>
      <w:r w:rsidR="00CD567F" w:rsidRPr="008F4B6A">
        <w:t xml:space="preserve">). </w:t>
      </w:r>
      <w:r w:rsidR="00044A7E" w:rsidRPr="008F4B6A">
        <w:t>Finally</w:t>
      </w:r>
      <w:r w:rsidR="007F422F" w:rsidRPr="008F4B6A">
        <w:t xml:space="preserve">, </w:t>
      </w:r>
      <w:r w:rsidR="007F422F" w:rsidRPr="004B01D7">
        <w:t>the impact of normative</w:t>
      </w:r>
      <w:r w:rsidR="00FA0605" w:rsidRPr="004B01D7">
        <w:t xml:space="preserve"> </w:t>
      </w:r>
      <w:r w:rsidR="00FA0605" w:rsidRPr="008F4B6A">
        <w:t xml:space="preserve">responses are considered, by </w:t>
      </w:r>
      <w:r w:rsidR="00861388">
        <w:t>analys</w:t>
      </w:r>
      <w:r w:rsidR="00FA0605" w:rsidRPr="008F4B6A">
        <w:t>ing the communication to stakeholders using messages about compliance culture</w:t>
      </w:r>
      <w:r w:rsidR="00CD567F" w:rsidRPr="008F4B6A">
        <w:t>.</w:t>
      </w:r>
      <w:r w:rsidR="002F7FD9" w:rsidRPr="008F4B6A">
        <w:t xml:space="preserve"> </w:t>
      </w:r>
      <w:r w:rsidR="00B751C1" w:rsidRPr="00861388">
        <w:t>Inevitably, the paper demonstrates how this dynamic environment impacts the ve</w:t>
      </w:r>
      <w:r w:rsidR="00861388">
        <w:t>ry notion of what legitimacy is.</w:t>
      </w:r>
      <w:r w:rsidR="00B751C1" w:rsidRPr="00861388">
        <w:t xml:space="preserve"> </w:t>
      </w:r>
      <w:r w:rsidR="002F7FD9" w:rsidRPr="008F4B6A">
        <w:t xml:space="preserve">This </w:t>
      </w:r>
      <w:r w:rsidR="00F20932" w:rsidRPr="008F4B6A">
        <w:t>development</w:t>
      </w:r>
      <w:r w:rsidR="002F7FD9" w:rsidRPr="008F4B6A">
        <w:t xml:space="preserve"> and alignment to isomorphic processes has been summarised within Figure 2.</w:t>
      </w:r>
    </w:p>
    <w:p w14:paraId="6D8C1384" w14:textId="77777777" w:rsidR="00A45FCC" w:rsidRPr="008F4B6A" w:rsidRDefault="00A45FCC" w:rsidP="00D82B0C">
      <w:pPr>
        <w:spacing w:line="480" w:lineRule="auto"/>
        <w:jc w:val="both"/>
      </w:pPr>
    </w:p>
    <w:p w14:paraId="1194C588" w14:textId="77777777" w:rsidR="00EB6877" w:rsidRDefault="00EB6877" w:rsidP="00D82B0C">
      <w:pPr>
        <w:pStyle w:val="Caption"/>
        <w:spacing w:line="480" w:lineRule="auto"/>
        <w:rPr>
          <w:color w:val="auto"/>
        </w:rPr>
      </w:pPr>
    </w:p>
    <w:p w14:paraId="4F4F4A45" w14:textId="2A9AD972" w:rsidR="00CD567F" w:rsidRPr="008F4B6A" w:rsidRDefault="00CD567F" w:rsidP="00D82B0C">
      <w:pPr>
        <w:pStyle w:val="Caption"/>
        <w:spacing w:line="480" w:lineRule="auto"/>
        <w:rPr>
          <w:color w:val="auto"/>
        </w:rPr>
      </w:pPr>
      <w:r w:rsidRPr="008F4B6A">
        <w:rPr>
          <w:color w:val="auto"/>
        </w:rPr>
        <w:lastRenderedPageBreak/>
        <w:t xml:space="preserve">Figure </w:t>
      </w:r>
      <w:r w:rsidR="007115E2" w:rsidRPr="008F4B6A">
        <w:rPr>
          <w:color w:val="auto"/>
        </w:rPr>
        <w:fldChar w:fldCharType="begin"/>
      </w:r>
      <w:r w:rsidR="007115E2" w:rsidRPr="008F4B6A">
        <w:rPr>
          <w:color w:val="auto"/>
        </w:rPr>
        <w:instrText xml:space="preserve"> SEQ Figure \* ARABIC </w:instrText>
      </w:r>
      <w:r w:rsidR="007115E2" w:rsidRPr="008F4B6A">
        <w:rPr>
          <w:color w:val="auto"/>
        </w:rPr>
        <w:fldChar w:fldCharType="separate"/>
      </w:r>
      <w:r w:rsidR="004249AB">
        <w:rPr>
          <w:noProof/>
          <w:color w:val="auto"/>
        </w:rPr>
        <w:t>2</w:t>
      </w:r>
      <w:r w:rsidR="007115E2" w:rsidRPr="008F4B6A">
        <w:rPr>
          <w:noProof/>
          <w:color w:val="auto"/>
        </w:rPr>
        <w:fldChar w:fldCharType="end"/>
      </w:r>
      <w:r w:rsidRPr="008F4B6A">
        <w:rPr>
          <w:color w:val="auto"/>
        </w:rPr>
        <w:t xml:space="preserve"> Linking Isomorphic processes to research questions, and analysis of data</w:t>
      </w:r>
    </w:p>
    <w:p w14:paraId="4FA20B44" w14:textId="2E1EAC43" w:rsidR="007D4020" w:rsidRDefault="00EB6877" w:rsidP="00D82B0C">
      <w:pPr>
        <w:spacing w:line="480" w:lineRule="auto"/>
        <w:jc w:val="both"/>
        <w:rPr>
          <w:rFonts w:asciiTheme="majorBidi" w:hAnsiTheme="majorBidi" w:cstheme="majorBidi"/>
          <w:b/>
          <w:bCs/>
          <w:sz w:val="28"/>
          <w:szCs w:val="28"/>
          <w:lang w:eastAsia="en-GB"/>
        </w:rPr>
      </w:pPr>
      <w:r>
        <w:rPr>
          <w:rFonts w:asciiTheme="majorBidi" w:hAnsiTheme="majorBidi" w:cstheme="majorBidi"/>
          <w:b/>
          <w:bCs/>
          <w:noProof/>
          <w:sz w:val="28"/>
          <w:szCs w:val="28"/>
          <w:lang w:eastAsia="en-GB"/>
        </w:rPr>
        <w:drawing>
          <wp:inline distT="0" distB="0" distL="0" distR="0" wp14:anchorId="05DB18FD" wp14:editId="7B560585">
            <wp:extent cx="4572635" cy="3432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32175"/>
                    </a:xfrm>
                    <a:prstGeom prst="rect">
                      <a:avLst/>
                    </a:prstGeom>
                    <a:noFill/>
                  </pic:spPr>
                </pic:pic>
              </a:graphicData>
            </a:graphic>
          </wp:inline>
        </w:drawing>
      </w:r>
    </w:p>
    <w:p w14:paraId="30FFE73D" w14:textId="0952FC34" w:rsidR="00DC271B" w:rsidRPr="008F4B6A" w:rsidRDefault="00DC271B" w:rsidP="00D82B0C">
      <w:pPr>
        <w:spacing w:line="480" w:lineRule="auto"/>
        <w:jc w:val="both"/>
        <w:rPr>
          <w:rFonts w:asciiTheme="majorBidi" w:hAnsiTheme="majorBidi" w:cstheme="majorBidi"/>
          <w:b/>
          <w:bCs/>
          <w:sz w:val="28"/>
          <w:szCs w:val="28"/>
          <w:lang w:eastAsia="en-GB"/>
        </w:rPr>
      </w:pPr>
      <w:r w:rsidRPr="008F4B6A">
        <w:rPr>
          <w:rFonts w:asciiTheme="majorBidi" w:hAnsiTheme="majorBidi" w:cstheme="majorBidi"/>
          <w:b/>
          <w:bCs/>
          <w:sz w:val="28"/>
          <w:szCs w:val="28"/>
          <w:lang w:eastAsia="en-GB"/>
        </w:rPr>
        <w:t>Methodology</w:t>
      </w:r>
    </w:p>
    <w:p w14:paraId="52474DA1" w14:textId="77777777" w:rsidR="00BB72AE" w:rsidRDefault="004E27A4" w:rsidP="004E27A4">
      <w:pPr>
        <w:spacing w:line="480" w:lineRule="auto"/>
        <w:jc w:val="both"/>
      </w:pPr>
      <w:r w:rsidRPr="008F4B6A">
        <w:t xml:space="preserve">This paper undertakes a two-stage longitudinal in-depth website analysis of press releases of 23 non-compliant firms as well as the regulators’ in the period between 2013 and 2016. </w:t>
      </w:r>
      <w:r>
        <w:t xml:space="preserve"> </w:t>
      </w:r>
      <w:r w:rsidRPr="00106C0D">
        <w:t xml:space="preserve">Our data collection and analysis is consistent with Snider et al. (2003) and </w:t>
      </w:r>
      <w:proofErr w:type="spellStart"/>
      <w:r w:rsidRPr="00106C0D">
        <w:t>Schreier</w:t>
      </w:r>
      <w:proofErr w:type="spellEnd"/>
      <w:r w:rsidRPr="00106C0D">
        <w:t xml:space="preserve"> (2012), whereby websites were selected based on the publicly available responses by firms fined (more than </w:t>
      </w:r>
      <w:r w:rsidRPr="008F4B6A">
        <w:t>£0.5 million) by the FCA for compliance culture failing</w:t>
      </w:r>
      <w:r w:rsidR="007F7772">
        <w:t>, and also in contrast firms which have been praised by the regulator for their approach</w:t>
      </w:r>
      <w:r w:rsidRPr="008F4B6A">
        <w:t>.</w:t>
      </w:r>
      <w:r>
        <w:t xml:space="preserve"> </w:t>
      </w:r>
      <w:r w:rsidR="007F7772" w:rsidRPr="007F7772">
        <w:t xml:space="preserve">Appendices </w:t>
      </w:r>
      <w:r w:rsidR="00B33880">
        <w:t xml:space="preserve">1 and 2 list the extracts from FCA press releases and extracts from the respective company websites. The sample was selected from sanctioned firms in 2013/14 (Appendix 1) and sanctioned firms in 2014 to 2016 (Appendix 2) relating to sanctions greater than </w:t>
      </w:r>
      <w:r w:rsidR="007F7772" w:rsidRPr="007F7772">
        <w:t xml:space="preserve">£0.5 million </w:t>
      </w:r>
      <w:r w:rsidR="00B33880">
        <w:t xml:space="preserve">and identifying issues with compliance and culture. </w:t>
      </w:r>
      <w:r>
        <w:t>Table 1 summarises and justifies the sample coverage</w:t>
      </w:r>
      <w:r w:rsidR="00DD0A6A">
        <w:t xml:space="preserve"> of sanctioned firms</w:t>
      </w:r>
      <w:r>
        <w:t xml:space="preserve"> within our analysis.</w:t>
      </w:r>
      <w:r w:rsidR="00DD0A6A">
        <w:t xml:space="preserve"> </w:t>
      </w:r>
      <w:r w:rsidR="007F7772">
        <w:t>Appendices</w:t>
      </w:r>
      <w:r w:rsidR="00DD0A6A">
        <w:t xml:space="preserve"> 3 to 5 have been included to identify a contrasting analysis of positive compliance culture highlighted by the FCA during the period</w:t>
      </w:r>
      <w:r w:rsidR="00BB72AE" w:rsidRPr="00BB72AE">
        <w:t xml:space="preserve"> with</w:t>
      </w:r>
      <w:r w:rsidR="00BB72AE">
        <w:t>in</w:t>
      </w:r>
      <w:r w:rsidR="00BB72AE" w:rsidRPr="00BB72AE">
        <w:t xml:space="preserve"> the </w:t>
      </w:r>
      <w:r w:rsidR="00BB72AE" w:rsidRPr="00BB72AE">
        <w:lastRenderedPageBreak/>
        <w:t>‘Best of British’ Speech (FCA, 2014d)</w:t>
      </w:r>
      <w:r w:rsidR="00DD0A6A">
        <w:t>. The sample here is a smaller number of firms</w:t>
      </w:r>
      <w:r w:rsidR="00BB72AE">
        <w:t xml:space="preserve"> as</w:t>
      </w:r>
      <w:r w:rsidR="00DD0A6A">
        <w:t xml:space="preserve"> identified specifically by the FCA</w:t>
      </w:r>
      <w:r w:rsidR="00DD0A6A">
        <w:rPr>
          <w:rStyle w:val="EndnoteReference"/>
        </w:rPr>
        <w:endnoteReference w:id="10"/>
      </w:r>
      <w:r w:rsidR="00DD0A6A">
        <w:t xml:space="preserve">. </w:t>
      </w:r>
      <w:r w:rsidRPr="008F4B6A">
        <w:t xml:space="preserve"> </w:t>
      </w:r>
    </w:p>
    <w:p w14:paraId="27411898" w14:textId="625BC21A" w:rsidR="004E27A4" w:rsidRPr="00106C0D" w:rsidRDefault="004E27A4" w:rsidP="004E27A4">
      <w:pPr>
        <w:spacing w:line="480" w:lineRule="auto"/>
        <w:jc w:val="both"/>
        <w:rPr>
          <w:b/>
        </w:rPr>
      </w:pPr>
      <w:r>
        <w:t xml:space="preserve">As suggested by Snider et al. (2003) and </w:t>
      </w:r>
      <w:proofErr w:type="spellStart"/>
      <w:r>
        <w:t>Schreier</w:t>
      </w:r>
      <w:proofErr w:type="spellEnd"/>
      <w:r>
        <w:t xml:space="preserve"> (2012), analysis included the following steps: first, </w:t>
      </w:r>
      <w:r w:rsidRPr="008F4B6A">
        <w:t xml:space="preserve">the contents of </w:t>
      </w:r>
      <w:r w:rsidRPr="00790CE7">
        <w:t xml:space="preserve">the press release headlines were reviewed and all cases </w:t>
      </w:r>
      <w:r>
        <w:t>with</w:t>
      </w:r>
      <w:r w:rsidRPr="00790CE7">
        <w:t xml:space="preserve"> sanctions against firms</w:t>
      </w:r>
      <w:r>
        <w:t xml:space="preserve"> or individual</w:t>
      </w:r>
      <w:r w:rsidR="00BB72AE">
        <w:t>s</w:t>
      </w:r>
      <w:r>
        <w:t xml:space="preserve"> were identified. Second, the information </w:t>
      </w:r>
      <w:r w:rsidRPr="00106C0D">
        <w:t xml:space="preserve">was sorted and categorized resulting in the emergence of the following </w:t>
      </w:r>
      <w:r w:rsidR="00BB72AE" w:rsidRPr="00106C0D">
        <w:t>theme</w:t>
      </w:r>
      <w:r w:rsidRPr="00106C0D">
        <w:t xml:space="preserve">s </w:t>
      </w:r>
      <w:r w:rsidRPr="00106C0D">
        <w:rPr>
          <w:i/>
          <w:iCs/>
        </w:rPr>
        <w:t xml:space="preserve">Coercive </w:t>
      </w:r>
      <w:r w:rsidRPr="00481DF4">
        <w:rPr>
          <w:i/>
          <w:iCs/>
        </w:rPr>
        <w:t xml:space="preserve">isomorphism – actions of the regulator pressuring violating banks; Mimetic isomorphism:  violators’ regret statements; Normative isomorphism – learning, adapting, and collaborating in response to sanction; Normative isomorphism in endorsed firms. </w:t>
      </w:r>
      <w:r w:rsidRPr="00481DF4">
        <w:t xml:space="preserve"> </w:t>
      </w:r>
      <w:r w:rsidRPr="00106C0D">
        <w:t>O</w:t>
      </w:r>
      <w:r w:rsidRPr="00106C0D">
        <w:rPr>
          <w:bCs/>
          <w:iCs/>
        </w:rPr>
        <w:t xml:space="preserve">ur </w:t>
      </w:r>
      <w:r w:rsidR="00BB72AE" w:rsidRPr="00106C0D">
        <w:rPr>
          <w:bCs/>
          <w:iCs/>
        </w:rPr>
        <w:t>themes</w:t>
      </w:r>
      <w:r w:rsidRPr="00106C0D">
        <w:rPr>
          <w:bCs/>
          <w:iCs/>
        </w:rPr>
        <w:t xml:space="preserve"> are indeed, driven from data analysis, based on constant comparison of one case to another (S</w:t>
      </w:r>
      <w:r w:rsidR="004E0EBA" w:rsidRPr="00106C0D">
        <w:rPr>
          <w:bCs/>
          <w:iCs/>
        </w:rPr>
        <w:t>ni</w:t>
      </w:r>
      <w:r w:rsidRPr="00106C0D">
        <w:rPr>
          <w:bCs/>
          <w:iCs/>
        </w:rPr>
        <w:t>der et al.</w:t>
      </w:r>
      <w:r w:rsidR="004249AB">
        <w:rPr>
          <w:bCs/>
          <w:iCs/>
        </w:rPr>
        <w:t xml:space="preserve"> </w:t>
      </w:r>
      <w:r w:rsidRPr="00106C0D">
        <w:rPr>
          <w:bCs/>
          <w:iCs/>
        </w:rPr>
        <w:t xml:space="preserve">2003; Strauss and Corbin, 1990), but also guided by an existing theory i.e. institutional theory (Scott 2014). </w:t>
      </w:r>
      <w:proofErr w:type="spellStart"/>
      <w:r w:rsidRPr="00106C0D">
        <w:rPr>
          <w:bCs/>
          <w:iCs/>
        </w:rPr>
        <w:t>Stemler</w:t>
      </w:r>
      <w:proofErr w:type="spellEnd"/>
      <w:r w:rsidRPr="00106C0D">
        <w:rPr>
          <w:bCs/>
          <w:iCs/>
        </w:rPr>
        <w:t xml:space="preserve"> (2001) call these priori coding method, where categories</w:t>
      </w:r>
      <w:r w:rsidR="00BB72AE" w:rsidRPr="00106C0D">
        <w:rPr>
          <w:bCs/>
          <w:iCs/>
        </w:rPr>
        <w:t>/themes</w:t>
      </w:r>
      <w:r w:rsidRPr="00106C0D">
        <w:rPr>
          <w:bCs/>
          <w:iCs/>
        </w:rPr>
        <w:t xml:space="preserve"> are established based on some theory. This serves here as an additional measure of rigorousness as indicated by Harris (2001). It</w:t>
      </w:r>
      <w:r>
        <w:rPr>
          <w:bCs/>
          <w:iCs/>
        </w:rPr>
        <w:t xml:space="preserve"> must be mentioned here was not the discovery of new theory but </w:t>
      </w:r>
      <w:r w:rsidRPr="008F4B6A">
        <w:t xml:space="preserve">to explore the response of violators and investigate whether the institutional pressures namely: coercive, normative and mimetic isomorphism notion could explain these responses. Thus, answering the research question: </w:t>
      </w:r>
      <w:r w:rsidRPr="00106C0D">
        <w:rPr>
          <w:b/>
        </w:rPr>
        <w:t>How is the UK financial institutions’ compliance culture shaped by the institutional environment and changing legitimacy claims?</w:t>
      </w:r>
    </w:p>
    <w:p w14:paraId="07594595" w14:textId="6A73BA09" w:rsidR="004E27A4" w:rsidRDefault="004E27A4" w:rsidP="004E27A4">
      <w:pPr>
        <w:spacing w:line="480" w:lineRule="auto"/>
        <w:jc w:val="both"/>
      </w:pPr>
      <w:r w:rsidRPr="00106C0D">
        <w:t xml:space="preserve"> This is consistent with the objective of QCA </w:t>
      </w:r>
      <w:r>
        <w:t xml:space="preserve">as </w:t>
      </w:r>
      <w:r w:rsidRPr="00790CE7">
        <w:t>a widely used approached in analysing discursive data such webpages and press releases with the aim of “interpret meaning from the content of text data” (Hsieh and Shannon, 2005, p.1277). QCA is also widely used in mainstream management journals (</w:t>
      </w:r>
      <w:r w:rsidR="00EA0710">
        <w:t xml:space="preserve">for examples please see Hite et </w:t>
      </w:r>
      <w:r w:rsidRPr="00790CE7">
        <w:t xml:space="preserve">al. (1988); Harris (2001); Jose et al. (2007); </w:t>
      </w:r>
      <w:proofErr w:type="spellStart"/>
      <w:r w:rsidRPr="00790CE7">
        <w:t>Bodolica</w:t>
      </w:r>
      <w:proofErr w:type="spellEnd"/>
      <w:r w:rsidRPr="00790CE7">
        <w:t xml:space="preserve"> and </w:t>
      </w:r>
      <w:proofErr w:type="spellStart"/>
      <w:r w:rsidRPr="00790CE7">
        <w:t>Spraggon</w:t>
      </w:r>
      <w:proofErr w:type="spellEnd"/>
      <w:r w:rsidRPr="00790CE7">
        <w:t xml:space="preserve"> (2015)).</w:t>
      </w:r>
      <w:r>
        <w:t xml:space="preserve"> </w:t>
      </w:r>
      <w:r w:rsidRPr="00106C0D">
        <w:t>Within QCA, the quality aspects of reliability and validity are carefully observed, which are qualities borrowed from quantitative research (</w:t>
      </w:r>
      <w:proofErr w:type="spellStart"/>
      <w:r w:rsidRPr="00106C0D">
        <w:t>Schreier</w:t>
      </w:r>
      <w:proofErr w:type="spellEnd"/>
      <w:r w:rsidRPr="00106C0D">
        <w:t xml:space="preserve">, 2012). To account for inter-coder reliability, the researchers have followed </w:t>
      </w:r>
      <w:proofErr w:type="spellStart"/>
      <w:r w:rsidRPr="00106C0D">
        <w:t>Schreier’s</w:t>
      </w:r>
      <w:proofErr w:type="spellEnd"/>
      <w:r w:rsidRPr="00106C0D">
        <w:t xml:space="preserve"> (2012) advice regarding achieving consistency and reliability by verifying the coding scheme by the first author revisiting the data and coding at three points of time </w:t>
      </w:r>
      <w:r w:rsidRPr="00106C0D">
        <w:lastRenderedPageBreak/>
        <w:t>as well as discussions between the two authors to see if there is difference in understanding that would affect the coding scheme. In addition, the authors have worked closely on the project as such have established shared meaning of the coding. In the</w:t>
      </w:r>
      <w:r>
        <w:t xml:space="preserve"> case of any differences, e</w:t>
      </w:r>
      <w:r w:rsidRPr="00FD0990">
        <w:t xml:space="preserve">ach coder was asked to revisit </w:t>
      </w:r>
      <w:r>
        <w:t xml:space="preserve">the coding, then a discussion took place to reach final agreement, as such, the categories included are those agreed by the two coders.  According to </w:t>
      </w:r>
      <w:proofErr w:type="spellStart"/>
      <w:r>
        <w:t>Stemler</w:t>
      </w:r>
      <w:proofErr w:type="spellEnd"/>
      <w:r>
        <w:t xml:space="preserve"> (2001) there can be an element of agreement by a chance between the two coders, however, this risk was mitigated by 1) revisiting the </w:t>
      </w:r>
      <w:r w:rsidR="00334724">
        <w:t>themes</w:t>
      </w:r>
      <w:r>
        <w:t xml:space="preserve"> by the coders at different points of time, 2) using theory aligned </w:t>
      </w:r>
      <w:r w:rsidR="003232EC">
        <w:t>them</w:t>
      </w:r>
      <w:r>
        <w:t>es i.e. institutional theory driven</w:t>
      </w:r>
      <w:r w:rsidR="003232EC">
        <w:t xml:space="preserve">, </w:t>
      </w:r>
      <w:r>
        <w:t>and 3)</w:t>
      </w:r>
      <w:r w:rsidR="003232EC">
        <w:t xml:space="preserve"> </w:t>
      </w:r>
      <w:r>
        <w:t xml:space="preserve">discussing any differences between the two coders, with the reported </w:t>
      </w:r>
      <w:r w:rsidR="003232EC">
        <w:t>themes</w:t>
      </w:r>
      <w:r>
        <w:t xml:space="preserve"> fully based on the shared understanding of the two coders.</w:t>
      </w:r>
    </w:p>
    <w:p w14:paraId="06CF07C0" w14:textId="413D6C5A" w:rsidR="004E27A4" w:rsidRPr="0077395E" w:rsidRDefault="004E27A4" w:rsidP="004E27A4">
      <w:pPr>
        <w:spacing w:line="480" w:lineRule="auto"/>
        <w:jc w:val="both"/>
        <w:rPr>
          <w:b/>
          <w:i/>
        </w:rPr>
      </w:pPr>
      <w:r w:rsidRPr="00106C0D">
        <w:t xml:space="preserve">Moreover, </w:t>
      </w:r>
      <w:proofErr w:type="spellStart"/>
      <w:r w:rsidRPr="00106C0D">
        <w:t>Schreier</w:t>
      </w:r>
      <w:proofErr w:type="spellEnd"/>
      <w:r w:rsidRPr="00106C0D">
        <w:t xml:space="preserve"> (2012) indicates that the coding scheme would be valid “to the extent that your categories adequately represent the concepts in your research question” (p. 7).  Here, the main </w:t>
      </w:r>
      <w:r w:rsidR="003F37D5" w:rsidRPr="00106C0D">
        <w:t>themes</w:t>
      </w:r>
      <w:r w:rsidRPr="00106C0D">
        <w:t xml:space="preserve"> of</w:t>
      </w:r>
      <w:r w:rsidR="003F37D5" w:rsidRPr="00106C0D">
        <w:t>:</w:t>
      </w:r>
      <w:r w:rsidRPr="00106C0D">
        <w:t xml:space="preserve">   </w:t>
      </w:r>
      <w:r w:rsidRPr="00106C0D">
        <w:rPr>
          <w:i/>
          <w:iCs/>
        </w:rPr>
        <w:t>Coercive isomorphism – actions of the regulator pressuring violating banks; Mimetic isomorphism:  violators’ regret statements; Normative isomorphism – learning, adapting, and collaborating in response to sanction; Normative isomorphism in endorsed firms</w:t>
      </w:r>
      <w:r w:rsidRPr="00106C0D">
        <w:t xml:space="preserve"> are all valid in addressing the papers’ main question above. This</w:t>
      </w:r>
      <w:r>
        <w:t xml:space="preserve"> paper expands and extends on Ring et al. (2016) qualitative study, which focussed on one year of regulatory sanction notices during 2012 (from a regulatory perspective), to an extended longitudinal review of institutional responses, incorporating institutional theory.</w:t>
      </w:r>
      <w:r w:rsidRPr="008F4B6A">
        <w:t xml:space="preserve"> This compares the public message of firms relating to compliance culture, compared to violations (and resulting fines) that have been reported recently by the FCA. </w:t>
      </w:r>
    </w:p>
    <w:p w14:paraId="4F690114" w14:textId="77777777" w:rsidR="004E27A4" w:rsidRDefault="004E27A4" w:rsidP="004E27A4">
      <w:pPr>
        <w:spacing w:line="480" w:lineRule="auto"/>
        <w:jc w:val="both"/>
      </w:pPr>
      <w:r w:rsidRPr="008F4B6A">
        <w:t xml:space="preserve">This is an alternate qualitative methodology to an earlier study by </w:t>
      </w:r>
      <w:proofErr w:type="spellStart"/>
      <w:r w:rsidRPr="008F4B6A">
        <w:t>Carretta</w:t>
      </w:r>
      <w:proofErr w:type="spellEnd"/>
      <w:r w:rsidRPr="008F4B6A">
        <w:t xml:space="preserve"> et al. (2005)</w:t>
      </w:r>
      <w:r>
        <w:t xml:space="preserve">. Of note, </w:t>
      </w:r>
      <w:r w:rsidRPr="008F4B6A">
        <w:t>this earlier study adopted a quantitative textual analysis on a sample of Italian banking groups to explore culture. However, the focus on language is in line with prior studies. Here, we follow Schein (1985) and DiMaggio (1997) whose work support the analysis of culture through expressed vocabulary and analysis of written text (</w:t>
      </w:r>
      <w:proofErr w:type="spellStart"/>
      <w:r w:rsidRPr="008F4B6A">
        <w:t>Carr</w:t>
      </w:r>
      <w:r>
        <w:t>etta</w:t>
      </w:r>
      <w:proofErr w:type="spellEnd"/>
      <w:r>
        <w:t xml:space="preserve"> et al.</w:t>
      </w:r>
      <w:r w:rsidRPr="008F4B6A">
        <w:t xml:space="preserve"> 2005</w:t>
      </w:r>
      <w:r>
        <w:t>,</w:t>
      </w:r>
      <w:r w:rsidRPr="008F4B6A">
        <w:t xml:space="preserve"> p. 19). Analysis has been focused on extracts from each of the company’s website, which were found using keywords such as ‘compliance culture’, ‘culture’ </w:t>
      </w:r>
      <w:r w:rsidRPr="008F4B6A">
        <w:lastRenderedPageBreak/>
        <w:t>and ‘risk management culture’</w:t>
      </w:r>
      <w:r>
        <w:rPr>
          <w:rStyle w:val="EndnoteReference"/>
        </w:rPr>
        <w:endnoteReference w:id="11"/>
      </w:r>
      <w:r w:rsidRPr="008F4B6A">
        <w:t xml:space="preserve">. </w:t>
      </w:r>
      <w:r>
        <w:t xml:space="preserve">To contrast this review of sanctioned firms’ responses to the regulator, a small sample of ‘non-sanctioned’ firms was also performed, alongside an analysis of the regulator’s message of good ‘culture’ within their annual report (see appendix 5) and publications. </w:t>
      </w:r>
    </w:p>
    <w:p w14:paraId="0E817C1E" w14:textId="4B2992BE" w:rsidR="000C45F7" w:rsidRDefault="002E54DA" w:rsidP="00A2298B">
      <w:pPr>
        <w:pStyle w:val="Caption"/>
        <w:spacing w:line="480" w:lineRule="auto"/>
        <w:rPr>
          <w:color w:val="auto"/>
        </w:rPr>
      </w:pPr>
      <w:r w:rsidRPr="002E54DA">
        <w:rPr>
          <w:color w:val="auto"/>
        </w:rPr>
        <w:t xml:space="preserve">Table </w:t>
      </w:r>
      <w:r w:rsidRPr="00A2298B">
        <w:rPr>
          <w:color w:val="auto"/>
        </w:rPr>
        <w:t>1 Sample coverage of sanctions</w:t>
      </w:r>
    </w:p>
    <w:tbl>
      <w:tblPr>
        <w:tblStyle w:val="TableGrid"/>
        <w:tblW w:w="0" w:type="auto"/>
        <w:tblLook w:val="04A0" w:firstRow="1" w:lastRow="0" w:firstColumn="1" w:lastColumn="0" w:noHBand="0" w:noVBand="1"/>
      </w:tblPr>
      <w:tblGrid>
        <w:gridCol w:w="2007"/>
        <w:gridCol w:w="3504"/>
        <w:gridCol w:w="3505"/>
      </w:tblGrid>
      <w:tr w:rsidR="005635EC" w14:paraId="1AF640AC" w14:textId="77777777" w:rsidTr="007C2D59">
        <w:tc>
          <w:tcPr>
            <w:tcW w:w="2043" w:type="dxa"/>
          </w:tcPr>
          <w:p w14:paraId="278E990A" w14:textId="77777777" w:rsidR="005635EC" w:rsidRPr="001E1EC3" w:rsidRDefault="005635EC" w:rsidP="007C2D59">
            <w:pPr>
              <w:rPr>
                <w:b/>
              </w:rPr>
            </w:pPr>
            <w:r w:rsidRPr="001E1EC3">
              <w:rPr>
                <w:b/>
              </w:rPr>
              <w:t>Year and Total Fines (all offences)</w:t>
            </w:r>
          </w:p>
        </w:tc>
        <w:tc>
          <w:tcPr>
            <w:tcW w:w="3694" w:type="dxa"/>
          </w:tcPr>
          <w:p w14:paraId="2491E0E9" w14:textId="77777777" w:rsidR="005635EC" w:rsidRPr="001E1EC3" w:rsidRDefault="005635EC" w:rsidP="007C2D59">
            <w:pPr>
              <w:rPr>
                <w:b/>
              </w:rPr>
            </w:pPr>
            <w:r w:rsidRPr="001E1EC3">
              <w:rPr>
                <w:b/>
              </w:rPr>
              <w:t>Sample Size, justification of coverage</w:t>
            </w:r>
          </w:p>
        </w:tc>
        <w:tc>
          <w:tcPr>
            <w:tcW w:w="3505" w:type="dxa"/>
          </w:tcPr>
          <w:p w14:paraId="0B6E210A" w14:textId="77777777" w:rsidR="005635EC" w:rsidRPr="001E1EC3" w:rsidRDefault="005635EC" w:rsidP="007C2D59">
            <w:pPr>
              <w:rPr>
                <w:b/>
              </w:rPr>
            </w:pPr>
            <w:r w:rsidRPr="001E1EC3">
              <w:rPr>
                <w:b/>
              </w:rPr>
              <w:t xml:space="preserve">Further </w:t>
            </w:r>
            <w:r>
              <w:rPr>
                <w:b/>
              </w:rPr>
              <w:t>reading relating</w:t>
            </w:r>
            <w:r w:rsidRPr="001E1EC3">
              <w:rPr>
                <w:b/>
              </w:rPr>
              <w:t xml:space="preserve"> to fines</w:t>
            </w:r>
          </w:p>
        </w:tc>
      </w:tr>
      <w:tr w:rsidR="005635EC" w14:paraId="10A289C1" w14:textId="77777777" w:rsidTr="007C2D59">
        <w:tc>
          <w:tcPr>
            <w:tcW w:w="2043" w:type="dxa"/>
          </w:tcPr>
          <w:p w14:paraId="741BB743" w14:textId="77777777" w:rsidR="005635EC" w:rsidRDefault="005635EC" w:rsidP="007C2D59">
            <w:r>
              <w:t>2013</w:t>
            </w:r>
          </w:p>
          <w:p w14:paraId="665268B1" w14:textId="77777777" w:rsidR="005635EC" w:rsidRDefault="005635EC" w:rsidP="007C2D59">
            <w:r>
              <w:t>£474,263,738</w:t>
            </w:r>
          </w:p>
        </w:tc>
        <w:tc>
          <w:tcPr>
            <w:tcW w:w="3694" w:type="dxa"/>
            <w:vMerge w:val="restart"/>
          </w:tcPr>
          <w:p w14:paraId="0287491D" w14:textId="77777777" w:rsidR="005635EC" w:rsidRDefault="005635EC" w:rsidP="007C2D59">
            <w:r>
              <w:t>2013/14</w:t>
            </w:r>
          </w:p>
          <w:p w14:paraId="1B0C85D9" w14:textId="77777777" w:rsidR="005635EC" w:rsidRDefault="005635EC" w:rsidP="007C2D59">
            <w:r>
              <w:t>£587.6 M within our sample</w:t>
            </w:r>
          </w:p>
          <w:p w14:paraId="4A77A509" w14:textId="77777777" w:rsidR="005635EC" w:rsidRDefault="005635EC" w:rsidP="007C2D59">
            <w:r>
              <w:t>Total fines for all offences 2013/14 is £1,976 M. Of this total £1,114 represents a combined fined across several banks relating to G10 spot foreign exchange. This has not been included in total analysis, as related to systematic control issues across the sector (and further investigation of Barclays ‘culture’ is covered in 2015/16 review)</w:t>
            </w:r>
          </w:p>
          <w:p w14:paraId="6B031485" w14:textId="77777777" w:rsidR="005635EC" w:rsidRDefault="005635EC" w:rsidP="007C2D59">
            <w:r>
              <w:t>Fines excluding the combined fine total £862 M, so our sample represents 68% coverage.</w:t>
            </w:r>
          </w:p>
        </w:tc>
        <w:tc>
          <w:tcPr>
            <w:tcW w:w="3505" w:type="dxa"/>
          </w:tcPr>
          <w:p w14:paraId="703732BE" w14:textId="77777777" w:rsidR="005635EC" w:rsidRDefault="005635EC" w:rsidP="007C2D59">
            <w:r w:rsidRPr="0067395B">
              <w:t>https://www.fca.org.uk/news/news-stories/2013-fines</w:t>
            </w:r>
          </w:p>
        </w:tc>
      </w:tr>
      <w:tr w:rsidR="005635EC" w14:paraId="34939131" w14:textId="77777777" w:rsidTr="007C2D59">
        <w:tc>
          <w:tcPr>
            <w:tcW w:w="2043" w:type="dxa"/>
          </w:tcPr>
          <w:p w14:paraId="468B65CA" w14:textId="77777777" w:rsidR="005635EC" w:rsidRDefault="005635EC" w:rsidP="007C2D59">
            <w:r>
              <w:t>2014 £1,471,431,800</w:t>
            </w:r>
          </w:p>
        </w:tc>
        <w:tc>
          <w:tcPr>
            <w:tcW w:w="3694" w:type="dxa"/>
            <w:vMerge/>
          </w:tcPr>
          <w:p w14:paraId="6CCCC475" w14:textId="77777777" w:rsidR="005635EC" w:rsidRDefault="005635EC" w:rsidP="007C2D59"/>
        </w:tc>
        <w:tc>
          <w:tcPr>
            <w:tcW w:w="3505" w:type="dxa"/>
          </w:tcPr>
          <w:p w14:paraId="0699A0B0" w14:textId="77777777" w:rsidR="005635EC" w:rsidRDefault="005635EC" w:rsidP="007C2D59">
            <w:hyperlink r:id="rId10" w:history="1">
              <w:r w:rsidRPr="000476A8">
                <w:rPr>
                  <w:rStyle w:val="Hyperlink"/>
                </w:rPr>
                <w:t>https://www.fca.org.uk/news/news-stories/2014-fines</w:t>
              </w:r>
            </w:hyperlink>
          </w:p>
          <w:p w14:paraId="4EB62DDE" w14:textId="77777777" w:rsidR="005635EC" w:rsidRDefault="005635EC" w:rsidP="007C2D59"/>
          <w:p w14:paraId="3E0A84C0" w14:textId="77777777" w:rsidR="005635EC" w:rsidRPr="0067395B" w:rsidRDefault="005635EC" w:rsidP="007C2D59">
            <w:r w:rsidRPr="00B35B3D">
              <w:t>https://www.fca.org.uk/news/press-releases/fca-fines-five-banks-%C2%A311-billion-fx-failings-and-announces-industry-wide</w:t>
            </w:r>
          </w:p>
        </w:tc>
      </w:tr>
      <w:tr w:rsidR="005635EC" w14:paraId="3B6A8E04" w14:textId="77777777" w:rsidTr="007C2D59">
        <w:tc>
          <w:tcPr>
            <w:tcW w:w="2043" w:type="dxa"/>
          </w:tcPr>
          <w:p w14:paraId="1C35DDAB" w14:textId="77777777" w:rsidR="005635EC" w:rsidRDefault="005635EC" w:rsidP="007C2D59">
            <w:r>
              <w:t>2015</w:t>
            </w:r>
          </w:p>
          <w:p w14:paraId="5985ACEE" w14:textId="77777777" w:rsidR="005635EC" w:rsidRDefault="005635EC" w:rsidP="007C2D59">
            <w:r>
              <w:t>£905,219,078</w:t>
            </w:r>
          </w:p>
        </w:tc>
        <w:tc>
          <w:tcPr>
            <w:tcW w:w="3694" w:type="dxa"/>
            <w:vMerge w:val="restart"/>
          </w:tcPr>
          <w:p w14:paraId="78480F0F" w14:textId="77777777" w:rsidR="005635EC" w:rsidRDefault="005635EC" w:rsidP="007C2D59">
            <w:r>
              <w:t xml:space="preserve">2015/16 </w:t>
            </w:r>
          </w:p>
          <w:p w14:paraId="7F76A22A" w14:textId="77777777" w:rsidR="005635EC" w:rsidRDefault="005635EC" w:rsidP="007C2D59">
            <w:r>
              <w:t>£823.0 M within our sample</w:t>
            </w:r>
          </w:p>
          <w:p w14:paraId="05381EDF" w14:textId="77777777" w:rsidR="005635EC" w:rsidRDefault="005635EC" w:rsidP="007C2D59">
            <w:r>
              <w:t>Total fines for all offences 2015/16 £927 M, so our sample represents 88.7%.</w:t>
            </w:r>
          </w:p>
        </w:tc>
        <w:tc>
          <w:tcPr>
            <w:tcW w:w="3505" w:type="dxa"/>
          </w:tcPr>
          <w:p w14:paraId="5504FCFE" w14:textId="77777777" w:rsidR="005635EC" w:rsidRPr="00FA215E" w:rsidRDefault="005635EC" w:rsidP="007C2D59">
            <w:r w:rsidRPr="00FA215E">
              <w:t>https://www.fca.org.uk/news/news-stories/2015-fines</w:t>
            </w:r>
          </w:p>
        </w:tc>
      </w:tr>
      <w:tr w:rsidR="005635EC" w14:paraId="6D3E7160" w14:textId="77777777" w:rsidTr="007C2D59">
        <w:tc>
          <w:tcPr>
            <w:tcW w:w="2043" w:type="dxa"/>
          </w:tcPr>
          <w:p w14:paraId="01D6FEF5" w14:textId="77777777" w:rsidR="005635EC" w:rsidRDefault="005635EC" w:rsidP="007C2D59">
            <w:r>
              <w:t>2016</w:t>
            </w:r>
          </w:p>
          <w:p w14:paraId="2FFFA5C4" w14:textId="77777777" w:rsidR="005635EC" w:rsidRDefault="005635EC" w:rsidP="007C2D59">
            <w:r>
              <w:t>£22,216,446</w:t>
            </w:r>
          </w:p>
        </w:tc>
        <w:tc>
          <w:tcPr>
            <w:tcW w:w="3694" w:type="dxa"/>
            <w:vMerge/>
          </w:tcPr>
          <w:p w14:paraId="7D8722D9" w14:textId="77777777" w:rsidR="005635EC" w:rsidRDefault="005635EC" w:rsidP="007C2D59"/>
        </w:tc>
        <w:tc>
          <w:tcPr>
            <w:tcW w:w="3505" w:type="dxa"/>
          </w:tcPr>
          <w:p w14:paraId="4450DD16" w14:textId="77777777" w:rsidR="005635EC" w:rsidRPr="00FA215E" w:rsidRDefault="005635EC" w:rsidP="007C2D59">
            <w:r w:rsidRPr="00FA215E">
              <w:t>https://www.fca.org.uk/news/news-stories/2016-fines</w:t>
            </w:r>
          </w:p>
        </w:tc>
      </w:tr>
    </w:tbl>
    <w:p w14:paraId="0F906EA8" w14:textId="77777777" w:rsidR="005635EC" w:rsidRPr="00E955DA" w:rsidRDefault="005635EC" w:rsidP="005635EC"/>
    <w:p w14:paraId="14EF523A" w14:textId="77777777" w:rsidR="005635EC" w:rsidRPr="005635EC" w:rsidRDefault="005635EC" w:rsidP="005635EC"/>
    <w:p w14:paraId="611B22FF" w14:textId="0E9B0B5E" w:rsidR="00DC271B" w:rsidRPr="008F4B6A" w:rsidRDefault="0019501A" w:rsidP="00D82B0C">
      <w:pPr>
        <w:spacing w:line="480" w:lineRule="auto"/>
        <w:jc w:val="both"/>
        <w:rPr>
          <w:rFonts w:asciiTheme="majorBidi" w:hAnsiTheme="majorBidi" w:cstheme="majorBidi"/>
          <w:b/>
          <w:bCs/>
          <w:sz w:val="28"/>
          <w:szCs w:val="28"/>
          <w:lang w:eastAsia="en-GB"/>
        </w:rPr>
      </w:pPr>
      <w:r w:rsidRPr="008F4B6A">
        <w:rPr>
          <w:rFonts w:asciiTheme="majorBidi" w:hAnsiTheme="majorBidi" w:cstheme="majorBidi"/>
          <w:b/>
          <w:bCs/>
          <w:sz w:val="28"/>
          <w:szCs w:val="28"/>
          <w:lang w:eastAsia="en-GB"/>
        </w:rPr>
        <w:t xml:space="preserve">Findings and discussion </w:t>
      </w:r>
    </w:p>
    <w:p w14:paraId="20791601" w14:textId="41BC7D57" w:rsidR="001447FD" w:rsidRDefault="002B5A41" w:rsidP="001447FD">
      <w:pPr>
        <w:spacing w:line="480" w:lineRule="auto"/>
        <w:jc w:val="both"/>
      </w:pPr>
      <w:r w:rsidRPr="008F4B6A">
        <w:t xml:space="preserve">This section presents the </w:t>
      </w:r>
      <w:r w:rsidR="004347D7" w:rsidRPr="008F4B6A">
        <w:t>findings, which</w:t>
      </w:r>
      <w:r w:rsidR="003013B3">
        <w:t xml:space="preserve"> are</w:t>
      </w:r>
      <w:r w:rsidR="007E287E" w:rsidRPr="008F4B6A">
        <w:t xml:space="preserve"> </w:t>
      </w:r>
      <w:r w:rsidRPr="008F4B6A">
        <w:t>discuss</w:t>
      </w:r>
      <w:r w:rsidR="007E287E" w:rsidRPr="008F4B6A">
        <w:t xml:space="preserve">ed in light of </w:t>
      </w:r>
      <w:r w:rsidR="004347D7" w:rsidRPr="008F4B6A">
        <w:t xml:space="preserve">the </w:t>
      </w:r>
      <w:r w:rsidRPr="008F4B6A">
        <w:t>institutional theory</w:t>
      </w:r>
      <w:r w:rsidR="004347D7" w:rsidRPr="008F4B6A">
        <w:t xml:space="preserve">. The emphasis here is on exploring how </w:t>
      </w:r>
      <w:r w:rsidRPr="008F4B6A">
        <w:t>the UK financial institution</w:t>
      </w:r>
      <w:r w:rsidR="004347D7" w:rsidRPr="008F4B6A">
        <w:t xml:space="preserve">s’ </w:t>
      </w:r>
      <w:r w:rsidRPr="008F4B6A">
        <w:t xml:space="preserve">compliance culture could be </w:t>
      </w:r>
      <w:r w:rsidR="004347D7" w:rsidRPr="008F4B6A">
        <w:t xml:space="preserve">influenced by </w:t>
      </w:r>
      <w:r w:rsidR="003013B3" w:rsidRPr="008F4B6A">
        <w:t>their interaction</w:t>
      </w:r>
      <w:r w:rsidR="004347D7" w:rsidRPr="008F4B6A">
        <w:t xml:space="preserve"> with the external institutional environment and in </w:t>
      </w:r>
      <w:r w:rsidR="00F823F4" w:rsidRPr="008F4B6A">
        <w:t>particular,</w:t>
      </w:r>
      <w:r w:rsidR="004347D7" w:rsidRPr="008F4B6A">
        <w:t xml:space="preserve"> the </w:t>
      </w:r>
      <w:r w:rsidR="001565E7" w:rsidRPr="008F4B6A">
        <w:t>coercive, normative and mimetic isomorphism processes</w:t>
      </w:r>
      <w:r w:rsidR="00975C00">
        <w:t xml:space="preserve">, and how the legitimation process accompanying the shift in the institutional landscape has been impacted, </w:t>
      </w:r>
      <w:r w:rsidR="001565E7" w:rsidRPr="008F4B6A">
        <w:t xml:space="preserve">as discussed in the following sections.  </w:t>
      </w:r>
      <w:r w:rsidR="00DD0A6A">
        <w:t xml:space="preserve">Table 2 </w:t>
      </w:r>
      <w:r w:rsidR="007278A1">
        <w:t>summarise</w:t>
      </w:r>
      <w:r w:rsidR="00DD0A6A">
        <w:t xml:space="preserve"> </w:t>
      </w:r>
      <w:r w:rsidR="00DD0A6A">
        <w:lastRenderedPageBreak/>
        <w:t>k</w:t>
      </w:r>
      <w:r w:rsidR="007278A1">
        <w:t>ey quotes which</w:t>
      </w:r>
      <w:r w:rsidR="00DD0A6A">
        <w:t xml:space="preserve"> have been aligned </w:t>
      </w:r>
      <w:r w:rsidR="007278A1">
        <w:t>to institutional forces. The table presents sub themes which are discussed in the following sections in turn.</w:t>
      </w:r>
      <w:r w:rsidR="001447FD">
        <w:br w:type="page"/>
      </w:r>
    </w:p>
    <w:p w14:paraId="32352A13" w14:textId="77777777" w:rsidR="007278A1" w:rsidRDefault="007278A1" w:rsidP="00D82B0C">
      <w:pPr>
        <w:spacing w:line="480" w:lineRule="auto"/>
        <w:jc w:val="both"/>
      </w:pPr>
    </w:p>
    <w:p w14:paraId="7578FEDD" w14:textId="77777777" w:rsidR="001447FD" w:rsidRDefault="001447FD" w:rsidP="00D82B0C">
      <w:pPr>
        <w:spacing w:line="480" w:lineRule="auto"/>
        <w:jc w:val="both"/>
        <w:rPr>
          <w:b/>
          <w:sz w:val="20"/>
          <w:szCs w:val="20"/>
        </w:rPr>
        <w:sectPr w:rsidR="001447FD" w:rsidSect="00F06C3A">
          <w:headerReference w:type="default" r:id="rId11"/>
          <w:footerReference w:type="default" r:id="rId12"/>
          <w:pgSz w:w="11906" w:h="16838" w:code="9"/>
          <w:pgMar w:top="1440" w:right="1440" w:bottom="1440" w:left="1440" w:header="709" w:footer="709" w:gutter="0"/>
          <w:cols w:space="708"/>
          <w:docGrid w:linePitch="360"/>
        </w:sectPr>
      </w:pPr>
    </w:p>
    <w:p w14:paraId="098F5810" w14:textId="5BB1E08D" w:rsidR="001447FD" w:rsidRDefault="001447FD" w:rsidP="00D82B0C">
      <w:pPr>
        <w:spacing w:line="480" w:lineRule="auto"/>
        <w:jc w:val="both"/>
        <w:rPr>
          <w:b/>
          <w:sz w:val="20"/>
          <w:szCs w:val="20"/>
        </w:rPr>
      </w:pPr>
      <w:r w:rsidRPr="001447FD">
        <w:rPr>
          <w:b/>
          <w:sz w:val="20"/>
          <w:szCs w:val="20"/>
        </w:rPr>
        <w:lastRenderedPageBreak/>
        <w:t>Table 2 Alignment of key quotes from document review to institutional theory, highlighting emphasis of issues within both sanctioned and non-sanctioned firms</w:t>
      </w:r>
    </w:p>
    <w:tbl>
      <w:tblPr>
        <w:tblStyle w:val="TableGrid2"/>
        <w:tblW w:w="0" w:type="auto"/>
        <w:tblLook w:val="04A0" w:firstRow="1" w:lastRow="0" w:firstColumn="1" w:lastColumn="0" w:noHBand="0" w:noVBand="1"/>
      </w:tblPr>
      <w:tblGrid>
        <w:gridCol w:w="1793"/>
        <w:gridCol w:w="1867"/>
        <w:gridCol w:w="1722"/>
        <w:gridCol w:w="8566"/>
      </w:tblGrid>
      <w:tr w:rsidR="001447FD" w:rsidRPr="001447FD" w14:paraId="03EF3CC3" w14:textId="77777777" w:rsidTr="007C2D59">
        <w:trPr>
          <w:tblHeader/>
        </w:trPr>
        <w:tc>
          <w:tcPr>
            <w:tcW w:w="1793" w:type="dxa"/>
          </w:tcPr>
          <w:p w14:paraId="1ACC6C92" w14:textId="77777777" w:rsidR="001447FD" w:rsidRPr="001447FD" w:rsidRDefault="001447FD" w:rsidP="001447FD">
            <w:r w:rsidRPr="001447FD">
              <w:t>Alignment to Institutional Category</w:t>
            </w:r>
          </w:p>
        </w:tc>
        <w:tc>
          <w:tcPr>
            <w:tcW w:w="1867" w:type="dxa"/>
          </w:tcPr>
          <w:p w14:paraId="2F6DCFFE" w14:textId="77777777" w:rsidR="001447FD" w:rsidRPr="001447FD" w:rsidRDefault="001447FD" w:rsidP="001447FD">
            <w:r w:rsidRPr="001447FD">
              <w:t>Sub themes</w:t>
            </w:r>
          </w:p>
        </w:tc>
        <w:tc>
          <w:tcPr>
            <w:tcW w:w="1722" w:type="dxa"/>
          </w:tcPr>
          <w:p w14:paraId="22D10A88" w14:textId="77777777" w:rsidR="001447FD" w:rsidRPr="001447FD" w:rsidRDefault="001447FD" w:rsidP="001447FD">
            <w:r w:rsidRPr="001447FD">
              <w:t>Emphasis within quotes</w:t>
            </w:r>
          </w:p>
        </w:tc>
        <w:tc>
          <w:tcPr>
            <w:tcW w:w="8566" w:type="dxa"/>
          </w:tcPr>
          <w:p w14:paraId="488DD348" w14:textId="77777777" w:rsidR="001447FD" w:rsidRPr="001447FD" w:rsidRDefault="001447FD" w:rsidP="001447FD">
            <w:r w:rsidRPr="001447FD">
              <w:t xml:space="preserve">Key quotes from document </w:t>
            </w:r>
          </w:p>
        </w:tc>
      </w:tr>
      <w:tr w:rsidR="001447FD" w:rsidRPr="001447FD" w14:paraId="4C34EDCD" w14:textId="77777777" w:rsidTr="007C2D59">
        <w:tc>
          <w:tcPr>
            <w:tcW w:w="1793" w:type="dxa"/>
            <w:vMerge w:val="restart"/>
          </w:tcPr>
          <w:p w14:paraId="0BFAC2E2" w14:textId="77777777" w:rsidR="001447FD" w:rsidRPr="001447FD" w:rsidRDefault="001447FD" w:rsidP="001447FD">
            <w:pPr>
              <w:rPr>
                <w:rFonts w:cstheme="minorHAnsi"/>
                <w:sz w:val="18"/>
                <w:szCs w:val="18"/>
              </w:rPr>
            </w:pPr>
            <w:r w:rsidRPr="001447FD">
              <w:rPr>
                <w:rFonts w:cstheme="minorHAnsi"/>
                <w:sz w:val="18"/>
                <w:szCs w:val="18"/>
              </w:rPr>
              <w:t>Coercive isomorphism – actions of the regulator pressuring violating banks</w:t>
            </w:r>
          </w:p>
        </w:tc>
        <w:tc>
          <w:tcPr>
            <w:tcW w:w="1867" w:type="dxa"/>
            <w:vMerge w:val="restart"/>
          </w:tcPr>
          <w:p w14:paraId="2E131ADD" w14:textId="77777777" w:rsidR="001447FD" w:rsidRPr="001447FD" w:rsidRDefault="001447FD" w:rsidP="001447FD">
            <w:pPr>
              <w:rPr>
                <w:rFonts w:cstheme="minorHAnsi"/>
                <w:sz w:val="18"/>
                <w:szCs w:val="18"/>
              </w:rPr>
            </w:pPr>
            <w:r w:rsidRPr="001447FD">
              <w:rPr>
                <w:rFonts w:cstheme="minorHAnsi"/>
                <w:sz w:val="18"/>
                <w:szCs w:val="18"/>
              </w:rPr>
              <w:t>Theme: culture deficiencies</w:t>
            </w:r>
          </w:p>
        </w:tc>
        <w:tc>
          <w:tcPr>
            <w:tcW w:w="1722" w:type="dxa"/>
            <w:vMerge w:val="restart"/>
          </w:tcPr>
          <w:p w14:paraId="2DFA640E" w14:textId="77777777" w:rsidR="001447FD" w:rsidRPr="001447FD" w:rsidRDefault="001447FD" w:rsidP="001447FD">
            <w:pPr>
              <w:rPr>
                <w:rFonts w:cstheme="minorHAnsi"/>
                <w:sz w:val="18"/>
                <w:szCs w:val="18"/>
              </w:rPr>
            </w:pPr>
            <w:r w:rsidRPr="001447FD">
              <w:rPr>
                <w:rFonts w:cstheme="minorHAnsi"/>
                <w:sz w:val="18"/>
                <w:szCs w:val="18"/>
              </w:rPr>
              <w:t>focus on profit</w:t>
            </w:r>
          </w:p>
        </w:tc>
        <w:tc>
          <w:tcPr>
            <w:tcW w:w="8566" w:type="dxa"/>
          </w:tcPr>
          <w:p w14:paraId="79DD49C5" w14:textId="77777777" w:rsidR="001447FD" w:rsidRPr="001447FD" w:rsidRDefault="001447FD" w:rsidP="001447FD">
            <w:pPr>
              <w:rPr>
                <w:rFonts w:cstheme="minorHAnsi"/>
                <w:sz w:val="18"/>
                <w:szCs w:val="18"/>
              </w:rPr>
            </w:pPr>
            <w:r w:rsidRPr="001447FD">
              <w:rPr>
                <w:rFonts w:cstheme="minorHAnsi"/>
                <w:sz w:val="18"/>
                <w:szCs w:val="18"/>
              </w:rPr>
              <w:t>1 “The culture at Martin’s was that profit came first. Compliance was seen as a hindrance” (FCA 2014a)</w:t>
            </w:r>
          </w:p>
          <w:p w14:paraId="3963FEDB" w14:textId="77777777" w:rsidR="001447FD" w:rsidRPr="001447FD" w:rsidRDefault="001447FD" w:rsidP="001447FD">
            <w:pPr>
              <w:rPr>
                <w:rFonts w:cstheme="minorHAnsi"/>
                <w:sz w:val="18"/>
                <w:szCs w:val="18"/>
              </w:rPr>
            </w:pPr>
            <w:r w:rsidRPr="001447FD">
              <w:rPr>
                <w:rFonts w:cstheme="minorHAnsi"/>
                <w:sz w:val="18"/>
                <w:szCs w:val="18"/>
              </w:rPr>
              <w:t xml:space="preserve"> </w:t>
            </w:r>
          </w:p>
        </w:tc>
      </w:tr>
      <w:tr w:rsidR="001447FD" w:rsidRPr="001447FD" w14:paraId="31CDCCED" w14:textId="77777777" w:rsidTr="007C2D59">
        <w:tc>
          <w:tcPr>
            <w:tcW w:w="1793" w:type="dxa"/>
            <w:vMerge/>
          </w:tcPr>
          <w:p w14:paraId="2593ADF0" w14:textId="77777777" w:rsidR="001447FD" w:rsidRPr="001447FD" w:rsidRDefault="001447FD" w:rsidP="001447FD">
            <w:pPr>
              <w:rPr>
                <w:rFonts w:cstheme="minorHAnsi"/>
                <w:sz w:val="18"/>
                <w:szCs w:val="18"/>
              </w:rPr>
            </w:pPr>
          </w:p>
        </w:tc>
        <w:tc>
          <w:tcPr>
            <w:tcW w:w="1867" w:type="dxa"/>
            <w:vMerge/>
          </w:tcPr>
          <w:p w14:paraId="2D848936" w14:textId="77777777" w:rsidR="001447FD" w:rsidRPr="001447FD" w:rsidRDefault="001447FD" w:rsidP="001447FD">
            <w:pPr>
              <w:rPr>
                <w:rFonts w:cstheme="minorHAnsi"/>
                <w:sz w:val="18"/>
                <w:szCs w:val="18"/>
              </w:rPr>
            </w:pPr>
          </w:p>
        </w:tc>
        <w:tc>
          <w:tcPr>
            <w:tcW w:w="1722" w:type="dxa"/>
            <w:vMerge/>
          </w:tcPr>
          <w:p w14:paraId="509098DC" w14:textId="77777777" w:rsidR="001447FD" w:rsidRPr="001447FD" w:rsidRDefault="001447FD" w:rsidP="001447FD">
            <w:pPr>
              <w:rPr>
                <w:rFonts w:cstheme="minorHAnsi"/>
                <w:sz w:val="18"/>
                <w:szCs w:val="18"/>
              </w:rPr>
            </w:pPr>
          </w:p>
        </w:tc>
        <w:tc>
          <w:tcPr>
            <w:tcW w:w="8566" w:type="dxa"/>
          </w:tcPr>
          <w:p w14:paraId="56450B42" w14:textId="77777777" w:rsidR="001447FD" w:rsidRPr="001447FD" w:rsidRDefault="001447FD" w:rsidP="001447FD">
            <w:pPr>
              <w:rPr>
                <w:rFonts w:cstheme="minorHAnsi"/>
                <w:sz w:val="18"/>
                <w:szCs w:val="18"/>
              </w:rPr>
            </w:pPr>
            <w:r w:rsidRPr="001447FD">
              <w:rPr>
                <w:rFonts w:cstheme="minorHAnsi"/>
                <w:sz w:val="18"/>
                <w:szCs w:val="18"/>
              </w:rPr>
              <w:t>2 “The brokers misconduct was exacerbated by a poor compliance culture within IEL which was a result of its heavy focus on revenue at the expense of regulatory requirements” (FCA 2013)</w:t>
            </w:r>
          </w:p>
        </w:tc>
      </w:tr>
      <w:tr w:rsidR="001447FD" w:rsidRPr="001447FD" w14:paraId="446D6F61" w14:textId="77777777" w:rsidTr="007C2D59">
        <w:tc>
          <w:tcPr>
            <w:tcW w:w="1793" w:type="dxa"/>
            <w:vMerge/>
          </w:tcPr>
          <w:p w14:paraId="3F3B73CB" w14:textId="77777777" w:rsidR="001447FD" w:rsidRPr="001447FD" w:rsidRDefault="001447FD" w:rsidP="001447FD">
            <w:pPr>
              <w:rPr>
                <w:rFonts w:cstheme="minorHAnsi"/>
                <w:sz w:val="18"/>
                <w:szCs w:val="18"/>
              </w:rPr>
            </w:pPr>
          </w:p>
        </w:tc>
        <w:tc>
          <w:tcPr>
            <w:tcW w:w="1867" w:type="dxa"/>
            <w:vMerge/>
          </w:tcPr>
          <w:p w14:paraId="66D60876" w14:textId="77777777" w:rsidR="001447FD" w:rsidRPr="001447FD" w:rsidRDefault="001447FD" w:rsidP="001447FD">
            <w:pPr>
              <w:rPr>
                <w:rFonts w:cstheme="minorHAnsi"/>
                <w:sz w:val="18"/>
                <w:szCs w:val="18"/>
              </w:rPr>
            </w:pPr>
          </w:p>
        </w:tc>
        <w:tc>
          <w:tcPr>
            <w:tcW w:w="1722" w:type="dxa"/>
            <w:vMerge/>
          </w:tcPr>
          <w:p w14:paraId="3C0F8F47" w14:textId="77777777" w:rsidR="001447FD" w:rsidRPr="001447FD" w:rsidRDefault="001447FD" w:rsidP="001447FD">
            <w:pPr>
              <w:rPr>
                <w:rFonts w:cstheme="minorHAnsi"/>
                <w:sz w:val="18"/>
                <w:szCs w:val="18"/>
              </w:rPr>
            </w:pPr>
          </w:p>
        </w:tc>
        <w:tc>
          <w:tcPr>
            <w:tcW w:w="8566" w:type="dxa"/>
          </w:tcPr>
          <w:p w14:paraId="3BF86CA9" w14:textId="77777777" w:rsidR="001447FD" w:rsidRPr="001447FD" w:rsidRDefault="001447FD" w:rsidP="001447FD">
            <w:pPr>
              <w:rPr>
                <w:rFonts w:cstheme="minorHAnsi"/>
                <w:sz w:val="18"/>
                <w:szCs w:val="18"/>
              </w:rPr>
            </w:pPr>
            <w:r w:rsidRPr="001447FD">
              <w:rPr>
                <w:rFonts w:cstheme="minorHAnsi"/>
                <w:sz w:val="18"/>
                <w:szCs w:val="18"/>
              </w:rPr>
              <w:t>3 “State Street  UK allowed a culture to develop [….] which prioritised revenue generation over the interests of its customers” (FCA 2014b)</w:t>
            </w:r>
          </w:p>
        </w:tc>
      </w:tr>
      <w:tr w:rsidR="001447FD" w:rsidRPr="001447FD" w14:paraId="0377DFE2" w14:textId="77777777" w:rsidTr="007C2D59">
        <w:tc>
          <w:tcPr>
            <w:tcW w:w="1793" w:type="dxa"/>
            <w:vMerge/>
          </w:tcPr>
          <w:p w14:paraId="3556A9DD" w14:textId="77777777" w:rsidR="001447FD" w:rsidRPr="001447FD" w:rsidRDefault="001447FD" w:rsidP="001447FD">
            <w:pPr>
              <w:rPr>
                <w:rFonts w:cstheme="minorHAnsi"/>
                <w:sz w:val="18"/>
                <w:szCs w:val="18"/>
              </w:rPr>
            </w:pPr>
          </w:p>
        </w:tc>
        <w:tc>
          <w:tcPr>
            <w:tcW w:w="1867" w:type="dxa"/>
            <w:vMerge/>
          </w:tcPr>
          <w:p w14:paraId="58BF6404" w14:textId="77777777" w:rsidR="001447FD" w:rsidRPr="001447FD" w:rsidRDefault="001447FD" w:rsidP="001447FD">
            <w:pPr>
              <w:rPr>
                <w:rFonts w:cstheme="minorHAnsi"/>
                <w:sz w:val="18"/>
                <w:szCs w:val="18"/>
              </w:rPr>
            </w:pPr>
          </w:p>
        </w:tc>
        <w:tc>
          <w:tcPr>
            <w:tcW w:w="1722" w:type="dxa"/>
            <w:vMerge/>
          </w:tcPr>
          <w:p w14:paraId="416CDA66" w14:textId="77777777" w:rsidR="001447FD" w:rsidRPr="001447FD" w:rsidRDefault="001447FD" w:rsidP="001447FD">
            <w:pPr>
              <w:rPr>
                <w:rFonts w:cstheme="minorHAnsi"/>
                <w:sz w:val="18"/>
                <w:szCs w:val="18"/>
              </w:rPr>
            </w:pPr>
          </w:p>
        </w:tc>
        <w:tc>
          <w:tcPr>
            <w:tcW w:w="8566" w:type="dxa"/>
          </w:tcPr>
          <w:p w14:paraId="080358F2" w14:textId="77777777" w:rsidR="001447FD" w:rsidRPr="001447FD" w:rsidRDefault="001447FD" w:rsidP="001447FD">
            <w:pPr>
              <w:rPr>
                <w:rFonts w:cstheme="minorHAnsi"/>
                <w:sz w:val="18"/>
                <w:szCs w:val="18"/>
              </w:rPr>
            </w:pPr>
            <w:r w:rsidRPr="001447FD">
              <w:rPr>
                <w:rFonts w:cstheme="minorHAnsi"/>
                <w:sz w:val="18"/>
                <w:szCs w:val="18"/>
              </w:rPr>
              <w:t>4 “…the firm’s culture, controls and remuneration structures meant that staff were focussed on quantity not quality and there were customers that paid the price for that” (FCA 2014c)</w:t>
            </w:r>
          </w:p>
        </w:tc>
      </w:tr>
      <w:tr w:rsidR="001447FD" w:rsidRPr="001447FD" w14:paraId="6C8092CC" w14:textId="77777777" w:rsidTr="007C2D59">
        <w:tc>
          <w:tcPr>
            <w:tcW w:w="1793" w:type="dxa"/>
            <w:vMerge/>
          </w:tcPr>
          <w:p w14:paraId="28D49BC6" w14:textId="77777777" w:rsidR="001447FD" w:rsidRPr="001447FD" w:rsidRDefault="001447FD" w:rsidP="001447FD">
            <w:pPr>
              <w:rPr>
                <w:rFonts w:cstheme="minorHAnsi"/>
                <w:sz w:val="18"/>
                <w:szCs w:val="18"/>
              </w:rPr>
            </w:pPr>
          </w:p>
        </w:tc>
        <w:tc>
          <w:tcPr>
            <w:tcW w:w="1867" w:type="dxa"/>
            <w:vMerge w:val="restart"/>
          </w:tcPr>
          <w:p w14:paraId="7F68B705" w14:textId="77777777" w:rsidR="001447FD" w:rsidRPr="001447FD" w:rsidRDefault="001447FD" w:rsidP="001447FD">
            <w:pPr>
              <w:rPr>
                <w:rFonts w:cstheme="minorHAnsi"/>
                <w:sz w:val="18"/>
                <w:szCs w:val="18"/>
              </w:rPr>
            </w:pPr>
            <w:r w:rsidRPr="001447FD">
              <w:rPr>
                <w:rFonts w:cstheme="minorHAnsi"/>
                <w:sz w:val="18"/>
                <w:szCs w:val="18"/>
              </w:rPr>
              <w:t>Theme: shortfall in behaviours</w:t>
            </w:r>
          </w:p>
        </w:tc>
        <w:tc>
          <w:tcPr>
            <w:tcW w:w="1722" w:type="dxa"/>
            <w:vMerge w:val="restart"/>
          </w:tcPr>
          <w:p w14:paraId="6F422E94" w14:textId="77777777" w:rsidR="001447FD" w:rsidRPr="001447FD" w:rsidRDefault="001447FD" w:rsidP="001447FD">
            <w:pPr>
              <w:rPr>
                <w:rFonts w:cstheme="minorHAnsi"/>
                <w:sz w:val="18"/>
                <w:szCs w:val="18"/>
              </w:rPr>
            </w:pPr>
            <w:r w:rsidRPr="001447FD">
              <w:rPr>
                <w:rFonts w:cstheme="minorHAnsi"/>
                <w:sz w:val="18"/>
                <w:szCs w:val="18"/>
              </w:rPr>
              <w:t>expressions of disappointment and response of accountability</w:t>
            </w:r>
          </w:p>
        </w:tc>
        <w:tc>
          <w:tcPr>
            <w:tcW w:w="8566" w:type="dxa"/>
          </w:tcPr>
          <w:p w14:paraId="5901D608" w14:textId="77777777" w:rsidR="001447FD" w:rsidRPr="001447FD" w:rsidRDefault="001447FD" w:rsidP="001447FD">
            <w:pPr>
              <w:rPr>
                <w:rFonts w:cstheme="minorHAnsi"/>
                <w:sz w:val="18"/>
                <w:szCs w:val="18"/>
              </w:rPr>
            </w:pPr>
            <w:r w:rsidRPr="001447FD">
              <w:rPr>
                <w:rFonts w:cstheme="minorHAnsi"/>
                <w:sz w:val="18"/>
                <w:szCs w:val="18"/>
              </w:rPr>
              <w:t>5 “their conduct has fallen far short of our expectations” (FCA 2014b)</w:t>
            </w:r>
          </w:p>
          <w:p w14:paraId="367CCAE5" w14:textId="77777777" w:rsidR="001447FD" w:rsidRPr="001447FD" w:rsidRDefault="001447FD" w:rsidP="001447FD">
            <w:pPr>
              <w:rPr>
                <w:rFonts w:cstheme="minorHAnsi"/>
                <w:sz w:val="18"/>
                <w:szCs w:val="18"/>
              </w:rPr>
            </w:pPr>
            <w:r w:rsidRPr="001447FD">
              <w:rPr>
                <w:rFonts w:cstheme="minorHAnsi"/>
                <w:sz w:val="18"/>
                <w:szCs w:val="18"/>
              </w:rPr>
              <w:t xml:space="preserve"> </w:t>
            </w:r>
          </w:p>
        </w:tc>
      </w:tr>
      <w:tr w:rsidR="001447FD" w:rsidRPr="001447FD" w14:paraId="65749539" w14:textId="77777777" w:rsidTr="007C2D59">
        <w:tc>
          <w:tcPr>
            <w:tcW w:w="1793" w:type="dxa"/>
            <w:vMerge/>
          </w:tcPr>
          <w:p w14:paraId="1B8C939F" w14:textId="77777777" w:rsidR="001447FD" w:rsidRPr="001447FD" w:rsidRDefault="001447FD" w:rsidP="001447FD">
            <w:pPr>
              <w:rPr>
                <w:rFonts w:cstheme="minorHAnsi"/>
                <w:sz w:val="18"/>
                <w:szCs w:val="18"/>
              </w:rPr>
            </w:pPr>
          </w:p>
        </w:tc>
        <w:tc>
          <w:tcPr>
            <w:tcW w:w="1867" w:type="dxa"/>
            <w:vMerge/>
          </w:tcPr>
          <w:p w14:paraId="7B0809CF" w14:textId="77777777" w:rsidR="001447FD" w:rsidRPr="001447FD" w:rsidRDefault="001447FD" w:rsidP="001447FD">
            <w:pPr>
              <w:rPr>
                <w:rFonts w:cstheme="minorHAnsi"/>
                <w:sz w:val="18"/>
                <w:szCs w:val="18"/>
              </w:rPr>
            </w:pPr>
          </w:p>
        </w:tc>
        <w:tc>
          <w:tcPr>
            <w:tcW w:w="1722" w:type="dxa"/>
            <w:vMerge/>
          </w:tcPr>
          <w:p w14:paraId="7E6D3C3D" w14:textId="77777777" w:rsidR="001447FD" w:rsidRPr="001447FD" w:rsidRDefault="001447FD" w:rsidP="001447FD">
            <w:pPr>
              <w:rPr>
                <w:rFonts w:cstheme="minorHAnsi"/>
                <w:sz w:val="18"/>
                <w:szCs w:val="18"/>
              </w:rPr>
            </w:pPr>
          </w:p>
        </w:tc>
        <w:tc>
          <w:tcPr>
            <w:tcW w:w="8566" w:type="dxa"/>
          </w:tcPr>
          <w:p w14:paraId="3FACDBAF" w14:textId="77777777" w:rsidR="001447FD" w:rsidRPr="001447FD" w:rsidRDefault="001447FD" w:rsidP="001447FD">
            <w:pPr>
              <w:rPr>
                <w:rFonts w:cstheme="minorHAnsi"/>
                <w:sz w:val="18"/>
                <w:szCs w:val="18"/>
              </w:rPr>
            </w:pPr>
            <w:r w:rsidRPr="001447FD">
              <w:rPr>
                <w:rFonts w:cstheme="minorHAnsi"/>
                <w:sz w:val="18"/>
                <w:szCs w:val="18"/>
              </w:rPr>
              <w:t>6 “the findings do not make pleasant reading” (FCA 2013b)</w:t>
            </w:r>
          </w:p>
        </w:tc>
      </w:tr>
      <w:tr w:rsidR="001447FD" w:rsidRPr="001447FD" w14:paraId="795A299A" w14:textId="77777777" w:rsidTr="007C2D59">
        <w:tc>
          <w:tcPr>
            <w:tcW w:w="1793" w:type="dxa"/>
            <w:vMerge/>
          </w:tcPr>
          <w:p w14:paraId="448DA4F1" w14:textId="77777777" w:rsidR="001447FD" w:rsidRPr="001447FD" w:rsidRDefault="001447FD" w:rsidP="001447FD">
            <w:pPr>
              <w:rPr>
                <w:rFonts w:cstheme="minorHAnsi"/>
                <w:sz w:val="18"/>
                <w:szCs w:val="18"/>
              </w:rPr>
            </w:pPr>
          </w:p>
        </w:tc>
        <w:tc>
          <w:tcPr>
            <w:tcW w:w="1867" w:type="dxa"/>
            <w:vMerge/>
          </w:tcPr>
          <w:p w14:paraId="08FD8759" w14:textId="77777777" w:rsidR="001447FD" w:rsidRPr="001447FD" w:rsidRDefault="001447FD" w:rsidP="001447FD">
            <w:pPr>
              <w:rPr>
                <w:rFonts w:cstheme="minorHAnsi"/>
                <w:sz w:val="18"/>
                <w:szCs w:val="18"/>
              </w:rPr>
            </w:pPr>
          </w:p>
        </w:tc>
        <w:tc>
          <w:tcPr>
            <w:tcW w:w="1722" w:type="dxa"/>
            <w:vMerge/>
          </w:tcPr>
          <w:p w14:paraId="013E13FD" w14:textId="77777777" w:rsidR="001447FD" w:rsidRPr="001447FD" w:rsidRDefault="001447FD" w:rsidP="001447FD">
            <w:pPr>
              <w:rPr>
                <w:rFonts w:cstheme="minorHAnsi"/>
                <w:sz w:val="18"/>
                <w:szCs w:val="18"/>
              </w:rPr>
            </w:pPr>
          </w:p>
        </w:tc>
        <w:tc>
          <w:tcPr>
            <w:tcW w:w="8566" w:type="dxa"/>
          </w:tcPr>
          <w:p w14:paraId="45917C4B" w14:textId="77777777" w:rsidR="001447FD" w:rsidRPr="001447FD" w:rsidRDefault="001447FD" w:rsidP="001447FD">
            <w:pPr>
              <w:rPr>
                <w:rFonts w:cstheme="minorHAnsi"/>
                <w:sz w:val="18"/>
                <w:szCs w:val="18"/>
              </w:rPr>
            </w:pPr>
            <w:r w:rsidRPr="001447FD">
              <w:rPr>
                <w:rFonts w:cstheme="minorHAnsi"/>
                <w:sz w:val="18"/>
                <w:szCs w:val="18"/>
              </w:rPr>
              <w:t>7 “what is worse, they compounded this by failing to be open and cooperative” (FCA 2013d)</w:t>
            </w:r>
          </w:p>
        </w:tc>
      </w:tr>
      <w:tr w:rsidR="001447FD" w:rsidRPr="001447FD" w14:paraId="6E00AD17" w14:textId="77777777" w:rsidTr="007C2D59">
        <w:tc>
          <w:tcPr>
            <w:tcW w:w="1793" w:type="dxa"/>
            <w:vMerge/>
          </w:tcPr>
          <w:p w14:paraId="12FAF4E1" w14:textId="77777777" w:rsidR="001447FD" w:rsidRPr="001447FD" w:rsidRDefault="001447FD" w:rsidP="001447FD">
            <w:pPr>
              <w:rPr>
                <w:rFonts w:cstheme="minorHAnsi"/>
                <w:sz w:val="18"/>
                <w:szCs w:val="18"/>
              </w:rPr>
            </w:pPr>
          </w:p>
        </w:tc>
        <w:tc>
          <w:tcPr>
            <w:tcW w:w="1867" w:type="dxa"/>
            <w:vMerge/>
          </w:tcPr>
          <w:p w14:paraId="40912000" w14:textId="77777777" w:rsidR="001447FD" w:rsidRPr="001447FD" w:rsidRDefault="001447FD" w:rsidP="001447FD">
            <w:pPr>
              <w:rPr>
                <w:rFonts w:cstheme="minorHAnsi"/>
                <w:sz w:val="18"/>
                <w:szCs w:val="18"/>
              </w:rPr>
            </w:pPr>
          </w:p>
        </w:tc>
        <w:tc>
          <w:tcPr>
            <w:tcW w:w="1722" w:type="dxa"/>
            <w:vMerge/>
          </w:tcPr>
          <w:p w14:paraId="1A8565B0" w14:textId="77777777" w:rsidR="001447FD" w:rsidRPr="001447FD" w:rsidRDefault="001447FD" w:rsidP="001447FD">
            <w:pPr>
              <w:rPr>
                <w:rFonts w:cstheme="minorHAnsi"/>
                <w:sz w:val="18"/>
                <w:szCs w:val="18"/>
              </w:rPr>
            </w:pPr>
          </w:p>
        </w:tc>
        <w:tc>
          <w:tcPr>
            <w:tcW w:w="8566" w:type="dxa"/>
          </w:tcPr>
          <w:p w14:paraId="0A9AC192" w14:textId="77777777" w:rsidR="001447FD" w:rsidRPr="001447FD" w:rsidRDefault="001447FD" w:rsidP="001447FD">
            <w:pPr>
              <w:rPr>
                <w:rFonts w:cstheme="minorHAnsi"/>
                <w:sz w:val="18"/>
                <w:szCs w:val="18"/>
              </w:rPr>
            </w:pPr>
            <w:r w:rsidRPr="001447FD">
              <w:rPr>
                <w:rFonts w:cstheme="minorHAnsi"/>
                <w:sz w:val="18"/>
                <w:szCs w:val="18"/>
              </w:rPr>
              <w:t>8 “Clydesdale’s failings were unacceptable and fell well below the standard the FCA expects” (FCA 2015h)</w:t>
            </w:r>
          </w:p>
        </w:tc>
      </w:tr>
      <w:tr w:rsidR="001447FD" w:rsidRPr="001447FD" w14:paraId="35D020EE" w14:textId="77777777" w:rsidTr="007C2D59">
        <w:tc>
          <w:tcPr>
            <w:tcW w:w="1793" w:type="dxa"/>
            <w:vMerge/>
          </w:tcPr>
          <w:p w14:paraId="2AFD4E42" w14:textId="77777777" w:rsidR="001447FD" w:rsidRPr="001447FD" w:rsidRDefault="001447FD" w:rsidP="001447FD">
            <w:pPr>
              <w:rPr>
                <w:rFonts w:cstheme="minorHAnsi"/>
                <w:sz w:val="18"/>
                <w:szCs w:val="18"/>
              </w:rPr>
            </w:pPr>
          </w:p>
        </w:tc>
        <w:tc>
          <w:tcPr>
            <w:tcW w:w="1867" w:type="dxa"/>
            <w:vMerge/>
          </w:tcPr>
          <w:p w14:paraId="52AFFA0A" w14:textId="77777777" w:rsidR="001447FD" w:rsidRPr="001447FD" w:rsidRDefault="001447FD" w:rsidP="001447FD">
            <w:pPr>
              <w:rPr>
                <w:rFonts w:cstheme="minorHAnsi"/>
                <w:sz w:val="18"/>
                <w:szCs w:val="18"/>
              </w:rPr>
            </w:pPr>
          </w:p>
        </w:tc>
        <w:tc>
          <w:tcPr>
            <w:tcW w:w="1722" w:type="dxa"/>
            <w:vMerge/>
          </w:tcPr>
          <w:p w14:paraId="44183716" w14:textId="77777777" w:rsidR="001447FD" w:rsidRPr="001447FD" w:rsidRDefault="001447FD" w:rsidP="001447FD">
            <w:pPr>
              <w:rPr>
                <w:rFonts w:cstheme="minorHAnsi"/>
                <w:sz w:val="18"/>
                <w:szCs w:val="18"/>
              </w:rPr>
            </w:pPr>
          </w:p>
        </w:tc>
        <w:tc>
          <w:tcPr>
            <w:tcW w:w="8566" w:type="dxa"/>
          </w:tcPr>
          <w:p w14:paraId="70061E95" w14:textId="77777777" w:rsidR="001447FD" w:rsidRPr="001447FD" w:rsidRDefault="001447FD" w:rsidP="001447FD">
            <w:pPr>
              <w:rPr>
                <w:rFonts w:cstheme="minorHAnsi"/>
                <w:sz w:val="18"/>
                <w:szCs w:val="18"/>
              </w:rPr>
            </w:pPr>
            <w:r w:rsidRPr="001447FD">
              <w:rPr>
                <w:rFonts w:cstheme="minorHAnsi"/>
                <w:sz w:val="18"/>
                <w:szCs w:val="18"/>
              </w:rPr>
              <w:t>9 “penalty was increased because of its failure to respond adequately” (FCA 2013c)</w:t>
            </w:r>
          </w:p>
        </w:tc>
      </w:tr>
      <w:tr w:rsidR="001447FD" w:rsidRPr="001447FD" w14:paraId="7556A848" w14:textId="77777777" w:rsidTr="007C2D59">
        <w:tc>
          <w:tcPr>
            <w:tcW w:w="1793" w:type="dxa"/>
            <w:vMerge/>
          </w:tcPr>
          <w:p w14:paraId="0C8C2C65" w14:textId="77777777" w:rsidR="001447FD" w:rsidRPr="001447FD" w:rsidRDefault="001447FD" w:rsidP="001447FD">
            <w:pPr>
              <w:rPr>
                <w:rFonts w:cstheme="minorHAnsi"/>
                <w:sz w:val="18"/>
                <w:szCs w:val="18"/>
              </w:rPr>
            </w:pPr>
          </w:p>
        </w:tc>
        <w:tc>
          <w:tcPr>
            <w:tcW w:w="1867" w:type="dxa"/>
            <w:vMerge/>
          </w:tcPr>
          <w:p w14:paraId="788FE1AD" w14:textId="77777777" w:rsidR="001447FD" w:rsidRPr="001447FD" w:rsidRDefault="001447FD" w:rsidP="001447FD">
            <w:pPr>
              <w:rPr>
                <w:rFonts w:cstheme="minorHAnsi"/>
                <w:sz w:val="18"/>
                <w:szCs w:val="18"/>
              </w:rPr>
            </w:pPr>
          </w:p>
        </w:tc>
        <w:tc>
          <w:tcPr>
            <w:tcW w:w="1722" w:type="dxa"/>
            <w:vMerge/>
          </w:tcPr>
          <w:p w14:paraId="42D19286" w14:textId="77777777" w:rsidR="001447FD" w:rsidRPr="001447FD" w:rsidRDefault="001447FD" w:rsidP="001447FD">
            <w:pPr>
              <w:rPr>
                <w:rFonts w:cstheme="minorHAnsi"/>
                <w:sz w:val="18"/>
                <w:szCs w:val="18"/>
              </w:rPr>
            </w:pPr>
          </w:p>
        </w:tc>
        <w:tc>
          <w:tcPr>
            <w:tcW w:w="8566" w:type="dxa"/>
          </w:tcPr>
          <w:p w14:paraId="7CEEEF13" w14:textId="77777777" w:rsidR="001447FD" w:rsidRPr="001447FD" w:rsidRDefault="001447FD" w:rsidP="001447FD">
            <w:pPr>
              <w:rPr>
                <w:rFonts w:cstheme="minorHAnsi"/>
                <w:sz w:val="18"/>
                <w:szCs w:val="18"/>
              </w:rPr>
            </w:pPr>
            <w:r w:rsidRPr="001447FD">
              <w:rPr>
                <w:rFonts w:cstheme="minorHAnsi"/>
                <w:sz w:val="18"/>
                <w:szCs w:val="18"/>
              </w:rPr>
              <w:t>10 “firms will be held to account” (FCA 2015b)</w:t>
            </w:r>
          </w:p>
        </w:tc>
      </w:tr>
      <w:tr w:rsidR="001447FD" w:rsidRPr="001447FD" w14:paraId="59322A28" w14:textId="77777777" w:rsidTr="007C2D59">
        <w:tc>
          <w:tcPr>
            <w:tcW w:w="1793" w:type="dxa"/>
            <w:vMerge/>
          </w:tcPr>
          <w:p w14:paraId="1882C014" w14:textId="77777777" w:rsidR="001447FD" w:rsidRPr="001447FD" w:rsidRDefault="001447FD" w:rsidP="001447FD">
            <w:pPr>
              <w:rPr>
                <w:rFonts w:cstheme="minorHAnsi"/>
                <w:sz w:val="18"/>
                <w:szCs w:val="18"/>
              </w:rPr>
            </w:pPr>
          </w:p>
        </w:tc>
        <w:tc>
          <w:tcPr>
            <w:tcW w:w="1867" w:type="dxa"/>
            <w:vMerge w:val="restart"/>
          </w:tcPr>
          <w:p w14:paraId="6B0F84B9" w14:textId="77777777" w:rsidR="001447FD" w:rsidRPr="001447FD" w:rsidRDefault="001447FD" w:rsidP="001447FD">
            <w:pPr>
              <w:rPr>
                <w:rFonts w:cstheme="minorHAnsi"/>
                <w:sz w:val="18"/>
                <w:szCs w:val="18"/>
              </w:rPr>
            </w:pPr>
            <w:r w:rsidRPr="001447FD">
              <w:rPr>
                <w:rFonts w:cstheme="minorHAnsi"/>
                <w:sz w:val="18"/>
                <w:szCs w:val="18"/>
              </w:rPr>
              <w:t>Theme: cooperative ‘working together’ (message from regulator)</w:t>
            </w:r>
          </w:p>
        </w:tc>
        <w:tc>
          <w:tcPr>
            <w:tcW w:w="1722" w:type="dxa"/>
            <w:vMerge w:val="restart"/>
          </w:tcPr>
          <w:p w14:paraId="4D6395A8" w14:textId="77777777" w:rsidR="001447FD" w:rsidRPr="001447FD" w:rsidRDefault="001447FD" w:rsidP="001447FD">
            <w:pPr>
              <w:rPr>
                <w:rFonts w:cstheme="minorHAnsi"/>
                <w:sz w:val="18"/>
                <w:szCs w:val="18"/>
              </w:rPr>
            </w:pPr>
            <w:r w:rsidRPr="001447FD">
              <w:rPr>
                <w:rFonts w:cstheme="minorHAnsi"/>
                <w:sz w:val="18"/>
                <w:szCs w:val="18"/>
              </w:rPr>
              <w:t>change in regulatory tone, from sanctions to working together. Praise for proactive action</w:t>
            </w:r>
          </w:p>
        </w:tc>
        <w:tc>
          <w:tcPr>
            <w:tcW w:w="8566" w:type="dxa"/>
          </w:tcPr>
          <w:p w14:paraId="00712FF7" w14:textId="77777777" w:rsidR="001447FD" w:rsidRPr="001447FD" w:rsidRDefault="001447FD" w:rsidP="001447FD">
            <w:pPr>
              <w:rPr>
                <w:rFonts w:cstheme="minorHAnsi"/>
                <w:sz w:val="18"/>
                <w:szCs w:val="18"/>
              </w:rPr>
            </w:pPr>
            <w:r w:rsidRPr="001447FD">
              <w:rPr>
                <w:rFonts w:cstheme="minorHAnsi"/>
                <w:sz w:val="18"/>
                <w:szCs w:val="18"/>
              </w:rPr>
              <w:t xml:space="preserve">11 “The FCA has been working with the firm (FCA response to </w:t>
            </w:r>
            <w:proofErr w:type="spellStart"/>
            <w:r w:rsidRPr="001447FD">
              <w:rPr>
                <w:rFonts w:cstheme="minorHAnsi"/>
                <w:sz w:val="18"/>
                <w:szCs w:val="18"/>
              </w:rPr>
              <w:t>CashEuroNet</w:t>
            </w:r>
            <w:proofErr w:type="spellEnd"/>
            <w:r w:rsidRPr="001447FD">
              <w:rPr>
                <w:rFonts w:cstheme="minorHAnsi"/>
                <w:sz w:val="18"/>
                <w:szCs w:val="18"/>
              </w:rPr>
              <w:t xml:space="preserve">) [….] We are pleased that </w:t>
            </w:r>
            <w:proofErr w:type="spellStart"/>
            <w:r w:rsidRPr="001447FD">
              <w:rPr>
                <w:rFonts w:cstheme="minorHAnsi"/>
                <w:sz w:val="18"/>
                <w:szCs w:val="18"/>
              </w:rPr>
              <w:t>CashEuroNet</w:t>
            </w:r>
            <w:proofErr w:type="spellEnd"/>
            <w:r w:rsidRPr="001447FD">
              <w:rPr>
                <w:rFonts w:cstheme="minorHAnsi"/>
                <w:sz w:val="18"/>
                <w:szCs w:val="18"/>
              </w:rPr>
              <w:t xml:space="preserve"> is working with us to address our concerns” (FCA 2015k)</w:t>
            </w:r>
          </w:p>
          <w:p w14:paraId="1149D9B8" w14:textId="77777777" w:rsidR="001447FD" w:rsidRPr="001447FD" w:rsidRDefault="001447FD" w:rsidP="001447FD">
            <w:pPr>
              <w:rPr>
                <w:rFonts w:cstheme="minorHAnsi"/>
                <w:sz w:val="18"/>
                <w:szCs w:val="18"/>
              </w:rPr>
            </w:pPr>
          </w:p>
        </w:tc>
      </w:tr>
      <w:tr w:rsidR="001447FD" w:rsidRPr="001447FD" w14:paraId="33FB0637" w14:textId="77777777" w:rsidTr="007C2D59">
        <w:tc>
          <w:tcPr>
            <w:tcW w:w="1793" w:type="dxa"/>
            <w:vMerge/>
          </w:tcPr>
          <w:p w14:paraId="74881C5A" w14:textId="77777777" w:rsidR="001447FD" w:rsidRPr="001447FD" w:rsidRDefault="001447FD" w:rsidP="001447FD">
            <w:pPr>
              <w:rPr>
                <w:rFonts w:cstheme="minorHAnsi"/>
                <w:sz w:val="18"/>
                <w:szCs w:val="18"/>
              </w:rPr>
            </w:pPr>
          </w:p>
        </w:tc>
        <w:tc>
          <w:tcPr>
            <w:tcW w:w="1867" w:type="dxa"/>
            <w:vMerge/>
          </w:tcPr>
          <w:p w14:paraId="24B4ACB9" w14:textId="77777777" w:rsidR="001447FD" w:rsidRPr="001447FD" w:rsidRDefault="001447FD" w:rsidP="001447FD">
            <w:pPr>
              <w:rPr>
                <w:rFonts w:cstheme="minorHAnsi"/>
                <w:sz w:val="18"/>
                <w:szCs w:val="18"/>
              </w:rPr>
            </w:pPr>
          </w:p>
        </w:tc>
        <w:tc>
          <w:tcPr>
            <w:tcW w:w="1722" w:type="dxa"/>
            <w:vMerge/>
          </w:tcPr>
          <w:p w14:paraId="4252EAC8" w14:textId="77777777" w:rsidR="001447FD" w:rsidRPr="001447FD" w:rsidRDefault="001447FD" w:rsidP="001447FD">
            <w:pPr>
              <w:rPr>
                <w:rFonts w:cstheme="minorHAnsi"/>
                <w:sz w:val="18"/>
                <w:szCs w:val="18"/>
              </w:rPr>
            </w:pPr>
          </w:p>
        </w:tc>
        <w:tc>
          <w:tcPr>
            <w:tcW w:w="8566" w:type="dxa"/>
          </w:tcPr>
          <w:p w14:paraId="0205CFA1" w14:textId="77777777" w:rsidR="001447FD" w:rsidRPr="001447FD" w:rsidRDefault="001447FD" w:rsidP="001447FD">
            <w:pPr>
              <w:rPr>
                <w:rFonts w:cstheme="minorHAnsi"/>
                <w:sz w:val="18"/>
                <w:szCs w:val="18"/>
              </w:rPr>
            </w:pPr>
            <w:r w:rsidRPr="001447FD">
              <w:rPr>
                <w:rFonts w:cstheme="minorHAnsi"/>
                <w:sz w:val="18"/>
                <w:szCs w:val="18"/>
              </w:rPr>
              <w:t>12 “We have been encouraged that Cash Genie has been working with us proactively and openly to put things right” (FCA 2015m)</w:t>
            </w:r>
          </w:p>
        </w:tc>
      </w:tr>
      <w:tr w:rsidR="001447FD" w:rsidRPr="001447FD" w14:paraId="69465CDB" w14:textId="77777777" w:rsidTr="007C2D59">
        <w:tc>
          <w:tcPr>
            <w:tcW w:w="1793" w:type="dxa"/>
            <w:vMerge/>
          </w:tcPr>
          <w:p w14:paraId="402A44B3" w14:textId="77777777" w:rsidR="001447FD" w:rsidRPr="001447FD" w:rsidRDefault="001447FD" w:rsidP="001447FD">
            <w:pPr>
              <w:rPr>
                <w:rFonts w:cstheme="minorHAnsi"/>
                <w:sz w:val="18"/>
                <w:szCs w:val="18"/>
              </w:rPr>
            </w:pPr>
          </w:p>
        </w:tc>
        <w:tc>
          <w:tcPr>
            <w:tcW w:w="1867" w:type="dxa"/>
            <w:vMerge/>
          </w:tcPr>
          <w:p w14:paraId="309A53E8" w14:textId="77777777" w:rsidR="001447FD" w:rsidRPr="001447FD" w:rsidRDefault="001447FD" w:rsidP="001447FD">
            <w:pPr>
              <w:rPr>
                <w:rFonts w:cstheme="minorHAnsi"/>
                <w:sz w:val="18"/>
                <w:szCs w:val="18"/>
              </w:rPr>
            </w:pPr>
          </w:p>
        </w:tc>
        <w:tc>
          <w:tcPr>
            <w:tcW w:w="1722" w:type="dxa"/>
            <w:vMerge/>
          </w:tcPr>
          <w:p w14:paraId="2B91ACB2" w14:textId="77777777" w:rsidR="001447FD" w:rsidRPr="001447FD" w:rsidRDefault="001447FD" w:rsidP="001447FD">
            <w:pPr>
              <w:rPr>
                <w:rFonts w:cstheme="minorHAnsi"/>
                <w:sz w:val="18"/>
                <w:szCs w:val="18"/>
              </w:rPr>
            </w:pPr>
          </w:p>
        </w:tc>
        <w:tc>
          <w:tcPr>
            <w:tcW w:w="8566" w:type="dxa"/>
          </w:tcPr>
          <w:p w14:paraId="0E9AF219" w14:textId="77777777" w:rsidR="001447FD" w:rsidRPr="001447FD" w:rsidRDefault="001447FD" w:rsidP="001447FD">
            <w:pPr>
              <w:rPr>
                <w:rFonts w:cstheme="minorHAnsi"/>
                <w:sz w:val="18"/>
                <w:szCs w:val="18"/>
              </w:rPr>
            </w:pPr>
            <w:r w:rsidRPr="001447FD">
              <w:rPr>
                <w:rFonts w:cstheme="minorHAnsi"/>
                <w:sz w:val="18"/>
                <w:szCs w:val="18"/>
              </w:rPr>
              <w:t>13 “Lloyds has made significant progress” (FCA 2015c)</w:t>
            </w:r>
          </w:p>
        </w:tc>
      </w:tr>
      <w:tr w:rsidR="001447FD" w:rsidRPr="001447FD" w14:paraId="5943CC05" w14:textId="77777777" w:rsidTr="007C2D59">
        <w:tc>
          <w:tcPr>
            <w:tcW w:w="1793" w:type="dxa"/>
            <w:vMerge/>
          </w:tcPr>
          <w:p w14:paraId="4B652B1A" w14:textId="77777777" w:rsidR="001447FD" w:rsidRPr="001447FD" w:rsidRDefault="001447FD" w:rsidP="001447FD">
            <w:pPr>
              <w:rPr>
                <w:rFonts w:cstheme="minorHAnsi"/>
                <w:sz w:val="18"/>
                <w:szCs w:val="18"/>
              </w:rPr>
            </w:pPr>
          </w:p>
        </w:tc>
        <w:tc>
          <w:tcPr>
            <w:tcW w:w="1867" w:type="dxa"/>
            <w:vMerge/>
          </w:tcPr>
          <w:p w14:paraId="033373B8" w14:textId="77777777" w:rsidR="001447FD" w:rsidRPr="001447FD" w:rsidRDefault="001447FD" w:rsidP="001447FD">
            <w:pPr>
              <w:rPr>
                <w:rFonts w:cstheme="minorHAnsi"/>
                <w:sz w:val="18"/>
                <w:szCs w:val="18"/>
              </w:rPr>
            </w:pPr>
          </w:p>
        </w:tc>
        <w:tc>
          <w:tcPr>
            <w:tcW w:w="1722" w:type="dxa"/>
            <w:vMerge/>
          </w:tcPr>
          <w:p w14:paraId="67EB0334" w14:textId="77777777" w:rsidR="001447FD" w:rsidRPr="001447FD" w:rsidRDefault="001447FD" w:rsidP="001447FD">
            <w:pPr>
              <w:rPr>
                <w:rFonts w:cstheme="minorHAnsi"/>
                <w:sz w:val="18"/>
                <w:szCs w:val="18"/>
              </w:rPr>
            </w:pPr>
          </w:p>
        </w:tc>
        <w:tc>
          <w:tcPr>
            <w:tcW w:w="8566" w:type="dxa"/>
          </w:tcPr>
          <w:p w14:paraId="3DE6C5EC" w14:textId="77777777" w:rsidR="001447FD" w:rsidRPr="001447FD" w:rsidRDefault="001447FD" w:rsidP="001447FD">
            <w:pPr>
              <w:rPr>
                <w:rFonts w:cstheme="minorHAnsi"/>
                <w:sz w:val="18"/>
                <w:szCs w:val="18"/>
              </w:rPr>
            </w:pPr>
            <w:r w:rsidRPr="001447FD">
              <w:rPr>
                <w:rFonts w:cstheme="minorHAnsi"/>
                <w:sz w:val="18"/>
                <w:szCs w:val="18"/>
              </w:rPr>
              <w:t>14  “While Aviva Investors’ failings were serious, the FCA has recognised that its actions since reporting its failings were exceptional” (FCA 2015j)</w:t>
            </w:r>
          </w:p>
        </w:tc>
      </w:tr>
      <w:tr w:rsidR="001447FD" w:rsidRPr="001447FD" w14:paraId="71B29ECA" w14:textId="77777777" w:rsidTr="007C2D59">
        <w:tc>
          <w:tcPr>
            <w:tcW w:w="1793" w:type="dxa"/>
            <w:vMerge/>
          </w:tcPr>
          <w:p w14:paraId="18F6BB21" w14:textId="77777777" w:rsidR="001447FD" w:rsidRPr="001447FD" w:rsidRDefault="001447FD" w:rsidP="001447FD">
            <w:pPr>
              <w:rPr>
                <w:rFonts w:cstheme="minorHAnsi"/>
                <w:sz w:val="18"/>
                <w:szCs w:val="18"/>
              </w:rPr>
            </w:pPr>
          </w:p>
        </w:tc>
        <w:tc>
          <w:tcPr>
            <w:tcW w:w="1867" w:type="dxa"/>
            <w:vMerge w:val="restart"/>
          </w:tcPr>
          <w:p w14:paraId="4C759643" w14:textId="77777777" w:rsidR="001447FD" w:rsidRPr="001447FD" w:rsidRDefault="001447FD" w:rsidP="001447FD">
            <w:pPr>
              <w:rPr>
                <w:rFonts w:cstheme="minorHAnsi"/>
                <w:sz w:val="18"/>
                <w:szCs w:val="18"/>
              </w:rPr>
            </w:pPr>
            <w:r w:rsidRPr="001447FD">
              <w:rPr>
                <w:rFonts w:cstheme="minorHAnsi"/>
                <w:sz w:val="18"/>
                <w:szCs w:val="18"/>
              </w:rPr>
              <w:t>Theme: disregard for the regulatory response</w:t>
            </w:r>
          </w:p>
        </w:tc>
        <w:tc>
          <w:tcPr>
            <w:tcW w:w="1722" w:type="dxa"/>
            <w:vMerge w:val="restart"/>
          </w:tcPr>
          <w:p w14:paraId="561267CC" w14:textId="77777777" w:rsidR="001447FD" w:rsidRPr="001447FD" w:rsidRDefault="001447FD" w:rsidP="001447FD">
            <w:pPr>
              <w:rPr>
                <w:rFonts w:cstheme="minorHAnsi"/>
                <w:sz w:val="18"/>
                <w:szCs w:val="18"/>
              </w:rPr>
            </w:pPr>
            <w:r w:rsidRPr="001447FD">
              <w:rPr>
                <w:rFonts w:cstheme="minorHAnsi"/>
                <w:sz w:val="18"/>
                <w:szCs w:val="18"/>
              </w:rPr>
              <w:t>absent responses, concise responses or passing on blame.</w:t>
            </w:r>
          </w:p>
        </w:tc>
        <w:tc>
          <w:tcPr>
            <w:tcW w:w="8566" w:type="dxa"/>
          </w:tcPr>
          <w:p w14:paraId="1B24E6B0" w14:textId="77777777" w:rsidR="001447FD" w:rsidRPr="001447FD" w:rsidRDefault="001447FD" w:rsidP="001447FD">
            <w:pPr>
              <w:rPr>
                <w:rFonts w:cstheme="minorHAnsi"/>
                <w:sz w:val="18"/>
                <w:szCs w:val="18"/>
              </w:rPr>
            </w:pPr>
            <w:r w:rsidRPr="001447FD">
              <w:rPr>
                <w:rFonts w:cstheme="minorHAnsi"/>
                <w:sz w:val="18"/>
                <w:szCs w:val="18"/>
              </w:rPr>
              <w:t>15 “JLTSL has since put in place updated policies that have been confirmed by the FCA as being appropriate” (JLTSL)</w:t>
            </w:r>
          </w:p>
        </w:tc>
      </w:tr>
      <w:tr w:rsidR="001447FD" w:rsidRPr="001447FD" w14:paraId="79E8D081" w14:textId="77777777" w:rsidTr="007C2D59">
        <w:tc>
          <w:tcPr>
            <w:tcW w:w="1793" w:type="dxa"/>
            <w:vMerge/>
          </w:tcPr>
          <w:p w14:paraId="6C8295B4" w14:textId="77777777" w:rsidR="001447FD" w:rsidRPr="001447FD" w:rsidRDefault="001447FD" w:rsidP="001447FD">
            <w:pPr>
              <w:rPr>
                <w:rFonts w:cstheme="minorHAnsi"/>
                <w:sz w:val="18"/>
                <w:szCs w:val="18"/>
              </w:rPr>
            </w:pPr>
          </w:p>
        </w:tc>
        <w:tc>
          <w:tcPr>
            <w:tcW w:w="1867" w:type="dxa"/>
            <w:vMerge/>
          </w:tcPr>
          <w:p w14:paraId="68B61100" w14:textId="77777777" w:rsidR="001447FD" w:rsidRPr="001447FD" w:rsidRDefault="001447FD" w:rsidP="001447FD">
            <w:pPr>
              <w:rPr>
                <w:rFonts w:cstheme="minorHAnsi"/>
                <w:sz w:val="18"/>
                <w:szCs w:val="18"/>
              </w:rPr>
            </w:pPr>
          </w:p>
        </w:tc>
        <w:tc>
          <w:tcPr>
            <w:tcW w:w="1722" w:type="dxa"/>
            <w:vMerge/>
          </w:tcPr>
          <w:p w14:paraId="2BB71B85" w14:textId="77777777" w:rsidR="001447FD" w:rsidRPr="001447FD" w:rsidRDefault="001447FD" w:rsidP="001447FD">
            <w:pPr>
              <w:rPr>
                <w:rFonts w:cstheme="minorHAnsi"/>
                <w:sz w:val="18"/>
                <w:szCs w:val="18"/>
              </w:rPr>
            </w:pPr>
          </w:p>
        </w:tc>
        <w:tc>
          <w:tcPr>
            <w:tcW w:w="8566" w:type="dxa"/>
          </w:tcPr>
          <w:p w14:paraId="2AA79416" w14:textId="77777777" w:rsidR="001447FD" w:rsidRPr="001447FD" w:rsidRDefault="001447FD" w:rsidP="001447FD">
            <w:pPr>
              <w:rPr>
                <w:rFonts w:cstheme="minorHAnsi"/>
                <w:sz w:val="18"/>
                <w:szCs w:val="18"/>
              </w:rPr>
            </w:pPr>
            <w:r w:rsidRPr="001447FD">
              <w:rPr>
                <w:rFonts w:cstheme="minorHAnsi"/>
                <w:sz w:val="18"/>
                <w:szCs w:val="18"/>
              </w:rPr>
              <w:t>16 “</w:t>
            </w:r>
            <w:proofErr w:type="spellStart"/>
            <w:r w:rsidRPr="001447FD">
              <w:rPr>
                <w:rFonts w:cstheme="minorHAnsi"/>
                <w:sz w:val="18"/>
                <w:szCs w:val="18"/>
              </w:rPr>
              <w:t>Threadneedle</w:t>
            </w:r>
            <w:proofErr w:type="spellEnd"/>
            <w:r w:rsidRPr="001447FD">
              <w:rPr>
                <w:rFonts w:cstheme="minorHAnsi"/>
                <w:sz w:val="18"/>
                <w:szCs w:val="18"/>
              </w:rPr>
              <w:t xml:space="preserve"> was the intended victim of an attempted fraudulent trade….</w:t>
            </w:r>
            <w:proofErr w:type="spellStart"/>
            <w:r w:rsidRPr="001447FD">
              <w:rPr>
                <w:rFonts w:cstheme="minorHAnsi"/>
                <w:sz w:val="18"/>
                <w:szCs w:val="18"/>
              </w:rPr>
              <w:t>Threadneedle</w:t>
            </w:r>
            <w:proofErr w:type="spellEnd"/>
            <w:r w:rsidRPr="001447FD">
              <w:rPr>
                <w:rFonts w:cstheme="minorHAnsi"/>
                <w:sz w:val="18"/>
                <w:szCs w:val="18"/>
              </w:rPr>
              <w:t xml:space="preserve"> identified and stopped the trade…” (</w:t>
            </w:r>
            <w:proofErr w:type="spellStart"/>
            <w:r w:rsidRPr="001447FD">
              <w:rPr>
                <w:rFonts w:cstheme="minorHAnsi"/>
                <w:sz w:val="18"/>
                <w:szCs w:val="18"/>
              </w:rPr>
              <w:t>Threadneedle</w:t>
            </w:r>
            <w:proofErr w:type="spellEnd"/>
            <w:r w:rsidRPr="001447FD">
              <w:rPr>
                <w:rFonts w:cstheme="minorHAnsi"/>
                <w:sz w:val="18"/>
                <w:szCs w:val="18"/>
              </w:rPr>
              <w:t>)</w:t>
            </w:r>
          </w:p>
        </w:tc>
      </w:tr>
      <w:tr w:rsidR="001447FD" w:rsidRPr="001447FD" w14:paraId="20BCEEB6" w14:textId="77777777" w:rsidTr="007C2D59">
        <w:tc>
          <w:tcPr>
            <w:tcW w:w="1793" w:type="dxa"/>
            <w:vMerge/>
          </w:tcPr>
          <w:p w14:paraId="7393CDC3" w14:textId="77777777" w:rsidR="001447FD" w:rsidRPr="001447FD" w:rsidRDefault="001447FD" w:rsidP="001447FD">
            <w:pPr>
              <w:rPr>
                <w:rFonts w:cstheme="minorHAnsi"/>
                <w:sz w:val="18"/>
                <w:szCs w:val="18"/>
              </w:rPr>
            </w:pPr>
          </w:p>
        </w:tc>
        <w:tc>
          <w:tcPr>
            <w:tcW w:w="1867" w:type="dxa"/>
            <w:vMerge/>
          </w:tcPr>
          <w:p w14:paraId="08499712" w14:textId="77777777" w:rsidR="001447FD" w:rsidRPr="001447FD" w:rsidRDefault="001447FD" w:rsidP="001447FD">
            <w:pPr>
              <w:rPr>
                <w:rFonts w:cstheme="minorHAnsi"/>
                <w:sz w:val="18"/>
                <w:szCs w:val="18"/>
              </w:rPr>
            </w:pPr>
          </w:p>
        </w:tc>
        <w:tc>
          <w:tcPr>
            <w:tcW w:w="1722" w:type="dxa"/>
            <w:vMerge/>
          </w:tcPr>
          <w:p w14:paraId="0A35504E" w14:textId="77777777" w:rsidR="001447FD" w:rsidRPr="001447FD" w:rsidRDefault="001447FD" w:rsidP="001447FD">
            <w:pPr>
              <w:rPr>
                <w:rFonts w:cstheme="minorHAnsi"/>
                <w:sz w:val="18"/>
                <w:szCs w:val="18"/>
              </w:rPr>
            </w:pPr>
          </w:p>
        </w:tc>
        <w:tc>
          <w:tcPr>
            <w:tcW w:w="8566" w:type="dxa"/>
          </w:tcPr>
          <w:p w14:paraId="3A566DBE" w14:textId="77777777" w:rsidR="001447FD" w:rsidRPr="001447FD" w:rsidRDefault="001447FD" w:rsidP="001447FD">
            <w:pPr>
              <w:rPr>
                <w:rFonts w:cstheme="minorHAnsi"/>
                <w:sz w:val="18"/>
                <w:szCs w:val="18"/>
              </w:rPr>
            </w:pPr>
            <w:r w:rsidRPr="001447FD">
              <w:rPr>
                <w:rFonts w:cstheme="minorHAnsi"/>
                <w:sz w:val="18"/>
                <w:szCs w:val="18"/>
              </w:rPr>
              <w:t>17 “the FCA considers these failings to be particularly serious” (FCA 2015)</w:t>
            </w:r>
          </w:p>
        </w:tc>
      </w:tr>
      <w:tr w:rsidR="001447FD" w:rsidRPr="001447FD" w14:paraId="4E0C649D" w14:textId="77777777" w:rsidTr="007C2D59">
        <w:tc>
          <w:tcPr>
            <w:tcW w:w="1793" w:type="dxa"/>
            <w:vMerge w:val="restart"/>
          </w:tcPr>
          <w:p w14:paraId="0B1E8A0C" w14:textId="77777777" w:rsidR="001447FD" w:rsidRPr="001447FD" w:rsidRDefault="001447FD" w:rsidP="001447FD">
            <w:pPr>
              <w:rPr>
                <w:rFonts w:cstheme="minorHAnsi"/>
                <w:sz w:val="18"/>
                <w:szCs w:val="18"/>
              </w:rPr>
            </w:pPr>
            <w:r w:rsidRPr="001447FD">
              <w:rPr>
                <w:rFonts w:cstheme="minorHAnsi"/>
                <w:sz w:val="18"/>
                <w:szCs w:val="18"/>
              </w:rPr>
              <w:t xml:space="preserve">Mimetic isomorphism  </w:t>
            </w:r>
          </w:p>
        </w:tc>
        <w:tc>
          <w:tcPr>
            <w:tcW w:w="1867" w:type="dxa"/>
            <w:vMerge w:val="restart"/>
          </w:tcPr>
          <w:p w14:paraId="2DA29E3D" w14:textId="77777777" w:rsidR="001447FD" w:rsidRPr="001447FD" w:rsidRDefault="001447FD" w:rsidP="001447FD">
            <w:pPr>
              <w:rPr>
                <w:rFonts w:cstheme="minorHAnsi"/>
                <w:sz w:val="18"/>
                <w:szCs w:val="18"/>
              </w:rPr>
            </w:pPr>
            <w:r w:rsidRPr="001447FD">
              <w:rPr>
                <w:rFonts w:cstheme="minorHAnsi"/>
                <w:sz w:val="18"/>
                <w:szCs w:val="18"/>
              </w:rPr>
              <w:t>Theme: violators’ regret statements</w:t>
            </w:r>
          </w:p>
        </w:tc>
        <w:tc>
          <w:tcPr>
            <w:tcW w:w="1722" w:type="dxa"/>
            <w:vMerge w:val="restart"/>
          </w:tcPr>
          <w:p w14:paraId="529D669F" w14:textId="77777777" w:rsidR="001447FD" w:rsidRPr="001447FD" w:rsidRDefault="001447FD" w:rsidP="001447FD">
            <w:pPr>
              <w:rPr>
                <w:rFonts w:cstheme="minorHAnsi"/>
                <w:sz w:val="18"/>
                <w:szCs w:val="18"/>
              </w:rPr>
            </w:pPr>
            <w:r w:rsidRPr="001447FD">
              <w:rPr>
                <w:rFonts w:cstheme="minorHAnsi"/>
                <w:sz w:val="18"/>
                <w:szCs w:val="18"/>
              </w:rPr>
              <w:t>apology, regret</w:t>
            </w:r>
          </w:p>
        </w:tc>
        <w:tc>
          <w:tcPr>
            <w:tcW w:w="8566" w:type="dxa"/>
          </w:tcPr>
          <w:p w14:paraId="7B76C124" w14:textId="77777777" w:rsidR="001447FD" w:rsidRPr="001447FD" w:rsidRDefault="001447FD" w:rsidP="001447FD">
            <w:pPr>
              <w:rPr>
                <w:rFonts w:cstheme="minorHAnsi"/>
                <w:sz w:val="18"/>
                <w:szCs w:val="18"/>
              </w:rPr>
            </w:pPr>
            <w:r w:rsidRPr="001447FD">
              <w:rPr>
                <w:rFonts w:cstheme="minorHAnsi"/>
                <w:sz w:val="18"/>
                <w:szCs w:val="18"/>
              </w:rPr>
              <w:t>18 “We are issuing a public apology” (Wonga)</w:t>
            </w:r>
          </w:p>
          <w:p w14:paraId="15DC8B0D" w14:textId="77777777" w:rsidR="001447FD" w:rsidRPr="001447FD" w:rsidRDefault="001447FD" w:rsidP="001447FD">
            <w:pPr>
              <w:rPr>
                <w:rFonts w:cstheme="minorHAnsi"/>
                <w:sz w:val="18"/>
                <w:szCs w:val="18"/>
              </w:rPr>
            </w:pPr>
            <w:r w:rsidRPr="001447FD">
              <w:rPr>
                <w:rFonts w:cstheme="minorHAnsi"/>
                <w:sz w:val="18"/>
                <w:szCs w:val="18"/>
              </w:rPr>
              <w:t xml:space="preserve"> </w:t>
            </w:r>
          </w:p>
          <w:p w14:paraId="48CF26B2" w14:textId="77777777" w:rsidR="001447FD" w:rsidRPr="001447FD" w:rsidRDefault="001447FD" w:rsidP="001447FD">
            <w:pPr>
              <w:rPr>
                <w:rFonts w:cstheme="minorHAnsi"/>
                <w:sz w:val="18"/>
                <w:szCs w:val="18"/>
              </w:rPr>
            </w:pPr>
            <w:r w:rsidRPr="001447FD">
              <w:rPr>
                <w:rFonts w:cstheme="minorHAnsi"/>
                <w:sz w:val="18"/>
                <w:szCs w:val="18"/>
              </w:rPr>
              <w:t xml:space="preserve"> </w:t>
            </w:r>
          </w:p>
        </w:tc>
      </w:tr>
      <w:tr w:rsidR="001447FD" w:rsidRPr="001447FD" w14:paraId="2B651D77" w14:textId="77777777" w:rsidTr="007C2D59">
        <w:tc>
          <w:tcPr>
            <w:tcW w:w="1793" w:type="dxa"/>
            <w:vMerge/>
          </w:tcPr>
          <w:p w14:paraId="4C7CAEBB" w14:textId="77777777" w:rsidR="001447FD" w:rsidRPr="001447FD" w:rsidRDefault="001447FD" w:rsidP="001447FD">
            <w:pPr>
              <w:rPr>
                <w:rFonts w:cstheme="minorHAnsi"/>
                <w:sz w:val="18"/>
                <w:szCs w:val="18"/>
              </w:rPr>
            </w:pPr>
          </w:p>
        </w:tc>
        <w:tc>
          <w:tcPr>
            <w:tcW w:w="1867" w:type="dxa"/>
            <w:vMerge/>
          </w:tcPr>
          <w:p w14:paraId="664811A6" w14:textId="77777777" w:rsidR="001447FD" w:rsidRPr="001447FD" w:rsidRDefault="001447FD" w:rsidP="001447FD">
            <w:pPr>
              <w:rPr>
                <w:rFonts w:cstheme="minorHAnsi"/>
                <w:sz w:val="18"/>
                <w:szCs w:val="18"/>
              </w:rPr>
            </w:pPr>
          </w:p>
        </w:tc>
        <w:tc>
          <w:tcPr>
            <w:tcW w:w="1722" w:type="dxa"/>
            <w:vMerge/>
          </w:tcPr>
          <w:p w14:paraId="75DA05B6" w14:textId="77777777" w:rsidR="001447FD" w:rsidRPr="001447FD" w:rsidRDefault="001447FD" w:rsidP="001447FD">
            <w:pPr>
              <w:rPr>
                <w:rFonts w:cstheme="minorHAnsi"/>
                <w:sz w:val="18"/>
                <w:szCs w:val="18"/>
              </w:rPr>
            </w:pPr>
          </w:p>
        </w:tc>
        <w:tc>
          <w:tcPr>
            <w:tcW w:w="8566" w:type="dxa"/>
          </w:tcPr>
          <w:p w14:paraId="481A1359" w14:textId="77777777" w:rsidR="001447FD" w:rsidRPr="001447FD" w:rsidRDefault="001447FD" w:rsidP="001447FD">
            <w:pPr>
              <w:rPr>
                <w:rFonts w:cstheme="minorHAnsi"/>
                <w:sz w:val="18"/>
                <w:szCs w:val="18"/>
              </w:rPr>
            </w:pPr>
            <w:r w:rsidRPr="001447FD">
              <w:rPr>
                <w:rFonts w:cstheme="minorHAnsi"/>
                <w:sz w:val="18"/>
                <w:szCs w:val="18"/>
              </w:rPr>
              <w:t>19 “It is deeply regrettable” (ICAP)</w:t>
            </w:r>
          </w:p>
        </w:tc>
      </w:tr>
      <w:tr w:rsidR="001447FD" w:rsidRPr="001447FD" w14:paraId="746CACE1" w14:textId="77777777" w:rsidTr="007C2D59">
        <w:tc>
          <w:tcPr>
            <w:tcW w:w="1793" w:type="dxa"/>
            <w:vMerge/>
          </w:tcPr>
          <w:p w14:paraId="612839CB" w14:textId="77777777" w:rsidR="001447FD" w:rsidRPr="001447FD" w:rsidRDefault="001447FD" w:rsidP="001447FD">
            <w:pPr>
              <w:rPr>
                <w:rFonts w:cstheme="minorHAnsi"/>
                <w:sz w:val="18"/>
                <w:szCs w:val="18"/>
              </w:rPr>
            </w:pPr>
          </w:p>
        </w:tc>
        <w:tc>
          <w:tcPr>
            <w:tcW w:w="1867" w:type="dxa"/>
            <w:vMerge/>
          </w:tcPr>
          <w:p w14:paraId="5F3DF93C" w14:textId="77777777" w:rsidR="001447FD" w:rsidRPr="001447FD" w:rsidRDefault="001447FD" w:rsidP="001447FD">
            <w:pPr>
              <w:rPr>
                <w:rFonts w:cstheme="minorHAnsi"/>
                <w:sz w:val="18"/>
                <w:szCs w:val="18"/>
              </w:rPr>
            </w:pPr>
          </w:p>
        </w:tc>
        <w:tc>
          <w:tcPr>
            <w:tcW w:w="1722" w:type="dxa"/>
            <w:vMerge/>
          </w:tcPr>
          <w:p w14:paraId="678F607D" w14:textId="77777777" w:rsidR="001447FD" w:rsidRPr="001447FD" w:rsidRDefault="001447FD" w:rsidP="001447FD">
            <w:pPr>
              <w:rPr>
                <w:rFonts w:cstheme="minorHAnsi"/>
                <w:sz w:val="18"/>
                <w:szCs w:val="18"/>
              </w:rPr>
            </w:pPr>
          </w:p>
        </w:tc>
        <w:tc>
          <w:tcPr>
            <w:tcW w:w="8566" w:type="dxa"/>
          </w:tcPr>
          <w:p w14:paraId="0275989F" w14:textId="77777777" w:rsidR="001447FD" w:rsidRPr="001447FD" w:rsidRDefault="001447FD" w:rsidP="001447FD">
            <w:pPr>
              <w:rPr>
                <w:rFonts w:cstheme="minorHAnsi"/>
                <w:sz w:val="18"/>
                <w:szCs w:val="18"/>
              </w:rPr>
            </w:pPr>
            <w:r w:rsidRPr="001447FD">
              <w:rPr>
                <w:rFonts w:cstheme="minorHAnsi"/>
                <w:sz w:val="18"/>
                <w:szCs w:val="18"/>
              </w:rPr>
              <w:t>20 “We deeply regret this matter” (State Street Bank)</w:t>
            </w:r>
          </w:p>
        </w:tc>
      </w:tr>
      <w:tr w:rsidR="001447FD" w:rsidRPr="001447FD" w14:paraId="2595F2A7" w14:textId="77777777" w:rsidTr="007C2D59">
        <w:tc>
          <w:tcPr>
            <w:tcW w:w="1793" w:type="dxa"/>
            <w:vMerge/>
          </w:tcPr>
          <w:p w14:paraId="08311886" w14:textId="77777777" w:rsidR="001447FD" w:rsidRPr="001447FD" w:rsidRDefault="001447FD" w:rsidP="001447FD">
            <w:pPr>
              <w:rPr>
                <w:rFonts w:cstheme="minorHAnsi"/>
                <w:sz w:val="18"/>
                <w:szCs w:val="18"/>
              </w:rPr>
            </w:pPr>
          </w:p>
        </w:tc>
        <w:tc>
          <w:tcPr>
            <w:tcW w:w="1867" w:type="dxa"/>
            <w:vMerge/>
          </w:tcPr>
          <w:p w14:paraId="5E867C8F" w14:textId="77777777" w:rsidR="001447FD" w:rsidRPr="001447FD" w:rsidRDefault="001447FD" w:rsidP="001447FD">
            <w:pPr>
              <w:rPr>
                <w:rFonts w:cstheme="minorHAnsi"/>
                <w:sz w:val="18"/>
                <w:szCs w:val="18"/>
              </w:rPr>
            </w:pPr>
          </w:p>
        </w:tc>
        <w:tc>
          <w:tcPr>
            <w:tcW w:w="1722" w:type="dxa"/>
            <w:vMerge/>
          </w:tcPr>
          <w:p w14:paraId="68655669" w14:textId="77777777" w:rsidR="001447FD" w:rsidRPr="001447FD" w:rsidRDefault="001447FD" w:rsidP="001447FD">
            <w:pPr>
              <w:rPr>
                <w:rFonts w:cstheme="minorHAnsi"/>
                <w:sz w:val="18"/>
                <w:szCs w:val="18"/>
              </w:rPr>
            </w:pPr>
          </w:p>
        </w:tc>
        <w:tc>
          <w:tcPr>
            <w:tcW w:w="8566" w:type="dxa"/>
          </w:tcPr>
          <w:p w14:paraId="12B0D988" w14:textId="77777777" w:rsidR="001447FD" w:rsidRPr="001447FD" w:rsidRDefault="001447FD" w:rsidP="001447FD">
            <w:pPr>
              <w:rPr>
                <w:rFonts w:cstheme="minorHAnsi"/>
                <w:sz w:val="18"/>
                <w:szCs w:val="18"/>
              </w:rPr>
            </w:pPr>
            <w:r w:rsidRPr="001447FD">
              <w:rPr>
                <w:rFonts w:cstheme="minorHAnsi"/>
                <w:sz w:val="18"/>
                <w:szCs w:val="18"/>
              </w:rPr>
              <w:t>21 “We sincerely regret” (</w:t>
            </w:r>
            <w:proofErr w:type="spellStart"/>
            <w:r w:rsidRPr="001447FD">
              <w:rPr>
                <w:rFonts w:cstheme="minorHAnsi"/>
                <w:sz w:val="18"/>
                <w:szCs w:val="18"/>
              </w:rPr>
              <w:t>Homeserve</w:t>
            </w:r>
            <w:proofErr w:type="spellEnd"/>
            <w:r w:rsidRPr="001447FD">
              <w:rPr>
                <w:rFonts w:cstheme="minorHAnsi"/>
                <w:sz w:val="18"/>
                <w:szCs w:val="18"/>
              </w:rPr>
              <w:t>)</w:t>
            </w:r>
          </w:p>
        </w:tc>
      </w:tr>
      <w:tr w:rsidR="001447FD" w:rsidRPr="001447FD" w14:paraId="31400749" w14:textId="77777777" w:rsidTr="007C2D59">
        <w:tc>
          <w:tcPr>
            <w:tcW w:w="1793" w:type="dxa"/>
            <w:vMerge/>
          </w:tcPr>
          <w:p w14:paraId="048AA5A5" w14:textId="77777777" w:rsidR="001447FD" w:rsidRPr="001447FD" w:rsidRDefault="001447FD" w:rsidP="001447FD">
            <w:pPr>
              <w:rPr>
                <w:rFonts w:cstheme="minorHAnsi"/>
                <w:sz w:val="18"/>
                <w:szCs w:val="18"/>
              </w:rPr>
            </w:pPr>
          </w:p>
        </w:tc>
        <w:tc>
          <w:tcPr>
            <w:tcW w:w="1867" w:type="dxa"/>
            <w:vMerge/>
          </w:tcPr>
          <w:p w14:paraId="56016E87" w14:textId="77777777" w:rsidR="001447FD" w:rsidRPr="001447FD" w:rsidRDefault="001447FD" w:rsidP="001447FD">
            <w:pPr>
              <w:rPr>
                <w:rFonts w:cstheme="minorHAnsi"/>
                <w:sz w:val="18"/>
                <w:szCs w:val="18"/>
              </w:rPr>
            </w:pPr>
          </w:p>
        </w:tc>
        <w:tc>
          <w:tcPr>
            <w:tcW w:w="1722" w:type="dxa"/>
            <w:vMerge/>
          </w:tcPr>
          <w:p w14:paraId="0FFA04BE" w14:textId="77777777" w:rsidR="001447FD" w:rsidRPr="001447FD" w:rsidRDefault="001447FD" w:rsidP="001447FD">
            <w:pPr>
              <w:rPr>
                <w:rFonts w:cstheme="minorHAnsi"/>
                <w:sz w:val="18"/>
                <w:szCs w:val="18"/>
              </w:rPr>
            </w:pPr>
          </w:p>
        </w:tc>
        <w:tc>
          <w:tcPr>
            <w:tcW w:w="8566" w:type="dxa"/>
          </w:tcPr>
          <w:p w14:paraId="05949C62" w14:textId="77777777" w:rsidR="001447FD" w:rsidRPr="001447FD" w:rsidRDefault="001447FD" w:rsidP="001447FD">
            <w:pPr>
              <w:rPr>
                <w:rFonts w:cstheme="minorHAnsi"/>
                <w:sz w:val="18"/>
                <w:szCs w:val="18"/>
              </w:rPr>
            </w:pPr>
            <w:r w:rsidRPr="001447FD">
              <w:rPr>
                <w:rFonts w:cstheme="minorHAnsi"/>
                <w:sz w:val="18"/>
                <w:szCs w:val="18"/>
              </w:rPr>
              <w:t>22 “I sincerely regret” (</w:t>
            </w:r>
            <w:proofErr w:type="spellStart"/>
            <w:r w:rsidRPr="001447FD">
              <w:rPr>
                <w:rFonts w:cstheme="minorHAnsi"/>
                <w:sz w:val="18"/>
                <w:szCs w:val="18"/>
              </w:rPr>
              <w:t>Rabobank</w:t>
            </w:r>
            <w:proofErr w:type="spellEnd"/>
            <w:r w:rsidRPr="001447FD">
              <w:rPr>
                <w:rFonts w:cstheme="minorHAnsi"/>
                <w:sz w:val="18"/>
                <w:szCs w:val="18"/>
              </w:rPr>
              <w:t>)</w:t>
            </w:r>
          </w:p>
        </w:tc>
      </w:tr>
      <w:tr w:rsidR="001447FD" w:rsidRPr="001447FD" w14:paraId="6CF1536B" w14:textId="77777777" w:rsidTr="007C2D59">
        <w:tc>
          <w:tcPr>
            <w:tcW w:w="1793" w:type="dxa"/>
            <w:vMerge/>
          </w:tcPr>
          <w:p w14:paraId="00645164" w14:textId="77777777" w:rsidR="001447FD" w:rsidRPr="001447FD" w:rsidRDefault="001447FD" w:rsidP="001447FD">
            <w:pPr>
              <w:rPr>
                <w:rFonts w:cstheme="minorHAnsi"/>
                <w:sz w:val="18"/>
                <w:szCs w:val="18"/>
              </w:rPr>
            </w:pPr>
          </w:p>
        </w:tc>
        <w:tc>
          <w:tcPr>
            <w:tcW w:w="1867" w:type="dxa"/>
            <w:vMerge/>
          </w:tcPr>
          <w:p w14:paraId="239322F3" w14:textId="77777777" w:rsidR="001447FD" w:rsidRPr="001447FD" w:rsidRDefault="001447FD" w:rsidP="001447FD">
            <w:pPr>
              <w:rPr>
                <w:rFonts w:cstheme="minorHAnsi"/>
                <w:sz w:val="18"/>
                <w:szCs w:val="18"/>
              </w:rPr>
            </w:pPr>
          </w:p>
        </w:tc>
        <w:tc>
          <w:tcPr>
            <w:tcW w:w="1722" w:type="dxa"/>
            <w:vMerge/>
          </w:tcPr>
          <w:p w14:paraId="5EB091E7" w14:textId="77777777" w:rsidR="001447FD" w:rsidRPr="001447FD" w:rsidRDefault="001447FD" w:rsidP="001447FD">
            <w:pPr>
              <w:rPr>
                <w:rFonts w:cstheme="minorHAnsi"/>
                <w:sz w:val="18"/>
                <w:szCs w:val="18"/>
              </w:rPr>
            </w:pPr>
          </w:p>
        </w:tc>
        <w:tc>
          <w:tcPr>
            <w:tcW w:w="8566" w:type="dxa"/>
          </w:tcPr>
          <w:p w14:paraId="36DA3A0A" w14:textId="77777777" w:rsidR="001447FD" w:rsidRPr="001447FD" w:rsidRDefault="001447FD" w:rsidP="001447FD">
            <w:pPr>
              <w:rPr>
                <w:rFonts w:cstheme="minorHAnsi"/>
                <w:sz w:val="18"/>
                <w:szCs w:val="18"/>
              </w:rPr>
            </w:pPr>
            <w:r w:rsidRPr="001447FD">
              <w:rPr>
                <w:rFonts w:cstheme="minorHAnsi"/>
                <w:sz w:val="18"/>
                <w:szCs w:val="18"/>
              </w:rPr>
              <w:t xml:space="preserve">23 “The misconduct at the core of these investigations is wholly incompatible with Barclays’ purpose and values and we deeply regret that it occurred.” (Barclays) </w:t>
            </w:r>
          </w:p>
        </w:tc>
      </w:tr>
      <w:tr w:rsidR="001447FD" w:rsidRPr="001447FD" w14:paraId="05D1877A" w14:textId="77777777" w:rsidTr="007C2D59">
        <w:tc>
          <w:tcPr>
            <w:tcW w:w="1793" w:type="dxa"/>
            <w:vMerge/>
          </w:tcPr>
          <w:p w14:paraId="011A1C26" w14:textId="77777777" w:rsidR="001447FD" w:rsidRPr="001447FD" w:rsidRDefault="001447FD" w:rsidP="001447FD">
            <w:pPr>
              <w:rPr>
                <w:rFonts w:cstheme="minorHAnsi"/>
                <w:sz w:val="18"/>
                <w:szCs w:val="18"/>
              </w:rPr>
            </w:pPr>
          </w:p>
        </w:tc>
        <w:tc>
          <w:tcPr>
            <w:tcW w:w="1867" w:type="dxa"/>
            <w:vMerge/>
          </w:tcPr>
          <w:p w14:paraId="61B67D0C" w14:textId="77777777" w:rsidR="001447FD" w:rsidRPr="001447FD" w:rsidRDefault="001447FD" w:rsidP="001447FD">
            <w:pPr>
              <w:rPr>
                <w:rFonts w:cstheme="minorHAnsi"/>
                <w:sz w:val="18"/>
                <w:szCs w:val="18"/>
              </w:rPr>
            </w:pPr>
          </w:p>
        </w:tc>
        <w:tc>
          <w:tcPr>
            <w:tcW w:w="1722" w:type="dxa"/>
            <w:vMerge/>
          </w:tcPr>
          <w:p w14:paraId="30E82BC0" w14:textId="77777777" w:rsidR="001447FD" w:rsidRPr="001447FD" w:rsidRDefault="001447FD" w:rsidP="001447FD">
            <w:pPr>
              <w:rPr>
                <w:rFonts w:cstheme="minorHAnsi"/>
                <w:sz w:val="18"/>
                <w:szCs w:val="18"/>
              </w:rPr>
            </w:pPr>
          </w:p>
        </w:tc>
        <w:tc>
          <w:tcPr>
            <w:tcW w:w="8566" w:type="dxa"/>
          </w:tcPr>
          <w:p w14:paraId="55E32364" w14:textId="77777777" w:rsidR="001447FD" w:rsidRPr="001447FD" w:rsidRDefault="001447FD" w:rsidP="001447FD">
            <w:pPr>
              <w:rPr>
                <w:rFonts w:cstheme="minorHAnsi"/>
                <w:sz w:val="18"/>
                <w:szCs w:val="18"/>
              </w:rPr>
            </w:pPr>
            <w:r w:rsidRPr="001447FD">
              <w:rPr>
                <w:rFonts w:cstheme="minorHAnsi"/>
                <w:sz w:val="18"/>
                <w:szCs w:val="18"/>
              </w:rPr>
              <w:t>24 “This trust could not have been earned without robust regulatory compliance in all of our operating jurisdictions, and we regret in this case that we did not meet our standards or those of the FCA.” (BNY Mellon)</w:t>
            </w:r>
          </w:p>
        </w:tc>
      </w:tr>
      <w:tr w:rsidR="001447FD" w:rsidRPr="001447FD" w14:paraId="03E55CEE" w14:textId="77777777" w:rsidTr="007C2D59">
        <w:tc>
          <w:tcPr>
            <w:tcW w:w="1793" w:type="dxa"/>
            <w:vMerge/>
          </w:tcPr>
          <w:p w14:paraId="5247061F" w14:textId="77777777" w:rsidR="001447FD" w:rsidRPr="001447FD" w:rsidRDefault="001447FD" w:rsidP="001447FD">
            <w:pPr>
              <w:rPr>
                <w:rFonts w:cstheme="minorHAnsi"/>
                <w:sz w:val="18"/>
                <w:szCs w:val="18"/>
              </w:rPr>
            </w:pPr>
          </w:p>
        </w:tc>
        <w:tc>
          <w:tcPr>
            <w:tcW w:w="1867" w:type="dxa"/>
            <w:vMerge/>
          </w:tcPr>
          <w:p w14:paraId="09C2B2F3" w14:textId="77777777" w:rsidR="001447FD" w:rsidRPr="001447FD" w:rsidRDefault="001447FD" w:rsidP="001447FD">
            <w:pPr>
              <w:rPr>
                <w:rFonts w:cstheme="minorHAnsi"/>
                <w:sz w:val="18"/>
                <w:szCs w:val="18"/>
              </w:rPr>
            </w:pPr>
          </w:p>
        </w:tc>
        <w:tc>
          <w:tcPr>
            <w:tcW w:w="1722" w:type="dxa"/>
            <w:vMerge/>
          </w:tcPr>
          <w:p w14:paraId="0D57C608" w14:textId="77777777" w:rsidR="001447FD" w:rsidRPr="001447FD" w:rsidRDefault="001447FD" w:rsidP="001447FD">
            <w:pPr>
              <w:rPr>
                <w:rFonts w:cstheme="minorHAnsi"/>
                <w:sz w:val="18"/>
                <w:szCs w:val="18"/>
              </w:rPr>
            </w:pPr>
          </w:p>
        </w:tc>
        <w:tc>
          <w:tcPr>
            <w:tcW w:w="8566" w:type="dxa"/>
          </w:tcPr>
          <w:p w14:paraId="7B54EBC2" w14:textId="77777777" w:rsidR="001447FD" w:rsidRPr="001447FD" w:rsidRDefault="001447FD" w:rsidP="001447FD">
            <w:pPr>
              <w:rPr>
                <w:rFonts w:cstheme="minorHAnsi"/>
                <w:sz w:val="18"/>
                <w:szCs w:val="18"/>
              </w:rPr>
            </w:pPr>
            <w:r w:rsidRPr="001447FD">
              <w:rPr>
                <w:rFonts w:cstheme="minorHAnsi"/>
                <w:sz w:val="18"/>
                <w:szCs w:val="18"/>
              </w:rPr>
              <w:t>25 “We apologise…” (</w:t>
            </w:r>
            <w:proofErr w:type="spellStart"/>
            <w:r w:rsidRPr="001447FD">
              <w:rPr>
                <w:rFonts w:cstheme="minorHAnsi"/>
                <w:sz w:val="18"/>
                <w:szCs w:val="18"/>
              </w:rPr>
              <w:t>CashEuroNet</w:t>
            </w:r>
            <w:proofErr w:type="spellEnd"/>
            <w:r w:rsidRPr="001447FD">
              <w:rPr>
                <w:rFonts w:cstheme="minorHAnsi"/>
                <w:sz w:val="18"/>
                <w:szCs w:val="18"/>
              </w:rPr>
              <w:t>)</w:t>
            </w:r>
          </w:p>
        </w:tc>
      </w:tr>
      <w:tr w:rsidR="001447FD" w:rsidRPr="001447FD" w14:paraId="212144BF" w14:textId="77777777" w:rsidTr="007C2D59">
        <w:tc>
          <w:tcPr>
            <w:tcW w:w="1793" w:type="dxa"/>
            <w:vMerge/>
          </w:tcPr>
          <w:p w14:paraId="112AB5DC" w14:textId="77777777" w:rsidR="001447FD" w:rsidRPr="001447FD" w:rsidRDefault="001447FD" w:rsidP="001447FD">
            <w:pPr>
              <w:rPr>
                <w:rFonts w:cstheme="minorHAnsi"/>
                <w:sz w:val="18"/>
                <w:szCs w:val="18"/>
              </w:rPr>
            </w:pPr>
          </w:p>
        </w:tc>
        <w:tc>
          <w:tcPr>
            <w:tcW w:w="1867" w:type="dxa"/>
            <w:vMerge/>
          </w:tcPr>
          <w:p w14:paraId="2E8F7085" w14:textId="77777777" w:rsidR="001447FD" w:rsidRPr="001447FD" w:rsidRDefault="001447FD" w:rsidP="001447FD">
            <w:pPr>
              <w:rPr>
                <w:rFonts w:cstheme="minorHAnsi"/>
                <w:sz w:val="18"/>
                <w:szCs w:val="18"/>
              </w:rPr>
            </w:pPr>
          </w:p>
        </w:tc>
        <w:tc>
          <w:tcPr>
            <w:tcW w:w="1722" w:type="dxa"/>
            <w:vMerge/>
          </w:tcPr>
          <w:p w14:paraId="4FDC6F9D" w14:textId="77777777" w:rsidR="001447FD" w:rsidRPr="001447FD" w:rsidRDefault="001447FD" w:rsidP="001447FD">
            <w:pPr>
              <w:rPr>
                <w:rFonts w:cstheme="minorHAnsi"/>
                <w:sz w:val="18"/>
                <w:szCs w:val="18"/>
              </w:rPr>
            </w:pPr>
          </w:p>
        </w:tc>
        <w:tc>
          <w:tcPr>
            <w:tcW w:w="8566" w:type="dxa"/>
          </w:tcPr>
          <w:p w14:paraId="56B2B6F2" w14:textId="77777777" w:rsidR="001447FD" w:rsidRPr="001447FD" w:rsidRDefault="001447FD" w:rsidP="001447FD">
            <w:pPr>
              <w:rPr>
                <w:rFonts w:cstheme="minorHAnsi"/>
                <w:sz w:val="18"/>
                <w:szCs w:val="18"/>
              </w:rPr>
            </w:pPr>
            <w:r w:rsidRPr="001447FD">
              <w:rPr>
                <w:rFonts w:cstheme="minorHAnsi"/>
                <w:sz w:val="18"/>
                <w:szCs w:val="18"/>
              </w:rPr>
              <w:t>26 “I accept the findings of the review and apologise…” (Dollar Financial UK)</w:t>
            </w:r>
          </w:p>
        </w:tc>
      </w:tr>
      <w:tr w:rsidR="001447FD" w:rsidRPr="001447FD" w14:paraId="7F1F5F73" w14:textId="77777777" w:rsidTr="007C2D59">
        <w:trPr>
          <w:trHeight w:val="713"/>
        </w:trPr>
        <w:tc>
          <w:tcPr>
            <w:tcW w:w="1793" w:type="dxa"/>
            <w:vMerge/>
          </w:tcPr>
          <w:p w14:paraId="14571D45" w14:textId="77777777" w:rsidR="001447FD" w:rsidRPr="001447FD" w:rsidRDefault="001447FD" w:rsidP="001447FD">
            <w:pPr>
              <w:rPr>
                <w:rFonts w:cstheme="minorHAnsi"/>
                <w:sz w:val="18"/>
                <w:szCs w:val="18"/>
              </w:rPr>
            </w:pPr>
          </w:p>
        </w:tc>
        <w:tc>
          <w:tcPr>
            <w:tcW w:w="1867" w:type="dxa"/>
            <w:vMerge w:val="restart"/>
          </w:tcPr>
          <w:p w14:paraId="6D0A9749" w14:textId="77777777" w:rsidR="001447FD" w:rsidRPr="001447FD" w:rsidRDefault="001447FD" w:rsidP="001447FD">
            <w:pPr>
              <w:rPr>
                <w:rFonts w:cstheme="minorHAnsi"/>
                <w:sz w:val="18"/>
                <w:szCs w:val="18"/>
              </w:rPr>
            </w:pPr>
            <w:r w:rsidRPr="001447FD">
              <w:rPr>
                <w:rFonts w:cstheme="minorHAnsi"/>
                <w:sz w:val="18"/>
                <w:szCs w:val="18"/>
              </w:rPr>
              <w:t>Theme: emphasis on compliance culture</w:t>
            </w:r>
          </w:p>
        </w:tc>
        <w:tc>
          <w:tcPr>
            <w:tcW w:w="1722" w:type="dxa"/>
            <w:vMerge w:val="restart"/>
          </w:tcPr>
          <w:p w14:paraId="4A5AC6B4" w14:textId="77777777" w:rsidR="001447FD" w:rsidRPr="001447FD" w:rsidRDefault="001447FD" w:rsidP="001447FD">
            <w:pPr>
              <w:rPr>
                <w:rFonts w:cstheme="minorHAnsi"/>
                <w:sz w:val="18"/>
                <w:szCs w:val="18"/>
              </w:rPr>
            </w:pPr>
            <w:r w:rsidRPr="001447FD">
              <w:rPr>
                <w:rFonts w:cstheme="minorHAnsi"/>
                <w:sz w:val="18"/>
                <w:szCs w:val="18"/>
              </w:rPr>
              <w:t>reform and value of culture and behaviours</w:t>
            </w:r>
          </w:p>
        </w:tc>
        <w:tc>
          <w:tcPr>
            <w:tcW w:w="8566" w:type="dxa"/>
          </w:tcPr>
          <w:p w14:paraId="1785B28C" w14:textId="77777777" w:rsidR="001447FD" w:rsidRPr="001447FD" w:rsidRDefault="001447FD" w:rsidP="001447FD">
            <w:pPr>
              <w:rPr>
                <w:rFonts w:cstheme="minorHAnsi"/>
                <w:sz w:val="18"/>
                <w:szCs w:val="18"/>
              </w:rPr>
            </w:pPr>
            <w:r w:rsidRPr="001447FD">
              <w:rPr>
                <w:rFonts w:cstheme="minorHAnsi"/>
                <w:sz w:val="18"/>
                <w:szCs w:val="18"/>
              </w:rPr>
              <w:t>27 “this demonstrates again the importance of our continuing work to build values-based culture…we remain completely committed to that effort” (Barclays)</w:t>
            </w:r>
          </w:p>
        </w:tc>
      </w:tr>
      <w:tr w:rsidR="001447FD" w:rsidRPr="001447FD" w14:paraId="423972D4" w14:textId="77777777" w:rsidTr="007C2D59">
        <w:tc>
          <w:tcPr>
            <w:tcW w:w="1793" w:type="dxa"/>
            <w:vMerge/>
          </w:tcPr>
          <w:p w14:paraId="719DC0A0" w14:textId="77777777" w:rsidR="001447FD" w:rsidRPr="001447FD" w:rsidRDefault="001447FD" w:rsidP="001447FD">
            <w:pPr>
              <w:rPr>
                <w:rFonts w:cstheme="minorHAnsi"/>
                <w:sz w:val="18"/>
                <w:szCs w:val="18"/>
              </w:rPr>
            </w:pPr>
          </w:p>
        </w:tc>
        <w:tc>
          <w:tcPr>
            <w:tcW w:w="1867" w:type="dxa"/>
            <w:vMerge/>
          </w:tcPr>
          <w:p w14:paraId="4BF3B216" w14:textId="77777777" w:rsidR="001447FD" w:rsidRPr="001447FD" w:rsidRDefault="001447FD" w:rsidP="001447FD">
            <w:pPr>
              <w:rPr>
                <w:rFonts w:cstheme="minorHAnsi"/>
                <w:sz w:val="18"/>
                <w:szCs w:val="18"/>
              </w:rPr>
            </w:pPr>
          </w:p>
        </w:tc>
        <w:tc>
          <w:tcPr>
            <w:tcW w:w="1722" w:type="dxa"/>
            <w:vMerge/>
          </w:tcPr>
          <w:p w14:paraId="5F03C87D" w14:textId="77777777" w:rsidR="001447FD" w:rsidRPr="001447FD" w:rsidRDefault="001447FD" w:rsidP="001447FD">
            <w:pPr>
              <w:rPr>
                <w:rFonts w:cstheme="minorHAnsi"/>
                <w:sz w:val="18"/>
                <w:szCs w:val="18"/>
              </w:rPr>
            </w:pPr>
          </w:p>
        </w:tc>
        <w:tc>
          <w:tcPr>
            <w:tcW w:w="8566" w:type="dxa"/>
          </w:tcPr>
          <w:p w14:paraId="2F2F3CBA" w14:textId="77777777" w:rsidR="001447FD" w:rsidRPr="001447FD" w:rsidRDefault="001447FD" w:rsidP="001447FD">
            <w:pPr>
              <w:rPr>
                <w:rFonts w:cstheme="minorHAnsi"/>
                <w:sz w:val="18"/>
                <w:szCs w:val="18"/>
              </w:rPr>
            </w:pPr>
            <w:r w:rsidRPr="001447FD">
              <w:rPr>
                <w:rFonts w:cstheme="minorHAnsi"/>
                <w:sz w:val="18"/>
                <w:szCs w:val="18"/>
              </w:rPr>
              <w:t>28 “we place great value on a positive compliance culture…” (Deutsche Bank)</w:t>
            </w:r>
          </w:p>
        </w:tc>
      </w:tr>
      <w:tr w:rsidR="001447FD" w:rsidRPr="001447FD" w14:paraId="1DE2C26B" w14:textId="77777777" w:rsidTr="007C2D59">
        <w:tc>
          <w:tcPr>
            <w:tcW w:w="1793" w:type="dxa"/>
            <w:vMerge/>
          </w:tcPr>
          <w:p w14:paraId="30F6FEE4" w14:textId="77777777" w:rsidR="001447FD" w:rsidRPr="001447FD" w:rsidRDefault="001447FD" w:rsidP="001447FD">
            <w:pPr>
              <w:rPr>
                <w:rFonts w:cstheme="minorHAnsi"/>
                <w:sz w:val="18"/>
                <w:szCs w:val="18"/>
              </w:rPr>
            </w:pPr>
          </w:p>
        </w:tc>
        <w:tc>
          <w:tcPr>
            <w:tcW w:w="1867" w:type="dxa"/>
            <w:vMerge/>
          </w:tcPr>
          <w:p w14:paraId="0E9D3C6F" w14:textId="77777777" w:rsidR="001447FD" w:rsidRPr="001447FD" w:rsidRDefault="001447FD" w:rsidP="001447FD">
            <w:pPr>
              <w:rPr>
                <w:rFonts w:cstheme="minorHAnsi"/>
                <w:sz w:val="18"/>
                <w:szCs w:val="18"/>
              </w:rPr>
            </w:pPr>
          </w:p>
        </w:tc>
        <w:tc>
          <w:tcPr>
            <w:tcW w:w="1722" w:type="dxa"/>
            <w:vMerge/>
          </w:tcPr>
          <w:p w14:paraId="41242C5D" w14:textId="77777777" w:rsidR="001447FD" w:rsidRPr="001447FD" w:rsidRDefault="001447FD" w:rsidP="001447FD">
            <w:pPr>
              <w:rPr>
                <w:rFonts w:cstheme="minorHAnsi"/>
                <w:sz w:val="18"/>
                <w:szCs w:val="18"/>
              </w:rPr>
            </w:pPr>
          </w:p>
        </w:tc>
        <w:tc>
          <w:tcPr>
            <w:tcW w:w="8566" w:type="dxa"/>
          </w:tcPr>
          <w:p w14:paraId="23C6D4E9" w14:textId="77777777" w:rsidR="001447FD" w:rsidRPr="001447FD" w:rsidRDefault="001447FD" w:rsidP="001447FD">
            <w:pPr>
              <w:rPr>
                <w:rFonts w:cstheme="minorHAnsi"/>
                <w:sz w:val="18"/>
                <w:szCs w:val="18"/>
              </w:rPr>
            </w:pPr>
            <w:r w:rsidRPr="001447FD">
              <w:rPr>
                <w:rFonts w:cstheme="minorHAnsi"/>
                <w:sz w:val="18"/>
                <w:szCs w:val="18"/>
              </w:rPr>
              <w:t>29 “our Enterprise Behaviours underpin the culture we aspire to create… makes sure everyone is held accountable for demonstrating the right behaviours” (Clydesdale Bank)</w:t>
            </w:r>
          </w:p>
        </w:tc>
      </w:tr>
      <w:tr w:rsidR="001447FD" w:rsidRPr="001447FD" w14:paraId="60B88FD8" w14:textId="77777777" w:rsidTr="007C2D59">
        <w:tc>
          <w:tcPr>
            <w:tcW w:w="1793" w:type="dxa"/>
            <w:vMerge w:val="restart"/>
          </w:tcPr>
          <w:p w14:paraId="1F493932" w14:textId="77777777" w:rsidR="001447FD" w:rsidRPr="001447FD" w:rsidRDefault="001447FD" w:rsidP="001447FD">
            <w:pPr>
              <w:rPr>
                <w:rFonts w:cstheme="minorHAnsi"/>
                <w:sz w:val="18"/>
                <w:szCs w:val="18"/>
              </w:rPr>
            </w:pPr>
            <w:r w:rsidRPr="001447FD">
              <w:rPr>
                <w:rFonts w:cstheme="minorHAnsi"/>
                <w:sz w:val="18"/>
                <w:szCs w:val="18"/>
              </w:rPr>
              <w:t>Normative isomorphism – learning, adapting, and collaborating in response to sanction</w:t>
            </w:r>
          </w:p>
        </w:tc>
        <w:tc>
          <w:tcPr>
            <w:tcW w:w="1867" w:type="dxa"/>
            <w:vMerge w:val="restart"/>
          </w:tcPr>
          <w:p w14:paraId="57240117" w14:textId="77777777" w:rsidR="001447FD" w:rsidRPr="001447FD" w:rsidRDefault="001447FD" w:rsidP="001447FD">
            <w:pPr>
              <w:rPr>
                <w:rFonts w:cstheme="minorHAnsi"/>
                <w:sz w:val="18"/>
                <w:szCs w:val="18"/>
              </w:rPr>
            </w:pPr>
            <w:r w:rsidRPr="001447FD">
              <w:rPr>
                <w:rFonts w:cstheme="minorHAnsi"/>
                <w:sz w:val="18"/>
                <w:szCs w:val="18"/>
              </w:rPr>
              <w:t>Theme: learning and transformation</w:t>
            </w:r>
          </w:p>
        </w:tc>
        <w:tc>
          <w:tcPr>
            <w:tcW w:w="1722" w:type="dxa"/>
            <w:vMerge w:val="restart"/>
          </w:tcPr>
          <w:p w14:paraId="1B4AA59A" w14:textId="77777777" w:rsidR="001447FD" w:rsidRPr="001447FD" w:rsidRDefault="001447FD" w:rsidP="001447FD">
            <w:pPr>
              <w:rPr>
                <w:rFonts w:cstheme="minorHAnsi"/>
                <w:sz w:val="18"/>
                <w:szCs w:val="18"/>
              </w:rPr>
            </w:pPr>
            <w:r w:rsidRPr="001447FD">
              <w:rPr>
                <w:rFonts w:cstheme="minorHAnsi"/>
                <w:sz w:val="18"/>
                <w:szCs w:val="18"/>
              </w:rPr>
              <w:t>learning, actions of remedy, enhancement and transformation</w:t>
            </w:r>
          </w:p>
        </w:tc>
        <w:tc>
          <w:tcPr>
            <w:tcW w:w="8566" w:type="dxa"/>
          </w:tcPr>
          <w:p w14:paraId="19BFBB0C" w14:textId="77777777" w:rsidR="001447FD" w:rsidRPr="001447FD" w:rsidRDefault="001447FD" w:rsidP="001447FD">
            <w:pPr>
              <w:rPr>
                <w:rFonts w:cstheme="minorHAnsi"/>
                <w:sz w:val="18"/>
                <w:szCs w:val="18"/>
              </w:rPr>
            </w:pPr>
            <w:r w:rsidRPr="001447FD">
              <w:rPr>
                <w:rFonts w:cstheme="minorHAnsi"/>
                <w:sz w:val="18"/>
                <w:szCs w:val="18"/>
              </w:rPr>
              <w:t>30 “We have learned from this” (ICAP)</w:t>
            </w:r>
          </w:p>
          <w:p w14:paraId="6B777461" w14:textId="77777777" w:rsidR="001447FD" w:rsidRPr="001447FD" w:rsidRDefault="001447FD" w:rsidP="001447FD">
            <w:pPr>
              <w:rPr>
                <w:rFonts w:cstheme="minorHAnsi"/>
                <w:sz w:val="18"/>
                <w:szCs w:val="18"/>
              </w:rPr>
            </w:pPr>
            <w:r w:rsidRPr="001447FD">
              <w:rPr>
                <w:rFonts w:cstheme="minorHAnsi"/>
                <w:sz w:val="18"/>
                <w:szCs w:val="18"/>
              </w:rPr>
              <w:t xml:space="preserve"> </w:t>
            </w:r>
          </w:p>
        </w:tc>
      </w:tr>
      <w:tr w:rsidR="001447FD" w:rsidRPr="001447FD" w14:paraId="65B84692" w14:textId="77777777" w:rsidTr="007C2D59">
        <w:tc>
          <w:tcPr>
            <w:tcW w:w="1793" w:type="dxa"/>
            <w:vMerge/>
          </w:tcPr>
          <w:p w14:paraId="23732CCF" w14:textId="77777777" w:rsidR="001447FD" w:rsidRPr="001447FD" w:rsidRDefault="001447FD" w:rsidP="001447FD">
            <w:pPr>
              <w:rPr>
                <w:rFonts w:cstheme="minorHAnsi"/>
                <w:sz w:val="18"/>
                <w:szCs w:val="18"/>
              </w:rPr>
            </w:pPr>
          </w:p>
        </w:tc>
        <w:tc>
          <w:tcPr>
            <w:tcW w:w="1867" w:type="dxa"/>
            <w:vMerge/>
          </w:tcPr>
          <w:p w14:paraId="148AC4CA" w14:textId="77777777" w:rsidR="001447FD" w:rsidRPr="001447FD" w:rsidRDefault="001447FD" w:rsidP="001447FD">
            <w:pPr>
              <w:rPr>
                <w:rFonts w:cstheme="minorHAnsi"/>
                <w:sz w:val="18"/>
                <w:szCs w:val="18"/>
              </w:rPr>
            </w:pPr>
          </w:p>
        </w:tc>
        <w:tc>
          <w:tcPr>
            <w:tcW w:w="1722" w:type="dxa"/>
            <w:vMerge/>
          </w:tcPr>
          <w:p w14:paraId="2AAC26B7" w14:textId="77777777" w:rsidR="001447FD" w:rsidRPr="001447FD" w:rsidRDefault="001447FD" w:rsidP="001447FD">
            <w:pPr>
              <w:rPr>
                <w:rFonts w:cstheme="minorHAnsi"/>
                <w:sz w:val="18"/>
                <w:szCs w:val="18"/>
              </w:rPr>
            </w:pPr>
          </w:p>
        </w:tc>
        <w:tc>
          <w:tcPr>
            <w:tcW w:w="8566" w:type="dxa"/>
          </w:tcPr>
          <w:p w14:paraId="29561033" w14:textId="77777777" w:rsidR="001447FD" w:rsidRPr="001447FD" w:rsidRDefault="001447FD" w:rsidP="001447FD">
            <w:pPr>
              <w:rPr>
                <w:rFonts w:cstheme="minorHAnsi"/>
                <w:sz w:val="18"/>
                <w:szCs w:val="18"/>
              </w:rPr>
            </w:pPr>
            <w:r w:rsidRPr="001447FD">
              <w:rPr>
                <w:rFonts w:cstheme="minorHAnsi"/>
                <w:sz w:val="18"/>
                <w:szCs w:val="18"/>
              </w:rPr>
              <w:t>31 “We have worked hard to enhance our controls to address this unacceptable situation” (State Street Bank)</w:t>
            </w:r>
          </w:p>
        </w:tc>
      </w:tr>
      <w:tr w:rsidR="001447FD" w:rsidRPr="001447FD" w14:paraId="1AE25BD6" w14:textId="77777777" w:rsidTr="007C2D59">
        <w:tc>
          <w:tcPr>
            <w:tcW w:w="1793" w:type="dxa"/>
            <w:vMerge/>
          </w:tcPr>
          <w:p w14:paraId="69784B45" w14:textId="77777777" w:rsidR="001447FD" w:rsidRPr="001447FD" w:rsidRDefault="001447FD" w:rsidP="001447FD">
            <w:pPr>
              <w:rPr>
                <w:rFonts w:cstheme="minorHAnsi"/>
                <w:sz w:val="18"/>
                <w:szCs w:val="18"/>
              </w:rPr>
            </w:pPr>
          </w:p>
        </w:tc>
        <w:tc>
          <w:tcPr>
            <w:tcW w:w="1867" w:type="dxa"/>
            <w:vMerge/>
          </w:tcPr>
          <w:p w14:paraId="46EC760D" w14:textId="77777777" w:rsidR="001447FD" w:rsidRPr="001447FD" w:rsidRDefault="001447FD" w:rsidP="001447FD">
            <w:pPr>
              <w:rPr>
                <w:rFonts w:cstheme="minorHAnsi"/>
                <w:sz w:val="18"/>
                <w:szCs w:val="18"/>
              </w:rPr>
            </w:pPr>
          </w:p>
        </w:tc>
        <w:tc>
          <w:tcPr>
            <w:tcW w:w="1722" w:type="dxa"/>
            <w:vMerge/>
          </w:tcPr>
          <w:p w14:paraId="78799E58" w14:textId="77777777" w:rsidR="001447FD" w:rsidRPr="001447FD" w:rsidRDefault="001447FD" w:rsidP="001447FD">
            <w:pPr>
              <w:rPr>
                <w:rFonts w:cstheme="minorHAnsi"/>
                <w:sz w:val="18"/>
                <w:szCs w:val="18"/>
              </w:rPr>
            </w:pPr>
          </w:p>
        </w:tc>
        <w:tc>
          <w:tcPr>
            <w:tcW w:w="8566" w:type="dxa"/>
          </w:tcPr>
          <w:p w14:paraId="6CBC9D10" w14:textId="77777777" w:rsidR="001447FD" w:rsidRPr="001447FD" w:rsidRDefault="001447FD" w:rsidP="001447FD">
            <w:pPr>
              <w:rPr>
                <w:rFonts w:cstheme="minorHAnsi"/>
                <w:sz w:val="18"/>
                <w:szCs w:val="18"/>
              </w:rPr>
            </w:pPr>
            <w:r w:rsidRPr="001447FD">
              <w:rPr>
                <w:rFonts w:cstheme="minorHAnsi"/>
                <w:sz w:val="18"/>
                <w:szCs w:val="18"/>
              </w:rPr>
              <w:t>32 “We have transformed the business” (</w:t>
            </w:r>
            <w:proofErr w:type="spellStart"/>
            <w:r w:rsidRPr="001447FD">
              <w:rPr>
                <w:rFonts w:cstheme="minorHAnsi"/>
                <w:sz w:val="18"/>
                <w:szCs w:val="18"/>
              </w:rPr>
              <w:t>Homeserve</w:t>
            </w:r>
            <w:proofErr w:type="spellEnd"/>
            <w:r w:rsidRPr="001447FD">
              <w:rPr>
                <w:rFonts w:cstheme="minorHAnsi"/>
                <w:sz w:val="18"/>
                <w:szCs w:val="18"/>
              </w:rPr>
              <w:t>)</w:t>
            </w:r>
          </w:p>
        </w:tc>
      </w:tr>
      <w:tr w:rsidR="001447FD" w:rsidRPr="001447FD" w14:paraId="00266ED0" w14:textId="77777777" w:rsidTr="007C2D59">
        <w:tc>
          <w:tcPr>
            <w:tcW w:w="1793" w:type="dxa"/>
            <w:vMerge/>
          </w:tcPr>
          <w:p w14:paraId="78E9DF4E" w14:textId="77777777" w:rsidR="001447FD" w:rsidRPr="001447FD" w:rsidRDefault="001447FD" w:rsidP="001447FD">
            <w:pPr>
              <w:rPr>
                <w:rFonts w:cstheme="minorHAnsi"/>
                <w:sz w:val="18"/>
                <w:szCs w:val="18"/>
              </w:rPr>
            </w:pPr>
          </w:p>
        </w:tc>
        <w:tc>
          <w:tcPr>
            <w:tcW w:w="1867" w:type="dxa"/>
            <w:vMerge/>
          </w:tcPr>
          <w:p w14:paraId="3F28A6E0" w14:textId="77777777" w:rsidR="001447FD" w:rsidRPr="001447FD" w:rsidRDefault="001447FD" w:rsidP="001447FD">
            <w:pPr>
              <w:rPr>
                <w:rFonts w:cstheme="minorHAnsi"/>
                <w:sz w:val="18"/>
                <w:szCs w:val="18"/>
              </w:rPr>
            </w:pPr>
          </w:p>
        </w:tc>
        <w:tc>
          <w:tcPr>
            <w:tcW w:w="1722" w:type="dxa"/>
            <w:vMerge/>
          </w:tcPr>
          <w:p w14:paraId="1596BCD0" w14:textId="77777777" w:rsidR="001447FD" w:rsidRPr="001447FD" w:rsidRDefault="001447FD" w:rsidP="001447FD">
            <w:pPr>
              <w:rPr>
                <w:rFonts w:cstheme="minorHAnsi"/>
                <w:sz w:val="18"/>
                <w:szCs w:val="18"/>
              </w:rPr>
            </w:pPr>
          </w:p>
        </w:tc>
        <w:tc>
          <w:tcPr>
            <w:tcW w:w="8566" w:type="dxa"/>
          </w:tcPr>
          <w:p w14:paraId="52D63E72" w14:textId="77777777" w:rsidR="001447FD" w:rsidRPr="001447FD" w:rsidRDefault="001447FD" w:rsidP="001447FD">
            <w:pPr>
              <w:rPr>
                <w:rFonts w:cstheme="minorHAnsi"/>
                <w:sz w:val="18"/>
                <w:szCs w:val="18"/>
              </w:rPr>
            </w:pPr>
            <w:r w:rsidRPr="001447FD">
              <w:rPr>
                <w:rFonts w:cstheme="minorHAnsi"/>
                <w:sz w:val="18"/>
                <w:szCs w:val="18"/>
              </w:rPr>
              <w:t>33 “The remedial steps undertaken demonstrate substantial and healthy introspection” (JP Morgan)</w:t>
            </w:r>
          </w:p>
        </w:tc>
      </w:tr>
      <w:tr w:rsidR="001447FD" w:rsidRPr="001447FD" w14:paraId="54B52F4F" w14:textId="77777777" w:rsidTr="007C2D59">
        <w:tc>
          <w:tcPr>
            <w:tcW w:w="1793" w:type="dxa"/>
            <w:vMerge/>
          </w:tcPr>
          <w:p w14:paraId="5D75DB68" w14:textId="77777777" w:rsidR="001447FD" w:rsidRPr="001447FD" w:rsidRDefault="001447FD" w:rsidP="001447FD">
            <w:pPr>
              <w:rPr>
                <w:rFonts w:cstheme="minorHAnsi"/>
                <w:sz w:val="18"/>
                <w:szCs w:val="18"/>
              </w:rPr>
            </w:pPr>
          </w:p>
        </w:tc>
        <w:tc>
          <w:tcPr>
            <w:tcW w:w="1867" w:type="dxa"/>
            <w:vMerge w:val="restart"/>
          </w:tcPr>
          <w:p w14:paraId="0D6F0751" w14:textId="77777777" w:rsidR="001447FD" w:rsidRPr="001447FD" w:rsidRDefault="001447FD" w:rsidP="001447FD">
            <w:pPr>
              <w:rPr>
                <w:rFonts w:cstheme="minorHAnsi"/>
                <w:sz w:val="18"/>
                <w:szCs w:val="18"/>
              </w:rPr>
            </w:pPr>
            <w:r w:rsidRPr="001447FD">
              <w:rPr>
                <w:rFonts w:cstheme="minorHAnsi"/>
                <w:sz w:val="18"/>
                <w:szCs w:val="18"/>
              </w:rPr>
              <w:t>Theme: restructuring of boards and continuous improvements</w:t>
            </w:r>
          </w:p>
        </w:tc>
        <w:tc>
          <w:tcPr>
            <w:tcW w:w="1722" w:type="dxa"/>
            <w:vMerge w:val="restart"/>
          </w:tcPr>
          <w:p w14:paraId="77786AD1" w14:textId="77777777" w:rsidR="001447FD" w:rsidRPr="001447FD" w:rsidRDefault="001447FD" w:rsidP="001447FD">
            <w:pPr>
              <w:rPr>
                <w:rFonts w:cstheme="minorHAnsi"/>
                <w:sz w:val="18"/>
                <w:szCs w:val="18"/>
              </w:rPr>
            </w:pPr>
            <w:r w:rsidRPr="001447FD">
              <w:rPr>
                <w:rFonts w:cstheme="minorHAnsi"/>
                <w:sz w:val="18"/>
                <w:szCs w:val="18"/>
              </w:rPr>
              <w:t>strengthening of board</w:t>
            </w:r>
          </w:p>
        </w:tc>
        <w:tc>
          <w:tcPr>
            <w:tcW w:w="8566" w:type="dxa"/>
          </w:tcPr>
          <w:p w14:paraId="61A6BD33" w14:textId="77777777" w:rsidR="001447FD" w:rsidRPr="001447FD" w:rsidRDefault="001447FD" w:rsidP="001447FD">
            <w:pPr>
              <w:rPr>
                <w:rFonts w:cstheme="minorHAnsi"/>
                <w:sz w:val="18"/>
                <w:szCs w:val="18"/>
              </w:rPr>
            </w:pPr>
            <w:r w:rsidRPr="001447FD">
              <w:rPr>
                <w:rFonts w:cstheme="minorHAnsi"/>
                <w:sz w:val="18"/>
                <w:szCs w:val="18"/>
              </w:rPr>
              <w:t>34 “The Bank’s Board looks very different today […] we have also been reforming and improving the Bank’s systems, processes and culture” Cooperative Bank</w:t>
            </w:r>
          </w:p>
        </w:tc>
      </w:tr>
      <w:tr w:rsidR="001447FD" w:rsidRPr="001447FD" w14:paraId="6C3BE2DA" w14:textId="77777777" w:rsidTr="007C2D59">
        <w:tc>
          <w:tcPr>
            <w:tcW w:w="1793" w:type="dxa"/>
            <w:vMerge/>
          </w:tcPr>
          <w:p w14:paraId="45E4C51D" w14:textId="77777777" w:rsidR="001447FD" w:rsidRPr="001447FD" w:rsidRDefault="001447FD" w:rsidP="001447FD">
            <w:pPr>
              <w:rPr>
                <w:rFonts w:cstheme="minorHAnsi"/>
                <w:sz w:val="18"/>
                <w:szCs w:val="18"/>
              </w:rPr>
            </w:pPr>
          </w:p>
        </w:tc>
        <w:tc>
          <w:tcPr>
            <w:tcW w:w="1867" w:type="dxa"/>
            <w:vMerge/>
          </w:tcPr>
          <w:p w14:paraId="746AB416" w14:textId="77777777" w:rsidR="001447FD" w:rsidRPr="001447FD" w:rsidRDefault="001447FD" w:rsidP="001447FD">
            <w:pPr>
              <w:rPr>
                <w:rFonts w:cstheme="minorHAnsi"/>
                <w:sz w:val="18"/>
                <w:szCs w:val="18"/>
              </w:rPr>
            </w:pPr>
          </w:p>
        </w:tc>
        <w:tc>
          <w:tcPr>
            <w:tcW w:w="1722" w:type="dxa"/>
            <w:vMerge/>
          </w:tcPr>
          <w:p w14:paraId="3C8BA5EE" w14:textId="77777777" w:rsidR="001447FD" w:rsidRPr="001447FD" w:rsidRDefault="001447FD" w:rsidP="001447FD">
            <w:pPr>
              <w:rPr>
                <w:rFonts w:cstheme="minorHAnsi"/>
                <w:sz w:val="18"/>
                <w:szCs w:val="18"/>
              </w:rPr>
            </w:pPr>
          </w:p>
        </w:tc>
        <w:tc>
          <w:tcPr>
            <w:tcW w:w="8566" w:type="dxa"/>
          </w:tcPr>
          <w:p w14:paraId="546971B4" w14:textId="77777777" w:rsidR="001447FD" w:rsidRPr="001447FD" w:rsidRDefault="001447FD" w:rsidP="001447FD">
            <w:pPr>
              <w:rPr>
                <w:rFonts w:cstheme="minorHAnsi"/>
                <w:sz w:val="18"/>
                <w:szCs w:val="18"/>
              </w:rPr>
            </w:pPr>
            <w:r w:rsidRPr="001447FD">
              <w:rPr>
                <w:rFonts w:cstheme="minorHAnsi"/>
                <w:sz w:val="18"/>
                <w:szCs w:val="18"/>
              </w:rPr>
              <w:t>35 "I am delighted to announce that Peter and Hugh will be joining the Virgin Money Executive Team. Their broad experience [….] will be invaluable to us as we continue to deliver on our strategy” Virgin Money</w:t>
            </w:r>
          </w:p>
        </w:tc>
      </w:tr>
      <w:tr w:rsidR="001447FD" w:rsidRPr="001447FD" w14:paraId="55D7558E" w14:textId="77777777" w:rsidTr="007C2D59">
        <w:tc>
          <w:tcPr>
            <w:tcW w:w="1793" w:type="dxa"/>
            <w:vMerge/>
          </w:tcPr>
          <w:p w14:paraId="507AA494" w14:textId="77777777" w:rsidR="001447FD" w:rsidRPr="001447FD" w:rsidRDefault="001447FD" w:rsidP="001447FD">
            <w:pPr>
              <w:rPr>
                <w:rFonts w:cstheme="minorHAnsi"/>
                <w:sz w:val="18"/>
                <w:szCs w:val="18"/>
              </w:rPr>
            </w:pPr>
          </w:p>
        </w:tc>
        <w:tc>
          <w:tcPr>
            <w:tcW w:w="1867" w:type="dxa"/>
            <w:vMerge w:val="restart"/>
          </w:tcPr>
          <w:p w14:paraId="0C08A473" w14:textId="77777777" w:rsidR="001447FD" w:rsidRPr="001447FD" w:rsidRDefault="001447FD" w:rsidP="001447FD">
            <w:pPr>
              <w:rPr>
                <w:rFonts w:cstheme="minorHAnsi"/>
                <w:sz w:val="18"/>
                <w:szCs w:val="18"/>
              </w:rPr>
            </w:pPr>
            <w:r w:rsidRPr="001447FD">
              <w:rPr>
                <w:rFonts w:cstheme="minorHAnsi"/>
                <w:sz w:val="18"/>
                <w:szCs w:val="18"/>
              </w:rPr>
              <w:t>Theme: acknowledgement of prior deficiencies and need for continued reform</w:t>
            </w:r>
          </w:p>
        </w:tc>
        <w:tc>
          <w:tcPr>
            <w:tcW w:w="1722" w:type="dxa"/>
            <w:vMerge w:val="restart"/>
          </w:tcPr>
          <w:p w14:paraId="42998BB8" w14:textId="77777777" w:rsidR="001447FD" w:rsidRPr="001447FD" w:rsidRDefault="001447FD" w:rsidP="001447FD">
            <w:pPr>
              <w:rPr>
                <w:rFonts w:cstheme="minorHAnsi"/>
                <w:sz w:val="18"/>
                <w:szCs w:val="18"/>
              </w:rPr>
            </w:pPr>
            <w:r w:rsidRPr="001447FD">
              <w:rPr>
                <w:rFonts w:cstheme="minorHAnsi"/>
                <w:sz w:val="18"/>
                <w:szCs w:val="18"/>
              </w:rPr>
              <w:t>similarity to regret statements, but with emphasis on moving forwards with reform</w:t>
            </w:r>
          </w:p>
        </w:tc>
        <w:tc>
          <w:tcPr>
            <w:tcW w:w="8566" w:type="dxa"/>
          </w:tcPr>
          <w:p w14:paraId="1791F7AD" w14:textId="77777777" w:rsidR="001447FD" w:rsidRPr="001447FD" w:rsidRDefault="001447FD" w:rsidP="001447FD">
            <w:pPr>
              <w:rPr>
                <w:rFonts w:cstheme="minorHAnsi"/>
                <w:sz w:val="18"/>
                <w:szCs w:val="18"/>
              </w:rPr>
            </w:pPr>
            <w:r w:rsidRPr="001447FD">
              <w:rPr>
                <w:rFonts w:cstheme="minorHAnsi"/>
                <w:sz w:val="18"/>
                <w:szCs w:val="18"/>
              </w:rPr>
              <w:t>36 “We have acknowledged for some time that mistakes were made and have apologised” RBS</w:t>
            </w:r>
          </w:p>
        </w:tc>
      </w:tr>
      <w:tr w:rsidR="001447FD" w:rsidRPr="001447FD" w14:paraId="5B745532" w14:textId="77777777" w:rsidTr="007C2D59">
        <w:tc>
          <w:tcPr>
            <w:tcW w:w="1793" w:type="dxa"/>
            <w:vMerge/>
          </w:tcPr>
          <w:p w14:paraId="40F9FAC8" w14:textId="77777777" w:rsidR="001447FD" w:rsidRPr="001447FD" w:rsidRDefault="001447FD" w:rsidP="001447FD">
            <w:pPr>
              <w:rPr>
                <w:rFonts w:cstheme="minorHAnsi"/>
                <w:sz w:val="18"/>
                <w:szCs w:val="18"/>
              </w:rPr>
            </w:pPr>
          </w:p>
        </w:tc>
        <w:tc>
          <w:tcPr>
            <w:tcW w:w="1867" w:type="dxa"/>
            <w:vMerge/>
          </w:tcPr>
          <w:p w14:paraId="5116AE76" w14:textId="77777777" w:rsidR="001447FD" w:rsidRPr="001447FD" w:rsidRDefault="001447FD" w:rsidP="001447FD">
            <w:pPr>
              <w:rPr>
                <w:rFonts w:cstheme="minorHAnsi"/>
                <w:sz w:val="18"/>
                <w:szCs w:val="18"/>
              </w:rPr>
            </w:pPr>
          </w:p>
        </w:tc>
        <w:tc>
          <w:tcPr>
            <w:tcW w:w="1722" w:type="dxa"/>
            <w:vMerge/>
          </w:tcPr>
          <w:p w14:paraId="6E2FBC9B" w14:textId="77777777" w:rsidR="001447FD" w:rsidRPr="001447FD" w:rsidRDefault="001447FD" w:rsidP="001447FD">
            <w:pPr>
              <w:rPr>
                <w:rFonts w:cstheme="minorHAnsi"/>
                <w:sz w:val="18"/>
                <w:szCs w:val="18"/>
              </w:rPr>
            </w:pPr>
          </w:p>
        </w:tc>
        <w:tc>
          <w:tcPr>
            <w:tcW w:w="8566" w:type="dxa"/>
          </w:tcPr>
          <w:p w14:paraId="38637B0C" w14:textId="77777777" w:rsidR="001447FD" w:rsidRPr="001447FD" w:rsidRDefault="001447FD" w:rsidP="001447FD">
            <w:pPr>
              <w:rPr>
                <w:rFonts w:cstheme="minorHAnsi"/>
                <w:sz w:val="18"/>
                <w:szCs w:val="18"/>
              </w:rPr>
            </w:pPr>
            <w:r w:rsidRPr="001447FD">
              <w:rPr>
                <w:rFonts w:cstheme="minorHAnsi"/>
                <w:sz w:val="18"/>
                <w:szCs w:val="18"/>
              </w:rPr>
              <w:t>37 “The culture, structure and way RBS operates today have all changed fundamentally […] We have made significant changes” RBS</w:t>
            </w:r>
          </w:p>
        </w:tc>
      </w:tr>
      <w:tr w:rsidR="001447FD" w:rsidRPr="001447FD" w14:paraId="06E7CA3B" w14:textId="77777777" w:rsidTr="007C2D59">
        <w:tc>
          <w:tcPr>
            <w:tcW w:w="1793" w:type="dxa"/>
            <w:vMerge/>
          </w:tcPr>
          <w:p w14:paraId="18F55734" w14:textId="77777777" w:rsidR="001447FD" w:rsidRPr="001447FD" w:rsidRDefault="001447FD" w:rsidP="001447FD">
            <w:pPr>
              <w:rPr>
                <w:rFonts w:cstheme="minorHAnsi"/>
                <w:sz w:val="18"/>
                <w:szCs w:val="18"/>
              </w:rPr>
            </w:pPr>
          </w:p>
        </w:tc>
        <w:tc>
          <w:tcPr>
            <w:tcW w:w="1867" w:type="dxa"/>
            <w:vMerge w:val="restart"/>
          </w:tcPr>
          <w:p w14:paraId="171F18EB" w14:textId="77777777" w:rsidR="001447FD" w:rsidRPr="001447FD" w:rsidRDefault="001447FD" w:rsidP="001447FD">
            <w:pPr>
              <w:rPr>
                <w:rFonts w:cstheme="minorHAnsi"/>
                <w:sz w:val="18"/>
                <w:szCs w:val="18"/>
              </w:rPr>
            </w:pPr>
            <w:r w:rsidRPr="001447FD">
              <w:rPr>
                <w:rFonts w:cstheme="minorHAnsi"/>
                <w:sz w:val="18"/>
                <w:szCs w:val="18"/>
              </w:rPr>
              <w:t>Theme: cooperative ‘working together’ (message from firms)</w:t>
            </w:r>
          </w:p>
        </w:tc>
        <w:tc>
          <w:tcPr>
            <w:tcW w:w="1722" w:type="dxa"/>
            <w:vMerge w:val="restart"/>
          </w:tcPr>
          <w:p w14:paraId="1F0BBD99" w14:textId="77777777" w:rsidR="001447FD" w:rsidRPr="001447FD" w:rsidRDefault="001447FD" w:rsidP="001447FD">
            <w:pPr>
              <w:rPr>
                <w:rFonts w:cstheme="minorHAnsi"/>
                <w:sz w:val="18"/>
                <w:szCs w:val="18"/>
              </w:rPr>
            </w:pPr>
            <w:r w:rsidRPr="001447FD">
              <w:rPr>
                <w:rFonts w:cstheme="minorHAnsi"/>
                <w:sz w:val="18"/>
                <w:szCs w:val="18"/>
              </w:rPr>
              <w:t xml:space="preserve">aligns to stance of regulator ‘working together’ but </w:t>
            </w:r>
            <w:r w:rsidRPr="001447FD">
              <w:rPr>
                <w:rFonts w:cstheme="minorHAnsi"/>
                <w:sz w:val="18"/>
                <w:szCs w:val="18"/>
              </w:rPr>
              <w:lastRenderedPageBreak/>
              <w:t>setting a norm of best practice within firms</w:t>
            </w:r>
          </w:p>
        </w:tc>
        <w:tc>
          <w:tcPr>
            <w:tcW w:w="8566" w:type="dxa"/>
          </w:tcPr>
          <w:p w14:paraId="20756256" w14:textId="77777777" w:rsidR="001447FD" w:rsidRPr="001447FD" w:rsidRDefault="001447FD" w:rsidP="001447FD">
            <w:pPr>
              <w:rPr>
                <w:rFonts w:cstheme="minorHAnsi"/>
                <w:sz w:val="18"/>
                <w:szCs w:val="18"/>
              </w:rPr>
            </w:pPr>
            <w:r w:rsidRPr="001447FD">
              <w:rPr>
                <w:rFonts w:cstheme="minorHAnsi"/>
                <w:sz w:val="18"/>
                <w:szCs w:val="18"/>
              </w:rPr>
              <w:lastRenderedPageBreak/>
              <w:t>38 “Barclays have cooperated fully with the FCA throughout and continues to apply significant resources” (Barclays)</w:t>
            </w:r>
          </w:p>
          <w:p w14:paraId="524A4938" w14:textId="77777777" w:rsidR="001447FD" w:rsidRPr="001447FD" w:rsidRDefault="001447FD" w:rsidP="001447FD">
            <w:pPr>
              <w:rPr>
                <w:rFonts w:cstheme="minorHAnsi"/>
                <w:sz w:val="18"/>
                <w:szCs w:val="18"/>
              </w:rPr>
            </w:pPr>
          </w:p>
        </w:tc>
      </w:tr>
      <w:tr w:rsidR="001447FD" w:rsidRPr="001447FD" w14:paraId="23C0BCB9" w14:textId="77777777" w:rsidTr="007C2D59">
        <w:tc>
          <w:tcPr>
            <w:tcW w:w="1793" w:type="dxa"/>
            <w:vMerge/>
          </w:tcPr>
          <w:p w14:paraId="0545E798" w14:textId="77777777" w:rsidR="001447FD" w:rsidRPr="001447FD" w:rsidRDefault="001447FD" w:rsidP="001447FD">
            <w:pPr>
              <w:rPr>
                <w:rFonts w:cstheme="minorHAnsi"/>
                <w:sz w:val="18"/>
                <w:szCs w:val="18"/>
              </w:rPr>
            </w:pPr>
          </w:p>
        </w:tc>
        <w:tc>
          <w:tcPr>
            <w:tcW w:w="1867" w:type="dxa"/>
            <w:vMerge/>
          </w:tcPr>
          <w:p w14:paraId="65D2617F" w14:textId="77777777" w:rsidR="001447FD" w:rsidRPr="001447FD" w:rsidRDefault="001447FD" w:rsidP="001447FD">
            <w:pPr>
              <w:rPr>
                <w:rFonts w:cstheme="minorHAnsi"/>
                <w:sz w:val="18"/>
                <w:szCs w:val="18"/>
              </w:rPr>
            </w:pPr>
          </w:p>
        </w:tc>
        <w:tc>
          <w:tcPr>
            <w:tcW w:w="1722" w:type="dxa"/>
            <w:vMerge/>
          </w:tcPr>
          <w:p w14:paraId="52F33694" w14:textId="77777777" w:rsidR="001447FD" w:rsidRPr="001447FD" w:rsidRDefault="001447FD" w:rsidP="001447FD">
            <w:pPr>
              <w:rPr>
                <w:rFonts w:cstheme="minorHAnsi"/>
                <w:sz w:val="18"/>
                <w:szCs w:val="18"/>
              </w:rPr>
            </w:pPr>
          </w:p>
        </w:tc>
        <w:tc>
          <w:tcPr>
            <w:tcW w:w="8566" w:type="dxa"/>
          </w:tcPr>
          <w:p w14:paraId="5781A5C1" w14:textId="77777777" w:rsidR="001447FD" w:rsidRPr="001447FD" w:rsidRDefault="001447FD" w:rsidP="001447FD">
            <w:pPr>
              <w:rPr>
                <w:rFonts w:cstheme="minorHAnsi"/>
                <w:sz w:val="18"/>
                <w:szCs w:val="18"/>
              </w:rPr>
            </w:pPr>
            <w:r w:rsidRPr="001447FD">
              <w:rPr>
                <w:rFonts w:cstheme="minorHAnsi"/>
                <w:sz w:val="18"/>
                <w:szCs w:val="18"/>
              </w:rPr>
              <w:t>39 “we appreciate the opportunity to work with the FCA….we are pleased they’ve witnessed how seriously we take our regulatory responsibilities” (</w:t>
            </w:r>
            <w:proofErr w:type="spellStart"/>
            <w:r w:rsidRPr="001447FD">
              <w:rPr>
                <w:rFonts w:cstheme="minorHAnsi"/>
                <w:sz w:val="18"/>
                <w:szCs w:val="18"/>
              </w:rPr>
              <w:t>CashEuroNet</w:t>
            </w:r>
            <w:proofErr w:type="spellEnd"/>
            <w:r w:rsidRPr="001447FD">
              <w:rPr>
                <w:rFonts w:cstheme="minorHAnsi"/>
                <w:sz w:val="18"/>
                <w:szCs w:val="18"/>
              </w:rPr>
              <w:t>)</w:t>
            </w:r>
          </w:p>
        </w:tc>
      </w:tr>
      <w:tr w:rsidR="001447FD" w:rsidRPr="001447FD" w14:paraId="11BAA4B2" w14:textId="77777777" w:rsidTr="007C2D59">
        <w:tc>
          <w:tcPr>
            <w:tcW w:w="1793" w:type="dxa"/>
            <w:vMerge/>
          </w:tcPr>
          <w:p w14:paraId="3414D65B" w14:textId="77777777" w:rsidR="001447FD" w:rsidRPr="001447FD" w:rsidRDefault="001447FD" w:rsidP="001447FD">
            <w:pPr>
              <w:rPr>
                <w:rFonts w:cstheme="minorHAnsi"/>
                <w:sz w:val="18"/>
                <w:szCs w:val="18"/>
              </w:rPr>
            </w:pPr>
          </w:p>
        </w:tc>
        <w:tc>
          <w:tcPr>
            <w:tcW w:w="1867" w:type="dxa"/>
            <w:vMerge/>
          </w:tcPr>
          <w:p w14:paraId="1E703009" w14:textId="77777777" w:rsidR="001447FD" w:rsidRPr="001447FD" w:rsidRDefault="001447FD" w:rsidP="001447FD">
            <w:pPr>
              <w:rPr>
                <w:rFonts w:cstheme="minorHAnsi"/>
                <w:sz w:val="18"/>
                <w:szCs w:val="18"/>
              </w:rPr>
            </w:pPr>
          </w:p>
        </w:tc>
        <w:tc>
          <w:tcPr>
            <w:tcW w:w="1722" w:type="dxa"/>
            <w:vMerge/>
          </w:tcPr>
          <w:p w14:paraId="50EF8DFA" w14:textId="77777777" w:rsidR="001447FD" w:rsidRPr="001447FD" w:rsidRDefault="001447FD" w:rsidP="001447FD">
            <w:pPr>
              <w:rPr>
                <w:rFonts w:cstheme="minorHAnsi"/>
                <w:sz w:val="18"/>
                <w:szCs w:val="18"/>
              </w:rPr>
            </w:pPr>
          </w:p>
        </w:tc>
        <w:tc>
          <w:tcPr>
            <w:tcW w:w="8566" w:type="dxa"/>
          </w:tcPr>
          <w:p w14:paraId="11269F51" w14:textId="77777777" w:rsidR="001447FD" w:rsidRPr="001447FD" w:rsidRDefault="001447FD" w:rsidP="001447FD">
            <w:pPr>
              <w:rPr>
                <w:rFonts w:cstheme="minorHAnsi"/>
                <w:sz w:val="18"/>
                <w:szCs w:val="18"/>
              </w:rPr>
            </w:pPr>
            <w:r w:rsidRPr="001447FD">
              <w:rPr>
                <w:rFonts w:cstheme="minorHAnsi"/>
                <w:sz w:val="18"/>
                <w:szCs w:val="18"/>
              </w:rPr>
              <w:t>40 “BNY Mellon has worked cooperatively with the FCA” (BNY Mellon)</w:t>
            </w:r>
          </w:p>
        </w:tc>
      </w:tr>
    </w:tbl>
    <w:p w14:paraId="520075F6" w14:textId="77777777" w:rsidR="001447FD" w:rsidRDefault="001447FD" w:rsidP="00D82B0C">
      <w:pPr>
        <w:spacing w:line="480" w:lineRule="auto"/>
        <w:jc w:val="both"/>
        <w:rPr>
          <w:b/>
          <w:sz w:val="20"/>
          <w:szCs w:val="20"/>
        </w:rPr>
      </w:pPr>
    </w:p>
    <w:p w14:paraId="0397AA4A" w14:textId="77777777" w:rsidR="001447FD" w:rsidRPr="00106C0D" w:rsidRDefault="001447FD" w:rsidP="00D82B0C">
      <w:pPr>
        <w:spacing w:line="480" w:lineRule="auto"/>
        <w:jc w:val="both"/>
        <w:rPr>
          <w:b/>
          <w:sz w:val="20"/>
          <w:szCs w:val="20"/>
        </w:rPr>
      </w:pPr>
    </w:p>
    <w:p w14:paraId="51D273D8" w14:textId="77777777" w:rsidR="001447FD" w:rsidRDefault="001447FD" w:rsidP="00D82B0C">
      <w:pPr>
        <w:pStyle w:val="Heading3"/>
        <w:spacing w:line="480" w:lineRule="auto"/>
        <w:rPr>
          <w:color w:val="auto"/>
        </w:rPr>
        <w:sectPr w:rsidR="001447FD" w:rsidSect="001447FD">
          <w:pgSz w:w="16838" w:h="11906" w:orient="landscape" w:code="9"/>
          <w:pgMar w:top="1440" w:right="1440" w:bottom="1440" w:left="1440" w:header="709" w:footer="709" w:gutter="0"/>
          <w:cols w:space="708"/>
          <w:docGrid w:linePitch="360"/>
        </w:sectPr>
      </w:pPr>
      <w:bookmarkStart w:id="0" w:name="_Hlk507246726"/>
    </w:p>
    <w:p w14:paraId="691A7976" w14:textId="00798AE7" w:rsidR="007E476A" w:rsidRPr="008F4B6A" w:rsidRDefault="00EF004A" w:rsidP="00D82B0C">
      <w:pPr>
        <w:pStyle w:val="Heading3"/>
        <w:spacing w:line="480" w:lineRule="auto"/>
        <w:rPr>
          <w:color w:val="auto"/>
        </w:rPr>
      </w:pPr>
      <w:r w:rsidRPr="008F4B6A">
        <w:rPr>
          <w:color w:val="auto"/>
        </w:rPr>
        <w:lastRenderedPageBreak/>
        <w:t xml:space="preserve">Coercive isomorphism </w:t>
      </w:r>
      <w:r w:rsidR="00875A20" w:rsidRPr="008F4B6A">
        <w:rPr>
          <w:color w:val="auto"/>
        </w:rPr>
        <w:t>–</w:t>
      </w:r>
      <w:r w:rsidRPr="008F4B6A">
        <w:rPr>
          <w:color w:val="auto"/>
        </w:rPr>
        <w:t xml:space="preserve"> </w:t>
      </w:r>
      <w:r w:rsidR="00875A20" w:rsidRPr="008F4B6A">
        <w:rPr>
          <w:color w:val="auto"/>
        </w:rPr>
        <w:t>actions</w:t>
      </w:r>
      <w:r w:rsidRPr="008F4B6A">
        <w:rPr>
          <w:color w:val="auto"/>
        </w:rPr>
        <w:t xml:space="preserve"> of the regulator</w:t>
      </w:r>
      <w:r w:rsidR="00875A20" w:rsidRPr="008F4B6A">
        <w:rPr>
          <w:color w:val="auto"/>
        </w:rPr>
        <w:t xml:space="preserve"> pressuring violating banks</w:t>
      </w:r>
    </w:p>
    <w:bookmarkEnd w:id="0"/>
    <w:p w14:paraId="3D3C43E9" w14:textId="7DAD9110" w:rsidR="00C7232B" w:rsidRPr="008F4B6A" w:rsidRDefault="00214480" w:rsidP="00D82B0C">
      <w:pPr>
        <w:spacing w:line="480" w:lineRule="auto"/>
        <w:jc w:val="both"/>
      </w:pPr>
      <w:r w:rsidRPr="008F4B6A">
        <w:t>Analys</w:t>
      </w:r>
      <w:r w:rsidR="00534175" w:rsidRPr="008F4B6A">
        <w:t xml:space="preserve">es shows that the FCA has issued significant amount of fines against non-complying firms </w:t>
      </w:r>
      <w:r w:rsidR="009C60FA" w:rsidRPr="008F4B6A">
        <w:t xml:space="preserve">in </w:t>
      </w:r>
      <w:r w:rsidR="00604908" w:rsidRPr="008F4B6A">
        <w:t xml:space="preserve">the period from 2013 to </w:t>
      </w:r>
      <w:r w:rsidR="009C60FA" w:rsidRPr="008F4B6A">
        <w:t>2016</w:t>
      </w:r>
      <w:r w:rsidR="002140D1" w:rsidRPr="008F4B6A">
        <w:t xml:space="preserve">, in an attempt to coerce compliance and eventually create </w:t>
      </w:r>
      <w:r w:rsidR="009C60FA" w:rsidRPr="008F4B6A">
        <w:t>the</w:t>
      </w:r>
      <w:r w:rsidR="002140D1" w:rsidRPr="008F4B6A">
        <w:t xml:space="preserve"> so called ‘compliance culture’.  </w:t>
      </w:r>
      <w:r w:rsidR="004E206F" w:rsidRPr="008F4B6A">
        <w:t xml:space="preserve">In fact, </w:t>
      </w:r>
      <w:r w:rsidR="002140D1" w:rsidRPr="008F4B6A">
        <w:t>t</w:t>
      </w:r>
      <w:r w:rsidR="00E3609B" w:rsidRPr="008F4B6A">
        <w:t>he FCA</w:t>
      </w:r>
      <w:r w:rsidR="002140D1" w:rsidRPr="008F4B6A">
        <w:t>’s</w:t>
      </w:r>
      <w:r w:rsidR="007B6F2F" w:rsidRPr="008F4B6A">
        <w:t xml:space="preserve"> </w:t>
      </w:r>
      <w:r w:rsidR="004E206F" w:rsidRPr="008F4B6A">
        <w:t xml:space="preserve">was </w:t>
      </w:r>
      <w:r w:rsidR="00E3609B" w:rsidRPr="008F4B6A">
        <w:t>highl</w:t>
      </w:r>
      <w:r w:rsidR="00A565AF" w:rsidRPr="008F4B6A">
        <w:t xml:space="preserve">y critical of </w:t>
      </w:r>
      <w:r w:rsidR="00C67BE0" w:rsidRPr="008F4B6A">
        <w:t xml:space="preserve">the compliance </w:t>
      </w:r>
      <w:r w:rsidR="00DD6F0A" w:rsidRPr="008F4B6A">
        <w:t>culture</w:t>
      </w:r>
      <w:r w:rsidR="009F073B" w:rsidRPr="008F4B6A">
        <w:t xml:space="preserve"> of the violating firms</w:t>
      </w:r>
      <w:r w:rsidR="00E3609B" w:rsidRPr="008F4B6A">
        <w:t xml:space="preserve">. </w:t>
      </w:r>
      <w:r w:rsidR="00CA6A4D" w:rsidRPr="008F4B6A">
        <w:t xml:space="preserve"> Coding </w:t>
      </w:r>
      <w:r w:rsidR="009C60FA" w:rsidRPr="008F4B6A">
        <w:t xml:space="preserve">shows that there </w:t>
      </w:r>
      <w:r w:rsidR="008B0F88" w:rsidRPr="008F4B6A">
        <w:t xml:space="preserve">were </w:t>
      </w:r>
      <w:r w:rsidR="00044A7E" w:rsidRPr="008F4B6A">
        <w:t>four</w:t>
      </w:r>
      <w:r w:rsidR="008B0F88" w:rsidRPr="008F4B6A">
        <w:t xml:space="preserve"> themes of commentary from the FCA within the press release</w:t>
      </w:r>
      <w:r w:rsidR="009C60FA" w:rsidRPr="008F4B6A">
        <w:t>s. In</w:t>
      </w:r>
      <w:r w:rsidR="00885D80" w:rsidRPr="008F4B6A">
        <w:t xml:space="preserve"> </w:t>
      </w:r>
      <w:r w:rsidR="008B0F88" w:rsidRPr="008F4B6A">
        <w:t xml:space="preserve">the first </w:t>
      </w:r>
      <w:r w:rsidR="00885D80" w:rsidRPr="008F4B6A">
        <w:t>theme, the FCA comment</w:t>
      </w:r>
      <w:r w:rsidR="009C60FA" w:rsidRPr="008F4B6A">
        <w:t>ed</w:t>
      </w:r>
      <w:r w:rsidR="008B0F88" w:rsidRPr="008F4B6A">
        <w:t xml:space="preserve"> specifically on the deficiencies in </w:t>
      </w:r>
      <w:r w:rsidR="009C60FA" w:rsidRPr="008F4B6A">
        <w:t xml:space="preserve">the </w:t>
      </w:r>
      <w:r w:rsidR="008B0F88" w:rsidRPr="008F4B6A">
        <w:t xml:space="preserve">culture </w:t>
      </w:r>
      <w:r w:rsidR="009C60FA" w:rsidRPr="008F4B6A">
        <w:t xml:space="preserve">of the </w:t>
      </w:r>
      <w:r w:rsidR="008B0F88" w:rsidRPr="008F4B6A">
        <w:t>violating firms</w:t>
      </w:r>
      <w:r w:rsidR="009C60FA" w:rsidRPr="008F4B6A">
        <w:t xml:space="preserve">. While, in the second </w:t>
      </w:r>
      <w:r w:rsidR="00885D80" w:rsidRPr="008F4B6A">
        <w:t xml:space="preserve">theme, </w:t>
      </w:r>
      <w:r w:rsidR="008B0F88" w:rsidRPr="008F4B6A">
        <w:t>the FCA</w:t>
      </w:r>
      <w:r w:rsidR="00885D80" w:rsidRPr="008F4B6A">
        <w:t xml:space="preserve"> comment</w:t>
      </w:r>
      <w:r w:rsidR="005378BD" w:rsidRPr="008F4B6A">
        <w:t>ed</w:t>
      </w:r>
      <w:r w:rsidR="00885D80" w:rsidRPr="008F4B6A">
        <w:t xml:space="preserve"> on shortfalls in </w:t>
      </w:r>
      <w:r w:rsidR="00A81C77" w:rsidRPr="008F4B6A">
        <w:t xml:space="preserve">firms’ behaviour against </w:t>
      </w:r>
      <w:r w:rsidR="00885D80" w:rsidRPr="008F4B6A">
        <w:t>their expectations.</w:t>
      </w:r>
      <w:r w:rsidR="00875B9D" w:rsidRPr="008F4B6A">
        <w:t xml:space="preserve"> In addition, it was observed that the tone of FCA’s message changed to messages of cooperation in more recent releases</w:t>
      </w:r>
      <w:r w:rsidR="00F00F6C" w:rsidRPr="008F4B6A">
        <w:t xml:space="preserve"> (theme </w:t>
      </w:r>
      <w:r w:rsidR="00A13533" w:rsidRPr="008F4B6A">
        <w:t>three</w:t>
      </w:r>
      <w:r w:rsidR="00F00F6C" w:rsidRPr="008F4B6A">
        <w:t>)</w:t>
      </w:r>
      <w:r w:rsidR="00875B9D" w:rsidRPr="008F4B6A">
        <w:t>.</w:t>
      </w:r>
      <w:r w:rsidR="0045510F" w:rsidRPr="008F4B6A">
        <w:t xml:space="preserve"> A final worrying trend was </w:t>
      </w:r>
      <w:r w:rsidR="004C1EFE" w:rsidRPr="008F4B6A">
        <w:t xml:space="preserve">noticed </w:t>
      </w:r>
      <w:r w:rsidR="0045510F" w:rsidRPr="008F4B6A">
        <w:t xml:space="preserve">in a minority of cases reviewed, whereby the violating firms appeared to have disregarded the </w:t>
      </w:r>
      <w:r w:rsidR="00B91EF8" w:rsidRPr="008F4B6A">
        <w:t>regulator’s</w:t>
      </w:r>
      <w:r w:rsidR="0045510F" w:rsidRPr="008F4B6A">
        <w:t xml:space="preserve"> pressures </w:t>
      </w:r>
      <w:r w:rsidR="00B91EF8" w:rsidRPr="008F4B6A">
        <w:t xml:space="preserve">or </w:t>
      </w:r>
      <w:r w:rsidR="00AE5343" w:rsidRPr="008F4B6A">
        <w:t>attempted to blame others</w:t>
      </w:r>
      <w:r w:rsidR="00F00F6C" w:rsidRPr="008F4B6A">
        <w:t xml:space="preserve"> (theme </w:t>
      </w:r>
      <w:r w:rsidR="00A13533" w:rsidRPr="008F4B6A">
        <w:t>four</w:t>
      </w:r>
      <w:r w:rsidR="00F00F6C" w:rsidRPr="008F4B6A">
        <w:t>)</w:t>
      </w:r>
      <w:r w:rsidR="0045510F" w:rsidRPr="008F4B6A">
        <w:t>.</w:t>
      </w:r>
      <w:r w:rsidR="00F00F6C" w:rsidRPr="008F4B6A">
        <w:t xml:space="preserve"> The f</w:t>
      </w:r>
      <w:r w:rsidR="00A13533" w:rsidRPr="008F4B6A">
        <w:t>our</w:t>
      </w:r>
      <w:r w:rsidR="00F00F6C" w:rsidRPr="008F4B6A">
        <w:t xml:space="preserve"> themes are further discussed in the following subsections.</w:t>
      </w:r>
      <w:r w:rsidR="00C46F74" w:rsidRPr="008F4B6A">
        <w:t xml:space="preserve"> </w:t>
      </w:r>
    </w:p>
    <w:p w14:paraId="1DEF843E" w14:textId="6C729561" w:rsidR="00885D80" w:rsidRPr="008F4B6A" w:rsidRDefault="00C46F74" w:rsidP="00D82B0C">
      <w:pPr>
        <w:spacing w:line="480" w:lineRule="auto"/>
        <w:jc w:val="both"/>
      </w:pPr>
      <w:r w:rsidRPr="008F4B6A">
        <w:t xml:space="preserve">Table </w:t>
      </w:r>
      <w:r w:rsidR="007278A1">
        <w:t>3</w:t>
      </w:r>
      <w:r w:rsidRPr="008F4B6A">
        <w:t xml:space="preserve"> summarises the</w:t>
      </w:r>
      <w:r w:rsidR="00044A7E" w:rsidRPr="008F4B6A">
        <w:t xml:space="preserve"> data </w:t>
      </w:r>
      <w:r w:rsidR="0013755A" w:rsidRPr="008F4B6A">
        <w:t>collected in this research</w:t>
      </w:r>
      <w:r w:rsidR="00044A7E" w:rsidRPr="008F4B6A">
        <w:t>, listing</w:t>
      </w:r>
      <w:r w:rsidRPr="008F4B6A">
        <w:t xml:space="preserve"> </w:t>
      </w:r>
      <w:r w:rsidR="00C7232B" w:rsidRPr="008F4B6A">
        <w:t>institutions</w:t>
      </w:r>
      <w:r w:rsidRPr="008F4B6A">
        <w:t xml:space="preserve"> highlighted in FCA press releases, and sanctioned in excess of £0.5 million, which demonstrates coercion by the regulator in the forms of fines/sanctions issued.</w:t>
      </w:r>
    </w:p>
    <w:p w14:paraId="282E7483" w14:textId="7C5B864B" w:rsidR="00C46F74" w:rsidRDefault="00957666" w:rsidP="00D82B0C">
      <w:pPr>
        <w:pStyle w:val="Caption"/>
        <w:spacing w:line="480" w:lineRule="auto"/>
        <w:rPr>
          <w:color w:val="auto"/>
        </w:rPr>
      </w:pPr>
      <w:r>
        <w:rPr>
          <w:color w:val="auto"/>
        </w:rPr>
        <w:t xml:space="preserve"> </w:t>
      </w:r>
      <w:r w:rsidR="00C46F74" w:rsidRPr="008F4B6A">
        <w:rPr>
          <w:color w:val="auto"/>
        </w:rPr>
        <w:t xml:space="preserve">Table </w:t>
      </w:r>
      <w:r w:rsidR="007278A1">
        <w:rPr>
          <w:color w:val="auto"/>
        </w:rPr>
        <w:t>3</w:t>
      </w:r>
      <w:r w:rsidR="0094619F" w:rsidRPr="008F4B6A">
        <w:rPr>
          <w:color w:val="auto"/>
        </w:rPr>
        <w:t xml:space="preserve"> </w:t>
      </w:r>
      <w:r w:rsidR="00C46F74" w:rsidRPr="008F4B6A">
        <w:rPr>
          <w:color w:val="auto"/>
        </w:rPr>
        <w:t>List of significant fines during period of analysis</w:t>
      </w:r>
    </w:p>
    <w:tbl>
      <w:tblPr>
        <w:tblStyle w:val="GridTable1Light-Accent1"/>
        <w:tblW w:w="0" w:type="auto"/>
        <w:tblLook w:val="04A0" w:firstRow="1" w:lastRow="0" w:firstColumn="1" w:lastColumn="0" w:noHBand="0" w:noVBand="1"/>
      </w:tblPr>
      <w:tblGrid>
        <w:gridCol w:w="6450"/>
        <w:gridCol w:w="2566"/>
      </w:tblGrid>
      <w:tr w:rsidR="00384259" w14:paraId="3A987E99" w14:textId="77777777" w:rsidTr="00384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17284DAD" w14:textId="77777777" w:rsidR="00384259" w:rsidRDefault="00384259">
            <w:pPr>
              <w:spacing w:line="480" w:lineRule="auto"/>
              <w:jc w:val="both"/>
            </w:pPr>
            <w:r>
              <w:t xml:space="preserve">Firm/Violation </w:t>
            </w:r>
          </w:p>
          <w:p w14:paraId="0038A46B" w14:textId="77777777" w:rsidR="00384259" w:rsidRDefault="00384259">
            <w:pPr>
              <w:spacing w:line="480" w:lineRule="auto"/>
              <w:jc w:val="both"/>
            </w:pPr>
            <w:r>
              <w:t>(sourced via FCA press releases &gt; 500K fine)</w:t>
            </w:r>
          </w:p>
        </w:tc>
        <w:tc>
          <w:tcPr>
            <w:tcW w:w="2566"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180843B0" w14:textId="77777777" w:rsidR="00384259" w:rsidRDefault="00384259">
            <w:pPr>
              <w:spacing w:line="480" w:lineRule="auto"/>
              <w:jc w:val="both"/>
              <w:cnfStyle w:val="100000000000" w:firstRow="1" w:lastRow="0" w:firstColumn="0" w:lastColumn="0" w:oddVBand="0" w:evenVBand="0" w:oddHBand="0" w:evenHBand="0" w:firstRowFirstColumn="0" w:firstRowLastColumn="0" w:lastRowFirstColumn="0" w:lastRowLastColumn="0"/>
            </w:pPr>
            <w:r>
              <w:t>Significance of fine</w:t>
            </w:r>
          </w:p>
          <w:p w14:paraId="10196DDD" w14:textId="77777777" w:rsidR="00384259" w:rsidRDefault="00384259">
            <w:pPr>
              <w:spacing w:line="480" w:lineRule="auto"/>
              <w:jc w:val="both"/>
              <w:cnfStyle w:val="100000000000" w:firstRow="1" w:lastRow="0" w:firstColumn="0" w:lastColumn="0" w:oddVBand="0" w:evenVBand="0" w:oddHBand="0" w:evenHBand="0" w:firstRowFirstColumn="0" w:firstRowLastColumn="0" w:lastRowFirstColumn="0" w:lastRowLastColumn="0"/>
            </w:pPr>
            <w:r>
              <w:t>£’million</w:t>
            </w:r>
          </w:p>
        </w:tc>
      </w:tr>
      <w:tr w:rsidR="00384259" w14:paraId="7A75530E"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73D9247" w14:textId="77777777" w:rsidR="00384259" w:rsidRDefault="00384259">
            <w:pPr>
              <w:spacing w:line="480" w:lineRule="auto"/>
              <w:jc w:val="both"/>
              <w:rPr>
                <w:b w:val="0"/>
              </w:rPr>
            </w:pPr>
            <w:r>
              <w:t>2013/14 Review</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021598D"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p>
        </w:tc>
      </w:tr>
      <w:tr w:rsidR="00384259" w14:paraId="222693C5"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2004251" w14:textId="77777777" w:rsidR="00384259" w:rsidRDefault="00384259">
            <w:pPr>
              <w:spacing w:line="480" w:lineRule="auto"/>
              <w:jc w:val="both"/>
              <w:rPr>
                <w:b w:val="0"/>
              </w:rPr>
            </w:pPr>
            <w:r>
              <w:t>Wonga (FCA 2014)</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EFCC536"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r>
              <w:rPr>
                <w:b/>
              </w:rPr>
              <w:t>£2.8</w:t>
            </w:r>
          </w:p>
        </w:tc>
      </w:tr>
      <w:tr w:rsidR="00384259" w14:paraId="51958B28"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CFFAD4E" w14:textId="77777777" w:rsidR="00384259" w:rsidRDefault="00384259">
            <w:pPr>
              <w:spacing w:line="480" w:lineRule="auto"/>
              <w:jc w:val="both"/>
              <w:rPr>
                <w:b w:val="0"/>
              </w:rPr>
            </w:pPr>
            <w:r>
              <w:t xml:space="preserve">Martin Brokers (FCA 2014a) </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7A860C7"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r>
              <w:rPr>
                <w:b/>
              </w:rPr>
              <w:t>£0.6</w:t>
            </w:r>
          </w:p>
        </w:tc>
      </w:tr>
      <w:tr w:rsidR="00384259" w14:paraId="30B975A1"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10867B4" w14:textId="77777777" w:rsidR="00384259" w:rsidRDefault="00384259">
            <w:pPr>
              <w:spacing w:line="480" w:lineRule="auto"/>
              <w:jc w:val="both"/>
              <w:rPr>
                <w:b w:val="0"/>
              </w:rPr>
            </w:pPr>
            <w:r>
              <w:t>ICAP (FCA 2013)</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A7F4CFD"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r>
              <w:rPr>
                <w:b/>
              </w:rPr>
              <w:t>£14.0</w:t>
            </w:r>
          </w:p>
        </w:tc>
      </w:tr>
      <w:tr w:rsidR="00384259" w14:paraId="4AE5958F"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5E274A8" w14:textId="77777777" w:rsidR="00384259" w:rsidRDefault="00384259">
            <w:pPr>
              <w:spacing w:line="480" w:lineRule="auto"/>
              <w:jc w:val="both"/>
              <w:rPr>
                <w:b w:val="0"/>
              </w:rPr>
            </w:pPr>
            <w:r>
              <w:t>State Street Bank (FCA 2014b)</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BA242B2"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r>
              <w:rPr>
                <w:b/>
              </w:rPr>
              <w:t>£22.9</w:t>
            </w:r>
          </w:p>
        </w:tc>
      </w:tr>
      <w:tr w:rsidR="00384259" w14:paraId="2E248F19"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4A76231" w14:textId="77777777" w:rsidR="00384259" w:rsidRDefault="00384259">
            <w:pPr>
              <w:spacing w:line="480" w:lineRule="auto"/>
              <w:jc w:val="both"/>
              <w:rPr>
                <w:b w:val="0"/>
              </w:rPr>
            </w:pPr>
            <w:r>
              <w:lastRenderedPageBreak/>
              <w:t>Lloyds (FCA 2013b)</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46EEA70"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r>
              <w:rPr>
                <w:b/>
              </w:rPr>
              <w:t>£28.0</w:t>
            </w:r>
          </w:p>
        </w:tc>
      </w:tr>
      <w:tr w:rsidR="00384259" w14:paraId="1D715040"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B9285B4" w14:textId="77777777" w:rsidR="00384259" w:rsidRDefault="00384259">
            <w:pPr>
              <w:spacing w:line="480" w:lineRule="auto"/>
              <w:jc w:val="both"/>
              <w:rPr>
                <w:b w:val="0"/>
              </w:rPr>
            </w:pPr>
            <w:proofErr w:type="spellStart"/>
            <w:r>
              <w:t>Homeserve</w:t>
            </w:r>
            <w:proofErr w:type="spellEnd"/>
            <w:r>
              <w:t xml:space="preserve"> (FCA 2014c)</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F201924"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r>
              <w:rPr>
                <w:b/>
              </w:rPr>
              <w:t>£30.6</w:t>
            </w:r>
          </w:p>
        </w:tc>
      </w:tr>
      <w:tr w:rsidR="00384259" w14:paraId="00091D42"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F205662" w14:textId="77777777" w:rsidR="00384259" w:rsidRDefault="00384259">
            <w:pPr>
              <w:spacing w:line="480" w:lineRule="auto"/>
              <w:jc w:val="both"/>
              <w:rPr>
                <w:b w:val="0"/>
              </w:rPr>
            </w:pPr>
            <w:r>
              <w:t>JP Morgan (FCA 2013d)</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69EAABE"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r>
              <w:rPr>
                <w:b/>
              </w:rPr>
              <w:t>£137.6</w:t>
            </w:r>
          </w:p>
        </w:tc>
      </w:tr>
      <w:tr w:rsidR="00384259" w14:paraId="6E317056"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8B42578" w14:textId="77777777" w:rsidR="00384259" w:rsidRDefault="00384259">
            <w:pPr>
              <w:spacing w:line="480" w:lineRule="auto"/>
              <w:jc w:val="both"/>
              <w:rPr>
                <w:b w:val="0"/>
              </w:rPr>
            </w:pPr>
            <w:r>
              <w:t>JLT Speciality (FCA 2013c)</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20E6B26"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r>
              <w:rPr>
                <w:b/>
              </w:rPr>
              <w:t>£1.8</w:t>
            </w:r>
          </w:p>
        </w:tc>
      </w:tr>
      <w:tr w:rsidR="00384259" w14:paraId="3521C80D"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9AF83C8" w14:textId="77777777" w:rsidR="00384259" w:rsidRDefault="00384259">
            <w:pPr>
              <w:spacing w:line="480" w:lineRule="auto"/>
              <w:jc w:val="both"/>
              <w:rPr>
                <w:b w:val="0"/>
              </w:rPr>
            </w:pPr>
            <w:proofErr w:type="spellStart"/>
            <w:r>
              <w:t>Rabobank</w:t>
            </w:r>
            <w:proofErr w:type="spellEnd"/>
            <w:r>
              <w:t xml:space="preserve"> (FCA 2013f)</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D5F8943"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r>
              <w:rPr>
                <w:b/>
              </w:rPr>
              <w:t>£105.0</w:t>
            </w:r>
          </w:p>
        </w:tc>
      </w:tr>
      <w:tr w:rsidR="00384259" w14:paraId="13BC8D1E"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C046619" w14:textId="77777777" w:rsidR="00384259" w:rsidRDefault="00384259">
            <w:pPr>
              <w:spacing w:line="480" w:lineRule="auto"/>
              <w:jc w:val="both"/>
              <w:rPr>
                <w:b w:val="0"/>
              </w:rPr>
            </w:pPr>
            <w:r>
              <w:t>Sesame (FCA 2013e)</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FCDC2F1"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r>
              <w:rPr>
                <w:b/>
              </w:rPr>
              <w:t>£6.0</w:t>
            </w:r>
          </w:p>
        </w:tc>
      </w:tr>
      <w:tr w:rsidR="00384259" w14:paraId="496FE778"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37E6B39" w14:textId="77777777" w:rsidR="00384259" w:rsidRDefault="00384259">
            <w:pPr>
              <w:spacing w:line="480" w:lineRule="auto"/>
              <w:jc w:val="both"/>
              <w:rPr>
                <w:b w:val="0"/>
              </w:rPr>
            </w:pP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3E453CE"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p>
        </w:tc>
      </w:tr>
      <w:tr w:rsidR="00384259" w14:paraId="7AB35710"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50FB411" w14:textId="77777777" w:rsidR="00384259" w:rsidRDefault="00384259">
            <w:pPr>
              <w:spacing w:line="480" w:lineRule="auto"/>
              <w:jc w:val="both"/>
              <w:rPr>
                <w:b w:val="0"/>
              </w:rPr>
            </w:pPr>
            <w:r>
              <w:t>2015/16 Review</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67BE956"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p>
        </w:tc>
      </w:tr>
      <w:tr w:rsidR="00384259" w14:paraId="4ECE6013"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D200450" w14:textId="77777777" w:rsidR="00384259" w:rsidRDefault="00384259">
            <w:pPr>
              <w:spacing w:line="480" w:lineRule="auto"/>
              <w:jc w:val="both"/>
              <w:rPr>
                <w:b w:val="0"/>
              </w:rPr>
            </w:pPr>
            <w:proofErr w:type="spellStart"/>
            <w:r>
              <w:t>Threadneedle</w:t>
            </w:r>
            <w:proofErr w:type="spellEnd"/>
            <w:r>
              <w:t xml:space="preserve"> Asset Management Limited (FCA 2015)</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0524282"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r>
              <w:rPr>
                <w:b/>
              </w:rPr>
              <w:t>£6.0</w:t>
            </w:r>
          </w:p>
        </w:tc>
      </w:tr>
      <w:tr w:rsidR="00384259" w14:paraId="71A82CF5"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E48937D" w14:textId="77777777" w:rsidR="00384259" w:rsidRDefault="00384259">
            <w:pPr>
              <w:spacing w:line="480" w:lineRule="auto"/>
              <w:jc w:val="both"/>
              <w:rPr>
                <w:b w:val="0"/>
              </w:rPr>
            </w:pPr>
            <w:r>
              <w:t>Barclays (relating to transaction in 2011/12) (FCA 2015b)</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14F1367"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r>
              <w:rPr>
                <w:b/>
              </w:rPr>
              <w:t>£72.0</w:t>
            </w:r>
          </w:p>
        </w:tc>
      </w:tr>
      <w:tr w:rsidR="00384259" w14:paraId="4177B3B6"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BD1AB56" w14:textId="77777777" w:rsidR="00384259" w:rsidRDefault="00384259">
            <w:pPr>
              <w:spacing w:line="480" w:lineRule="auto"/>
              <w:jc w:val="both"/>
              <w:rPr>
                <w:b w:val="0"/>
              </w:rPr>
            </w:pPr>
            <w:r>
              <w:t>Barclays (forex failings 2008-2013) (FCA 2015d)</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5A6F7A8"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r>
              <w:rPr>
                <w:b/>
              </w:rPr>
              <w:t>£284.4</w:t>
            </w:r>
          </w:p>
        </w:tc>
      </w:tr>
      <w:tr w:rsidR="00384259" w14:paraId="7C7006A1"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8361221" w14:textId="77777777" w:rsidR="00384259" w:rsidRDefault="00384259">
            <w:pPr>
              <w:spacing w:line="480" w:lineRule="auto"/>
              <w:jc w:val="both"/>
              <w:rPr>
                <w:b w:val="0"/>
              </w:rPr>
            </w:pPr>
            <w:proofErr w:type="spellStart"/>
            <w:r>
              <w:t>CashEuroNet</w:t>
            </w:r>
            <w:proofErr w:type="spellEnd"/>
            <w:r>
              <w:t xml:space="preserve"> (FCA 2015k)</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D623AA1"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r>
              <w:rPr>
                <w:b/>
              </w:rPr>
              <w:t>£1.7 (note redress)</w:t>
            </w:r>
          </w:p>
        </w:tc>
      </w:tr>
      <w:tr w:rsidR="00384259" w14:paraId="6C9909A5"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0BB4E03" w14:textId="77777777" w:rsidR="00384259" w:rsidRDefault="00384259">
            <w:pPr>
              <w:spacing w:line="480" w:lineRule="auto"/>
              <w:jc w:val="both"/>
              <w:rPr>
                <w:b w:val="0"/>
              </w:rPr>
            </w:pPr>
            <w:r>
              <w:t>Dollar Financial UK (FCA 2015l)</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CACCF49"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r>
              <w:rPr>
                <w:b/>
              </w:rPr>
              <w:t>£15.4 (note redress)</w:t>
            </w:r>
          </w:p>
        </w:tc>
      </w:tr>
      <w:tr w:rsidR="00384259" w14:paraId="3AD72F65"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613EEE2" w14:textId="77777777" w:rsidR="00384259" w:rsidRDefault="00384259">
            <w:pPr>
              <w:spacing w:line="480" w:lineRule="auto"/>
              <w:jc w:val="both"/>
              <w:rPr>
                <w:b w:val="0"/>
              </w:rPr>
            </w:pPr>
            <w:r>
              <w:t>Cash Genie (FCA 2015m)</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5C03C55"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r>
              <w:rPr>
                <w:b/>
              </w:rPr>
              <w:t>£20.0</w:t>
            </w:r>
          </w:p>
        </w:tc>
      </w:tr>
      <w:tr w:rsidR="00384259" w14:paraId="6BF74E4C"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C41F71A" w14:textId="77777777" w:rsidR="00384259" w:rsidRDefault="00384259">
            <w:pPr>
              <w:spacing w:line="480" w:lineRule="auto"/>
              <w:jc w:val="both"/>
              <w:rPr>
                <w:b w:val="0"/>
              </w:rPr>
            </w:pPr>
            <w:r>
              <w:t>Lloyds Banking Group (PPI handling) (FCA 2015c)</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9B1903D"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r>
              <w:rPr>
                <w:b/>
              </w:rPr>
              <w:t>£117.0</w:t>
            </w:r>
          </w:p>
        </w:tc>
      </w:tr>
      <w:tr w:rsidR="00384259" w14:paraId="7E28C226"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983A728" w14:textId="77777777" w:rsidR="00384259" w:rsidRDefault="00384259">
            <w:pPr>
              <w:spacing w:line="480" w:lineRule="auto"/>
              <w:jc w:val="both"/>
              <w:rPr>
                <w:b w:val="0"/>
                <w:lang w:val="de-DE"/>
              </w:rPr>
            </w:pPr>
            <w:r>
              <w:rPr>
                <w:lang w:val="de-DE"/>
              </w:rPr>
              <w:t>Deutsche Bank (Libor and Euribor) (FCA 2015e)</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AB07297"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r>
              <w:rPr>
                <w:b/>
              </w:rPr>
              <w:t>£227.0</w:t>
            </w:r>
          </w:p>
        </w:tc>
      </w:tr>
      <w:tr w:rsidR="00384259" w14:paraId="25F1358D"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CAD2DF4" w14:textId="77777777" w:rsidR="00384259" w:rsidRDefault="00384259">
            <w:pPr>
              <w:spacing w:line="480" w:lineRule="auto"/>
              <w:jc w:val="both"/>
              <w:rPr>
                <w:b w:val="0"/>
              </w:rPr>
            </w:pPr>
            <w:r>
              <w:t>Merrill Lynch International (MLI) (FCA 2015f)</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AC8D71D"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r>
              <w:rPr>
                <w:b/>
              </w:rPr>
              <w:t>£13.2</w:t>
            </w:r>
          </w:p>
        </w:tc>
      </w:tr>
      <w:tr w:rsidR="00384259" w14:paraId="45AB1DFF"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1A016AC" w14:textId="77777777" w:rsidR="00384259" w:rsidRDefault="00384259">
            <w:pPr>
              <w:spacing w:line="480" w:lineRule="auto"/>
              <w:jc w:val="both"/>
              <w:rPr>
                <w:b w:val="0"/>
              </w:rPr>
            </w:pPr>
            <w:r>
              <w:t>Clydesdale Bank (FCA 2015h)</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592A404"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r>
              <w:rPr>
                <w:b/>
              </w:rPr>
              <w:t>£20.6</w:t>
            </w:r>
          </w:p>
        </w:tc>
      </w:tr>
      <w:tr w:rsidR="00384259" w14:paraId="3E5AE581"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0AA92BB" w14:textId="77777777" w:rsidR="00384259" w:rsidRDefault="00384259">
            <w:pPr>
              <w:spacing w:line="480" w:lineRule="auto"/>
              <w:jc w:val="both"/>
              <w:rPr>
                <w:b w:val="0"/>
              </w:rPr>
            </w:pPr>
            <w:r>
              <w:t>The Bank of New York Mellon London branch and The Bank of New York Mellon International Limited (FCA 2015g)</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ACBFAA2"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r>
              <w:rPr>
                <w:b/>
              </w:rPr>
              <w:t>£126.0</w:t>
            </w:r>
          </w:p>
        </w:tc>
      </w:tr>
      <w:tr w:rsidR="00384259" w14:paraId="2AFA1D5F"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02358BC" w14:textId="77777777" w:rsidR="00384259" w:rsidRDefault="00384259">
            <w:pPr>
              <w:spacing w:line="480" w:lineRule="auto"/>
              <w:jc w:val="both"/>
              <w:rPr>
                <w:b w:val="0"/>
              </w:rPr>
            </w:pPr>
            <w:r>
              <w:t>Bank of Beirut (FCA 2015i)</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70FFA17"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r>
              <w:rPr>
                <w:b/>
              </w:rPr>
              <w:t>£2.1</w:t>
            </w:r>
          </w:p>
        </w:tc>
      </w:tr>
      <w:tr w:rsidR="00384259" w14:paraId="2B957059" w14:textId="77777777" w:rsidTr="00384259">
        <w:tc>
          <w:tcPr>
            <w:cnfStyle w:val="001000000000" w:firstRow="0" w:lastRow="0" w:firstColumn="1" w:lastColumn="0" w:oddVBand="0" w:evenVBand="0" w:oddHBand="0" w:evenHBand="0" w:firstRowFirstColumn="0" w:firstRowLastColumn="0" w:lastRowFirstColumn="0" w:lastRowLastColumn="0"/>
            <w:tcW w:w="645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8459742" w14:textId="77777777" w:rsidR="00384259" w:rsidRDefault="00384259">
            <w:pPr>
              <w:spacing w:line="480" w:lineRule="auto"/>
              <w:jc w:val="both"/>
              <w:rPr>
                <w:b w:val="0"/>
              </w:rPr>
            </w:pPr>
            <w:r>
              <w:t>Aviva Investors (FCA 2015j)</w:t>
            </w:r>
          </w:p>
        </w:tc>
        <w:tc>
          <w:tcPr>
            <w:tcW w:w="25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0C89F57" w14:textId="77777777" w:rsidR="00384259" w:rsidRDefault="00384259">
            <w:pPr>
              <w:spacing w:line="480" w:lineRule="auto"/>
              <w:jc w:val="both"/>
              <w:cnfStyle w:val="000000000000" w:firstRow="0" w:lastRow="0" w:firstColumn="0" w:lastColumn="0" w:oddVBand="0" w:evenVBand="0" w:oddHBand="0" w:evenHBand="0" w:firstRowFirstColumn="0" w:firstRowLastColumn="0" w:lastRowFirstColumn="0" w:lastRowLastColumn="0"/>
              <w:rPr>
                <w:b/>
              </w:rPr>
            </w:pPr>
            <w:r>
              <w:rPr>
                <w:b/>
              </w:rPr>
              <w:t>£17.6</w:t>
            </w:r>
          </w:p>
        </w:tc>
      </w:tr>
    </w:tbl>
    <w:p w14:paraId="1F03D276" w14:textId="77777777" w:rsidR="00384259" w:rsidRDefault="00384259" w:rsidP="00384259"/>
    <w:p w14:paraId="5E3BF5F0" w14:textId="77777777" w:rsidR="00384259" w:rsidRPr="00384259" w:rsidRDefault="00384259" w:rsidP="00384259"/>
    <w:p w14:paraId="712C9ACD" w14:textId="44A3EF8E" w:rsidR="00875B9D" w:rsidRPr="008F4B6A" w:rsidRDefault="00875B9D" w:rsidP="00D82B0C">
      <w:pPr>
        <w:pStyle w:val="Heading4"/>
        <w:spacing w:line="480" w:lineRule="auto"/>
        <w:rPr>
          <w:color w:val="auto"/>
        </w:rPr>
      </w:pPr>
      <w:r w:rsidRPr="008F4B6A">
        <w:rPr>
          <w:color w:val="auto"/>
        </w:rPr>
        <w:lastRenderedPageBreak/>
        <w:t>Theme 1: culture deficiencies</w:t>
      </w:r>
    </w:p>
    <w:p w14:paraId="31DF0277" w14:textId="2C531EA6" w:rsidR="009B4CAF" w:rsidRPr="008F4B6A" w:rsidRDefault="00885D80" w:rsidP="00D82B0C">
      <w:pPr>
        <w:spacing w:line="480" w:lineRule="auto"/>
        <w:jc w:val="both"/>
      </w:pPr>
      <w:r w:rsidRPr="008F4B6A">
        <w:t>Whilst discussing culture issues, t</w:t>
      </w:r>
      <w:r w:rsidR="00E3609B" w:rsidRPr="008F4B6A">
        <w:t>he FCA comment</w:t>
      </w:r>
      <w:r w:rsidR="009F073B" w:rsidRPr="008F4B6A">
        <w:t>ed</w:t>
      </w:r>
      <w:r w:rsidR="00E3609B" w:rsidRPr="008F4B6A">
        <w:t xml:space="preserve"> on the </w:t>
      </w:r>
      <w:r w:rsidR="00A565AF" w:rsidRPr="008F4B6A">
        <w:t xml:space="preserve">misdirection of firms focus on </w:t>
      </w:r>
      <w:r w:rsidR="00E3609B" w:rsidRPr="008F4B6A">
        <w:t>profits</w:t>
      </w:r>
      <w:r w:rsidR="00A565AF" w:rsidRPr="008F4B6A">
        <w:t xml:space="preserve">, revenues, </w:t>
      </w:r>
      <w:r w:rsidR="00604908" w:rsidRPr="008F4B6A">
        <w:t xml:space="preserve">transaction </w:t>
      </w:r>
      <w:r w:rsidR="00A565AF" w:rsidRPr="008F4B6A">
        <w:t>quantity</w:t>
      </w:r>
      <w:r w:rsidR="00E3609B" w:rsidRPr="008F4B6A">
        <w:t>,</w:t>
      </w:r>
      <w:r w:rsidR="00777C37" w:rsidRPr="008F4B6A">
        <w:t xml:space="preserve"> and</w:t>
      </w:r>
      <w:r w:rsidR="00A565AF" w:rsidRPr="008F4B6A">
        <w:t xml:space="preserve"> remuneration</w:t>
      </w:r>
      <w:r w:rsidR="00E3609B" w:rsidRPr="008F4B6A">
        <w:t xml:space="preserve"> rather than measures relating to customer protection.</w:t>
      </w:r>
      <w:r w:rsidR="00C151A3" w:rsidRPr="008F4B6A">
        <w:t xml:space="preserve"> </w:t>
      </w:r>
      <w:r w:rsidR="00C67BE0" w:rsidRPr="008F4B6A">
        <w:t xml:space="preserve"> </w:t>
      </w:r>
      <w:r w:rsidR="009C66B1">
        <w:t>Table 2</w:t>
      </w:r>
      <w:r w:rsidR="005376B1">
        <w:t xml:space="preserve"> provides examples of quotes 1-4 as evidence of this theme in the press releases.</w:t>
      </w:r>
    </w:p>
    <w:p w14:paraId="37B28221" w14:textId="6267C0B9" w:rsidR="00E3609B" w:rsidRPr="008F4B6A" w:rsidRDefault="005376B1" w:rsidP="00D82B0C">
      <w:pPr>
        <w:spacing w:line="480" w:lineRule="auto"/>
        <w:jc w:val="both"/>
      </w:pPr>
      <w:r>
        <w:t>The regulator’s</w:t>
      </w:r>
      <w:r w:rsidR="00C151A3" w:rsidRPr="008F4B6A">
        <w:t xml:space="preserve"> c</w:t>
      </w:r>
      <w:r w:rsidR="002F5BBC" w:rsidRPr="008F4B6A">
        <w:t>riticisms of culture</w:t>
      </w:r>
      <w:r w:rsidR="009F073B" w:rsidRPr="008F4B6A">
        <w:t>,</w:t>
      </w:r>
      <w:r>
        <w:t xml:space="preserve"> aligns also to</w:t>
      </w:r>
      <w:r w:rsidR="00106C0D">
        <w:t xml:space="preserve"> </w:t>
      </w:r>
      <w:r w:rsidR="00C151A3" w:rsidRPr="008F4B6A">
        <w:t xml:space="preserve">Malloy’s </w:t>
      </w:r>
      <w:r w:rsidR="005D6CC8" w:rsidRPr="008F4B6A">
        <w:t xml:space="preserve">(2003) </w:t>
      </w:r>
      <w:r w:rsidR="00C151A3" w:rsidRPr="008F4B6A">
        <w:t xml:space="preserve">vision of the firm whereby firms act as rational profit </w:t>
      </w:r>
      <w:proofErr w:type="spellStart"/>
      <w:r w:rsidR="00C151A3" w:rsidRPr="008F4B6A">
        <w:t>maximisers</w:t>
      </w:r>
      <w:proofErr w:type="spellEnd"/>
      <w:r w:rsidR="00C151A3" w:rsidRPr="008F4B6A">
        <w:t xml:space="preserve">, obeying laws and regulations, only when it is in the </w:t>
      </w:r>
      <w:r w:rsidR="00FC35AD" w:rsidRPr="008F4B6A">
        <w:t>firm’s</w:t>
      </w:r>
      <w:r w:rsidR="00C151A3" w:rsidRPr="008F4B6A">
        <w:t xml:space="preserve"> best economic interest (or in these cases</w:t>
      </w:r>
      <w:r w:rsidR="00680757" w:rsidRPr="008F4B6A">
        <w:t>,</w:t>
      </w:r>
      <w:r w:rsidR="00C151A3" w:rsidRPr="008F4B6A">
        <w:t xml:space="preserve"> do not comply).</w:t>
      </w:r>
      <w:r w:rsidR="00590D45" w:rsidRPr="008F4B6A">
        <w:t xml:space="preserve"> </w:t>
      </w:r>
      <w:r w:rsidR="002F5BBC" w:rsidRPr="008F4B6A">
        <w:t xml:space="preserve">It should also be acknowledged </w:t>
      </w:r>
      <w:r w:rsidR="00752CA3" w:rsidRPr="008F4B6A">
        <w:t xml:space="preserve">that </w:t>
      </w:r>
      <w:r w:rsidR="002F5BBC" w:rsidRPr="008F4B6A">
        <w:t xml:space="preserve">in </w:t>
      </w:r>
      <w:r w:rsidR="00752CA3" w:rsidRPr="008F4B6A">
        <w:t>these instances</w:t>
      </w:r>
      <w:r w:rsidR="00885D80" w:rsidRPr="008F4B6A">
        <w:t>, the coercive force</w:t>
      </w:r>
      <w:r w:rsidR="002F5BBC" w:rsidRPr="008F4B6A">
        <w:t xml:space="preserve"> of fines issued by the regulator</w:t>
      </w:r>
      <w:r w:rsidR="00885D80" w:rsidRPr="008F4B6A">
        <w:t xml:space="preserve"> is limited due to the ‘dysfunctional’ culture motivated by economic interests</w:t>
      </w:r>
      <w:r w:rsidR="002F5BBC" w:rsidRPr="008F4B6A">
        <w:t xml:space="preserve"> of revenue and profit generation</w:t>
      </w:r>
      <w:r w:rsidR="00885D80" w:rsidRPr="008F4B6A">
        <w:t>.</w:t>
      </w:r>
    </w:p>
    <w:p w14:paraId="01F2EF50" w14:textId="09348297" w:rsidR="00875B9D" w:rsidRPr="008F4B6A" w:rsidRDefault="00875B9D" w:rsidP="00D82B0C">
      <w:pPr>
        <w:pStyle w:val="Heading4"/>
        <w:spacing w:line="480" w:lineRule="auto"/>
        <w:rPr>
          <w:color w:val="auto"/>
        </w:rPr>
      </w:pPr>
      <w:r w:rsidRPr="008F4B6A">
        <w:rPr>
          <w:color w:val="auto"/>
        </w:rPr>
        <w:t>Theme 2: shortfall in behaviours</w:t>
      </w:r>
    </w:p>
    <w:p w14:paraId="20432C49" w14:textId="102EF3B8" w:rsidR="000706A5" w:rsidRPr="008F4B6A" w:rsidRDefault="000706A5" w:rsidP="00D82B0C">
      <w:pPr>
        <w:spacing w:line="480" w:lineRule="auto"/>
        <w:jc w:val="both"/>
      </w:pPr>
      <w:r w:rsidRPr="008F4B6A">
        <w:t>The FCA also expressed ‘disappointment’ in their observations of these firms, and signal that the fines are as a result, and firms will “be held to account” if the FCA’s expectations are not met</w:t>
      </w:r>
      <w:r w:rsidR="005376B1">
        <w:t xml:space="preserve">. Table </w:t>
      </w:r>
      <w:r w:rsidR="009C66B1">
        <w:t>2</w:t>
      </w:r>
      <w:r w:rsidR="005376B1">
        <w:t xml:space="preserve"> summarises quotes 5-10, which capture the regulator’s comments on behaviours and their disappointment thereon.</w:t>
      </w:r>
    </w:p>
    <w:p w14:paraId="761B3790" w14:textId="4155AEC1" w:rsidR="000706A5" w:rsidRPr="008F4B6A" w:rsidRDefault="000706A5" w:rsidP="00D82B0C">
      <w:pPr>
        <w:spacing w:line="480" w:lineRule="auto"/>
        <w:jc w:val="both"/>
      </w:pPr>
      <w:r w:rsidRPr="008F4B6A">
        <w:t xml:space="preserve">These quotes evidence </w:t>
      </w:r>
      <w:r w:rsidR="00752CA3" w:rsidRPr="008F4B6A">
        <w:t>the</w:t>
      </w:r>
      <w:r w:rsidRPr="008F4B6A">
        <w:t xml:space="preserve"> regulator’s coercive force, by communicating a regulatory stance which does not allow for shortcomings in firms</w:t>
      </w:r>
      <w:r w:rsidR="00974FFA" w:rsidRPr="008F4B6A">
        <w:t>’</w:t>
      </w:r>
      <w:r w:rsidRPr="008F4B6A">
        <w:t xml:space="preserve"> performance against regulators expectations.</w:t>
      </w:r>
      <w:r w:rsidR="009F33CC">
        <w:t xml:space="preserve"> There is an implicit tone that these behaviours are not tolerated, and action (sanction) and accountability must be taken within the violating firms.</w:t>
      </w:r>
    </w:p>
    <w:p w14:paraId="5785038E" w14:textId="3511C0DA" w:rsidR="00875B9D" w:rsidRPr="008F4B6A" w:rsidRDefault="00875B9D" w:rsidP="00D82B0C">
      <w:pPr>
        <w:pStyle w:val="Heading4"/>
        <w:spacing w:line="480" w:lineRule="auto"/>
        <w:rPr>
          <w:color w:val="auto"/>
        </w:rPr>
      </w:pPr>
      <w:r w:rsidRPr="008F4B6A">
        <w:rPr>
          <w:color w:val="auto"/>
        </w:rPr>
        <w:t>Theme 3: cooperative ‘working together’</w:t>
      </w:r>
    </w:p>
    <w:p w14:paraId="4776FCE6" w14:textId="0D27F7D3" w:rsidR="009F073B" w:rsidRPr="008F4B6A" w:rsidRDefault="009F073B" w:rsidP="00D82B0C">
      <w:pPr>
        <w:spacing w:line="480" w:lineRule="auto"/>
        <w:jc w:val="both"/>
      </w:pPr>
      <w:r w:rsidRPr="008F4B6A">
        <w:t>In 2015, Martin Wheatley stepped down as CEO of the FCA and was replaced by Andrew Bailey</w:t>
      </w:r>
      <w:r w:rsidR="00FF76CC" w:rsidRPr="008F4B6A">
        <w:t xml:space="preserve"> early in 2016,</w:t>
      </w:r>
      <w:r w:rsidRPr="008F4B6A">
        <w:t xml:space="preserve"> </w:t>
      </w:r>
      <w:r w:rsidR="00875A20" w:rsidRPr="008F4B6A">
        <w:t>indicative of</w:t>
      </w:r>
      <w:r w:rsidRPr="008F4B6A">
        <w:t xml:space="preserve"> a change in approach by the FCA. Therefore, the second round of analysis during the 2015/16 coincided with a change in attitude and leadership within the FCA.</w:t>
      </w:r>
      <w:r w:rsidR="00C2457A" w:rsidRPr="008F4B6A">
        <w:t xml:space="preserve"> </w:t>
      </w:r>
      <w:r w:rsidRPr="008F4B6A">
        <w:t>This was evident in the tone of some of the press releases reviewed for this period</w:t>
      </w:r>
      <w:r w:rsidR="00FD3F60">
        <w:t xml:space="preserve"> (as discussed within the literature review)</w:t>
      </w:r>
      <w:r w:rsidRPr="008F4B6A">
        <w:t xml:space="preserve">. Whilst criticism was still </w:t>
      </w:r>
      <w:r w:rsidR="00676950" w:rsidRPr="008F4B6A">
        <w:t>appar</w:t>
      </w:r>
      <w:r w:rsidRPr="008F4B6A">
        <w:t xml:space="preserve">ent in certain cases, the FCA highlighted the positive </w:t>
      </w:r>
      <w:r w:rsidRPr="008F4B6A">
        <w:lastRenderedPageBreak/>
        <w:t>relationships fostered with the firms to move past the issues</w:t>
      </w:r>
      <w:r w:rsidR="009C66B1">
        <w:t>. Table 2</w:t>
      </w:r>
      <w:r w:rsidR="009F33CC">
        <w:t xml:space="preserve"> summarises quotes 11-14 which evidence this change in tone to more ‘proactive’ relationships and recognises the progress and action by firms.</w:t>
      </w:r>
    </w:p>
    <w:p w14:paraId="3B00C417" w14:textId="7132F221" w:rsidR="009B4CAF" w:rsidRPr="00627BA4" w:rsidRDefault="009B4CAF" w:rsidP="00D82B0C">
      <w:pPr>
        <w:spacing w:line="480" w:lineRule="auto"/>
        <w:jc w:val="both"/>
      </w:pPr>
      <w:r w:rsidRPr="008F4B6A">
        <w:t xml:space="preserve">The analysis </w:t>
      </w:r>
      <w:r w:rsidR="001D0842">
        <w:t xml:space="preserve">of quotes 11-14 </w:t>
      </w:r>
      <w:r w:rsidRPr="008F4B6A">
        <w:t>indicates that the FCA coercive stance has moved from a highly critical rhetoric, towards a movement of relationship building and collaboration to encourage firms to modify their regulatory compliance behaviours.</w:t>
      </w:r>
      <w:r w:rsidR="004F1565">
        <w:t xml:space="preserve"> This stance aligns also to the concept of legitimacy moving </w:t>
      </w:r>
      <w:r w:rsidR="006D3685">
        <w:t xml:space="preserve">from </w:t>
      </w:r>
      <w:r w:rsidR="004F1565" w:rsidRPr="00627BA4">
        <w:t>a</w:t>
      </w:r>
      <w:r w:rsidR="006D3685" w:rsidRPr="00627BA4">
        <w:t>n emphasis on legitimacy as property to a</w:t>
      </w:r>
      <w:r w:rsidR="004F1565" w:rsidRPr="00627BA4">
        <w:t xml:space="preserve"> process through complementary involvemen</w:t>
      </w:r>
      <w:r w:rsidR="004249AB">
        <w:t>t of all actors (</w:t>
      </w:r>
      <w:proofErr w:type="spellStart"/>
      <w:r w:rsidR="004249AB">
        <w:t>Suddaby</w:t>
      </w:r>
      <w:proofErr w:type="spellEnd"/>
      <w:r w:rsidR="004249AB">
        <w:t xml:space="preserve"> et al.</w:t>
      </w:r>
      <w:r w:rsidR="004F1565" w:rsidRPr="00627BA4">
        <w:t xml:space="preserve"> 2017)</w:t>
      </w:r>
      <w:r w:rsidR="006D3685" w:rsidRPr="00627BA4">
        <w:t xml:space="preserve">. Of note, that legitimacy as a property or outcome will always remain core to policy </w:t>
      </w:r>
      <w:r w:rsidR="00D70F53" w:rsidRPr="00627BA4">
        <w:t>objectives;</w:t>
      </w:r>
      <w:r w:rsidR="006D3685" w:rsidRPr="00627BA4">
        <w:t xml:space="preserve"> however, the </w:t>
      </w:r>
      <w:r w:rsidR="00D70F53" w:rsidRPr="00627BA4">
        <w:t xml:space="preserve">shift in emphasis </w:t>
      </w:r>
      <w:r w:rsidR="006D3685" w:rsidRPr="00627BA4">
        <w:t xml:space="preserve">on the process demonstrates a more and </w:t>
      </w:r>
      <w:r w:rsidR="00D70F53" w:rsidRPr="00627BA4">
        <w:t xml:space="preserve">pragmatic approach that the regulator has adopted as a means to an end i.e. state of legitimacy  </w:t>
      </w:r>
    </w:p>
    <w:p w14:paraId="635468A2" w14:textId="77777777" w:rsidR="004C7953" w:rsidRDefault="004C7953" w:rsidP="00D82B0C">
      <w:pPr>
        <w:spacing w:line="480" w:lineRule="auto"/>
        <w:jc w:val="both"/>
      </w:pPr>
      <w:r w:rsidRPr="004C7953">
        <w:t xml:space="preserve">During our analysis, we found difficulty in identifying praise of specific firm’s </w:t>
      </w:r>
      <w:r>
        <w:t xml:space="preserve">good </w:t>
      </w:r>
      <w:r w:rsidRPr="004C7953">
        <w:t>culture/compliance by</w:t>
      </w:r>
      <w:r>
        <w:t xml:space="preserve"> the</w:t>
      </w:r>
      <w:r w:rsidRPr="004C7953">
        <w:t xml:space="preserve"> FCA</w:t>
      </w:r>
      <w:r>
        <w:t xml:space="preserve"> i.e. non-sanctioned firms used as exemplars</w:t>
      </w:r>
      <w:r w:rsidRPr="004C7953">
        <w:t>. Usually we would expect to sees highlights of ‘good practice’ in thematic reviews. However, within the 2015/16 annu</w:t>
      </w:r>
      <w:r>
        <w:t>al report it was announced that:</w:t>
      </w:r>
    </w:p>
    <w:p w14:paraId="672C4065" w14:textId="5D74F06F" w:rsidR="004C7953" w:rsidRDefault="004C7953" w:rsidP="00A2298B">
      <w:pPr>
        <w:spacing w:line="480" w:lineRule="auto"/>
        <w:ind w:left="720"/>
        <w:jc w:val="both"/>
      </w:pPr>
      <w:r w:rsidRPr="004C7953">
        <w:t>“we considered that a thematic review would not be the most effective and efficient way to continue to support and drive continued culture change across the sector</w:t>
      </w:r>
      <w:r>
        <w:t xml:space="preserve"> […]</w:t>
      </w:r>
      <w:r w:rsidRPr="004C7953">
        <w:t xml:space="preserve"> we will continue our work with individual firms” (</w:t>
      </w:r>
      <w:r>
        <w:t xml:space="preserve">FCA </w:t>
      </w:r>
      <w:r w:rsidRPr="004C7953">
        <w:t xml:space="preserve">2015/16 Annual Report). </w:t>
      </w:r>
    </w:p>
    <w:p w14:paraId="6A38C8A2" w14:textId="6C9892F6" w:rsidR="004C7953" w:rsidRPr="008F4B6A" w:rsidRDefault="004C7953" w:rsidP="004C7953">
      <w:pPr>
        <w:spacing w:line="480" w:lineRule="auto"/>
        <w:jc w:val="both"/>
      </w:pPr>
      <w:r>
        <w:t xml:space="preserve">This </w:t>
      </w:r>
      <w:r w:rsidR="001D0842">
        <w:t xml:space="preserve">extract </w:t>
      </w:r>
      <w:r>
        <w:t xml:space="preserve">does not detract from the ‘working together’ element. However, the lack of exemplars inhibits the impact of the regulators to coerce firms into adopting ‘good practice’ other than by use of sanction. More recently, FCA (2017) specifically calls for changes in culture and compliance by ‘publicising good </w:t>
      </w:r>
      <w:r w:rsidR="00FD3F60">
        <w:t xml:space="preserve">behaviours’. </w:t>
      </w:r>
      <w:r>
        <w:t>How</w:t>
      </w:r>
      <w:r w:rsidR="00905816">
        <w:t>ever, this does not seem observable in practice during this review</w:t>
      </w:r>
      <w:r w:rsidR="006946C1">
        <w:t>, which also will inhibit the impact of mimetic and normative isomorphism within the sector (which we will discuss in following sections)</w:t>
      </w:r>
      <w:r w:rsidR="00905816">
        <w:t>.</w:t>
      </w:r>
    </w:p>
    <w:p w14:paraId="24EE2DFD" w14:textId="0A92BC45" w:rsidR="00C344D2" w:rsidRPr="008F4B6A" w:rsidRDefault="00C344D2" w:rsidP="00D82B0C">
      <w:pPr>
        <w:pStyle w:val="Heading4"/>
        <w:spacing w:line="480" w:lineRule="auto"/>
        <w:rPr>
          <w:color w:val="auto"/>
        </w:rPr>
      </w:pPr>
      <w:r w:rsidRPr="008F4B6A">
        <w:rPr>
          <w:color w:val="auto"/>
        </w:rPr>
        <w:lastRenderedPageBreak/>
        <w:t>Theme 4: disregard for the regulatory response</w:t>
      </w:r>
    </w:p>
    <w:p w14:paraId="427CA7A5" w14:textId="75DCD2FF" w:rsidR="009F073B" w:rsidRPr="008F4B6A" w:rsidRDefault="00752CA3" w:rsidP="00D82B0C">
      <w:pPr>
        <w:spacing w:line="480" w:lineRule="auto"/>
        <w:jc w:val="both"/>
      </w:pPr>
      <w:r w:rsidRPr="008F4B6A">
        <w:t>Interestingly, the</w:t>
      </w:r>
      <w:r w:rsidR="00CD68E0" w:rsidRPr="008F4B6A">
        <w:t xml:space="preserve"> issue of fines by the regulator, and resulting communication </w:t>
      </w:r>
      <w:r w:rsidRPr="008F4B6A">
        <w:t xml:space="preserve">seems </w:t>
      </w:r>
      <w:r w:rsidR="0018735E" w:rsidRPr="008F4B6A">
        <w:t xml:space="preserve">does not seem </w:t>
      </w:r>
      <w:r w:rsidRPr="008F4B6A">
        <w:t>to be completely effective, as still</w:t>
      </w:r>
      <w:r w:rsidR="00CD68E0" w:rsidRPr="008F4B6A">
        <w:t xml:space="preserve"> some individual firms have</w:t>
      </w:r>
      <w:r w:rsidR="001F06B5" w:rsidRPr="008F4B6A">
        <w:t xml:space="preserve"> not</w:t>
      </w:r>
      <w:r w:rsidR="00CD68E0" w:rsidRPr="008F4B6A">
        <w:t xml:space="preserve"> responded to coercion by the regulator.</w:t>
      </w:r>
      <w:r w:rsidR="00C15012" w:rsidRPr="008F4B6A">
        <w:t xml:space="preserve"> </w:t>
      </w:r>
      <w:r w:rsidR="00AD117F" w:rsidRPr="008F4B6A">
        <w:t>Worryingly</w:t>
      </w:r>
      <w:r w:rsidRPr="008F4B6A">
        <w:t>, in</w:t>
      </w:r>
      <w:r w:rsidR="009F073B" w:rsidRPr="008F4B6A">
        <w:t xml:space="preserve"> three instances (out of selection of ten</w:t>
      </w:r>
      <w:r w:rsidR="009B4CAF" w:rsidRPr="008F4B6A">
        <w:t xml:space="preserve"> for 2013/14 review</w:t>
      </w:r>
      <w:r w:rsidR="009F073B" w:rsidRPr="008F4B6A">
        <w:t xml:space="preserve">) the website search did not find a press release in response to the regulators fine. This may be the deliberate intention of the organisations </w:t>
      </w:r>
      <w:r w:rsidR="00332021" w:rsidRPr="008F4B6A">
        <w:t xml:space="preserve">not </w:t>
      </w:r>
      <w:r w:rsidR="009F073B" w:rsidRPr="008F4B6A">
        <w:t>to advertise failings of the past and to focus on the future. However</w:t>
      </w:r>
      <w:r w:rsidR="00256940" w:rsidRPr="008F4B6A">
        <w:t>,</w:t>
      </w:r>
      <w:r w:rsidR="009F073B" w:rsidRPr="008F4B6A">
        <w:t xml:space="preserve"> it may also indicate an ongoing disregard of linkage of compliance culture and duty to stakeholder communication. In addition</w:t>
      </w:r>
      <w:r w:rsidR="00256940" w:rsidRPr="008F4B6A">
        <w:t>,</w:t>
      </w:r>
      <w:r w:rsidR="009F073B" w:rsidRPr="008F4B6A">
        <w:t xml:space="preserve"> </w:t>
      </w:r>
      <w:r w:rsidR="009C66B1">
        <w:t>Quote 15 in Table 2</w:t>
      </w:r>
      <w:r w:rsidR="00C95121">
        <w:t xml:space="preserve"> is noted to</w:t>
      </w:r>
      <w:r w:rsidR="009F073B" w:rsidRPr="008F4B6A">
        <w:t xml:space="preserve"> be deliberately concise</w:t>
      </w:r>
      <w:r w:rsidR="00C95121">
        <w:t>.</w:t>
      </w:r>
      <w:r w:rsidR="00EA0710">
        <w:t xml:space="preserve"> </w:t>
      </w:r>
      <w:r w:rsidR="00C95121">
        <w:t>In this instance</w:t>
      </w:r>
      <w:r w:rsidR="00E70106" w:rsidRPr="008F4B6A">
        <w:t>, t</w:t>
      </w:r>
      <w:r w:rsidR="009F073B" w:rsidRPr="008F4B6A">
        <w:t>h</w:t>
      </w:r>
      <w:r w:rsidR="00C95121">
        <w:t>e</w:t>
      </w:r>
      <w:r w:rsidR="009F073B" w:rsidRPr="008F4B6A">
        <w:t xml:space="preserve"> organisation does not follow the pattern of expressing regret</w:t>
      </w:r>
      <w:r w:rsidR="00256940" w:rsidRPr="008F4B6A">
        <w:t xml:space="preserve"> (see </w:t>
      </w:r>
      <w:r w:rsidR="00F43D0A" w:rsidRPr="008F4B6A">
        <w:t xml:space="preserve">later </w:t>
      </w:r>
      <w:r w:rsidR="001F1307">
        <w:t>discussion of mimetic responses</w:t>
      </w:r>
      <w:r w:rsidR="00256940" w:rsidRPr="008F4B6A">
        <w:t>)</w:t>
      </w:r>
      <w:r w:rsidR="009F073B" w:rsidRPr="008F4B6A">
        <w:t>, and states only confirmation of ‘appropriate’ updates. This does not indicate a buy in by management of change in compliance culture within the organisation. Inherently</w:t>
      </w:r>
      <w:r w:rsidR="00256940" w:rsidRPr="008F4B6A">
        <w:t>,</w:t>
      </w:r>
      <w:r w:rsidR="009F073B" w:rsidRPr="008F4B6A">
        <w:t xml:space="preserve"> barriers to compliance may exist within these types of organisation through either an </w:t>
      </w:r>
      <w:r w:rsidR="00911269">
        <w:t>unwillingness to engage (Weaver</w:t>
      </w:r>
      <w:r w:rsidR="00627BA4">
        <w:t>,</w:t>
      </w:r>
      <w:r w:rsidR="00285786">
        <w:t xml:space="preserve"> 2014</w:t>
      </w:r>
      <w:r w:rsidR="009F073B" w:rsidRPr="008F4B6A">
        <w:t>) or a lack of partnersh</w:t>
      </w:r>
      <w:r w:rsidR="00911269">
        <w:t>ip with the regulators (Jackman</w:t>
      </w:r>
      <w:r w:rsidR="00627BA4">
        <w:t>, 2001;</w:t>
      </w:r>
      <w:r w:rsidR="009F073B" w:rsidRPr="008F4B6A">
        <w:t xml:space="preserve"> </w:t>
      </w:r>
      <w:proofErr w:type="spellStart"/>
      <w:r w:rsidR="009F073B" w:rsidRPr="008F4B6A">
        <w:t>Carretta</w:t>
      </w:r>
      <w:proofErr w:type="spellEnd"/>
      <w:r w:rsidR="009F073B" w:rsidRPr="008F4B6A">
        <w:t xml:space="preserve"> et al. 2010).</w:t>
      </w:r>
      <w:r w:rsidR="00E70106" w:rsidRPr="008F4B6A">
        <w:t xml:space="preserve"> Notably, t</w:t>
      </w:r>
      <w:r w:rsidR="009F073B" w:rsidRPr="008F4B6A">
        <w:t xml:space="preserve">his is </w:t>
      </w:r>
      <w:r w:rsidR="00E70106" w:rsidRPr="008F4B6A">
        <w:t xml:space="preserve">another instance where </w:t>
      </w:r>
      <w:r w:rsidR="009F073B" w:rsidRPr="008F4B6A">
        <w:t xml:space="preserve">regulatory actions (sanctions) have not resulted in adjusted public face by the firms in respect to </w:t>
      </w:r>
      <w:r w:rsidR="00E70106" w:rsidRPr="008F4B6A">
        <w:t xml:space="preserve">their dysfunctional compliance </w:t>
      </w:r>
      <w:r w:rsidR="009F073B" w:rsidRPr="008F4B6A">
        <w:t>culture. This supports Parker (2006) who suggested that there are inherent pitfalls faced by regulators in the form of the ‘deterrence trap’ and the ‘compliance trap’. The deterrence trap (where penalties are not sufficient to deter misconduct) is considered manageable through ‘</w:t>
      </w:r>
      <w:r w:rsidR="001F06B5" w:rsidRPr="008F4B6A">
        <w:t>skilful</w:t>
      </w:r>
      <w:r w:rsidR="009F073B" w:rsidRPr="008F4B6A">
        <w:t>’ use o</w:t>
      </w:r>
      <w:r w:rsidR="00911269">
        <w:t>f responsive regulation (Parker</w:t>
      </w:r>
      <w:r w:rsidR="00627BA4">
        <w:t>,</w:t>
      </w:r>
      <w:r w:rsidR="009F073B" w:rsidRPr="008F4B6A">
        <w:t xml:space="preserve"> 2006, p. 593). The deterrence trap appears to apply in these cases where penalties have not deterred misconduct (or any apparent changes to behaviour). Despite significant fines and sanction from regulators, the high profitably nature of the financial service industry may result in inappropriate behaviours for short term gains.</w:t>
      </w:r>
      <w:r w:rsidR="008712CB" w:rsidRPr="008F4B6A">
        <w:t xml:space="preserve"> </w:t>
      </w:r>
      <w:r w:rsidR="00C95121">
        <w:t>As exemplified within Quote 16</w:t>
      </w:r>
      <w:r w:rsidR="009F073B" w:rsidRPr="008F4B6A">
        <w:t xml:space="preserve"> the message within the press release seemed to indicate an attitude that ‘it’s not our fault’</w:t>
      </w:r>
      <w:r w:rsidR="00C95121">
        <w:t>.</w:t>
      </w:r>
    </w:p>
    <w:p w14:paraId="2D43A079" w14:textId="069B6FB3" w:rsidR="009F073B" w:rsidRPr="008F4B6A" w:rsidRDefault="009F073B">
      <w:pPr>
        <w:spacing w:line="480" w:lineRule="auto"/>
        <w:jc w:val="both"/>
        <w:rPr>
          <w:i/>
        </w:rPr>
      </w:pPr>
      <w:r w:rsidRPr="008F4B6A">
        <w:lastRenderedPageBreak/>
        <w:t>The tone of this press release would indicate that the firm had taken all necessary measures to avoid the issue, however, this conflicts with the imposed fine and the message from the regulator</w:t>
      </w:r>
      <w:r w:rsidR="00E04F1E">
        <w:t xml:space="preserve"> (see quote 17)</w:t>
      </w:r>
    </w:p>
    <w:p w14:paraId="1052011D" w14:textId="3F60302F" w:rsidR="00604908" w:rsidRPr="00627BA4" w:rsidRDefault="009F073B" w:rsidP="00D82B0C">
      <w:pPr>
        <w:spacing w:line="480" w:lineRule="auto"/>
        <w:jc w:val="both"/>
      </w:pPr>
      <w:r w:rsidRPr="008F4B6A">
        <w:t>Therefore, this is not particularly transparent from the publics</w:t>
      </w:r>
      <w:r w:rsidR="001F06B5" w:rsidRPr="008F4B6A">
        <w:t>’</w:t>
      </w:r>
      <w:r w:rsidRPr="008F4B6A">
        <w:t xml:space="preserve"> perspective. The size of the fine and the tone adopted by the regulator would indicate serious issues in this case. However, the firm portrays the message that the issue was outside of their control, and that they did all they could. This is confusing for the public when trying to interpret this event, depending on whose viewpoint (the regulator or the firm) that they consider.</w:t>
      </w:r>
      <w:r w:rsidR="00681B85" w:rsidRPr="00681B85">
        <w:t xml:space="preserve"> </w:t>
      </w:r>
      <w:r w:rsidR="00681B85">
        <w:t xml:space="preserve">This </w:t>
      </w:r>
      <w:r w:rsidR="00627BA4">
        <w:t>may indicate</w:t>
      </w:r>
      <w:r w:rsidR="00681B85">
        <w:rPr>
          <w:color w:val="FF0000"/>
        </w:rPr>
        <w:t xml:space="preserve"> </w:t>
      </w:r>
      <w:r w:rsidR="00681B85" w:rsidRPr="00627BA4">
        <w:t>that this minority of firms have chosen to respond differently and follow a denial or defiance strategies (</w:t>
      </w:r>
      <w:proofErr w:type="spellStart"/>
      <w:r w:rsidR="00681B85" w:rsidRPr="00627BA4">
        <w:t>Lamin</w:t>
      </w:r>
      <w:proofErr w:type="spellEnd"/>
      <w:r w:rsidR="00681B85" w:rsidRPr="00627BA4">
        <w:t xml:space="preserve"> and </w:t>
      </w:r>
      <w:proofErr w:type="spellStart"/>
      <w:r w:rsidR="00681B85" w:rsidRPr="00627BA4">
        <w:t>Zaheer</w:t>
      </w:r>
      <w:proofErr w:type="spellEnd"/>
      <w:r w:rsidR="00681B85" w:rsidRPr="00627BA4">
        <w:t>, 2012) that dismisses the need to follow suit by issuing regret statements</w:t>
      </w:r>
      <w:r w:rsidR="00627BA4">
        <w:t>,</w:t>
      </w:r>
      <w:r w:rsidR="00681B85" w:rsidRPr="00627BA4">
        <w:t xml:space="preserve"> or to relate the incident to factors beyond the firms’ control.</w:t>
      </w:r>
    </w:p>
    <w:p w14:paraId="4ACB6E6C" w14:textId="74436182" w:rsidR="009F073B" w:rsidRPr="00911269" w:rsidRDefault="00DD1387" w:rsidP="00A75217">
      <w:pPr>
        <w:spacing w:line="480" w:lineRule="auto"/>
        <w:jc w:val="both"/>
      </w:pPr>
      <w:r>
        <w:t>Overall, t</w:t>
      </w:r>
      <w:r w:rsidR="00604908" w:rsidRPr="008F4B6A">
        <w:t>h</w:t>
      </w:r>
      <w:r>
        <w:t>e</w:t>
      </w:r>
      <w:r w:rsidR="00604908" w:rsidRPr="008F4B6A">
        <w:t xml:space="preserve"> review of the responses to regulatory action does indicate coercive isomorphism has impacted the sector in the reviewed period. </w:t>
      </w:r>
      <w:r w:rsidR="00F9551B" w:rsidRPr="008F4B6A">
        <w:t xml:space="preserve">The press releases demonstrate the coercive pressure applied on </w:t>
      </w:r>
      <w:r w:rsidR="00C15012" w:rsidRPr="008F4B6A">
        <w:t>violators, in the form of</w:t>
      </w:r>
      <w:r w:rsidR="00F9551B" w:rsidRPr="008F4B6A">
        <w:t xml:space="preserve"> messages of culture deficiencies and shortfalls in expectations. </w:t>
      </w:r>
      <w:r w:rsidR="00604908" w:rsidRPr="008F4B6A">
        <w:t xml:space="preserve">There are </w:t>
      </w:r>
      <w:r w:rsidR="00F9551B" w:rsidRPr="008F4B6A">
        <w:t xml:space="preserve">also </w:t>
      </w:r>
      <w:r w:rsidR="00604908" w:rsidRPr="008F4B6A">
        <w:t xml:space="preserve">clear messages in the change of tone in both the regulatory response and the </w:t>
      </w:r>
      <w:r w:rsidR="00C15012" w:rsidRPr="008F4B6A">
        <w:t>violators</w:t>
      </w:r>
      <w:r w:rsidR="00604908" w:rsidRPr="008F4B6A">
        <w:t>’ responses</w:t>
      </w:r>
      <w:r w:rsidR="00F9551B" w:rsidRPr="008F4B6A">
        <w:t>, in terms of cooperation</w:t>
      </w:r>
      <w:r w:rsidR="00604908" w:rsidRPr="008F4B6A">
        <w:t xml:space="preserve">. Positive movements indicating collaboration </w:t>
      </w:r>
      <w:r w:rsidR="00F9551B" w:rsidRPr="008F4B6A">
        <w:t xml:space="preserve">in working relationship become apparent in </w:t>
      </w:r>
      <w:r w:rsidRPr="008F4B6A">
        <w:t>press releases that are more recent</w:t>
      </w:r>
      <w:r w:rsidR="00F9551B" w:rsidRPr="008F4B6A">
        <w:t xml:space="preserve">. </w:t>
      </w:r>
      <w:r w:rsidR="00F9551B" w:rsidRPr="00911269">
        <w:t xml:space="preserve">More worrying is </w:t>
      </w:r>
      <w:r w:rsidR="00A75217" w:rsidRPr="00911269">
        <w:t>the attitude by a minority</w:t>
      </w:r>
      <w:r w:rsidR="00F9551B" w:rsidRPr="00911269">
        <w:t xml:space="preserve"> of the </w:t>
      </w:r>
      <w:r w:rsidR="00C15012" w:rsidRPr="00911269">
        <w:t>violators</w:t>
      </w:r>
      <w:r w:rsidR="00F9551B" w:rsidRPr="00911269">
        <w:t xml:space="preserve"> to apparently disregard the coercive </w:t>
      </w:r>
      <w:r w:rsidR="00A5318B" w:rsidRPr="00911269">
        <w:t>forces</w:t>
      </w:r>
      <w:r w:rsidR="00A5318B">
        <w:t>.</w:t>
      </w:r>
      <w:r w:rsidR="00F9551B" w:rsidRPr="00911269">
        <w:t xml:space="preserve"> </w:t>
      </w:r>
      <w:r w:rsidR="00A75217" w:rsidRPr="00911269">
        <w:t xml:space="preserve"> Still, the analysis shows that there an isomorphic behaviour in response to this coercive pressure. </w:t>
      </w:r>
    </w:p>
    <w:p w14:paraId="5636F2CB" w14:textId="6D4C574A" w:rsidR="007C60A6" w:rsidRPr="008F4B6A" w:rsidRDefault="00EF004A" w:rsidP="001F6C8D">
      <w:pPr>
        <w:pStyle w:val="Heading3"/>
        <w:spacing w:line="480" w:lineRule="auto"/>
        <w:rPr>
          <w:color w:val="auto"/>
        </w:rPr>
      </w:pPr>
      <w:bookmarkStart w:id="1" w:name="_Hlk507246795"/>
      <w:r w:rsidRPr="008F4B6A">
        <w:rPr>
          <w:color w:val="auto"/>
        </w:rPr>
        <w:t>Mimetic isomorphism</w:t>
      </w:r>
      <w:r w:rsidR="001F6C8D">
        <w:rPr>
          <w:color w:val="auto"/>
        </w:rPr>
        <w:t xml:space="preserve">: </w:t>
      </w:r>
      <w:r w:rsidR="001F6C8D">
        <w:rPr>
          <w:color w:val="FF00FF"/>
        </w:rPr>
        <w:t xml:space="preserve"> </w:t>
      </w:r>
      <w:r w:rsidRPr="008F4B6A">
        <w:rPr>
          <w:color w:val="auto"/>
        </w:rPr>
        <w:t>violators</w:t>
      </w:r>
      <w:r w:rsidR="001F6C8D">
        <w:rPr>
          <w:color w:val="auto"/>
        </w:rPr>
        <w:t>’</w:t>
      </w:r>
      <w:r w:rsidRPr="008F4B6A">
        <w:rPr>
          <w:color w:val="auto"/>
        </w:rPr>
        <w:t xml:space="preserve"> regret statements</w:t>
      </w:r>
    </w:p>
    <w:bookmarkEnd w:id="1"/>
    <w:p w14:paraId="70FA65A7" w14:textId="01C7A73C" w:rsidR="00F9551B" w:rsidRPr="008F4B6A" w:rsidRDefault="00D02CD3" w:rsidP="00D82B0C">
      <w:pPr>
        <w:spacing w:line="480" w:lineRule="auto"/>
        <w:jc w:val="both"/>
      </w:pPr>
      <w:r w:rsidRPr="008F4B6A">
        <w:t>The idea of mimetic isomorphism was emphasised by Aldrich (1979) who considered that the most important factor that organisations must consider is other organisa</w:t>
      </w:r>
      <w:r w:rsidRPr="008F4B6A">
        <w:softHyphen/>
        <w:t xml:space="preserve">tions, especially that competition between organisations is not only limited to customers and resources but also for “political power, institutional legitimacy... as well as economic fitness” </w:t>
      </w:r>
      <w:r w:rsidR="00C15012" w:rsidRPr="008F4B6A">
        <w:t>(</w:t>
      </w:r>
      <w:r w:rsidRPr="008F4B6A">
        <w:t>DiMaggio and Powell</w:t>
      </w:r>
      <w:r w:rsidR="00627BA4">
        <w:t>,</w:t>
      </w:r>
      <w:r w:rsidR="00C15012" w:rsidRPr="008F4B6A">
        <w:t xml:space="preserve"> </w:t>
      </w:r>
      <w:r w:rsidRPr="008F4B6A">
        <w:t xml:space="preserve">1983, p.150). In this case, </w:t>
      </w:r>
      <w:r w:rsidRPr="008F4B6A">
        <w:lastRenderedPageBreak/>
        <w:t xml:space="preserve">the study findings show that offending companies follow suit </w:t>
      </w:r>
      <w:r w:rsidR="00F9551B" w:rsidRPr="008F4B6A">
        <w:t xml:space="preserve">in terms of issuing </w:t>
      </w:r>
      <w:r w:rsidR="00A5318B" w:rsidRPr="008F4B6A">
        <w:t>statements, which</w:t>
      </w:r>
      <w:r w:rsidR="00F9551B" w:rsidRPr="008F4B6A">
        <w:t xml:space="preserve"> would safeguard their reputation in the market place.</w:t>
      </w:r>
      <w:r w:rsidR="00D54FEF" w:rsidRPr="008F4B6A">
        <w:t xml:space="preserve"> </w:t>
      </w:r>
      <w:r w:rsidR="00F9551B" w:rsidRPr="008F4B6A">
        <w:t>The violating firms are seen to issue similar responses to the regulator</w:t>
      </w:r>
      <w:r w:rsidR="00C15012" w:rsidRPr="008F4B6A">
        <w:t>’</w:t>
      </w:r>
      <w:r w:rsidR="00F9551B" w:rsidRPr="008F4B6A">
        <w:t xml:space="preserve">s sanction in the form of regret statements, in order to meet the expectations of their stakeholders, and to maintain their reputation and legitimacy in the market. </w:t>
      </w:r>
    </w:p>
    <w:p w14:paraId="150D488A" w14:textId="1418CE44" w:rsidR="006477E2" w:rsidRPr="008F4B6A" w:rsidRDefault="00F9551B" w:rsidP="00D82B0C">
      <w:pPr>
        <w:spacing w:line="480" w:lineRule="auto"/>
        <w:jc w:val="both"/>
      </w:pPr>
      <w:r w:rsidRPr="008F4B6A">
        <w:t>N</w:t>
      </w:r>
      <w:r w:rsidR="00B477FC" w:rsidRPr="008F4B6A">
        <w:t xml:space="preserve">ational and multinational companies install codes of conduct and </w:t>
      </w:r>
      <w:r w:rsidR="00F75F77" w:rsidRPr="008F4B6A">
        <w:t xml:space="preserve">internal policies </w:t>
      </w:r>
      <w:r w:rsidR="00B477FC" w:rsidRPr="008F4B6A">
        <w:t xml:space="preserve">in accordance with corporate governance </w:t>
      </w:r>
      <w:r w:rsidR="00BE5C78">
        <w:t>‘best practice’ guidance,</w:t>
      </w:r>
      <w:r w:rsidR="00B477FC" w:rsidRPr="008F4B6A">
        <w:t xml:space="preserve"> depending on jurisdiction. The expectation is that the majority of employees</w:t>
      </w:r>
      <w:r w:rsidR="00666BA8" w:rsidRPr="008F4B6A">
        <w:t xml:space="preserve"> and management</w:t>
      </w:r>
      <w:r w:rsidR="00B477FC" w:rsidRPr="008F4B6A">
        <w:t xml:space="preserve"> conform </w:t>
      </w:r>
      <w:r w:rsidR="00626DE8" w:rsidRPr="008F4B6A">
        <w:t>to</w:t>
      </w:r>
      <w:r w:rsidR="00B477FC" w:rsidRPr="008F4B6A">
        <w:t xml:space="preserve"> these expectations, however</w:t>
      </w:r>
      <w:r w:rsidR="009F073B" w:rsidRPr="008F4B6A">
        <w:t>,</w:t>
      </w:r>
      <w:r w:rsidR="00B477FC" w:rsidRPr="008F4B6A">
        <w:t xml:space="preserve"> there will be a minority of offenders </w:t>
      </w:r>
      <w:r w:rsidR="00F75F77" w:rsidRPr="008F4B6A">
        <w:t xml:space="preserve">who </w:t>
      </w:r>
      <w:r w:rsidR="00B477FC" w:rsidRPr="008F4B6A">
        <w:t xml:space="preserve">seek </w:t>
      </w:r>
      <w:r w:rsidR="000E1EB5" w:rsidRPr="008F4B6A">
        <w:t>‘</w:t>
      </w:r>
      <w:r w:rsidR="00B477FC" w:rsidRPr="008F4B6A">
        <w:t>profitability through illegal means or outright fraud which they ‘regret’ when getting caught</w:t>
      </w:r>
      <w:r w:rsidR="000E1EB5" w:rsidRPr="008F4B6A">
        <w:t>’</w:t>
      </w:r>
      <w:r w:rsidR="00911269">
        <w:t xml:space="preserve"> (</w:t>
      </w:r>
      <w:proofErr w:type="spellStart"/>
      <w:r w:rsidR="00911269">
        <w:t>Verhezen</w:t>
      </w:r>
      <w:proofErr w:type="spellEnd"/>
      <w:r w:rsidR="00627BA4">
        <w:t>,</w:t>
      </w:r>
      <w:r w:rsidR="00B477FC" w:rsidRPr="008F4B6A">
        <w:t xml:space="preserve"> 2010, p. 188).</w:t>
      </w:r>
      <w:r w:rsidR="005963C1" w:rsidRPr="008F4B6A">
        <w:t xml:space="preserve"> The fined organisations websites were reviewed for press releases in response to the regulators actions.</w:t>
      </w:r>
      <w:r w:rsidR="00B477FC" w:rsidRPr="008F4B6A">
        <w:t xml:space="preserve"> It is therefore interesting to </w:t>
      </w:r>
      <w:r w:rsidR="00626DE8" w:rsidRPr="008F4B6A">
        <w:t>analyse</w:t>
      </w:r>
      <w:r w:rsidR="00B477FC" w:rsidRPr="008F4B6A">
        <w:t xml:space="preserve"> the content of press releases under this </w:t>
      </w:r>
      <w:r w:rsidR="00626DE8" w:rsidRPr="008F4B6A">
        <w:t>viewpoint</w:t>
      </w:r>
      <w:r w:rsidR="001D21D7" w:rsidRPr="008F4B6A">
        <w:t xml:space="preserve"> of </w:t>
      </w:r>
      <w:r w:rsidR="005963C1" w:rsidRPr="008F4B6A">
        <w:t>regret</w:t>
      </w:r>
      <w:r w:rsidR="00E04F1E">
        <w:t xml:space="preserve"> within quotes 18-22 in T</w:t>
      </w:r>
      <w:r w:rsidR="009C66B1">
        <w:t>able 2</w:t>
      </w:r>
      <w:r w:rsidR="00E04F1E">
        <w:t>.</w:t>
      </w:r>
    </w:p>
    <w:p w14:paraId="1481668A" w14:textId="04E7AED4" w:rsidR="009F073B" w:rsidRPr="008F4B6A" w:rsidRDefault="00F75F77" w:rsidP="00D82B0C">
      <w:pPr>
        <w:spacing w:line="480" w:lineRule="auto"/>
        <w:jc w:val="both"/>
      </w:pPr>
      <w:r w:rsidRPr="008F4B6A">
        <w:t>As t</w:t>
      </w:r>
      <w:r w:rsidR="00666BA8" w:rsidRPr="008F4B6A">
        <w:t xml:space="preserve">he </w:t>
      </w:r>
      <w:r w:rsidR="00626DE8" w:rsidRPr="008F4B6A">
        <w:t xml:space="preserve">level of these fines </w:t>
      </w:r>
      <w:r w:rsidR="00CC10D9">
        <w:t>were</w:t>
      </w:r>
      <w:r w:rsidRPr="008F4B6A">
        <w:t xml:space="preserve"> </w:t>
      </w:r>
      <w:r w:rsidR="00666BA8" w:rsidRPr="008F4B6A">
        <w:t>significant</w:t>
      </w:r>
      <w:r w:rsidR="001D793C" w:rsidRPr="008F4B6A">
        <w:t xml:space="preserve"> in value, </w:t>
      </w:r>
      <w:r w:rsidRPr="008F4B6A">
        <w:t>it</w:t>
      </w:r>
      <w:r w:rsidR="001D793C" w:rsidRPr="008F4B6A">
        <w:t xml:space="preserve"> attract</w:t>
      </w:r>
      <w:r w:rsidR="00CC10D9">
        <w:t>ed</w:t>
      </w:r>
      <w:r w:rsidR="00666BA8" w:rsidRPr="008F4B6A">
        <w:t xml:space="preserve"> media attention</w:t>
      </w:r>
      <w:r w:rsidRPr="008F4B6A">
        <w:t xml:space="preserve"> and </w:t>
      </w:r>
      <w:r w:rsidR="007C61CE" w:rsidRPr="008F4B6A">
        <w:t>impact</w:t>
      </w:r>
      <w:r w:rsidR="00C15012" w:rsidRPr="008F4B6A">
        <w:t>s</w:t>
      </w:r>
      <w:r w:rsidRPr="008F4B6A">
        <w:t xml:space="preserve"> </w:t>
      </w:r>
      <w:r w:rsidR="007C61CE" w:rsidRPr="008F4B6A">
        <w:t>the publ</w:t>
      </w:r>
      <w:r w:rsidR="00911269">
        <w:t xml:space="preserve">ic agenda (McCarthy and </w:t>
      </w:r>
      <w:proofErr w:type="spellStart"/>
      <w:r w:rsidR="00911269">
        <w:t>Dolfsma</w:t>
      </w:r>
      <w:proofErr w:type="spellEnd"/>
      <w:r w:rsidR="00627BA4">
        <w:t>,</w:t>
      </w:r>
      <w:r w:rsidR="007C61CE" w:rsidRPr="008F4B6A">
        <w:t xml:space="preserve"> 2014).</w:t>
      </w:r>
      <w:r w:rsidR="00666BA8" w:rsidRPr="008F4B6A">
        <w:t xml:space="preserve"> Therefore, </w:t>
      </w:r>
      <w:r w:rsidR="00FC35AD" w:rsidRPr="008F4B6A">
        <w:t>stakeholders</w:t>
      </w:r>
      <w:r w:rsidR="00666BA8" w:rsidRPr="008F4B6A">
        <w:t xml:space="preserve"> will have an expectation of an apology or regret from the </w:t>
      </w:r>
      <w:r w:rsidR="00FC35AD" w:rsidRPr="008F4B6A">
        <w:t>violators</w:t>
      </w:r>
      <w:r w:rsidR="00666BA8" w:rsidRPr="008F4B6A">
        <w:t>.</w:t>
      </w:r>
      <w:r w:rsidR="009D48BD" w:rsidRPr="008F4B6A">
        <w:t xml:space="preserve"> </w:t>
      </w:r>
      <w:r w:rsidR="00C15012" w:rsidRPr="008F4B6A">
        <w:t>H</w:t>
      </w:r>
      <w:r w:rsidR="0050282E" w:rsidRPr="008F4B6A">
        <w:t xml:space="preserve">ence, the regret </w:t>
      </w:r>
      <w:r w:rsidR="009D48BD" w:rsidRPr="008F4B6A">
        <w:t xml:space="preserve">statements </w:t>
      </w:r>
      <w:r w:rsidR="0050282E" w:rsidRPr="008F4B6A">
        <w:t xml:space="preserve">issued by violators in response </w:t>
      </w:r>
      <w:r w:rsidR="00BE77CE" w:rsidRPr="008F4B6A">
        <w:t>to mimetic</w:t>
      </w:r>
      <w:r w:rsidR="009D48BD" w:rsidRPr="008F4B6A">
        <w:t xml:space="preserve"> </w:t>
      </w:r>
      <w:r w:rsidR="0050282E" w:rsidRPr="008F4B6A">
        <w:t xml:space="preserve">pressures </w:t>
      </w:r>
      <w:r w:rsidR="00C15012" w:rsidRPr="008F4B6A">
        <w:t>i</w:t>
      </w:r>
      <w:r w:rsidR="0050282E" w:rsidRPr="008F4B6A">
        <w:t xml:space="preserve">s an approach to gain </w:t>
      </w:r>
      <w:r w:rsidR="004A673E" w:rsidRPr="008F4B6A">
        <w:t>legitimacy</w:t>
      </w:r>
      <w:r w:rsidR="0050282E" w:rsidRPr="008F4B6A">
        <w:t xml:space="preserve"> following </w:t>
      </w:r>
      <w:r w:rsidR="003A3931" w:rsidRPr="008F4B6A">
        <w:t xml:space="preserve">transgression </w:t>
      </w:r>
      <w:r w:rsidR="00911269">
        <w:t>(</w:t>
      </w:r>
      <w:proofErr w:type="spellStart"/>
      <w:r w:rsidR="00911269">
        <w:t>Kondra</w:t>
      </w:r>
      <w:proofErr w:type="spellEnd"/>
      <w:r w:rsidR="00911269">
        <w:t xml:space="preserve"> and Hurst</w:t>
      </w:r>
      <w:r w:rsidR="00627BA4">
        <w:t>,</w:t>
      </w:r>
      <w:r w:rsidR="009D48BD" w:rsidRPr="008F4B6A">
        <w:t xml:space="preserve"> 2009, p. 40).</w:t>
      </w:r>
      <w:r w:rsidR="003A3931" w:rsidRPr="008F4B6A">
        <w:t xml:space="preserve"> </w:t>
      </w:r>
      <w:r w:rsidR="009F073B" w:rsidRPr="008F4B6A">
        <w:t>This trend continued whe</w:t>
      </w:r>
      <w:r w:rsidR="00256940" w:rsidRPr="008F4B6A">
        <w:t>n further data was analysed for the period</w:t>
      </w:r>
      <w:r w:rsidR="009F073B" w:rsidRPr="008F4B6A">
        <w:t xml:space="preserve"> 2015/16. In the review of violators’ </w:t>
      </w:r>
      <w:r w:rsidR="003A3931" w:rsidRPr="008F4B6A">
        <w:t>websites,</w:t>
      </w:r>
      <w:r w:rsidR="009F073B" w:rsidRPr="008F4B6A">
        <w:t xml:space="preserve"> the majority had released press statements in response to the regulators action. The expressions of regret and personal apology continued in some cases within the firm which corresponds to the earlier data from 2013/14</w:t>
      </w:r>
      <w:r w:rsidR="00CC10D9">
        <w:t>, as illustrated in quotes 23-26.</w:t>
      </w:r>
    </w:p>
    <w:p w14:paraId="6C764D63" w14:textId="78D0ED3B" w:rsidR="00362201" w:rsidRDefault="00362201" w:rsidP="00362201">
      <w:pPr>
        <w:spacing w:line="480" w:lineRule="auto"/>
        <w:jc w:val="both"/>
      </w:pPr>
      <w:r>
        <w:t>The review performed on the later 2015/16 fines also indicated a lack of emphasis on compliance culture within the firms outward facing publications (website and press release). However, it must be acknowledged that firms perhaps view this as embedded within their ‘corporate governance’ publications. Moreover, there were some exceptions</w:t>
      </w:r>
      <w:r w:rsidR="009C66B1">
        <w:t xml:space="preserve"> (see quotes 27-29 in Table 2</w:t>
      </w:r>
      <w:r w:rsidR="00CC10D9">
        <w:t>)</w:t>
      </w:r>
      <w:r>
        <w:t xml:space="preserve"> which comment specifically on compliance culture which may be viewed as a positive movement.</w:t>
      </w:r>
    </w:p>
    <w:p w14:paraId="38CB6264" w14:textId="2B5A2A71" w:rsidR="00362201" w:rsidRPr="00362201" w:rsidRDefault="00362201" w:rsidP="00362201">
      <w:pPr>
        <w:spacing w:line="480" w:lineRule="auto"/>
        <w:jc w:val="both"/>
      </w:pPr>
      <w:r>
        <w:lastRenderedPageBreak/>
        <w:t xml:space="preserve">These messages are all positive towards culture. However, as highlighted by the former head of FSA (Hector </w:t>
      </w:r>
      <w:proofErr w:type="spellStart"/>
      <w:r>
        <w:t>Sants</w:t>
      </w:r>
      <w:proofErr w:type="spellEnd"/>
      <w:r>
        <w:t xml:space="preserve">) it is nearly impossible for the regulator to ‘judge culture’ and indeed ‘enforce culture’ (O’Brien </w:t>
      </w:r>
      <w:r w:rsidR="005D42E6">
        <w:t>et al.</w:t>
      </w:r>
      <w:r>
        <w:t xml:space="preserve"> 2014, p. 124). </w:t>
      </w:r>
      <w:r w:rsidR="00A5318B">
        <w:t>Instead,</w:t>
      </w:r>
      <w:r>
        <w:t xml:space="preserve"> the focus of the regulator should be on the behaviours and outcomes demonstrated by the firms</w:t>
      </w:r>
      <w:r w:rsidR="00FD3F60">
        <w:t>, and how</w:t>
      </w:r>
      <w:r>
        <w:t xml:space="preserve"> culture delivers within these firms</w:t>
      </w:r>
      <w:r w:rsidR="00FD3F60">
        <w:t xml:space="preserve"> (FCA 2016b)</w:t>
      </w:r>
      <w:r>
        <w:t xml:space="preserve">. </w:t>
      </w:r>
      <w:r w:rsidR="00AB32D3">
        <w:t xml:space="preserve">This also aligns to the concept of legitimacy formed in a </w:t>
      </w:r>
      <w:r w:rsidR="00AB32D3" w:rsidRPr="00627BA4">
        <w:t>complementary fashion</w:t>
      </w:r>
      <w:r w:rsidR="00EA0710">
        <w:t xml:space="preserve"> (</w:t>
      </w:r>
      <w:proofErr w:type="spellStart"/>
      <w:r w:rsidR="00EA0710">
        <w:t>Suddaby</w:t>
      </w:r>
      <w:proofErr w:type="spellEnd"/>
      <w:r w:rsidR="00EA0710">
        <w:t xml:space="preserve"> et</w:t>
      </w:r>
      <w:r w:rsidR="00A5318B" w:rsidRPr="00627BA4">
        <w:t xml:space="preserve"> al., 2017)</w:t>
      </w:r>
      <w:r w:rsidR="00AB32D3" w:rsidRPr="00627BA4">
        <w:t xml:space="preserve">, </w:t>
      </w:r>
      <w:r w:rsidR="00AB32D3">
        <w:t xml:space="preserve">whereby both ‘product’ in the form of observable behaviours, and ‘process’ in the form of continued collaboration between the parties is an element of moving compliance culture towards a more legitimate form. </w:t>
      </w:r>
      <w:r>
        <w:t>Whilst</w:t>
      </w:r>
      <w:r w:rsidR="00133702">
        <w:t>,</w:t>
      </w:r>
      <w:r>
        <w:t xml:space="preserve"> these messages in press releases are all position firms as fostering good culture, the evidence of continued misdemeanour within the firms indicates worrying trends for the regulator.  </w:t>
      </w:r>
    </w:p>
    <w:p w14:paraId="49C5B164" w14:textId="44ABDA9B" w:rsidR="009F073B" w:rsidRDefault="00C15012" w:rsidP="00D82B0C">
      <w:pPr>
        <w:spacing w:line="480" w:lineRule="auto"/>
        <w:jc w:val="both"/>
      </w:pPr>
      <w:r w:rsidRPr="008F4B6A">
        <w:t xml:space="preserve">This review of the responses of </w:t>
      </w:r>
      <w:r w:rsidRPr="00627BA4">
        <w:t>the violators indicate</w:t>
      </w:r>
      <w:r w:rsidR="00C94047" w:rsidRPr="00627BA4">
        <w:t>s</w:t>
      </w:r>
      <w:r w:rsidRPr="00627BA4">
        <w:t xml:space="preserve"> </w:t>
      </w:r>
      <w:r w:rsidRPr="008F4B6A">
        <w:t xml:space="preserve">mimetic isomorphism has impacted the sector in the reviewed period. </w:t>
      </w:r>
      <w:r w:rsidR="00631F28">
        <w:t>Overall, t</w:t>
      </w:r>
      <w:r w:rsidRPr="008F4B6A">
        <w:t xml:space="preserve">here is a theme of ‘regret’ statements being </w:t>
      </w:r>
      <w:r w:rsidR="00C94047" w:rsidRPr="008F4B6A">
        <w:t>release</w:t>
      </w:r>
      <w:r w:rsidRPr="008F4B6A">
        <w:t>d by violating firms</w:t>
      </w:r>
      <w:r w:rsidR="00C94047" w:rsidRPr="008F4B6A">
        <w:t xml:space="preserve"> following sanctions, in an attempt</w:t>
      </w:r>
      <w:r w:rsidRPr="008F4B6A">
        <w:t xml:space="preserve"> to regain legitimacy within the market place</w:t>
      </w:r>
      <w:r w:rsidR="0025101B" w:rsidRPr="008F4B6A">
        <w:t>, and amongst their stakeholders</w:t>
      </w:r>
      <w:r w:rsidRPr="008F4B6A">
        <w:t>.</w:t>
      </w:r>
    </w:p>
    <w:p w14:paraId="6D28A577" w14:textId="5F91DBEB" w:rsidR="00EF004A" w:rsidRPr="008F4B6A" w:rsidRDefault="00EF004A" w:rsidP="00D82B0C">
      <w:pPr>
        <w:pStyle w:val="Heading3"/>
        <w:spacing w:line="480" w:lineRule="auto"/>
        <w:rPr>
          <w:color w:val="auto"/>
        </w:rPr>
      </w:pPr>
      <w:r w:rsidRPr="008F4B6A">
        <w:rPr>
          <w:color w:val="auto"/>
        </w:rPr>
        <w:t xml:space="preserve"> </w:t>
      </w:r>
      <w:bookmarkStart w:id="2" w:name="_Hlk507246809"/>
      <w:r w:rsidRPr="008F4B6A">
        <w:rPr>
          <w:color w:val="auto"/>
        </w:rPr>
        <w:t xml:space="preserve">Normative isomorphism – </w:t>
      </w:r>
      <w:r w:rsidR="0099345D" w:rsidRPr="008F4B6A">
        <w:rPr>
          <w:color w:val="auto"/>
        </w:rPr>
        <w:t xml:space="preserve">learning, </w:t>
      </w:r>
      <w:r w:rsidRPr="008F4B6A">
        <w:rPr>
          <w:color w:val="auto"/>
        </w:rPr>
        <w:t>adapting</w:t>
      </w:r>
      <w:r w:rsidR="0099345D" w:rsidRPr="008F4B6A">
        <w:rPr>
          <w:color w:val="auto"/>
        </w:rPr>
        <w:t>,</w:t>
      </w:r>
      <w:r w:rsidRPr="008F4B6A">
        <w:rPr>
          <w:color w:val="auto"/>
        </w:rPr>
        <w:t xml:space="preserve"> </w:t>
      </w:r>
      <w:r w:rsidR="0099345D" w:rsidRPr="008F4B6A">
        <w:rPr>
          <w:color w:val="auto"/>
        </w:rPr>
        <w:t xml:space="preserve">and collaborating </w:t>
      </w:r>
      <w:r w:rsidRPr="008F4B6A">
        <w:rPr>
          <w:color w:val="auto"/>
        </w:rPr>
        <w:t>in response to sanction</w:t>
      </w:r>
      <w:bookmarkEnd w:id="2"/>
    </w:p>
    <w:p w14:paraId="1D649E4F" w14:textId="25FFCA40" w:rsidR="00E3609B" w:rsidRPr="008F4B6A" w:rsidRDefault="00D02CD3" w:rsidP="00CA445A">
      <w:pPr>
        <w:spacing w:line="480" w:lineRule="auto"/>
        <w:jc w:val="both"/>
      </w:pPr>
      <w:r w:rsidRPr="008F4B6A">
        <w:t xml:space="preserve">Normative isomorphism leads to the adoption of similar practices amongst organisations within the same organisational field as a response </w:t>
      </w:r>
      <w:r w:rsidR="0044162A">
        <w:t xml:space="preserve">to </w:t>
      </w:r>
      <w:r w:rsidR="0044162A" w:rsidRPr="008F4B6A">
        <w:t>normative</w:t>
      </w:r>
      <w:r w:rsidRPr="008F4B6A">
        <w:t xml:space="preserve"> pressures. It highlights the impact of </w:t>
      </w:r>
      <w:r w:rsidRPr="008F4B6A">
        <w:rPr>
          <w:rFonts w:cstheme="majorBidi"/>
        </w:rPr>
        <w:t>normative rules (values and norms) that lead to convergence through socialisation. He</w:t>
      </w:r>
      <w:r w:rsidR="00471405" w:rsidRPr="008F4B6A">
        <w:rPr>
          <w:rFonts w:cstheme="majorBidi"/>
        </w:rPr>
        <w:t xml:space="preserve">re the </w:t>
      </w:r>
      <w:r w:rsidR="00EF4338" w:rsidRPr="008F4B6A">
        <w:rPr>
          <w:rFonts w:cstheme="majorBidi"/>
        </w:rPr>
        <w:t>violators</w:t>
      </w:r>
      <w:r w:rsidR="007361B7" w:rsidRPr="008F4B6A">
        <w:rPr>
          <w:rFonts w:cstheme="majorBidi"/>
        </w:rPr>
        <w:t>’</w:t>
      </w:r>
      <w:r w:rsidR="00471405" w:rsidRPr="008F4B6A">
        <w:rPr>
          <w:rFonts w:cstheme="majorBidi"/>
        </w:rPr>
        <w:t xml:space="preserve"> press releases and webpages have been interrogated for evidence of responses to these pressures</w:t>
      </w:r>
      <w:r w:rsidR="00805240" w:rsidRPr="008F4B6A">
        <w:rPr>
          <w:rFonts w:cstheme="majorBidi"/>
        </w:rPr>
        <w:t xml:space="preserve"> to conform </w:t>
      </w:r>
      <w:r w:rsidR="00CA445A" w:rsidRPr="008F4B6A">
        <w:rPr>
          <w:rFonts w:cstheme="majorBidi"/>
        </w:rPr>
        <w:t>to</w:t>
      </w:r>
      <w:r w:rsidR="002424A3" w:rsidRPr="008F4B6A">
        <w:rPr>
          <w:rFonts w:cstheme="majorBidi"/>
        </w:rPr>
        <w:t xml:space="preserve"> expectations of</w:t>
      </w:r>
      <w:r w:rsidR="00805240" w:rsidRPr="008F4B6A">
        <w:rPr>
          <w:rFonts w:cstheme="majorBidi"/>
        </w:rPr>
        <w:t xml:space="preserve"> professional </w:t>
      </w:r>
      <w:r w:rsidR="00CA445A" w:rsidRPr="00911269">
        <w:rPr>
          <w:rFonts w:cstheme="majorBidi"/>
        </w:rPr>
        <w:t>norms</w:t>
      </w:r>
      <w:r w:rsidR="00805240" w:rsidRPr="00911269">
        <w:rPr>
          <w:rFonts w:cstheme="majorBidi"/>
        </w:rPr>
        <w:t xml:space="preserve"> and concepts </w:t>
      </w:r>
      <w:r w:rsidR="00805240" w:rsidRPr="008F4B6A">
        <w:rPr>
          <w:rFonts w:cstheme="majorBidi"/>
        </w:rPr>
        <w:t>of best practice</w:t>
      </w:r>
      <w:r w:rsidR="00EF48F8" w:rsidRPr="008F4B6A">
        <w:rPr>
          <w:rFonts w:cstheme="majorBidi"/>
        </w:rPr>
        <w:t xml:space="preserve"> from the industry</w:t>
      </w:r>
      <w:r w:rsidR="00471405" w:rsidRPr="008F4B6A">
        <w:rPr>
          <w:rFonts w:cstheme="majorBidi"/>
        </w:rPr>
        <w:t>. In the majority of cases there is indication of ‘learning’ and ‘process change’ within the organisation which would align to the concepts of re</w:t>
      </w:r>
      <w:r w:rsidR="00D3028C" w:rsidRPr="008F4B6A">
        <w:rPr>
          <w:rFonts w:cstheme="majorBidi"/>
        </w:rPr>
        <w:t>-</w:t>
      </w:r>
      <w:r w:rsidR="00471405" w:rsidRPr="008F4B6A">
        <w:rPr>
          <w:rFonts w:cstheme="majorBidi"/>
        </w:rPr>
        <w:t>education and re</w:t>
      </w:r>
      <w:r w:rsidR="0054376E" w:rsidRPr="008F4B6A">
        <w:rPr>
          <w:rFonts w:cstheme="majorBidi"/>
        </w:rPr>
        <w:t>-</w:t>
      </w:r>
      <w:r w:rsidR="00471405" w:rsidRPr="008F4B6A">
        <w:rPr>
          <w:rFonts w:cstheme="majorBidi"/>
        </w:rPr>
        <w:t>professionalization, in line with normative pressure.</w:t>
      </w:r>
      <w:r w:rsidRPr="008F4B6A">
        <w:t xml:space="preserve"> </w:t>
      </w:r>
      <w:r w:rsidR="00E3609B" w:rsidRPr="008F4B6A">
        <w:t>An alternative approach is adopted in some press releases</w:t>
      </w:r>
      <w:r w:rsidR="00C151A3" w:rsidRPr="008F4B6A">
        <w:t xml:space="preserve"> where</w:t>
      </w:r>
      <w:r w:rsidR="00A20046" w:rsidRPr="008F4B6A">
        <w:t>by</w:t>
      </w:r>
      <w:r w:rsidR="00C151A3" w:rsidRPr="008F4B6A">
        <w:t xml:space="preserve"> the organisations argue that change in orga</w:t>
      </w:r>
      <w:r w:rsidR="0077741F" w:rsidRPr="008F4B6A">
        <w:t xml:space="preserve">nisation supersede these events. The statements </w:t>
      </w:r>
      <w:r w:rsidR="00666BA8" w:rsidRPr="008F4B6A">
        <w:t xml:space="preserve">continue to </w:t>
      </w:r>
      <w:r w:rsidR="0077741F" w:rsidRPr="008F4B6A">
        <w:t>reflect conformity with expectations and norms of stakeholders</w:t>
      </w:r>
      <w:r w:rsidR="00446CF0">
        <w:t xml:space="preserve">, as exemplified within quotes 30-33 in Table </w:t>
      </w:r>
      <w:r w:rsidR="009C66B1">
        <w:t>2</w:t>
      </w:r>
      <w:r w:rsidR="0077741F" w:rsidRPr="008F4B6A">
        <w:t>.</w:t>
      </w:r>
    </w:p>
    <w:p w14:paraId="2A27C9EF" w14:textId="63E591FF" w:rsidR="006853DC" w:rsidRPr="008F4B6A" w:rsidRDefault="006853DC" w:rsidP="00252121">
      <w:pPr>
        <w:spacing w:line="480" w:lineRule="auto"/>
        <w:jc w:val="both"/>
      </w:pPr>
      <w:r w:rsidRPr="008F4B6A">
        <w:lastRenderedPageBreak/>
        <w:t xml:space="preserve">Although not evidenced </w:t>
      </w:r>
      <w:r w:rsidR="00A20046" w:rsidRPr="008F4B6A">
        <w:t>specifically</w:t>
      </w:r>
      <w:r w:rsidRPr="008F4B6A">
        <w:t>, there would be an expectation of improved controls/processes/codes of conduct in line with industry expectations</w:t>
      </w:r>
      <w:r w:rsidR="00A13533" w:rsidRPr="008F4B6A">
        <w:t xml:space="preserve"> (set out by BBA</w:t>
      </w:r>
      <w:r w:rsidR="00420436" w:rsidRPr="008F4B6A">
        <w:t xml:space="preserve"> during period of review</w:t>
      </w:r>
      <w:r w:rsidR="00A13533" w:rsidRPr="008F4B6A">
        <w:t>, and more recently UK Finance</w:t>
      </w:r>
      <w:r w:rsidRPr="008F4B6A">
        <w:t>,</w:t>
      </w:r>
      <w:r w:rsidR="00420436" w:rsidRPr="008F4B6A">
        <w:t xml:space="preserve"> </w:t>
      </w:r>
      <w:r w:rsidR="00AD492C" w:rsidRPr="008F4B6A">
        <w:t>2017)</w:t>
      </w:r>
      <w:r w:rsidR="00252121">
        <w:t>. G</w:t>
      </w:r>
      <w:r w:rsidRPr="008F4B6A">
        <w:t>iven the statements above</w:t>
      </w:r>
      <w:r w:rsidR="00A20046" w:rsidRPr="008F4B6A">
        <w:t xml:space="preserve"> from the violating firms’ press releases</w:t>
      </w:r>
      <w:r w:rsidR="00252121">
        <w:t>, w</w:t>
      </w:r>
      <w:r w:rsidR="009A5901" w:rsidRPr="008F4B6A">
        <w:t>e argue that the o</w:t>
      </w:r>
      <w:r w:rsidRPr="008F4B6A">
        <w:t>verall message of learning and improvement</w:t>
      </w:r>
      <w:r w:rsidR="009A5901" w:rsidRPr="008F4B6A">
        <w:t xml:space="preserve">, communicated in the above quotes is indeed reflective of changes in </w:t>
      </w:r>
      <w:r w:rsidR="00AD492C" w:rsidRPr="008F4B6A">
        <w:t>companies’</w:t>
      </w:r>
      <w:r w:rsidRPr="008F4B6A">
        <w:t xml:space="preserve"> polic</w:t>
      </w:r>
      <w:r w:rsidR="009A5901" w:rsidRPr="008F4B6A">
        <w:t xml:space="preserve">ies </w:t>
      </w:r>
      <w:r w:rsidRPr="008F4B6A">
        <w:t xml:space="preserve">and systems </w:t>
      </w:r>
      <w:r w:rsidR="009A5901" w:rsidRPr="008F4B6A">
        <w:t>and</w:t>
      </w:r>
      <w:r w:rsidRPr="008F4B6A">
        <w:t xml:space="preserve"> would result in re</w:t>
      </w:r>
      <w:r w:rsidR="009A5901" w:rsidRPr="008F4B6A">
        <w:t>-</w:t>
      </w:r>
      <w:r w:rsidRPr="008F4B6A">
        <w:t xml:space="preserve"> professionalization through </w:t>
      </w:r>
      <w:r w:rsidR="009A5901" w:rsidRPr="008F4B6A">
        <w:t xml:space="preserve">further </w:t>
      </w:r>
      <w:r w:rsidRPr="008F4B6A">
        <w:t>internal training and education.</w:t>
      </w:r>
    </w:p>
    <w:p w14:paraId="1EE02E09" w14:textId="7CC1F2D1" w:rsidR="009F073B" w:rsidRDefault="00BD6F6E" w:rsidP="00D82B0C">
      <w:pPr>
        <w:spacing w:line="480" w:lineRule="auto"/>
        <w:jc w:val="both"/>
      </w:pPr>
      <w:r w:rsidRPr="008F4B6A">
        <w:t>Direct action</w:t>
      </w:r>
      <w:r w:rsidR="0083254D" w:rsidRPr="008F4B6A">
        <w:t>s</w:t>
      </w:r>
      <w:r w:rsidRPr="008F4B6A">
        <w:t xml:space="preserve"> </w:t>
      </w:r>
      <w:r w:rsidR="0083254D" w:rsidRPr="008F4B6A">
        <w:t>have</w:t>
      </w:r>
      <w:r w:rsidRPr="008F4B6A">
        <w:t xml:space="preserve"> also been demonstrated in the resignation of the Chairman</w:t>
      </w:r>
      <w:r w:rsidR="0083254D" w:rsidRPr="008F4B6A">
        <w:t xml:space="preserve"> as in the case of </w:t>
      </w:r>
      <w:proofErr w:type="spellStart"/>
      <w:r w:rsidRPr="008F4B6A">
        <w:t>Rabobank</w:t>
      </w:r>
      <w:proofErr w:type="spellEnd"/>
      <w:r w:rsidR="0054376E" w:rsidRPr="008F4B6A">
        <w:t>,</w:t>
      </w:r>
      <w:r w:rsidR="0083254D" w:rsidRPr="008F4B6A">
        <w:t xml:space="preserve"> for instance</w:t>
      </w:r>
      <w:r w:rsidRPr="008F4B6A">
        <w:t xml:space="preserve">. </w:t>
      </w:r>
      <w:r w:rsidR="0083254D" w:rsidRPr="008F4B6A">
        <w:t>Moreover, o</w:t>
      </w:r>
      <w:r w:rsidRPr="008F4B6A">
        <w:t xml:space="preserve">ther organisations have demonstrated change via appointment of a new Risk </w:t>
      </w:r>
      <w:r w:rsidR="0083254D" w:rsidRPr="008F4B6A">
        <w:t>Officer</w:t>
      </w:r>
      <w:r w:rsidR="0054376E" w:rsidRPr="008F4B6A">
        <w:t>,</w:t>
      </w:r>
      <w:r w:rsidR="0083254D" w:rsidRPr="008F4B6A">
        <w:t xml:space="preserve"> as in the case of </w:t>
      </w:r>
      <w:r w:rsidRPr="008F4B6A">
        <w:t>Sesame.</w:t>
      </w:r>
      <w:r w:rsidR="00ED1F7B" w:rsidRPr="008F4B6A">
        <w:t xml:space="preserve"> T</w:t>
      </w:r>
      <w:r w:rsidR="001D21D7" w:rsidRPr="008F4B6A">
        <w:t xml:space="preserve">hese </w:t>
      </w:r>
      <w:r w:rsidR="00CD2B5C" w:rsidRPr="008F4B6A">
        <w:t>publicised</w:t>
      </w:r>
      <w:r w:rsidR="001D21D7" w:rsidRPr="008F4B6A">
        <w:t xml:space="preserve"> events could be linked to the </w:t>
      </w:r>
      <w:r w:rsidR="00ED1F7B" w:rsidRPr="008F4B6A">
        <w:t>social aspects motivating compliance to earn approval and respect</w:t>
      </w:r>
      <w:r w:rsidR="00911269">
        <w:t xml:space="preserve"> (Nielson and Parker</w:t>
      </w:r>
      <w:r w:rsidR="00362AB7" w:rsidRPr="008F4B6A">
        <w:t xml:space="preserve"> 2012)</w:t>
      </w:r>
      <w:r w:rsidR="00ED1F7B" w:rsidRPr="008F4B6A">
        <w:t xml:space="preserve"> via direct </w:t>
      </w:r>
      <w:r w:rsidR="001D21D7" w:rsidRPr="008F4B6A">
        <w:t>action to enhance</w:t>
      </w:r>
      <w:r w:rsidR="00CD2B5C" w:rsidRPr="008F4B6A">
        <w:t xml:space="preserve"> compliance</w:t>
      </w:r>
      <w:r w:rsidR="00362AB7" w:rsidRPr="008F4B6A">
        <w:t>.</w:t>
      </w:r>
      <w:r w:rsidR="00ED1F7B" w:rsidRPr="008F4B6A">
        <w:t xml:space="preserve"> </w:t>
      </w:r>
      <w:r w:rsidR="00B51371" w:rsidRPr="008F4B6A">
        <w:t xml:space="preserve">The publicised events are a direct attempt by violating firms to ‘restore’ reputation and legitimacy in the industry. </w:t>
      </w:r>
      <w:r w:rsidR="0083254D" w:rsidRPr="008F4B6A">
        <w:t xml:space="preserve">On a related note, </w:t>
      </w:r>
      <w:r w:rsidR="001D21D7" w:rsidRPr="008F4B6A">
        <w:t xml:space="preserve">Barclays </w:t>
      </w:r>
      <w:r w:rsidR="00CB0281" w:rsidRPr="008F4B6A">
        <w:t>B</w:t>
      </w:r>
      <w:r w:rsidR="0083254D" w:rsidRPr="008F4B6A">
        <w:t xml:space="preserve">ank </w:t>
      </w:r>
      <w:r w:rsidR="001D21D7" w:rsidRPr="008F4B6A">
        <w:t>h</w:t>
      </w:r>
      <w:r w:rsidR="0083254D" w:rsidRPr="008F4B6A">
        <w:t>as</w:t>
      </w:r>
      <w:r w:rsidR="001D21D7" w:rsidRPr="008F4B6A">
        <w:t xml:space="preserve"> also recently publicised</w:t>
      </w:r>
      <w:r w:rsidR="00F8429E" w:rsidRPr="008F4B6A">
        <w:t xml:space="preserve"> improvements to compliance training following issue of fines by both the UK and US regulator</w:t>
      </w:r>
      <w:r w:rsidR="00E95019" w:rsidRPr="008F4B6A">
        <w:t>.</w:t>
      </w:r>
      <w:r w:rsidR="00F8429E" w:rsidRPr="008F4B6A">
        <w:t xml:space="preserve"> </w:t>
      </w:r>
      <w:r w:rsidR="00E95019" w:rsidRPr="008F4B6A">
        <w:t xml:space="preserve">This again </w:t>
      </w:r>
      <w:r w:rsidR="0083254D" w:rsidRPr="008F4B6A">
        <w:t xml:space="preserve">gives an example of </w:t>
      </w:r>
      <w:r w:rsidR="00E95019" w:rsidRPr="008F4B6A">
        <w:t xml:space="preserve">direct publicised action </w:t>
      </w:r>
      <w:r w:rsidR="0083254D" w:rsidRPr="008F4B6A">
        <w:t xml:space="preserve">as an attempt to improve the </w:t>
      </w:r>
      <w:r w:rsidR="00E95019" w:rsidRPr="008F4B6A">
        <w:t xml:space="preserve">bank’s track record in adhering to </w:t>
      </w:r>
      <w:r w:rsidR="0083254D" w:rsidRPr="008F4B6A">
        <w:t xml:space="preserve">professional norms </w:t>
      </w:r>
      <w:r w:rsidR="00911269">
        <w:t>(Compliance Exchange</w:t>
      </w:r>
      <w:r w:rsidR="00817CAC">
        <w:t>,</w:t>
      </w:r>
      <w:r w:rsidR="00E95019" w:rsidRPr="008F4B6A">
        <w:t xml:space="preserve"> 2014).</w:t>
      </w:r>
    </w:p>
    <w:p w14:paraId="0AE27771" w14:textId="24F7D1AC" w:rsidR="0036139F" w:rsidRPr="00627BA4" w:rsidRDefault="00720CE3" w:rsidP="0036139F">
      <w:pPr>
        <w:pStyle w:val="Heading3"/>
        <w:spacing w:line="480" w:lineRule="auto"/>
        <w:rPr>
          <w:color w:val="auto"/>
        </w:rPr>
      </w:pPr>
      <w:bookmarkStart w:id="3" w:name="_Hlk507246830"/>
      <w:r w:rsidRPr="00627BA4">
        <w:rPr>
          <w:color w:val="auto"/>
        </w:rPr>
        <w:t>Normative isomorphism</w:t>
      </w:r>
      <w:r w:rsidR="00627BA4" w:rsidRPr="00627BA4">
        <w:rPr>
          <w:color w:val="auto"/>
        </w:rPr>
        <w:t xml:space="preserve"> evidenced</w:t>
      </w:r>
      <w:r w:rsidRPr="00627BA4">
        <w:rPr>
          <w:color w:val="auto"/>
        </w:rPr>
        <w:t xml:space="preserve"> in endorsed</w:t>
      </w:r>
      <w:r w:rsidR="00627BA4" w:rsidRPr="00627BA4">
        <w:rPr>
          <w:color w:val="auto"/>
        </w:rPr>
        <w:t xml:space="preserve"> (legitimate)</w:t>
      </w:r>
      <w:r w:rsidR="0036139F" w:rsidRPr="00627BA4">
        <w:rPr>
          <w:color w:val="auto"/>
        </w:rPr>
        <w:t xml:space="preserve"> firms </w:t>
      </w:r>
    </w:p>
    <w:bookmarkEnd w:id="3"/>
    <w:p w14:paraId="5CA03FEC" w14:textId="727B9A7C" w:rsidR="00FD3F60" w:rsidRDefault="00A3592A" w:rsidP="00D82B0C">
      <w:pPr>
        <w:spacing w:line="480" w:lineRule="auto"/>
        <w:jc w:val="both"/>
      </w:pPr>
      <w:r>
        <w:t xml:space="preserve">The results of these actions have been compared to </w:t>
      </w:r>
      <w:r w:rsidR="007D4020">
        <w:t>firms, which</w:t>
      </w:r>
      <w:r>
        <w:t xml:space="preserve"> have not been sanctioned during the period, and in contrast have been ‘endorsed’ by the regulators. W</w:t>
      </w:r>
      <w:r w:rsidR="00FD3F60">
        <w:t xml:space="preserve">ithin the review of non-sanctioned </w:t>
      </w:r>
      <w:r w:rsidR="007D4020">
        <w:t>firms,</w:t>
      </w:r>
      <w:r w:rsidR="00FD3F60">
        <w:t xml:space="preserve"> there was also evidence of signalling by the entities to the FCA and wider stakeholders, of their continued conformity with normative expectations. Seve</w:t>
      </w:r>
      <w:r>
        <w:t>ral of these firms</w:t>
      </w:r>
      <w:r w:rsidR="00FD3F60">
        <w:t xml:space="preserve"> were praised by the FCA in the ‘Best of British’ speech (FCA, 2014d), for</w:t>
      </w:r>
      <w:r w:rsidR="00FD3F60" w:rsidRPr="00FD3F60">
        <w:t xml:space="preserve"> initiatives within the sector promoting trust, fairness and integrity.</w:t>
      </w:r>
      <w:r>
        <w:t xml:space="preserve"> Despite these endorsements</w:t>
      </w:r>
      <w:r w:rsidR="00C82F1E">
        <w:t>, it was acknowledged that several of these institutes have come under scrutiny from the regulator in the past (Cooperative Bank, 2012 Capital structure issues</w:t>
      </w:r>
      <w:r w:rsidR="00C82F1E">
        <w:rPr>
          <w:rStyle w:val="EndnoteReference"/>
        </w:rPr>
        <w:endnoteReference w:id="12"/>
      </w:r>
      <w:r w:rsidR="00C82F1E">
        <w:t>; RBS, during the financial crisis</w:t>
      </w:r>
      <w:r w:rsidR="009C5CF8">
        <w:rPr>
          <w:rStyle w:val="EndnoteReference"/>
        </w:rPr>
        <w:endnoteReference w:id="13"/>
      </w:r>
      <w:r>
        <w:t>; with Virgin Money stepping in to take over the troubled Northern Rock during the financial crisis</w:t>
      </w:r>
      <w:r>
        <w:rPr>
          <w:rStyle w:val="EndnoteReference"/>
        </w:rPr>
        <w:endnoteReference w:id="14"/>
      </w:r>
      <w:r w:rsidR="00C82F1E">
        <w:t>)</w:t>
      </w:r>
      <w:r>
        <w:t>.</w:t>
      </w:r>
    </w:p>
    <w:p w14:paraId="2B7E1C26" w14:textId="4C2542EA" w:rsidR="00985319" w:rsidRDefault="00A3592A" w:rsidP="00985319">
      <w:pPr>
        <w:spacing w:line="480" w:lineRule="auto"/>
        <w:jc w:val="both"/>
      </w:pPr>
      <w:r>
        <w:lastRenderedPageBreak/>
        <w:t xml:space="preserve">In the press </w:t>
      </w:r>
      <w:r w:rsidR="00720CE3">
        <w:t>release,</w:t>
      </w:r>
      <w:r>
        <w:t xml:space="preserve"> there is clear signalling of updates to ‘normative’ levers such as </w:t>
      </w:r>
      <w:r w:rsidR="00595674">
        <w:t xml:space="preserve">announcement of </w:t>
      </w:r>
      <w:r>
        <w:t>codes of conduct</w:t>
      </w:r>
      <w:r w:rsidR="00595674">
        <w:t>/ethical policy updates</w:t>
      </w:r>
      <w:r>
        <w:t>, and strengthening of governance oversight.</w:t>
      </w:r>
      <w:r w:rsidR="00595674">
        <w:t xml:space="preserve"> </w:t>
      </w:r>
      <w:r>
        <w:t>Specifically</w:t>
      </w:r>
      <w:r w:rsidR="00817CAC">
        <w:t>,</w:t>
      </w:r>
      <w:r>
        <w:t xml:space="preserve"> in the case of Cooperative Bank there </w:t>
      </w:r>
      <w:r w:rsidR="00817CAC">
        <w:t>are</w:t>
      </w:r>
      <w:r>
        <w:t xml:space="preserve"> </w:t>
      </w:r>
      <w:r w:rsidR="00595674">
        <w:t xml:space="preserve">numerous updates within press release of strengthening of the board, with a new Chief </w:t>
      </w:r>
      <w:r w:rsidR="00985319">
        <w:t xml:space="preserve">Executive and Deputy </w:t>
      </w:r>
      <w:r w:rsidR="00595674">
        <w:t>announced in 2013.</w:t>
      </w:r>
      <w:r w:rsidR="00EA0710">
        <w:t xml:space="preserve"> </w:t>
      </w:r>
      <w:r w:rsidR="00985319">
        <w:t xml:space="preserve">Virgin Money </w:t>
      </w:r>
      <w:r w:rsidR="00446CF0">
        <w:t xml:space="preserve">also </w:t>
      </w:r>
      <w:r w:rsidR="00985319">
        <w:t xml:space="preserve">signal the strengthening of the board </w:t>
      </w:r>
      <w:r w:rsidR="009C66B1">
        <w:t>as seen in Table 2</w:t>
      </w:r>
      <w:r w:rsidR="00446CF0">
        <w:t>, quotes 34-35.</w:t>
      </w:r>
    </w:p>
    <w:p w14:paraId="41330AE7" w14:textId="3081BD7A" w:rsidR="00985319" w:rsidRPr="00A2298B" w:rsidRDefault="00985319" w:rsidP="00985319">
      <w:pPr>
        <w:spacing w:line="480" w:lineRule="auto"/>
        <w:jc w:val="both"/>
      </w:pPr>
      <w:r>
        <w:t>This meets normative aspects of presenting as strong board and governance structure, however this differs from the direct (and reactive) actions required by the sanctioned, or troubled firms. The emphasis is on the word ‘continue’ whereby they signal that there is continuous improvement within the company.</w:t>
      </w:r>
      <w:r w:rsidR="0083533A">
        <w:t xml:space="preserve"> </w:t>
      </w:r>
      <w:r>
        <w:t xml:space="preserve">This press release indicates a strengthening of the internal senior management, un affected by external forces/events to trigger change as evidenced </w:t>
      </w:r>
      <w:r w:rsidR="00FA1F0A">
        <w:t>in</w:t>
      </w:r>
      <w:r>
        <w:t xml:space="preserve"> the use of word ‘continue’.</w:t>
      </w:r>
    </w:p>
    <w:p w14:paraId="759551A4" w14:textId="55469D79" w:rsidR="00985319" w:rsidRDefault="00985319" w:rsidP="00595674">
      <w:pPr>
        <w:spacing w:line="480" w:lineRule="auto"/>
        <w:jc w:val="both"/>
      </w:pPr>
      <w:r>
        <w:t xml:space="preserve">Whilst reviewing the press statements of RBS, there was </w:t>
      </w:r>
      <w:r w:rsidR="00595674">
        <w:t>acknowledgement of previou</w:t>
      </w:r>
      <w:r>
        <w:t xml:space="preserve">s failings which evidences </w:t>
      </w:r>
      <w:r w:rsidR="00595674">
        <w:t>mimetic ‘regret statements’</w:t>
      </w:r>
      <w:r>
        <w:t>, which echo the response of sanctioned banks</w:t>
      </w:r>
      <w:r w:rsidR="00446CF0">
        <w:t>.</w:t>
      </w:r>
    </w:p>
    <w:p w14:paraId="6DF1B99B" w14:textId="00385DCD" w:rsidR="00985319" w:rsidRDefault="00446CF0" w:rsidP="00985319">
      <w:pPr>
        <w:spacing w:line="480" w:lineRule="auto"/>
        <w:jc w:val="both"/>
      </w:pPr>
      <w:r>
        <w:t xml:space="preserve">However, </w:t>
      </w:r>
      <w:r w:rsidR="00985319">
        <w:t>RBS also align to</w:t>
      </w:r>
      <w:r w:rsidR="00817CAC">
        <w:t xml:space="preserve"> normative signalling of </w:t>
      </w:r>
      <w:r w:rsidR="00985319" w:rsidRPr="00985319">
        <w:t>‘learning’ and improvem</w:t>
      </w:r>
      <w:r w:rsidR="00985319">
        <w:t>ents to controls and structures, which is comparable to the response of sanctioned banks.</w:t>
      </w:r>
    </w:p>
    <w:p w14:paraId="37ED6E06" w14:textId="23C64C16" w:rsidR="009F073B" w:rsidRPr="008F4B6A" w:rsidRDefault="0048530A" w:rsidP="00EE1860">
      <w:pPr>
        <w:spacing w:line="480" w:lineRule="auto"/>
        <w:jc w:val="both"/>
      </w:pPr>
      <w:r w:rsidRPr="0048530A">
        <w:t xml:space="preserve">Alongside these signals within the sanctioned, and non-sanctioned firms of alignment with normative expectations there has also been clearer expectations set out by the FCA. </w:t>
      </w:r>
      <w:r w:rsidR="007D2478" w:rsidRPr="008F4B6A">
        <w:t>During the period under review the regulators have jointly issued the ‘Senior Ma</w:t>
      </w:r>
      <w:r w:rsidR="00911269">
        <w:t>nagers Regime’ (Ernst and Young</w:t>
      </w:r>
      <w:r w:rsidR="00817CAC">
        <w:t>,</w:t>
      </w:r>
      <w:r w:rsidR="007D2478" w:rsidRPr="008F4B6A">
        <w:t xml:space="preserve"> 2014), which promotes accountability of senior management (at the top of organisation) for regulatory compliance (replacing the Approved Persons Regime). This requires firms to have ‘Responsibility Maps’ </w:t>
      </w:r>
      <w:r w:rsidR="00EE1860" w:rsidRPr="00911269">
        <w:t xml:space="preserve">in </w:t>
      </w:r>
      <w:r w:rsidR="007D2478" w:rsidRPr="00911269">
        <w:t>allocating governance and management responsibilit</w:t>
      </w:r>
      <w:r w:rsidR="00EE1860" w:rsidRPr="00911269">
        <w:t>ies</w:t>
      </w:r>
      <w:r w:rsidR="007D2478" w:rsidRPr="00911269">
        <w:t xml:space="preserve">. In </w:t>
      </w:r>
      <w:r w:rsidR="007D2478" w:rsidRPr="008F4B6A">
        <w:t>addition, any employee within organisations with responsibilities relating to regulated activities, must also engage in the ‘Certification Regime’. The purpose of these requirements is to change the norm of good practices and hence impact comp</w:t>
      </w:r>
      <w:r w:rsidR="008639CD">
        <w:t>liance culture (Ernst and Young</w:t>
      </w:r>
      <w:r w:rsidR="00817CAC">
        <w:t>,</w:t>
      </w:r>
      <w:r w:rsidR="007D2478" w:rsidRPr="008F4B6A">
        <w:t xml:space="preserve"> 2014). Haynes (2014) contends that despite the changes to the regulator and the ‘changing set of rule books’ that desired changes may not be </w:t>
      </w:r>
      <w:r w:rsidR="007D2478" w:rsidRPr="008F4B6A">
        <w:lastRenderedPageBreak/>
        <w:t xml:space="preserve">realised if the regulator continue to have ‘little appetite’ to ensure responsibility within the banks. </w:t>
      </w:r>
      <w:r w:rsidR="009F073B" w:rsidRPr="008F4B6A">
        <w:t>There were also positive messages of collaborative working relationships with the regulator</w:t>
      </w:r>
      <w:r w:rsidR="00C23A83" w:rsidRPr="008F4B6A">
        <w:t xml:space="preserve"> to adopt the normative best practices as set by the regulator to underpin regulatory reforms. As Scott (2014) suggests</w:t>
      </w:r>
      <w:r w:rsidR="009F073B" w:rsidRPr="008F4B6A">
        <w:t>,</w:t>
      </w:r>
      <w:r w:rsidR="00C23A83" w:rsidRPr="008F4B6A">
        <w:t xml:space="preserve"> establishing these norms is effective in enhancing compliance, as it creates a logic of ‘appropriateness’ which </w:t>
      </w:r>
      <w:r w:rsidR="0070673F" w:rsidRPr="008F4B6A">
        <w:t>complements the</w:t>
      </w:r>
      <w:r w:rsidR="00C23A83" w:rsidRPr="008F4B6A">
        <w:t xml:space="preserve"> logic of ‘instrumentality</w:t>
      </w:r>
      <w:r w:rsidR="0070673F" w:rsidRPr="008F4B6A">
        <w:t>’ of</w:t>
      </w:r>
      <w:r w:rsidR="00C23A83" w:rsidRPr="008F4B6A">
        <w:t xml:space="preserve"> regulations. </w:t>
      </w:r>
      <w:r w:rsidR="0070673F" w:rsidRPr="008F4B6A">
        <w:t xml:space="preserve">This can be demonstrated </w:t>
      </w:r>
      <w:r w:rsidR="00F32DF3">
        <w:t>within quotes 38-40</w:t>
      </w:r>
      <w:r w:rsidR="0070673F" w:rsidRPr="008F4B6A">
        <w:t xml:space="preserve"> by financial institutions</w:t>
      </w:r>
      <w:r w:rsidR="00F32DF3">
        <w:t xml:space="preserve"> in </w:t>
      </w:r>
      <w:r w:rsidR="0070673F" w:rsidRPr="008F4B6A">
        <w:t xml:space="preserve">response to the normative </w:t>
      </w:r>
      <w:r w:rsidR="009F073B" w:rsidRPr="008F4B6A">
        <w:t>regulator</w:t>
      </w:r>
      <w:r w:rsidR="00123EBC" w:rsidRPr="008F4B6A">
        <w:t>’</w:t>
      </w:r>
      <w:r w:rsidR="009F073B" w:rsidRPr="008F4B6A">
        <w:t>s perspective</w:t>
      </w:r>
      <w:r w:rsidR="00F32DF3">
        <w:t>.</w:t>
      </w:r>
    </w:p>
    <w:p w14:paraId="064A7D43" w14:textId="2CF21CAE" w:rsidR="0024511E" w:rsidRPr="008F4B6A" w:rsidRDefault="00123EBC" w:rsidP="00723F90">
      <w:pPr>
        <w:spacing w:line="480" w:lineRule="auto"/>
        <w:jc w:val="both"/>
      </w:pPr>
      <w:r w:rsidRPr="008F4B6A">
        <w:t>Moreover, t</w:t>
      </w:r>
      <w:r w:rsidR="009F073B" w:rsidRPr="008F4B6A">
        <w:t xml:space="preserve">hese quotes </w:t>
      </w:r>
      <w:r w:rsidR="00945F2F" w:rsidRPr="008F4B6A">
        <w:t>indicate</w:t>
      </w:r>
      <w:r w:rsidR="009F073B" w:rsidRPr="008F4B6A">
        <w:t xml:space="preserve"> a healthy movement of collaboration within the working relationship between the regulators and the banks supporting Edward and Wolfe’s</w:t>
      </w:r>
      <w:r w:rsidR="00CB0281" w:rsidRPr="008F4B6A">
        <w:t xml:space="preserve"> (2004)</w:t>
      </w:r>
      <w:r w:rsidR="009F073B" w:rsidRPr="008F4B6A">
        <w:t xml:space="preserve"> partnership model.</w:t>
      </w:r>
      <w:r w:rsidR="00DB7F3A" w:rsidRPr="008F4B6A">
        <w:t xml:space="preserve"> </w:t>
      </w:r>
      <w:r w:rsidRPr="008F4B6A">
        <w:t>Indeed, t</w:t>
      </w:r>
      <w:r w:rsidR="00DB7F3A" w:rsidRPr="008F4B6A">
        <w:t xml:space="preserve">his </w:t>
      </w:r>
      <w:r w:rsidRPr="008F4B6A">
        <w:t xml:space="preserve">is also an </w:t>
      </w:r>
      <w:r w:rsidR="00DB7F3A" w:rsidRPr="008F4B6A">
        <w:t xml:space="preserve">example of complying </w:t>
      </w:r>
      <w:r w:rsidR="00471405" w:rsidRPr="008F4B6A">
        <w:t>with</w:t>
      </w:r>
      <w:r w:rsidR="00DB7F3A" w:rsidRPr="008F4B6A">
        <w:t xml:space="preserve"> the pressure of adopting ‘best practice’ approach to regulatory relationship, as endorsed by the regulator and industry working groups</w:t>
      </w:r>
      <w:r w:rsidR="008639CD">
        <w:t xml:space="preserve"> (UK Finance</w:t>
      </w:r>
      <w:r w:rsidR="00817CAC">
        <w:t>,</w:t>
      </w:r>
      <w:r w:rsidR="002657B6" w:rsidRPr="008F4B6A">
        <w:t xml:space="preserve"> 2017)</w:t>
      </w:r>
      <w:r w:rsidR="00DB7F3A" w:rsidRPr="008F4B6A">
        <w:t>.</w:t>
      </w:r>
      <w:r w:rsidR="00723F90">
        <w:t xml:space="preserve"> </w:t>
      </w:r>
      <w:r w:rsidR="0024511E" w:rsidRPr="008F4B6A">
        <w:t xml:space="preserve">Normative pressures would </w:t>
      </w:r>
      <w:r w:rsidR="00471405" w:rsidRPr="008F4B6A">
        <w:t xml:space="preserve">also </w:t>
      </w:r>
      <w:r w:rsidR="0024511E" w:rsidRPr="008F4B6A">
        <w:t>include adoption of best practice codes of conduct endorsi</w:t>
      </w:r>
      <w:r w:rsidR="008639CD">
        <w:t>ng culture across the firm (FRC</w:t>
      </w:r>
      <w:r w:rsidR="00817CAC">
        <w:t>,</w:t>
      </w:r>
      <w:r w:rsidR="0024511E" w:rsidRPr="008F4B6A">
        <w:t xml:space="preserve"> 2016). </w:t>
      </w:r>
      <w:r w:rsidR="00723F90" w:rsidRPr="008639CD">
        <w:t xml:space="preserve">Here, analysis has shown that several </w:t>
      </w:r>
      <w:r w:rsidR="00723F90" w:rsidRPr="008F4B6A">
        <w:t>organisations</w:t>
      </w:r>
      <w:r w:rsidR="0024511E" w:rsidRPr="008F4B6A">
        <w:t xml:space="preserve"> did allow open access to the code of </w:t>
      </w:r>
      <w:r w:rsidR="00CF1EB7" w:rsidRPr="008F4B6A">
        <w:t xml:space="preserve">conduct. </w:t>
      </w:r>
    </w:p>
    <w:p w14:paraId="6F372250" w14:textId="652BECBA" w:rsidR="007361B7" w:rsidRPr="008F4B6A" w:rsidRDefault="00BD5E24" w:rsidP="00D82B0C">
      <w:pPr>
        <w:spacing w:line="480" w:lineRule="auto"/>
        <w:jc w:val="both"/>
      </w:pPr>
      <w:r w:rsidRPr="008F4B6A">
        <w:t xml:space="preserve">To summarise, normative pressures </w:t>
      </w:r>
      <w:r w:rsidR="00CF06C3" w:rsidRPr="008F4B6A">
        <w:t>facing violators</w:t>
      </w:r>
      <w:r w:rsidR="007361B7" w:rsidRPr="008F4B6A">
        <w:t xml:space="preserve"> do appear to result</w:t>
      </w:r>
      <w:r w:rsidRPr="008F4B6A">
        <w:t xml:space="preserve"> in</w:t>
      </w:r>
      <w:r w:rsidR="007361B7" w:rsidRPr="008F4B6A">
        <w:t xml:space="preserve"> isomorphism, as evidenced through acknowledgement of learning and change required within the violating firms. However, </w:t>
      </w:r>
      <w:r w:rsidR="0074362F" w:rsidRPr="008F4B6A">
        <w:t>these actions will result in</w:t>
      </w:r>
      <w:r w:rsidR="007361B7" w:rsidRPr="008F4B6A">
        <w:t xml:space="preserve"> </w:t>
      </w:r>
      <w:r w:rsidR="00720CE3" w:rsidRPr="008F4B6A">
        <w:t>long-term</w:t>
      </w:r>
      <w:r w:rsidR="007361B7" w:rsidRPr="008F4B6A">
        <w:t xml:space="preserve"> </w:t>
      </w:r>
      <w:r w:rsidR="0074362F" w:rsidRPr="008F4B6A">
        <w:t xml:space="preserve">strategic initiatives (such as </w:t>
      </w:r>
      <w:r w:rsidR="00CF06C3" w:rsidRPr="008F4B6A">
        <w:t xml:space="preserve">new </w:t>
      </w:r>
      <w:r w:rsidR="0074362F" w:rsidRPr="008F4B6A">
        <w:t>training program adopted by Barclays)</w:t>
      </w:r>
      <w:r w:rsidR="007361B7" w:rsidRPr="008F4B6A">
        <w:t xml:space="preserve"> rather than</w:t>
      </w:r>
      <w:r w:rsidRPr="008F4B6A">
        <w:t xml:space="preserve"> purely</w:t>
      </w:r>
      <w:r w:rsidR="007361B7" w:rsidRPr="008F4B6A">
        <w:t xml:space="preserve"> </w:t>
      </w:r>
      <w:r w:rsidR="00CF06C3" w:rsidRPr="008F4B6A">
        <w:t>short-term</w:t>
      </w:r>
      <w:r w:rsidR="007361B7" w:rsidRPr="008F4B6A">
        <w:t xml:space="preserve"> responses. </w:t>
      </w:r>
      <w:r w:rsidR="00CF06C3" w:rsidRPr="008F4B6A">
        <w:t xml:space="preserve">Therefore, </w:t>
      </w:r>
      <w:r w:rsidR="007361B7" w:rsidRPr="008F4B6A">
        <w:t>whilst there are some instances of direct action to evidence re</w:t>
      </w:r>
      <w:r w:rsidR="00CF06C3" w:rsidRPr="008F4B6A">
        <w:t>-</w:t>
      </w:r>
      <w:r w:rsidR="0074362F" w:rsidRPr="008F4B6A">
        <w:t>professionalization</w:t>
      </w:r>
      <w:r w:rsidR="007361B7" w:rsidRPr="008F4B6A">
        <w:t xml:space="preserve"> through new leadership, or new processes, these wil</w:t>
      </w:r>
      <w:r w:rsidRPr="008F4B6A">
        <w:t xml:space="preserve">l result in </w:t>
      </w:r>
      <w:r w:rsidR="00720CE3" w:rsidRPr="008F4B6A">
        <w:t>longer-term</w:t>
      </w:r>
      <w:r w:rsidRPr="008F4B6A">
        <w:t xml:space="preserve"> impact within</w:t>
      </w:r>
      <w:r w:rsidR="007361B7" w:rsidRPr="008F4B6A">
        <w:t xml:space="preserve"> the organisations (in comparison to the earlier discussed pressures and responses from a coercive and mimetic perspective).</w:t>
      </w:r>
      <w:r w:rsidR="006853DC" w:rsidRPr="008F4B6A">
        <w:t xml:space="preserve"> </w:t>
      </w:r>
      <w:r w:rsidR="006946C1">
        <w:t xml:space="preserve">There are similarities evident in both sanctioned and non-sanctioned firms in how they signal their alignment to normative expectations of the regulator and wider sector. </w:t>
      </w:r>
      <w:r w:rsidR="00FE4E5A">
        <w:t>All actors may attribute this signalling to the pursuit of legitimacy</w:t>
      </w:r>
      <w:r w:rsidR="00FA1F0A">
        <w:t>.</w:t>
      </w:r>
    </w:p>
    <w:p w14:paraId="3A49E5FB" w14:textId="196C0B6D" w:rsidR="006B4C18" w:rsidRPr="008F4B6A" w:rsidRDefault="008D7E67" w:rsidP="0085086C">
      <w:pPr>
        <w:spacing w:line="480" w:lineRule="auto"/>
        <w:jc w:val="both"/>
      </w:pPr>
      <w:r w:rsidRPr="008F4B6A">
        <w:lastRenderedPageBreak/>
        <w:t xml:space="preserve">Table </w:t>
      </w:r>
      <w:r w:rsidR="009C66B1">
        <w:t>4</w:t>
      </w:r>
      <w:r w:rsidR="001546DB" w:rsidRPr="008F4B6A">
        <w:t xml:space="preserve"> </w:t>
      </w:r>
      <w:r w:rsidR="0085086C" w:rsidRPr="00475D62">
        <w:t xml:space="preserve">summarises the </w:t>
      </w:r>
      <w:r w:rsidR="008D32ED" w:rsidRPr="00475D62">
        <w:t xml:space="preserve">coercive, mimetic and normative pressures and associated </w:t>
      </w:r>
      <w:r w:rsidR="00475D62" w:rsidRPr="00475D62">
        <w:t>organisational</w:t>
      </w:r>
      <w:r w:rsidR="0085086C" w:rsidRPr="00475D62">
        <w:t xml:space="preserve"> </w:t>
      </w:r>
      <w:r w:rsidR="008D32ED" w:rsidRPr="008F4B6A">
        <w:t>responses</w:t>
      </w:r>
      <w:r w:rsidR="009C700F">
        <w:t xml:space="preserve"> discussed in this section</w:t>
      </w:r>
      <w:r w:rsidR="009C66B1">
        <w:t xml:space="preserve"> and earlier within the literature review</w:t>
      </w:r>
      <w:r w:rsidR="0085086C">
        <w:t>.</w:t>
      </w:r>
    </w:p>
    <w:p w14:paraId="5802217B" w14:textId="77777777" w:rsidR="00384259" w:rsidRDefault="00384259">
      <w:pPr>
        <w:rPr>
          <w:b/>
          <w:bCs/>
          <w:sz w:val="18"/>
          <w:szCs w:val="18"/>
        </w:rPr>
      </w:pPr>
      <w:r>
        <w:br w:type="page"/>
      </w:r>
    </w:p>
    <w:p w14:paraId="759AE42F" w14:textId="77777777" w:rsidR="00384259" w:rsidRDefault="00384259" w:rsidP="00D82B0C">
      <w:pPr>
        <w:pStyle w:val="Caption"/>
        <w:spacing w:line="480" w:lineRule="auto"/>
        <w:rPr>
          <w:color w:val="auto"/>
        </w:rPr>
        <w:sectPr w:rsidR="00384259" w:rsidSect="001447FD">
          <w:pgSz w:w="11906" w:h="16838" w:code="9"/>
          <w:pgMar w:top="1440" w:right="1440" w:bottom="1440" w:left="1440" w:header="709" w:footer="709" w:gutter="0"/>
          <w:cols w:space="708"/>
          <w:docGrid w:linePitch="360"/>
        </w:sectPr>
      </w:pPr>
    </w:p>
    <w:p w14:paraId="4008B24A" w14:textId="53B0D92F" w:rsidR="006B4C18" w:rsidRDefault="00DF50FD" w:rsidP="00D82B0C">
      <w:pPr>
        <w:pStyle w:val="Caption"/>
        <w:spacing w:line="480" w:lineRule="auto"/>
        <w:rPr>
          <w:color w:val="auto"/>
        </w:rPr>
      </w:pPr>
      <w:r>
        <w:rPr>
          <w:color w:val="auto"/>
        </w:rPr>
        <w:lastRenderedPageBreak/>
        <w:t xml:space="preserve">Table </w:t>
      </w:r>
      <w:r w:rsidR="009C66B1">
        <w:rPr>
          <w:color w:val="auto"/>
        </w:rPr>
        <w:t>4</w:t>
      </w:r>
      <w:r w:rsidR="006B4C18" w:rsidRPr="008F4B6A">
        <w:rPr>
          <w:color w:val="auto"/>
        </w:rPr>
        <w:t xml:space="preserve"> Mechanisms of change within compliance culture - expectations and findings aligned to Institutional Theory </w:t>
      </w:r>
    </w:p>
    <w:tbl>
      <w:tblPr>
        <w:tblStyle w:val="TableGrid1"/>
        <w:tblW w:w="14454" w:type="dxa"/>
        <w:tblLook w:val="04A0" w:firstRow="1" w:lastRow="0" w:firstColumn="1" w:lastColumn="0" w:noHBand="0" w:noVBand="1"/>
      </w:tblPr>
      <w:tblGrid>
        <w:gridCol w:w="1486"/>
        <w:gridCol w:w="4463"/>
        <w:gridCol w:w="4252"/>
        <w:gridCol w:w="4253"/>
      </w:tblGrid>
      <w:tr w:rsidR="00384259" w:rsidRPr="002B5711" w14:paraId="35AC16F1" w14:textId="77777777" w:rsidTr="007C2D59">
        <w:tc>
          <w:tcPr>
            <w:tcW w:w="14454" w:type="dxa"/>
            <w:gridSpan w:val="4"/>
          </w:tcPr>
          <w:p w14:paraId="6B68FC83" w14:textId="77777777" w:rsidR="00384259" w:rsidRPr="002B5711" w:rsidRDefault="00384259" w:rsidP="007C2D59">
            <w:pPr>
              <w:spacing w:after="200" w:line="480" w:lineRule="auto"/>
              <w:jc w:val="center"/>
              <w:rPr>
                <w:rFonts w:ascii="Calibri" w:hAnsi="Calibri" w:cs="Arial"/>
                <w:b/>
                <w:i/>
              </w:rPr>
            </w:pPr>
            <w:r w:rsidRPr="002B5711">
              <w:rPr>
                <w:rFonts w:ascii="Calibri" w:hAnsi="Calibri" w:cs="Arial"/>
                <w:b/>
                <w:i/>
              </w:rPr>
              <w:t>Mechanisms of change within compliance culture</w:t>
            </w:r>
          </w:p>
        </w:tc>
      </w:tr>
      <w:tr w:rsidR="00384259" w:rsidRPr="002B5711" w14:paraId="75C96635" w14:textId="77777777" w:rsidTr="007C2D59">
        <w:tc>
          <w:tcPr>
            <w:tcW w:w="1486" w:type="dxa"/>
            <w:vMerge w:val="restart"/>
          </w:tcPr>
          <w:p w14:paraId="25F8DE04" w14:textId="77777777" w:rsidR="00384259" w:rsidRPr="002B5711" w:rsidRDefault="00384259" w:rsidP="007C2D59">
            <w:pPr>
              <w:spacing w:after="200" w:line="480" w:lineRule="auto"/>
              <w:jc w:val="both"/>
              <w:rPr>
                <w:rFonts w:ascii="Calibri" w:hAnsi="Calibri" w:cs="Arial"/>
                <w:sz w:val="20"/>
              </w:rPr>
            </w:pPr>
            <w:r w:rsidRPr="002B5711">
              <w:rPr>
                <w:rFonts w:ascii="Calibri" w:hAnsi="Calibri" w:cs="Arial"/>
                <w:sz w:val="20"/>
              </w:rPr>
              <w:t xml:space="preserve">Different Isomorphism logics </w:t>
            </w:r>
          </w:p>
        </w:tc>
        <w:tc>
          <w:tcPr>
            <w:tcW w:w="4463" w:type="dxa"/>
          </w:tcPr>
          <w:p w14:paraId="5769F759" w14:textId="77777777" w:rsidR="00384259" w:rsidRPr="002B5711" w:rsidRDefault="00384259" w:rsidP="007C2D59">
            <w:pPr>
              <w:spacing w:after="200" w:line="480" w:lineRule="auto"/>
              <w:jc w:val="center"/>
              <w:rPr>
                <w:rFonts w:ascii="Calibri" w:hAnsi="Calibri" w:cs="Arial"/>
                <w:b/>
                <w:i/>
                <w:sz w:val="20"/>
              </w:rPr>
            </w:pPr>
            <w:r w:rsidRPr="002B5711">
              <w:rPr>
                <w:rFonts w:ascii="Calibri" w:hAnsi="Calibri" w:cs="Arial"/>
                <w:b/>
                <w:i/>
                <w:sz w:val="20"/>
              </w:rPr>
              <w:t>Coercive Isomorphism</w:t>
            </w:r>
          </w:p>
        </w:tc>
        <w:tc>
          <w:tcPr>
            <w:tcW w:w="4252" w:type="dxa"/>
          </w:tcPr>
          <w:p w14:paraId="1742FE81" w14:textId="77777777" w:rsidR="00384259" w:rsidRPr="002B5711" w:rsidRDefault="00384259" w:rsidP="007C2D59">
            <w:pPr>
              <w:spacing w:after="200" w:line="480" w:lineRule="auto"/>
              <w:jc w:val="center"/>
              <w:rPr>
                <w:rFonts w:ascii="Calibri" w:hAnsi="Calibri" w:cs="Arial"/>
                <w:b/>
                <w:i/>
                <w:sz w:val="20"/>
              </w:rPr>
            </w:pPr>
            <w:r w:rsidRPr="002B5711">
              <w:rPr>
                <w:rFonts w:ascii="Calibri" w:hAnsi="Calibri" w:cs="Arial"/>
                <w:b/>
                <w:i/>
                <w:sz w:val="20"/>
              </w:rPr>
              <w:t>Mimetic Isomorphism</w:t>
            </w:r>
          </w:p>
        </w:tc>
        <w:tc>
          <w:tcPr>
            <w:tcW w:w="4253" w:type="dxa"/>
          </w:tcPr>
          <w:p w14:paraId="002A674B" w14:textId="77777777" w:rsidR="00384259" w:rsidRPr="002B5711" w:rsidRDefault="00384259" w:rsidP="007C2D59">
            <w:pPr>
              <w:spacing w:after="200" w:line="480" w:lineRule="auto"/>
              <w:jc w:val="center"/>
              <w:rPr>
                <w:rFonts w:ascii="Calibri" w:hAnsi="Calibri" w:cs="Arial"/>
                <w:b/>
                <w:i/>
                <w:sz w:val="20"/>
              </w:rPr>
            </w:pPr>
            <w:r w:rsidRPr="002B5711">
              <w:rPr>
                <w:rFonts w:ascii="Calibri" w:hAnsi="Calibri" w:cs="Arial"/>
                <w:b/>
                <w:i/>
                <w:sz w:val="20"/>
              </w:rPr>
              <w:t>Normative Isomorphism</w:t>
            </w:r>
          </w:p>
        </w:tc>
      </w:tr>
      <w:tr w:rsidR="00384259" w:rsidRPr="002B5711" w14:paraId="2A08791C" w14:textId="77777777" w:rsidTr="007C2D59">
        <w:trPr>
          <w:trHeight w:val="1296"/>
        </w:trPr>
        <w:tc>
          <w:tcPr>
            <w:tcW w:w="1486" w:type="dxa"/>
            <w:vMerge/>
          </w:tcPr>
          <w:p w14:paraId="4A6307C6" w14:textId="77777777" w:rsidR="00384259" w:rsidRPr="002B5711" w:rsidRDefault="00384259" w:rsidP="007C2D59">
            <w:pPr>
              <w:spacing w:after="200" w:line="480" w:lineRule="auto"/>
              <w:jc w:val="both"/>
              <w:rPr>
                <w:rFonts w:ascii="Calibri" w:hAnsi="Calibri" w:cs="Arial"/>
                <w:sz w:val="20"/>
              </w:rPr>
            </w:pPr>
          </w:p>
        </w:tc>
        <w:tc>
          <w:tcPr>
            <w:tcW w:w="4463" w:type="dxa"/>
          </w:tcPr>
          <w:p w14:paraId="542E1D35" w14:textId="77777777" w:rsidR="00384259" w:rsidRPr="002B5711" w:rsidRDefault="00384259" w:rsidP="007C2D59">
            <w:pPr>
              <w:spacing w:after="200" w:line="480" w:lineRule="auto"/>
              <w:rPr>
                <w:rFonts w:ascii="Calibri" w:hAnsi="Calibri" w:cs="Arial"/>
                <w:sz w:val="20"/>
              </w:rPr>
            </w:pPr>
            <w:r w:rsidRPr="002B5711">
              <w:rPr>
                <w:rFonts w:ascii="Calibri" w:hAnsi="Calibri" w:cs="Arial"/>
                <w:sz w:val="20"/>
              </w:rPr>
              <w:t xml:space="preserve">Formal and informal pressures exerted causing companies to comply </w:t>
            </w:r>
          </w:p>
        </w:tc>
        <w:tc>
          <w:tcPr>
            <w:tcW w:w="4252" w:type="dxa"/>
          </w:tcPr>
          <w:p w14:paraId="082351C6" w14:textId="77777777" w:rsidR="00384259" w:rsidRPr="002B5711" w:rsidRDefault="00384259" w:rsidP="007C2D59">
            <w:pPr>
              <w:spacing w:after="200" w:line="480" w:lineRule="auto"/>
              <w:rPr>
                <w:rFonts w:ascii="Calibri" w:hAnsi="Calibri" w:cs="Arial"/>
                <w:sz w:val="20"/>
              </w:rPr>
            </w:pPr>
            <w:r w:rsidRPr="002B5711">
              <w:rPr>
                <w:rFonts w:ascii="Calibri" w:hAnsi="Calibri" w:cs="Arial"/>
                <w:sz w:val="20"/>
              </w:rPr>
              <w:t>Companies responding to pressures of being similar to other organisations within the field and ‘copying’ one another</w:t>
            </w:r>
          </w:p>
        </w:tc>
        <w:tc>
          <w:tcPr>
            <w:tcW w:w="4253" w:type="dxa"/>
          </w:tcPr>
          <w:p w14:paraId="4E04D266" w14:textId="77777777" w:rsidR="00384259" w:rsidRPr="002B5711" w:rsidRDefault="00384259" w:rsidP="007C2D59">
            <w:pPr>
              <w:spacing w:after="200" w:line="480" w:lineRule="auto"/>
              <w:rPr>
                <w:rFonts w:ascii="Calibri" w:hAnsi="Calibri" w:cs="Arial"/>
                <w:sz w:val="20"/>
              </w:rPr>
            </w:pPr>
            <w:r w:rsidRPr="002B5711">
              <w:rPr>
                <w:rFonts w:ascii="Calibri" w:hAnsi="Calibri" w:cs="Arial"/>
                <w:sz w:val="20"/>
              </w:rPr>
              <w:t xml:space="preserve">Companies respond to norms and values being promoted by Educational institutions and /or /professionalization </w:t>
            </w:r>
          </w:p>
        </w:tc>
      </w:tr>
      <w:tr w:rsidR="00384259" w:rsidRPr="002B5711" w14:paraId="540331DC" w14:textId="77777777" w:rsidTr="007C2D59">
        <w:tc>
          <w:tcPr>
            <w:tcW w:w="1486" w:type="dxa"/>
          </w:tcPr>
          <w:p w14:paraId="221AE9C9" w14:textId="77777777" w:rsidR="00384259" w:rsidRPr="002B5711" w:rsidRDefault="00384259" w:rsidP="007C2D59">
            <w:pPr>
              <w:spacing w:after="200" w:line="480" w:lineRule="auto"/>
              <w:jc w:val="both"/>
              <w:rPr>
                <w:rFonts w:ascii="Calibri" w:hAnsi="Calibri" w:cs="Arial"/>
                <w:sz w:val="20"/>
              </w:rPr>
            </w:pPr>
            <w:r w:rsidRPr="002B5711">
              <w:rPr>
                <w:rFonts w:ascii="Calibri" w:hAnsi="Calibri" w:cs="Arial"/>
                <w:sz w:val="20"/>
              </w:rPr>
              <w:t>Forces included in Practice</w:t>
            </w:r>
          </w:p>
        </w:tc>
        <w:tc>
          <w:tcPr>
            <w:tcW w:w="4463" w:type="dxa"/>
          </w:tcPr>
          <w:p w14:paraId="7D8789D9" w14:textId="77777777" w:rsidR="00384259" w:rsidRPr="002B5711" w:rsidRDefault="00384259" w:rsidP="007C2D59">
            <w:pPr>
              <w:spacing w:after="200" w:line="480" w:lineRule="auto"/>
              <w:jc w:val="both"/>
              <w:rPr>
                <w:rFonts w:ascii="Calibri" w:hAnsi="Calibri" w:cs="Arial"/>
                <w:sz w:val="20"/>
              </w:rPr>
            </w:pPr>
            <w:r w:rsidRPr="002B5711">
              <w:rPr>
                <w:rFonts w:ascii="Calibri" w:hAnsi="Calibri" w:cs="Arial"/>
                <w:sz w:val="20"/>
              </w:rPr>
              <w:t>Credible deterrence adopted by the FCA:</w:t>
            </w:r>
          </w:p>
          <w:p w14:paraId="53C0551F" w14:textId="77777777" w:rsidR="00384259" w:rsidRPr="002B5711" w:rsidRDefault="00384259" w:rsidP="007C2D59">
            <w:pPr>
              <w:spacing w:after="200" w:line="480" w:lineRule="auto"/>
              <w:jc w:val="both"/>
              <w:rPr>
                <w:rFonts w:ascii="Calibri" w:hAnsi="Calibri" w:cs="Arial"/>
                <w:sz w:val="20"/>
              </w:rPr>
            </w:pPr>
            <w:r w:rsidRPr="002B5711">
              <w:rPr>
                <w:rFonts w:ascii="Calibri" w:hAnsi="Calibri" w:cs="Arial"/>
                <w:sz w:val="20"/>
              </w:rPr>
              <w:t>Companies follow rules and regulations or face sanctions</w:t>
            </w:r>
          </w:p>
        </w:tc>
        <w:tc>
          <w:tcPr>
            <w:tcW w:w="4252" w:type="dxa"/>
          </w:tcPr>
          <w:p w14:paraId="148E79E1" w14:textId="77777777" w:rsidR="00384259" w:rsidRPr="002B5711" w:rsidRDefault="00384259" w:rsidP="007C2D59">
            <w:pPr>
              <w:spacing w:line="480" w:lineRule="auto"/>
              <w:contextualSpacing/>
              <w:rPr>
                <w:rFonts w:ascii="Calibri" w:hAnsi="Calibri" w:cs="Arial"/>
                <w:sz w:val="20"/>
              </w:rPr>
            </w:pPr>
            <w:r w:rsidRPr="002B5711">
              <w:rPr>
                <w:rFonts w:ascii="Calibri" w:hAnsi="Calibri" w:cs="Arial"/>
                <w:sz w:val="20"/>
              </w:rPr>
              <w:t>Cycles of continuous improvement in regulatory compliance which is similarly communicated by banks leading to one communicated ‘public’ face through websites/Public relations.</w:t>
            </w:r>
          </w:p>
          <w:p w14:paraId="38E66AA1" w14:textId="77777777" w:rsidR="00384259" w:rsidRPr="002B5711" w:rsidRDefault="00384259" w:rsidP="007C2D59">
            <w:pPr>
              <w:spacing w:line="480" w:lineRule="auto"/>
              <w:contextualSpacing/>
              <w:rPr>
                <w:rFonts w:ascii="Calibri" w:hAnsi="Calibri" w:cs="Arial"/>
                <w:sz w:val="20"/>
              </w:rPr>
            </w:pPr>
            <w:r w:rsidRPr="002B5711">
              <w:rPr>
                <w:rFonts w:ascii="Calibri" w:hAnsi="Calibri" w:cs="Arial"/>
                <w:sz w:val="20"/>
              </w:rPr>
              <w:t>Compliance aligned to FCA/BASEL frameworks.</w:t>
            </w:r>
          </w:p>
        </w:tc>
        <w:tc>
          <w:tcPr>
            <w:tcW w:w="4253" w:type="dxa"/>
          </w:tcPr>
          <w:p w14:paraId="7A957DAC" w14:textId="77777777" w:rsidR="00384259" w:rsidRPr="002B5711" w:rsidRDefault="00384259" w:rsidP="007C2D59">
            <w:pPr>
              <w:spacing w:after="200" w:line="480" w:lineRule="auto"/>
              <w:rPr>
                <w:rFonts w:ascii="Calibri" w:hAnsi="Calibri" w:cs="Arial"/>
                <w:sz w:val="20"/>
              </w:rPr>
            </w:pPr>
            <w:r w:rsidRPr="002B5711">
              <w:rPr>
                <w:rFonts w:ascii="Calibri" w:hAnsi="Calibri" w:cs="Arial"/>
                <w:sz w:val="20"/>
              </w:rPr>
              <w:t>Adoption of best practice guidelines issued by groups such as BBA/UK Finance Group; membership and conformity with professional bodies requirements i.e. accounting  and legal professional bodies /training providers for CPD.</w:t>
            </w:r>
          </w:p>
        </w:tc>
      </w:tr>
      <w:tr w:rsidR="00384259" w:rsidRPr="002B5711" w14:paraId="57CD6917" w14:textId="77777777" w:rsidTr="007C2D59">
        <w:trPr>
          <w:trHeight w:val="1550"/>
        </w:trPr>
        <w:tc>
          <w:tcPr>
            <w:tcW w:w="1486" w:type="dxa"/>
          </w:tcPr>
          <w:p w14:paraId="199CA0DD" w14:textId="77777777" w:rsidR="00384259" w:rsidRPr="002B5711" w:rsidRDefault="00384259" w:rsidP="007C2D59">
            <w:pPr>
              <w:spacing w:after="200" w:line="480" w:lineRule="auto"/>
              <w:jc w:val="both"/>
              <w:rPr>
                <w:rFonts w:ascii="Calibri" w:hAnsi="Calibri" w:cs="Arial"/>
                <w:sz w:val="20"/>
              </w:rPr>
            </w:pPr>
            <w:r w:rsidRPr="002B5711">
              <w:rPr>
                <w:rFonts w:ascii="Calibri" w:hAnsi="Calibri" w:cs="Arial"/>
                <w:sz w:val="20"/>
              </w:rPr>
              <w:t>Findings from this study</w:t>
            </w:r>
          </w:p>
        </w:tc>
        <w:tc>
          <w:tcPr>
            <w:tcW w:w="4463" w:type="dxa"/>
          </w:tcPr>
          <w:p w14:paraId="28D3ECE4" w14:textId="77777777" w:rsidR="00384259" w:rsidRPr="00687659" w:rsidRDefault="00384259" w:rsidP="007C2D59">
            <w:pPr>
              <w:spacing w:line="480" w:lineRule="auto"/>
              <w:contextualSpacing/>
              <w:jc w:val="both"/>
              <w:rPr>
                <w:rFonts w:ascii="Calibri" w:hAnsi="Calibri" w:cs="Arial"/>
                <w:color w:val="00B050"/>
                <w:sz w:val="20"/>
              </w:rPr>
            </w:pPr>
            <w:r w:rsidRPr="002B5711">
              <w:rPr>
                <w:rFonts w:ascii="Calibri" w:hAnsi="Calibri" w:cs="Arial"/>
                <w:sz w:val="20"/>
              </w:rPr>
              <w:t xml:space="preserve">FCA response through public criticism and significant fines. </w:t>
            </w:r>
            <w:r w:rsidRPr="00687659">
              <w:rPr>
                <w:rFonts w:ascii="Calibri" w:hAnsi="Calibri" w:cs="Arial"/>
                <w:color w:val="00B050"/>
                <w:sz w:val="20"/>
              </w:rPr>
              <w:t>(Legitimacy as a Product)</w:t>
            </w:r>
          </w:p>
          <w:p w14:paraId="6533BFEA" w14:textId="77777777" w:rsidR="00384259" w:rsidRDefault="00384259" w:rsidP="007C2D59">
            <w:pPr>
              <w:spacing w:line="480" w:lineRule="auto"/>
              <w:contextualSpacing/>
              <w:jc w:val="both"/>
              <w:rPr>
                <w:rFonts w:ascii="Calibri" w:hAnsi="Calibri" w:cs="Arial"/>
                <w:sz w:val="20"/>
              </w:rPr>
            </w:pPr>
            <w:r w:rsidRPr="002B5711">
              <w:rPr>
                <w:rFonts w:ascii="Calibri" w:hAnsi="Calibri" w:cs="Arial"/>
                <w:sz w:val="20"/>
              </w:rPr>
              <w:t>Response to sanctions by firms is mixed – few ignore coercive impact of regulator.</w:t>
            </w:r>
          </w:p>
          <w:p w14:paraId="0D567317" w14:textId="77777777" w:rsidR="00384259" w:rsidRPr="00687659" w:rsidRDefault="00384259" w:rsidP="007C2D59">
            <w:pPr>
              <w:spacing w:line="480" w:lineRule="auto"/>
              <w:contextualSpacing/>
              <w:jc w:val="both"/>
              <w:rPr>
                <w:rFonts w:ascii="Calibri" w:hAnsi="Calibri" w:cs="Arial"/>
                <w:b/>
                <w:sz w:val="20"/>
              </w:rPr>
            </w:pPr>
            <w:r>
              <w:rPr>
                <w:rFonts w:ascii="Calibri" w:hAnsi="Calibri" w:cs="Arial"/>
                <w:sz w:val="20"/>
              </w:rPr>
              <w:lastRenderedPageBreak/>
              <w:t xml:space="preserve">Adjusted regulatory stance of collaboration (coercion through communicated expectations) </w:t>
            </w:r>
            <w:r w:rsidRPr="00687659">
              <w:rPr>
                <w:rFonts w:ascii="Calibri" w:hAnsi="Calibri" w:cs="Arial"/>
                <w:color w:val="00B050"/>
                <w:sz w:val="20"/>
              </w:rPr>
              <w:t>(Legitimacy as a process)</w:t>
            </w:r>
          </w:p>
        </w:tc>
        <w:tc>
          <w:tcPr>
            <w:tcW w:w="4252" w:type="dxa"/>
          </w:tcPr>
          <w:p w14:paraId="4889EF3B" w14:textId="77777777" w:rsidR="00384259" w:rsidRDefault="00384259" w:rsidP="007C2D59">
            <w:pPr>
              <w:spacing w:after="200" w:line="480" w:lineRule="auto"/>
              <w:jc w:val="both"/>
              <w:rPr>
                <w:rFonts w:ascii="Calibri" w:hAnsi="Calibri" w:cs="Arial"/>
                <w:sz w:val="20"/>
              </w:rPr>
            </w:pPr>
            <w:r w:rsidRPr="002B5711">
              <w:rPr>
                <w:rFonts w:ascii="Calibri" w:hAnsi="Calibri" w:cs="Arial"/>
                <w:sz w:val="20"/>
              </w:rPr>
              <w:lastRenderedPageBreak/>
              <w:t>Firms’ response appear similar to sanctions - Regret statements.</w:t>
            </w:r>
          </w:p>
          <w:p w14:paraId="6EAB74E9" w14:textId="77777777" w:rsidR="00384259" w:rsidRPr="00D343C7" w:rsidRDefault="00384259" w:rsidP="007C2D59">
            <w:pPr>
              <w:spacing w:after="200" w:line="480" w:lineRule="auto"/>
              <w:jc w:val="both"/>
              <w:rPr>
                <w:rFonts w:ascii="Calibri" w:hAnsi="Calibri" w:cs="Arial"/>
                <w:color w:val="00B050"/>
                <w:sz w:val="20"/>
              </w:rPr>
            </w:pPr>
            <w:r w:rsidRPr="00D343C7">
              <w:rPr>
                <w:rFonts w:ascii="Calibri" w:hAnsi="Calibri" w:cs="Arial"/>
                <w:color w:val="00B050"/>
                <w:sz w:val="20"/>
              </w:rPr>
              <w:t>(</w:t>
            </w:r>
            <w:r>
              <w:rPr>
                <w:rFonts w:ascii="Calibri" w:hAnsi="Calibri" w:cs="Arial"/>
                <w:color w:val="00B050"/>
                <w:sz w:val="20"/>
              </w:rPr>
              <w:t xml:space="preserve">Legitimacy as both a Product and </w:t>
            </w:r>
            <w:r w:rsidRPr="00D343C7">
              <w:rPr>
                <w:rFonts w:ascii="Calibri" w:hAnsi="Calibri" w:cs="Arial"/>
                <w:color w:val="00B050"/>
                <w:sz w:val="20"/>
              </w:rPr>
              <w:t>Process)</w:t>
            </w:r>
          </w:p>
          <w:p w14:paraId="42B0FD9D" w14:textId="77777777" w:rsidR="00384259" w:rsidRPr="002B5711" w:rsidRDefault="00384259" w:rsidP="007C2D59">
            <w:pPr>
              <w:spacing w:after="200" w:line="480" w:lineRule="auto"/>
              <w:jc w:val="both"/>
              <w:rPr>
                <w:rFonts w:ascii="Calibri" w:hAnsi="Calibri" w:cs="Arial"/>
                <w:b/>
                <w:sz w:val="20"/>
              </w:rPr>
            </w:pPr>
          </w:p>
        </w:tc>
        <w:tc>
          <w:tcPr>
            <w:tcW w:w="4253" w:type="dxa"/>
          </w:tcPr>
          <w:p w14:paraId="1AFE4A54" w14:textId="77777777" w:rsidR="00384259" w:rsidRPr="002B5711" w:rsidRDefault="00384259" w:rsidP="007C2D59">
            <w:pPr>
              <w:spacing w:after="200" w:line="480" w:lineRule="auto"/>
              <w:jc w:val="both"/>
              <w:rPr>
                <w:rFonts w:ascii="Calibri" w:hAnsi="Calibri" w:cs="Arial"/>
                <w:sz w:val="20"/>
              </w:rPr>
            </w:pPr>
            <w:r w:rsidRPr="002B5711">
              <w:rPr>
                <w:rFonts w:ascii="Calibri" w:hAnsi="Calibri" w:cs="Arial"/>
                <w:sz w:val="20"/>
              </w:rPr>
              <w:lastRenderedPageBreak/>
              <w:t xml:space="preserve">Firms respond with messages of culture improvements, and control/procedural improvements such as re training of staff and new leadership in accordance of new professional </w:t>
            </w:r>
            <w:r w:rsidRPr="002B5711">
              <w:rPr>
                <w:rFonts w:ascii="Calibri" w:hAnsi="Calibri" w:cs="Arial"/>
                <w:sz w:val="20"/>
              </w:rPr>
              <w:lastRenderedPageBreak/>
              <w:t>norms that reflect best practices</w:t>
            </w:r>
            <w:r>
              <w:rPr>
                <w:rFonts w:ascii="Calibri" w:hAnsi="Calibri" w:cs="Arial"/>
                <w:sz w:val="20"/>
              </w:rPr>
              <w:t xml:space="preserve"> </w:t>
            </w:r>
            <w:r w:rsidRPr="00D343C7">
              <w:rPr>
                <w:rFonts w:ascii="Calibri" w:hAnsi="Calibri" w:cs="Arial"/>
                <w:color w:val="00B050"/>
                <w:sz w:val="20"/>
              </w:rPr>
              <w:t>(</w:t>
            </w:r>
            <w:r>
              <w:rPr>
                <w:rFonts w:ascii="Calibri" w:hAnsi="Calibri" w:cs="Arial"/>
                <w:color w:val="00B050"/>
                <w:sz w:val="20"/>
              </w:rPr>
              <w:t xml:space="preserve">Legitimacy as a </w:t>
            </w:r>
            <w:r w:rsidRPr="00D343C7">
              <w:rPr>
                <w:rFonts w:ascii="Calibri" w:hAnsi="Calibri" w:cs="Arial"/>
                <w:color w:val="00B050"/>
                <w:sz w:val="20"/>
              </w:rPr>
              <w:t>Process)</w:t>
            </w:r>
          </w:p>
          <w:p w14:paraId="28762746" w14:textId="77777777" w:rsidR="00384259" w:rsidRPr="002B5711" w:rsidRDefault="00384259" w:rsidP="007C2D59">
            <w:pPr>
              <w:spacing w:after="200" w:line="480" w:lineRule="auto"/>
              <w:jc w:val="both"/>
              <w:rPr>
                <w:rFonts w:ascii="Calibri" w:hAnsi="Calibri" w:cs="Arial"/>
                <w:b/>
                <w:sz w:val="20"/>
              </w:rPr>
            </w:pPr>
          </w:p>
        </w:tc>
      </w:tr>
    </w:tbl>
    <w:p w14:paraId="7E458E30" w14:textId="77777777" w:rsidR="00384259" w:rsidRDefault="00384259" w:rsidP="00384259">
      <w:pPr>
        <w:spacing w:line="480" w:lineRule="auto"/>
      </w:pPr>
      <w:r>
        <w:rPr>
          <w:rFonts w:ascii="Calibri" w:eastAsia="SimSun" w:hAnsi="Calibri" w:cs="Arial"/>
        </w:rPr>
        <w:lastRenderedPageBreak/>
        <w:t>Source: Authors (2018</w:t>
      </w:r>
      <w:r w:rsidRPr="002B5711">
        <w:rPr>
          <w:rFonts w:ascii="Calibri" w:eastAsia="SimSun" w:hAnsi="Calibri" w:cs="Arial"/>
        </w:rPr>
        <w:t>) based on DiMaggio and Powell (1983)</w:t>
      </w:r>
      <w:r>
        <w:rPr>
          <w:rFonts w:ascii="Calibri" w:eastAsia="SimSun" w:hAnsi="Calibri" w:cs="Arial"/>
        </w:rPr>
        <w:t xml:space="preserve"> and </w:t>
      </w:r>
      <w:proofErr w:type="spellStart"/>
      <w:r>
        <w:rPr>
          <w:rFonts w:ascii="Calibri" w:eastAsia="SimSun" w:hAnsi="Calibri" w:cs="Arial"/>
        </w:rPr>
        <w:t>Suddaby</w:t>
      </w:r>
      <w:proofErr w:type="spellEnd"/>
      <w:r>
        <w:rPr>
          <w:rFonts w:ascii="Calibri" w:eastAsia="SimSun" w:hAnsi="Calibri" w:cs="Arial"/>
        </w:rPr>
        <w:t xml:space="preserve"> et al. (2017)</w:t>
      </w:r>
    </w:p>
    <w:p w14:paraId="4288B737" w14:textId="73A07BCD" w:rsidR="00384259" w:rsidRDefault="00384259">
      <w:r>
        <w:br w:type="page"/>
      </w:r>
    </w:p>
    <w:p w14:paraId="4451AA30" w14:textId="77777777" w:rsidR="00384259" w:rsidRDefault="00384259" w:rsidP="00384259">
      <w:pPr>
        <w:sectPr w:rsidR="00384259" w:rsidSect="00384259">
          <w:pgSz w:w="16838" w:h="11906" w:orient="landscape" w:code="9"/>
          <w:pgMar w:top="1440" w:right="1440" w:bottom="1440" w:left="1440" w:header="709" w:footer="709" w:gutter="0"/>
          <w:cols w:space="708"/>
          <w:docGrid w:linePitch="360"/>
        </w:sectPr>
      </w:pPr>
    </w:p>
    <w:p w14:paraId="6EBA69C5" w14:textId="10EF385B" w:rsidR="00384259" w:rsidRPr="00384259" w:rsidRDefault="00384259" w:rsidP="00384259"/>
    <w:p w14:paraId="01A12651" w14:textId="7E7EBFC8" w:rsidR="009E5907" w:rsidRPr="008F4B6A" w:rsidRDefault="009E5907" w:rsidP="00D82B0C">
      <w:pPr>
        <w:pStyle w:val="Heading2"/>
        <w:spacing w:line="480" w:lineRule="auto"/>
        <w:rPr>
          <w:color w:val="auto"/>
        </w:rPr>
      </w:pPr>
      <w:r w:rsidRPr="008F4B6A">
        <w:rPr>
          <w:color w:val="auto"/>
        </w:rPr>
        <w:t>A state of ‘Evolutionary Compliance’?</w:t>
      </w:r>
    </w:p>
    <w:p w14:paraId="3D51A64F" w14:textId="7F96F655" w:rsidR="009E5907" w:rsidRPr="008F4B6A" w:rsidRDefault="008D7E67" w:rsidP="00D82B0C">
      <w:pPr>
        <w:spacing w:line="480" w:lineRule="auto"/>
        <w:jc w:val="both"/>
      </w:pPr>
      <w:r w:rsidRPr="008F4B6A">
        <w:t>Underpinned</w:t>
      </w:r>
      <w:r w:rsidR="00475D62">
        <w:t xml:space="preserve"> by institutional theory (Scott</w:t>
      </w:r>
      <w:r w:rsidR="00817CAC">
        <w:t>,</w:t>
      </w:r>
      <w:r w:rsidR="00475D62">
        <w:t xml:space="preserve"> </w:t>
      </w:r>
      <w:r w:rsidRPr="008F4B6A">
        <w:t>2014), the overall finding of th</w:t>
      </w:r>
      <w:r w:rsidR="009E5907" w:rsidRPr="008F4B6A">
        <w:t xml:space="preserve">is </w:t>
      </w:r>
      <w:r w:rsidR="00EE626F" w:rsidRPr="008F4B6A">
        <w:t xml:space="preserve">study </w:t>
      </w:r>
      <w:r w:rsidRPr="008F4B6A">
        <w:t xml:space="preserve">can be summarised in </w:t>
      </w:r>
      <w:r w:rsidR="0054376E" w:rsidRPr="008F4B6A">
        <w:t>F</w:t>
      </w:r>
      <w:r w:rsidRPr="008F4B6A">
        <w:t>igure 3</w:t>
      </w:r>
      <w:r w:rsidR="003E625A" w:rsidRPr="008F4B6A">
        <w:t xml:space="preserve"> as a state of evolutionary compliance</w:t>
      </w:r>
      <w:r w:rsidRPr="008F4B6A">
        <w:t xml:space="preserve">. Here, </w:t>
      </w:r>
      <w:r w:rsidR="001D67FE" w:rsidRPr="008F4B6A">
        <w:t>the</w:t>
      </w:r>
      <w:r w:rsidR="009E5907" w:rsidRPr="008F4B6A">
        <w:t xml:space="preserve"> public face of the majority of </w:t>
      </w:r>
      <w:r w:rsidR="00DE5310" w:rsidRPr="008F4B6A">
        <w:t>violators</w:t>
      </w:r>
      <w:r w:rsidR="00BD5E24" w:rsidRPr="008F4B6A">
        <w:t>’</w:t>
      </w:r>
      <w:r w:rsidR="009E5907" w:rsidRPr="008F4B6A">
        <w:t xml:space="preserve"> websites did not reconcile fully with the concept of compliance culture indicated in Figure 1, issued by the FSA/FCA </w:t>
      </w:r>
      <w:r w:rsidR="004B315B" w:rsidRPr="008F4B6A">
        <w:t xml:space="preserve">as an </w:t>
      </w:r>
      <w:r w:rsidR="0054376E" w:rsidRPr="008F4B6A">
        <w:t xml:space="preserve">earlier </w:t>
      </w:r>
      <w:r w:rsidR="004B315B" w:rsidRPr="008F4B6A">
        <w:t xml:space="preserve">attempt to </w:t>
      </w:r>
      <w:r w:rsidR="009E5907" w:rsidRPr="008F4B6A">
        <w:t>promot</w:t>
      </w:r>
      <w:r w:rsidR="004B315B" w:rsidRPr="008F4B6A">
        <w:t xml:space="preserve">e </w:t>
      </w:r>
      <w:r w:rsidR="009E5907" w:rsidRPr="008F4B6A">
        <w:t>clear</w:t>
      </w:r>
      <w:r w:rsidR="004B315B" w:rsidRPr="008F4B6A">
        <w:t>er</w:t>
      </w:r>
      <w:r w:rsidR="009E5907" w:rsidRPr="008F4B6A">
        <w:t xml:space="preserve"> vision, transparency</w:t>
      </w:r>
      <w:r w:rsidR="00AC564A" w:rsidRPr="008F4B6A">
        <w:t>,</w:t>
      </w:r>
      <w:r w:rsidR="009E5907" w:rsidRPr="008F4B6A">
        <w:t xml:space="preserve"> and communication as </w:t>
      </w:r>
      <w:r w:rsidR="004B315B" w:rsidRPr="008F4B6A">
        <w:t xml:space="preserve">essential </w:t>
      </w:r>
      <w:r w:rsidR="009E5907" w:rsidRPr="008F4B6A">
        <w:t xml:space="preserve">attributes driving </w:t>
      </w:r>
      <w:r w:rsidR="004B315B" w:rsidRPr="008F4B6A">
        <w:t xml:space="preserve">compliance </w:t>
      </w:r>
      <w:r w:rsidR="009E5907" w:rsidRPr="008F4B6A">
        <w:t>culture within the firm. The compliance culture messages of the organisations selected within this review did not appear to be transparent or easily searchable within the companies’ public face – the companies’ webpage</w:t>
      </w:r>
      <w:r w:rsidR="0054376E" w:rsidRPr="008F4B6A">
        <w:t>s</w:t>
      </w:r>
      <w:r w:rsidR="009E5907" w:rsidRPr="008F4B6A">
        <w:t xml:space="preserve">. </w:t>
      </w:r>
      <w:r w:rsidR="00AC564A" w:rsidRPr="008F4B6A">
        <w:t>As presented in the findings, t</w:t>
      </w:r>
      <w:r w:rsidR="009E5907" w:rsidRPr="008F4B6A">
        <w:t>he majority of the firms have expressed regret statements, following regulatory sanctions, which is in line with stakeholder expectations. However, it may be arguable what they do regret – the original misdemeanours</w:t>
      </w:r>
      <w:r w:rsidR="0054376E" w:rsidRPr="008F4B6A">
        <w:t>,</w:t>
      </w:r>
      <w:r w:rsidR="009E5907" w:rsidRPr="008F4B6A">
        <w:t xml:space="preserve"> or getting caught</w:t>
      </w:r>
      <w:r w:rsidR="0054376E" w:rsidRPr="008F4B6A">
        <w:t>?</w:t>
      </w:r>
    </w:p>
    <w:p w14:paraId="58BC31A8" w14:textId="4D344E02" w:rsidR="00AC564A" w:rsidRPr="00106C0D" w:rsidRDefault="00AC564A" w:rsidP="00D82B0C">
      <w:pPr>
        <w:spacing w:line="480" w:lineRule="auto"/>
        <w:jc w:val="both"/>
        <w:rPr>
          <w:color w:val="FF0000"/>
        </w:rPr>
      </w:pPr>
      <w:r w:rsidRPr="008F4B6A">
        <w:t>It is difficult to gauge the compliance models adopted within the violating firms as the transparency of the compliance culture message is weak in all cases</w:t>
      </w:r>
      <w:r w:rsidR="0054376E" w:rsidRPr="008F4B6A">
        <w:t>,</w:t>
      </w:r>
      <w:r w:rsidRPr="008F4B6A">
        <w:t xml:space="preserve"> as evident from the extensive website review</w:t>
      </w:r>
      <w:r w:rsidR="00CD7F9B" w:rsidRPr="008F4B6A">
        <w:t xml:space="preserve"> and analysis</w:t>
      </w:r>
      <w:r w:rsidRPr="008F4B6A">
        <w:t xml:space="preserve">. However, given the regulators stance and fines imposed it may be assumed that the firms are all demonstrating negative attributes of compliance culture within their selected compliance function models. The actions of the selected violators are also argued to align more towards the coercive aspect of institutional theory, under the formal pressures exerted by the regulators. </w:t>
      </w:r>
      <w:r w:rsidR="003E625A" w:rsidRPr="008F4B6A">
        <w:t>Thus,</w:t>
      </w:r>
      <w:r w:rsidRPr="008F4B6A">
        <w:t xml:space="preserve"> they have acted </w:t>
      </w:r>
      <w:r w:rsidR="00D40315" w:rsidRPr="008F4B6A">
        <w:t>reactively</w:t>
      </w:r>
      <w:r w:rsidRPr="008F4B6A">
        <w:t>, issuing regret statements in response to the fine, rather than proactive</w:t>
      </w:r>
      <w:r w:rsidR="00D40315" w:rsidRPr="008F4B6A">
        <w:t>ly</w:t>
      </w:r>
      <w:r w:rsidRPr="008F4B6A">
        <w:t xml:space="preserve"> as a </w:t>
      </w:r>
      <w:r w:rsidR="00D40315" w:rsidRPr="008F4B6A">
        <w:t xml:space="preserve">measure of </w:t>
      </w:r>
      <w:r w:rsidRPr="008F4B6A">
        <w:t>self-regulatory controls.</w:t>
      </w:r>
      <w:r w:rsidR="000867FF">
        <w:t xml:space="preserve"> </w:t>
      </w:r>
    </w:p>
    <w:p w14:paraId="0C6B1433" w14:textId="7E02988D" w:rsidR="003854C7" w:rsidRPr="008F4B6A" w:rsidRDefault="00437480" w:rsidP="00D82B0C">
      <w:pPr>
        <w:spacing w:line="480" w:lineRule="auto"/>
        <w:jc w:val="both"/>
      </w:pPr>
      <w:r w:rsidRPr="008F4B6A">
        <w:t xml:space="preserve">As shown in </w:t>
      </w:r>
      <w:r w:rsidR="00CB0281" w:rsidRPr="008F4B6A">
        <w:t>F</w:t>
      </w:r>
      <w:r w:rsidR="003854C7" w:rsidRPr="008F4B6A">
        <w:t xml:space="preserve">igure </w:t>
      </w:r>
      <w:r w:rsidR="00A8548E" w:rsidRPr="008F4B6A">
        <w:t>3, the</w:t>
      </w:r>
      <w:r w:rsidR="003854C7" w:rsidRPr="008F4B6A">
        <w:t xml:space="preserve"> violating firms in the sector are in a state of</w:t>
      </w:r>
      <w:r w:rsidR="00196D17" w:rsidRPr="008F4B6A">
        <w:t xml:space="preserve"> cyclical</w:t>
      </w:r>
      <w:r w:rsidR="003854C7" w:rsidRPr="008F4B6A">
        <w:t xml:space="preserve"> ‘evolutionary compliance’ rather than the more widely recognised state of ‘compliance culture’. All firms within the sector are subject to </w:t>
      </w:r>
      <w:r w:rsidRPr="008F4B6A">
        <w:t xml:space="preserve">institutional pressures, </w:t>
      </w:r>
      <w:r w:rsidR="003854C7" w:rsidRPr="008F4B6A">
        <w:t xml:space="preserve">with coercive forces set by the tone of the regulator, and the wider media which represents public voice. </w:t>
      </w:r>
      <w:r w:rsidR="006946C1">
        <w:t xml:space="preserve">Indeed, there are similarities noted in the press releases of non-sanctioned firms to the sanctioned firms to align to normative pressure. </w:t>
      </w:r>
      <w:r w:rsidR="003854C7" w:rsidRPr="008F4B6A">
        <w:t xml:space="preserve">Evolutionary compliance is </w:t>
      </w:r>
      <w:r w:rsidR="003854C7" w:rsidRPr="008F4B6A">
        <w:lastRenderedPageBreak/>
        <w:t>heavily influenced by normative forces and the underlying theoretical literature base on compliance approach, which drives education and CPD within the profession. Finally, and most specifically identified in cases of non-compliance, mimetic forces are evident in the form of regret statements and structural reform, to restore legitimacy in the sector.</w:t>
      </w:r>
      <w:r w:rsidR="00196D17" w:rsidRPr="008F4B6A">
        <w:t xml:space="preserve"> Underpinning the model is an assumption that there is a dysfunctional culture within the industry due to competing economic motivations, which weakens evolutionary compliance through isomorphic change.</w:t>
      </w:r>
    </w:p>
    <w:p w14:paraId="02F29E68" w14:textId="0F2CD69D" w:rsidR="003854C7" w:rsidRPr="008F4B6A" w:rsidRDefault="003854C7" w:rsidP="00D82B0C">
      <w:pPr>
        <w:pStyle w:val="Caption"/>
        <w:spacing w:line="480" w:lineRule="auto"/>
        <w:rPr>
          <w:color w:val="auto"/>
        </w:rPr>
      </w:pPr>
      <w:r w:rsidRPr="008F4B6A">
        <w:rPr>
          <w:color w:val="auto"/>
        </w:rPr>
        <w:t xml:space="preserve">Figure </w:t>
      </w:r>
      <w:r w:rsidR="008D7E67" w:rsidRPr="008F4B6A">
        <w:rPr>
          <w:color w:val="auto"/>
        </w:rPr>
        <w:t xml:space="preserve">3 </w:t>
      </w:r>
      <w:r w:rsidRPr="008F4B6A">
        <w:rPr>
          <w:color w:val="auto"/>
        </w:rPr>
        <w:t>The interplay of coercive, mimetic and normative forces impacting evolutionary compliance</w:t>
      </w:r>
      <w:r w:rsidR="00C709B3" w:rsidRPr="008F4B6A">
        <w:rPr>
          <w:color w:val="auto"/>
        </w:rPr>
        <w:t>, offset by dysfunctional culture</w:t>
      </w:r>
      <w:r w:rsidRPr="008F4B6A">
        <w:rPr>
          <w:color w:val="auto"/>
        </w:rPr>
        <w:t xml:space="preserve"> in offending firms</w:t>
      </w:r>
    </w:p>
    <w:p w14:paraId="3D00EF88" w14:textId="6F302AB1" w:rsidR="00C709B3" w:rsidRPr="008F4B6A" w:rsidRDefault="00384259" w:rsidP="00D82B0C">
      <w:pPr>
        <w:spacing w:line="480" w:lineRule="auto"/>
      </w:pPr>
      <w:r w:rsidRPr="00722544">
        <w:rPr>
          <w:noProof/>
          <w:lang w:eastAsia="en-GB"/>
        </w:rPr>
        <w:drawing>
          <wp:inline distT="0" distB="0" distL="0" distR="0" wp14:anchorId="25E2C00A" wp14:editId="06EDFD4D">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3429479"/>
                    </a:xfrm>
                    <a:prstGeom prst="rect">
                      <a:avLst/>
                    </a:prstGeom>
                  </pic:spPr>
                </pic:pic>
              </a:graphicData>
            </a:graphic>
          </wp:inline>
        </w:drawing>
      </w:r>
    </w:p>
    <w:p w14:paraId="52D45F94" w14:textId="6025D7D7" w:rsidR="00AE3264" w:rsidRPr="008F4B6A" w:rsidRDefault="00AE3264" w:rsidP="00D82B0C">
      <w:pPr>
        <w:spacing w:line="480" w:lineRule="auto"/>
        <w:jc w:val="both"/>
      </w:pPr>
    </w:p>
    <w:p w14:paraId="0F858548" w14:textId="58FFCFD9" w:rsidR="00BA3CFF" w:rsidRDefault="006F30EB" w:rsidP="00D82B0C">
      <w:pPr>
        <w:spacing w:line="480" w:lineRule="auto"/>
        <w:jc w:val="both"/>
      </w:pPr>
      <w:r w:rsidRPr="008F4B6A">
        <w:t>In addition, th</w:t>
      </w:r>
      <w:r w:rsidR="001D21D7" w:rsidRPr="008F4B6A">
        <w:t>e perceived actions of violators cannot be linked to any one model</w:t>
      </w:r>
      <w:r w:rsidRPr="008F4B6A">
        <w:t xml:space="preserve"> of compliance behaviour which indicates a divide between the academic literature and the world of practice.</w:t>
      </w:r>
      <w:r w:rsidR="00FF0137" w:rsidRPr="008F4B6A">
        <w:t xml:space="preserve"> </w:t>
      </w:r>
      <w:r w:rsidR="007C60A6" w:rsidRPr="008F4B6A">
        <w:t>Discrete and polar actions are often described in academic models</w:t>
      </w:r>
      <w:r w:rsidR="00BA3CFF" w:rsidRPr="008F4B6A">
        <w:t xml:space="preserve"> which were discussed in the earlier literature review</w:t>
      </w:r>
      <w:r w:rsidR="007C60A6" w:rsidRPr="008F4B6A">
        <w:t xml:space="preserve"> </w:t>
      </w:r>
      <w:r w:rsidR="004C6653" w:rsidRPr="008F4B6A">
        <w:t>on anti and pro compliance (</w:t>
      </w:r>
      <w:r w:rsidR="001D21D7" w:rsidRPr="008F4B6A">
        <w:t>Jenkin</w:t>
      </w:r>
      <w:r w:rsidR="00BA5955" w:rsidRPr="008F4B6A">
        <w:t>s</w:t>
      </w:r>
      <w:r w:rsidR="001D21D7" w:rsidRPr="008F4B6A">
        <w:t>on</w:t>
      </w:r>
      <w:r w:rsidR="00817CAC">
        <w:t>,</w:t>
      </w:r>
      <w:r w:rsidR="00414A1A">
        <w:t xml:space="preserve"> </w:t>
      </w:r>
      <w:r w:rsidR="00BA3CFF" w:rsidRPr="008F4B6A">
        <w:t>1996)</w:t>
      </w:r>
      <w:r w:rsidR="001D21D7" w:rsidRPr="008F4B6A">
        <w:t xml:space="preserve">; </w:t>
      </w:r>
      <w:r w:rsidR="004C6653" w:rsidRPr="008F4B6A">
        <w:t>partnership with the regulator (or lack of partnership?) (</w:t>
      </w:r>
      <w:r w:rsidR="00414A1A">
        <w:t>Edwards and Wolfe</w:t>
      </w:r>
      <w:r w:rsidR="00817CAC">
        <w:t>,</w:t>
      </w:r>
      <w:r w:rsidR="004C6653" w:rsidRPr="008F4B6A">
        <w:t xml:space="preserve"> 2</w:t>
      </w:r>
      <w:r w:rsidR="00BA3CFF" w:rsidRPr="008F4B6A">
        <w:t>00</w:t>
      </w:r>
      <w:r w:rsidR="00CB0281" w:rsidRPr="008F4B6A">
        <w:t>4</w:t>
      </w:r>
      <w:r w:rsidR="00BA3CFF" w:rsidRPr="008F4B6A">
        <w:t>)</w:t>
      </w:r>
      <w:r w:rsidR="001D21D7" w:rsidRPr="008F4B6A">
        <w:t xml:space="preserve">; </w:t>
      </w:r>
      <w:r w:rsidR="004C6653" w:rsidRPr="008F4B6A">
        <w:t xml:space="preserve">two visions of ‘rational profit </w:t>
      </w:r>
      <w:proofErr w:type="spellStart"/>
      <w:r w:rsidR="004C6653" w:rsidRPr="008F4B6A">
        <w:t>maximisers’</w:t>
      </w:r>
      <w:proofErr w:type="spellEnd"/>
      <w:r w:rsidR="004C6653" w:rsidRPr="008F4B6A">
        <w:t xml:space="preserve"> and ‘law </w:t>
      </w:r>
      <w:r w:rsidR="004C6653" w:rsidRPr="008F4B6A">
        <w:lastRenderedPageBreak/>
        <w:t>abiding actors (</w:t>
      </w:r>
      <w:r w:rsidR="001D21D7" w:rsidRPr="008F4B6A">
        <w:t>Malloy</w:t>
      </w:r>
      <w:r w:rsidR="00817CAC">
        <w:t>,</w:t>
      </w:r>
      <w:r w:rsidR="004C6653" w:rsidRPr="008F4B6A">
        <w:t xml:space="preserve"> </w:t>
      </w:r>
      <w:r w:rsidR="00BA3CFF" w:rsidRPr="008F4B6A">
        <w:t>2003</w:t>
      </w:r>
      <w:r w:rsidR="00367423" w:rsidRPr="008F4B6A">
        <w:t>); and</w:t>
      </w:r>
      <w:r w:rsidR="004C6653" w:rsidRPr="008F4B6A">
        <w:t xml:space="preserve"> economic, social and normative’ models (</w:t>
      </w:r>
      <w:r w:rsidR="00403BB3" w:rsidRPr="008F4B6A">
        <w:t>Nielson and Parker</w:t>
      </w:r>
      <w:r w:rsidR="00817CAC">
        <w:t>,</w:t>
      </w:r>
      <w:r w:rsidR="004C6653" w:rsidRPr="008F4B6A">
        <w:t xml:space="preserve"> </w:t>
      </w:r>
      <w:r w:rsidR="00BA3CFF" w:rsidRPr="008F4B6A">
        <w:t>2012)</w:t>
      </w:r>
      <w:r w:rsidR="004C6653" w:rsidRPr="008F4B6A">
        <w:t>.</w:t>
      </w:r>
      <w:r w:rsidR="00BA3CFF" w:rsidRPr="008F4B6A">
        <w:t xml:space="preserve"> </w:t>
      </w:r>
      <w:r w:rsidR="00DC3340" w:rsidRPr="008F4B6A">
        <w:t xml:space="preserve">This leads to </w:t>
      </w:r>
      <w:r w:rsidR="002A4644" w:rsidRPr="008F4B6A">
        <w:t xml:space="preserve">a </w:t>
      </w:r>
      <w:r w:rsidR="00DC3340" w:rsidRPr="008F4B6A">
        <w:t xml:space="preserve">complexity in normative forces and </w:t>
      </w:r>
      <w:r w:rsidR="002A4644" w:rsidRPr="008F4B6A">
        <w:t>consequent firm responses,</w:t>
      </w:r>
      <w:r w:rsidR="002B5026" w:rsidRPr="008F4B6A">
        <w:t xml:space="preserve"> due to regulatory </w:t>
      </w:r>
      <w:r w:rsidR="00DC3340" w:rsidRPr="008F4B6A">
        <w:t xml:space="preserve">uncertainty </w:t>
      </w:r>
      <w:r w:rsidR="002B5026" w:rsidRPr="008F4B6A">
        <w:t xml:space="preserve">and thus definition of what is </w:t>
      </w:r>
      <w:r w:rsidR="00DC3340" w:rsidRPr="008F4B6A">
        <w:t>the compliance ‘best practice’ and education</w:t>
      </w:r>
      <w:r w:rsidR="002B5026" w:rsidRPr="008F4B6A">
        <w:t>. Moreover, t</w:t>
      </w:r>
      <w:r w:rsidR="00DC3340" w:rsidRPr="008F4B6A">
        <w:t xml:space="preserve">here is </w:t>
      </w:r>
      <w:r w:rsidR="002B5026" w:rsidRPr="008F4B6A">
        <w:t xml:space="preserve">a </w:t>
      </w:r>
      <w:r w:rsidR="00DC3340" w:rsidRPr="008F4B6A">
        <w:t xml:space="preserve">complexity </w:t>
      </w:r>
      <w:r w:rsidR="002B5026" w:rsidRPr="008F4B6A">
        <w:t>created by r</w:t>
      </w:r>
      <w:r w:rsidR="00DC3340" w:rsidRPr="008F4B6A">
        <w:t>egulatory flux, whereby the regulatory landscape is constantly evolving and as such this can lead to weakness of mimetic forces, as firms are uncertain who and what to follow in terms of ‘compliance culture’.</w:t>
      </w:r>
    </w:p>
    <w:p w14:paraId="3C2FCFBF" w14:textId="0A63B2A6" w:rsidR="002C740F" w:rsidRDefault="002C740F" w:rsidP="00D82B0C">
      <w:pPr>
        <w:spacing w:line="480" w:lineRule="auto"/>
        <w:jc w:val="both"/>
      </w:pPr>
      <w:bookmarkStart w:id="4" w:name="_Hlk507266910"/>
      <w:r w:rsidRPr="002C740F">
        <w:t>The significant theoretical contribution of this paper is to present the model for evolutionary compliance. This interlinks to underpinning</w:t>
      </w:r>
      <w:r w:rsidR="00817CAC">
        <w:t>s</w:t>
      </w:r>
      <w:r w:rsidRPr="002C740F">
        <w:t xml:space="preserve"> of institutional theory by highlighting the alignment of the regulatory pendulum, and thus the cyclical emphasis of isomorphic forces. </w:t>
      </w:r>
      <w:r w:rsidR="00BC0B21" w:rsidRPr="002C740F">
        <w:t>Thus,</w:t>
      </w:r>
      <w:r w:rsidRPr="002C740F">
        <w:t xml:space="preserve"> it can be observed in the case of the regulator, even in the period under review there has been a changeover from emphasis on coercive style of regulator (with significant fines issued following the financial crisis), to </w:t>
      </w:r>
      <w:r w:rsidR="00326E24">
        <w:t xml:space="preserve">an </w:t>
      </w:r>
      <w:r w:rsidRPr="002C740F">
        <w:t>emphasis on normative pressures on firms in recent years. The regulator themselves highlight the point in the</w:t>
      </w:r>
      <w:r>
        <w:t>ir</w:t>
      </w:r>
      <w:r w:rsidRPr="002C740F">
        <w:t xml:space="preserve"> annual rep</w:t>
      </w:r>
      <w:r w:rsidR="00DB7096">
        <w:t>ort 2015/16 whereby:</w:t>
      </w:r>
    </w:p>
    <w:p w14:paraId="38D25B96" w14:textId="2C59F405" w:rsidR="002C740F" w:rsidRDefault="002C740F" w:rsidP="00A2298B">
      <w:pPr>
        <w:spacing w:line="480" w:lineRule="auto"/>
        <w:ind w:left="720"/>
        <w:jc w:val="both"/>
      </w:pPr>
      <w:r w:rsidRPr="002C740F">
        <w:t xml:space="preserve">“Regulatory arbitrage, at least in the conduct arena, is a game no longer worth playing […] to give credit where it is due, much of this is the result of firms’ efforts to improve their business models and culture to meet our expectations” </w:t>
      </w:r>
      <w:r>
        <w:t xml:space="preserve">FCA Annual Report, 2015/16, </w:t>
      </w:r>
      <w:r w:rsidRPr="002C740F">
        <w:t>p.6</w:t>
      </w:r>
    </w:p>
    <w:p w14:paraId="11F3356B" w14:textId="41D54685" w:rsidR="00FA1F0A" w:rsidRPr="000D344D" w:rsidRDefault="00E610BD" w:rsidP="00EA0710">
      <w:pPr>
        <w:spacing w:line="480" w:lineRule="auto"/>
        <w:jc w:val="both"/>
      </w:pPr>
      <w:r w:rsidRPr="00817CAC">
        <w:t>We must mention here that the change in the regulatory approach has marked a change in the legitimation process from mainly being driven by legitimacy achieved through the coercive pressures of legally sanctioned rules to a more collaborative dynamic le</w:t>
      </w:r>
      <w:r w:rsidR="00AC76FD">
        <w:t>gitimation process (</w:t>
      </w:r>
      <w:proofErr w:type="spellStart"/>
      <w:r w:rsidR="00AC76FD">
        <w:t>Suddaby</w:t>
      </w:r>
      <w:proofErr w:type="spellEnd"/>
      <w:r w:rsidR="00AC76FD">
        <w:t xml:space="preserve"> et </w:t>
      </w:r>
      <w:r w:rsidRPr="00817CAC">
        <w:t>al. 2017). Here, legitimacy is more process oriented and outcome focused</w:t>
      </w:r>
      <w:r w:rsidR="00817CAC" w:rsidRPr="00817CAC">
        <w:t>,</w:t>
      </w:r>
      <w:r w:rsidRPr="00817CAC">
        <w:t xml:space="preserve"> </w:t>
      </w:r>
      <w:r w:rsidR="00817CAC" w:rsidRPr="00817CAC">
        <w:t>in comparison</w:t>
      </w:r>
      <w:r w:rsidRPr="00817CAC">
        <w:t xml:space="preserve"> to being outcome focused</w:t>
      </w:r>
      <w:r w:rsidR="002D1440" w:rsidRPr="00817CAC">
        <w:t xml:space="preserve"> only under</w:t>
      </w:r>
      <w:r w:rsidRPr="00817CAC">
        <w:t xml:space="preserve"> the older regulatory approach.  </w:t>
      </w:r>
      <w:r w:rsidR="002D1440" w:rsidRPr="00817CAC">
        <w:t>This means that</w:t>
      </w:r>
      <w:r w:rsidRPr="00817CAC">
        <w:t xml:space="preserve"> </w:t>
      </w:r>
      <w:r w:rsidR="00BB3024" w:rsidRPr="00817CAC">
        <w:t xml:space="preserve">the definition of </w:t>
      </w:r>
      <w:r w:rsidRPr="00817CAC">
        <w:t xml:space="preserve">legitimacy </w:t>
      </w:r>
      <w:r w:rsidR="00BB3024" w:rsidRPr="00817CAC">
        <w:t xml:space="preserve">and the process to achieve </w:t>
      </w:r>
      <w:r w:rsidR="002D1440" w:rsidRPr="00817CAC">
        <w:t>is now more</w:t>
      </w:r>
      <w:r w:rsidR="00BB3024" w:rsidRPr="00817CAC">
        <w:t xml:space="preserve"> </w:t>
      </w:r>
      <w:r w:rsidRPr="00817CAC">
        <w:t xml:space="preserve">dynamic and </w:t>
      </w:r>
      <w:r w:rsidR="00BB3024" w:rsidRPr="00817CAC">
        <w:t xml:space="preserve">interactive. </w:t>
      </w:r>
      <w:r w:rsidR="002D1440" w:rsidRPr="00FA1F0A">
        <w:t xml:space="preserve">This interactive process of collaboration between the regulator and both non-complying and complying firms is evident in the data analysed in this paper (and directly in the quote above from the FCA’s annual report). </w:t>
      </w:r>
      <w:r w:rsidR="00FA1F0A" w:rsidRPr="00FA1F0A">
        <w:t xml:space="preserve">The current regulatory and </w:t>
      </w:r>
      <w:r w:rsidR="00FA1F0A" w:rsidRPr="00FA1F0A">
        <w:lastRenderedPageBreak/>
        <w:t xml:space="preserve">firm approach to compliance culture is reliant on an agenda of transparent communication between the multiple actors within the sector. As evidenced in the evolutionary compliance model, the balance of the isomorphic forces </w:t>
      </w:r>
      <w:r w:rsidR="00635F32">
        <w:t>has changed</w:t>
      </w:r>
      <w:r w:rsidR="00FA1F0A" w:rsidRPr="00FA1F0A">
        <w:t xml:space="preserve"> over time, and this interlinks directly with the resulting </w:t>
      </w:r>
      <w:r w:rsidR="00635F32">
        <w:t xml:space="preserve">flux in the </w:t>
      </w:r>
      <w:r w:rsidR="00FA1F0A" w:rsidRPr="00FA1F0A">
        <w:t>concept of legitimacy within the sector.</w:t>
      </w:r>
      <w:r w:rsidR="001A0CF0" w:rsidRPr="001A0CF0">
        <w:t xml:space="preserve"> </w:t>
      </w:r>
      <w:r w:rsidR="001A0CF0">
        <w:t xml:space="preserve">Thus, </w:t>
      </w:r>
      <w:r w:rsidR="001A0CF0" w:rsidRPr="00817CAC">
        <w:t xml:space="preserve">out of the three institutional pressures discussed, normative and </w:t>
      </w:r>
      <w:r w:rsidR="00914AB6">
        <w:t>mimetic</w:t>
      </w:r>
      <w:r w:rsidR="001A0CF0" w:rsidRPr="00817CAC">
        <w:t xml:space="preserve"> pressures are gaining higher prominence in the evolutionary compliance culture, while the coercion is relegated.</w:t>
      </w:r>
      <w:r w:rsidR="0005596F">
        <w:t xml:space="preserve"> </w:t>
      </w:r>
      <w:r w:rsidR="0049703E">
        <w:t xml:space="preserve"> </w:t>
      </w:r>
      <w:r w:rsidR="0005596F">
        <w:t xml:space="preserve">Of note, here that the change in the </w:t>
      </w:r>
      <w:r w:rsidR="0005596F" w:rsidRPr="000D344D">
        <w:t xml:space="preserve">legitimation process has an important implication on enhancing a substantive change in the policies and practices of financial institutions. As </w:t>
      </w:r>
      <w:proofErr w:type="spellStart"/>
      <w:r w:rsidR="0005596F" w:rsidRPr="000D344D">
        <w:t>Westphal</w:t>
      </w:r>
      <w:proofErr w:type="spellEnd"/>
      <w:r w:rsidR="0005596F" w:rsidRPr="000D344D">
        <w:t xml:space="preserve"> and </w:t>
      </w:r>
      <w:proofErr w:type="spellStart"/>
      <w:r w:rsidR="0005596F" w:rsidRPr="000D344D">
        <w:t>Zajac</w:t>
      </w:r>
      <w:proofErr w:type="spellEnd"/>
      <w:r w:rsidR="0005596F" w:rsidRPr="000D344D">
        <w:t xml:space="preserve"> (1994) indicated that firms can  </w:t>
      </w:r>
      <w:r w:rsidR="00B7708E" w:rsidRPr="000D344D">
        <w:t xml:space="preserve"> take “an action that is partly or even largely symbolic, representing a possible decoupling of actual... practices from formal arrangements” (P.</w:t>
      </w:r>
      <w:r w:rsidR="000D344D">
        <w:t xml:space="preserve"> </w:t>
      </w:r>
      <w:r w:rsidR="00B7708E" w:rsidRPr="000D344D">
        <w:t>367)</w:t>
      </w:r>
      <w:r w:rsidR="006B2B46" w:rsidRPr="000D344D">
        <w:t>. In the context of this paper, this would simply</w:t>
      </w:r>
      <w:r w:rsidR="000D344D">
        <w:t xml:space="preserve"> mean that regret statements do</w:t>
      </w:r>
      <w:r w:rsidR="006B2B46" w:rsidRPr="000D344D">
        <w:t xml:space="preserve"> not constitute</w:t>
      </w:r>
      <w:r w:rsidR="000D344D">
        <w:t xml:space="preserve"> any</w:t>
      </w:r>
      <w:r w:rsidR="006B2B46" w:rsidRPr="000D344D">
        <w:t xml:space="preserve"> real</w:t>
      </w:r>
      <w:r w:rsidR="00EA0710">
        <w:t xml:space="preserve"> changes in practices, but only</w:t>
      </w:r>
      <w:r w:rsidR="000D344D">
        <w:t xml:space="preserve"> represent </w:t>
      </w:r>
      <w:r w:rsidR="006B2B46" w:rsidRPr="000D344D">
        <w:t>a symbolic statement that attempts to manipulate the reader. This could be possible if legitimacy is regulatory driven and firms can issue statements with the aim to ‘tick-the-box’, however, with a more process orientated, d</w:t>
      </w:r>
      <w:r w:rsidR="000D344D">
        <w:t xml:space="preserve">ynamic, and outcome orientated </w:t>
      </w:r>
      <w:r w:rsidR="006B2B46" w:rsidRPr="000D344D">
        <w:t>legitimation, decoupling becomes, tougher than ever.</w:t>
      </w:r>
    </w:p>
    <w:p w14:paraId="6BF0A91A" w14:textId="087D2AA5" w:rsidR="00152B60" w:rsidRPr="005375BC" w:rsidRDefault="00152B60" w:rsidP="005375BC">
      <w:pPr>
        <w:pStyle w:val="Heading2"/>
        <w:spacing w:line="480" w:lineRule="auto"/>
        <w:rPr>
          <w:color w:val="auto"/>
        </w:rPr>
      </w:pPr>
      <w:r w:rsidRPr="005375BC">
        <w:rPr>
          <w:color w:val="auto"/>
        </w:rPr>
        <w:t>Next Steps – embracing a ‘holistic’ approach to compliance</w:t>
      </w:r>
    </w:p>
    <w:p w14:paraId="1D453A83" w14:textId="1FD95FC4" w:rsidR="00152B60" w:rsidRDefault="0063067D" w:rsidP="00EA0710">
      <w:pPr>
        <w:spacing w:line="480" w:lineRule="auto"/>
        <w:jc w:val="both"/>
      </w:pPr>
      <w:r w:rsidRPr="000D344D">
        <w:t>The paper argues for a holistic approach for compliance, defining holistic whereby key actors have to work together cooperatively to achieve progress regarding compliance. More specifically, compliance officers have to work closely with regulators, internally within the firm and also externally with other firms within the sectors to make this happen</w:t>
      </w:r>
      <w:r w:rsidR="00790B2E" w:rsidRPr="000D344D">
        <w:t>. The need for</w:t>
      </w:r>
      <w:r w:rsidRPr="000D344D">
        <w:t xml:space="preserve"> this holistic approach </w:t>
      </w:r>
      <w:r w:rsidR="00790B2E" w:rsidRPr="000D344D">
        <w:t>links</w:t>
      </w:r>
      <w:r w:rsidRPr="000D344D">
        <w:t xml:space="preserve"> to the change in the legitimation process, which is now outcome focus</w:t>
      </w:r>
      <w:r w:rsidR="00790B2E" w:rsidRPr="000D344D">
        <w:t>s</w:t>
      </w:r>
      <w:r w:rsidRPr="000D344D">
        <w:t xml:space="preserve">ed and requires collaboration between firms and the regulator. It is also holistic, </w:t>
      </w:r>
      <w:r w:rsidR="00790B2E" w:rsidRPr="000D344D">
        <w:t>as the</w:t>
      </w:r>
      <w:r w:rsidRPr="000D344D">
        <w:t xml:space="preserve"> identification of the objectives of compliance</w:t>
      </w:r>
      <w:r w:rsidR="00790B2E" w:rsidRPr="000D344D">
        <w:t xml:space="preserve"> is related to</w:t>
      </w:r>
      <w:r w:rsidRPr="000D344D">
        <w:t xml:space="preserve"> a wide range of stakeholders’ interests</w:t>
      </w:r>
      <w:r w:rsidR="00790B2E" w:rsidRPr="000D344D">
        <w:t>, which should be considered and embedded</w:t>
      </w:r>
      <w:r w:rsidRPr="000D344D">
        <w:t xml:space="preserve">.   </w:t>
      </w:r>
      <w:r w:rsidR="00790B2E" w:rsidRPr="000D344D">
        <w:t xml:space="preserve">As </w:t>
      </w:r>
      <w:r w:rsidR="00790B2E">
        <w:t>such, the</w:t>
      </w:r>
      <w:r w:rsidR="00152B60">
        <w:t xml:space="preserve"> model of evolutionary compliance</w:t>
      </w:r>
      <w:r w:rsidR="00790B2E">
        <w:t xml:space="preserve"> implicitly implies</w:t>
      </w:r>
      <w:r w:rsidR="00152B60">
        <w:t xml:space="preserve"> </w:t>
      </w:r>
      <w:r w:rsidR="00790B2E">
        <w:t xml:space="preserve">that </w:t>
      </w:r>
      <w:r w:rsidR="00152B60">
        <w:t>within</w:t>
      </w:r>
      <w:r w:rsidR="00790B2E">
        <w:t xml:space="preserve"> the</w:t>
      </w:r>
      <w:r w:rsidR="00152B60">
        <w:t xml:space="preserve"> real world financial services the concept of a holistic approach</w:t>
      </w:r>
      <w:r w:rsidR="00790B2E">
        <w:t xml:space="preserve"> towards regulatory compliance</w:t>
      </w:r>
      <w:r w:rsidR="00152B60">
        <w:t xml:space="preserve"> </w:t>
      </w:r>
      <w:r w:rsidR="00790B2E">
        <w:t xml:space="preserve">is </w:t>
      </w:r>
      <w:r w:rsidR="00152B60">
        <w:t xml:space="preserve">adopted by </w:t>
      </w:r>
      <w:r w:rsidR="00790B2E">
        <w:t>all relevant actors in order to move</w:t>
      </w:r>
      <w:r w:rsidR="00152B60">
        <w:t xml:space="preserve"> towards compliance culture. Those that fail to adopt the spirit of regulation, and fail to understand </w:t>
      </w:r>
      <w:r w:rsidR="00152B60">
        <w:lastRenderedPageBreak/>
        <w:t>the wider implication of their compliance approach on the wider sector will inevitably fail within the evolutionary cycle.</w:t>
      </w:r>
    </w:p>
    <w:p w14:paraId="11B4FF26" w14:textId="77777777" w:rsidR="00152B60" w:rsidRPr="00152B60" w:rsidRDefault="00152B60" w:rsidP="00106C0D">
      <w:pPr>
        <w:spacing w:line="480" w:lineRule="auto"/>
      </w:pPr>
    </w:p>
    <w:bookmarkEnd w:id="4"/>
    <w:p w14:paraId="441A5D73" w14:textId="520E58D9" w:rsidR="003B1C91" w:rsidRPr="008F4B6A" w:rsidRDefault="0019501A" w:rsidP="00D82B0C">
      <w:pPr>
        <w:pStyle w:val="Heading2"/>
        <w:spacing w:line="480" w:lineRule="auto"/>
        <w:rPr>
          <w:color w:val="auto"/>
        </w:rPr>
      </w:pPr>
      <w:r w:rsidRPr="008F4B6A">
        <w:rPr>
          <w:color w:val="auto"/>
        </w:rPr>
        <w:t>Conclusion</w:t>
      </w:r>
      <w:r w:rsidR="00B538ED" w:rsidRPr="008F4B6A">
        <w:rPr>
          <w:color w:val="auto"/>
        </w:rPr>
        <w:t>, limitations and future research</w:t>
      </w:r>
    </w:p>
    <w:p w14:paraId="304FA466" w14:textId="77777777" w:rsidR="00AC76FD" w:rsidRDefault="004A75D4" w:rsidP="00D82B0C">
      <w:pPr>
        <w:spacing w:line="480" w:lineRule="auto"/>
        <w:jc w:val="both"/>
      </w:pPr>
      <w:r w:rsidRPr="00414A1A">
        <w:t>Th</w:t>
      </w:r>
      <w:r w:rsidR="00714826" w:rsidRPr="00414A1A">
        <w:t>is</w:t>
      </w:r>
      <w:r w:rsidRPr="00414A1A">
        <w:t xml:space="preserve"> study </w:t>
      </w:r>
      <w:r w:rsidRPr="008F4B6A">
        <w:t xml:space="preserve">shows that there is a </w:t>
      </w:r>
      <w:bookmarkStart w:id="5" w:name="_Hlk507243720"/>
      <w:r w:rsidRPr="008F4B6A">
        <w:t xml:space="preserve">state of evolutionary compliance culture </w:t>
      </w:r>
      <w:r w:rsidR="003E7961" w:rsidRPr="008F4B6A">
        <w:t>fuelled by three institutional pressures</w:t>
      </w:r>
      <w:bookmarkEnd w:id="5"/>
      <w:r w:rsidR="003E7961" w:rsidRPr="008F4B6A">
        <w:t xml:space="preserve">. </w:t>
      </w:r>
      <w:r w:rsidR="008C16B6" w:rsidRPr="008F4B6A">
        <w:t xml:space="preserve">Firstly, the study shows that </w:t>
      </w:r>
      <w:bookmarkStart w:id="6" w:name="_Hlk507243740"/>
      <w:r w:rsidR="008C16B6" w:rsidRPr="008F4B6A">
        <w:t>coercive isomorphism has impacted the sector in the reviewed period.</w:t>
      </w:r>
      <w:bookmarkEnd w:id="6"/>
      <w:r w:rsidR="008C16B6" w:rsidRPr="008F4B6A">
        <w:t xml:space="preserve"> Whereby the regulator has issued fines as well as messages of culture deficiencies and shortfalls in expectations. This has coerced the violating companies to respond by issuing similar messages of regret and structural changes regarding moving towards a complain culture promoted by the regulator. On a related note, in some cases, we have observed that the issue of fines by the regulator, and resulting communication seems to be not completely effective, as still some individual </w:t>
      </w:r>
      <w:r w:rsidR="0081173C" w:rsidRPr="008F4B6A">
        <w:t>firms</w:t>
      </w:r>
      <w:r w:rsidR="0081173C">
        <w:t xml:space="preserve"> </w:t>
      </w:r>
      <w:r w:rsidR="0081173C" w:rsidRPr="008F4B6A">
        <w:t>have</w:t>
      </w:r>
      <w:r w:rsidR="008C16B6" w:rsidRPr="008F4B6A">
        <w:t xml:space="preserve"> </w:t>
      </w:r>
      <w:r w:rsidR="00714826" w:rsidRPr="00414A1A">
        <w:t xml:space="preserve">not </w:t>
      </w:r>
      <w:r w:rsidR="008C16B6" w:rsidRPr="00414A1A">
        <w:t>r</w:t>
      </w:r>
      <w:r w:rsidR="008C16B6" w:rsidRPr="008F4B6A">
        <w:t>esponded to coercion by the regulator. This c</w:t>
      </w:r>
      <w:r w:rsidR="0054376E" w:rsidRPr="008F4B6A">
        <w:t>ould</w:t>
      </w:r>
      <w:r w:rsidR="008C16B6" w:rsidRPr="008F4B6A">
        <w:t xml:space="preserve"> be </w:t>
      </w:r>
      <w:r w:rsidR="0054376E" w:rsidRPr="008F4B6A">
        <w:t>attributed</w:t>
      </w:r>
      <w:r w:rsidR="008C16B6" w:rsidRPr="008F4B6A">
        <w:t xml:space="preserve"> to</w:t>
      </w:r>
      <w:r w:rsidR="0054376E" w:rsidRPr="008F4B6A">
        <w:t xml:space="preserve"> firms acting in a profit maximising capacity, with economic motivations outperforming the coercive, mimetic and normative pressures</w:t>
      </w:r>
      <w:r w:rsidR="005D1963">
        <w:t xml:space="preserve">. This could be </w:t>
      </w:r>
      <w:r w:rsidR="0054376E" w:rsidRPr="00414A1A">
        <w:t>li</w:t>
      </w:r>
      <w:r w:rsidR="0081173C" w:rsidRPr="00414A1A">
        <w:t>n</w:t>
      </w:r>
      <w:r w:rsidR="0054376E" w:rsidRPr="00414A1A">
        <w:t>ke</w:t>
      </w:r>
      <w:r w:rsidR="0081173C" w:rsidRPr="00414A1A">
        <w:t>d</w:t>
      </w:r>
      <w:r w:rsidR="0054376E" w:rsidRPr="00414A1A">
        <w:t xml:space="preserve"> in this </w:t>
      </w:r>
      <w:r w:rsidR="0054376E" w:rsidRPr="008F4B6A">
        <w:t>study, to the concept of the deterr</w:t>
      </w:r>
      <w:r w:rsidR="00997AD4" w:rsidRPr="008F4B6A">
        <w:t>ence t</w:t>
      </w:r>
      <w:r w:rsidR="005D1963">
        <w:t>rap introduced by Parker (2006)</w:t>
      </w:r>
      <w:r w:rsidR="00AC76FD">
        <w:t>,</w:t>
      </w:r>
      <w:r w:rsidR="005D1963">
        <w:t xml:space="preserve"> </w:t>
      </w:r>
      <w:r w:rsidR="005D1963" w:rsidRPr="00AC76FD">
        <w:t xml:space="preserve">or simply that this minority of firms have chosen to respond </w:t>
      </w:r>
      <w:r w:rsidR="003301A4" w:rsidRPr="00AC76FD">
        <w:t>differently and</w:t>
      </w:r>
      <w:r w:rsidR="005D1963" w:rsidRPr="00AC76FD">
        <w:t xml:space="preserve"> follow a defiance</w:t>
      </w:r>
      <w:r w:rsidR="00450A0D" w:rsidRPr="00AC76FD">
        <w:t xml:space="preserve"> or denial strategy</w:t>
      </w:r>
      <w:r w:rsidR="005D1963" w:rsidRPr="00AC76FD">
        <w:t xml:space="preserve"> (</w:t>
      </w:r>
      <w:proofErr w:type="spellStart"/>
      <w:r w:rsidR="005D1963" w:rsidRPr="00AC76FD">
        <w:t>Lamin</w:t>
      </w:r>
      <w:proofErr w:type="spellEnd"/>
      <w:r w:rsidR="005D1963" w:rsidRPr="00AC76FD">
        <w:t xml:space="preserve"> and </w:t>
      </w:r>
      <w:proofErr w:type="spellStart"/>
      <w:r w:rsidR="005D1963" w:rsidRPr="00AC76FD">
        <w:t>Zaheer</w:t>
      </w:r>
      <w:proofErr w:type="spellEnd"/>
      <w:r w:rsidR="003301A4" w:rsidRPr="00AC76FD">
        <w:t>, 2012</w:t>
      </w:r>
      <w:r w:rsidR="005D1963" w:rsidRPr="00AC76FD">
        <w:t>)</w:t>
      </w:r>
      <w:r w:rsidR="00AC76FD" w:rsidRPr="00AC76FD">
        <w:t>,</w:t>
      </w:r>
      <w:r w:rsidR="005D1963" w:rsidRPr="00AC76FD">
        <w:t xml:space="preserve"> </w:t>
      </w:r>
      <w:r w:rsidR="003301A4" w:rsidRPr="00AC76FD">
        <w:t xml:space="preserve">that dismisses </w:t>
      </w:r>
      <w:r w:rsidR="005D1963" w:rsidRPr="00AC76FD">
        <w:t xml:space="preserve">the </w:t>
      </w:r>
      <w:r w:rsidR="003301A4" w:rsidRPr="00AC76FD">
        <w:t>need</w:t>
      </w:r>
      <w:r w:rsidR="005D1963" w:rsidRPr="00AC76FD">
        <w:t xml:space="preserve"> </w:t>
      </w:r>
      <w:r w:rsidR="003301A4" w:rsidRPr="00AC76FD">
        <w:t>to follow suit by issuing regret</w:t>
      </w:r>
      <w:r w:rsidR="005D1963" w:rsidRPr="00AC76FD">
        <w:t xml:space="preserve"> </w:t>
      </w:r>
      <w:r w:rsidR="003301A4" w:rsidRPr="00AC76FD">
        <w:t>statements</w:t>
      </w:r>
      <w:r w:rsidR="00450A0D" w:rsidRPr="00AC76FD">
        <w:t xml:space="preserve"> or relate transgression to factors beyond the firm’s control, respectively.</w:t>
      </w:r>
      <w:r w:rsidR="003301A4" w:rsidRPr="00AC76FD">
        <w:t xml:space="preserve"> </w:t>
      </w:r>
    </w:p>
    <w:p w14:paraId="79F76966" w14:textId="5197316B" w:rsidR="008C16B6" w:rsidRPr="00AC76FD" w:rsidRDefault="008C16B6" w:rsidP="00D82B0C">
      <w:pPr>
        <w:spacing w:line="480" w:lineRule="auto"/>
        <w:jc w:val="both"/>
      </w:pPr>
      <w:r w:rsidRPr="008F4B6A">
        <w:t>The study shows that the regulator and financial institutions interact in what can best be described as an ongoing evolution of a compliance culture. Here, there is a change of tone in both the regulatory and the violators’ responses, in terms of cooperation. Positive movements indicating collaboration in working relationship become apparent in more recent press releases.</w:t>
      </w:r>
      <w:r w:rsidR="003E7961" w:rsidRPr="008F4B6A">
        <w:t xml:space="preserve"> </w:t>
      </w:r>
      <w:r w:rsidRPr="008F4B6A">
        <w:t xml:space="preserve">Secondly, the study shows that the regulatory pressures are underpinned by a concurrent normative pressure leading to violators’ acknowledgement of learning and change required. In effect, these actions will result in </w:t>
      </w:r>
      <w:r w:rsidR="00211F5D" w:rsidRPr="008F4B6A">
        <w:t>long-term</w:t>
      </w:r>
      <w:r w:rsidRPr="008F4B6A">
        <w:t xml:space="preserve"> </w:t>
      </w:r>
      <w:r w:rsidRPr="008F4B6A">
        <w:lastRenderedPageBreak/>
        <w:t xml:space="preserve">strategic initiatives (such as new training program adopted by Barclays) rather than purely short-term responses. </w:t>
      </w:r>
      <w:r w:rsidR="003E7961" w:rsidRPr="008F4B6A">
        <w:t>Therefore, whilst</w:t>
      </w:r>
      <w:r w:rsidRPr="008F4B6A">
        <w:t xml:space="preserve"> there are some instances of direct action to evidence re-professionalization through new leadership, or new processes, these will result in </w:t>
      </w:r>
      <w:r w:rsidR="00211F5D" w:rsidRPr="008F4B6A">
        <w:t>longer-term</w:t>
      </w:r>
      <w:r w:rsidRPr="008F4B6A">
        <w:t xml:space="preserve"> impact within the organisations (in comparison to the earlier discussed pressures and responses from a coercive and mimetic perspective). </w:t>
      </w:r>
      <w:r w:rsidR="003E7961" w:rsidRPr="008F4B6A">
        <w:t xml:space="preserve"> </w:t>
      </w:r>
      <w:r w:rsidRPr="008F4B6A">
        <w:t xml:space="preserve">Thirdly, the study shows that there is a mimetic isomorphic </w:t>
      </w:r>
      <w:r w:rsidR="00211F5D" w:rsidRPr="008F4B6A">
        <w:t>pressure, which</w:t>
      </w:r>
      <w:r w:rsidRPr="008F4B6A">
        <w:t xml:space="preserve"> entice violators to follow suit in terms of issuing statements that would safeguard their reputation in the market place. The </w:t>
      </w:r>
      <w:bookmarkStart w:id="7" w:name="_Hlk507243817"/>
      <w:r w:rsidRPr="008F4B6A">
        <w:t xml:space="preserve">violating firms are seen to issue similar responses to the regulators sanction in the form of regret statements, </w:t>
      </w:r>
      <w:r w:rsidR="00CF3C6E" w:rsidRPr="008F4B6A">
        <w:t>to</w:t>
      </w:r>
      <w:r w:rsidRPr="008F4B6A">
        <w:t xml:space="preserve"> meet the expectations of their stakeholders, and to maintain their reputation and legitimacy in the market</w:t>
      </w:r>
      <w:bookmarkEnd w:id="7"/>
      <w:r w:rsidRPr="00AC76FD">
        <w:t xml:space="preserve">. </w:t>
      </w:r>
      <w:bookmarkStart w:id="8" w:name="_Hlk507243838"/>
      <w:r w:rsidR="00967F48" w:rsidRPr="00AC76FD">
        <w:t xml:space="preserve">However, legitimacy is now defined within an interactive process mainly between the regulator and firms. </w:t>
      </w:r>
      <w:bookmarkEnd w:id="8"/>
      <w:r w:rsidR="00967F48" w:rsidRPr="00AC76FD">
        <w:t>This could be useful in avoiding ticking the box compliance culture and could mean that the regulatory approach is more pragmatic, and hence, could be more responsive to the dynamic business environment</w:t>
      </w:r>
      <w:r w:rsidR="00FA751F" w:rsidRPr="00AC76FD">
        <w:t>, where the compliance culture continues to evolve.</w:t>
      </w:r>
    </w:p>
    <w:p w14:paraId="76A13EB7" w14:textId="3472385D" w:rsidR="00672C8E" w:rsidRPr="008F4B6A" w:rsidRDefault="001D2977" w:rsidP="00A8548E">
      <w:pPr>
        <w:spacing w:line="480" w:lineRule="auto"/>
        <w:jc w:val="both"/>
        <w:rPr>
          <w:strike/>
        </w:rPr>
      </w:pPr>
      <w:r w:rsidRPr="008F4B6A">
        <w:t xml:space="preserve">This </w:t>
      </w:r>
      <w:r w:rsidR="00A712BB" w:rsidRPr="008F4B6A">
        <w:t xml:space="preserve">study </w:t>
      </w:r>
      <w:r w:rsidRPr="008F4B6A">
        <w:t xml:space="preserve">has </w:t>
      </w:r>
      <w:r w:rsidR="00A712BB" w:rsidRPr="008F4B6A">
        <w:t>shown</w:t>
      </w:r>
      <w:r w:rsidRPr="008F4B6A">
        <w:t xml:space="preserve"> the interplay between the regulators and violating firms </w:t>
      </w:r>
      <w:r w:rsidR="00F45068" w:rsidRPr="008F4B6A">
        <w:t>to</w:t>
      </w:r>
      <w:r w:rsidRPr="008F4B6A">
        <w:t xml:space="preserve"> address the overall research question; </w:t>
      </w:r>
      <w:r w:rsidR="00FA751F" w:rsidRPr="00AC76FD">
        <w:rPr>
          <w:b/>
          <w:i/>
        </w:rPr>
        <w:t>How is the UK financial institutions’ compliance culture shaped by the institutional environment and changing legitimacy claims?</w:t>
      </w:r>
      <w:r w:rsidR="00FA751F">
        <w:rPr>
          <w:b/>
          <w:i/>
          <w:color w:val="FF0000"/>
        </w:rPr>
        <w:t xml:space="preserve"> </w:t>
      </w:r>
      <w:r w:rsidR="00F45068" w:rsidRPr="008F4B6A">
        <w:t>C</w:t>
      </w:r>
      <w:r w:rsidR="005916F4" w:rsidRPr="008F4B6A">
        <w:t>ompliance culture</w:t>
      </w:r>
      <w:r w:rsidR="00C52E21" w:rsidRPr="008F4B6A">
        <w:t xml:space="preserve"> </w:t>
      </w:r>
      <w:r w:rsidR="005916F4" w:rsidRPr="008F4B6A">
        <w:t xml:space="preserve">remains </w:t>
      </w:r>
      <w:r w:rsidR="00C52E21" w:rsidRPr="008F4B6A">
        <w:t xml:space="preserve">an area of concern for the regulator, on which they have clearly </w:t>
      </w:r>
      <w:r w:rsidR="00215CF3" w:rsidRPr="008F4B6A">
        <w:t>reacted</w:t>
      </w:r>
      <w:r w:rsidR="00C52E21" w:rsidRPr="008F4B6A">
        <w:t xml:space="preserve"> in the form of sanctions, and issue of policy guidelines</w:t>
      </w:r>
      <w:r w:rsidR="00CF3C6E" w:rsidRPr="008F4B6A">
        <w:t>,</w:t>
      </w:r>
      <w:r w:rsidR="0006040A" w:rsidRPr="008F4B6A">
        <w:t xml:space="preserve"> </w:t>
      </w:r>
      <w:r w:rsidR="00C52E21" w:rsidRPr="008F4B6A">
        <w:t>practitioners continue to flaunt the rules despite continued public and media attention</w:t>
      </w:r>
      <w:r w:rsidR="00414A1A">
        <w:t xml:space="preserve"> (Yeung</w:t>
      </w:r>
      <w:r w:rsidR="00AC76FD">
        <w:t>,</w:t>
      </w:r>
      <w:r w:rsidR="00414A1A">
        <w:t xml:space="preserve"> 2002; </w:t>
      </w:r>
      <w:proofErr w:type="spellStart"/>
      <w:r w:rsidR="00414A1A">
        <w:t>Zubic</w:t>
      </w:r>
      <w:proofErr w:type="spellEnd"/>
      <w:r w:rsidR="00414A1A">
        <w:t xml:space="preserve"> and Sims</w:t>
      </w:r>
      <w:r w:rsidR="00AC76FD">
        <w:t>,</w:t>
      </w:r>
      <w:r w:rsidR="003B228D" w:rsidRPr="008F4B6A">
        <w:t xml:space="preserve"> 2011)</w:t>
      </w:r>
      <w:r w:rsidR="00C52E21" w:rsidRPr="008F4B6A">
        <w:t xml:space="preserve">. </w:t>
      </w:r>
      <w:r w:rsidR="0006040A" w:rsidRPr="008F4B6A">
        <w:t>I</w:t>
      </w:r>
      <w:r w:rsidR="002F7687" w:rsidRPr="008F4B6A">
        <w:t>t has been observed</w:t>
      </w:r>
      <w:r w:rsidR="00672C8E" w:rsidRPr="008F4B6A">
        <w:t xml:space="preserve"> that public awareness of these fines is largely controlled by media interest</w:t>
      </w:r>
      <w:r w:rsidR="007C61CE" w:rsidRPr="008F4B6A">
        <w:t xml:space="preserve">, which is </w:t>
      </w:r>
      <w:r w:rsidR="0039400D" w:rsidRPr="008F4B6A">
        <w:t xml:space="preserve">then </w:t>
      </w:r>
      <w:r w:rsidR="007C61CE" w:rsidRPr="008F4B6A">
        <w:t xml:space="preserve">seen to impact public agenda and risk perceptions (McCarthy and </w:t>
      </w:r>
      <w:proofErr w:type="spellStart"/>
      <w:r w:rsidR="007C61CE" w:rsidRPr="008F4B6A">
        <w:t>Dolfsma</w:t>
      </w:r>
      <w:proofErr w:type="spellEnd"/>
      <w:r w:rsidR="00AC76FD">
        <w:t>,</w:t>
      </w:r>
      <w:r w:rsidR="007C61CE" w:rsidRPr="008F4B6A">
        <w:t xml:space="preserve"> 2014)</w:t>
      </w:r>
      <w:r w:rsidR="00672C8E" w:rsidRPr="008F4B6A">
        <w:t xml:space="preserve">. </w:t>
      </w:r>
      <w:r w:rsidR="00A8548E" w:rsidRPr="00414A1A">
        <w:t xml:space="preserve">Based on above discussion, the main conclusion here is that the </w:t>
      </w:r>
      <w:r w:rsidR="00A8548E" w:rsidRPr="00A8548E">
        <w:t xml:space="preserve">violating firms in the sector are in a state of </w:t>
      </w:r>
      <w:bookmarkStart w:id="9" w:name="_Hlk507243860"/>
      <w:r w:rsidR="00A8548E" w:rsidRPr="00A8548E">
        <w:t xml:space="preserve">cyclical ‘evolutionary compliance’ rather than the more widely recognised state of ‘compliance culture’. </w:t>
      </w:r>
    </w:p>
    <w:bookmarkEnd w:id="9"/>
    <w:p w14:paraId="4E197437" w14:textId="4397E858" w:rsidR="000C6436" w:rsidRPr="008F4B6A" w:rsidRDefault="00823A95" w:rsidP="00AC76FD">
      <w:pPr>
        <w:spacing w:line="480" w:lineRule="auto"/>
        <w:jc w:val="both"/>
      </w:pPr>
      <w:r w:rsidRPr="008F4B6A">
        <w:t xml:space="preserve">This paper is not without limitations. As acknowledged within the introduction a pragmatic approach was adopted, with an exploratory </w:t>
      </w:r>
      <w:r w:rsidR="007D2478" w:rsidRPr="008F4B6A">
        <w:t>in-depth</w:t>
      </w:r>
      <w:r w:rsidRPr="008F4B6A">
        <w:t xml:space="preserve"> review o</w:t>
      </w:r>
      <w:r w:rsidR="007720A0" w:rsidRPr="008F4B6A">
        <w:t>f both the regulator and a</w:t>
      </w:r>
      <w:r w:rsidRPr="008F4B6A">
        <w:t xml:space="preserve"> </w:t>
      </w:r>
      <w:r w:rsidR="00A76912" w:rsidRPr="008F4B6A">
        <w:t xml:space="preserve">longitudinal </w:t>
      </w:r>
      <w:r w:rsidRPr="008F4B6A">
        <w:t xml:space="preserve">sample of </w:t>
      </w:r>
      <w:r w:rsidR="00971989" w:rsidRPr="008F4B6A">
        <w:lastRenderedPageBreak/>
        <w:t>violating firms’</w:t>
      </w:r>
      <w:r w:rsidRPr="008F4B6A">
        <w:t xml:space="preserve"> websites to carry out an initial study around the issue of compliance culture.</w:t>
      </w:r>
      <w:r w:rsidR="007720A0" w:rsidRPr="008F4B6A">
        <w:t xml:space="preserve"> The longitudinal nature of this review has spanned a change in the approach by the regulator from the ‘shoot first, ask questions later appr</w:t>
      </w:r>
      <w:r w:rsidR="00452056" w:rsidRPr="008F4B6A">
        <w:t>o</w:t>
      </w:r>
      <w:r w:rsidR="007720A0" w:rsidRPr="008F4B6A">
        <w:t>ach’.</w:t>
      </w:r>
      <w:r w:rsidRPr="008F4B6A">
        <w:t xml:space="preserve"> Further empirical evidence will need to be gathered in order to present conceptual models to the academic community.</w:t>
      </w:r>
      <w:r w:rsidR="003714DF">
        <w:t xml:space="preserve"> Some of the themes identified within our qualitative review may be complimented by future quantitative analysis. One such area, would be to explore the FCA’s criticism </w:t>
      </w:r>
      <w:r w:rsidR="00A64116">
        <w:t xml:space="preserve">of the focus </w:t>
      </w:r>
      <w:r w:rsidR="003714DF">
        <w:t>on profits and revenues</w:t>
      </w:r>
      <w:r w:rsidR="00A64116">
        <w:t xml:space="preserve"> within violating firms</w:t>
      </w:r>
      <w:r w:rsidR="003714DF">
        <w:t>, and whether such measures are indeed an indicator of compliance breakdown. Another</w:t>
      </w:r>
      <w:r w:rsidR="00155FFF">
        <w:t xml:space="preserve"> </w:t>
      </w:r>
      <w:r w:rsidR="000772CC">
        <w:t xml:space="preserve">potential area to complement this </w:t>
      </w:r>
      <w:r w:rsidR="00155FFF">
        <w:t>paper</w:t>
      </w:r>
      <w:r w:rsidR="000772CC">
        <w:t xml:space="preserve"> would be to review </w:t>
      </w:r>
      <w:r w:rsidR="000772CC" w:rsidRPr="000772CC">
        <w:t xml:space="preserve">data </w:t>
      </w:r>
      <w:r w:rsidR="000772CC">
        <w:t>on</w:t>
      </w:r>
      <w:r w:rsidR="000772CC" w:rsidRPr="000772CC">
        <w:t xml:space="preserve"> other </w:t>
      </w:r>
      <w:r w:rsidR="000772CC">
        <w:t xml:space="preserve">specific </w:t>
      </w:r>
      <w:r w:rsidR="000772CC" w:rsidRPr="000772CC">
        <w:t>governance indicators (</w:t>
      </w:r>
      <w:r w:rsidR="000772CC">
        <w:t>such as ownership structures</w:t>
      </w:r>
      <w:r w:rsidR="000772CC" w:rsidRPr="000772CC">
        <w:t xml:space="preserve">, appointment of independent directors) </w:t>
      </w:r>
      <w:r w:rsidR="000772CC">
        <w:t>in order to measure the</w:t>
      </w:r>
      <w:r w:rsidR="000772CC" w:rsidRPr="000772CC">
        <w:t xml:space="preserve"> changes that influence compliance culture.</w:t>
      </w:r>
      <w:r w:rsidR="000772CC">
        <w:t xml:space="preserve"> </w:t>
      </w:r>
      <w:r w:rsidRPr="008F4B6A">
        <w:t>Therefore</w:t>
      </w:r>
      <w:r w:rsidR="00452056" w:rsidRPr="008F4B6A">
        <w:t>,</w:t>
      </w:r>
      <w:r w:rsidRPr="008F4B6A">
        <w:t xml:space="preserve"> this paper calls for future research into this area,</w:t>
      </w:r>
      <w:r w:rsidR="00DA7D3D" w:rsidRPr="008F4B6A">
        <w:t xml:space="preserve"> including contribution from practitioners,</w:t>
      </w:r>
      <w:r w:rsidRPr="008F4B6A">
        <w:t xml:space="preserve"> in order to address the gap between academic literature and practice.</w:t>
      </w:r>
      <w:r w:rsidR="009A3C25">
        <w:t xml:space="preserve"> As this is a particularly sensitive area, alongside the quantitative data collection suggested above, this area would also benefit from data collected within a qualitative interview setting with practitioners.</w:t>
      </w:r>
      <w:r w:rsidR="00452056" w:rsidRPr="008F4B6A">
        <w:t xml:space="preserve"> In addition, the focus of this paper has been on the UK regulator/banking sector relationship. Although many of the institutions are multinational in </w:t>
      </w:r>
      <w:r w:rsidR="00155FFF" w:rsidRPr="008F4B6A">
        <w:t>nature,</w:t>
      </w:r>
      <w:r w:rsidR="00452056" w:rsidRPr="008F4B6A">
        <w:t xml:space="preserve"> their ‘public face’ may vary between jurisdictions. There are also ongoing scandals across different regulatory regimes indicating that the compliance culture problem is an ongoing issue. For example, the breadth of non-compliance evidenced in the recent case in </w:t>
      </w:r>
      <w:r w:rsidR="007A2797" w:rsidRPr="008F4B6A">
        <w:t xml:space="preserve">Wells Fargo (which resulted in $185 million fine, and termination of employment of 5,300 employees) </w:t>
      </w:r>
      <w:r w:rsidR="00452056" w:rsidRPr="008F4B6A">
        <w:t>would indicate an interesting avenue for case study research in this area</w:t>
      </w:r>
      <w:r w:rsidR="007A2797" w:rsidRPr="008F4B6A">
        <w:t xml:space="preserve"> of compliance culture</w:t>
      </w:r>
      <w:r w:rsidR="00945F2F" w:rsidRPr="008F4B6A">
        <w:rPr>
          <w:rStyle w:val="EndnoteReference"/>
        </w:rPr>
        <w:endnoteReference w:id="15"/>
      </w:r>
      <w:r w:rsidR="00452056" w:rsidRPr="008F4B6A">
        <w:t xml:space="preserve">. </w:t>
      </w:r>
      <w:r w:rsidR="00DF7E5D" w:rsidRPr="008F4B6A">
        <w:t xml:space="preserve"> In addition, given recent calls for the audit of cu</w:t>
      </w:r>
      <w:r w:rsidR="00414A1A">
        <w:t>lture in the sector (UK Finance</w:t>
      </w:r>
      <w:r w:rsidR="00DF7E5D" w:rsidRPr="008F4B6A">
        <w:t xml:space="preserve"> 2017), this is an interesting avenue for future research, when the industry will be required to report directly to the regulator in future.</w:t>
      </w:r>
    </w:p>
    <w:p w14:paraId="1015827C" w14:textId="3A948FD2" w:rsidR="000C6436" w:rsidRPr="008F4B6A" w:rsidRDefault="000C6436" w:rsidP="00D82B0C">
      <w:pPr>
        <w:spacing w:line="480" w:lineRule="auto"/>
      </w:pPr>
    </w:p>
    <w:p w14:paraId="705E42F4" w14:textId="29C2B0C6" w:rsidR="00363C4A" w:rsidRPr="008F4B6A" w:rsidRDefault="00363C4A" w:rsidP="00D82B0C">
      <w:pPr>
        <w:spacing w:line="480" w:lineRule="auto"/>
      </w:pPr>
    </w:p>
    <w:p w14:paraId="2D0461EA" w14:textId="7004662D" w:rsidR="00363C4A" w:rsidRPr="008F4B6A" w:rsidRDefault="00363C4A" w:rsidP="00D82B0C">
      <w:pPr>
        <w:spacing w:line="480" w:lineRule="auto"/>
      </w:pPr>
    </w:p>
    <w:p w14:paraId="73D0AF8D" w14:textId="5BAFF00D" w:rsidR="00363C4A" w:rsidRPr="008F4B6A" w:rsidRDefault="00363C4A" w:rsidP="00D82B0C">
      <w:pPr>
        <w:spacing w:line="480" w:lineRule="auto"/>
      </w:pPr>
    </w:p>
    <w:p w14:paraId="07990C86" w14:textId="377EC092" w:rsidR="00A45FCC" w:rsidRDefault="00A45FCC">
      <w:r>
        <w:br w:type="page"/>
      </w:r>
    </w:p>
    <w:p w14:paraId="586774E9" w14:textId="46E20755" w:rsidR="00CE31A2" w:rsidRDefault="00CE31A2" w:rsidP="00D82B0C">
      <w:pPr>
        <w:keepNext/>
        <w:keepLines/>
        <w:spacing w:before="200" w:after="0" w:line="480" w:lineRule="auto"/>
        <w:outlineLvl w:val="1"/>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lastRenderedPageBreak/>
        <w:t>Ethical Declaration</w:t>
      </w:r>
    </w:p>
    <w:p w14:paraId="5EF6A236" w14:textId="77777777" w:rsidR="00CE31A2" w:rsidRDefault="00CE31A2" w:rsidP="00CE31A2">
      <w:pPr>
        <w:pStyle w:val="PlainText"/>
      </w:pPr>
      <w:r>
        <w:t>Compliance with Ethical Standards:</w:t>
      </w:r>
    </w:p>
    <w:p w14:paraId="7E960ACB" w14:textId="6E2F445F" w:rsidR="00CE31A2" w:rsidRDefault="00CE31A2" w:rsidP="00CE31A2">
      <w:pPr>
        <w:pStyle w:val="PlainText"/>
      </w:pPr>
      <w:r>
        <w:t>Ethical approval: This article does not contain any studies with human participants or animals performed by any of the authors.</w:t>
      </w:r>
    </w:p>
    <w:p w14:paraId="684023D0" w14:textId="12A3E01F" w:rsidR="00CE31A2" w:rsidRDefault="00CE31A2" w:rsidP="00CE31A2">
      <w:pPr>
        <w:pStyle w:val="PlainText"/>
        <w:rPr>
          <w:rFonts w:asciiTheme="majorHAnsi" w:eastAsiaTheme="majorEastAsia" w:hAnsiTheme="majorHAnsi" w:cstheme="majorBidi"/>
          <w:b/>
          <w:bCs/>
          <w:sz w:val="26"/>
          <w:szCs w:val="26"/>
        </w:rPr>
      </w:pPr>
    </w:p>
    <w:p w14:paraId="30B8AE9D" w14:textId="442AABBC" w:rsidR="00CE31A2" w:rsidRDefault="00CE31A2">
      <w:pPr>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br w:type="page"/>
      </w:r>
    </w:p>
    <w:p w14:paraId="0A276A9C" w14:textId="051A2E1B" w:rsidR="00D2085E" w:rsidRPr="008F4B6A" w:rsidRDefault="00D2085E" w:rsidP="00D82B0C">
      <w:pPr>
        <w:keepNext/>
        <w:keepLines/>
        <w:spacing w:before="200" w:after="0" w:line="480" w:lineRule="auto"/>
        <w:outlineLvl w:val="1"/>
        <w:rPr>
          <w:rFonts w:asciiTheme="majorHAnsi" w:eastAsiaTheme="majorEastAsia" w:hAnsiTheme="majorHAnsi" w:cstheme="majorBidi"/>
          <w:b/>
          <w:bCs/>
          <w:sz w:val="26"/>
          <w:szCs w:val="26"/>
        </w:rPr>
      </w:pPr>
      <w:r w:rsidRPr="008F4B6A">
        <w:rPr>
          <w:rFonts w:asciiTheme="majorHAnsi" w:eastAsiaTheme="majorEastAsia" w:hAnsiTheme="majorHAnsi" w:cstheme="majorBidi"/>
          <w:b/>
          <w:bCs/>
          <w:sz w:val="26"/>
          <w:szCs w:val="26"/>
        </w:rPr>
        <w:lastRenderedPageBreak/>
        <w:t>References</w:t>
      </w:r>
    </w:p>
    <w:p w14:paraId="2531A31D" w14:textId="4AA41236" w:rsidR="00D2085E" w:rsidRPr="00544CD8" w:rsidRDefault="00D2085E" w:rsidP="00D82B0C">
      <w:pPr>
        <w:spacing w:line="480" w:lineRule="auto"/>
      </w:pPr>
      <w:proofErr w:type="spellStart"/>
      <w:r w:rsidRPr="00544CD8">
        <w:t>Akhigbe</w:t>
      </w:r>
      <w:proofErr w:type="spellEnd"/>
      <w:r w:rsidRPr="00544CD8">
        <w:t>, A. and Martin, A.D. (2006). Valuation impact of Sarbanes-Oxley: Evidence from disclosure and governance within the financial services industry. Journal of Banking and Finance 30</w:t>
      </w:r>
      <w:r w:rsidR="0092523F">
        <w:t>,</w:t>
      </w:r>
      <w:r w:rsidRPr="00544CD8">
        <w:t xml:space="preserve"> 989-1006.</w:t>
      </w:r>
    </w:p>
    <w:p w14:paraId="7C4B4B1A" w14:textId="570682DF" w:rsidR="00D2085E" w:rsidRPr="00544CD8" w:rsidRDefault="00D2085E" w:rsidP="00D82B0C">
      <w:pPr>
        <w:spacing w:line="480" w:lineRule="auto"/>
      </w:pPr>
      <w:proofErr w:type="spellStart"/>
      <w:r w:rsidRPr="00544CD8">
        <w:t>Alfon</w:t>
      </w:r>
      <w:proofErr w:type="spellEnd"/>
      <w:r w:rsidRPr="00544CD8">
        <w:t>, I. and Andrews, P. (1993). Cost-benefit analysis in financial regulation: How to do it and how it adds value. Journal of Financial Regulation and Compliance 7(4)</w:t>
      </w:r>
      <w:r w:rsidR="0092523F">
        <w:t>,</w:t>
      </w:r>
      <w:r w:rsidRPr="00544CD8">
        <w:t xml:space="preserve"> 339-352.</w:t>
      </w:r>
    </w:p>
    <w:p w14:paraId="6F8D0DCB" w14:textId="73BB1C08" w:rsidR="00D2085E" w:rsidRPr="00544CD8" w:rsidRDefault="00D2085E" w:rsidP="00D82B0C">
      <w:pPr>
        <w:spacing w:line="480" w:lineRule="auto"/>
      </w:pPr>
      <w:proofErr w:type="spellStart"/>
      <w:r w:rsidRPr="00544CD8">
        <w:t>Alfon</w:t>
      </w:r>
      <w:proofErr w:type="spellEnd"/>
      <w:r w:rsidRPr="00544CD8">
        <w:t>, I. (1996). Cost benefit analysis and compliance culture. Journal of Fin</w:t>
      </w:r>
      <w:r w:rsidR="0092523F">
        <w:t>ancial Regulation and Compliance 5(1),</w:t>
      </w:r>
      <w:r w:rsidRPr="00544CD8">
        <w:t xml:space="preserve"> 16-22.</w:t>
      </w:r>
    </w:p>
    <w:p w14:paraId="11570D93" w14:textId="0C193C2B" w:rsidR="00D2085E" w:rsidRPr="00544CD8" w:rsidRDefault="00D2085E" w:rsidP="00D82B0C">
      <w:pPr>
        <w:spacing w:line="480" w:lineRule="auto"/>
      </w:pPr>
      <w:r w:rsidRPr="00544CD8">
        <w:t xml:space="preserve">Arora, S. and </w:t>
      </w:r>
      <w:proofErr w:type="spellStart"/>
      <w:r w:rsidRPr="00544CD8">
        <w:t>Gangopadhyay</w:t>
      </w:r>
      <w:proofErr w:type="spellEnd"/>
      <w:r w:rsidRPr="00544CD8">
        <w:t>, S. (1995). Towards a theoretical model of voluntary over compliance. Journal of Econ</w:t>
      </w:r>
      <w:r w:rsidR="0092523F">
        <w:t>omic Behaviour and Organisation 28,</w:t>
      </w:r>
      <w:r w:rsidRPr="00544CD8">
        <w:t xml:space="preserve"> 289-309.</w:t>
      </w:r>
    </w:p>
    <w:p w14:paraId="63648021" w14:textId="77777777" w:rsidR="00913A4F" w:rsidRPr="00544CD8" w:rsidRDefault="00913A4F" w:rsidP="00D82B0C">
      <w:pPr>
        <w:spacing w:line="480" w:lineRule="auto"/>
      </w:pPr>
      <w:r w:rsidRPr="00544CD8">
        <w:t>Ayres, I. and Braithwaite, J. (1992). Responsive Regulation: Transcending the Deregulation Debate. Oxford University Press.</w:t>
      </w:r>
    </w:p>
    <w:p w14:paraId="6CCCCC98" w14:textId="1FF908A2" w:rsidR="00913A4F" w:rsidRPr="00544CD8" w:rsidRDefault="00913A4F" w:rsidP="00D82B0C">
      <w:pPr>
        <w:spacing w:line="480" w:lineRule="auto"/>
      </w:pPr>
      <w:r w:rsidRPr="00544CD8">
        <w:t>Ayres, I. (2013). Responsive Regulation: A co author’s apprec</w:t>
      </w:r>
      <w:r w:rsidR="0092523F">
        <w:t>iation. Regulation &amp; Governance</w:t>
      </w:r>
      <w:r w:rsidRPr="00544CD8">
        <w:t xml:space="preserve"> 7</w:t>
      </w:r>
      <w:r w:rsidR="0092523F">
        <w:t>,</w:t>
      </w:r>
      <w:r w:rsidRPr="00544CD8">
        <w:t xml:space="preserve"> 145-151.</w:t>
      </w:r>
    </w:p>
    <w:p w14:paraId="53B0785F" w14:textId="76632B1E" w:rsidR="00D2085E" w:rsidRPr="00544CD8" w:rsidRDefault="00D2085E" w:rsidP="00D82B0C">
      <w:pPr>
        <w:spacing w:line="480" w:lineRule="auto"/>
      </w:pPr>
      <w:r w:rsidRPr="00544CD8">
        <w:t xml:space="preserve">Bamberger, K.A. (2010). Technologies of compliance: Risk and regulation in </w:t>
      </w:r>
      <w:r w:rsidR="0092523F">
        <w:t>a digital age. Texas Law Review</w:t>
      </w:r>
      <w:r w:rsidRPr="00544CD8">
        <w:t xml:space="preserve"> 88 (4)</w:t>
      </w:r>
      <w:r w:rsidR="0092523F">
        <w:t>,</w:t>
      </w:r>
      <w:r w:rsidRPr="00544CD8">
        <w:t xml:space="preserve"> 669-739.</w:t>
      </w:r>
    </w:p>
    <w:p w14:paraId="3406C8A7" w14:textId="4E7AA339" w:rsidR="00D2085E" w:rsidRPr="00544CD8" w:rsidRDefault="00D2085E" w:rsidP="00D82B0C">
      <w:pPr>
        <w:spacing w:line="480" w:lineRule="auto"/>
      </w:pPr>
      <w:r w:rsidRPr="00544CD8">
        <w:t>Barry, M. (2002). Why ethics &amp; compliance programs can fai</w:t>
      </w:r>
      <w:r w:rsidR="0092523F">
        <w:t>l. Journal of Business Strategy</w:t>
      </w:r>
      <w:r w:rsidRPr="00544CD8">
        <w:t xml:space="preserve"> 23</w:t>
      </w:r>
      <w:r w:rsidR="0092523F">
        <w:t>(6),</w:t>
      </w:r>
      <w:r w:rsidRPr="00544CD8">
        <w:t xml:space="preserve"> 37-40.</w:t>
      </w:r>
    </w:p>
    <w:p w14:paraId="034C76FA" w14:textId="5677ED7F" w:rsidR="00D2085E" w:rsidRPr="00544CD8" w:rsidRDefault="00D2085E" w:rsidP="00D82B0C">
      <w:pPr>
        <w:spacing w:line="480" w:lineRule="auto"/>
        <w:jc w:val="both"/>
        <w:rPr>
          <w:rStyle w:val="Hyperlink"/>
          <w:rFonts w:eastAsiaTheme="minorHAnsi" w:cstheme="minorHAnsi"/>
          <w:color w:val="auto"/>
        </w:rPr>
      </w:pPr>
      <w:r w:rsidRPr="00544CD8">
        <w:rPr>
          <w:rFonts w:eastAsiaTheme="minorHAnsi" w:cstheme="minorHAnsi"/>
        </w:rPr>
        <w:t xml:space="preserve">Basel Committee on Banking Supervision (2005). Compliance and the compliance function in banks. </w:t>
      </w:r>
      <w:r w:rsidR="003D282A">
        <w:rPr>
          <w:rFonts w:eastAsiaTheme="minorHAnsi" w:cstheme="minorHAnsi"/>
        </w:rPr>
        <w:t>D</w:t>
      </w:r>
      <w:r w:rsidR="003D282A" w:rsidRPr="003D282A">
        <w:rPr>
          <w:rFonts w:eastAsiaTheme="minorHAnsi" w:cstheme="minorHAnsi"/>
        </w:rPr>
        <w:t>ownloaded 28 July 2012</w:t>
      </w:r>
      <w:r w:rsidR="003D282A">
        <w:rPr>
          <w:rFonts w:eastAsiaTheme="minorHAnsi" w:cstheme="minorHAnsi"/>
        </w:rPr>
        <w:t xml:space="preserve"> </w:t>
      </w:r>
      <w:hyperlink r:id="rId14" w:history="1">
        <w:r w:rsidR="00636B99" w:rsidRPr="00544CD8">
          <w:rPr>
            <w:rStyle w:val="Hyperlink"/>
            <w:rFonts w:eastAsiaTheme="minorHAnsi" w:cstheme="minorHAnsi"/>
            <w:color w:val="auto"/>
          </w:rPr>
          <w:t xml:space="preserve">http://www.bis.org/publ/bcbs113.pdf </w:t>
        </w:r>
      </w:hyperlink>
    </w:p>
    <w:p w14:paraId="7C237CE1" w14:textId="1FF6CC54" w:rsidR="00CA21F8" w:rsidRPr="00544CD8" w:rsidRDefault="003D282A" w:rsidP="00D82B0C">
      <w:pPr>
        <w:spacing w:line="480" w:lineRule="auto"/>
        <w:jc w:val="both"/>
        <w:rPr>
          <w:rFonts w:eastAsiaTheme="minorHAnsi" w:cstheme="minorHAnsi"/>
        </w:rPr>
      </w:pPr>
      <w:proofErr w:type="spellStart"/>
      <w:r>
        <w:rPr>
          <w:rFonts w:eastAsiaTheme="minorHAnsi" w:cstheme="minorHAnsi"/>
        </w:rPr>
        <w:t>Bodolica</w:t>
      </w:r>
      <w:proofErr w:type="spellEnd"/>
      <w:r>
        <w:rPr>
          <w:rFonts w:eastAsiaTheme="minorHAnsi" w:cstheme="minorHAnsi"/>
        </w:rPr>
        <w:t>, V. and</w:t>
      </w:r>
      <w:r w:rsidR="00CA21F8" w:rsidRPr="00544CD8">
        <w:rPr>
          <w:rFonts w:eastAsiaTheme="minorHAnsi" w:cstheme="minorHAnsi"/>
        </w:rPr>
        <w:t xml:space="preserve"> </w:t>
      </w:r>
      <w:proofErr w:type="spellStart"/>
      <w:r w:rsidR="00CA21F8" w:rsidRPr="00544CD8">
        <w:rPr>
          <w:rFonts w:eastAsiaTheme="minorHAnsi" w:cstheme="minorHAnsi"/>
        </w:rPr>
        <w:t>Spraggon</w:t>
      </w:r>
      <w:proofErr w:type="spellEnd"/>
      <w:r w:rsidR="00CA21F8" w:rsidRPr="00544CD8">
        <w:rPr>
          <w:rFonts w:eastAsiaTheme="minorHAnsi" w:cstheme="minorHAnsi"/>
        </w:rPr>
        <w:t>, M. (2015). An examination into the disclosure, structure, and contents of ethical codes in publicly listed acquiring firms. Journal of Business Ethics 126(3), 459-472.</w:t>
      </w:r>
    </w:p>
    <w:p w14:paraId="277D132A" w14:textId="2CADCB74" w:rsidR="00D2085E" w:rsidRPr="00544CD8" w:rsidRDefault="00D2085E" w:rsidP="00D82B0C">
      <w:pPr>
        <w:spacing w:line="480" w:lineRule="auto"/>
        <w:jc w:val="both"/>
        <w:rPr>
          <w:rFonts w:eastAsiaTheme="minorHAnsi" w:cstheme="minorHAnsi"/>
        </w:rPr>
      </w:pPr>
      <w:r w:rsidRPr="00544CD8">
        <w:rPr>
          <w:rFonts w:eastAsiaTheme="minorHAnsi" w:cstheme="minorHAnsi"/>
        </w:rPr>
        <w:lastRenderedPageBreak/>
        <w:t>Buller, J. and Lindstrom, N. (2013). Hedging its bets: the UK and the politics of European financial service re</w:t>
      </w:r>
      <w:r w:rsidR="003D282A">
        <w:rPr>
          <w:rFonts w:eastAsiaTheme="minorHAnsi" w:cstheme="minorHAnsi"/>
        </w:rPr>
        <w:t>gulation. New Political Economy 18 (3),</w:t>
      </w:r>
      <w:r w:rsidRPr="00544CD8">
        <w:rPr>
          <w:rFonts w:eastAsiaTheme="minorHAnsi" w:cstheme="minorHAnsi"/>
        </w:rPr>
        <w:t xml:space="preserve"> 391-409.</w:t>
      </w:r>
    </w:p>
    <w:p w14:paraId="5CD6010C" w14:textId="1B07AAA7" w:rsidR="006D1DE3" w:rsidRPr="00544CD8" w:rsidRDefault="006D1DE3" w:rsidP="00D82B0C">
      <w:pPr>
        <w:spacing w:line="480" w:lineRule="auto"/>
        <w:jc w:val="both"/>
        <w:rPr>
          <w:rFonts w:eastAsiaTheme="minorHAnsi" w:cstheme="minorHAnsi"/>
        </w:rPr>
      </w:pPr>
      <w:proofErr w:type="spellStart"/>
      <w:r w:rsidRPr="00544CD8">
        <w:rPr>
          <w:rFonts w:eastAsiaTheme="minorHAnsi" w:cstheme="minorHAnsi"/>
        </w:rPr>
        <w:t>Bussmann</w:t>
      </w:r>
      <w:proofErr w:type="spellEnd"/>
      <w:r w:rsidRPr="00544CD8">
        <w:rPr>
          <w:rFonts w:eastAsiaTheme="minorHAnsi" w:cstheme="minorHAnsi"/>
        </w:rPr>
        <w:t xml:space="preserve">, </w:t>
      </w:r>
      <w:r w:rsidR="00E0427C">
        <w:rPr>
          <w:rFonts w:eastAsiaTheme="minorHAnsi" w:cstheme="minorHAnsi"/>
        </w:rPr>
        <w:t>K. D.</w:t>
      </w:r>
      <w:r w:rsidRPr="00544CD8">
        <w:rPr>
          <w:rFonts w:eastAsiaTheme="minorHAnsi" w:cstheme="minorHAnsi"/>
        </w:rPr>
        <w:t xml:space="preserve"> and </w:t>
      </w:r>
      <w:proofErr w:type="spellStart"/>
      <w:r w:rsidRPr="00544CD8">
        <w:rPr>
          <w:rFonts w:eastAsiaTheme="minorHAnsi" w:cstheme="minorHAnsi"/>
        </w:rPr>
        <w:t>Niemeczek</w:t>
      </w:r>
      <w:proofErr w:type="spellEnd"/>
      <w:r w:rsidRPr="00544CD8">
        <w:rPr>
          <w:rFonts w:eastAsiaTheme="minorHAnsi" w:cstheme="minorHAnsi"/>
        </w:rPr>
        <w:t>, A. (2017). Compliance Through Company Culture and Values: An International Study Based on the Example of Corruption Prevent</w:t>
      </w:r>
      <w:r w:rsidR="00E0427C">
        <w:rPr>
          <w:rFonts w:eastAsiaTheme="minorHAnsi" w:cstheme="minorHAnsi"/>
        </w:rPr>
        <w:t>ion. Journal of Business Ethics</w:t>
      </w:r>
      <w:r w:rsidR="003D282A">
        <w:rPr>
          <w:rFonts w:eastAsiaTheme="minorHAnsi" w:cstheme="minorHAnsi"/>
        </w:rPr>
        <w:t>,</w:t>
      </w:r>
      <w:r w:rsidRPr="00544CD8">
        <w:rPr>
          <w:rFonts w:eastAsiaTheme="minorHAnsi" w:cstheme="minorHAnsi"/>
        </w:rPr>
        <w:t xml:space="preserve"> 1-15.</w:t>
      </w:r>
    </w:p>
    <w:p w14:paraId="0454EA89" w14:textId="5AAE7E6E" w:rsidR="00D2085E" w:rsidRPr="00544CD8" w:rsidRDefault="00D2085E" w:rsidP="00D82B0C">
      <w:pPr>
        <w:spacing w:line="480" w:lineRule="auto"/>
        <w:jc w:val="both"/>
        <w:rPr>
          <w:rFonts w:eastAsiaTheme="minorHAnsi" w:cstheme="minorHAnsi"/>
        </w:rPr>
      </w:pPr>
      <w:proofErr w:type="spellStart"/>
      <w:r w:rsidRPr="00544CD8">
        <w:rPr>
          <w:rFonts w:eastAsiaTheme="minorHAnsi" w:cstheme="minorHAnsi"/>
        </w:rPr>
        <w:t>Calcott</w:t>
      </w:r>
      <w:proofErr w:type="spellEnd"/>
      <w:r w:rsidRPr="00544CD8">
        <w:rPr>
          <w:rFonts w:eastAsiaTheme="minorHAnsi" w:cstheme="minorHAnsi"/>
        </w:rPr>
        <w:t xml:space="preserve">, P. (2010). Mandated </w:t>
      </w:r>
      <w:r w:rsidR="000D4178" w:rsidRPr="00544CD8">
        <w:rPr>
          <w:rFonts w:eastAsiaTheme="minorHAnsi" w:cstheme="minorHAnsi"/>
        </w:rPr>
        <w:t>self-regulation</w:t>
      </w:r>
      <w:r w:rsidRPr="00544CD8">
        <w:rPr>
          <w:rFonts w:eastAsiaTheme="minorHAnsi" w:cstheme="minorHAnsi"/>
        </w:rPr>
        <w:t xml:space="preserve">: the danger of cosmetic compliance. </w:t>
      </w:r>
      <w:r w:rsidR="00E0427C">
        <w:rPr>
          <w:rFonts w:eastAsiaTheme="minorHAnsi" w:cstheme="minorHAnsi"/>
        </w:rPr>
        <w:t>Journal of Regulatory Economics</w:t>
      </w:r>
      <w:r w:rsidRPr="00544CD8">
        <w:rPr>
          <w:rFonts w:eastAsiaTheme="minorHAnsi" w:cstheme="minorHAnsi"/>
        </w:rPr>
        <w:t xml:space="preserve"> </w:t>
      </w:r>
      <w:r w:rsidR="00E0427C">
        <w:rPr>
          <w:rFonts w:eastAsiaTheme="minorHAnsi" w:cstheme="minorHAnsi"/>
        </w:rPr>
        <w:t>38,</w:t>
      </w:r>
      <w:r w:rsidRPr="00544CD8">
        <w:rPr>
          <w:rFonts w:eastAsiaTheme="minorHAnsi" w:cstheme="minorHAnsi"/>
        </w:rPr>
        <w:t xml:space="preserve"> 167-179.</w:t>
      </w:r>
    </w:p>
    <w:p w14:paraId="48B63DB2" w14:textId="1493E52A" w:rsidR="00D2085E" w:rsidRPr="00544CD8" w:rsidRDefault="00D2085E" w:rsidP="00D82B0C">
      <w:pPr>
        <w:spacing w:line="480" w:lineRule="auto"/>
        <w:jc w:val="both"/>
        <w:rPr>
          <w:rFonts w:eastAsiaTheme="minorHAnsi" w:cstheme="minorHAnsi"/>
        </w:rPr>
      </w:pPr>
      <w:proofErr w:type="spellStart"/>
      <w:r w:rsidRPr="00544CD8">
        <w:rPr>
          <w:rFonts w:eastAsiaTheme="minorHAnsi" w:cstheme="minorHAnsi"/>
        </w:rPr>
        <w:t>Carretta</w:t>
      </w:r>
      <w:proofErr w:type="spellEnd"/>
      <w:r w:rsidRPr="00544CD8">
        <w:rPr>
          <w:rFonts w:eastAsiaTheme="minorHAnsi" w:cstheme="minorHAnsi"/>
        </w:rPr>
        <w:t xml:space="preserve">, A. and Farina, V. and </w:t>
      </w:r>
      <w:proofErr w:type="spellStart"/>
      <w:r w:rsidRPr="00544CD8">
        <w:rPr>
          <w:rFonts w:eastAsiaTheme="minorHAnsi" w:cstheme="minorHAnsi"/>
        </w:rPr>
        <w:t>Schwizer</w:t>
      </w:r>
      <w:proofErr w:type="spellEnd"/>
      <w:r w:rsidRPr="00544CD8">
        <w:rPr>
          <w:rFonts w:eastAsiaTheme="minorHAnsi" w:cstheme="minorHAnsi"/>
        </w:rPr>
        <w:t>, P. (2005). Banking regulation towards advisory: the “culture compliance” of banks and supervisory a</w:t>
      </w:r>
      <w:r w:rsidR="00E0427C">
        <w:rPr>
          <w:rFonts w:eastAsiaTheme="minorHAnsi" w:cstheme="minorHAnsi"/>
        </w:rPr>
        <w:t>uthorities. MPRA Paper No. 8302, D</w:t>
      </w:r>
      <w:r w:rsidR="00E0427C" w:rsidRPr="00E0427C">
        <w:rPr>
          <w:rFonts w:eastAsiaTheme="minorHAnsi" w:cstheme="minorHAnsi"/>
        </w:rPr>
        <w:t>ownloaded 4 August 2014</w:t>
      </w:r>
      <w:r w:rsidRPr="00544CD8">
        <w:rPr>
          <w:rFonts w:eastAsiaTheme="minorHAnsi" w:cstheme="minorHAnsi"/>
        </w:rPr>
        <w:t xml:space="preserve"> </w:t>
      </w:r>
      <w:hyperlink r:id="rId15" w:history="1">
        <w:r w:rsidRPr="00544CD8">
          <w:rPr>
            <w:rFonts w:eastAsiaTheme="minorHAnsi" w:cstheme="minorHAnsi"/>
            <w:u w:val="single"/>
          </w:rPr>
          <w:t>http://mpra.ub.uni-muenchen.de/8302/</w:t>
        </w:r>
      </w:hyperlink>
      <w:r w:rsidRPr="00544CD8">
        <w:rPr>
          <w:rFonts w:eastAsiaTheme="minorHAnsi" w:cstheme="minorHAnsi"/>
        </w:rPr>
        <w:t xml:space="preserve"> </w:t>
      </w:r>
    </w:p>
    <w:p w14:paraId="77B66D28" w14:textId="0F3BAC6E" w:rsidR="0066388D" w:rsidRPr="00544CD8" w:rsidRDefault="0066388D" w:rsidP="00D82B0C">
      <w:pPr>
        <w:spacing w:line="480" w:lineRule="auto"/>
        <w:jc w:val="both"/>
        <w:rPr>
          <w:rFonts w:eastAsiaTheme="minorHAnsi" w:cstheme="minorHAnsi"/>
        </w:rPr>
      </w:pPr>
      <w:proofErr w:type="spellStart"/>
      <w:r w:rsidRPr="0066388D">
        <w:rPr>
          <w:rFonts w:eastAsiaTheme="minorHAnsi" w:cstheme="minorHAnsi"/>
        </w:rPr>
        <w:t>Carretta</w:t>
      </w:r>
      <w:proofErr w:type="spellEnd"/>
      <w:r w:rsidRPr="0066388D">
        <w:rPr>
          <w:rFonts w:eastAsiaTheme="minorHAnsi" w:cstheme="minorHAnsi"/>
        </w:rPr>
        <w:t xml:space="preserve">, A., Farina, V. and </w:t>
      </w:r>
      <w:proofErr w:type="spellStart"/>
      <w:r w:rsidRPr="0066388D">
        <w:rPr>
          <w:rFonts w:eastAsiaTheme="minorHAnsi" w:cstheme="minorHAnsi"/>
        </w:rPr>
        <w:t>Schw</w:t>
      </w:r>
      <w:r w:rsidR="00BE680E">
        <w:rPr>
          <w:rFonts w:eastAsiaTheme="minorHAnsi" w:cstheme="minorHAnsi"/>
        </w:rPr>
        <w:t>izer</w:t>
      </w:r>
      <w:proofErr w:type="spellEnd"/>
      <w:r w:rsidR="00BE680E">
        <w:rPr>
          <w:rFonts w:eastAsiaTheme="minorHAnsi" w:cstheme="minorHAnsi"/>
        </w:rPr>
        <w:t>, P. (2010</w:t>
      </w:r>
      <w:r w:rsidRPr="0066388D">
        <w:rPr>
          <w:rFonts w:eastAsiaTheme="minorHAnsi" w:cstheme="minorHAnsi"/>
        </w:rPr>
        <w:t>). The “day after” Basel 2: do regulators comply with banking culture? Journal of Financial Regulation and Compliance 18 (4), 316-332.</w:t>
      </w:r>
    </w:p>
    <w:p w14:paraId="244C870D" w14:textId="1E106FF9" w:rsidR="00D2085E" w:rsidRPr="00544CD8" w:rsidRDefault="00D2085E" w:rsidP="00D82B0C">
      <w:pPr>
        <w:spacing w:line="480" w:lineRule="auto"/>
        <w:jc w:val="both"/>
        <w:rPr>
          <w:rFonts w:eastAsiaTheme="minorHAnsi" w:cstheme="minorHAnsi"/>
        </w:rPr>
      </w:pPr>
      <w:r w:rsidRPr="00544CD8">
        <w:rPr>
          <w:rFonts w:eastAsiaTheme="minorHAnsi" w:cstheme="minorHAnsi"/>
        </w:rPr>
        <w:t>Compliance Exchange (2014). Barclays spending millions on truthfulness training at new compliance academy.</w:t>
      </w:r>
      <w:r w:rsidR="0066388D">
        <w:rPr>
          <w:rFonts w:eastAsiaTheme="minorHAnsi" w:cstheme="minorHAnsi"/>
        </w:rPr>
        <w:t xml:space="preserve"> D</w:t>
      </w:r>
      <w:r w:rsidR="0066388D" w:rsidRPr="0066388D">
        <w:rPr>
          <w:rFonts w:eastAsiaTheme="minorHAnsi" w:cstheme="minorHAnsi"/>
        </w:rPr>
        <w:t>ownloaded 14 July 2014</w:t>
      </w:r>
      <w:r w:rsidRPr="00544CD8">
        <w:rPr>
          <w:rFonts w:eastAsiaTheme="minorHAnsi" w:cstheme="minorHAnsi"/>
        </w:rPr>
        <w:t xml:space="preserve"> </w:t>
      </w:r>
      <w:hyperlink r:id="rId16" w:history="1">
        <w:r w:rsidRPr="00544CD8">
          <w:rPr>
            <w:rFonts w:eastAsiaTheme="minorHAnsi" w:cstheme="minorHAnsi"/>
            <w:u w:val="single"/>
          </w:rPr>
          <w:t>http://compliancex.com/barclays-spending-millions-on-truthfulness-training-at-new-compliance-academy/</w:t>
        </w:r>
      </w:hyperlink>
      <w:r w:rsidRPr="00544CD8">
        <w:rPr>
          <w:rFonts w:eastAsiaTheme="minorHAnsi" w:cstheme="minorHAnsi"/>
        </w:rPr>
        <w:t xml:space="preserve"> </w:t>
      </w:r>
    </w:p>
    <w:p w14:paraId="554A3D82" w14:textId="68A7E012" w:rsidR="00D2085E" w:rsidRPr="00544CD8" w:rsidRDefault="00D2085E" w:rsidP="00D82B0C">
      <w:pPr>
        <w:spacing w:line="480" w:lineRule="auto"/>
        <w:jc w:val="both"/>
        <w:rPr>
          <w:rFonts w:eastAsiaTheme="minorHAnsi" w:cstheme="minorHAnsi"/>
        </w:rPr>
      </w:pPr>
      <w:proofErr w:type="spellStart"/>
      <w:r w:rsidRPr="00544CD8">
        <w:rPr>
          <w:rFonts w:eastAsiaTheme="minorHAnsi" w:cstheme="minorHAnsi"/>
          <w:lang w:val="fr-FR"/>
        </w:rPr>
        <w:t>Crump</w:t>
      </w:r>
      <w:proofErr w:type="spellEnd"/>
      <w:r w:rsidRPr="00544CD8">
        <w:rPr>
          <w:rFonts w:eastAsiaTheme="minorHAnsi" w:cstheme="minorHAnsi"/>
          <w:lang w:val="fr-FR"/>
        </w:rPr>
        <w:t xml:space="preserve">, J. (2007). Passive vs. Active Compliance. </w:t>
      </w:r>
      <w:r w:rsidRPr="00544CD8">
        <w:rPr>
          <w:rFonts w:eastAsiaTheme="minorHAnsi" w:cstheme="minorHAnsi"/>
        </w:rPr>
        <w:t>Bank Accounting &amp; Finance</w:t>
      </w:r>
      <w:r w:rsidR="0093786B">
        <w:rPr>
          <w:rFonts w:eastAsiaTheme="minorHAnsi" w:cstheme="minorHAnsi"/>
        </w:rPr>
        <w:t xml:space="preserve"> 20 (2), </w:t>
      </w:r>
      <w:r w:rsidRPr="00544CD8">
        <w:rPr>
          <w:rFonts w:eastAsiaTheme="minorHAnsi" w:cstheme="minorHAnsi"/>
        </w:rPr>
        <w:t>45-48.</w:t>
      </w:r>
    </w:p>
    <w:p w14:paraId="1C26881C" w14:textId="3646D986" w:rsidR="00D2085E" w:rsidRPr="00544CD8" w:rsidRDefault="00D2085E" w:rsidP="00D82B0C">
      <w:pPr>
        <w:spacing w:line="480" w:lineRule="auto"/>
        <w:jc w:val="both"/>
        <w:rPr>
          <w:rFonts w:eastAsiaTheme="minorHAnsi" w:cstheme="minorHAnsi"/>
        </w:rPr>
      </w:pPr>
      <w:proofErr w:type="spellStart"/>
      <w:r w:rsidRPr="00544CD8">
        <w:rPr>
          <w:rFonts w:eastAsiaTheme="minorHAnsi" w:cstheme="minorHAnsi"/>
        </w:rPr>
        <w:t>Dimaggio</w:t>
      </w:r>
      <w:proofErr w:type="spellEnd"/>
      <w:r w:rsidRPr="00544CD8">
        <w:rPr>
          <w:rFonts w:eastAsiaTheme="minorHAnsi" w:cstheme="minorHAnsi"/>
        </w:rPr>
        <w:t>, P.J. and Powell, W.W. (1983). The Iron Cage Revisited: Institutional Isomorphism and Collective Rationality in Organizational Fields. American Sociological Review</w:t>
      </w:r>
      <w:r w:rsidR="0093786B">
        <w:rPr>
          <w:rFonts w:eastAsiaTheme="minorHAnsi" w:cstheme="minorHAnsi"/>
        </w:rPr>
        <w:t xml:space="preserve"> 48 (2),</w:t>
      </w:r>
      <w:r w:rsidRPr="00544CD8">
        <w:rPr>
          <w:rFonts w:eastAsiaTheme="minorHAnsi" w:cstheme="minorHAnsi"/>
        </w:rPr>
        <w:t xml:space="preserve"> 147-160.</w:t>
      </w:r>
    </w:p>
    <w:p w14:paraId="0D405285" w14:textId="5440D86F" w:rsidR="00D2085E" w:rsidRPr="00544CD8" w:rsidRDefault="00D2085E" w:rsidP="00D82B0C">
      <w:pPr>
        <w:spacing w:line="480" w:lineRule="auto"/>
        <w:jc w:val="both"/>
        <w:rPr>
          <w:rFonts w:eastAsiaTheme="minorHAnsi" w:cstheme="minorHAnsi"/>
        </w:rPr>
      </w:pPr>
      <w:r w:rsidRPr="00544CD8">
        <w:rPr>
          <w:rFonts w:eastAsiaTheme="minorHAnsi" w:cstheme="minorHAnsi"/>
        </w:rPr>
        <w:t xml:space="preserve">DiMaggio, P.J. (1997). Culture and cognition. </w:t>
      </w:r>
      <w:r w:rsidR="0093786B">
        <w:rPr>
          <w:rFonts w:eastAsiaTheme="minorHAnsi" w:cstheme="minorHAnsi"/>
        </w:rPr>
        <w:t>Annual review of Sociology</w:t>
      </w:r>
      <w:r w:rsidRPr="00544CD8">
        <w:rPr>
          <w:rFonts w:eastAsiaTheme="minorHAnsi" w:cstheme="minorHAnsi"/>
        </w:rPr>
        <w:t xml:space="preserve"> </w:t>
      </w:r>
      <w:r w:rsidR="0093786B">
        <w:rPr>
          <w:rFonts w:eastAsiaTheme="minorHAnsi" w:cstheme="minorHAnsi"/>
        </w:rPr>
        <w:t>23,</w:t>
      </w:r>
      <w:r w:rsidRPr="00544CD8">
        <w:rPr>
          <w:rFonts w:eastAsiaTheme="minorHAnsi" w:cstheme="minorHAnsi"/>
        </w:rPr>
        <w:t xml:space="preserve"> 263-287.</w:t>
      </w:r>
    </w:p>
    <w:p w14:paraId="77AA8291" w14:textId="03458F68" w:rsidR="00D2085E" w:rsidRPr="00544CD8" w:rsidRDefault="00D2085E" w:rsidP="00D82B0C">
      <w:pPr>
        <w:spacing w:line="480" w:lineRule="auto"/>
        <w:jc w:val="both"/>
        <w:rPr>
          <w:rFonts w:eastAsiaTheme="minorHAnsi" w:cstheme="minorHAnsi"/>
        </w:rPr>
      </w:pPr>
      <w:proofErr w:type="spellStart"/>
      <w:r w:rsidRPr="00544CD8">
        <w:rPr>
          <w:rFonts w:eastAsiaTheme="minorHAnsi" w:cstheme="minorHAnsi"/>
        </w:rPr>
        <w:t>Duska</w:t>
      </w:r>
      <w:proofErr w:type="spellEnd"/>
      <w:r w:rsidRPr="00544CD8">
        <w:rPr>
          <w:rFonts w:eastAsiaTheme="minorHAnsi" w:cstheme="minorHAnsi"/>
        </w:rPr>
        <w:t xml:space="preserve">, R.F. (2011). Those Darn Compliance Rules. Journal of </w:t>
      </w:r>
      <w:r w:rsidR="0093786B">
        <w:rPr>
          <w:rFonts w:eastAsiaTheme="minorHAnsi" w:cstheme="minorHAnsi"/>
        </w:rPr>
        <w:t>Financial Service Professionals 65 (5),</w:t>
      </w:r>
      <w:r w:rsidRPr="00544CD8">
        <w:rPr>
          <w:rFonts w:eastAsiaTheme="minorHAnsi" w:cstheme="minorHAnsi"/>
        </w:rPr>
        <w:t xml:space="preserve"> 22-24.</w:t>
      </w:r>
    </w:p>
    <w:p w14:paraId="635FF51A" w14:textId="5BD2D1E4" w:rsidR="00D2085E" w:rsidRPr="00544CD8" w:rsidRDefault="00D2085E" w:rsidP="00D82B0C">
      <w:pPr>
        <w:spacing w:line="480" w:lineRule="auto"/>
        <w:jc w:val="both"/>
        <w:rPr>
          <w:rFonts w:eastAsiaTheme="minorHAnsi" w:cstheme="minorHAnsi"/>
        </w:rPr>
      </w:pPr>
      <w:r w:rsidRPr="00544CD8">
        <w:rPr>
          <w:rFonts w:eastAsiaTheme="minorHAnsi" w:cstheme="minorHAnsi"/>
        </w:rPr>
        <w:t>Edwards, J. (2003). Individual and corporate compliance competence: An ethical approach. Journal of Financial Regulation and Compliance</w:t>
      </w:r>
      <w:r w:rsidR="0093786B">
        <w:rPr>
          <w:rFonts w:eastAsiaTheme="minorHAnsi" w:cstheme="minorHAnsi"/>
        </w:rPr>
        <w:t xml:space="preserve"> 11 (3),</w:t>
      </w:r>
      <w:r w:rsidRPr="00544CD8">
        <w:rPr>
          <w:rFonts w:eastAsiaTheme="minorHAnsi" w:cstheme="minorHAnsi"/>
        </w:rPr>
        <w:t xml:space="preserve"> 225-235.</w:t>
      </w:r>
    </w:p>
    <w:p w14:paraId="734ACD2B" w14:textId="18704B1C" w:rsidR="00D2085E" w:rsidRPr="00544CD8" w:rsidRDefault="00D2085E" w:rsidP="00D82B0C">
      <w:pPr>
        <w:spacing w:line="480" w:lineRule="auto"/>
        <w:jc w:val="both"/>
        <w:rPr>
          <w:rFonts w:eastAsiaTheme="minorHAnsi" w:cstheme="minorHAnsi"/>
        </w:rPr>
      </w:pPr>
      <w:r w:rsidRPr="00544CD8">
        <w:rPr>
          <w:rFonts w:eastAsiaTheme="minorHAnsi" w:cstheme="minorHAnsi"/>
        </w:rPr>
        <w:lastRenderedPageBreak/>
        <w:t>Edwards, J. and Wolfe, S. (2004). The compliance function in banks. Journal of</w:t>
      </w:r>
      <w:r w:rsidR="0093786B">
        <w:rPr>
          <w:rFonts w:eastAsiaTheme="minorHAnsi" w:cstheme="minorHAnsi"/>
        </w:rPr>
        <w:t xml:space="preserve"> Financial Regulation 12 (3),</w:t>
      </w:r>
      <w:r w:rsidRPr="00544CD8">
        <w:rPr>
          <w:rFonts w:eastAsiaTheme="minorHAnsi" w:cstheme="minorHAnsi"/>
        </w:rPr>
        <w:t xml:space="preserve"> 216-224.</w:t>
      </w:r>
    </w:p>
    <w:p w14:paraId="17ADEBF3" w14:textId="5578E51D" w:rsidR="00D2085E" w:rsidRPr="00544CD8" w:rsidRDefault="00D2085E" w:rsidP="00D82B0C">
      <w:pPr>
        <w:spacing w:line="480" w:lineRule="auto"/>
        <w:jc w:val="both"/>
        <w:rPr>
          <w:rFonts w:eastAsiaTheme="minorHAnsi" w:cstheme="minorHAnsi"/>
        </w:rPr>
      </w:pPr>
      <w:r w:rsidRPr="00544CD8">
        <w:rPr>
          <w:rFonts w:eastAsiaTheme="minorHAnsi" w:cstheme="minorHAnsi"/>
        </w:rPr>
        <w:t>Edwards, J. and Wolfe, S. (2005). Compliance: A review. Journal of Financial Regulation and Compliance</w:t>
      </w:r>
      <w:r w:rsidR="0093786B">
        <w:rPr>
          <w:rFonts w:eastAsiaTheme="minorHAnsi" w:cstheme="minorHAnsi"/>
        </w:rPr>
        <w:t xml:space="preserve"> 13 (1),</w:t>
      </w:r>
      <w:r w:rsidRPr="00544CD8">
        <w:rPr>
          <w:rFonts w:eastAsiaTheme="minorHAnsi" w:cstheme="minorHAnsi"/>
        </w:rPr>
        <w:t xml:space="preserve"> 48-59.</w:t>
      </w:r>
    </w:p>
    <w:p w14:paraId="55972264" w14:textId="11CC0207" w:rsidR="00E15C79" w:rsidRPr="00544CD8" w:rsidRDefault="00E15C79" w:rsidP="00D82B0C">
      <w:pPr>
        <w:spacing w:line="480" w:lineRule="auto"/>
        <w:jc w:val="both"/>
        <w:rPr>
          <w:rFonts w:eastAsiaTheme="minorHAnsi" w:cstheme="minorHAnsi"/>
        </w:rPr>
      </w:pPr>
      <w:r w:rsidRPr="00544CD8">
        <w:rPr>
          <w:rFonts w:eastAsiaTheme="minorHAnsi" w:cstheme="minorHAnsi"/>
        </w:rPr>
        <w:t xml:space="preserve">English, S. and Hammond, S. (2012). Cost of Compliance, 2012. Thomson Reuters, </w:t>
      </w:r>
      <w:r w:rsidR="0093786B">
        <w:rPr>
          <w:rFonts w:eastAsiaTheme="minorHAnsi" w:cstheme="minorHAnsi"/>
        </w:rPr>
        <w:t>D</w:t>
      </w:r>
      <w:r w:rsidR="0093786B" w:rsidRPr="0093786B">
        <w:rPr>
          <w:rFonts w:eastAsiaTheme="minorHAnsi" w:cstheme="minorHAnsi"/>
        </w:rPr>
        <w:t>ownloaded 12 November 2015</w:t>
      </w:r>
      <w:r w:rsidR="0093786B">
        <w:rPr>
          <w:rFonts w:eastAsiaTheme="minorHAnsi" w:cstheme="minorHAnsi"/>
        </w:rPr>
        <w:t xml:space="preserve"> </w:t>
      </w:r>
      <w:r w:rsidRPr="00544CD8">
        <w:rPr>
          <w:rFonts w:eastAsiaTheme="minorHAnsi" w:cstheme="minorHAnsi"/>
        </w:rPr>
        <w:t xml:space="preserve">https://risk.thomsonreuters.com/it/special-report/cost-compliance-survey-2012 </w:t>
      </w:r>
    </w:p>
    <w:p w14:paraId="4739F83D" w14:textId="34B81DE4" w:rsidR="00E15C79" w:rsidRPr="00544CD8" w:rsidRDefault="00E15C79" w:rsidP="00D82B0C">
      <w:pPr>
        <w:spacing w:line="480" w:lineRule="auto"/>
        <w:jc w:val="both"/>
        <w:rPr>
          <w:rFonts w:eastAsiaTheme="minorHAnsi" w:cstheme="minorHAnsi"/>
        </w:rPr>
      </w:pPr>
      <w:r w:rsidRPr="00544CD8">
        <w:rPr>
          <w:rFonts w:eastAsiaTheme="minorHAnsi" w:cstheme="minorHAnsi"/>
        </w:rPr>
        <w:t xml:space="preserve">English, S. and Hammond, S. (2015). Cost of Compliance, 2015. Thomson Reuters, </w:t>
      </w:r>
      <w:r w:rsidR="0093786B">
        <w:rPr>
          <w:rFonts w:eastAsiaTheme="minorHAnsi" w:cstheme="minorHAnsi"/>
        </w:rPr>
        <w:t>D</w:t>
      </w:r>
      <w:r w:rsidR="0093786B" w:rsidRPr="00544CD8">
        <w:rPr>
          <w:rFonts w:eastAsiaTheme="minorHAnsi" w:cstheme="minorHAnsi"/>
        </w:rPr>
        <w:t>ownloaded 12 November 2015</w:t>
      </w:r>
      <w:r w:rsidR="0093786B">
        <w:rPr>
          <w:rFonts w:eastAsiaTheme="minorHAnsi" w:cstheme="minorHAnsi"/>
        </w:rPr>
        <w:t xml:space="preserve"> </w:t>
      </w:r>
      <w:r w:rsidRPr="00544CD8">
        <w:rPr>
          <w:rFonts w:eastAsiaTheme="minorHAnsi" w:cstheme="minorHAnsi"/>
        </w:rPr>
        <w:t xml:space="preserve">https://risk.thomsonreuters.com/sites/default/files/GRC02332.pdf </w:t>
      </w:r>
    </w:p>
    <w:p w14:paraId="0641908A" w14:textId="46A6F7F4" w:rsidR="00D2085E" w:rsidRPr="00544CD8" w:rsidRDefault="00D2085E" w:rsidP="00D82B0C">
      <w:pPr>
        <w:spacing w:line="480" w:lineRule="auto"/>
        <w:jc w:val="both"/>
        <w:rPr>
          <w:rFonts w:eastAsiaTheme="minorHAnsi" w:cstheme="minorHAnsi"/>
        </w:rPr>
      </w:pPr>
      <w:r w:rsidRPr="00544CD8">
        <w:rPr>
          <w:rFonts w:eastAsiaTheme="minorHAnsi" w:cstheme="minorHAnsi"/>
        </w:rPr>
        <w:t>Ernst and Young (2014)</w:t>
      </w:r>
      <w:r w:rsidR="0093786B">
        <w:rPr>
          <w:rFonts w:eastAsiaTheme="minorHAnsi" w:cstheme="minorHAnsi"/>
        </w:rPr>
        <w:t xml:space="preserve">. Senior Managers on the Hook. Downloaded 03 June </w:t>
      </w:r>
      <w:r w:rsidRPr="00544CD8">
        <w:rPr>
          <w:rFonts w:eastAsiaTheme="minorHAnsi" w:cstheme="minorHAnsi"/>
        </w:rPr>
        <w:t>2015 http://www.ey.com/UK/en/Industries/Financial-Services/Banking---Capital-Markets/EY-senior-manager-regime</w:t>
      </w:r>
    </w:p>
    <w:p w14:paraId="1C52A7A5" w14:textId="4F4A6457" w:rsidR="00D2085E" w:rsidRPr="00544CD8" w:rsidRDefault="00D2085E" w:rsidP="00D82B0C">
      <w:pPr>
        <w:spacing w:line="480" w:lineRule="auto"/>
        <w:jc w:val="both"/>
        <w:rPr>
          <w:rFonts w:eastAsiaTheme="minorHAnsi" w:cstheme="minorHAnsi"/>
        </w:rPr>
      </w:pPr>
      <w:proofErr w:type="spellStart"/>
      <w:r w:rsidRPr="00544CD8">
        <w:rPr>
          <w:rFonts w:eastAsiaTheme="minorHAnsi" w:cstheme="minorHAnsi"/>
        </w:rPr>
        <w:t>Fashola</w:t>
      </w:r>
      <w:proofErr w:type="spellEnd"/>
      <w:r w:rsidRPr="00544CD8">
        <w:rPr>
          <w:rFonts w:eastAsiaTheme="minorHAnsi" w:cstheme="minorHAnsi"/>
        </w:rPr>
        <w:t>, O.I. (2014). Banking and the Customer: A Neo-Institutional Reconfiguration. Research Journal of Finance and Accounting</w:t>
      </w:r>
      <w:r w:rsidR="00FF1157">
        <w:rPr>
          <w:rFonts w:eastAsiaTheme="minorHAnsi" w:cstheme="minorHAnsi"/>
        </w:rPr>
        <w:t xml:space="preserve"> 5(16), Downloaded 05 June</w:t>
      </w:r>
      <w:r w:rsidRPr="00544CD8">
        <w:rPr>
          <w:rFonts w:eastAsiaTheme="minorHAnsi" w:cstheme="minorHAnsi"/>
        </w:rPr>
        <w:t xml:space="preserve"> 2015 </w:t>
      </w:r>
      <w:hyperlink r:id="rId17" w:history="1">
        <w:r w:rsidR="006F41EE" w:rsidRPr="00544CD8">
          <w:rPr>
            <w:rStyle w:val="Hyperlink"/>
            <w:rFonts w:eastAsiaTheme="minorHAnsi" w:cstheme="minorHAnsi"/>
            <w:color w:val="auto"/>
          </w:rPr>
          <w:t>http://iiste.org/Journals/index.php/RJFA/article/view/14807</w:t>
        </w:r>
      </w:hyperlink>
    </w:p>
    <w:p w14:paraId="29F6308C" w14:textId="2411662F" w:rsidR="00D2085E" w:rsidRPr="00544CD8" w:rsidRDefault="00D2085E" w:rsidP="00D82B0C">
      <w:pPr>
        <w:spacing w:line="480" w:lineRule="auto"/>
      </w:pPr>
      <w:r w:rsidRPr="00544CD8">
        <w:t>FCA (2013). ICAP Europe Limited fined £14million for significant failings in relati</w:t>
      </w:r>
      <w:r w:rsidR="00114FF5">
        <w:t xml:space="preserve">on to LIBOR. dated 25/09/2013, Downloaded 25 June </w:t>
      </w:r>
      <w:r w:rsidRPr="00544CD8">
        <w:t xml:space="preserve">2014 </w:t>
      </w:r>
      <w:hyperlink r:id="rId18" w:history="1">
        <w:r w:rsidR="006F41EE" w:rsidRPr="00544CD8">
          <w:rPr>
            <w:rStyle w:val="Hyperlink"/>
            <w:color w:val="auto"/>
          </w:rPr>
          <w:t>http://www.fca.org.uk/news/icap-europe-limited-fined</w:t>
        </w:r>
      </w:hyperlink>
    </w:p>
    <w:p w14:paraId="64B128E6" w14:textId="2FBB6206" w:rsidR="006F41EE" w:rsidRPr="00544CD8" w:rsidRDefault="006F41EE" w:rsidP="00D82B0C">
      <w:pPr>
        <w:spacing w:line="480" w:lineRule="auto"/>
      </w:pPr>
      <w:r w:rsidRPr="00544CD8">
        <w:t xml:space="preserve">FCA (2013a). The importance of culture in driving behaviours of firms and how the FCA will </w:t>
      </w:r>
      <w:r w:rsidR="005A51D9">
        <w:t xml:space="preserve">assess this. Dated 18/07/2013, Downloaded 1 March </w:t>
      </w:r>
      <w:r w:rsidRPr="00544CD8">
        <w:t xml:space="preserve">2016 </w:t>
      </w:r>
      <w:hyperlink r:id="rId19" w:history="1">
        <w:r w:rsidR="005E4155" w:rsidRPr="00544CD8">
          <w:rPr>
            <w:rStyle w:val="Hyperlink"/>
            <w:color w:val="auto"/>
          </w:rPr>
          <w:t>http://www.fca.org.uk/news/regulation-professionalism</w:t>
        </w:r>
      </w:hyperlink>
    </w:p>
    <w:p w14:paraId="44BCCAC0" w14:textId="7938BB10" w:rsidR="00117BFE" w:rsidRPr="00544CD8" w:rsidRDefault="00117BFE" w:rsidP="00D82B0C">
      <w:pPr>
        <w:spacing w:line="480" w:lineRule="auto"/>
      </w:pPr>
      <w:r w:rsidRPr="00544CD8">
        <w:t>FCA (2013b). Final Notice Lloyds TSB</w:t>
      </w:r>
      <w:r w:rsidR="0062031B" w:rsidRPr="00544CD8">
        <w:t xml:space="preserve"> Bank</w:t>
      </w:r>
      <w:r w:rsidR="005A51D9">
        <w:t xml:space="preserve"> plc. Dated 10/12/13, Downloaded 25 June </w:t>
      </w:r>
      <w:r w:rsidRPr="00544CD8">
        <w:t xml:space="preserve">2014 </w:t>
      </w:r>
      <w:hyperlink r:id="rId20" w:history="1">
        <w:r w:rsidR="00287781" w:rsidRPr="00544CD8">
          <w:rPr>
            <w:rStyle w:val="Hyperlink"/>
            <w:color w:val="auto"/>
          </w:rPr>
          <w:t>https://www.fca.org.uk/publication/final-notices/lloyds-tsb-bank-and-bank-of-scotland.pdf</w:t>
        </w:r>
      </w:hyperlink>
    </w:p>
    <w:p w14:paraId="22336012" w14:textId="5A71AD3F" w:rsidR="00287781" w:rsidRPr="00544CD8" w:rsidRDefault="00287781" w:rsidP="00D82B0C">
      <w:pPr>
        <w:spacing w:line="480" w:lineRule="auto"/>
      </w:pPr>
      <w:r w:rsidRPr="00544CD8">
        <w:lastRenderedPageBreak/>
        <w:t xml:space="preserve">FCA (2013c). </w:t>
      </w:r>
      <w:r w:rsidR="00A721D8" w:rsidRPr="00544CD8">
        <w:t>Firm fined £1.8million</w:t>
      </w:r>
      <w:r w:rsidR="005A51D9">
        <w:t xml:space="preserve">. Dated 19/12/13, Downloaded 25 June </w:t>
      </w:r>
      <w:r w:rsidRPr="00544CD8">
        <w:t xml:space="preserve">2014 </w:t>
      </w:r>
      <w:hyperlink r:id="rId21" w:history="1">
        <w:r w:rsidR="00F91012" w:rsidRPr="00544CD8">
          <w:rPr>
            <w:rStyle w:val="Hyperlink"/>
            <w:color w:val="auto"/>
          </w:rPr>
          <w:t>https://www.fca.org.uk/news/press-releases/firm-fined-%C2%A318million-unacceptable-approach-bribery-corruption-risks-overseas</w:t>
        </w:r>
      </w:hyperlink>
    </w:p>
    <w:p w14:paraId="0E81887B" w14:textId="5B1F4ACB" w:rsidR="00F91012" w:rsidRPr="00544CD8" w:rsidRDefault="00F91012" w:rsidP="00D82B0C">
      <w:pPr>
        <w:spacing w:line="480" w:lineRule="auto"/>
      </w:pPr>
      <w:r w:rsidRPr="00544CD8">
        <w:t>FCA (2013d). JPMorgan Chase Bank N.A. fined £</w:t>
      </w:r>
      <w:r w:rsidR="005A51D9">
        <w:t xml:space="preserve">137,610,000. Dated 19/10/2013, Downloaded 25 June </w:t>
      </w:r>
      <w:r w:rsidRPr="00544CD8">
        <w:t xml:space="preserve">2014 </w:t>
      </w:r>
      <w:hyperlink r:id="rId22" w:history="1">
        <w:r w:rsidR="007A075C" w:rsidRPr="00544CD8">
          <w:rPr>
            <w:rStyle w:val="Hyperlink"/>
            <w:color w:val="auto"/>
          </w:rPr>
          <w:t>https://www.fca.org.uk/news/press-releases/jpmorgan-chase-bank-na-fined-%C2%A3137610000-serious-failings-relating-its-chief</w:t>
        </w:r>
      </w:hyperlink>
    </w:p>
    <w:p w14:paraId="366F495F" w14:textId="4EA8758C" w:rsidR="007A075C" w:rsidRPr="00544CD8" w:rsidRDefault="007A075C" w:rsidP="00D82B0C">
      <w:pPr>
        <w:spacing w:line="480" w:lineRule="auto"/>
      </w:pPr>
      <w:r w:rsidRPr="00544CD8">
        <w:rPr>
          <w:lang w:val="es-ES"/>
        </w:rPr>
        <w:t xml:space="preserve">FCA (2013e). Final </w:t>
      </w:r>
      <w:proofErr w:type="spellStart"/>
      <w:r w:rsidRPr="00544CD8">
        <w:rPr>
          <w:lang w:val="es-ES"/>
        </w:rPr>
        <w:t>Notice</w:t>
      </w:r>
      <w:proofErr w:type="spellEnd"/>
      <w:r w:rsidRPr="00544CD8">
        <w:rPr>
          <w:lang w:val="es-ES"/>
        </w:rPr>
        <w:t xml:space="preserve"> </w:t>
      </w:r>
      <w:proofErr w:type="spellStart"/>
      <w:r w:rsidRPr="00544CD8">
        <w:rPr>
          <w:lang w:val="es-ES"/>
        </w:rPr>
        <w:t>Sesame</w:t>
      </w:r>
      <w:proofErr w:type="spellEnd"/>
      <w:r w:rsidRPr="00544CD8">
        <w:rPr>
          <w:lang w:val="es-ES"/>
        </w:rPr>
        <w:t xml:space="preserve">. </w:t>
      </w:r>
      <w:r w:rsidR="003458EA" w:rsidRPr="00544CD8">
        <w:t>Dated 05</w:t>
      </w:r>
      <w:r w:rsidR="005A51D9">
        <w:t xml:space="preserve">/06/2013, Downloaded 25 June </w:t>
      </w:r>
      <w:r w:rsidRPr="00544CD8">
        <w:t xml:space="preserve">2014 </w:t>
      </w:r>
      <w:hyperlink r:id="rId23" w:history="1">
        <w:r w:rsidR="000407C6" w:rsidRPr="00544CD8">
          <w:rPr>
            <w:rStyle w:val="Hyperlink"/>
            <w:color w:val="auto"/>
          </w:rPr>
          <w:t>https://www.fca.org.uk/publication/final-notices/sesame-limited.pdf</w:t>
        </w:r>
      </w:hyperlink>
    </w:p>
    <w:p w14:paraId="66B1AABF" w14:textId="5DB6B6EE" w:rsidR="000407C6" w:rsidRPr="00544CD8" w:rsidRDefault="000407C6" w:rsidP="00D82B0C">
      <w:pPr>
        <w:spacing w:line="480" w:lineRule="auto"/>
      </w:pPr>
      <w:r w:rsidRPr="00544CD8">
        <w:t xml:space="preserve">FCA (2013f). FCA fines </w:t>
      </w:r>
      <w:proofErr w:type="spellStart"/>
      <w:r w:rsidRPr="00544CD8">
        <w:t>Rabobank</w:t>
      </w:r>
      <w:proofErr w:type="spellEnd"/>
      <w:r w:rsidRPr="00544CD8">
        <w:t xml:space="preserve"> £105 million for serious LIBOR-related </w:t>
      </w:r>
      <w:r w:rsidR="00B041E2">
        <w:t xml:space="preserve">misconduct . Dated 29/10/2013, Downloaded 25 June </w:t>
      </w:r>
      <w:r w:rsidRPr="00544CD8">
        <w:t>2014 https://www.fca.org.uk/news/press-releases/fca-fines-rabobank-%C2%A3105-million-serious-libor-related-misconduct</w:t>
      </w:r>
    </w:p>
    <w:p w14:paraId="70D82C07" w14:textId="3FFA838D" w:rsidR="005E4155" w:rsidRPr="00544CD8" w:rsidRDefault="005E4155" w:rsidP="00D82B0C">
      <w:pPr>
        <w:spacing w:line="480" w:lineRule="auto"/>
      </w:pPr>
      <w:r w:rsidRPr="00544CD8">
        <w:t>FCA (2014). Wonga to pay redress for unfair debt collectio</w:t>
      </w:r>
      <w:r w:rsidR="00B041E2">
        <w:t xml:space="preserve">n practices. Dated 25/06/2014, Downloaded 22 March </w:t>
      </w:r>
      <w:r w:rsidRPr="00544CD8">
        <w:t>2017 https://www.fca.org.uk/news/press-releases/wonga-pay-redress-unfair-debt-collection-practices</w:t>
      </w:r>
    </w:p>
    <w:p w14:paraId="7B7AE8AD" w14:textId="597D04BD" w:rsidR="00D2085E" w:rsidRPr="00544CD8" w:rsidRDefault="00D2085E" w:rsidP="00D82B0C">
      <w:pPr>
        <w:spacing w:line="480" w:lineRule="auto"/>
        <w:jc w:val="both"/>
        <w:rPr>
          <w:u w:val="single"/>
        </w:rPr>
      </w:pPr>
      <w:r w:rsidRPr="00544CD8">
        <w:t>FCA (2014</w:t>
      </w:r>
      <w:r w:rsidR="0036096A" w:rsidRPr="00544CD8">
        <w:t>a</w:t>
      </w:r>
      <w:r w:rsidRPr="00544CD8">
        <w:t>). Martin Brokers (UK) Ltd fined £630,000 for significant failings in relation to LI</w:t>
      </w:r>
      <w:r w:rsidR="00B041E2">
        <w:t xml:space="preserve">BOR. Dated 20/05/2014, Downloaded 25 June </w:t>
      </w:r>
      <w:r w:rsidRPr="00544CD8">
        <w:t xml:space="preserve">2014 </w:t>
      </w:r>
      <w:hyperlink r:id="rId24" w:history="1">
        <w:r w:rsidRPr="00544CD8">
          <w:rPr>
            <w:u w:val="single"/>
          </w:rPr>
          <w:t>http://www.fca.org.uk/news/press-releases/martin-brokers-uk-limited-fined-630000-for-significant-failings-in-relation-to-libor</w:t>
        </w:r>
      </w:hyperlink>
    </w:p>
    <w:p w14:paraId="49772525" w14:textId="55675321" w:rsidR="00F719EE" w:rsidRPr="00544CD8" w:rsidRDefault="00F719EE" w:rsidP="00D82B0C">
      <w:pPr>
        <w:spacing w:line="480" w:lineRule="auto"/>
        <w:jc w:val="both"/>
        <w:rPr>
          <w:u w:val="single"/>
        </w:rPr>
      </w:pPr>
      <w:r w:rsidRPr="00544CD8">
        <w:rPr>
          <w:u w:val="single"/>
        </w:rPr>
        <w:t>FCA (2014b). Final Notice State Street</w:t>
      </w:r>
      <w:r w:rsidR="003B29AB" w:rsidRPr="00544CD8">
        <w:rPr>
          <w:u w:val="single"/>
        </w:rPr>
        <w:t xml:space="preserve"> . D</w:t>
      </w:r>
      <w:r w:rsidR="00B041E2">
        <w:rPr>
          <w:u w:val="single"/>
        </w:rPr>
        <w:t xml:space="preserve">ated 30/01/2014, Downloaded 22 March </w:t>
      </w:r>
      <w:r w:rsidRPr="00544CD8">
        <w:rPr>
          <w:u w:val="single"/>
        </w:rPr>
        <w:t xml:space="preserve">2014 </w:t>
      </w:r>
      <w:hyperlink r:id="rId25" w:history="1">
        <w:r w:rsidR="003B29AB" w:rsidRPr="00544CD8">
          <w:rPr>
            <w:rStyle w:val="Hyperlink"/>
            <w:color w:val="auto"/>
          </w:rPr>
          <w:t>https://www.fca.org.uk/publication/final-notices/state-street.pdf</w:t>
        </w:r>
      </w:hyperlink>
    </w:p>
    <w:p w14:paraId="2B804A4C" w14:textId="1E592CE3" w:rsidR="003B29AB" w:rsidRPr="00544CD8" w:rsidRDefault="003B29AB" w:rsidP="00D82B0C">
      <w:pPr>
        <w:spacing w:line="480" w:lineRule="auto"/>
        <w:jc w:val="both"/>
        <w:rPr>
          <w:rStyle w:val="Hyperlink"/>
          <w:color w:val="auto"/>
        </w:rPr>
      </w:pPr>
      <w:r w:rsidRPr="00544CD8">
        <w:rPr>
          <w:u w:val="single"/>
        </w:rPr>
        <w:t>FCA (2014c). HomeServe fined £30 million for widesp</w:t>
      </w:r>
      <w:r w:rsidR="00B041E2">
        <w:rPr>
          <w:u w:val="single"/>
        </w:rPr>
        <w:t xml:space="preserve">read failings. Dated 13/02/14, Downloaded 22 March </w:t>
      </w:r>
      <w:r w:rsidRPr="00544CD8">
        <w:rPr>
          <w:u w:val="single"/>
        </w:rPr>
        <w:t xml:space="preserve">2014 </w:t>
      </w:r>
      <w:hyperlink r:id="rId26" w:history="1">
        <w:r w:rsidR="0021021A" w:rsidRPr="00544CD8">
          <w:rPr>
            <w:rStyle w:val="Hyperlink"/>
            <w:color w:val="auto"/>
          </w:rPr>
          <w:t>https://www.fca.org.uk/news/press-releases/homeserve-fined-%C2%A330-million-widespread-failings</w:t>
        </w:r>
      </w:hyperlink>
    </w:p>
    <w:p w14:paraId="3FF14DF3" w14:textId="05B435FC" w:rsidR="009609F8" w:rsidRPr="00544CD8" w:rsidRDefault="009609F8" w:rsidP="00D82B0C">
      <w:pPr>
        <w:spacing w:line="480" w:lineRule="auto"/>
        <w:jc w:val="both"/>
        <w:rPr>
          <w:u w:val="single"/>
        </w:rPr>
      </w:pPr>
      <w:r w:rsidRPr="00544CD8">
        <w:rPr>
          <w:u w:val="single"/>
        </w:rPr>
        <w:lastRenderedPageBreak/>
        <w:t>FCA (2014d). Best of British Conference. Downloaded 31 January 2018 https://www.fca.org.uk/news/speeches/best-british-conference</w:t>
      </w:r>
    </w:p>
    <w:p w14:paraId="2A3EBB27" w14:textId="2F2AD8AA" w:rsidR="0021021A" w:rsidRPr="00544CD8" w:rsidRDefault="0021021A" w:rsidP="00D82B0C">
      <w:pPr>
        <w:spacing w:line="480" w:lineRule="auto"/>
        <w:jc w:val="both"/>
        <w:rPr>
          <w:u w:val="single"/>
        </w:rPr>
      </w:pPr>
      <w:r w:rsidRPr="00544CD8">
        <w:rPr>
          <w:u w:val="single"/>
        </w:rPr>
        <w:t xml:space="preserve">FCA (2015). FCA fines </w:t>
      </w:r>
      <w:proofErr w:type="spellStart"/>
      <w:r w:rsidRPr="00544CD8">
        <w:rPr>
          <w:u w:val="single"/>
        </w:rPr>
        <w:t>Threadneedle</w:t>
      </w:r>
      <w:proofErr w:type="spellEnd"/>
      <w:r w:rsidRPr="00544CD8">
        <w:rPr>
          <w:u w:val="single"/>
        </w:rPr>
        <w:t xml:space="preserve"> Asset Management Limited £6m. D</w:t>
      </w:r>
      <w:r w:rsidR="00B041E2">
        <w:rPr>
          <w:u w:val="single"/>
        </w:rPr>
        <w:t xml:space="preserve">ated 15/12/15, Downloaded 22 March </w:t>
      </w:r>
      <w:r w:rsidRPr="00544CD8">
        <w:rPr>
          <w:u w:val="single"/>
        </w:rPr>
        <w:t xml:space="preserve">2017 </w:t>
      </w:r>
      <w:hyperlink r:id="rId27" w:history="1">
        <w:r w:rsidR="006B642E" w:rsidRPr="00544CD8">
          <w:rPr>
            <w:rStyle w:val="Hyperlink"/>
            <w:color w:val="auto"/>
          </w:rPr>
          <w:t>https://www.fca.org.uk/news/press-releases/fca-fines-threadneedle-asset-management-limited-%C2%A36m</w:t>
        </w:r>
      </w:hyperlink>
    </w:p>
    <w:p w14:paraId="6C353B08" w14:textId="435652F6" w:rsidR="006B642E" w:rsidRPr="00544CD8" w:rsidRDefault="006B642E" w:rsidP="00D82B0C">
      <w:pPr>
        <w:spacing w:line="480" w:lineRule="auto"/>
        <w:jc w:val="both"/>
        <w:rPr>
          <w:u w:val="single"/>
        </w:rPr>
      </w:pPr>
      <w:r w:rsidRPr="00544CD8">
        <w:rPr>
          <w:u w:val="single"/>
        </w:rPr>
        <w:t xml:space="preserve">FCA (2015b). FCA fines Barclays £72 million for poor handling of financial </w:t>
      </w:r>
      <w:r w:rsidR="0079104D">
        <w:rPr>
          <w:u w:val="single"/>
        </w:rPr>
        <w:t xml:space="preserve">crime risks. Dated 26/11/2015, Downloaded 22 March </w:t>
      </w:r>
      <w:r w:rsidRPr="00544CD8">
        <w:rPr>
          <w:u w:val="single"/>
        </w:rPr>
        <w:t xml:space="preserve">2017 </w:t>
      </w:r>
      <w:hyperlink r:id="rId28" w:history="1">
        <w:r w:rsidR="00855902" w:rsidRPr="00544CD8">
          <w:rPr>
            <w:rStyle w:val="Hyperlink"/>
            <w:color w:val="auto"/>
          </w:rPr>
          <w:t>https://www.fca.org.uk/news/press-releases/fca-fines-barclays-%C2%A372-million-poor-handling-financial-crime-risks</w:t>
        </w:r>
      </w:hyperlink>
    </w:p>
    <w:p w14:paraId="301F4435" w14:textId="1022F77F" w:rsidR="00855902" w:rsidRPr="00544CD8" w:rsidRDefault="00855902" w:rsidP="00D82B0C">
      <w:pPr>
        <w:spacing w:line="480" w:lineRule="auto"/>
        <w:jc w:val="both"/>
        <w:rPr>
          <w:u w:val="single"/>
        </w:rPr>
      </w:pPr>
      <w:r w:rsidRPr="00544CD8">
        <w:rPr>
          <w:u w:val="single"/>
        </w:rPr>
        <w:t>FCA (2015c).</w:t>
      </w:r>
      <w:r w:rsidR="007E27D8" w:rsidRPr="00544CD8">
        <w:rPr>
          <w:u w:val="single"/>
        </w:rPr>
        <w:t xml:space="preserve"> Lloyds Banking Group fined £117m</w:t>
      </w:r>
      <w:r w:rsidR="009E13E8">
        <w:rPr>
          <w:u w:val="single"/>
        </w:rPr>
        <w:t>. Dated 05/06/2015, D</w:t>
      </w:r>
      <w:r w:rsidRPr="00544CD8">
        <w:rPr>
          <w:u w:val="single"/>
        </w:rPr>
        <w:t xml:space="preserve">ownloaded </w:t>
      </w:r>
      <w:r w:rsidR="009E13E8">
        <w:rPr>
          <w:u w:val="single"/>
        </w:rPr>
        <w:t xml:space="preserve">22 March </w:t>
      </w:r>
      <w:r w:rsidRPr="00544CD8">
        <w:rPr>
          <w:u w:val="single"/>
        </w:rPr>
        <w:t xml:space="preserve">2017 </w:t>
      </w:r>
      <w:hyperlink r:id="rId29" w:history="1">
        <w:r w:rsidR="00AC3353" w:rsidRPr="00544CD8">
          <w:rPr>
            <w:rStyle w:val="Hyperlink"/>
            <w:color w:val="auto"/>
          </w:rPr>
          <w:t>https://www.fca.org.uk/news/press-releases/lloyds-banking-group-fined-%C2%A3117m-failing-handle-ppi-complaints-fairly</w:t>
        </w:r>
      </w:hyperlink>
    </w:p>
    <w:p w14:paraId="2F3918E4" w14:textId="71FB5B6C" w:rsidR="00AC3353" w:rsidRPr="00544CD8" w:rsidRDefault="00AC3353" w:rsidP="00D82B0C">
      <w:pPr>
        <w:spacing w:line="480" w:lineRule="auto"/>
        <w:jc w:val="both"/>
        <w:rPr>
          <w:u w:val="single"/>
        </w:rPr>
      </w:pPr>
      <w:r w:rsidRPr="00544CD8">
        <w:rPr>
          <w:u w:val="single"/>
        </w:rPr>
        <w:t>FCA (2015d). FCA fines Barclays £284,432,000 for fo</w:t>
      </w:r>
      <w:r w:rsidR="009E13E8">
        <w:rPr>
          <w:u w:val="single"/>
        </w:rPr>
        <w:t xml:space="preserve">rex failings. Dated 20/5/2015, Downloaded 22 March </w:t>
      </w:r>
      <w:r w:rsidRPr="00544CD8">
        <w:rPr>
          <w:u w:val="single"/>
        </w:rPr>
        <w:t xml:space="preserve">2017 </w:t>
      </w:r>
      <w:hyperlink r:id="rId30" w:history="1">
        <w:r w:rsidR="00F673F1" w:rsidRPr="00544CD8">
          <w:rPr>
            <w:rStyle w:val="Hyperlink"/>
            <w:color w:val="auto"/>
          </w:rPr>
          <w:t>https://www.fca.org.uk/news/press-releases/fca-fines-barclays-%C2%A3284432000-forex-failings</w:t>
        </w:r>
      </w:hyperlink>
    </w:p>
    <w:p w14:paraId="2874CC60" w14:textId="052EF9F0" w:rsidR="00F673F1" w:rsidRPr="00544CD8" w:rsidRDefault="00F673F1" w:rsidP="00D82B0C">
      <w:pPr>
        <w:spacing w:line="480" w:lineRule="auto"/>
        <w:jc w:val="both"/>
        <w:rPr>
          <w:u w:val="single"/>
        </w:rPr>
      </w:pPr>
      <w:r w:rsidRPr="00544CD8">
        <w:rPr>
          <w:u w:val="single"/>
          <w:lang w:val="de-DE"/>
        </w:rPr>
        <w:t xml:space="preserve">FCA (2015e). Deutsche Bank fined £227 million. </w:t>
      </w:r>
      <w:r w:rsidR="009E13E8">
        <w:rPr>
          <w:u w:val="single"/>
        </w:rPr>
        <w:t xml:space="preserve">Dated 23/04/2015, Downloaded 22 March </w:t>
      </w:r>
      <w:r w:rsidRPr="00544CD8">
        <w:rPr>
          <w:u w:val="single"/>
        </w:rPr>
        <w:t xml:space="preserve">2017 </w:t>
      </w:r>
      <w:hyperlink r:id="rId31" w:history="1">
        <w:r w:rsidR="002450D6" w:rsidRPr="00544CD8">
          <w:rPr>
            <w:rStyle w:val="Hyperlink"/>
            <w:color w:val="auto"/>
          </w:rPr>
          <w:t>https://www.fca.org.uk/news/press-releases/deutsche-bank-fined-%C2%A3227-million-financial-conduct-authority-libor-and-euribor</w:t>
        </w:r>
      </w:hyperlink>
    </w:p>
    <w:p w14:paraId="2C6471A8" w14:textId="03518122" w:rsidR="002450D6" w:rsidRPr="00544CD8" w:rsidRDefault="002450D6" w:rsidP="00D82B0C">
      <w:pPr>
        <w:spacing w:line="480" w:lineRule="auto"/>
        <w:jc w:val="both"/>
        <w:rPr>
          <w:u w:val="single"/>
        </w:rPr>
      </w:pPr>
      <w:r w:rsidRPr="00544CD8">
        <w:rPr>
          <w:u w:val="single"/>
        </w:rPr>
        <w:t xml:space="preserve">FCA (2015f). FCA fines Merrill Lynch International £13.2 million for transaction reporting failures. </w:t>
      </w:r>
      <w:r w:rsidR="009E13E8">
        <w:rPr>
          <w:u w:val="single"/>
        </w:rPr>
        <w:t xml:space="preserve">Dated 22/4/2015, Downloaded 22 March </w:t>
      </w:r>
      <w:r w:rsidRPr="00544CD8">
        <w:rPr>
          <w:u w:val="single"/>
        </w:rPr>
        <w:t xml:space="preserve">2017 </w:t>
      </w:r>
      <w:hyperlink r:id="rId32" w:history="1">
        <w:r w:rsidR="00111D13" w:rsidRPr="00544CD8">
          <w:rPr>
            <w:rStyle w:val="Hyperlink"/>
            <w:color w:val="auto"/>
          </w:rPr>
          <w:t>https://www.fca.org.uk/news/press-releases/fca-fines-merrill-lynch-international-%C2%A3132-million-transaction-reporting</w:t>
        </w:r>
      </w:hyperlink>
    </w:p>
    <w:p w14:paraId="7BE18D3C" w14:textId="3F676683" w:rsidR="00111D13" w:rsidRPr="00544CD8" w:rsidRDefault="00111D13" w:rsidP="00D82B0C">
      <w:pPr>
        <w:spacing w:line="480" w:lineRule="auto"/>
        <w:jc w:val="both"/>
        <w:rPr>
          <w:u w:val="single"/>
        </w:rPr>
      </w:pPr>
      <w:r w:rsidRPr="00544CD8">
        <w:rPr>
          <w:u w:val="single"/>
        </w:rPr>
        <w:t>FCA (2015g). FCA fines The Bank of New York Mellon L</w:t>
      </w:r>
      <w:r w:rsidR="009E13E8">
        <w:rPr>
          <w:u w:val="single"/>
        </w:rPr>
        <w:t xml:space="preserve">ondon branch. Dated 15/4/2015, Downloaded 22 March </w:t>
      </w:r>
      <w:r w:rsidRPr="00544CD8">
        <w:rPr>
          <w:u w:val="single"/>
        </w:rPr>
        <w:t xml:space="preserve">2017 </w:t>
      </w:r>
      <w:hyperlink r:id="rId33" w:history="1">
        <w:r w:rsidR="001D45D4" w:rsidRPr="00544CD8">
          <w:rPr>
            <w:rStyle w:val="Hyperlink"/>
            <w:color w:val="auto"/>
          </w:rPr>
          <w:t>https://www.fca.org.uk/news/press-releases/fca-fines-bank-new-york-mellon-london-branch-and-bank-new-york-mellon</w:t>
        </w:r>
      </w:hyperlink>
    </w:p>
    <w:p w14:paraId="0DC58ED6" w14:textId="149C6A7A" w:rsidR="001D45D4" w:rsidRPr="00544CD8" w:rsidRDefault="001D45D4" w:rsidP="00D82B0C">
      <w:pPr>
        <w:spacing w:line="480" w:lineRule="auto"/>
        <w:jc w:val="both"/>
        <w:rPr>
          <w:u w:val="single"/>
        </w:rPr>
      </w:pPr>
      <w:r w:rsidRPr="00544CD8">
        <w:rPr>
          <w:u w:val="single"/>
        </w:rPr>
        <w:lastRenderedPageBreak/>
        <w:t>FCA (2015h). Clydesdale Bank fined £20,678,300 for seri</w:t>
      </w:r>
      <w:r w:rsidR="009E13E8">
        <w:rPr>
          <w:u w:val="single"/>
        </w:rPr>
        <w:t xml:space="preserve">ous failings. Dated 14/4/2015, Downloaded 22 March </w:t>
      </w:r>
      <w:r w:rsidRPr="00544CD8">
        <w:rPr>
          <w:u w:val="single"/>
        </w:rPr>
        <w:t xml:space="preserve">2017 </w:t>
      </w:r>
      <w:hyperlink r:id="rId34" w:history="1">
        <w:r w:rsidR="00680F28" w:rsidRPr="00544CD8">
          <w:rPr>
            <w:rStyle w:val="Hyperlink"/>
            <w:color w:val="auto"/>
          </w:rPr>
          <w:t>https://www.fca.org.uk/news/press-releases/clydesdale-bank-fined-%C2%A320678300-serious-failings-ppi-complaint-handling</w:t>
        </w:r>
      </w:hyperlink>
    </w:p>
    <w:p w14:paraId="24B4DB67" w14:textId="075CFC27" w:rsidR="00680F28" w:rsidRPr="00544CD8" w:rsidRDefault="00680F28" w:rsidP="00D82B0C">
      <w:pPr>
        <w:spacing w:line="480" w:lineRule="auto"/>
        <w:jc w:val="both"/>
        <w:rPr>
          <w:u w:val="single"/>
        </w:rPr>
      </w:pPr>
      <w:r w:rsidRPr="00544CD8">
        <w:rPr>
          <w:u w:val="single"/>
        </w:rPr>
        <w:t xml:space="preserve">FCA (2015i). The Financial Conduct Authority imposes £2.1m fine and places restriction on Bank of Beirut after it misled </w:t>
      </w:r>
      <w:r w:rsidR="009E13E8">
        <w:rPr>
          <w:u w:val="single"/>
        </w:rPr>
        <w:t xml:space="preserve">the regulator. Dated 5/3/2015, Downloaded 22 March </w:t>
      </w:r>
      <w:r w:rsidRPr="00544CD8">
        <w:rPr>
          <w:u w:val="single"/>
        </w:rPr>
        <w:t xml:space="preserve">2017 </w:t>
      </w:r>
      <w:hyperlink r:id="rId35" w:history="1">
        <w:r w:rsidRPr="00544CD8">
          <w:rPr>
            <w:rStyle w:val="Hyperlink"/>
            <w:color w:val="auto"/>
          </w:rPr>
          <w:t>https://www.fca.org.uk/news/press-releases/financial-conduct-authority-imposes-%C2%A321m-fine-and-places-restriction-bank-beirut</w:t>
        </w:r>
      </w:hyperlink>
    </w:p>
    <w:p w14:paraId="4429F749" w14:textId="77107F22" w:rsidR="00680F28" w:rsidRPr="00544CD8" w:rsidRDefault="00680F28" w:rsidP="00D82B0C">
      <w:pPr>
        <w:spacing w:line="480" w:lineRule="auto"/>
        <w:jc w:val="both"/>
        <w:rPr>
          <w:u w:val="single"/>
        </w:rPr>
      </w:pPr>
      <w:r w:rsidRPr="00544CD8">
        <w:rPr>
          <w:u w:val="single"/>
        </w:rPr>
        <w:t>FCA (2015j). FCA fines Aviva Investors £17.6m for systems and contr</w:t>
      </w:r>
      <w:r w:rsidR="009E13E8">
        <w:rPr>
          <w:u w:val="single"/>
        </w:rPr>
        <w:t xml:space="preserve">ols failings. Dated 24/2/2015, Downloaded 22 March </w:t>
      </w:r>
      <w:r w:rsidRPr="00544CD8">
        <w:rPr>
          <w:u w:val="single"/>
        </w:rPr>
        <w:t xml:space="preserve">2017 </w:t>
      </w:r>
      <w:hyperlink r:id="rId36" w:history="1">
        <w:r w:rsidR="00804D0D" w:rsidRPr="00544CD8">
          <w:rPr>
            <w:rStyle w:val="Hyperlink"/>
            <w:color w:val="auto"/>
          </w:rPr>
          <w:t>https://www.fca.org.uk/news/press-releases/fca-fines-aviva-investors-%C2%A3176m-systems-and-controls-failings-led-its-failure</w:t>
        </w:r>
      </w:hyperlink>
    </w:p>
    <w:p w14:paraId="373C3691" w14:textId="6912AB8A" w:rsidR="00804D0D" w:rsidRPr="00544CD8" w:rsidRDefault="00804D0D" w:rsidP="00D82B0C">
      <w:pPr>
        <w:spacing w:line="480" w:lineRule="auto"/>
        <w:jc w:val="both"/>
        <w:rPr>
          <w:u w:val="single"/>
        </w:rPr>
      </w:pPr>
      <w:r w:rsidRPr="00544CD8">
        <w:rPr>
          <w:u w:val="single"/>
        </w:rPr>
        <w:t xml:space="preserve">FCA (2015k). Almost 4,000 customers due redress totalling £1.7 million from payday firm </w:t>
      </w:r>
      <w:proofErr w:type="spellStart"/>
      <w:r w:rsidRPr="00544CD8">
        <w:rPr>
          <w:u w:val="single"/>
        </w:rPr>
        <w:t>CashEuroNet</w:t>
      </w:r>
      <w:proofErr w:type="spellEnd"/>
      <w:r w:rsidRPr="00544CD8">
        <w:rPr>
          <w:u w:val="single"/>
        </w:rPr>
        <w:t>. D</w:t>
      </w:r>
      <w:r w:rsidR="009E13E8">
        <w:rPr>
          <w:u w:val="single"/>
        </w:rPr>
        <w:t xml:space="preserve">ated 4/11/2015, Downloaded 22 March </w:t>
      </w:r>
      <w:r w:rsidRPr="00544CD8">
        <w:rPr>
          <w:u w:val="single"/>
        </w:rPr>
        <w:t xml:space="preserve">2017 </w:t>
      </w:r>
      <w:hyperlink r:id="rId37" w:history="1">
        <w:r w:rsidR="00550B69" w:rsidRPr="00544CD8">
          <w:rPr>
            <w:rStyle w:val="Hyperlink"/>
            <w:color w:val="auto"/>
          </w:rPr>
          <w:t>https://www.fca.org.uk/news/press-releases/almost-4000-customers-due-redress-totalling-%C2%A317-million-payday-firm-casheuronet</w:t>
        </w:r>
      </w:hyperlink>
    </w:p>
    <w:p w14:paraId="244A1570" w14:textId="1F693B81" w:rsidR="00550B69" w:rsidRPr="00544CD8" w:rsidRDefault="00550B69" w:rsidP="00D82B0C">
      <w:pPr>
        <w:spacing w:line="480" w:lineRule="auto"/>
        <w:jc w:val="both"/>
        <w:rPr>
          <w:u w:val="single"/>
        </w:rPr>
      </w:pPr>
      <w:r w:rsidRPr="00544CD8">
        <w:rPr>
          <w:u w:val="single"/>
        </w:rPr>
        <w:t>FCA (2015l). Payday lender Dollar to provide £15.4 million redress to over 147,000 customers. Dated 2</w:t>
      </w:r>
      <w:r w:rsidR="009E13E8">
        <w:rPr>
          <w:u w:val="single"/>
        </w:rPr>
        <w:t xml:space="preserve">6/10/2015, Downloaded 22 March </w:t>
      </w:r>
      <w:r w:rsidRPr="00544CD8">
        <w:rPr>
          <w:u w:val="single"/>
        </w:rPr>
        <w:t xml:space="preserve">2017 </w:t>
      </w:r>
      <w:hyperlink r:id="rId38" w:history="1">
        <w:r w:rsidR="002F43B9" w:rsidRPr="00544CD8">
          <w:rPr>
            <w:rStyle w:val="Hyperlink"/>
            <w:color w:val="auto"/>
          </w:rPr>
          <w:t>https://www.fca.org.uk/news/press-releases/payday-lender-dollar-provide-%C2%A3154-million-redress-over-147000-customers</w:t>
        </w:r>
      </w:hyperlink>
    </w:p>
    <w:p w14:paraId="7C9DFEF6" w14:textId="76EDF75B" w:rsidR="002F43B9" w:rsidRPr="00544CD8" w:rsidRDefault="002F43B9" w:rsidP="00D82B0C">
      <w:pPr>
        <w:spacing w:line="480" w:lineRule="auto"/>
        <w:jc w:val="both"/>
        <w:rPr>
          <w:u w:val="single"/>
        </w:rPr>
      </w:pPr>
      <w:r w:rsidRPr="00544CD8">
        <w:rPr>
          <w:u w:val="single"/>
        </w:rPr>
        <w:t>FCA (2015m). Payday lender Cash Genie to provide £20 million redress to over 92,0</w:t>
      </w:r>
      <w:r w:rsidR="009E13E8">
        <w:rPr>
          <w:u w:val="single"/>
        </w:rPr>
        <w:t xml:space="preserve">00 customers. Dated 27/7/2015, Downloaded 22 March </w:t>
      </w:r>
      <w:r w:rsidRPr="00544CD8">
        <w:rPr>
          <w:u w:val="single"/>
        </w:rPr>
        <w:t xml:space="preserve">2017 </w:t>
      </w:r>
      <w:hyperlink r:id="rId39" w:history="1">
        <w:r w:rsidR="00992828" w:rsidRPr="00544CD8">
          <w:rPr>
            <w:rStyle w:val="Hyperlink"/>
            <w:color w:val="auto"/>
          </w:rPr>
          <w:t>https://www.fca.org.uk/news/press-releases/payday-lender-cash-genie-provide-%C2%A320-million-redress-over-92000-customers</w:t>
        </w:r>
      </w:hyperlink>
    </w:p>
    <w:p w14:paraId="65B381E4" w14:textId="6FA1CAA5" w:rsidR="00992828" w:rsidRPr="00544CD8" w:rsidRDefault="00992828" w:rsidP="00D82B0C">
      <w:pPr>
        <w:spacing w:line="480" w:lineRule="auto"/>
        <w:jc w:val="both"/>
        <w:rPr>
          <w:u w:val="single"/>
        </w:rPr>
      </w:pPr>
      <w:r w:rsidRPr="00544CD8">
        <w:rPr>
          <w:u w:val="single"/>
        </w:rPr>
        <w:t>FRC (2016). Corporate Culture and the r</w:t>
      </w:r>
      <w:r w:rsidR="009E13E8">
        <w:rPr>
          <w:u w:val="single"/>
        </w:rPr>
        <w:t>ole of Boards. D</w:t>
      </w:r>
      <w:r w:rsidRPr="00544CD8">
        <w:rPr>
          <w:u w:val="single"/>
        </w:rPr>
        <w:t>ownload</w:t>
      </w:r>
      <w:r w:rsidR="009E13E8">
        <w:rPr>
          <w:u w:val="single"/>
        </w:rPr>
        <w:t xml:space="preserve">ed 20 July </w:t>
      </w:r>
      <w:r w:rsidRPr="00544CD8">
        <w:rPr>
          <w:u w:val="single"/>
        </w:rPr>
        <w:t xml:space="preserve">2017 </w:t>
      </w:r>
      <w:hyperlink r:id="rId40" w:history="1">
        <w:r w:rsidR="009609F8" w:rsidRPr="00544CD8">
          <w:rPr>
            <w:rStyle w:val="Hyperlink"/>
          </w:rPr>
          <w:t>https://www.frc.org.uk/Our-Work/Publications/Corporate-Governance/Corporate-Culture-and-the-Role-of-Boards-Report-o.pdf</w:t>
        </w:r>
      </w:hyperlink>
    </w:p>
    <w:p w14:paraId="62DC968E" w14:textId="49214095" w:rsidR="009609F8" w:rsidRPr="00544CD8" w:rsidRDefault="009609F8" w:rsidP="00D82B0C">
      <w:pPr>
        <w:spacing w:line="480" w:lineRule="auto"/>
        <w:jc w:val="both"/>
        <w:rPr>
          <w:u w:val="single"/>
        </w:rPr>
      </w:pPr>
      <w:r w:rsidRPr="00544CD8">
        <w:rPr>
          <w:u w:val="single"/>
        </w:rPr>
        <w:lastRenderedPageBreak/>
        <w:t xml:space="preserve">FCA (2016b). Behaviours and Compliance in Organisations: Occasional Paper 24. Downloaded 31 January 2018 </w:t>
      </w:r>
      <w:hyperlink r:id="rId41" w:history="1">
        <w:r w:rsidR="00C84B87" w:rsidRPr="00544CD8">
          <w:rPr>
            <w:rStyle w:val="Hyperlink"/>
          </w:rPr>
          <w:t>https://www.fca.org.uk/publication/occasional-papers/op16-24.pdf</w:t>
        </w:r>
      </w:hyperlink>
    </w:p>
    <w:p w14:paraId="6545B92B" w14:textId="34686D02" w:rsidR="00C84B87" w:rsidRPr="00544CD8" w:rsidRDefault="00C84B87" w:rsidP="00D82B0C">
      <w:pPr>
        <w:spacing w:line="480" w:lineRule="auto"/>
        <w:jc w:val="both"/>
        <w:rPr>
          <w:u w:val="single"/>
        </w:rPr>
      </w:pPr>
      <w:r w:rsidRPr="00544CD8">
        <w:rPr>
          <w:u w:val="single"/>
        </w:rPr>
        <w:t>FCA (2017). Culture and conduct – extending the accountability regime. Downloaded 31 January 2018 https://www.fca.org.uk/news/speeches/culture-conduct-extending-accountability-regime</w:t>
      </w:r>
    </w:p>
    <w:p w14:paraId="353D2EFB" w14:textId="78E63F8F" w:rsidR="00D2085E" w:rsidRPr="00544CD8" w:rsidRDefault="00D2085E" w:rsidP="00D82B0C">
      <w:pPr>
        <w:spacing w:line="480" w:lineRule="auto"/>
        <w:jc w:val="both"/>
        <w:rPr>
          <w:u w:val="single"/>
        </w:rPr>
      </w:pPr>
      <w:r w:rsidRPr="00544CD8">
        <w:rPr>
          <w:u w:val="single"/>
        </w:rPr>
        <w:t>FSA (2007). Treati</w:t>
      </w:r>
      <w:r w:rsidR="009E13E8">
        <w:rPr>
          <w:u w:val="single"/>
        </w:rPr>
        <w:t xml:space="preserve">ng customers fairly – culture. Downloaded 25 June </w:t>
      </w:r>
      <w:r w:rsidRPr="00544CD8">
        <w:rPr>
          <w:u w:val="single"/>
        </w:rPr>
        <w:t>2014 http://www.fca.org.uk/static/fca/documents/fsa-tcf-culture.pdf</w:t>
      </w:r>
    </w:p>
    <w:p w14:paraId="07403006" w14:textId="56446969" w:rsidR="00D2085E" w:rsidRPr="00544CD8" w:rsidRDefault="00D2085E" w:rsidP="00D82B0C">
      <w:pPr>
        <w:spacing w:line="480" w:lineRule="auto"/>
        <w:jc w:val="both"/>
        <w:rPr>
          <w:rFonts w:eastAsiaTheme="minorHAnsi" w:cstheme="minorHAnsi"/>
          <w:lang w:eastAsia="en-US"/>
        </w:rPr>
      </w:pPr>
      <w:r w:rsidRPr="00544CD8">
        <w:rPr>
          <w:rFonts w:eastAsiaTheme="minorHAnsi" w:cstheme="minorHAnsi"/>
          <w:lang w:eastAsia="en-US"/>
        </w:rPr>
        <w:t xml:space="preserve">Franks, J.R. and Schaefer, S.M. and Staunton, M.D. (1998). The direct and compliance costs of financial regulation. </w:t>
      </w:r>
      <w:r w:rsidR="009E13E8">
        <w:rPr>
          <w:rFonts w:eastAsiaTheme="minorHAnsi" w:cstheme="minorHAnsi"/>
          <w:lang w:eastAsia="en-US"/>
        </w:rPr>
        <w:t>Journal of Banking and Finance</w:t>
      </w:r>
      <w:r w:rsidRPr="00544CD8">
        <w:rPr>
          <w:rFonts w:eastAsiaTheme="minorHAnsi" w:cstheme="minorHAnsi"/>
          <w:lang w:eastAsia="en-US"/>
        </w:rPr>
        <w:t xml:space="preserve"> </w:t>
      </w:r>
      <w:r w:rsidR="009E13E8">
        <w:rPr>
          <w:rFonts w:eastAsiaTheme="minorHAnsi" w:cstheme="minorHAnsi"/>
          <w:lang w:eastAsia="en-US"/>
        </w:rPr>
        <w:t>21,</w:t>
      </w:r>
      <w:r w:rsidRPr="00544CD8">
        <w:rPr>
          <w:rFonts w:eastAsiaTheme="minorHAnsi" w:cstheme="minorHAnsi"/>
          <w:lang w:eastAsia="en-US"/>
        </w:rPr>
        <w:t xml:space="preserve"> 1547-1572</w:t>
      </w:r>
    </w:p>
    <w:p w14:paraId="447F0BAE" w14:textId="6FF524A2" w:rsidR="00D2085E" w:rsidRPr="00544CD8" w:rsidRDefault="00D2085E" w:rsidP="00D82B0C">
      <w:pPr>
        <w:spacing w:line="480" w:lineRule="auto"/>
        <w:jc w:val="both"/>
        <w:rPr>
          <w:rFonts w:eastAsiaTheme="minorHAnsi" w:cstheme="minorHAnsi"/>
          <w:lang w:eastAsia="en-US"/>
        </w:rPr>
      </w:pPr>
      <w:r w:rsidRPr="00544CD8">
        <w:rPr>
          <w:rFonts w:eastAsiaTheme="minorHAnsi" w:cstheme="minorHAnsi"/>
          <w:lang w:eastAsia="en-US"/>
        </w:rPr>
        <w:t>Garcia, V. (2004). Seven points financial services institutions should know about IT spending for compliance. Journal of Financial Regulation and Compliance</w:t>
      </w:r>
      <w:r w:rsidR="009E13E8">
        <w:rPr>
          <w:rFonts w:eastAsiaTheme="minorHAnsi" w:cstheme="minorHAnsi"/>
          <w:lang w:eastAsia="en-US"/>
        </w:rPr>
        <w:t xml:space="preserve"> 12 (4),</w:t>
      </w:r>
      <w:r w:rsidRPr="00544CD8">
        <w:rPr>
          <w:rFonts w:eastAsiaTheme="minorHAnsi" w:cstheme="minorHAnsi"/>
          <w:lang w:eastAsia="en-US"/>
        </w:rPr>
        <w:t xml:space="preserve"> 330-339.</w:t>
      </w:r>
    </w:p>
    <w:p w14:paraId="58EFE036" w14:textId="6CB69F83" w:rsidR="00D2085E" w:rsidRPr="00544CD8" w:rsidRDefault="00D2085E" w:rsidP="00D82B0C">
      <w:pPr>
        <w:spacing w:line="480" w:lineRule="auto"/>
        <w:jc w:val="both"/>
        <w:rPr>
          <w:rFonts w:eastAsiaTheme="minorHAnsi" w:cstheme="minorHAnsi"/>
          <w:lang w:eastAsia="en-US"/>
        </w:rPr>
      </w:pPr>
      <w:r w:rsidRPr="00544CD8">
        <w:rPr>
          <w:rFonts w:eastAsiaTheme="minorHAnsi" w:cstheme="minorHAnsi"/>
          <w:lang w:eastAsia="en-US"/>
        </w:rPr>
        <w:t>Gilad, S. (2011). Institutionalizing fairness in financial markets: Mission impossible? Regulation and Governance</w:t>
      </w:r>
      <w:r w:rsidR="009E13E8">
        <w:rPr>
          <w:rFonts w:eastAsiaTheme="minorHAnsi" w:cstheme="minorHAnsi"/>
          <w:lang w:eastAsia="en-US"/>
        </w:rPr>
        <w:t xml:space="preserve"> 5,</w:t>
      </w:r>
      <w:r w:rsidRPr="00544CD8">
        <w:rPr>
          <w:rFonts w:eastAsiaTheme="minorHAnsi" w:cstheme="minorHAnsi"/>
          <w:lang w:eastAsia="en-US"/>
        </w:rPr>
        <w:t xml:space="preserve"> 309-332.</w:t>
      </w:r>
    </w:p>
    <w:p w14:paraId="2E34B9AB" w14:textId="0A79F5CF" w:rsidR="003E59DB" w:rsidRPr="00544CD8" w:rsidRDefault="003E59DB" w:rsidP="00D82B0C">
      <w:pPr>
        <w:spacing w:line="480" w:lineRule="auto"/>
        <w:jc w:val="both"/>
        <w:rPr>
          <w:rFonts w:eastAsiaTheme="minorHAnsi" w:cstheme="minorHAnsi"/>
          <w:lang w:eastAsia="en-US"/>
        </w:rPr>
      </w:pPr>
      <w:r w:rsidRPr="00544CD8">
        <w:rPr>
          <w:rFonts w:eastAsiaTheme="minorHAnsi" w:cstheme="minorHAnsi"/>
          <w:lang w:eastAsia="en-US"/>
        </w:rPr>
        <w:t>Harris, H. (2001). Content analysis of secondary data: A study of courage in managerial decision making. Journal of Business Ethics 34(3-4), 191-208.</w:t>
      </w:r>
    </w:p>
    <w:p w14:paraId="057954D5" w14:textId="5B8A9410" w:rsidR="00D2085E" w:rsidRPr="00544CD8" w:rsidRDefault="00D2085E" w:rsidP="00D82B0C">
      <w:pPr>
        <w:spacing w:line="480" w:lineRule="auto"/>
        <w:jc w:val="both"/>
        <w:rPr>
          <w:rFonts w:eastAsiaTheme="minorHAnsi" w:cstheme="minorHAnsi"/>
          <w:lang w:eastAsia="en-US"/>
        </w:rPr>
      </w:pPr>
      <w:r w:rsidRPr="00544CD8">
        <w:rPr>
          <w:rFonts w:eastAsiaTheme="minorHAnsi" w:cstheme="minorHAnsi"/>
          <w:lang w:eastAsia="en-US"/>
        </w:rPr>
        <w:t xml:space="preserve">Harvey, J. and Bosworth-Davies, R. (2013). Drawing the line in the sand: Trust, integrity and regulatory misdemeanour. </w:t>
      </w:r>
      <w:r w:rsidR="00B16774">
        <w:rPr>
          <w:rFonts w:eastAsiaTheme="minorHAnsi" w:cstheme="minorHAnsi"/>
          <w:lang w:eastAsia="en-US"/>
        </w:rPr>
        <w:t>Security Journal,</w:t>
      </w:r>
      <w:r w:rsidRPr="00544CD8">
        <w:rPr>
          <w:rFonts w:eastAsiaTheme="minorHAnsi" w:cstheme="minorHAnsi"/>
          <w:lang w:eastAsia="en-US"/>
        </w:rPr>
        <w:t xml:space="preserve"> 1-18.</w:t>
      </w:r>
    </w:p>
    <w:p w14:paraId="38458212" w14:textId="3B3B53FC" w:rsidR="00337066" w:rsidRPr="00544CD8" w:rsidRDefault="00337066" w:rsidP="00D82B0C">
      <w:pPr>
        <w:spacing w:line="480" w:lineRule="auto"/>
        <w:jc w:val="both"/>
        <w:rPr>
          <w:rFonts w:eastAsiaTheme="minorHAnsi" w:cstheme="minorHAnsi"/>
          <w:lang w:eastAsia="en-US"/>
        </w:rPr>
      </w:pPr>
      <w:r w:rsidRPr="00544CD8">
        <w:rPr>
          <w:rFonts w:eastAsiaTheme="minorHAnsi" w:cstheme="minorHAnsi"/>
          <w:lang w:eastAsia="en-US"/>
        </w:rPr>
        <w:t>Haynes, A. (2005). The effective articulation of risk-based compliance in banks.  Journal of Banking Regulation</w:t>
      </w:r>
      <w:r w:rsidR="00CD23F8">
        <w:rPr>
          <w:rFonts w:eastAsiaTheme="minorHAnsi" w:cstheme="minorHAnsi"/>
          <w:lang w:eastAsia="en-US"/>
        </w:rPr>
        <w:t xml:space="preserve"> 6(2),</w:t>
      </w:r>
      <w:r w:rsidRPr="00544CD8">
        <w:rPr>
          <w:rFonts w:eastAsiaTheme="minorHAnsi" w:cstheme="minorHAnsi"/>
          <w:lang w:eastAsia="en-US"/>
        </w:rPr>
        <w:t xml:space="preserve"> 146-162</w:t>
      </w:r>
    </w:p>
    <w:p w14:paraId="1AB8215C" w14:textId="7C603A4A" w:rsidR="00D2085E" w:rsidRPr="00544CD8" w:rsidRDefault="00D2085E" w:rsidP="00D82B0C">
      <w:pPr>
        <w:spacing w:line="480" w:lineRule="auto"/>
        <w:jc w:val="both"/>
        <w:rPr>
          <w:rFonts w:eastAsiaTheme="minorHAnsi" w:cstheme="minorHAnsi"/>
          <w:lang w:eastAsia="en-US"/>
        </w:rPr>
      </w:pPr>
      <w:r w:rsidRPr="00544CD8">
        <w:rPr>
          <w:rFonts w:eastAsiaTheme="minorHAnsi" w:cstheme="minorHAnsi"/>
          <w:lang w:eastAsia="en-US"/>
        </w:rPr>
        <w:t>Haynes, A (2014). Financial services: all change o</w:t>
      </w:r>
      <w:r w:rsidR="00F66F6D">
        <w:rPr>
          <w:rFonts w:eastAsiaTheme="minorHAnsi" w:cstheme="minorHAnsi"/>
          <w:lang w:eastAsia="en-US"/>
        </w:rPr>
        <w:t>r new cosmetics? Company Lawyer 35 (5),</w:t>
      </w:r>
      <w:r w:rsidRPr="00544CD8">
        <w:rPr>
          <w:rFonts w:eastAsiaTheme="minorHAnsi" w:cstheme="minorHAnsi"/>
          <w:lang w:eastAsia="en-US"/>
        </w:rPr>
        <w:t xml:space="preserve"> 129.</w:t>
      </w:r>
    </w:p>
    <w:p w14:paraId="24E47FD2" w14:textId="30AA598A" w:rsidR="00D2085E" w:rsidRPr="00544CD8" w:rsidRDefault="00D2085E" w:rsidP="00D82B0C">
      <w:pPr>
        <w:spacing w:line="480" w:lineRule="auto"/>
        <w:jc w:val="both"/>
        <w:rPr>
          <w:rFonts w:eastAsiaTheme="minorHAnsi" w:cstheme="minorHAnsi"/>
        </w:rPr>
      </w:pPr>
      <w:r w:rsidRPr="00544CD8">
        <w:rPr>
          <w:rFonts w:eastAsiaTheme="minorHAnsi" w:cstheme="minorHAnsi"/>
        </w:rPr>
        <w:t xml:space="preserve">Hendricks, K. and </w:t>
      </w:r>
      <w:proofErr w:type="spellStart"/>
      <w:r w:rsidRPr="00544CD8">
        <w:rPr>
          <w:rFonts w:eastAsiaTheme="minorHAnsi" w:cstheme="minorHAnsi"/>
        </w:rPr>
        <w:t>Singhal</w:t>
      </w:r>
      <w:proofErr w:type="spellEnd"/>
      <w:r w:rsidRPr="00544CD8">
        <w:rPr>
          <w:rFonts w:eastAsiaTheme="minorHAnsi" w:cstheme="minorHAnsi"/>
        </w:rPr>
        <w:t xml:space="preserve">, V. (1996). </w:t>
      </w:r>
      <w:r w:rsidRPr="00544CD8">
        <w:rPr>
          <w:rFonts w:eastAsiaTheme="minorHAnsi" w:cstheme="minorHAnsi"/>
          <w:iCs/>
        </w:rPr>
        <w:t>Quality Awards and the Market Value of the Firm: An Empirical Investigation.</w:t>
      </w:r>
      <w:r w:rsidRPr="00544CD8">
        <w:rPr>
          <w:rFonts w:eastAsiaTheme="minorHAnsi" w:cstheme="minorHAnsi"/>
        </w:rPr>
        <w:t xml:space="preserve"> Georgia Tech. Management Science</w:t>
      </w:r>
      <w:r w:rsidR="00F66F6D">
        <w:rPr>
          <w:rFonts w:eastAsiaTheme="minorHAnsi" w:cstheme="minorHAnsi"/>
        </w:rPr>
        <w:t xml:space="preserve"> 42 (3),</w:t>
      </w:r>
      <w:r w:rsidRPr="00544CD8">
        <w:rPr>
          <w:rFonts w:eastAsiaTheme="minorHAnsi" w:cstheme="minorHAnsi"/>
        </w:rPr>
        <w:t xml:space="preserve"> 415-436.</w:t>
      </w:r>
    </w:p>
    <w:p w14:paraId="6D085402" w14:textId="6234ED39" w:rsidR="00D2085E" w:rsidRPr="00544CD8" w:rsidRDefault="00D2085E" w:rsidP="00D82B0C">
      <w:pPr>
        <w:spacing w:line="480" w:lineRule="auto"/>
        <w:jc w:val="both"/>
        <w:rPr>
          <w:rFonts w:eastAsiaTheme="minorHAnsi" w:cstheme="minorHAnsi"/>
          <w:lang w:eastAsia="en-US"/>
        </w:rPr>
      </w:pPr>
      <w:r w:rsidRPr="00544CD8">
        <w:rPr>
          <w:rFonts w:eastAsiaTheme="minorHAnsi" w:cstheme="minorHAnsi"/>
          <w:lang w:eastAsia="en-US"/>
        </w:rPr>
        <w:lastRenderedPageBreak/>
        <w:t>Henry, D. (2008). Corporate Governance Structure and the Valuation of Australian Firms: Is there Value in Ticking the Boxes. Journal of Business &amp; Accounting</w:t>
      </w:r>
      <w:r w:rsidR="00043F40">
        <w:rPr>
          <w:rFonts w:eastAsiaTheme="minorHAnsi" w:cstheme="minorHAnsi"/>
          <w:lang w:eastAsia="en-US"/>
        </w:rPr>
        <w:t xml:space="preserve"> 35 (7) &amp; (8),</w:t>
      </w:r>
      <w:r w:rsidRPr="00544CD8">
        <w:rPr>
          <w:rFonts w:eastAsiaTheme="minorHAnsi" w:cstheme="minorHAnsi"/>
          <w:lang w:eastAsia="en-US"/>
        </w:rPr>
        <w:t xml:space="preserve"> 912-942.</w:t>
      </w:r>
    </w:p>
    <w:p w14:paraId="2EBC75D3" w14:textId="5713C2C3" w:rsidR="003E59DB" w:rsidRPr="00544CD8" w:rsidRDefault="00F4397F" w:rsidP="003E59DB">
      <w:pPr>
        <w:spacing w:line="480" w:lineRule="auto"/>
        <w:jc w:val="both"/>
        <w:rPr>
          <w:rFonts w:eastAsiaTheme="minorHAnsi" w:cstheme="minorHAnsi"/>
          <w:lang w:eastAsia="en-US"/>
        </w:rPr>
      </w:pPr>
      <w:r>
        <w:rPr>
          <w:rFonts w:eastAsiaTheme="minorHAnsi" w:cstheme="minorHAnsi"/>
          <w:lang w:eastAsia="en-US"/>
        </w:rPr>
        <w:t xml:space="preserve">Hite, R. E., </w:t>
      </w:r>
      <w:proofErr w:type="spellStart"/>
      <w:r>
        <w:rPr>
          <w:rFonts w:eastAsiaTheme="minorHAnsi" w:cstheme="minorHAnsi"/>
          <w:lang w:eastAsia="en-US"/>
        </w:rPr>
        <w:t>Bellizzi</w:t>
      </w:r>
      <w:proofErr w:type="spellEnd"/>
      <w:r>
        <w:rPr>
          <w:rFonts w:eastAsiaTheme="minorHAnsi" w:cstheme="minorHAnsi"/>
          <w:lang w:eastAsia="en-US"/>
        </w:rPr>
        <w:t>, J. A., and</w:t>
      </w:r>
      <w:r w:rsidR="003E59DB" w:rsidRPr="00544CD8">
        <w:rPr>
          <w:rFonts w:eastAsiaTheme="minorHAnsi" w:cstheme="minorHAnsi"/>
          <w:lang w:eastAsia="en-US"/>
        </w:rPr>
        <w:t xml:space="preserve"> Fraser, C. (1988). A content analysis of ethical policy statements regarding marketing activities. Journal of Business Ethics 7(10), 771-776.</w:t>
      </w:r>
    </w:p>
    <w:p w14:paraId="3940B869" w14:textId="259FCE23" w:rsidR="00E239A2" w:rsidRPr="00544CD8" w:rsidRDefault="00F25EF9" w:rsidP="003E59DB">
      <w:pPr>
        <w:spacing w:line="480" w:lineRule="auto"/>
        <w:jc w:val="both"/>
        <w:rPr>
          <w:rFonts w:eastAsiaTheme="minorHAnsi" w:cstheme="minorHAnsi"/>
          <w:lang w:eastAsia="en-US"/>
        </w:rPr>
      </w:pPr>
      <w:r>
        <w:rPr>
          <w:rFonts w:eastAsiaTheme="minorHAnsi" w:cstheme="minorHAnsi"/>
          <w:lang w:eastAsia="en-US"/>
        </w:rPr>
        <w:t>Human, S. E., and</w:t>
      </w:r>
      <w:r w:rsidR="00E239A2" w:rsidRPr="00544CD8">
        <w:rPr>
          <w:rFonts w:eastAsiaTheme="minorHAnsi" w:cstheme="minorHAnsi"/>
          <w:lang w:eastAsia="en-US"/>
        </w:rPr>
        <w:t xml:space="preserve"> </w:t>
      </w:r>
      <w:proofErr w:type="spellStart"/>
      <w:r w:rsidR="00E239A2" w:rsidRPr="00544CD8">
        <w:rPr>
          <w:rFonts w:eastAsiaTheme="minorHAnsi" w:cstheme="minorHAnsi"/>
          <w:lang w:eastAsia="en-US"/>
        </w:rPr>
        <w:t>Provan</w:t>
      </w:r>
      <w:proofErr w:type="spellEnd"/>
      <w:r w:rsidR="00E239A2" w:rsidRPr="00544CD8">
        <w:rPr>
          <w:rFonts w:eastAsiaTheme="minorHAnsi" w:cstheme="minorHAnsi"/>
          <w:lang w:eastAsia="en-US"/>
        </w:rPr>
        <w:t>, K. G. (2000). Legitimacy building in the evolution of small-firm multilateral networks: A comparative study of success and demise. Administrative Science Quarterly 45(2), 327-365.</w:t>
      </w:r>
    </w:p>
    <w:p w14:paraId="15891FCD" w14:textId="461C6409" w:rsidR="00D84922" w:rsidRPr="00544CD8" w:rsidRDefault="00D84922" w:rsidP="003E59DB">
      <w:pPr>
        <w:spacing w:line="480" w:lineRule="auto"/>
        <w:jc w:val="both"/>
        <w:rPr>
          <w:rFonts w:eastAsiaTheme="minorHAnsi" w:cstheme="minorHAnsi"/>
          <w:lang w:eastAsia="en-US"/>
        </w:rPr>
      </w:pPr>
      <w:r w:rsidRPr="00544CD8">
        <w:rPr>
          <w:rFonts w:eastAsiaTheme="minorHAnsi" w:cstheme="minorHAnsi"/>
          <w:lang w:eastAsia="en-US"/>
        </w:rPr>
        <w:t xml:space="preserve">Hsieh, H. F., &amp; Shannon, S. E. (2005). Three approaches to qualitative content analysis. </w:t>
      </w:r>
      <w:r w:rsidR="00F25EF9">
        <w:rPr>
          <w:rFonts w:eastAsiaTheme="minorHAnsi" w:cstheme="minorHAnsi"/>
          <w:lang w:eastAsia="en-US"/>
        </w:rPr>
        <w:t>Qualitative Health R</w:t>
      </w:r>
      <w:r w:rsidRPr="00544CD8">
        <w:rPr>
          <w:rFonts w:eastAsiaTheme="minorHAnsi" w:cstheme="minorHAnsi"/>
          <w:lang w:eastAsia="en-US"/>
        </w:rPr>
        <w:t>esearch 15(9), 1277-1288.</w:t>
      </w:r>
    </w:p>
    <w:p w14:paraId="738BBDD2" w14:textId="3BC8BE0F" w:rsidR="00D2085E" w:rsidRPr="00544CD8" w:rsidRDefault="00D2085E" w:rsidP="00D82B0C">
      <w:pPr>
        <w:spacing w:line="480" w:lineRule="auto"/>
        <w:jc w:val="both"/>
        <w:rPr>
          <w:rFonts w:eastAsiaTheme="minorHAnsi" w:cstheme="minorHAnsi"/>
          <w:lang w:eastAsia="en-US"/>
        </w:rPr>
      </w:pPr>
      <w:proofErr w:type="spellStart"/>
      <w:r w:rsidRPr="00544CD8">
        <w:rPr>
          <w:rFonts w:eastAsiaTheme="minorHAnsi" w:cstheme="minorHAnsi"/>
          <w:lang w:eastAsia="en-US"/>
        </w:rPr>
        <w:t>Interligi</w:t>
      </w:r>
      <w:proofErr w:type="spellEnd"/>
      <w:r w:rsidRPr="00544CD8">
        <w:rPr>
          <w:rFonts w:eastAsiaTheme="minorHAnsi" w:cstheme="minorHAnsi"/>
          <w:lang w:eastAsia="en-US"/>
        </w:rPr>
        <w:t>, L. (2010). Compliance culture: A conceptual framework. Journal</w:t>
      </w:r>
      <w:r w:rsidR="001D4F89">
        <w:rPr>
          <w:rFonts w:eastAsiaTheme="minorHAnsi" w:cstheme="minorHAnsi"/>
          <w:lang w:eastAsia="en-US"/>
        </w:rPr>
        <w:t xml:space="preserve"> of Management and Organization</w:t>
      </w:r>
      <w:r w:rsidRPr="00544CD8">
        <w:rPr>
          <w:rFonts w:eastAsiaTheme="minorHAnsi" w:cstheme="minorHAnsi"/>
          <w:lang w:eastAsia="en-US"/>
        </w:rPr>
        <w:t xml:space="preserve"> </w:t>
      </w:r>
      <w:r w:rsidR="001D4F89">
        <w:rPr>
          <w:rFonts w:eastAsiaTheme="minorHAnsi" w:cstheme="minorHAnsi"/>
          <w:lang w:eastAsia="en-US"/>
        </w:rPr>
        <w:t>16,</w:t>
      </w:r>
      <w:r w:rsidRPr="00544CD8">
        <w:rPr>
          <w:rFonts w:eastAsiaTheme="minorHAnsi" w:cstheme="minorHAnsi"/>
          <w:lang w:eastAsia="en-US"/>
        </w:rPr>
        <w:t xml:space="preserve"> 235-249.</w:t>
      </w:r>
    </w:p>
    <w:p w14:paraId="52FE0D1C" w14:textId="69FD73DC" w:rsidR="00D2085E" w:rsidRPr="00544CD8" w:rsidRDefault="00D2085E" w:rsidP="00D82B0C">
      <w:pPr>
        <w:spacing w:line="480" w:lineRule="auto"/>
        <w:jc w:val="both"/>
        <w:rPr>
          <w:rFonts w:eastAsiaTheme="minorHAnsi" w:cstheme="minorHAnsi"/>
          <w:lang w:eastAsia="en-US"/>
        </w:rPr>
      </w:pPr>
      <w:r w:rsidRPr="00544CD8">
        <w:rPr>
          <w:rFonts w:eastAsiaTheme="minorHAnsi" w:cstheme="minorHAnsi"/>
          <w:lang w:eastAsia="en-US"/>
        </w:rPr>
        <w:t>Jackman, D. (2001). Why Comply? Journal of Financial Regulation and Compliance</w:t>
      </w:r>
      <w:r w:rsidR="008C0DF0">
        <w:rPr>
          <w:rFonts w:eastAsiaTheme="minorHAnsi" w:cstheme="minorHAnsi"/>
          <w:lang w:eastAsia="en-US"/>
        </w:rPr>
        <w:t xml:space="preserve"> 9 (3),</w:t>
      </w:r>
      <w:r w:rsidRPr="00544CD8">
        <w:rPr>
          <w:rFonts w:eastAsiaTheme="minorHAnsi" w:cstheme="minorHAnsi"/>
          <w:lang w:eastAsia="en-US"/>
        </w:rPr>
        <w:t xml:space="preserve"> 211-217.</w:t>
      </w:r>
    </w:p>
    <w:p w14:paraId="7749D3B2" w14:textId="10B01C70" w:rsidR="00D2085E" w:rsidRPr="00544CD8" w:rsidRDefault="00D2085E" w:rsidP="00D82B0C">
      <w:pPr>
        <w:spacing w:line="480" w:lineRule="auto"/>
        <w:jc w:val="both"/>
        <w:rPr>
          <w:rFonts w:eastAsiaTheme="minorHAnsi" w:cstheme="minorHAnsi"/>
          <w:lang w:eastAsia="en-US"/>
        </w:rPr>
      </w:pPr>
      <w:r w:rsidRPr="00544CD8">
        <w:rPr>
          <w:rFonts w:eastAsiaTheme="minorHAnsi" w:cstheme="minorHAnsi"/>
          <w:lang w:eastAsia="en-US"/>
        </w:rPr>
        <w:t>Jenkinson, D. (1996). Compliance Culture. Journal of Fina</w:t>
      </w:r>
      <w:r w:rsidR="008C0DF0">
        <w:rPr>
          <w:rFonts w:eastAsiaTheme="minorHAnsi" w:cstheme="minorHAnsi"/>
          <w:lang w:eastAsia="en-US"/>
        </w:rPr>
        <w:t>ncial Regulation and Compliance 4 (1),</w:t>
      </w:r>
      <w:r w:rsidRPr="00544CD8">
        <w:rPr>
          <w:rFonts w:eastAsiaTheme="minorHAnsi" w:cstheme="minorHAnsi"/>
          <w:lang w:eastAsia="en-US"/>
        </w:rPr>
        <w:t xml:space="preserve"> 41-46.</w:t>
      </w:r>
    </w:p>
    <w:p w14:paraId="3F909F59" w14:textId="182F3146" w:rsidR="003E59DB" w:rsidRPr="00544CD8" w:rsidRDefault="00B25992" w:rsidP="00D82B0C">
      <w:pPr>
        <w:spacing w:line="480" w:lineRule="auto"/>
        <w:jc w:val="both"/>
        <w:rPr>
          <w:rFonts w:eastAsiaTheme="minorHAnsi" w:cstheme="minorHAnsi"/>
          <w:lang w:eastAsia="en-US"/>
        </w:rPr>
      </w:pPr>
      <w:r w:rsidRPr="00D22697">
        <w:rPr>
          <w:rFonts w:eastAsiaTheme="minorHAnsi" w:cstheme="minorHAnsi"/>
          <w:lang w:eastAsia="en-US"/>
        </w:rPr>
        <w:t>Jose, A., and</w:t>
      </w:r>
      <w:r w:rsidR="003E59DB" w:rsidRPr="00D22697">
        <w:rPr>
          <w:rFonts w:eastAsiaTheme="minorHAnsi" w:cstheme="minorHAnsi"/>
          <w:lang w:eastAsia="en-US"/>
        </w:rPr>
        <w:t xml:space="preserve"> Lee, S. M. (2007). </w:t>
      </w:r>
      <w:r w:rsidR="003E59DB" w:rsidRPr="00544CD8">
        <w:rPr>
          <w:rFonts w:eastAsiaTheme="minorHAnsi" w:cstheme="minorHAnsi"/>
          <w:lang w:eastAsia="en-US"/>
        </w:rPr>
        <w:t>Environmental reporting of global corporations: A content analysis based on website disclosu</w:t>
      </w:r>
      <w:r>
        <w:rPr>
          <w:rFonts w:eastAsiaTheme="minorHAnsi" w:cstheme="minorHAnsi"/>
          <w:lang w:eastAsia="en-US"/>
        </w:rPr>
        <w:t>res. Journal of Business Ethics</w:t>
      </w:r>
      <w:r w:rsidR="003E59DB" w:rsidRPr="00544CD8">
        <w:rPr>
          <w:rFonts w:eastAsiaTheme="minorHAnsi" w:cstheme="minorHAnsi"/>
          <w:lang w:eastAsia="en-US"/>
        </w:rPr>
        <w:t xml:space="preserve"> 72(4), 307-321.</w:t>
      </w:r>
    </w:p>
    <w:p w14:paraId="664B3C69" w14:textId="254A3AF8" w:rsidR="00D2085E" w:rsidRPr="00544CD8" w:rsidRDefault="00D2085E" w:rsidP="00D82B0C">
      <w:pPr>
        <w:spacing w:line="480" w:lineRule="auto"/>
        <w:jc w:val="both"/>
        <w:rPr>
          <w:rFonts w:eastAsiaTheme="minorHAnsi" w:cstheme="minorHAnsi"/>
          <w:lang w:eastAsia="en-US"/>
        </w:rPr>
      </w:pPr>
      <w:proofErr w:type="spellStart"/>
      <w:r w:rsidRPr="00544CD8">
        <w:rPr>
          <w:rFonts w:eastAsiaTheme="minorHAnsi" w:cstheme="minorHAnsi"/>
          <w:lang w:eastAsia="en-US"/>
        </w:rPr>
        <w:t>Kondra</w:t>
      </w:r>
      <w:proofErr w:type="spellEnd"/>
      <w:r w:rsidRPr="00544CD8">
        <w:rPr>
          <w:rFonts w:eastAsiaTheme="minorHAnsi" w:cstheme="minorHAnsi"/>
          <w:lang w:eastAsia="en-US"/>
        </w:rPr>
        <w:t>, A</w:t>
      </w:r>
      <w:r w:rsidR="00386F8C">
        <w:rPr>
          <w:rFonts w:eastAsiaTheme="minorHAnsi" w:cstheme="minorHAnsi"/>
          <w:lang w:eastAsia="en-US"/>
        </w:rPr>
        <w:t>. Z., and</w:t>
      </w:r>
      <w:r w:rsidRPr="00544CD8">
        <w:rPr>
          <w:rFonts w:eastAsiaTheme="minorHAnsi" w:cstheme="minorHAnsi"/>
          <w:lang w:eastAsia="en-US"/>
        </w:rPr>
        <w:t xml:space="preserve"> Hurst, D. C. (2009). Institutional processes of organizational culture. Culture and organization 15(1)</w:t>
      </w:r>
      <w:r w:rsidR="00386F8C">
        <w:rPr>
          <w:rFonts w:eastAsiaTheme="minorHAnsi" w:cstheme="minorHAnsi"/>
          <w:lang w:eastAsia="en-US"/>
        </w:rPr>
        <w:t>,</w:t>
      </w:r>
      <w:r w:rsidRPr="00544CD8">
        <w:rPr>
          <w:rFonts w:eastAsiaTheme="minorHAnsi" w:cstheme="minorHAnsi"/>
          <w:lang w:eastAsia="en-US"/>
        </w:rPr>
        <w:t xml:space="preserve"> 39-58.</w:t>
      </w:r>
    </w:p>
    <w:p w14:paraId="56A0F1CF" w14:textId="5001C64F" w:rsidR="003E59DB" w:rsidRPr="00544CD8" w:rsidRDefault="00B968A0" w:rsidP="00D82B0C">
      <w:pPr>
        <w:spacing w:line="480" w:lineRule="auto"/>
        <w:jc w:val="both"/>
        <w:rPr>
          <w:rFonts w:eastAsiaTheme="minorHAnsi" w:cstheme="minorHAnsi"/>
          <w:lang w:eastAsia="en-US"/>
        </w:rPr>
      </w:pPr>
      <w:proofErr w:type="spellStart"/>
      <w:r>
        <w:rPr>
          <w:rFonts w:eastAsiaTheme="minorHAnsi" w:cstheme="minorHAnsi"/>
          <w:lang w:eastAsia="en-US"/>
        </w:rPr>
        <w:t>Lamin</w:t>
      </w:r>
      <w:proofErr w:type="spellEnd"/>
      <w:r>
        <w:rPr>
          <w:rFonts w:eastAsiaTheme="minorHAnsi" w:cstheme="minorHAnsi"/>
          <w:lang w:eastAsia="en-US"/>
        </w:rPr>
        <w:t>, A., and</w:t>
      </w:r>
      <w:r w:rsidR="003E59DB" w:rsidRPr="00544CD8">
        <w:rPr>
          <w:rFonts w:eastAsiaTheme="minorHAnsi" w:cstheme="minorHAnsi"/>
          <w:lang w:eastAsia="en-US"/>
        </w:rPr>
        <w:t xml:space="preserve"> </w:t>
      </w:r>
      <w:proofErr w:type="spellStart"/>
      <w:r w:rsidR="003E59DB" w:rsidRPr="00544CD8">
        <w:rPr>
          <w:rFonts w:eastAsiaTheme="minorHAnsi" w:cstheme="minorHAnsi"/>
          <w:lang w:eastAsia="en-US"/>
        </w:rPr>
        <w:t>Zaheer</w:t>
      </w:r>
      <w:proofErr w:type="spellEnd"/>
      <w:r w:rsidR="003E59DB" w:rsidRPr="00544CD8">
        <w:rPr>
          <w:rFonts w:eastAsiaTheme="minorHAnsi" w:cstheme="minorHAnsi"/>
          <w:lang w:eastAsia="en-US"/>
        </w:rPr>
        <w:t>, S. (2012). Wall Street vs. Main Street: Firm strategies for defending legitimacy and their impact on different stakeholders. Organization Science 23(1), 47-66.</w:t>
      </w:r>
    </w:p>
    <w:p w14:paraId="6F5985F2" w14:textId="62D061AB" w:rsidR="00D2085E" w:rsidRPr="00544CD8" w:rsidRDefault="00D2085E" w:rsidP="00D82B0C">
      <w:pPr>
        <w:spacing w:line="480" w:lineRule="auto"/>
        <w:jc w:val="both"/>
        <w:rPr>
          <w:rFonts w:eastAsiaTheme="minorHAnsi" w:cstheme="minorHAnsi"/>
          <w:lang w:eastAsia="en-US"/>
        </w:rPr>
      </w:pPr>
      <w:r w:rsidRPr="00544CD8">
        <w:rPr>
          <w:rFonts w:eastAsiaTheme="minorHAnsi" w:cstheme="minorHAnsi"/>
          <w:lang w:eastAsia="en-US"/>
        </w:rPr>
        <w:t>Malloy, T.F. (2003). Regulation, Compliance and the Firm. Temple Law Review 76 (3)</w:t>
      </w:r>
      <w:r w:rsidR="00ED2912">
        <w:rPr>
          <w:rFonts w:eastAsiaTheme="minorHAnsi" w:cstheme="minorHAnsi"/>
          <w:lang w:eastAsia="en-US"/>
        </w:rPr>
        <w:t>,</w:t>
      </w:r>
      <w:r w:rsidRPr="00544CD8">
        <w:rPr>
          <w:rFonts w:eastAsiaTheme="minorHAnsi" w:cstheme="minorHAnsi"/>
          <w:lang w:eastAsia="en-US"/>
        </w:rPr>
        <w:t xml:space="preserve"> 451-531.</w:t>
      </w:r>
    </w:p>
    <w:p w14:paraId="58749424" w14:textId="0518F931" w:rsidR="00F26FB2" w:rsidRPr="00544CD8" w:rsidRDefault="0055090C" w:rsidP="00D82B0C">
      <w:pPr>
        <w:spacing w:line="480" w:lineRule="auto"/>
        <w:jc w:val="both"/>
        <w:rPr>
          <w:rFonts w:eastAsiaTheme="minorHAnsi" w:cstheme="minorHAnsi"/>
          <w:lang w:eastAsia="en-US"/>
        </w:rPr>
      </w:pPr>
      <w:r>
        <w:rPr>
          <w:rFonts w:eastAsiaTheme="minorHAnsi" w:cstheme="minorHAnsi"/>
          <w:lang w:eastAsia="en-US"/>
        </w:rPr>
        <w:lastRenderedPageBreak/>
        <w:t>McCarthy, K. J., and</w:t>
      </w:r>
      <w:r w:rsidR="00F26FB2" w:rsidRPr="00544CD8">
        <w:rPr>
          <w:rFonts w:eastAsiaTheme="minorHAnsi" w:cstheme="minorHAnsi"/>
          <w:lang w:eastAsia="en-US"/>
        </w:rPr>
        <w:t xml:space="preserve"> </w:t>
      </w:r>
      <w:proofErr w:type="spellStart"/>
      <w:r w:rsidR="00F26FB2" w:rsidRPr="00544CD8">
        <w:rPr>
          <w:rFonts w:eastAsiaTheme="minorHAnsi" w:cstheme="minorHAnsi"/>
          <w:lang w:eastAsia="en-US"/>
        </w:rPr>
        <w:t>Dolfsma</w:t>
      </w:r>
      <w:proofErr w:type="spellEnd"/>
      <w:r w:rsidR="00F26FB2" w:rsidRPr="00544CD8">
        <w:rPr>
          <w:rFonts w:eastAsiaTheme="minorHAnsi" w:cstheme="minorHAnsi"/>
          <w:lang w:eastAsia="en-US"/>
        </w:rPr>
        <w:t>, W. (2014). Neutral media? Evidence of media bias and its economic impact. Review of Social Economy 72(1), 42-54.</w:t>
      </w:r>
    </w:p>
    <w:p w14:paraId="0B641368" w14:textId="7A384205" w:rsidR="00D2085E" w:rsidRPr="00544CD8" w:rsidRDefault="00D2085E" w:rsidP="00D82B0C">
      <w:pPr>
        <w:spacing w:line="480" w:lineRule="auto"/>
        <w:jc w:val="both"/>
        <w:rPr>
          <w:rFonts w:eastAsiaTheme="minorHAnsi" w:cstheme="minorHAnsi"/>
          <w:lang w:eastAsia="en-US"/>
        </w:rPr>
      </w:pPr>
      <w:proofErr w:type="spellStart"/>
      <w:r w:rsidRPr="00544CD8">
        <w:rPr>
          <w:rFonts w:eastAsiaTheme="minorHAnsi" w:cstheme="minorHAnsi"/>
          <w:lang w:eastAsia="en-US"/>
        </w:rPr>
        <w:t>Meidinger</w:t>
      </w:r>
      <w:proofErr w:type="spellEnd"/>
      <w:r w:rsidRPr="00544CD8">
        <w:rPr>
          <w:rFonts w:eastAsiaTheme="minorHAnsi" w:cstheme="minorHAnsi"/>
          <w:lang w:eastAsia="en-US"/>
        </w:rPr>
        <w:t>, E. (1987). Regulatory Culture: A Theoretical Outline. Law &amp; Policy 9(4)</w:t>
      </w:r>
      <w:r w:rsidR="007533D7">
        <w:rPr>
          <w:rFonts w:eastAsiaTheme="minorHAnsi" w:cstheme="minorHAnsi"/>
          <w:lang w:eastAsia="en-US"/>
        </w:rPr>
        <w:t>,</w:t>
      </w:r>
      <w:r w:rsidRPr="00544CD8">
        <w:rPr>
          <w:rFonts w:eastAsiaTheme="minorHAnsi" w:cstheme="minorHAnsi"/>
          <w:lang w:eastAsia="en-US"/>
        </w:rPr>
        <w:t xml:space="preserve"> 355-386.</w:t>
      </w:r>
    </w:p>
    <w:p w14:paraId="19492698" w14:textId="4F44D3DA" w:rsidR="00D2085E" w:rsidRPr="00544CD8" w:rsidRDefault="00D2085E" w:rsidP="00D82B0C">
      <w:pPr>
        <w:spacing w:line="480" w:lineRule="auto"/>
        <w:jc w:val="both"/>
        <w:rPr>
          <w:rFonts w:eastAsiaTheme="minorHAnsi" w:cstheme="minorHAnsi"/>
          <w:lang w:eastAsia="en-US"/>
        </w:rPr>
      </w:pPr>
      <w:r w:rsidRPr="00544CD8">
        <w:rPr>
          <w:rFonts w:eastAsiaTheme="minorHAnsi" w:cstheme="minorHAnsi"/>
          <w:lang w:eastAsia="en-US"/>
        </w:rPr>
        <w:t>Morton, J.C. (2005). The development of a compliance culture. Journal of Investment Compliance</w:t>
      </w:r>
      <w:r w:rsidR="00D74D6D">
        <w:rPr>
          <w:rFonts w:eastAsiaTheme="minorHAnsi" w:cstheme="minorHAnsi"/>
          <w:lang w:eastAsia="en-US"/>
        </w:rPr>
        <w:t xml:space="preserve"> 6(4)</w:t>
      </w:r>
      <w:r w:rsidRPr="00544CD8">
        <w:rPr>
          <w:rFonts w:eastAsiaTheme="minorHAnsi" w:cstheme="minorHAnsi"/>
          <w:lang w:eastAsia="en-US"/>
        </w:rPr>
        <w:t>, 59-66.</w:t>
      </w:r>
    </w:p>
    <w:p w14:paraId="265A5655" w14:textId="77777777" w:rsidR="00D2085E" w:rsidRPr="00544CD8" w:rsidRDefault="00D2085E" w:rsidP="00D82B0C">
      <w:pPr>
        <w:spacing w:line="480" w:lineRule="auto"/>
        <w:jc w:val="both"/>
        <w:rPr>
          <w:rFonts w:eastAsiaTheme="minorHAnsi" w:cstheme="minorHAnsi"/>
          <w:lang w:eastAsia="en-US"/>
        </w:rPr>
      </w:pPr>
      <w:r w:rsidRPr="00544CD8">
        <w:rPr>
          <w:rFonts w:eastAsiaTheme="minorHAnsi" w:cstheme="minorHAnsi"/>
          <w:lang w:eastAsia="en-US"/>
        </w:rPr>
        <w:t>Newton, A. (1998). Compliance: making ethics work in financial services. Financial Times/Pitman.</w:t>
      </w:r>
    </w:p>
    <w:p w14:paraId="72AECECC" w14:textId="0A4BFF2B" w:rsidR="00D2085E" w:rsidRPr="00544CD8" w:rsidRDefault="00D2085E" w:rsidP="00D82B0C">
      <w:pPr>
        <w:spacing w:line="480" w:lineRule="auto"/>
        <w:jc w:val="both"/>
        <w:rPr>
          <w:rFonts w:eastAsiaTheme="minorHAnsi" w:cstheme="minorHAnsi"/>
          <w:lang w:eastAsia="en-US"/>
        </w:rPr>
      </w:pPr>
      <w:r w:rsidRPr="00544CD8">
        <w:rPr>
          <w:rFonts w:eastAsiaTheme="minorHAnsi" w:cstheme="minorHAnsi"/>
          <w:lang w:eastAsia="en-US"/>
        </w:rPr>
        <w:t xml:space="preserve">Newton, A. (2001). Compliance is not enough: getting the ethical culture right in your firm. </w:t>
      </w:r>
      <w:r w:rsidR="00D74D6D">
        <w:rPr>
          <w:rFonts w:eastAsiaTheme="minorHAnsi" w:cstheme="minorHAnsi"/>
          <w:lang w:eastAsia="en-US"/>
        </w:rPr>
        <w:t>D</w:t>
      </w:r>
      <w:r w:rsidRPr="00544CD8">
        <w:rPr>
          <w:rFonts w:eastAsiaTheme="minorHAnsi" w:cstheme="minorHAnsi"/>
          <w:lang w:eastAsia="en-US"/>
        </w:rPr>
        <w:t>ownloaded 2 July 2014 http://www.securities-institute.org.uk/SI/IMAGES/files/IntegrityAndEthics/ethics.pdf</w:t>
      </w:r>
    </w:p>
    <w:p w14:paraId="374052BC" w14:textId="23F13415" w:rsidR="00D2085E" w:rsidRPr="00544CD8" w:rsidRDefault="00D2085E" w:rsidP="00D82B0C">
      <w:pPr>
        <w:spacing w:line="480" w:lineRule="auto"/>
        <w:jc w:val="both"/>
        <w:rPr>
          <w:rFonts w:eastAsiaTheme="minorHAnsi" w:cstheme="minorHAnsi"/>
          <w:lang w:eastAsia="en-US"/>
        </w:rPr>
      </w:pPr>
      <w:r w:rsidRPr="00544CD8">
        <w:rPr>
          <w:rFonts w:eastAsiaTheme="minorHAnsi" w:cstheme="minorHAnsi"/>
          <w:lang w:eastAsia="en-US"/>
        </w:rPr>
        <w:t>Nielsen, V.L. and Parker C. (2012). Mixed motives: Economic, Social and Normative Motivations in Business Compliance. Law and Policy</w:t>
      </w:r>
      <w:r w:rsidR="00EB3977">
        <w:rPr>
          <w:rFonts w:eastAsiaTheme="minorHAnsi" w:cstheme="minorHAnsi"/>
          <w:lang w:eastAsia="en-US"/>
        </w:rPr>
        <w:t xml:space="preserve"> 34 (4),</w:t>
      </w:r>
      <w:r w:rsidRPr="00544CD8">
        <w:rPr>
          <w:rFonts w:eastAsiaTheme="minorHAnsi" w:cstheme="minorHAnsi"/>
          <w:lang w:eastAsia="en-US"/>
        </w:rPr>
        <w:t xml:space="preserve"> 428-462.</w:t>
      </w:r>
    </w:p>
    <w:p w14:paraId="39B2BC0E" w14:textId="2A31E458" w:rsidR="00D2085E" w:rsidRPr="00544CD8" w:rsidRDefault="003A3205" w:rsidP="00D82B0C">
      <w:pPr>
        <w:spacing w:line="480" w:lineRule="auto"/>
        <w:jc w:val="both"/>
        <w:rPr>
          <w:rFonts w:eastAsiaTheme="minorHAnsi" w:cstheme="minorHAnsi"/>
          <w:lang w:eastAsia="en-US"/>
        </w:rPr>
      </w:pPr>
      <w:r>
        <w:rPr>
          <w:rFonts w:eastAsiaTheme="minorHAnsi" w:cstheme="minorHAnsi"/>
          <w:lang w:eastAsia="en-US"/>
        </w:rPr>
        <w:t>O’Brien, J.,</w:t>
      </w:r>
      <w:r w:rsidR="00D2085E" w:rsidRPr="00544CD8">
        <w:rPr>
          <w:rFonts w:eastAsiaTheme="minorHAnsi" w:cstheme="minorHAnsi"/>
          <w:lang w:eastAsia="en-US"/>
        </w:rPr>
        <w:t xml:space="preserve"> Gilligan, G. and Miller, S. (2014). Culture and the future of financial regulation: how to embed restraint in the interests of systemic stability. Law and Financial Markets Review 8 (2)</w:t>
      </w:r>
      <w:r>
        <w:rPr>
          <w:rFonts w:eastAsiaTheme="minorHAnsi" w:cstheme="minorHAnsi"/>
          <w:lang w:eastAsia="en-US"/>
        </w:rPr>
        <w:t>,</w:t>
      </w:r>
      <w:r w:rsidR="00D2085E" w:rsidRPr="00544CD8">
        <w:rPr>
          <w:rFonts w:eastAsiaTheme="minorHAnsi" w:cstheme="minorHAnsi"/>
          <w:lang w:eastAsia="en-US"/>
        </w:rPr>
        <w:t xml:space="preserve"> 115-133.</w:t>
      </w:r>
    </w:p>
    <w:p w14:paraId="18E5430C" w14:textId="641ADBA8" w:rsidR="00F944FE" w:rsidRPr="00544CD8" w:rsidRDefault="00F944FE" w:rsidP="00D82B0C">
      <w:pPr>
        <w:spacing w:line="480" w:lineRule="auto"/>
        <w:jc w:val="both"/>
        <w:rPr>
          <w:rFonts w:eastAsiaTheme="minorHAnsi" w:cstheme="minorHAnsi"/>
          <w:lang w:eastAsia="en-US"/>
        </w:rPr>
      </w:pPr>
      <w:r w:rsidRPr="00544CD8">
        <w:rPr>
          <w:rFonts w:eastAsiaTheme="minorHAnsi" w:cstheme="minorHAnsi"/>
          <w:lang w:eastAsia="en-US"/>
        </w:rPr>
        <w:t>Oliver, C. (1991). Strategic responses to institutional processes. Academy of management review 16(1), 145-179.</w:t>
      </w:r>
    </w:p>
    <w:p w14:paraId="2E49F4A8" w14:textId="0D7B008B" w:rsidR="00D2085E" w:rsidRPr="00544CD8" w:rsidRDefault="00D2085E" w:rsidP="00D82B0C">
      <w:pPr>
        <w:spacing w:line="480" w:lineRule="auto"/>
        <w:jc w:val="both"/>
        <w:rPr>
          <w:rFonts w:eastAsiaTheme="minorHAnsi" w:cstheme="minorHAnsi"/>
          <w:lang w:eastAsia="en-US"/>
        </w:rPr>
      </w:pPr>
      <w:r w:rsidRPr="00544CD8">
        <w:rPr>
          <w:rFonts w:eastAsiaTheme="minorHAnsi" w:cstheme="minorHAnsi"/>
          <w:lang w:eastAsia="en-US"/>
        </w:rPr>
        <w:t>Parker, C. (2000). The ethics of advising on regulatory compliance: autonomy or interdependence? Journal of Business Ethics</w:t>
      </w:r>
      <w:r w:rsidR="009B2F1B">
        <w:rPr>
          <w:rFonts w:eastAsiaTheme="minorHAnsi" w:cstheme="minorHAnsi"/>
          <w:lang w:eastAsia="en-US"/>
        </w:rPr>
        <w:t xml:space="preserve"> 28,</w:t>
      </w:r>
      <w:r w:rsidRPr="00544CD8">
        <w:rPr>
          <w:rFonts w:eastAsiaTheme="minorHAnsi" w:cstheme="minorHAnsi"/>
          <w:lang w:eastAsia="en-US"/>
        </w:rPr>
        <w:t xml:space="preserve"> 339-351.</w:t>
      </w:r>
    </w:p>
    <w:p w14:paraId="663BADF1" w14:textId="29861F79" w:rsidR="00D2085E" w:rsidRPr="00544CD8" w:rsidRDefault="00D2085E" w:rsidP="00D82B0C">
      <w:pPr>
        <w:spacing w:line="480" w:lineRule="auto"/>
        <w:jc w:val="both"/>
        <w:rPr>
          <w:rFonts w:eastAsiaTheme="minorHAnsi" w:cstheme="minorHAnsi"/>
          <w:lang w:eastAsia="en-US"/>
        </w:rPr>
      </w:pPr>
      <w:r w:rsidRPr="00544CD8">
        <w:rPr>
          <w:rFonts w:eastAsiaTheme="minorHAnsi" w:cstheme="minorHAnsi"/>
          <w:lang w:eastAsia="en-US"/>
        </w:rPr>
        <w:t xml:space="preserve">Parker, C. (2006). The ‘Compliance Trap’: The moral message in responsive regulatory enforcement. </w:t>
      </w:r>
      <w:r w:rsidR="00EF1C7E">
        <w:rPr>
          <w:rFonts w:eastAsiaTheme="minorHAnsi" w:cstheme="minorHAnsi"/>
          <w:lang w:eastAsia="en-US"/>
        </w:rPr>
        <w:t>Law and Society Review 40(3),</w:t>
      </w:r>
      <w:r w:rsidRPr="00544CD8">
        <w:rPr>
          <w:rFonts w:eastAsiaTheme="minorHAnsi" w:cstheme="minorHAnsi"/>
          <w:lang w:eastAsia="en-US"/>
        </w:rPr>
        <w:t xml:space="preserve"> 591-622.</w:t>
      </w:r>
    </w:p>
    <w:p w14:paraId="1A8CD962" w14:textId="5AA917DE" w:rsidR="00FB1D04" w:rsidRPr="00544CD8" w:rsidRDefault="00FB1D04" w:rsidP="00D82B0C">
      <w:pPr>
        <w:spacing w:line="480" w:lineRule="auto"/>
        <w:jc w:val="both"/>
        <w:rPr>
          <w:rFonts w:eastAsiaTheme="minorHAnsi" w:cstheme="minorHAnsi"/>
          <w:lang w:eastAsia="en-US"/>
        </w:rPr>
      </w:pPr>
      <w:proofErr w:type="spellStart"/>
      <w:r w:rsidRPr="00544CD8">
        <w:rPr>
          <w:rFonts w:eastAsiaTheme="minorHAnsi" w:cstheme="minorHAnsi"/>
          <w:lang w:eastAsia="en-US"/>
        </w:rPr>
        <w:t>Pérezts</w:t>
      </w:r>
      <w:proofErr w:type="spellEnd"/>
      <w:r w:rsidRPr="00544CD8">
        <w:rPr>
          <w:rFonts w:eastAsiaTheme="minorHAnsi" w:cstheme="minorHAnsi"/>
          <w:lang w:eastAsia="en-US"/>
        </w:rPr>
        <w:t>, M.</w:t>
      </w:r>
      <w:r w:rsidR="00571618">
        <w:rPr>
          <w:rFonts w:eastAsiaTheme="minorHAnsi" w:cstheme="minorHAnsi"/>
          <w:lang w:eastAsia="en-US"/>
        </w:rPr>
        <w:t xml:space="preserve"> and</w:t>
      </w:r>
      <w:r w:rsidRPr="00544CD8">
        <w:rPr>
          <w:rFonts w:eastAsiaTheme="minorHAnsi" w:cstheme="minorHAnsi"/>
          <w:lang w:eastAsia="en-US"/>
        </w:rPr>
        <w:t xml:space="preserve"> Picard, S. (201</w:t>
      </w:r>
      <w:r w:rsidR="009C0CBA" w:rsidRPr="00544CD8">
        <w:rPr>
          <w:rFonts w:eastAsiaTheme="minorHAnsi" w:cstheme="minorHAnsi"/>
          <w:lang w:eastAsia="en-US"/>
        </w:rPr>
        <w:t>5</w:t>
      </w:r>
      <w:r w:rsidRPr="00544CD8">
        <w:rPr>
          <w:rFonts w:eastAsiaTheme="minorHAnsi" w:cstheme="minorHAnsi"/>
          <w:lang w:eastAsia="en-US"/>
        </w:rPr>
        <w:t>). Compliance or Comfort Zone? The Work of Embedded Ethics in Performing Regulation. Journal of Business Ethics 31</w:t>
      </w:r>
      <w:r w:rsidR="00F369AD">
        <w:rPr>
          <w:rFonts w:eastAsiaTheme="minorHAnsi" w:cstheme="minorHAnsi"/>
          <w:lang w:eastAsia="en-US"/>
        </w:rPr>
        <w:t>(4),</w:t>
      </w:r>
      <w:r w:rsidRPr="00544CD8">
        <w:rPr>
          <w:rFonts w:eastAsiaTheme="minorHAnsi" w:cstheme="minorHAnsi"/>
          <w:lang w:eastAsia="en-US"/>
        </w:rPr>
        <w:t xml:space="preserve"> 1-20.</w:t>
      </w:r>
    </w:p>
    <w:p w14:paraId="287C4E7C" w14:textId="6148264C" w:rsidR="00D2085E" w:rsidRPr="00544CD8" w:rsidRDefault="00D2085E" w:rsidP="00D82B0C">
      <w:pPr>
        <w:spacing w:line="480" w:lineRule="auto"/>
      </w:pPr>
      <w:r w:rsidRPr="00544CD8">
        <w:lastRenderedPageBreak/>
        <w:t>PRA (2014). The use of PRA powers to address serious fail</w:t>
      </w:r>
      <w:r w:rsidR="00A93E25">
        <w:t>ings in the culture of firms.  D</w:t>
      </w:r>
      <w:r w:rsidRPr="00544CD8">
        <w:t>ownloaded 25</w:t>
      </w:r>
      <w:r w:rsidR="00A93E25">
        <w:t xml:space="preserve"> June 2014</w:t>
      </w:r>
      <w:r w:rsidRPr="00544CD8">
        <w:t xml:space="preserve"> </w:t>
      </w:r>
      <w:hyperlink r:id="rId42" w:history="1">
        <w:r w:rsidRPr="00544CD8">
          <w:rPr>
            <w:u w:val="single"/>
          </w:rPr>
          <w:t>http://www.bankofengland.co.uk/pra/Pages/publications/powersculture.aspx</w:t>
        </w:r>
      </w:hyperlink>
      <w:r w:rsidRPr="00544CD8">
        <w:t xml:space="preserve"> </w:t>
      </w:r>
    </w:p>
    <w:p w14:paraId="43DBA245" w14:textId="5C93FF77" w:rsidR="00D2085E" w:rsidRPr="00544CD8" w:rsidRDefault="00D2085E" w:rsidP="00D82B0C">
      <w:pPr>
        <w:spacing w:line="480" w:lineRule="auto"/>
      </w:pPr>
      <w:r w:rsidRPr="00544CD8">
        <w:t xml:space="preserve">Quinn, R. and </w:t>
      </w:r>
      <w:proofErr w:type="spellStart"/>
      <w:r w:rsidRPr="00544CD8">
        <w:t>Rohrbaugh</w:t>
      </w:r>
      <w:proofErr w:type="spellEnd"/>
      <w:r w:rsidRPr="00544CD8">
        <w:t xml:space="preserve">, J. (1983). A spatial model of effectiveness criteria: Towards a competing values approach to organizational analysis. </w:t>
      </w:r>
      <w:r w:rsidR="003E56F5">
        <w:t>Management Science</w:t>
      </w:r>
      <w:r w:rsidRPr="00544CD8">
        <w:t xml:space="preserve"> </w:t>
      </w:r>
      <w:r w:rsidR="003E56F5">
        <w:t>29,</w:t>
      </w:r>
      <w:r w:rsidRPr="00544CD8">
        <w:t xml:space="preserve"> 363-377.</w:t>
      </w:r>
    </w:p>
    <w:p w14:paraId="5BED05E2" w14:textId="0329DF71" w:rsidR="00D2085E" w:rsidRPr="00544CD8" w:rsidRDefault="00CC2174" w:rsidP="00D82B0C">
      <w:pPr>
        <w:spacing w:line="480" w:lineRule="auto"/>
      </w:pPr>
      <w:r>
        <w:t xml:space="preserve">Ring, P.J., Bryce, C., </w:t>
      </w:r>
      <w:r w:rsidR="007B7223" w:rsidRPr="00544CD8">
        <w:t>McKinney, R. and Webb, R. (2016</w:t>
      </w:r>
      <w:r w:rsidR="00D2085E" w:rsidRPr="00544CD8">
        <w:t xml:space="preserve">). Taking notice of risk culture – the regulators approach. Journal of Risk Research </w:t>
      </w:r>
      <w:r w:rsidR="00A93E25">
        <w:t>19</w:t>
      </w:r>
      <w:r w:rsidR="003E56F5">
        <w:t>(3),</w:t>
      </w:r>
      <w:r w:rsidR="00D14F7F" w:rsidRPr="00544CD8">
        <w:t xml:space="preserve"> 364-387</w:t>
      </w:r>
      <w:r w:rsidR="003E56F5">
        <w:t>.</w:t>
      </w:r>
      <w:r w:rsidR="00D14F7F" w:rsidRPr="00544CD8">
        <w:t xml:space="preserve"> </w:t>
      </w:r>
    </w:p>
    <w:p w14:paraId="2F07A09F" w14:textId="5A806E5A" w:rsidR="00D2085E" w:rsidRPr="00544CD8" w:rsidRDefault="00D2085E" w:rsidP="00D82B0C">
      <w:pPr>
        <w:spacing w:line="480" w:lineRule="auto"/>
      </w:pPr>
      <w:r w:rsidRPr="00544CD8">
        <w:t>Rossi, C. L. (2010). Compliance: an over-looked business strategy. International Journal of Social Economics</w:t>
      </w:r>
      <w:r w:rsidR="00A93E25">
        <w:t xml:space="preserve"> 37</w:t>
      </w:r>
      <w:r w:rsidR="00CA62EE">
        <w:t>(10),</w:t>
      </w:r>
      <w:r w:rsidRPr="00544CD8">
        <w:t xml:space="preserve"> 816-831.</w:t>
      </w:r>
    </w:p>
    <w:p w14:paraId="52A9AE5B" w14:textId="5778C1B5" w:rsidR="00D2085E" w:rsidRPr="00544CD8" w:rsidRDefault="00D2085E" w:rsidP="00D82B0C">
      <w:pPr>
        <w:spacing w:line="480" w:lineRule="auto"/>
        <w:jc w:val="both"/>
        <w:rPr>
          <w:rFonts w:eastAsiaTheme="minorHAnsi" w:cstheme="minorHAnsi"/>
        </w:rPr>
      </w:pPr>
      <w:proofErr w:type="spellStart"/>
      <w:r w:rsidRPr="00544CD8">
        <w:rPr>
          <w:rFonts w:eastAsiaTheme="minorHAnsi" w:cstheme="minorHAnsi"/>
        </w:rPr>
        <w:t>Sathye</w:t>
      </w:r>
      <w:proofErr w:type="spellEnd"/>
      <w:r w:rsidRPr="00544CD8">
        <w:rPr>
          <w:rFonts w:eastAsiaTheme="minorHAnsi" w:cstheme="minorHAnsi"/>
        </w:rPr>
        <w:t xml:space="preserve">, M. (2008). Estimating the cost of compliance of AMLCTF for financial institutions in Australia. </w:t>
      </w:r>
      <w:r w:rsidR="002118D5">
        <w:rPr>
          <w:rFonts w:eastAsiaTheme="minorHAnsi" w:cstheme="minorHAnsi"/>
        </w:rPr>
        <w:t>Journal of Financial Crime</w:t>
      </w:r>
      <w:r w:rsidRPr="00544CD8">
        <w:rPr>
          <w:rFonts w:eastAsiaTheme="minorHAnsi" w:cstheme="minorHAnsi"/>
        </w:rPr>
        <w:t xml:space="preserve"> </w:t>
      </w:r>
      <w:r w:rsidR="002118D5">
        <w:rPr>
          <w:rFonts w:eastAsiaTheme="minorHAnsi" w:cstheme="minorHAnsi"/>
        </w:rPr>
        <w:t>15(4),</w:t>
      </w:r>
      <w:r w:rsidRPr="00544CD8">
        <w:rPr>
          <w:rFonts w:eastAsiaTheme="minorHAnsi" w:cstheme="minorHAnsi"/>
        </w:rPr>
        <w:t xml:space="preserve"> 347-363.</w:t>
      </w:r>
    </w:p>
    <w:p w14:paraId="5292B48C" w14:textId="2E143796" w:rsidR="00D2085E" w:rsidRPr="00544CD8" w:rsidRDefault="00D2085E" w:rsidP="00D82B0C">
      <w:pPr>
        <w:spacing w:line="480" w:lineRule="auto"/>
        <w:jc w:val="both"/>
        <w:rPr>
          <w:rFonts w:eastAsiaTheme="minorHAnsi" w:cstheme="minorHAnsi"/>
        </w:rPr>
      </w:pPr>
      <w:r w:rsidRPr="00544CD8">
        <w:rPr>
          <w:rFonts w:eastAsiaTheme="minorHAnsi" w:cstheme="minorHAnsi"/>
        </w:rPr>
        <w:t xml:space="preserve">Schein, E.H. (1985). Organizational culture and leadership. San Francisco: </w:t>
      </w:r>
      <w:proofErr w:type="spellStart"/>
      <w:r w:rsidRPr="00544CD8">
        <w:rPr>
          <w:rFonts w:eastAsiaTheme="minorHAnsi" w:cstheme="minorHAnsi"/>
        </w:rPr>
        <w:t>Jossey</w:t>
      </w:r>
      <w:proofErr w:type="spellEnd"/>
      <w:r w:rsidRPr="00544CD8">
        <w:rPr>
          <w:rFonts w:eastAsiaTheme="minorHAnsi" w:cstheme="minorHAnsi"/>
        </w:rPr>
        <w:t>-Bass.</w:t>
      </w:r>
    </w:p>
    <w:p w14:paraId="58A550D4" w14:textId="509B18B8" w:rsidR="00DD4A93" w:rsidRPr="00544CD8" w:rsidRDefault="00DD4A93" w:rsidP="00D82B0C">
      <w:pPr>
        <w:spacing w:line="480" w:lineRule="auto"/>
        <w:jc w:val="both"/>
        <w:rPr>
          <w:rFonts w:eastAsiaTheme="minorHAnsi" w:cstheme="minorHAnsi"/>
        </w:rPr>
      </w:pPr>
      <w:proofErr w:type="spellStart"/>
      <w:r w:rsidRPr="00544CD8">
        <w:rPr>
          <w:rFonts w:eastAsiaTheme="minorHAnsi" w:cstheme="minorHAnsi"/>
        </w:rPr>
        <w:t>Schreier</w:t>
      </w:r>
      <w:proofErr w:type="spellEnd"/>
      <w:r w:rsidRPr="00544CD8">
        <w:rPr>
          <w:rFonts w:eastAsiaTheme="minorHAnsi" w:cstheme="minorHAnsi"/>
        </w:rPr>
        <w:t>, M. (2012). Qualitative content analysis in practice. Sage Publications.</w:t>
      </w:r>
    </w:p>
    <w:p w14:paraId="691034F1" w14:textId="26B7D49D" w:rsidR="00CD2D04" w:rsidRPr="00544CD8" w:rsidRDefault="00CD2D04" w:rsidP="00D82B0C">
      <w:pPr>
        <w:spacing w:line="480" w:lineRule="auto"/>
        <w:jc w:val="both"/>
        <w:rPr>
          <w:rFonts w:eastAsiaTheme="minorHAnsi" w:cstheme="minorHAnsi"/>
        </w:rPr>
      </w:pPr>
      <w:r w:rsidRPr="00544CD8">
        <w:rPr>
          <w:rFonts w:eastAsiaTheme="minorHAnsi" w:cstheme="minorHAnsi"/>
        </w:rPr>
        <w:t>Scott, W.S. (2014). Inst</w:t>
      </w:r>
      <w:r w:rsidR="002118D5">
        <w:rPr>
          <w:rFonts w:eastAsiaTheme="minorHAnsi" w:cstheme="minorHAnsi"/>
        </w:rPr>
        <w:t>itutes and Organizations: Volume</w:t>
      </w:r>
      <w:r w:rsidRPr="00544CD8">
        <w:rPr>
          <w:rFonts w:eastAsiaTheme="minorHAnsi" w:cstheme="minorHAnsi"/>
        </w:rPr>
        <w:t xml:space="preserve"> 4. Sage Publishing.</w:t>
      </w:r>
    </w:p>
    <w:p w14:paraId="61253061" w14:textId="068C14A8" w:rsidR="00D2085E" w:rsidRDefault="00D2085E" w:rsidP="00D82B0C">
      <w:pPr>
        <w:spacing w:line="480" w:lineRule="auto"/>
        <w:jc w:val="both"/>
        <w:rPr>
          <w:rFonts w:eastAsiaTheme="minorHAnsi" w:cstheme="minorHAnsi"/>
        </w:rPr>
      </w:pPr>
      <w:r w:rsidRPr="00544CD8">
        <w:rPr>
          <w:rFonts w:eastAsiaTheme="minorHAnsi" w:cstheme="minorHAnsi"/>
        </w:rPr>
        <w:t xml:space="preserve">SEC (2003). The Culture of Compliance. Speech by Lori Richards, Director, Office of Compliance Inspections and Examinations, US Securities and Exchange Commission, April 23, 2003, </w:t>
      </w:r>
      <w:r w:rsidR="002118D5">
        <w:rPr>
          <w:rFonts w:eastAsiaTheme="minorHAnsi" w:cstheme="minorHAnsi"/>
        </w:rPr>
        <w:t>Downloaded 9 July 2014</w:t>
      </w:r>
      <w:r w:rsidRPr="00544CD8">
        <w:rPr>
          <w:rFonts w:eastAsiaTheme="minorHAnsi" w:cstheme="minorHAnsi"/>
        </w:rPr>
        <w:t xml:space="preserve"> </w:t>
      </w:r>
      <w:hyperlink r:id="rId43" w:history="1">
        <w:r w:rsidR="002118D5" w:rsidRPr="00A51C88">
          <w:rPr>
            <w:rStyle w:val="Hyperlink"/>
            <w:rFonts w:eastAsiaTheme="minorHAnsi" w:cstheme="minorHAnsi"/>
          </w:rPr>
          <w:t>www.sec.gov/news/speech/spch042303lar.htm</w:t>
        </w:r>
      </w:hyperlink>
    </w:p>
    <w:p w14:paraId="30D1777A" w14:textId="78B570F9" w:rsidR="00F617D5" w:rsidRPr="00544CD8" w:rsidRDefault="00F617D5" w:rsidP="00D82B0C">
      <w:pPr>
        <w:spacing w:line="480" w:lineRule="auto"/>
        <w:jc w:val="both"/>
        <w:rPr>
          <w:rFonts w:eastAsiaTheme="minorHAnsi" w:cstheme="minorHAnsi"/>
        </w:rPr>
      </w:pPr>
      <w:r w:rsidRPr="00544CD8">
        <w:rPr>
          <w:rFonts w:eastAsiaTheme="minorHAnsi" w:cstheme="minorHAnsi"/>
        </w:rPr>
        <w:t xml:space="preserve">Snider, J., Hill, R.P., and Martin, D. </w:t>
      </w:r>
      <w:r w:rsidR="0061644F">
        <w:rPr>
          <w:rFonts w:eastAsiaTheme="minorHAnsi" w:cstheme="minorHAnsi"/>
        </w:rPr>
        <w:t>(</w:t>
      </w:r>
      <w:r w:rsidRPr="00544CD8">
        <w:rPr>
          <w:rFonts w:eastAsiaTheme="minorHAnsi" w:cstheme="minorHAnsi"/>
        </w:rPr>
        <w:t>2003</w:t>
      </w:r>
      <w:r w:rsidR="0061644F">
        <w:rPr>
          <w:rFonts w:eastAsiaTheme="minorHAnsi" w:cstheme="minorHAnsi"/>
        </w:rPr>
        <w:t>)</w:t>
      </w:r>
      <w:r w:rsidRPr="00544CD8">
        <w:rPr>
          <w:rFonts w:eastAsiaTheme="minorHAnsi" w:cstheme="minorHAnsi"/>
        </w:rPr>
        <w:t>. Corporate social responsibility in the 21st century: A view from the world’s most successful firms. Journal of Business Ethics</w:t>
      </w:r>
      <w:r w:rsidR="0061644F">
        <w:rPr>
          <w:rFonts w:eastAsiaTheme="minorHAnsi" w:cstheme="minorHAnsi"/>
        </w:rPr>
        <w:t xml:space="preserve"> 48(2),</w:t>
      </w:r>
      <w:r w:rsidRPr="00544CD8">
        <w:rPr>
          <w:rFonts w:eastAsiaTheme="minorHAnsi" w:cstheme="minorHAnsi"/>
        </w:rPr>
        <w:t xml:space="preserve"> 175-187.</w:t>
      </w:r>
    </w:p>
    <w:p w14:paraId="19CC55B1" w14:textId="682E09DC" w:rsidR="00BB72AE" w:rsidRPr="00544CD8" w:rsidRDefault="00BB72AE" w:rsidP="00D82B0C">
      <w:pPr>
        <w:spacing w:line="480" w:lineRule="auto"/>
        <w:jc w:val="both"/>
        <w:rPr>
          <w:rFonts w:eastAsiaTheme="minorHAnsi" w:cstheme="minorHAnsi"/>
        </w:rPr>
      </w:pPr>
      <w:proofErr w:type="spellStart"/>
      <w:r w:rsidRPr="00544CD8">
        <w:rPr>
          <w:rFonts w:eastAsiaTheme="minorHAnsi" w:cstheme="minorHAnsi"/>
        </w:rPr>
        <w:t>Stemler</w:t>
      </w:r>
      <w:proofErr w:type="spellEnd"/>
      <w:r w:rsidRPr="00544CD8">
        <w:rPr>
          <w:rFonts w:eastAsiaTheme="minorHAnsi" w:cstheme="minorHAnsi"/>
        </w:rPr>
        <w:t>, S. (2001). An overview of content analysis. Practical as</w:t>
      </w:r>
      <w:r w:rsidR="0061644F">
        <w:rPr>
          <w:rFonts w:eastAsiaTheme="minorHAnsi" w:cstheme="minorHAnsi"/>
        </w:rPr>
        <w:t>sessment, research &amp; evaluation</w:t>
      </w:r>
      <w:r w:rsidRPr="00544CD8">
        <w:rPr>
          <w:rFonts w:eastAsiaTheme="minorHAnsi" w:cstheme="minorHAnsi"/>
        </w:rPr>
        <w:t xml:space="preserve"> 7(17), 137-146.</w:t>
      </w:r>
    </w:p>
    <w:p w14:paraId="6F764BD9" w14:textId="60B6F87A" w:rsidR="004E0EBA" w:rsidRPr="00544CD8" w:rsidRDefault="004E0EBA" w:rsidP="00D82B0C">
      <w:pPr>
        <w:spacing w:line="480" w:lineRule="auto"/>
        <w:jc w:val="both"/>
        <w:rPr>
          <w:rFonts w:eastAsiaTheme="minorHAnsi" w:cstheme="minorHAnsi"/>
        </w:rPr>
      </w:pPr>
      <w:r w:rsidRPr="00D22697">
        <w:rPr>
          <w:rFonts w:eastAsiaTheme="minorHAnsi" w:cstheme="minorHAnsi"/>
        </w:rPr>
        <w:lastRenderedPageBreak/>
        <w:t xml:space="preserve">Strauss, A., &amp; Corbin, J. M. (1990). </w:t>
      </w:r>
      <w:r w:rsidRPr="00544CD8">
        <w:rPr>
          <w:rFonts w:eastAsiaTheme="minorHAnsi" w:cstheme="minorHAnsi"/>
        </w:rPr>
        <w:t>Basics of qualitative research: Grounded theory procedures and techniques. Sage Publications, Inc.</w:t>
      </w:r>
    </w:p>
    <w:p w14:paraId="4A164BC6" w14:textId="1F28975B" w:rsidR="00304FF0" w:rsidRPr="00544CD8" w:rsidRDefault="00304FF0" w:rsidP="00D82B0C">
      <w:pPr>
        <w:spacing w:line="480" w:lineRule="auto"/>
        <w:rPr>
          <w:rFonts w:cstheme="minorHAnsi"/>
        </w:rPr>
      </w:pPr>
      <w:proofErr w:type="spellStart"/>
      <w:r w:rsidRPr="00544CD8">
        <w:rPr>
          <w:rFonts w:cstheme="minorHAnsi"/>
        </w:rPr>
        <w:t>Suchman</w:t>
      </w:r>
      <w:proofErr w:type="spellEnd"/>
      <w:r w:rsidRPr="00544CD8">
        <w:rPr>
          <w:rFonts w:cstheme="minorHAnsi"/>
        </w:rPr>
        <w:t>, M.C. (1995)</w:t>
      </w:r>
      <w:r w:rsidR="00A13533" w:rsidRPr="00544CD8">
        <w:rPr>
          <w:rFonts w:cstheme="minorHAnsi"/>
        </w:rPr>
        <w:t xml:space="preserve">. </w:t>
      </w:r>
      <w:r w:rsidRPr="00544CD8">
        <w:rPr>
          <w:rFonts w:cstheme="minorHAnsi"/>
        </w:rPr>
        <w:t>Managing legitimacy: Strategic and institutional approaches</w:t>
      </w:r>
      <w:r w:rsidR="00A13533" w:rsidRPr="00544CD8">
        <w:rPr>
          <w:rFonts w:cstheme="minorHAnsi"/>
        </w:rPr>
        <w:t>.</w:t>
      </w:r>
      <w:r w:rsidRPr="00544CD8">
        <w:rPr>
          <w:rFonts w:cstheme="minorHAnsi"/>
        </w:rPr>
        <w:t xml:space="preserve"> </w:t>
      </w:r>
      <w:r w:rsidRPr="00544CD8">
        <w:rPr>
          <w:rFonts w:cstheme="minorHAnsi"/>
          <w:iCs/>
        </w:rPr>
        <w:t>Academy of Management Review</w:t>
      </w:r>
      <w:r w:rsidRPr="00544CD8">
        <w:rPr>
          <w:rFonts w:cstheme="minorHAnsi"/>
        </w:rPr>
        <w:t xml:space="preserve"> </w:t>
      </w:r>
      <w:r w:rsidRPr="00544CD8">
        <w:rPr>
          <w:rFonts w:cstheme="minorHAnsi"/>
          <w:iCs/>
        </w:rPr>
        <w:t>20</w:t>
      </w:r>
      <w:r w:rsidR="00A13533" w:rsidRPr="00544CD8">
        <w:rPr>
          <w:rFonts w:cstheme="minorHAnsi"/>
        </w:rPr>
        <w:t>(</w:t>
      </w:r>
      <w:r w:rsidRPr="00544CD8">
        <w:rPr>
          <w:rFonts w:cstheme="minorHAnsi"/>
        </w:rPr>
        <w:t>3</w:t>
      </w:r>
      <w:r w:rsidR="00D25407">
        <w:rPr>
          <w:rFonts w:cstheme="minorHAnsi"/>
        </w:rPr>
        <w:t>),</w:t>
      </w:r>
      <w:r w:rsidRPr="00544CD8">
        <w:rPr>
          <w:rFonts w:cstheme="minorHAnsi"/>
        </w:rPr>
        <w:t xml:space="preserve"> 571-610.</w:t>
      </w:r>
    </w:p>
    <w:p w14:paraId="6EA55650" w14:textId="00C5BE8A" w:rsidR="00A821DF" w:rsidRPr="00544CD8" w:rsidRDefault="00D25407" w:rsidP="00D82B0C">
      <w:pPr>
        <w:spacing w:line="480" w:lineRule="auto"/>
        <w:rPr>
          <w:rFonts w:cstheme="minorHAnsi"/>
        </w:rPr>
      </w:pPr>
      <w:proofErr w:type="spellStart"/>
      <w:r>
        <w:rPr>
          <w:rFonts w:cstheme="minorHAnsi"/>
        </w:rPr>
        <w:t>Suddaby</w:t>
      </w:r>
      <w:proofErr w:type="spellEnd"/>
      <w:r>
        <w:rPr>
          <w:rFonts w:cstheme="minorHAnsi"/>
        </w:rPr>
        <w:t xml:space="preserve">, R., </w:t>
      </w:r>
      <w:proofErr w:type="spellStart"/>
      <w:r>
        <w:rPr>
          <w:rFonts w:cstheme="minorHAnsi"/>
        </w:rPr>
        <w:t>Bitektine</w:t>
      </w:r>
      <w:proofErr w:type="spellEnd"/>
      <w:r>
        <w:rPr>
          <w:rFonts w:cstheme="minorHAnsi"/>
        </w:rPr>
        <w:t>, A., and</w:t>
      </w:r>
      <w:r w:rsidR="00A821DF" w:rsidRPr="00544CD8">
        <w:rPr>
          <w:rFonts w:cstheme="minorHAnsi"/>
        </w:rPr>
        <w:t xml:space="preserve"> Haack, P. (2017). Legitimacy. Academy of Management Annals 11(1), 451-478.</w:t>
      </w:r>
    </w:p>
    <w:p w14:paraId="0ABC211F" w14:textId="49D17C35" w:rsidR="003E59DB" w:rsidRPr="00544CD8" w:rsidRDefault="00B97BE4" w:rsidP="00D82B0C">
      <w:pPr>
        <w:spacing w:line="480" w:lineRule="auto"/>
        <w:rPr>
          <w:rFonts w:cstheme="minorHAnsi"/>
        </w:rPr>
      </w:pPr>
      <w:r>
        <w:rPr>
          <w:rFonts w:cstheme="minorHAnsi"/>
        </w:rPr>
        <w:t>Sutton, R. I. and</w:t>
      </w:r>
      <w:r w:rsidR="003E59DB" w:rsidRPr="00544CD8">
        <w:rPr>
          <w:rFonts w:cstheme="minorHAnsi"/>
        </w:rPr>
        <w:t xml:space="preserve"> Callahan, A. L. (1987). The stigma of bankruptcy: Spoiled organizational image and its management. Academy of Management Journal 30(3), 405-436.</w:t>
      </w:r>
    </w:p>
    <w:p w14:paraId="251AF605" w14:textId="5BA753D7" w:rsidR="007B7223" w:rsidRPr="00544CD8" w:rsidRDefault="002657B6" w:rsidP="00D82B0C">
      <w:pPr>
        <w:spacing w:line="480" w:lineRule="auto"/>
        <w:rPr>
          <w:rFonts w:eastAsiaTheme="minorHAnsi" w:cstheme="minorHAnsi"/>
        </w:rPr>
      </w:pPr>
      <w:r w:rsidRPr="00544CD8">
        <w:rPr>
          <w:rFonts w:eastAsiaTheme="minorHAnsi" w:cstheme="minorHAnsi"/>
        </w:rPr>
        <w:t>UK Finance (2017). Auditing your culture: How to exceed the FCA’s expectations. Ad</w:t>
      </w:r>
      <w:r w:rsidR="00B97BE4">
        <w:rPr>
          <w:rFonts w:eastAsiaTheme="minorHAnsi" w:cstheme="minorHAnsi"/>
        </w:rPr>
        <w:t>vertised event September 2017 D</w:t>
      </w:r>
      <w:r w:rsidRPr="00544CD8">
        <w:rPr>
          <w:rFonts w:eastAsiaTheme="minorHAnsi" w:cstheme="minorHAnsi"/>
        </w:rPr>
        <w:t>ownloaded</w:t>
      </w:r>
      <w:r w:rsidRPr="00544CD8">
        <w:t xml:space="preserve"> </w:t>
      </w:r>
      <w:r w:rsidRPr="00544CD8">
        <w:rPr>
          <w:rFonts w:eastAsiaTheme="minorHAnsi" w:cstheme="minorHAnsi"/>
        </w:rPr>
        <w:t xml:space="preserve">https://www.ukfinance.org.uk/training/auditing-your-culture-how-to-exceed-the-fcas-expectations/ </w:t>
      </w:r>
    </w:p>
    <w:p w14:paraId="6ABDEB0D" w14:textId="693BC864" w:rsidR="00D2085E" w:rsidRPr="00544CD8" w:rsidRDefault="00D2085E" w:rsidP="00D82B0C">
      <w:pPr>
        <w:spacing w:line="480" w:lineRule="auto"/>
      </w:pPr>
      <w:proofErr w:type="spellStart"/>
      <w:r w:rsidRPr="00544CD8">
        <w:t>Verhezen</w:t>
      </w:r>
      <w:proofErr w:type="spellEnd"/>
      <w:r w:rsidRPr="00544CD8">
        <w:t xml:space="preserve">, P. (2010). Giving voice in a culture of silence. From a culture of compliance to a culture of integrity. </w:t>
      </w:r>
      <w:r w:rsidR="00B97BE4">
        <w:t>Journal of Business Ethics</w:t>
      </w:r>
      <w:r w:rsidRPr="00544CD8">
        <w:t xml:space="preserve"> </w:t>
      </w:r>
      <w:r w:rsidR="00B97BE4">
        <w:t xml:space="preserve">96, </w:t>
      </w:r>
      <w:r w:rsidRPr="00544CD8">
        <w:t>187-206.</w:t>
      </w:r>
    </w:p>
    <w:p w14:paraId="548090C2" w14:textId="206D2379" w:rsidR="00836B3F" w:rsidRDefault="00836B3F" w:rsidP="00D82B0C">
      <w:pPr>
        <w:spacing w:line="480" w:lineRule="auto"/>
        <w:rPr>
          <w:rFonts w:cstheme="minorHAnsi"/>
        </w:rPr>
      </w:pPr>
      <w:r w:rsidRPr="00836B3F">
        <w:rPr>
          <w:rFonts w:cstheme="minorHAnsi"/>
        </w:rPr>
        <w:t>Weaver, R. K. (2014). Compliance regimes and barriers t</w:t>
      </w:r>
      <w:r>
        <w:rPr>
          <w:rFonts w:cstheme="minorHAnsi"/>
        </w:rPr>
        <w:t xml:space="preserve">o </w:t>
      </w:r>
      <w:proofErr w:type="spellStart"/>
      <w:r>
        <w:rPr>
          <w:rFonts w:cstheme="minorHAnsi"/>
        </w:rPr>
        <w:t>behavioral</w:t>
      </w:r>
      <w:proofErr w:type="spellEnd"/>
      <w:r>
        <w:rPr>
          <w:rFonts w:cstheme="minorHAnsi"/>
        </w:rPr>
        <w:t xml:space="preserve"> change. Governance</w:t>
      </w:r>
      <w:r w:rsidRPr="00836B3F">
        <w:rPr>
          <w:rFonts w:cstheme="minorHAnsi"/>
        </w:rPr>
        <w:t xml:space="preserve"> 27(2), 243-265.</w:t>
      </w:r>
    </w:p>
    <w:p w14:paraId="01A56898" w14:textId="753DB7D9" w:rsidR="00D2085E" w:rsidRPr="00544CD8" w:rsidRDefault="00D2085E" w:rsidP="00D82B0C">
      <w:pPr>
        <w:spacing w:line="480" w:lineRule="auto"/>
        <w:rPr>
          <w:u w:val="single"/>
        </w:rPr>
      </w:pPr>
      <w:r w:rsidRPr="00544CD8">
        <w:t xml:space="preserve">Yeung, K. (2002). Is the use of informal adverse publicity a legitimate regulatory compliance technique? paper presented at the Australian Institute of Criminology Conference on Current Issues in Regulation: Enforcement and Compliance, Melbourne 2-3 September. Downloaded 20 June 2014 </w:t>
      </w:r>
      <w:hyperlink r:id="rId44" w:history="1">
        <w:r w:rsidRPr="00544CD8">
          <w:rPr>
            <w:u w:val="single"/>
          </w:rPr>
          <w:t>http://www.aic.gov.au/media_library/conferences/regulation/yeung.pdf</w:t>
        </w:r>
      </w:hyperlink>
    </w:p>
    <w:p w14:paraId="5BC305CD" w14:textId="4CE4C55B" w:rsidR="008A16EE" w:rsidRPr="00544CD8" w:rsidRDefault="0098121B" w:rsidP="00D82B0C">
      <w:pPr>
        <w:spacing w:line="480" w:lineRule="auto"/>
      </w:pPr>
      <w:r>
        <w:rPr>
          <w:lang w:val="de-DE"/>
        </w:rPr>
        <w:t>Zaal, R. O., Jeurissen, R. J., and</w:t>
      </w:r>
      <w:r w:rsidR="008A16EE" w:rsidRPr="00544CD8">
        <w:rPr>
          <w:lang w:val="de-DE"/>
        </w:rPr>
        <w:t xml:space="preserve"> Groenland, E. A. (2017). </w:t>
      </w:r>
      <w:r w:rsidR="008A16EE" w:rsidRPr="00544CD8">
        <w:t xml:space="preserve">Organizational Architecture, Ethical Culture, and Perceived Unethical </w:t>
      </w:r>
      <w:proofErr w:type="spellStart"/>
      <w:r w:rsidR="008A16EE" w:rsidRPr="00544CD8">
        <w:t>Behavior</w:t>
      </w:r>
      <w:proofErr w:type="spellEnd"/>
      <w:r w:rsidR="008A16EE" w:rsidRPr="00544CD8">
        <w:t xml:space="preserve"> Towards Customers: Evidence from Wholesale Banking. Journal of Business Ethics, 1-24.</w:t>
      </w:r>
    </w:p>
    <w:p w14:paraId="0AE915F8" w14:textId="7873891C" w:rsidR="0063411F" w:rsidRPr="00544CD8" w:rsidRDefault="0063411F" w:rsidP="00D82B0C">
      <w:pPr>
        <w:spacing w:line="480" w:lineRule="auto"/>
      </w:pPr>
      <w:proofErr w:type="spellStart"/>
      <w:r w:rsidRPr="00544CD8">
        <w:lastRenderedPageBreak/>
        <w:t>Zajac</w:t>
      </w:r>
      <w:proofErr w:type="spellEnd"/>
      <w:r w:rsidRPr="00544CD8">
        <w:t xml:space="preserve">, E.J., and </w:t>
      </w:r>
      <w:proofErr w:type="spellStart"/>
      <w:r w:rsidRPr="00544CD8">
        <w:t>Westphal</w:t>
      </w:r>
      <w:proofErr w:type="spellEnd"/>
      <w:r w:rsidRPr="00544CD8">
        <w:t xml:space="preserve">, J.D. </w:t>
      </w:r>
      <w:r w:rsidR="00F73217">
        <w:t>(</w:t>
      </w:r>
      <w:r w:rsidRPr="00544CD8">
        <w:t>1995</w:t>
      </w:r>
      <w:r w:rsidR="00F73217">
        <w:t>)</w:t>
      </w:r>
      <w:r w:rsidRPr="00544CD8">
        <w:t>. Accounting for the explanations of CEO compensation: Substance and symbolism. Administrative Science Quarterly</w:t>
      </w:r>
      <w:r w:rsidR="00F73217">
        <w:t xml:space="preserve"> 40(2), </w:t>
      </w:r>
      <w:r w:rsidRPr="00544CD8">
        <w:t>283–308.</w:t>
      </w:r>
    </w:p>
    <w:p w14:paraId="41AA3BE0" w14:textId="2A8FE115" w:rsidR="00D2085E" w:rsidRPr="00544CD8" w:rsidRDefault="00D2085E" w:rsidP="00D82B0C">
      <w:pPr>
        <w:spacing w:line="480" w:lineRule="auto"/>
      </w:pPr>
      <w:proofErr w:type="spellStart"/>
      <w:r w:rsidRPr="00544CD8">
        <w:t>Zubcic</w:t>
      </w:r>
      <w:proofErr w:type="spellEnd"/>
      <w:r w:rsidRPr="00544CD8">
        <w:t>, J. and Sims, R. (2011). Examining the link between enforcement activity and corporate compliance by Australian companies and the implications for regulators. International Journal of Law and Management</w:t>
      </w:r>
      <w:r w:rsidR="00361039">
        <w:t xml:space="preserve"> 53</w:t>
      </w:r>
      <w:r w:rsidR="00F73217">
        <w:t>(4),</w:t>
      </w:r>
      <w:r w:rsidRPr="00544CD8">
        <w:t xml:space="preserve"> 299-308.</w:t>
      </w:r>
    </w:p>
    <w:p w14:paraId="7C679D39" w14:textId="61BAAA8B" w:rsidR="00DF46B1" w:rsidRDefault="00440280" w:rsidP="00D82B0C">
      <w:pPr>
        <w:spacing w:line="480" w:lineRule="auto"/>
      </w:pPr>
      <w:proofErr w:type="spellStart"/>
      <w:r>
        <w:t>Zyglidopoulos</w:t>
      </w:r>
      <w:proofErr w:type="spellEnd"/>
      <w:r>
        <w:t>, S. C.</w:t>
      </w:r>
      <w:r w:rsidR="0098121B">
        <w:t>,</w:t>
      </w:r>
      <w:r>
        <w:t xml:space="preserve"> Fleming, P. J.</w:t>
      </w:r>
      <w:r w:rsidR="00DF46B1" w:rsidRPr="00544CD8">
        <w:t xml:space="preserve"> and Rothenberg, S. (2009)</w:t>
      </w:r>
      <w:r>
        <w:t>.</w:t>
      </w:r>
      <w:r w:rsidR="007B7223" w:rsidRPr="00544CD8">
        <w:t xml:space="preserve"> </w:t>
      </w:r>
      <w:r w:rsidR="00DF46B1" w:rsidRPr="00544CD8">
        <w:t>Rationalization, overcompensation and the escalation of corruption in organizations. Journal of Business Ethics</w:t>
      </w:r>
      <w:r>
        <w:t xml:space="preserve"> 84(S1), </w:t>
      </w:r>
      <w:r w:rsidR="00DF46B1" w:rsidRPr="00544CD8">
        <w:t xml:space="preserve">65-73. </w:t>
      </w:r>
      <w:r w:rsidR="00F73217">
        <w:t>doi:10.1007/s10551-008-9685-4</w:t>
      </w:r>
    </w:p>
    <w:p w14:paraId="34B00B30" w14:textId="7DCF378F" w:rsidR="00765B62" w:rsidRDefault="00765B62" w:rsidP="00D82B0C">
      <w:pPr>
        <w:spacing w:line="480" w:lineRule="auto"/>
      </w:pPr>
    </w:p>
    <w:p w14:paraId="11935E37" w14:textId="471EF7FC" w:rsidR="00765B62" w:rsidRDefault="00765B62" w:rsidP="00D82B0C">
      <w:pPr>
        <w:spacing w:line="480" w:lineRule="auto"/>
      </w:pPr>
    </w:p>
    <w:p w14:paraId="0A1C6C78" w14:textId="0F05783A" w:rsidR="00765B62" w:rsidRDefault="00765B62" w:rsidP="00D82B0C">
      <w:pPr>
        <w:spacing w:line="480" w:lineRule="auto"/>
      </w:pPr>
    </w:p>
    <w:p w14:paraId="5FE20011" w14:textId="6E49D846" w:rsidR="00765B62" w:rsidRDefault="00765B62" w:rsidP="00D82B0C">
      <w:pPr>
        <w:spacing w:line="480" w:lineRule="auto"/>
      </w:pPr>
    </w:p>
    <w:p w14:paraId="21FAE8F9" w14:textId="6C213814" w:rsidR="00765B62" w:rsidRDefault="00765B62" w:rsidP="00D82B0C">
      <w:pPr>
        <w:spacing w:line="480" w:lineRule="auto"/>
      </w:pPr>
    </w:p>
    <w:p w14:paraId="51715299" w14:textId="3D032467" w:rsidR="00765B62" w:rsidRDefault="00765B62" w:rsidP="00D82B0C">
      <w:pPr>
        <w:spacing w:line="480" w:lineRule="auto"/>
      </w:pPr>
    </w:p>
    <w:p w14:paraId="3C985610" w14:textId="6ECC6043" w:rsidR="00765B62" w:rsidRDefault="00765B62" w:rsidP="00D82B0C">
      <w:pPr>
        <w:spacing w:line="480" w:lineRule="auto"/>
      </w:pPr>
    </w:p>
    <w:p w14:paraId="3195D052" w14:textId="6BF50A27" w:rsidR="00765B62" w:rsidRDefault="00765B62" w:rsidP="00D82B0C">
      <w:pPr>
        <w:spacing w:line="480" w:lineRule="auto"/>
      </w:pPr>
    </w:p>
    <w:p w14:paraId="3293628B" w14:textId="31BFB3E2" w:rsidR="00765B62" w:rsidRDefault="00765B62" w:rsidP="00D82B0C">
      <w:pPr>
        <w:spacing w:line="480" w:lineRule="auto"/>
      </w:pPr>
    </w:p>
    <w:p w14:paraId="213EC470" w14:textId="77777777" w:rsidR="00765B62" w:rsidRDefault="00765B62" w:rsidP="00D82B0C">
      <w:pPr>
        <w:spacing w:line="480" w:lineRule="auto"/>
        <w:sectPr w:rsidR="00765B62" w:rsidSect="00384259">
          <w:pgSz w:w="11906" w:h="16838" w:code="9"/>
          <w:pgMar w:top="1440" w:right="1440" w:bottom="1440" w:left="1440" w:header="709" w:footer="709" w:gutter="0"/>
          <w:cols w:space="708"/>
          <w:docGrid w:linePitch="360"/>
        </w:sectPr>
      </w:pPr>
    </w:p>
    <w:p w14:paraId="0EB381A2" w14:textId="77777777" w:rsidR="00765B62" w:rsidRPr="00765B62" w:rsidRDefault="00765B62" w:rsidP="00765B62">
      <w:pPr>
        <w:keepNext/>
        <w:keepLines/>
        <w:spacing w:before="200" w:after="0"/>
        <w:outlineLvl w:val="1"/>
        <w:rPr>
          <w:rFonts w:asciiTheme="majorHAnsi" w:eastAsiaTheme="majorEastAsia" w:hAnsiTheme="majorHAnsi" w:cstheme="majorBidi"/>
          <w:b/>
          <w:bCs/>
          <w:color w:val="4F81BD" w:themeColor="accent1"/>
          <w:sz w:val="26"/>
          <w:szCs w:val="26"/>
        </w:rPr>
      </w:pPr>
      <w:bookmarkStart w:id="11" w:name="_GoBack"/>
      <w:bookmarkEnd w:id="11"/>
      <w:r w:rsidRPr="00765B62">
        <w:rPr>
          <w:rFonts w:asciiTheme="majorHAnsi" w:eastAsiaTheme="majorEastAsia" w:hAnsiTheme="majorHAnsi" w:cstheme="majorBidi"/>
          <w:b/>
          <w:bCs/>
          <w:color w:val="4F81BD" w:themeColor="accent1"/>
          <w:sz w:val="26"/>
          <w:szCs w:val="26"/>
        </w:rPr>
        <w:lastRenderedPageBreak/>
        <w:t>Appendix 1 Review between 2013/14</w:t>
      </w:r>
    </w:p>
    <w:p w14:paraId="1780D53B" w14:textId="77777777" w:rsidR="00765B62" w:rsidRPr="00765B62" w:rsidRDefault="00765B62" w:rsidP="00765B62">
      <w:r w:rsidRPr="00765B62">
        <w:t>Table 1 Extracts from website search of firms in recent violations/violations under compliance culture search</w:t>
      </w:r>
    </w:p>
    <w:tbl>
      <w:tblPr>
        <w:tblStyle w:val="LightShading-Accent41"/>
        <w:tblW w:w="0" w:type="auto"/>
        <w:tblLayout w:type="fixed"/>
        <w:tblLook w:val="04A0" w:firstRow="1" w:lastRow="0" w:firstColumn="1" w:lastColumn="0" w:noHBand="0" w:noVBand="1"/>
      </w:tblPr>
      <w:tblGrid>
        <w:gridCol w:w="2093"/>
        <w:gridCol w:w="4961"/>
        <w:gridCol w:w="4961"/>
        <w:gridCol w:w="2127"/>
      </w:tblGrid>
      <w:tr w:rsidR="00765B62" w:rsidRPr="00765B62" w14:paraId="7EBB6220" w14:textId="77777777" w:rsidTr="000F22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tcPr>
          <w:p w14:paraId="448106CF" w14:textId="77777777" w:rsidR="00765B62" w:rsidRPr="00765B62" w:rsidRDefault="00765B62" w:rsidP="00765B62">
            <w:pPr>
              <w:rPr>
                <w:color w:val="403152" w:themeColor="accent4" w:themeShade="80"/>
              </w:rPr>
            </w:pPr>
            <w:r w:rsidRPr="00765B62">
              <w:rPr>
                <w:color w:val="403152" w:themeColor="accent4" w:themeShade="80"/>
              </w:rPr>
              <w:t>Firm/Violation</w:t>
            </w:r>
          </w:p>
          <w:p w14:paraId="24EF0CE4" w14:textId="77777777" w:rsidR="00765B62" w:rsidRPr="00765B62" w:rsidRDefault="00765B62" w:rsidP="00765B62">
            <w:pPr>
              <w:rPr>
                <w:color w:val="403152" w:themeColor="accent4" w:themeShade="80"/>
              </w:rPr>
            </w:pPr>
            <w:r w:rsidRPr="00765B62">
              <w:rPr>
                <w:color w:val="403152" w:themeColor="accent4" w:themeShade="80"/>
              </w:rPr>
              <w:t>(sourced via FCA press releases &gt; 500K fine)</w:t>
            </w:r>
          </w:p>
        </w:tc>
        <w:tc>
          <w:tcPr>
            <w:tcW w:w="4961" w:type="dxa"/>
          </w:tcPr>
          <w:p w14:paraId="01CE4A91" w14:textId="77777777" w:rsidR="00765B62" w:rsidRPr="00765B62" w:rsidRDefault="00765B62" w:rsidP="00765B62">
            <w:pPr>
              <w:cnfStyle w:val="100000000000" w:firstRow="1" w:lastRow="0" w:firstColumn="0" w:lastColumn="0" w:oddVBand="0" w:evenVBand="0" w:oddHBand="0" w:evenHBand="0" w:firstRowFirstColumn="0" w:firstRowLastColumn="0" w:lastRowFirstColumn="0" w:lastRowLastColumn="0"/>
              <w:rPr>
                <w:color w:val="403152" w:themeColor="accent4" w:themeShade="80"/>
              </w:rPr>
            </w:pPr>
            <w:r w:rsidRPr="00765B62">
              <w:rPr>
                <w:color w:val="403152" w:themeColor="accent4" w:themeShade="80"/>
              </w:rPr>
              <w:t>What the FCA said</w:t>
            </w:r>
          </w:p>
        </w:tc>
        <w:tc>
          <w:tcPr>
            <w:tcW w:w="4961" w:type="dxa"/>
          </w:tcPr>
          <w:p w14:paraId="620F57F1" w14:textId="77777777" w:rsidR="00765B62" w:rsidRPr="00765B62" w:rsidRDefault="00765B62" w:rsidP="00765B62">
            <w:pPr>
              <w:cnfStyle w:val="100000000000" w:firstRow="1" w:lastRow="0" w:firstColumn="0" w:lastColumn="0" w:oddVBand="0" w:evenVBand="0" w:oddHBand="0" w:evenHBand="0" w:firstRowFirstColumn="0" w:firstRowLastColumn="0" w:lastRowFirstColumn="0" w:lastRowLastColumn="0"/>
              <w:rPr>
                <w:color w:val="403152" w:themeColor="accent4" w:themeShade="80"/>
              </w:rPr>
            </w:pPr>
            <w:r w:rsidRPr="00765B62">
              <w:rPr>
                <w:color w:val="403152" w:themeColor="accent4" w:themeShade="80"/>
              </w:rPr>
              <w:t>Firms Compliance/Culture Message</w:t>
            </w:r>
          </w:p>
        </w:tc>
        <w:tc>
          <w:tcPr>
            <w:tcW w:w="2127" w:type="dxa"/>
          </w:tcPr>
          <w:p w14:paraId="01ADAC65" w14:textId="77777777" w:rsidR="00765B62" w:rsidRPr="00765B62" w:rsidRDefault="00765B62" w:rsidP="00765B62">
            <w:pPr>
              <w:cnfStyle w:val="100000000000" w:firstRow="1" w:lastRow="0" w:firstColumn="0" w:lastColumn="0" w:oddVBand="0" w:evenVBand="0" w:oddHBand="0" w:evenHBand="0" w:firstRowFirstColumn="0" w:firstRowLastColumn="0" w:lastRowFirstColumn="0" w:lastRowLastColumn="0"/>
            </w:pPr>
            <w:r w:rsidRPr="00765B62">
              <w:t>Website Source</w:t>
            </w:r>
          </w:p>
        </w:tc>
      </w:tr>
      <w:tr w:rsidR="00765B62" w:rsidRPr="00765B62" w14:paraId="1CB49EBB" w14:textId="77777777" w:rsidTr="000F2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5B051BF" w14:textId="77777777" w:rsidR="00765B62" w:rsidRPr="00765B62" w:rsidRDefault="00765B62" w:rsidP="00765B62">
            <w:pPr>
              <w:rPr>
                <w:color w:val="auto"/>
              </w:rPr>
            </w:pPr>
            <w:r w:rsidRPr="00765B62">
              <w:rPr>
                <w:color w:val="auto"/>
              </w:rPr>
              <w:t>Wonga fined £2.8 million (FCA, 2014)</w:t>
            </w:r>
          </w:p>
        </w:tc>
        <w:tc>
          <w:tcPr>
            <w:tcW w:w="4961" w:type="dxa"/>
          </w:tcPr>
          <w:p w14:paraId="083D015B"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“In an investigation begun by the Office of Fair Trading (OFT) and taken forward by the FCA, Wonga was found to have sent letters to customers in arrears from non-existent law firms, threatening legal action. In some instances, Wonga also added charges to customers’ accounts to cover the administration fees associated with sending the letters.”</w:t>
            </w:r>
          </w:p>
        </w:tc>
        <w:tc>
          <w:tcPr>
            <w:tcW w:w="4961" w:type="dxa"/>
          </w:tcPr>
          <w:p w14:paraId="2769A201"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No information on compliance/compliance culture found.</w:t>
            </w:r>
          </w:p>
          <w:p w14:paraId="1A78BEB5"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p>
          <w:p w14:paraId="2538DE07"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Press Release</w:t>
            </w:r>
          </w:p>
          <w:p w14:paraId="11AA75D5"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“We are issuing a public apology…. This practice was unacceptable and should never have happened. It ran contrary to the principle of transparency on which our business has been built”</w:t>
            </w:r>
          </w:p>
        </w:tc>
        <w:tc>
          <w:tcPr>
            <w:tcW w:w="2127" w:type="dxa"/>
          </w:tcPr>
          <w:p w14:paraId="53772433"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https://www.wonga.com/</w:t>
            </w:r>
          </w:p>
        </w:tc>
      </w:tr>
      <w:tr w:rsidR="00765B62" w:rsidRPr="00765B62" w14:paraId="046946E4" w14:textId="77777777" w:rsidTr="000F22CD">
        <w:tc>
          <w:tcPr>
            <w:cnfStyle w:val="001000000000" w:firstRow="0" w:lastRow="0" w:firstColumn="1" w:lastColumn="0" w:oddVBand="0" w:evenVBand="0" w:oddHBand="0" w:evenHBand="0" w:firstRowFirstColumn="0" w:firstRowLastColumn="0" w:lastRowFirstColumn="0" w:lastRowLastColumn="0"/>
            <w:tcW w:w="2093" w:type="dxa"/>
          </w:tcPr>
          <w:p w14:paraId="583A3C7B" w14:textId="77777777" w:rsidR="00765B62" w:rsidRPr="00765B62" w:rsidRDefault="00765B62" w:rsidP="00765B62">
            <w:pPr>
              <w:rPr>
                <w:color w:val="auto"/>
              </w:rPr>
            </w:pPr>
            <w:r w:rsidRPr="00765B62">
              <w:rPr>
                <w:color w:val="auto"/>
              </w:rPr>
              <w:t>Martin Brokers fined £630,000 (FCA, 2014a)</w:t>
            </w:r>
          </w:p>
        </w:tc>
        <w:tc>
          <w:tcPr>
            <w:tcW w:w="4961" w:type="dxa"/>
          </w:tcPr>
          <w:p w14:paraId="4D2F1EA3"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“The culture at Martin’s was that profit came first. Compliance was seen as a hindrance []. In this environment broker misconduct was almost inevitable”</w:t>
            </w:r>
          </w:p>
        </w:tc>
        <w:tc>
          <w:tcPr>
            <w:tcW w:w="4961" w:type="dxa"/>
          </w:tcPr>
          <w:p w14:paraId="23B738E5"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“The compliance function is responsible for establishing, monitoring and enforcing group policy and regulatory requirements.</w:t>
            </w:r>
          </w:p>
          <w:p w14:paraId="470E6F53"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p>
          <w:p w14:paraId="0FD19D98"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For each RP Martin subsidiary, there is an established compliance function that is responsible for enforcing group policy and satisfying local regulatory requirements.”</w:t>
            </w:r>
          </w:p>
          <w:p w14:paraId="77978CE8"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p>
          <w:p w14:paraId="0C05A56F"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No press release found relating to fine.</w:t>
            </w:r>
          </w:p>
        </w:tc>
        <w:tc>
          <w:tcPr>
            <w:tcW w:w="2127" w:type="dxa"/>
          </w:tcPr>
          <w:p w14:paraId="4FA83E42"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http://www.martin-brokers.com/corporate_compliance_menu.html</w:t>
            </w:r>
          </w:p>
        </w:tc>
      </w:tr>
      <w:tr w:rsidR="00765B62" w:rsidRPr="00765B62" w14:paraId="4F00A794" w14:textId="77777777" w:rsidTr="000F2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5D1554B" w14:textId="77777777" w:rsidR="00765B62" w:rsidRPr="00765B62" w:rsidRDefault="00765B62" w:rsidP="00765B62">
            <w:pPr>
              <w:rPr>
                <w:color w:val="auto"/>
              </w:rPr>
            </w:pPr>
            <w:r w:rsidRPr="00765B62">
              <w:rPr>
                <w:color w:val="auto"/>
              </w:rPr>
              <w:t>ICAP fined £14 million (FCA, 2013)</w:t>
            </w:r>
          </w:p>
        </w:tc>
        <w:tc>
          <w:tcPr>
            <w:tcW w:w="4961" w:type="dxa"/>
          </w:tcPr>
          <w:p w14:paraId="5AC20E7D"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“The brokers misconduct was exacerbated by a poor compliance culture within IEL which was a result of its heavy focus on revenue at the expense of regulatory requirements”</w:t>
            </w:r>
          </w:p>
        </w:tc>
        <w:tc>
          <w:tcPr>
            <w:tcW w:w="4961" w:type="dxa"/>
          </w:tcPr>
          <w:p w14:paraId="61B2AEFE"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“Respect for control - As a key part of the global financial infrastructure, ICAP respects and is seen to be respecting both the spirit and the letter of the control, compliance and assurance environment within which the Group operates worldwide.”</w:t>
            </w:r>
          </w:p>
          <w:p w14:paraId="1EF04175"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p>
          <w:p w14:paraId="020BF0A9"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Press Release:</w:t>
            </w:r>
          </w:p>
          <w:p w14:paraId="1F1C3DFE"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lastRenderedPageBreak/>
              <w:t>"ICAP companies play a vital role in global markets.  It is deeply regrettable that the actions of these individuals have compromised the efforts of our 5,000 employees around the world, who work hard to earn the trust and confidence of our customers and other stakeholders. We have learned from this, we will further improve our risk and compliance systems”</w:t>
            </w:r>
          </w:p>
        </w:tc>
        <w:tc>
          <w:tcPr>
            <w:tcW w:w="2127" w:type="dxa"/>
          </w:tcPr>
          <w:p w14:paraId="1982EE67"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lastRenderedPageBreak/>
              <w:t>http://www.icap.com/what-makes-us-different/culture-and-values.aspx</w:t>
            </w:r>
          </w:p>
        </w:tc>
      </w:tr>
      <w:tr w:rsidR="00765B62" w:rsidRPr="00765B62" w14:paraId="1BB187F0" w14:textId="77777777" w:rsidTr="000F22CD">
        <w:tc>
          <w:tcPr>
            <w:cnfStyle w:val="001000000000" w:firstRow="0" w:lastRow="0" w:firstColumn="1" w:lastColumn="0" w:oddVBand="0" w:evenVBand="0" w:oddHBand="0" w:evenHBand="0" w:firstRowFirstColumn="0" w:firstRowLastColumn="0" w:lastRowFirstColumn="0" w:lastRowLastColumn="0"/>
            <w:tcW w:w="2093" w:type="dxa"/>
          </w:tcPr>
          <w:p w14:paraId="6729C183" w14:textId="77777777" w:rsidR="00765B62" w:rsidRPr="00765B62" w:rsidRDefault="00765B62" w:rsidP="00765B62">
            <w:pPr>
              <w:rPr>
                <w:color w:val="auto"/>
              </w:rPr>
            </w:pPr>
            <w:r w:rsidRPr="00765B62">
              <w:rPr>
                <w:color w:val="auto"/>
              </w:rPr>
              <w:t>State Street Bank fined £22.9 million (FCA, 2014b)</w:t>
            </w:r>
          </w:p>
        </w:tc>
        <w:tc>
          <w:tcPr>
            <w:tcW w:w="4961" w:type="dxa"/>
          </w:tcPr>
          <w:p w14:paraId="47F1BC3F"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“State Street UK allowed a culture to develop in the UK TM business which prioritised revenue generation over the interests of its customers.  State Street UK’s significant failings in culture and controls allowed deliberate overcharging to take place and to continue undetected.  Their conduct has fallen far short of our expectations.”</w:t>
            </w:r>
          </w:p>
        </w:tc>
        <w:tc>
          <w:tcPr>
            <w:tcW w:w="4961" w:type="dxa"/>
          </w:tcPr>
          <w:p w14:paraId="1FCF87D1"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No specific information found on compliance/compliance culture.</w:t>
            </w:r>
          </w:p>
          <w:p w14:paraId="779A28FA"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Press Release:</w:t>
            </w:r>
          </w:p>
          <w:p w14:paraId="7022E6AB"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“Today brings to a conclusion the FCA’s inquiry into the overcharging of six EMEA-based transition management clients in 2010 and 2011 that we self-reported in 2011.  We deeply regret this matter.  Over the past several years, we have worked hard to enhance our controls to address this unacceptable situation.”</w:t>
            </w:r>
          </w:p>
        </w:tc>
        <w:tc>
          <w:tcPr>
            <w:tcW w:w="2127" w:type="dxa"/>
          </w:tcPr>
          <w:p w14:paraId="05F82509"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http://www.statestreet.com/wps/portal/internet/corporate/home/aboutstatestreet/newsmedia/pressreleases/</w:t>
            </w:r>
          </w:p>
        </w:tc>
      </w:tr>
      <w:tr w:rsidR="00765B62" w:rsidRPr="00765B62" w14:paraId="3C214C9E" w14:textId="77777777" w:rsidTr="000F2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4B8C879" w14:textId="77777777" w:rsidR="00765B62" w:rsidRPr="00765B62" w:rsidRDefault="00765B62" w:rsidP="00765B62">
            <w:pPr>
              <w:rPr>
                <w:color w:val="auto"/>
              </w:rPr>
            </w:pPr>
            <w:r w:rsidRPr="00765B62">
              <w:rPr>
                <w:color w:val="auto"/>
              </w:rPr>
              <w:t>Lloyds fined £28.0 million (FCA, 2013b)</w:t>
            </w:r>
          </w:p>
        </w:tc>
        <w:tc>
          <w:tcPr>
            <w:tcW w:w="4961" w:type="dxa"/>
          </w:tcPr>
          <w:p w14:paraId="3FEF8BF8"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“The findings do not make pleasant reading.  Financial incentive schemes are an important indicator of what management values and a key influence on the culture of the organisation, so they must be designed with the customer at the heart. The review of incentive schemes that we published last year makes it quite clear that this is something to which we expect all firms to adhere.”</w:t>
            </w:r>
          </w:p>
        </w:tc>
        <w:tc>
          <w:tcPr>
            <w:tcW w:w="4961" w:type="dxa"/>
          </w:tcPr>
          <w:p w14:paraId="63D983E8"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“We know we can only be the best bank for customers through having the highest standards of responsible behaviour. We expect all colleagues to live up to these codes. The Codes guide our decision-making and help us put into practice our commitment to strive to always do the right thing.”</w:t>
            </w:r>
          </w:p>
          <w:p w14:paraId="2AA63AD1"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p>
          <w:p w14:paraId="462B2E1B"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No press release relating to fine found under Lloyds Banking Group or Lloyds Bank in 2013/14</w:t>
            </w:r>
          </w:p>
        </w:tc>
        <w:tc>
          <w:tcPr>
            <w:tcW w:w="2127" w:type="dxa"/>
          </w:tcPr>
          <w:p w14:paraId="019494E9"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http://www.lloydsbankinggroup.com/our-group/responsible-business/policies-and-codes/</w:t>
            </w:r>
          </w:p>
        </w:tc>
      </w:tr>
      <w:tr w:rsidR="00765B62" w:rsidRPr="00765B62" w14:paraId="3AFFEAB4" w14:textId="77777777" w:rsidTr="000F22CD">
        <w:tc>
          <w:tcPr>
            <w:cnfStyle w:val="001000000000" w:firstRow="0" w:lastRow="0" w:firstColumn="1" w:lastColumn="0" w:oddVBand="0" w:evenVBand="0" w:oddHBand="0" w:evenHBand="0" w:firstRowFirstColumn="0" w:firstRowLastColumn="0" w:lastRowFirstColumn="0" w:lastRowLastColumn="0"/>
            <w:tcW w:w="2093" w:type="dxa"/>
          </w:tcPr>
          <w:p w14:paraId="6485160D" w14:textId="77777777" w:rsidR="00765B62" w:rsidRPr="00765B62" w:rsidRDefault="00765B62" w:rsidP="00765B62">
            <w:pPr>
              <w:rPr>
                <w:color w:val="auto"/>
              </w:rPr>
            </w:pPr>
            <w:proofErr w:type="spellStart"/>
            <w:r w:rsidRPr="00765B62">
              <w:rPr>
                <w:color w:val="auto"/>
              </w:rPr>
              <w:lastRenderedPageBreak/>
              <w:t>Homeserve</w:t>
            </w:r>
            <w:proofErr w:type="spellEnd"/>
            <w:r w:rsidRPr="00765B62">
              <w:rPr>
                <w:color w:val="auto"/>
              </w:rPr>
              <w:t xml:space="preserve"> fined £30.6 million (FCA, 2014c)</w:t>
            </w:r>
          </w:p>
        </w:tc>
        <w:tc>
          <w:tcPr>
            <w:tcW w:w="4961" w:type="dxa"/>
          </w:tcPr>
          <w:p w14:paraId="60ABCF0E"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“…the firm’s culture, controls and remuneration structures meant that staff were focussed on quantity not quality and there were customers that paid the price for that”</w:t>
            </w:r>
          </w:p>
        </w:tc>
        <w:tc>
          <w:tcPr>
            <w:tcW w:w="4961" w:type="dxa"/>
          </w:tcPr>
          <w:p w14:paraId="3A33403A"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No web search results under “compliance” or “culture”</w:t>
            </w:r>
          </w:p>
          <w:p w14:paraId="5B33B960"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Press Release</w:t>
            </w:r>
          </w:p>
          <w:p w14:paraId="6A5B7C94"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“We sincerely regret that some customers have been affected by these issues. We have transformed the business, rebuilding and strengthening the management team, retraining staff and restructuring systems and controls. We have worked very hard over the last two years to put customers back at the heart of our business …”</w:t>
            </w:r>
          </w:p>
        </w:tc>
        <w:tc>
          <w:tcPr>
            <w:tcW w:w="2127" w:type="dxa"/>
          </w:tcPr>
          <w:p w14:paraId="52C71866"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http://www.homeserveplc.com/investors/news?keyword=fine&amp;period=1Y&amp;range=both</w:t>
            </w:r>
          </w:p>
        </w:tc>
      </w:tr>
      <w:tr w:rsidR="00765B62" w:rsidRPr="00765B62" w14:paraId="775A50C4" w14:textId="77777777" w:rsidTr="000F2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6DBD994" w14:textId="77777777" w:rsidR="00765B62" w:rsidRPr="00765B62" w:rsidRDefault="00765B62" w:rsidP="00765B62">
            <w:pPr>
              <w:rPr>
                <w:color w:val="auto"/>
              </w:rPr>
            </w:pPr>
            <w:r w:rsidRPr="00765B62">
              <w:rPr>
                <w:color w:val="auto"/>
              </w:rPr>
              <w:t>JP Morgan fined £137.6 million (FCA, 2013d)</w:t>
            </w:r>
          </w:p>
        </w:tc>
        <w:tc>
          <w:tcPr>
            <w:tcW w:w="4961" w:type="dxa"/>
          </w:tcPr>
          <w:p w14:paraId="3B36C29B"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“…another example of a firm failing to get a proper grip on the risks its business poses to the market. There were basic failings in the operation of fundamental controls over a high risk part of the business. Senior management failed to respond properly to warning signals that there were problems in the CIO.  As things began to go wrong, the firm didn’t wake up quickly enough to the size and the scale of the problems. What is worse, they compounded this by failing to be open and co-operative with us as their regulator.”</w:t>
            </w:r>
          </w:p>
        </w:tc>
        <w:tc>
          <w:tcPr>
            <w:tcW w:w="4961" w:type="dxa"/>
          </w:tcPr>
          <w:p w14:paraId="3ED484DB"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 xml:space="preserve"> “We are committed to complying</w:t>
            </w:r>
          </w:p>
          <w:p w14:paraId="79F9A982"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with the letter and spirit of</w:t>
            </w:r>
          </w:p>
          <w:p w14:paraId="79E8EC44"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applicable laws….” Code of conduct issued June 2014 (p. 14)</w:t>
            </w:r>
          </w:p>
          <w:p w14:paraId="77BCD945"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Press Release</w:t>
            </w:r>
          </w:p>
          <w:p w14:paraId="22E833EA"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 xml:space="preserve">Lee R. Raymond, Lead Director of the Company's Board of Directors, said, "The Company has been engaged in a comprehensive program of remediation to address, among other things, the deficiencies reflected in the regulators' findings. The remedial steps undertaken demonstrate substantial and healthy introspection as well as the seriousness of our commitment to a strong control environment. The Board has overseen these remedial efforts, and has been focused on assuring that management's interactions with the Board and the Company's regulators are robust and timely. Our Company has learned from its mistakes, and our Board is confident </w:t>
            </w:r>
            <w:r w:rsidRPr="00765B62">
              <w:rPr>
                <w:color w:val="auto"/>
              </w:rPr>
              <w:lastRenderedPageBreak/>
              <w:t>that our management team is fully committed to ensuring they don't recur."</w:t>
            </w:r>
          </w:p>
        </w:tc>
        <w:tc>
          <w:tcPr>
            <w:tcW w:w="2127" w:type="dxa"/>
          </w:tcPr>
          <w:p w14:paraId="411C579F"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lastRenderedPageBreak/>
              <w:t>http://www.jpmorganchase.com/corporate/About-JPMC/document/FINAL-2014CodeofConduct.pdf</w:t>
            </w:r>
          </w:p>
        </w:tc>
      </w:tr>
      <w:tr w:rsidR="00765B62" w:rsidRPr="00765B62" w14:paraId="35D28BA4" w14:textId="77777777" w:rsidTr="000F22CD">
        <w:tc>
          <w:tcPr>
            <w:cnfStyle w:val="001000000000" w:firstRow="0" w:lastRow="0" w:firstColumn="1" w:lastColumn="0" w:oddVBand="0" w:evenVBand="0" w:oddHBand="0" w:evenHBand="0" w:firstRowFirstColumn="0" w:firstRowLastColumn="0" w:lastRowFirstColumn="0" w:lastRowLastColumn="0"/>
            <w:tcW w:w="2093" w:type="dxa"/>
          </w:tcPr>
          <w:p w14:paraId="5ED95F85" w14:textId="77777777" w:rsidR="00765B62" w:rsidRPr="00765B62" w:rsidRDefault="00765B62" w:rsidP="00765B62">
            <w:pPr>
              <w:rPr>
                <w:color w:val="auto"/>
              </w:rPr>
            </w:pPr>
            <w:r w:rsidRPr="00765B62">
              <w:rPr>
                <w:color w:val="auto"/>
              </w:rPr>
              <w:t>JLT Speciality fined £1.8 million (FCA, 2013c)</w:t>
            </w:r>
          </w:p>
        </w:tc>
        <w:tc>
          <w:tcPr>
            <w:tcW w:w="4961" w:type="dxa"/>
          </w:tcPr>
          <w:p w14:paraId="543255F2"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“These failings are unacceptable given JLTSL actually had the checks in place to manage risk, but didn’t use them effectively, despite being warned by the FCA that they needed to up their game. []JLTSL’s penalty was increased because of its failure to respond adequately either to the numerous warnings the FCA had given to the industry generally or to JLTSL specifically”</w:t>
            </w:r>
          </w:p>
        </w:tc>
        <w:tc>
          <w:tcPr>
            <w:tcW w:w="4961" w:type="dxa"/>
          </w:tcPr>
          <w:p w14:paraId="2A17FC95"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No specific information found on compliance/compliance culture.</w:t>
            </w:r>
          </w:p>
          <w:p w14:paraId="7541A788"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Press Release:</w:t>
            </w:r>
          </w:p>
          <w:p w14:paraId="72C51094"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“JLTSL has since put in place updated policies that have been confirmed by the FCA as being appropriate.”</w:t>
            </w:r>
          </w:p>
        </w:tc>
        <w:tc>
          <w:tcPr>
            <w:tcW w:w="2127" w:type="dxa"/>
          </w:tcPr>
          <w:p w14:paraId="0D19E77E"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http://www.jltgroup.com/about/our-businesses/jlt-specialty-limited/</w:t>
            </w:r>
          </w:p>
        </w:tc>
      </w:tr>
      <w:tr w:rsidR="00765B62" w:rsidRPr="00765B62" w14:paraId="6254357A" w14:textId="77777777" w:rsidTr="000F2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943D543" w14:textId="77777777" w:rsidR="00765B62" w:rsidRPr="00765B62" w:rsidRDefault="00765B62" w:rsidP="00765B62">
            <w:pPr>
              <w:rPr>
                <w:color w:val="auto"/>
              </w:rPr>
            </w:pPr>
            <w:r w:rsidRPr="00765B62">
              <w:rPr>
                <w:color w:val="auto"/>
              </w:rPr>
              <w:t xml:space="preserve"> </w:t>
            </w:r>
            <w:proofErr w:type="spellStart"/>
            <w:r w:rsidRPr="00765B62">
              <w:rPr>
                <w:color w:val="auto"/>
              </w:rPr>
              <w:t>Rabobank</w:t>
            </w:r>
            <w:proofErr w:type="spellEnd"/>
            <w:r w:rsidRPr="00765B62">
              <w:rPr>
                <w:color w:val="auto"/>
              </w:rPr>
              <w:t xml:space="preserve"> fined £105 million (FCA, 2013 f)</w:t>
            </w:r>
          </w:p>
        </w:tc>
        <w:tc>
          <w:tcPr>
            <w:tcW w:w="4961" w:type="dxa"/>
          </w:tcPr>
          <w:p w14:paraId="6A595E81"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w:t>
            </w:r>
            <w:proofErr w:type="spellStart"/>
            <w:r w:rsidRPr="00765B62">
              <w:rPr>
                <w:color w:val="auto"/>
              </w:rPr>
              <w:t>Rabobank’s</w:t>
            </w:r>
            <w:proofErr w:type="spellEnd"/>
            <w:r w:rsidRPr="00765B62">
              <w:rPr>
                <w:color w:val="auto"/>
              </w:rPr>
              <w:t xml:space="preserve"> misconduct is among the most serious we have identified on LIBOR. Traders and submitters treated LIBOR submissions as a potential way to make money, with no regard for the integrity of the market”</w:t>
            </w:r>
          </w:p>
        </w:tc>
        <w:tc>
          <w:tcPr>
            <w:tcW w:w="4961" w:type="dxa"/>
          </w:tcPr>
          <w:p w14:paraId="018B5BAD"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No specific references to compliance culture found other than via press release. However within about us section, heavy focus on culture including ‘Ethics Committee’. Also under the corporate governance section the following quote relating to customers was found:</w:t>
            </w:r>
          </w:p>
          <w:p w14:paraId="5A48A309"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 xml:space="preserve">“In keeping with its mission, </w:t>
            </w:r>
            <w:proofErr w:type="spellStart"/>
            <w:r w:rsidRPr="00765B62">
              <w:rPr>
                <w:color w:val="auto"/>
              </w:rPr>
              <w:t>Rabobank</w:t>
            </w:r>
            <w:proofErr w:type="spellEnd"/>
            <w:r w:rsidRPr="00765B62">
              <w:rPr>
                <w:color w:val="auto"/>
              </w:rPr>
              <w:t xml:space="preserve"> consciously makes customers’ interests the starting point for its day-to-day activities.”</w:t>
            </w:r>
          </w:p>
          <w:p w14:paraId="2FA36A09"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Press Release:</w:t>
            </w:r>
          </w:p>
          <w:p w14:paraId="2B27B170"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 xml:space="preserve">Piet </w:t>
            </w:r>
            <w:proofErr w:type="spellStart"/>
            <w:r w:rsidRPr="00765B62">
              <w:rPr>
                <w:color w:val="auto"/>
              </w:rPr>
              <w:t>Moerland</w:t>
            </w:r>
            <w:proofErr w:type="spellEnd"/>
            <w:r w:rsidRPr="00765B62">
              <w:rPr>
                <w:color w:val="auto"/>
              </w:rPr>
              <w:t xml:space="preserve">, Chairman of </w:t>
            </w:r>
            <w:proofErr w:type="spellStart"/>
            <w:r w:rsidRPr="00765B62">
              <w:rPr>
                <w:color w:val="auto"/>
              </w:rPr>
              <w:t>Rabobank’s</w:t>
            </w:r>
            <w:proofErr w:type="spellEnd"/>
            <w:r w:rsidRPr="00765B62">
              <w:rPr>
                <w:color w:val="auto"/>
              </w:rPr>
              <w:t xml:space="preserve"> Executive Board, stated, “I sincerely regret that a number of </w:t>
            </w:r>
            <w:proofErr w:type="spellStart"/>
            <w:r w:rsidRPr="00765B62">
              <w:rPr>
                <w:color w:val="auto"/>
              </w:rPr>
              <w:t>Rabobank</w:t>
            </w:r>
            <w:proofErr w:type="spellEnd"/>
            <w:r w:rsidRPr="00765B62">
              <w:rPr>
                <w:color w:val="auto"/>
              </w:rPr>
              <w:t xml:space="preserve"> employees acted in an inappropriate manner. This should never have taken place at </w:t>
            </w:r>
            <w:proofErr w:type="spellStart"/>
            <w:r w:rsidRPr="00765B62">
              <w:rPr>
                <w:color w:val="auto"/>
              </w:rPr>
              <w:t>Rabobank</w:t>
            </w:r>
            <w:proofErr w:type="spellEnd"/>
            <w:r w:rsidRPr="00765B62">
              <w:rPr>
                <w:color w:val="auto"/>
              </w:rPr>
              <w:t xml:space="preserve">. The conduct of these individuals, and the language of some of the individuals’ communications, has shocked me. </w:t>
            </w:r>
            <w:proofErr w:type="spellStart"/>
            <w:r w:rsidRPr="00765B62">
              <w:rPr>
                <w:color w:val="auto"/>
              </w:rPr>
              <w:t>Rabobank</w:t>
            </w:r>
            <w:proofErr w:type="spellEnd"/>
            <w:r w:rsidRPr="00765B62">
              <w:rPr>
                <w:color w:val="auto"/>
              </w:rPr>
              <w:t xml:space="preserve"> fully understands the sense of indignation that this will cause both within our organisation and more </w:t>
            </w:r>
            <w:r w:rsidRPr="00765B62">
              <w:rPr>
                <w:color w:val="auto"/>
              </w:rPr>
              <w:lastRenderedPageBreak/>
              <w:t xml:space="preserve">broadly. Such behaviour is entirely contrary to our core values, of which integrity is the most important. The public has to be able to trust that </w:t>
            </w:r>
            <w:proofErr w:type="spellStart"/>
            <w:r w:rsidRPr="00765B62">
              <w:rPr>
                <w:color w:val="auto"/>
              </w:rPr>
              <w:t>Rabobank</w:t>
            </w:r>
            <w:proofErr w:type="spellEnd"/>
            <w:r w:rsidRPr="00765B62">
              <w:rPr>
                <w:color w:val="auto"/>
              </w:rPr>
              <w:t xml:space="preserve"> employees operate with our core values in mind. That is why I have today decided that, as a matter of principle, it is appropriate for me to resign as Chairman of the Executive Board with immediate effect……</w:t>
            </w:r>
          </w:p>
          <w:p w14:paraId="2CCEEB2F"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We have also launched a series of measures which will further embed our core values and cooperative corporate culture, reduce risks and enhance compliance oversight.”</w:t>
            </w:r>
          </w:p>
        </w:tc>
        <w:tc>
          <w:tcPr>
            <w:tcW w:w="2127" w:type="dxa"/>
          </w:tcPr>
          <w:p w14:paraId="19212738"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lastRenderedPageBreak/>
              <w:t>https://www.rabobank.com/en/about-rabobank/ethics/index.html</w:t>
            </w:r>
          </w:p>
          <w:p w14:paraId="27EA4B37"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auto"/>
              </w:rPr>
            </w:pPr>
            <w:r w:rsidRPr="00765B62">
              <w:rPr>
                <w:color w:val="auto"/>
              </w:rPr>
              <w:t>https://www.rabobank.com/en/press/search/2013/libor.html</w:t>
            </w:r>
          </w:p>
        </w:tc>
      </w:tr>
      <w:tr w:rsidR="00765B62" w:rsidRPr="00765B62" w14:paraId="387DF1D5" w14:textId="77777777" w:rsidTr="000F22CD">
        <w:tc>
          <w:tcPr>
            <w:cnfStyle w:val="001000000000" w:firstRow="0" w:lastRow="0" w:firstColumn="1" w:lastColumn="0" w:oddVBand="0" w:evenVBand="0" w:oddHBand="0" w:evenHBand="0" w:firstRowFirstColumn="0" w:firstRowLastColumn="0" w:lastRowFirstColumn="0" w:lastRowLastColumn="0"/>
            <w:tcW w:w="2093" w:type="dxa"/>
          </w:tcPr>
          <w:p w14:paraId="53946183" w14:textId="77777777" w:rsidR="00765B62" w:rsidRPr="00765B62" w:rsidRDefault="00765B62" w:rsidP="00765B62">
            <w:pPr>
              <w:rPr>
                <w:color w:val="auto"/>
              </w:rPr>
            </w:pPr>
            <w:r w:rsidRPr="00765B62">
              <w:rPr>
                <w:color w:val="auto"/>
              </w:rPr>
              <w:t>Sesame fined £6.0 million (FCA, 2013 3e)</w:t>
            </w:r>
          </w:p>
        </w:tc>
        <w:tc>
          <w:tcPr>
            <w:tcW w:w="4961" w:type="dxa"/>
          </w:tcPr>
          <w:p w14:paraId="7E6DB068"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“The FCA also found, following further supervisory work, between July 2010 and September 2012, that Sesame failed to take reasonable care to organise and control its affairs responsibly and effectively…..</w:t>
            </w:r>
          </w:p>
          <w:p w14:paraId="51159378"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Furthermore, in terms of Sesame’s culture, the language used internally within the firm supported an incorrect view that its customers were the ARs (appointed representatives) rather than the end retail customers.”</w:t>
            </w:r>
          </w:p>
        </w:tc>
        <w:tc>
          <w:tcPr>
            <w:tcW w:w="4961" w:type="dxa"/>
          </w:tcPr>
          <w:p w14:paraId="43C74F04"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No specific reference to compliance culture found other than comment below:</w:t>
            </w:r>
          </w:p>
          <w:p w14:paraId="502F1FEC"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“You'll find there's no shortage of specialists at Sesame. From our compliance experts to our award-winning telephone contact centre, we're on hand to help you.”</w:t>
            </w:r>
          </w:p>
          <w:p w14:paraId="3AE887E9"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No press release found. However shortly after FCA announcement a press release was issued announcing appointment of new Chief Risk Officer</w:t>
            </w:r>
          </w:p>
        </w:tc>
        <w:tc>
          <w:tcPr>
            <w:tcW w:w="2127" w:type="dxa"/>
          </w:tcPr>
          <w:p w14:paraId="05B2D40F"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auto"/>
              </w:rPr>
            </w:pPr>
            <w:r w:rsidRPr="00765B62">
              <w:rPr>
                <w:color w:val="auto"/>
              </w:rPr>
              <w:t>http://www.sesame.co.uk/Pages/Home.aspx</w:t>
            </w:r>
          </w:p>
        </w:tc>
      </w:tr>
    </w:tbl>
    <w:p w14:paraId="52B33C90" w14:textId="77777777" w:rsidR="00765B62" w:rsidRPr="00765B62" w:rsidRDefault="00765B62" w:rsidP="00765B62">
      <w:pPr>
        <w:keepNext/>
        <w:keepLines/>
        <w:spacing w:before="200" w:after="0"/>
        <w:outlineLvl w:val="1"/>
        <w:rPr>
          <w:rFonts w:asciiTheme="majorHAnsi" w:eastAsiaTheme="majorEastAsia" w:hAnsiTheme="majorHAnsi" w:cstheme="majorBidi"/>
          <w:b/>
          <w:bCs/>
          <w:color w:val="4F81BD" w:themeColor="accent1"/>
          <w:sz w:val="26"/>
          <w:szCs w:val="26"/>
        </w:rPr>
      </w:pPr>
    </w:p>
    <w:p w14:paraId="41274564" w14:textId="77777777" w:rsidR="00765B62" w:rsidRPr="00765B62" w:rsidRDefault="00765B62" w:rsidP="00765B62">
      <w:pPr>
        <w:keepNext/>
        <w:keepLines/>
        <w:spacing w:before="200" w:after="0"/>
        <w:outlineLvl w:val="1"/>
        <w:rPr>
          <w:rFonts w:asciiTheme="majorHAnsi" w:eastAsiaTheme="majorEastAsia" w:hAnsiTheme="majorHAnsi" w:cstheme="majorBidi"/>
          <w:b/>
          <w:bCs/>
          <w:color w:val="4F81BD" w:themeColor="accent1"/>
          <w:sz w:val="26"/>
          <w:szCs w:val="26"/>
        </w:rPr>
      </w:pPr>
    </w:p>
    <w:p w14:paraId="1A9DE872" w14:textId="77777777" w:rsidR="00765B62" w:rsidRPr="00765B62" w:rsidRDefault="00765B62" w:rsidP="00765B62">
      <w:pPr>
        <w:keepNext/>
        <w:keepLines/>
        <w:spacing w:before="200" w:after="0"/>
        <w:outlineLvl w:val="1"/>
        <w:rPr>
          <w:rFonts w:asciiTheme="majorHAnsi" w:eastAsiaTheme="majorEastAsia" w:hAnsiTheme="majorHAnsi" w:cstheme="majorBidi"/>
          <w:b/>
          <w:bCs/>
          <w:color w:val="4F81BD" w:themeColor="accent1"/>
          <w:sz w:val="26"/>
          <w:szCs w:val="26"/>
        </w:rPr>
      </w:pPr>
      <w:r w:rsidRPr="00765B62">
        <w:rPr>
          <w:rFonts w:asciiTheme="majorHAnsi" w:eastAsiaTheme="majorEastAsia" w:hAnsiTheme="majorHAnsi" w:cstheme="majorBidi"/>
          <w:b/>
          <w:bCs/>
          <w:color w:val="4F81BD" w:themeColor="accent1"/>
          <w:sz w:val="26"/>
          <w:szCs w:val="26"/>
        </w:rPr>
        <w:t>Appendix 2 2015/16 Review 2015 onwards</w:t>
      </w:r>
    </w:p>
    <w:p w14:paraId="36EB0C18" w14:textId="77777777" w:rsidR="00765B62" w:rsidRPr="00765B62" w:rsidRDefault="00765B62" w:rsidP="00765B62">
      <w:r w:rsidRPr="00765B62">
        <w:t xml:space="preserve">This review involved interrogation of all FCA press release based on date i.e. 2014/2015/2016. The contents of press release headlines were reviewed and in cases where sanctions against firms or individual were identified, these articles were reviewed further (when quote fines greater than £500K). In 2015 a </w:t>
      </w:r>
      <w:r w:rsidRPr="00765B62">
        <w:lastRenderedPageBreak/>
        <w:t xml:space="preserve">total of 654 press releases were reviewed. These were further refined to review fines of over £500K related to firms providing financial services. In addition, items relating to redress to customers greater than £0.5m were also noted. </w:t>
      </w:r>
    </w:p>
    <w:tbl>
      <w:tblPr>
        <w:tblStyle w:val="LightShading-Accent41"/>
        <w:tblW w:w="0" w:type="auto"/>
        <w:tblLayout w:type="fixed"/>
        <w:tblLook w:val="04A0" w:firstRow="1" w:lastRow="0" w:firstColumn="1" w:lastColumn="0" w:noHBand="0" w:noVBand="1"/>
      </w:tblPr>
      <w:tblGrid>
        <w:gridCol w:w="1668"/>
        <w:gridCol w:w="5386"/>
        <w:gridCol w:w="4961"/>
        <w:gridCol w:w="2127"/>
      </w:tblGrid>
      <w:tr w:rsidR="00765B62" w:rsidRPr="00765B62" w14:paraId="29579EB9" w14:textId="77777777" w:rsidTr="000F22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14:paraId="723BD4C6" w14:textId="77777777" w:rsidR="00765B62" w:rsidRPr="00765B62" w:rsidRDefault="00765B62" w:rsidP="00765B62">
            <w:pPr>
              <w:rPr>
                <w:color w:val="403152" w:themeColor="accent4" w:themeShade="80"/>
              </w:rPr>
            </w:pPr>
            <w:r w:rsidRPr="00765B62">
              <w:rPr>
                <w:color w:val="403152" w:themeColor="accent4" w:themeShade="80"/>
              </w:rPr>
              <w:t>Firm/Violation</w:t>
            </w:r>
          </w:p>
          <w:p w14:paraId="7C5EAAE2" w14:textId="77777777" w:rsidR="00765B62" w:rsidRPr="00765B62" w:rsidRDefault="00765B62" w:rsidP="00765B62">
            <w:pPr>
              <w:rPr>
                <w:color w:val="403152" w:themeColor="accent4" w:themeShade="80"/>
              </w:rPr>
            </w:pPr>
            <w:r w:rsidRPr="00765B62">
              <w:rPr>
                <w:color w:val="403152" w:themeColor="accent4" w:themeShade="80"/>
              </w:rPr>
              <w:t>(sourced via FCA press releases &gt; 500K fine)</w:t>
            </w:r>
          </w:p>
        </w:tc>
        <w:tc>
          <w:tcPr>
            <w:tcW w:w="5386" w:type="dxa"/>
          </w:tcPr>
          <w:p w14:paraId="56CEA326" w14:textId="77777777" w:rsidR="00765B62" w:rsidRPr="00765B62" w:rsidRDefault="00765B62" w:rsidP="00765B62">
            <w:pPr>
              <w:cnfStyle w:val="100000000000" w:firstRow="1" w:lastRow="0" w:firstColumn="0" w:lastColumn="0" w:oddVBand="0" w:evenVBand="0" w:oddHBand="0" w:evenHBand="0" w:firstRowFirstColumn="0" w:firstRowLastColumn="0" w:lastRowFirstColumn="0" w:lastRowLastColumn="0"/>
              <w:rPr>
                <w:color w:val="403152" w:themeColor="accent4" w:themeShade="80"/>
              </w:rPr>
            </w:pPr>
            <w:r w:rsidRPr="00765B62">
              <w:rPr>
                <w:color w:val="403152" w:themeColor="accent4" w:themeShade="80"/>
              </w:rPr>
              <w:t>What the FCA said</w:t>
            </w:r>
          </w:p>
        </w:tc>
        <w:tc>
          <w:tcPr>
            <w:tcW w:w="4961" w:type="dxa"/>
          </w:tcPr>
          <w:p w14:paraId="5055DD2B" w14:textId="77777777" w:rsidR="00765B62" w:rsidRPr="00765B62" w:rsidRDefault="00765B62" w:rsidP="00765B62">
            <w:pPr>
              <w:cnfStyle w:val="100000000000" w:firstRow="1" w:lastRow="0" w:firstColumn="0" w:lastColumn="0" w:oddVBand="0" w:evenVBand="0" w:oddHBand="0" w:evenHBand="0" w:firstRowFirstColumn="0" w:firstRowLastColumn="0" w:lastRowFirstColumn="0" w:lastRowLastColumn="0"/>
              <w:rPr>
                <w:color w:val="403152" w:themeColor="accent4" w:themeShade="80"/>
              </w:rPr>
            </w:pPr>
            <w:r w:rsidRPr="00765B62">
              <w:rPr>
                <w:color w:val="403152" w:themeColor="accent4" w:themeShade="80"/>
              </w:rPr>
              <w:t>Firms Compliance/Culture Message</w:t>
            </w:r>
          </w:p>
        </w:tc>
        <w:tc>
          <w:tcPr>
            <w:tcW w:w="2127" w:type="dxa"/>
          </w:tcPr>
          <w:p w14:paraId="091297D6" w14:textId="77777777" w:rsidR="00765B62" w:rsidRPr="00765B62" w:rsidRDefault="00765B62" w:rsidP="00765B62">
            <w:pPr>
              <w:cnfStyle w:val="100000000000" w:firstRow="1" w:lastRow="0" w:firstColumn="0" w:lastColumn="0" w:oddVBand="0" w:evenVBand="0" w:oddHBand="0" w:evenHBand="0" w:firstRowFirstColumn="0" w:firstRowLastColumn="0" w:lastRowFirstColumn="0" w:lastRowLastColumn="0"/>
            </w:pPr>
            <w:r w:rsidRPr="00765B62">
              <w:t>Website Source</w:t>
            </w:r>
          </w:p>
        </w:tc>
      </w:tr>
      <w:tr w:rsidR="00765B62" w:rsidRPr="00765B62" w14:paraId="4553FFE0" w14:textId="77777777" w:rsidTr="000F2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170D89B" w14:textId="77777777" w:rsidR="00765B62" w:rsidRPr="00765B62" w:rsidRDefault="00765B62" w:rsidP="00765B62">
            <w:proofErr w:type="spellStart"/>
            <w:r w:rsidRPr="00765B62">
              <w:t>Threadneedle</w:t>
            </w:r>
            <w:proofErr w:type="spellEnd"/>
            <w:r w:rsidRPr="00765B62">
              <w:t xml:space="preserve"> Asset Management Limited (TAML) fined £6.0 m (FCA, 2015)</w:t>
            </w:r>
          </w:p>
        </w:tc>
        <w:tc>
          <w:tcPr>
            <w:tcW w:w="5386" w:type="dxa"/>
          </w:tcPr>
          <w:p w14:paraId="01326B09"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“The FCA considers these failings to be particularly serious because the deficiencies allowed a fund manager to initiate, execute and book a $150 million trade which, had it settled, could have caused a $110 million loss to the relevant client funds.”</w:t>
            </w:r>
          </w:p>
        </w:tc>
        <w:tc>
          <w:tcPr>
            <w:tcW w:w="4961" w:type="dxa"/>
          </w:tcPr>
          <w:p w14:paraId="0640D8A4"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Press Release: “</w:t>
            </w:r>
            <w:proofErr w:type="spellStart"/>
            <w:r w:rsidRPr="00765B62">
              <w:t>Threadneedle</w:t>
            </w:r>
            <w:proofErr w:type="spellEnd"/>
            <w:r w:rsidRPr="00765B62">
              <w:t xml:space="preserve"> Asset Management Ltd notes today's statement and financial penalty issued by the Financial Conduct Authority (FCA). In August 2011 </w:t>
            </w:r>
            <w:proofErr w:type="spellStart"/>
            <w:r w:rsidRPr="00765B62">
              <w:t>Threadneedle</w:t>
            </w:r>
            <w:proofErr w:type="spellEnd"/>
            <w:r w:rsidRPr="00765B62">
              <w:t xml:space="preserve"> was the intended victim of an attempted fraudulent trade involving collusion between a </w:t>
            </w:r>
            <w:proofErr w:type="spellStart"/>
            <w:r w:rsidRPr="00765B62">
              <w:t>Threadneedle</w:t>
            </w:r>
            <w:proofErr w:type="spellEnd"/>
            <w:r w:rsidRPr="00765B62">
              <w:t xml:space="preserve"> employee, an external broker and an FSA regulated entity. </w:t>
            </w:r>
            <w:proofErr w:type="spellStart"/>
            <w:r w:rsidRPr="00765B62">
              <w:t>Threadneedle</w:t>
            </w:r>
            <w:proofErr w:type="spellEnd"/>
            <w:r w:rsidRPr="00765B62">
              <w:t xml:space="preserve"> identified and stopped the trade and reported it to the FSA. There was no loss to </w:t>
            </w:r>
            <w:proofErr w:type="spellStart"/>
            <w:r w:rsidRPr="00765B62">
              <w:t>Threadneedle</w:t>
            </w:r>
            <w:proofErr w:type="spellEnd"/>
            <w:r w:rsidRPr="00765B62">
              <w:t xml:space="preserve"> or any client of </w:t>
            </w:r>
            <w:proofErr w:type="spellStart"/>
            <w:r w:rsidRPr="00765B62">
              <w:t>Threadneedle</w:t>
            </w:r>
            <w:proofErr w:type="spellEnd"/>
            <w:r w:rsidRPr="00765B62">
              <w:t>. The employee concerned was dismissed.”</w:t>
            </w:r>
          </w:p>
          <w:p w14:paraId="00C3D10B"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No search functionality exists (at time of review Feb 2016)</w:t>
            </w:r>
          </w:p>
          <w:p w14:paraId="73373A37"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No particular messages on compliance culture evident other than a general section on corporate responsibility.</w:t>
            </w:r>
          </w:p>
        </w:tc>
        <w:tc>
          <w:tcPr>
            <w:tcW w:w="2127" w:type="dxa"/>
          </w:tcPr>
          <w:p w14:paraId="28C138C9" w14:textId="77777777" w:rsidR="00765B62" w:rsidRPr="00765B62" w:rsidRDefault="007E1024" w:rsidP="00765B62">
            <w:pPr>
              <w:cnfStyle w:val="000000100000" w:firstRow="0" w:lastRow="0" w:firstColumn="0" w:lastColumn="0" w:oddVBand="0" w:evenVBand="0" w:oddHBand="1" w:evenHBand="0" w:firstRowFirstColumn="0" w:firstRowLastColumn="0" w:lastRowFirstColumn="0" w:lastRowLastColumn="0"/>
            </w:pPr>
            <w:hyperlink r:id="rId45" w:history="1">
              <w:r w:rsidR="00765B62" w:rsidRPr="00765B62">
                <w:rPr>
                  <w:color w:val="0000FF" w:themeColor="hyperlink"/>
                  <w:u w:val="single"/>
                </w:rPr>
                <w:t>http://www.columbiathreadneedle.com/en/media-centre/</w:t>
              </w:r>
            </w:hyperlink>
          </w:p>
          <w:p w14:paraId="17AC3AAF"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p>
        </w:tc>
      </w:tr>
      <w:tr w:rsidR="00765B62" w:rsidRPr="00765B62" w14:paraId="07E5195A" w14:textId="77777777" w:rsidTr="000F22CD">
        <w:tc>
          <w:tcPr>
            <w:cnfStyle w:val="001000000000" w:firstRow="0" w:lastRow="0" w:firstColumn="1" w:lastColumn="0" w:oddVBand="0" w:evenVBand="0" w:oddHBand="0" w:evenHBand="0" w:firstRowFirstColumn="0" w:firstRowLastColumn="0" w:lastRowFirstColumn="0" w:lastRowLastColumn="0"/>
            <w:tcW w:w="1668" w:type="dxa"/>
          </w:tcPr>
          <w:p w14:paraId="428C05F9" w14:textId="77777777" w:rsidR="00765B62" w:rsidRPr="00765B62" w:rsidRDefault="00765B62" w:rsidP="00765B62">
            <w:r w:rsidRPr="00765B62">
              <w:t>Barclays fined £72.0 m (relating to transaction in 2011/12)</w:t>
            </w:r>
          </w:p>
          <w:p w14:paraId="10CDF3E2" w14:textId="77777777" w:rsidR="00765B62" w:rsidRPr="00765B62" w:rsidRDefault="00765B62" w:rsidP="00765B62">
            <w:r w:rsidRPr="00765B62">
              <w:t>(FCA, 2015b)</w:t>
            </w:r>
          </w:p>
        </w:tc>
        <w:tc>
          <w:tcPr>
            <w:tcW w:w="5386" w:type="dxa"/>
          </w:tcPr>
          <w:p w14:paraId="4811D116"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“Barclays applied a lower level of due diligence than its policies required for other business relationships of a lower risk profile. Barclays did not follow its standard procedures, preferring instead to take on the clients as quickly as possible and thereby generated £52.3 million in revenue.”</w:t>
            </w:r>
          </w:p>
          <w:p w14:paraId="6E8F045E"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 xml:space="preserve">“Barclays ignored its own process designed to safeguard against the risk of financial crime and overlooked obvious </w:t>
            </w:r>
            <w:r w:rsidRPr="00765B62">
              <w:lastRenderedPageBreak/>
              <w:t>red flags to win new business and generate significant revenue. This is wholly unacceptable.</w:t>
            </w:r>
          </w:p>
          <w:p w14:paraId="7FA78002"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Firms will be held to account if they fail to minimise financial crime risks appropriately and for this reason the FCA has required Barclays to disgorge its revenue from the Transaction."</w:t>
            </w:r>
          </w:p>
        </w:tc>
        <w:tc>
          <w:tcPr>
            <w:tcW w:w="4961" w:type="dxa"/>
          </w:tcPr>
          <w:p w14:paraId="57E6C24A"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lastRenderedPageBreak/>
              <w:t>Press release:</w:t>
            </w:r>
          </w:p>
          <w:p w14:paraId="4AB86A92"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“Barclays has cooperated fully with the FCA throughout and continues to apply significant resources and training to ensure compliance with all legal and regulatory requirements.”</w:t>
            </w:r>
          </w:p>
        </w:tc>
        <w:tc>
          <w:tcPr>
            <w:tcW w:w="2127" w:type="dxa"/>
          </w:tcPr>
          <w:p w14:paraId="1FDD4D24"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See row below.</w:t>
            </w:r>
          </w:p>
        </w:tc>
      </w:tr>
      <w:tr w:rsidR="00765B62" w:rsidRPr="00765B62" w14:paraId="6DE6F5AA" w14:textId="77777777" w:rsidTr="000F2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B0A38CE" w14:textId="77777777" w:rsidR="00765B62" w:rsidRPr="00765B62" w:rsidRDefault="00765B62" w:rsidP="00765B62">
            <w:r w:rsidRPr="00765B62">
              <w:t>FCA fines Barclays £284.4m (forex failings 2008-2013)</w:t>
            </w:r>
          </w:p>
          <w:p w14:paraId="52322FFF" w14:textId="77777777" w:rsidR="00765B62" w:rsidRPr="00765B62" w:rsidRDefault="00765B62" w:rsidP="00765B62">
            <w:r w:rsidRPr="00765B62">
              <w:t>FCA (2015, d)</w:t>
            </w:r>
          </w:p>
        </w:tc>
        <w:tc>
          <w:tcPr>
            <w:tcW w:w="5386" w:type="dxa"/>
          </w:tcPr>
          <w:p w14:paraId="6A681889"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"This is another example of a firm allowing unacceptable practices to flourish on the trading floor. Instead of addressing the obvious risks associated with its business Barclays allowed a culture to develop which put the firm’s interests ahead of those of its clients and which undermined the reputation and integrity of the UK financial system.  Firms should scrutinise their own systems and cultures to ensure that they make good on their promises to deliver change."</w:t>
            </w:r>
          </w:p>
          <w:p w14:paraId="368223E0"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“Barclays and other firms are already participating in an industry-wide remediation programme to ensure that they address the root causes of the failings in their FX businesses and that they drive up standards. As part of the remediation programme, senior management at Barclays and the other firms must take responsibility for delivering the necessary changes.”</w:t>
            </w:r>
          </w:p>
        </w:tc>
        <w:tc>
          <w:tcPr>
            <w:tcW w:w="4961" w:type="dxa"/>
          </w:tcPr>
          <w:p w14:paraId="39A715A0"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Press release:</w:t>
            </w:r>
          </w:p>
          <w:p w14:paraId="59F57F61"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 xml:space="preserve">“The misconduct at the core of these investigations is wholly incompatible with Barclays’ purpose and values and we deeply regret that it occurred. This demonstrates again the importance of our continuing work to build a values-based culture and strengthen our control environment. We remain completely committed to that effort. </w:t>
            </w:r>
          </w:p>
          <w:p w14:paraId="3A24876D"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p>
          <w:p w14:paraId="266C3C9D"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 xml:space="preserve"> I share the frustration of shareholders and colleagues that some individuals have once more brought our company and industry into disrepute. Dealing with these issues, including taking the appropriate disciplinary action against the individuals involved, is a necessary and important part of our plan to transform Barclays and remains a key priority.”</w:t>
            </w:r>
          </w:p>
          <w:p w14:paraId="215E089C"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Search on “compliance culture” directs you to 2014 Transform site linking strategic direction of improving conduct.</w:t>
            </w:r>
          </w:p>
        </w:tc>
        <w:tc>
          <w:tcPr>
            <w:tcW w:w="2127" w:type="dxa"/>
          </w:tcPr>
          <w:p w14:paraId="2F7D1DA4"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https://www.home.barclays/about-barclays/strategy/strategy-and-operating-environment.html#market</w:t>
            </w:r>
          </w:p>
        </w:tc>
      </w:tr>
      <w:tr w:rsidR="00765B62" w:rsidRPr="00765B62" w14:paraId="18C80BBE" w14:textId="77777777" w:rsidTr="000F22CD">
        <w:tc>
          <w:tcPr>
            <w:cnfStyle w:val="001000000000" w:firstRow="0" w:lastRow="0" w:firstColumn="1" w:lastColumn="0" w:oddVBand="0" w:evenVBand="0" w:oddHBand="0" w:evenHBand="0" w:firstRowFirstColumn="0" w:firstRowLastColumn="0" w:lastRowFirstColumn="0" w:lastRowLastColumn="0"/>
            <w:tcW w:w="1668" w:type="dxa"/>
          </w:tcPr>
          <w:p w14:paraId="506B79D6" w14:textId="77777777" w:rsidR="00765B62" w:rsidRPr="00765B62" w:rsidRDefault="00765B62" w:rsidP="00765B62">
            <w:proofErr w:type="spellStart"/>
            <w:r w:rsidRPr="00765B62">
              <w:t>CashEuroNet</w:t>
            </w:r>
            <w:proofErr w:type="spellEnd"/>
            <w:r w:rsidRPr="00765B62">
              <w:t xml:space="preserve"> (trading as </w:t>
            </w:r>
            <w:proofErr w:type="spellStart"/>
            <w:r w:rsidRPr="00765B62">
              <w:lastRenderedPageBreak/>
              <w:t>QuickQuids</w:t>
            </w:r>
            <w:proofErr w:type="spellEnd"/>
            <w:r w:rsidRPr="00765B62">
              <w:t xml:space="preserve"> and Pounds to Pockets) redress £1.7m  (FCA, 2015k)</w:t>
            </w:r>
          </w:p>
        </w:tc>
        <w:tc>
          <w:tcPr>
            <w:tcW w:w="5386" w:type="dxa"/>
          </w:tcPr>
          <w:p w14:paraId="462DE2FB"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lastRenderedPageBreak/>
              <w:t xml:space="preserve">“The FCA has been working with the firm since it took over regulation of consumer credit on 1 April 2014. An </w:t>
            </w:r>
            <w:r w:rsidRPr="00765B62">
              <w:lastRenderedPageBreak/>
              <w:t xml:space="preserve">independent Skilled Person was appointed in September 2014 to review </w:t>
            </w:r>
            <w:proofErr w:type="spellStart"/>
            <w:r w:rsidRPr="00765B62">
              <w:t>CashEuroNet’s</w:t>
            </w:r>
            <w:proofErr w:type="spellEnd"/>
            <w:r w:rsidRPr="00765B62">
              <w:t xml:space="preserve"> lending decisions which revealed that some customers were able to borrow amounts greater than they could afford to repay.”</w:t>
            </w:r>
          </w:p>
          <w:p w14:paraId="696981A9"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 xml:space="preserve">“We are pleased that </w:t>
            </w:r>
            <w:proofErr w:type="spellStart"/>
            <w:r w:rsidRPr="00765B62">
              <w:t>CashEuroNet</w:t>
            </w:r>
            <w:proofErr w:type="spellEnd"/>
            <w:r w:rsidRPr="00765B62">
              <w:t xml:space="preserve"> is working with us to address our concerns.</w:t>
            </w:r>
          </w:p>
          <w:p w14:paraId="0FA01F5E"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It is important that firms carry out appropriate affordability checks and pay particular attention to fair treatment of those who have trouble meeting their loan repayments.”</w:t>
            </w:r>
          </w:p>
        </w:tc>
        <w:tc>
          <w:tcPr>
            <w:tcW w:w="4961" w:type="dxa"/>
          </w:tcPr>
          <w:p w14:paraId="0CE00D01"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lastRenderedPageBreak/>
              <w:t>Press release</w:t>
            </w:r>
          </w:p>
          <w:p w14:paraId="0A5F8727"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lastRenderedPageBreak/>
              <w:t>“We appreciate the opportunity to work with the FCA and the Skilled Person to review our processes, and we are pleased they’ve witnessed how seriously we take our regulatory responsibilities and our constant desire to achieve good outcomes for our customers,” said Nick Drew, UK Managing Director. “We apologise to the 4,000 affected customers, and we are pleased to be able to address this with the announced redress plan.”</w:t>
            </w:r>
          </w:p>
        </w:tc>
        <w:tc>
          <w:tcPr>
            <w:tcW w:w="2127" w:type="dxa"/>
          </w:tcPr>
          <w:p w14:paraId="0DD0A7F5"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lastRenderedPageBreak/>
              <w:t>https://www.quickquid.co.uk/faq.html</w:t>
            </w:r>
          </w:p>
        </w:tc>
      </w:tr>
      <w:tr w:rsidR="00765B62" w:rsidRPr="00765B62" w14:paraId="7E3D4311" w14:textId="77777777" w:rsidTr="000F2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D77322B" w14:textId="77777777" w:rsidR="00765B62" w:rsidRPr="00765B62" w:rsidRDefault="00765B62" w:rsidP="00765B62">
            <w:r w:rsidRPr="00765B62">
              <w:t>Dollar Financial UK (trading as The Money Shop, Payday UK, Payday Express and Ladder Loans) redress £15.4m</w:t>
            </w:r>
          </w:p>
          <w:p w14:paraId="70CC73A9" w14:textId="77777777" w:rsidR="00765B62" w:rsidRPr="00765B62" w:rsidRDefault="00765B62" w:rsidP="00765B62">
            <w:r w:rsidRPr="00765B62">
              <w:t>(FCA, 2015l)</w:t>
            </w:r>
          </w:p>
        </w:tc>
        <w:tc>
          <w:tcPr>
            <w:tcW w:w="5386" w:type="dxa"/>
          </w:tcPr>
          <w:p w14:paraId="6E7E04A4"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“The review revealed that many customers were lent more than they could afford to repay. The firm has since agreed to make a number of changes to its lending criteria in order to meet the FCA’s requirements for high-cost short-term lenders.”</w:t>
            </w:r>
          </w:p>
          <w:p w14:paraId="7384F74B"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“The FCA expects all credit providers to carry out proper checks to ensure that borrowers don’t take on more than they can afford to pay back. We are encouraged that Dollar is committed to putting things right for its customers.”</w:t>
            </w:r>
          </w:p>
        </w:tc>
        <w:tc>
          <w:tcPr>
            <w:tcW w:w="4961" w:type="dxa"/>
          </w:tcPr>
          <w:p w14:paraId="4F0FF1DB"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Press release:</w:t>
            </w:r>
          </w:p>
          <w:p w14:paraId="31BE30E8"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“As the new CEO of Dollar Financial UK, I accept the findings of the review and apologise to anyone who may have suffered difficulties as a result.  It is proper that we put things right where they have gone wrong and I have gone further than the review in reforming the way our business operates to reflect the company aim of being the most responsible lender in its market place.” said Chief Executive Stuart Howard.</w:t>
            </w:r>
          </w:p>
          <w:p w14:paraId="6866FFA8"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Under corporate governance banner compliance search revealed:</w:t>
            </w:r>
          </w:p>
          <w:p w14:paraId="526AC5E5"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 xml:space="preserve">“Our governance arrangements and standards also ensure that our businesses are managed in accordance with the relevant legislative and regulatory requirements and the policies and standards of our group. Compliance with these standards enables us not only to meet the </w:t>
            </w:r>
            <w:r w:rsidRPr="00765B62">
              <w:lastRenderedPageBreak/>
              <w:t>expectations of the regulator, but also those of other key stakeholders such as customers, employees and business partners.”</w:t>
            </w:r>
          </w:p>
        </w:tc>
        <w:tc>
          <w:tcPr>
            <w:tcW w:w="2127" w:type="dxa"/>
          </w:tcPr>
          <w:p w14:paraId="6536B150"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lastRenderedPageBreak/>
              <w:t>http://www.dollaruk.com/</w:t>
            </w:r>
          </w:p>
        </w:tc>
      </w:tr>
      <w:tr w:rsidR="00765B62" w:rsidRPr="00765B62" w14:paraId="61C863D3" w14:textId="77777777" w:rsidTr="000F22CD">
        <w:tc>
          <w:tcPr>
            <w:cnfStyle w:val="001000000000" w:firstRow="0" w:lastRow="0" w:firstColumn="1" w:lastColumn="0" w:oddVBand="0" w:evenVBand="0" w:oddHBand="0" w:evenHBand="0" w:firstRowFirstColumn="0" w:firstRowLastColumn="0" w:lastRowFirstColumn="0" w:lastRowLastColumn="0"/>
            <w:tcW w:w="1668" w:type="dxa"/>
          </w:tcPr>
          <w:p w14:paraId="0F42F0CB" w14:textId="77777777" w:rsidR="00765B62" w:rsidRPr="00765B62" w:rsidRDefault="00765B62" w:rsidP="00765B62">
            <w:r w:rsidRPr="00765B62">
              <w:t>Cash Genie to provide £20 million redress</w:t>
            </w:r>
          </w:p>
          <w:p w14:paraId="161C5AEA" w14:textId="77777777" w:rsidR="00765B62" w:rsidRPr="00765B62" w:rsidRDefault="00765B62" w:rsidP="00765B62">
            <w:r w:rsidRPr="00765B62">
              <w:t>(FCA, 2015m)</w:t>
            </w:r>
          </w:p>
        </w:tc>
        <w:tc>
          <w:tcPr>
            <w:tcW w:w="5386" w:type="dxa"/>
          </w:tcPr>
          <w:p w14:paraId="58D87B34"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“We have been encouraged that Cash Genie has been working with us proactively and openly to put things right for its customers after these issues were reported.</w:t>
            </w:r>
          </w:p>
          <w:p w14:paraId="03FB5C93"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p>
          <w:p w14:paraId="5D1B2F58"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Although standards in the consumer credit sector are improving, it is disappointing that examples of poor practice in the payday market keep surfacing. We expect all firms to notify us of any unacceptable past or current practices and provide appropriate redress to anyone affected.”</w:t>
            </w:r>
          </w:p>
        </w:tc>
        <w:tc>
          <w:tcPr>
            <w:tcW w:w="4961" w:type="dxa"/>
          </w:tcPr>
          <w:p w14:paraId="76F428CB"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An entire section of the webpage is devoted to information on the redress, demonstrating transparency to customers.</w:t>
            </w:r>
          </w:p>
          <w:p w14:paraId="0FCDEE2F"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Company in liquidation and no longer trading. No other information on the public website regarding compliance/governance.</w:t>
            </w:r>
          </w:p>
        </w:tc>
        <w:tc>
          <w:tcPr>
            <w:tcW w:w="2127" w:type="dxa"/>
          </w:tcPr>
          <w:p w14:paraId="6A372D0E"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http://www.cashgeniecomms.co.uk/</w:t>
            </w:r>
          </w:p>
        </w:tc>
      </w:tr>
      <w:tr w:rsidR="00765B62" w:rsidRPr="00765B62" w14:paraId="7465A525" w14:textId="77777777" w:rsidTr="000F2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FAA8B83" w14:textId="77777777" w:rsidR="00765B62" w:rsidRPr="00765B62" w:rsidRDefault="00765B62" w:rsidP="00765B62">
            <w:r w:rsidRPr="00765B62">
              <w:t>Lloyds Banking Group fined £117m (PPI handling)</w:t>
            </w:r>
          </w:p>
          <w:p w14:paraId="2CB71614" w14:textId="77777777" w:rsidR="00765B62" w:rsidRPr="00765B62" w:rsidRDefault="00765B62" w:rsidP="00765B62">
            <w:r w:rsidRPr="00765B62">
              <w:t>FCA, 2015c)</w:t>
            </w:r>
          </w:p>
        </w:tc>
        <w:tc>
          <w:tcPr>
            <w:tcW w:w="5386" w:type="dxa"/>
          </w:tcPr>
          <w:p w14:paraId="06D6CFEA"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“Lloyds has made significant progress towards the fairer treatment of customers in its general complaint handling operation and has established an extensive remediation programme to re-review or automatically uphold approximately 1.2 million PPI complaints, including those within the relevant period. Lloyds has set aside a total of £710m to cover any redress due to affected customers. Customers do not need to take any action. Those affected and due redress are being contacted directly. The FCA has appointed an independent skilled person to oversee the remediation process.</w:t>
            </w:r>
          </w:p>
          <w:p w14:paraId="79F304E4"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 xml:space="preserve">Lloyds announced in February 2015 that it had decided to freeze the release of shares in respect of deferred bonus awards from 2012 and 2013 for all members of the Group Executive Committee and for some other senior </w:t>
            </w:r>
            <w:r w:rsidRPr="00765B62">
              <w:lastRenderedPageBreak/>
              <w:t>executives as a result of the FCA’s Enforcement investigation.”</w:t>
            </w:r>
          </w:p>
        </w:tc>
        <w:tc>
          <w:tcPr>
            <w:tcW w:w="4961" w:type="dxa"/>
          </w:tcPr>
          <w:p w14:paraId="7B0FAA91"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lastRenderedPageBreak/>
              <w:t>Nothing related to PPI issue found under press release area (despite FCA’s statement regarding Feb 2015 announcement.)</w:t>
            </w:r>
          </w:p>
          <w:p w14:paraId="230F73BD"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However, there is a dedicated section on updates on customer complaints (including PPI).</w:t>
            </w:r>
          </w:p>
          <w:p w14:paraId="22D7E544"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Dedicated information on corporate governance and role of boards.</w:t>
            </w:r>
          </w:p>
        </w:tc>
        <w:tc>
          <w:tcPr>
            <w:tcW w:w="2127" w:type="dxa"/>
          </w:tcPr>
          <w:p w14:paraId="4F831FBE"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http://www.lloydsbankinggroup.com/our-group/our-customers/complaints-jan---jun-2015/</w:t>
            </w:r>
          </w:p>
        </w:tc>
      </w:tr>
      <w:tr w:rsidR="00765B62" w:rsidRPr="00765B62" w14:paraId="5E49A92F" w14:textId="77777777" w:rsidTr="000F22CD">
        <w:tc>
          <w:tcPr>
            <w:cnfStyle w:val="001000000000" w:firstRow="0" w:lastRow="0" w:firstColumn="1" w:lastColumn="0" w:oddVBand="0" w:evenVBand="0" w:oddHBand="0" w:evenHBand="0" w:firstRowFirstColumn="0" w:firstRowLastColumn="0" w:lastRowFirstColumn="0" w:lastRowLastColumn="0"/>
            <w:tcW w:w="1668" w:type="dxa"/>
          </w:tcPr>
          <w:p w14:paraId="7A7D7692" w14:textId="77777777" w:rsidR="00765B62" w:rsidRPr="00765B62" w:rsidRDefault="00765B62" w:rsidP="00765B62">
            <w:r w:rsidRPr="00765B62">
              <w:t xml:space="preserve">Deutsche Bank fined £227 m (Libor and </w:t>
            </w:r>
            <w:proofErr w:type="spellStart"/>
            <w:r w:rsidRPr="00765B62">
              <w:t>Euribor</w:t>
            </w:r>
            <w:proofErr w:type="spellEnd"/>
            <w:r w:rsidRPr="00765B62">
              <w:t>)</w:t>
            </w:r>
          </w:p>
          <w:p w14:paraId="3A3AC23D" w14:textId="77777777" w:rsidR="00765B62" w:rsidRPr="00765B62" w:rsidRDefault="00765B62" w:rsidP="00765B62">
            <w:r w:rsidRPr="00765B62">
              <w:t>FCA, 2015e)</w:t>
            </w:r>
          </w:p>
        </w:tc>
        <w:tc>
          <w:tcPr>
            <w:tcW w:w="5386" w:type="dxa"/>
          </w:tcPr>
          <w:p w14:paraId="7B3A7A18"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 xml:space="preserve">“This case stands out for the seriousness and duration of the breaches by Deutsche Bank – something reflected in the size of today’s fine. One division at Deutsche Bank had a culture of generating profits without proper regard to the integrity of the market. This wasn’t limited to a few individuals but, on certain desks, it appeared deeply ingrained.” </w:t>
            </w:r>
          </w:p>
          <w:p w14:paraId="0D6AE60E"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“This misconduct involved at least 29 Deutsche Bank individuals including managers, traders and submitters, primarily based in London but also in Frankfurt, Tokyo and New York.”</w:t>
            </w:r>
          </w:p>
          <w:p w14:paraId="590859F6"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“This misconduct went unchecked because of Deutsche Bank’s inadequate systems and controls. Deutsche Bank did not have any systems and controls specific to IBOR and did not put them in place even after being put on notice that there was a risk of misconduct.”</w:t>
            </w:r>
          </w:p>
        </w:tc>
        <w:tc>
          <w:tcPr>
            <w:tcW w:w="4961" w:type="dxa"/>
          </w:tcPr>
          <w:p w14:paraId="30701905"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No press release found on UK site (however, this may be due to the structure of webpage and country level).</w:t>
            </w:r>
          </w:p>
          <w:p w14:paraId="577CA8CF"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Website search indicated 298 matches for compliance culture in the Deutsche Bank corporate web page.</w:t>
            </w:r>
          </w:p>
          <w:p w14:paraId="6464FECA"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Top match is the appointment of Global head of compliance in 2014 (prior to scandal)</w:t>
            </w:r>
          </w:p>
          <w:p w14:paraId="118F7350"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 xml:space="preserve">“We welcome Nadine </w:t>
            </w:r>
            <w:proofErr w:type="spellStart"/>
            <w:r w:rsidRPr="00765B62">
              <w:t>Faruque</w:t>
            </w:r>
            <w:proofErr w:type="spellEnd"/>
            <w:r w:rsidRPr="00765B62">
              <w:t xml:space="preserve"> to Deutsche Bank and look forward to working with her on our vital Compliance agenda. We place the highest value on maintaining strong controls that are based on the values of discipline and integrity. Nadine’s leadership will help to shape our Bank’s future.”</w:t>
            </w:r>
          </w:p>
          <w:p w14:paraId="47477511"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Values and principles specifically highlights compliance culture:</w:t>
            </w:r>
          </w:p>
          <w:p w14:paraId="1B62DF13"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“We place great value on a positive compliance culture: We expect our employees to conduct themselves responsibly, honestly and with integrity. Our code of conduct and ethics describes our values and our minimum requirements for ethical business conduct.”</w:t>
            </w:r>
          </w:p>
        </w:tc>
        <w:tc>
          <w:tcPr>
            <w:tcW w:w="2127" w:type="dxa"/>
          </w:tcPr>
          <w:p w14:paraId="3B14A3D6" w14:textId="77777777" w:rsidR="00765B62" w:rsidRPr="00765B62" w:rsidRDefault="007E1024" w:rsidP="00765B62">
            <w:pPr>
              <w:cnfStyle w:val="000000000000" w:firstRow="0" w:lastRow="0" w:firstColumn="0" w:lastColumn="0" w:oddVBand="0" w:evenVBand="0" w:oddHBand="0" w:evenHBand="0" w:firstRowFirstColumn="0" w:firstRowLastColumn="0" w:lastRowFirstColumn="0" w:lastRowLastColumn="0"/>
            </w:pPr>
            <w:hyperlink r:id="rId46" w:history="1">
              <w:r w:rsidR="00765B62" w:rsidRPr="00765B62">
                <w:rPr>
                  <w:color w:val="0000FF" w:themeColor="hyperlink"/>
                  <w:u w:val="single"/>
                </w:rPr>
                <w:t>https://www.db.com/unitedkingdom/</w:t>
              </w:r>
            </w:hyperlink>
          </w:p>
          <w:p w14:paraId="21DE0A9B"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https://www.db.com/cr/en/concrete-responsible-governance.htm?dbiquery=null%3Acompliance+culture</w:t>
            </w:r>
          </w:p>
        </w:tc>
      </w:tr>
      <w:tr w:rsidR="00765B62" w:rsidRPr="00765B62" w14:paraId="691DB7B4" w14:textId="77777777" w:rsidTr="000F2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AEC57D9" w14:textId="77777777" w:rsidR="00765B62" w:rsidRPr="00765B62" w:rsidRDefault="00765B62" w:rsidP="00765B62">
            <w:r w:rsidRPr="00765B62">
              <w:t>Merrill Lynch International (MLI) fined £13.2m</w:t>
            </w:r>
          </w:p>
          <w:p w14:paraId="67F30F9F" w14:textId="77777777" w:rsidR="00765B62" w:rsidRPr="00765B62" w:rsidRDefault="00765B62" w:rsidP="00765B62">
            <w:r w:rsidRPr="00765B62">
              <w:lastRenderedPageBreak/>
              <w:t>(FCA, 2015f)</w:t>
            </w:r>
          </w:p>
        </w:tc>
        <w:tc>
          <w:tcPr>
            <w:tcW w:w="5386" w:type="dxa"/>
          </w:tcPr>
          <w:p w14:paraId="72AB4743"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lastRenderedPageBreak/>
              <w:t xml:space="preserve">“The size of the fine – the highest imposed for transaction reporting failures to date - reflects the severity of MLI’s misconduct, failure to adequately address the root causes over several years despite </w:t>
            </w:r>
            <w:r w:rsidRPr="00765B62">
              <w:lastRenderedPageBreak/>
              <w:t>substantial FCA guidance to the industry and a poor history of transaction reporting compliance, consisting of a Private Warning issued in 2002 and a fine of £150,000 in 2006.”</w:t>
            </w:r>
          </w:p>
        </w:tc>
        <w:tc>
          <w:tcPr>
            <w:tcW w:w="4961" w:type="dxa"/>
          </w:tcPr>
          <w:p w14:paraId="2FD9C2E3"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lastRenderedPageBreak/>
              <w:t>No results found for press release on topic (via Bank of America pages/Merrill Lynch search). However, this may be as a result of the diluted structure of the webpage between countries.</w:t>
            </w:r>
          </w:p>
          <w:p w14:paraId="50164785"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lastRenderedPageBreak/>
              <w:t>No documents found under search for “compliance culture”. A search for “compliance” revealed 123 results, however, these appeared to relate to employee roles.</w:t>
            </w:r>
          </w:p>
          <w:p w14:paraId="01C296FB"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Difficult to find governance messages, as the Merrill Lynch page is devoted to selling services. Codes of Conducts accessed via Bank of America webpage.</w:t>
            </w:r>
          </w:p>
        </w:tc>
        <w:tc>
          <w:tcPr>
            <w:tcW w:w="2127" w:type="dxa"/>
          </w:tcPr>
          <w:p w14:paraId="2126D09C"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lastRenderedPageBreak/>
              <w:t>https://www.ml.com/</w:t>
            </w:r>
          </w:p>
        </w:tc>
      </w:tr>
      <w:tr w:rsidR="00765B62" w:rsidRPr="00765B62" w14:paraId="6FF58122" w14:textId="77777777" w:rsidTr="000F22CD">
        <w:tc>
          <w:tcPr>
            <w:cnfStyle w:val="001000000000" w:firstRow="0" w:lastRow="0" w:firstColumn="1" w:lastColumn="0" w:oddVBand="0" w:evenVBand="0" w:oddHBand="0" w:evenHBand="0" w:firstRowFirstColumn="0" w:firstRowLastColumn="0" w:lastRowFirstColumn="0" w:lastRowLastColumn="0"/>
            <w:tcW w:w="1668" w:type="dxa"/>
          </w:tcPr>
          <w:p w14:paraId="341D6CBA" w14:textId="77777777" w:rsidR="00765B62" w:rsidRPr="00765B62" w:rsidRDefault="00765B62" w:rsidP="00765B62">
            <w:r w:rsidRPr="00765B62">
              <w:t>Clydesdale Bank fined £20.6m</w:t>
            </w:r>
          </w:p>
          <w:p w14:paraId="67E0EA78" w14:textId="77777777" w:rsidR="00765B62" w:rsidRPr="00765B62" w:rsidRDefault="00765B62" w:rsidP="00765B62">
            <w:r w:rsidRPr="00765B62">
              <w:t>(FCA, 2015h)</w:t>
            </w:r>
          </w:p>
        </w:tc>
        <w:tc>
          <w:tcPr>
            <w:tcW w:w="5386" w:type="dxa"/>
          </w:tcPr>
          <w:p w14:paraId="3A8FE1B3"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"Clydesdale’s failings were unacceptable and fell well below the standard the FCA expects.  The fact that Clydesdale misled the Financial Ombudsman by providing false information about the information it held is particularly serious and this is reflected in the size of the fine.</w:t>
            </w:r>
          </w:p>
          <w:p w14:paraId="3CD25D47"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 xml:space="preserve">We have been very clear about how firms should treat customers who may have been </w:t>
            </w:r>
            <w:proofErr w:type="spellStart"/>
            <w:r w:rsidRPr="00765B62">
              <w:t>mis</w:t>
            </w:r>
            <w:proofErr w:type="spellEnd"/>
            <w:r w:rsidRPr="00765B62">
              <w:t>-sold PPI.  In ignoring documents it held which were relevant to its customers’ complaints, Clydesdale failed to treat its customers fairly."</w:t>
            </w:r>
          </w:p>
        </w:tc>
        <w:tc>
          <w:tcPr>
            <w:tcW w:w="4961" w:type="dxa"/>
          </w:tcPr>
          <w:p w14:paraId="6D51510B"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No press release to respond to the FCA press release.</w:t>
            </w:r>
          </w:p>
          <w:p w14:paraId="639F148C"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“Compliance culture” search directs to corporate responsibility pages including code of conduct.</w:t>
            </w:r>
          </w:p>
          <w:p w14:paraId="68E41AF2"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“our Enterprise Behaviours underpin the culture we aspire to create – with a workplace our employees are proud of and want to contribute to. How we achieve our goals is as important as the goal itself. This makes sure everyone is held accountable for demonstrating the right behaviours”</w:t>
            </w:r>
          </w:p>
        </w:tc>
        <w:tc>
          <w:tcPr>
            <w:tcW w:w="2127" w:type="dxa"/>
          </w:tcPr>
          <w:p w14:paraId="11EA98D3"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http://www.cybg.com/about-us/corporate-responsibility/</w:t>
            </w:r>
          </w:p>
        </w:tc>
      </w:tr>
      <w:tr w:rsidR="00765B62" w:rsidRPr="00765B62" w14:paraId="75D2BFCD" w14:textId="77777777" w:rsidTr="000F2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867F52E" w14:textId="77777777" w:rsidR="00765B62" w:rsidRPr="00765B62" w:rsidRDefault="00765B62" w:rsidP="00765B62">
            <w:r w:rsidRPr="00765B62">
              <w:t>The Bank of New York Mellon London branch and The Bank of New York Mellon International Limited £126 m</w:t>
            </w:r>
          </w:p>
          <w:p w14:paraId="0735BB0F" w14:textId="77777777" w:rsidR="00765B62" w:rsidRPr="00765B62" w:rsidRDefault="00765B62" w:rsidP="00765B62">
            <w:r w:rsidRPr="00765B62">
              <w:t>(FCA, 2015g)</w:t>
            </w:r>
          </w:p>
        </w:tc>
        <w:tc>
          <w:tcPr>
            <w:tcW w:w="5386" w:type="dxa"/>
          </w:tcPr>
          <w:p w14:paraId="3355DDA8"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“The size of the fine today reflects the value of safe custody assets held by the Firms as well as the seriousness of the failings and the fact that these failings were not identified by the Firms’ own compliance monitoring. Other firms with responsibility for client assets should take this as a further warning that there is no excuse for failing to safeguard client assets and to ensure their own processes comply with our rules.</w:t>
            </w:r>
          </w:p>
          <w:p w14:paraId="00253A25"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p>
          <w:p w14:paraId="2F345530"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lastRenderedPageBreak/>
              <w:t>Client assets protection continues to be a priority for the FCA and firms who hold client assets should review their processes in line with these findings to ensure full compliance with the Custody Rules.”</w:t>
            </w:r>
          </w:p>
        </w:tc>
        <w:tc>
          <w:tcPr>
            <w:tcW w:w="4961" w:type="dxa"/>
          </w:tcPr>
          <w:p w14:paraId="05B4F1AD"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lastRenderedPageBreak/>
              <w:t>Press release:</w:t>
            </w:r>
          </w:p>
          <w:p w14:paraId="09A8368B"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"BNY Mellon has worked cooperatively with the FCA to address issues related to our CASS compliance”</w:t>
            </w:r>
          </w:p>
          <w:p w14:paraId="15412AEC"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 xml:space="preserve">"Consistent with our commitment to being a strong and trusted partner to our clients, BNY Mellon launched a broad internal review with the assistance of an independent, third-party accounting firm and external legal advisers immediately upon learning of these issues. As a result, we have engaged in a remediation process and have taken clear steps to </w:t>
            </w:r>
            <w:r w:rsidRPr="00765B62">
              <w:lastRenderedPageBreak/>
              <w:t>put in place a framework of new and improved policies and operational procedures as well as enhance our specialist resources across many functions to reinforce our compliance with CASS rules.”</w:t>
            </w:r>
          </w:p>
          <w:p w14:paraId="00184A99"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"BNY Mellon is very mindful of the importance of safeguarding client assets and has been trusted by its clients to do so for 230 years. This trust could not have been earned without robust regulatory compliance in all of our operating jurisdictions, and we regret in this case that we did not meet our standards or those of the FCA. As always, regulatory compliance remains a key area of focus as we maintain our track record of safety and soundness as a financial institution."</w:t>
            </w:r>
          </w:p>
          <w:p w14:paraId="3EF27F29"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Search on “compliance culture” and “compliance” indicated no matches. However statement on Ethics and Compliance found which linked into the code of conduct.</w:t>
            </w:r>
          </w:p>
          <w:p w14:paraId="78052ED8"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p>
        </w:tc>
        <w:tc>
          <w:tcPr>
            <w:tcW w:w="2127" w:type="dxa"/>
          </w:tcPr>
          <w:p w14:paraId="79E311F8" w14:textId="77777777" w:rsidR="00765B62" w:rsidRPr="00765B62" w:rsidRDefault="007E1024" w:rsidP="00765B62">
            <w:pPr>
              <w:cnfStyle w:val="000000100000" w:firstRow="0" w:lastRow="0" w:firstColumn="0" w:lastColumn="0" w:oddVBand="0" w:evenVBand="0" w:oddHBand="1" w:evenHBand="0" w:firstRowFirstColumn="0" w:firstRowLastColumn="0" w:lastRowFirstColumn="0" w:lastRowLastColumn="0"/>
            </w:pPr>
            <w:hyperlink r:id="rId47" w:history="1">
              <w:r w:rsidR="00765B62" w:rsidRPr="00765B62">
                <w:rPr>
                  <w:color w:val="0000FF" w:themeColor="hyperlink"/>
                  <w:u w:val="single"/>
                </w:rPr>
                <w:t>https://www.bnymellon.com/uk/en/</w:t>
              </w:r>
            </w:hyperlink>
          </w:p>
          <w:p w14:paraId="173560E4"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https://www.bnymellon.com/us/en/who-we-are/social-responsibility/ethics-and-compliance.jsp</w:t>
            </w:r>
          </w:p>
        </w:tc>
      </w:tr>
      <w:tr w:rsidR="00765B62" w:rsidRPr="00765B62" w14:paraId="0028E41F" w14:textId="77777777" w:rsidTr="000F22CD">
        <w:tc>
          <w:tcPr>
            <w:cnfStyle w:val="001000000000" w:firstRow="0" w:lastRow="0" w:firstColumn="1" w:lastColumn="0" w:oddVBand="0" w:evenVBand="0" w:oddHBand="0" w:evenHBand="0" w:firstRowFirstColumn="0" w:firstRowLastColumn="0" w:lastRowFirstColumn="0" w:lastRowLastColumn="0"/>
            <w:tcW w:w="1668" w:type="dxa"/>
          </w:tcPr>
          <w:p w14:paraId="3115056C" w14:textId="77777777" w:rsidR="00765B62" w:rsidRPr="00765B62" w:rsidRDefault="00765B62" w:rsidP="00765B62">
            <w:r w:rsidRPr="00765B62">
              <w:t>Bank of Beirut fined £2.1m</w:t>
            </w:r>
          </w:p>
          <w:p w14:paraId="0E7DD415" w14:textId="77777777" w:rsidR="00765B62" w:rsidRPr="00765B62" w:rsidRDefault="00765B62" w:rsidP="00765B62">
            <w:r w:rsidRPr="00765B62">
              <w:t>(FCA, 2015i)</w:t>
            </w:r>
          </w:p>
        </w:tc>
        <w:tc>
          <w:tcPr>
            <w:tcW w:w="5386" w:type="dxa"/>
          </w:tcPr>
          <w:p w14:paraId="0C3DE6EC" w14:textId="77777777" w:rsidR="00765B62" w:rsidRPr="00765B62" w:rsidRDefault="00765B62" w:rsidP="00765B6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val="en"/>
              </w:rPr>
            </w:pPr>
            <w:r w:rsidRPr="00765B62">
              <w:rPr>
                <w:rFonts w:eastAsia="Times New Roman" w:cstheme="minorHAnsi"/>
                <w:lang w:val="en"/>
              </w:rPr>
              <w:t xml:space="preserve">“It is essential to consumer protection, market integrity and the prevention of financial crime that we can rely on firms giving us the right information at the right time.  Bank of Beirut’s failings impeded us and left it open to the risk that it might be used for financial crime. Equally worrying was the fact that Wills and </w:t>
            </w:r>
            <w:proofErr w:type="spellStart"/>
            <w:r w:rsidRPr="00765B62">
              <w:rPr>
                <w:rFonts w:eastAsia="Times New Roman" w:cstheme="minorHAnsi"/>
                <w:lang w:val="en"/>
              </w:rPr>
              <w:t>Allin</w:t>
            </w:r>
            <w:proofErr w:type="spellEnd"/>
            <w:r w:rsidRPr="00765B62">
              <w:rPr>
                <w:rFonts w:eastAsia="Times New Roman" w:cstheme="minorHAnsi"/>
                <w:lang w:val="en"/>
              </w:rPr>
              <w:t xml:space="preserve"> provided a number of misleading communications to us, which is a serious breach of their responsibilities as approved </w:t>
            </w:r>
            <w:r w:rsidRPr="00765B62">
              <w:rPr>
                <w:rFonts w:eastAsia="Times New Roman" w:cstheme="minorHAnsi"/>
                <w:lang w:val="en"/>
              </w:rPr>
              <w:lastRenderedPageBreak/>
              <w:t>persons. We are reliant on compliance officers and internal audit to act as an important line of</w:t>
            </w:r>
            <w:r w:rsidRPr="00765B62">
              <w:rPr>
                <w:rFonts w:eastAsia="Times New Roman" w:cstheme="minorHAnsi"/>
              </w:rPr>
              <w:t xml:space="preserve"> defence</w:t>
            </w:r>
            <w:r w:rsidRPr="00765B62">
              <w:rPr>
                <w:rFonts w:eastAsia="Times New Roman" w:cstheme="minorHAnsi"/>
                <w:lang w:val="en"/>
              </w:rPr>
              <w:t>, to support effective regulation at firms and to show backbone even when challenged by their colleagues. Concerns about the culture within Bank of Beirut became apparent following supervisory visits to the firm in 2010 and 2011.”</w:t>
            </w:r>
          </w:p>
        </w:tc>
        <w:tc>
          <w:tcPr>
            <w:tcW w:w="4961" w:type="dxa"/>
          </w:tcPr>
          <w:p w14:paraId="3DD0B58A"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lastRenderedPageBreak/>
              <w:t>No press site found on the UK site.</w:t>
            </w:r>
          </w:p>
          <w:p w14:paraId="0AD145C1"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Dedicated page for compliance setting out major responsibilities:</w:t>
            </w:r>
          </w:p>
          <w:p w14:paraId="196DAFB1"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t>“Bank of Beirut (UK) Ltd has an independent compliance function to ensure that the bank complies with all relevant laws, regulations, rules, internal policies and procedures applicable to its banking activities.”</w:t>
            </w:r>
          </w:p>
          <w:p w14:paraId="1FF9E415"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p>
        </w:tc>
        <w:tc>
          <w:tcPr>
            <w:tcW w:w="2127" w:type="dxa"/>
          </w:tcPr>
          <w:p w14:paraId="50AFB7BE"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pPr>
            <w:r w:rsidRPr="00765B62">
              <w:lastRenderedPageBreak/>
              <w:t>http://www.bankofbeirut.co.uk/BOBUK/en/Compliance</w:t>
            </w:r>
          </w:p>
        </w:tc>
      </w:tr>
      <w:tr w:rsidR="00765B62" w:rsidRPr="00765B62" w14:paraId="7F3DC8A0" w14:textId="77777777" w:rsidTr="000F2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BC4228C" w14:textId="77777777" w:rsidR="00765B62" w:rsidRPr="00765B62" w:rsidRDefault="00765B62" w:rsidP="00765B62">
            <w:r w:rsidRPr="00765B62">
              <w:t>Aviva Investors fined £17.6m</w:t>
            </w:r>
          </w:p>
          <w:p w14:paraId="6E6E31EB" w14:textId="77777777" w:rsidR="00765B62" w:rsidRPr="00765B62" w:rsidRDefault="00765B62" w:rsidP="00765B62">
            <w:r w:rsidRPr="00765B62">
              <w:t>(FCA, 2015j)</w:t>
            </w:r>
          </w:p>
        </w:tc>
        <w:tc>
          <w:tcPr>
            <w:tcW w:w="5386" w:type="dxa"/>
          </w:tcPr>
          <w:p w14:paraId="147E0387"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 xml:space="preserve">“Ensuring that conflicts of interest are properly managed is central to the relationship of trust that must exist between asset managers and their customers. It is also a fundamental regulatory requirement. This case serves as an important reminder to firms of the importance of managing conflicts of interest effectively by implementing a robust control environment with effective systems to manage the risks.  Not doing so risks customers’ interests being overlooked in favour of commercial or personal interests. </w:t>
            </w:r>
          </w:p>
          <w:p w14:paraId="415A0EF6"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While Aviva Investors’ failings were serious, the FCA has recognised that its actions since reporting its failings were exceptional. The level of co-operation during the investigation and commitment to ensuring no customers were adversely impacted meant it qualified for a substantial reduction in the penalty.”</w:t>
            </w:r>
          </w:p>
        </w:tc>
        <w:tc>
          <w:tcPr>
            <w:tcW w:w="4961" w:type="dxa"/>
          </w:tcPr>
          <w:p w14:paraId="36FCC0B2"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Press release:</w:t>
            </w:r>
          </w:p>
          <w:p w14:paraId="19793187"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“We fully accept the conclusions of this investigation. We have fixed the issues, improved our systems and controls, and ensured no customers have been disadvantaged. We have also made substantial changes to the management team which is leading the turnaround of Aviva Investors.</w:t>
            </w:r>
          </w:p>
          <w:p w14:paraId="596DB8BF"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p>
          <w:p w14:paraId="615553C6"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“We have a clear focus on simple and specific investment outcomes for clients and we are delivering strong levels of investment performance within a robust control environment.”</w:t>
            </w:r>
          </w:p>
          <w:p w14:paraId="217BAB59"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No results found when searching under “compliance culture”, or “compliance”. In addition it was difficult to find out any information on corporate governance other than the senior management structure.</w:t>
            </w:r>
          </w:p>
        </w:tc>
        <w:tc>
          <w:tcPr>
            <w:tcW w:w="2127" w:type="dxa"/>
          </w:tcPr>
          <w:p w14:paraId="206935B3"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pPr>
            <w:r w:rsidRPr="00765B62">
              <w:t>https://uk.avivainvestors.com/content/aviva/aviva-investors.html</w:t>
            </w:r>
          </w:p>
        </w:tc>
      </w:tr>
    </w:tbl>
    <w:p w14:paraId="00468F99" w14:textId="77777777" w:rsidR="00765B62" w:rsidRPr="00765B62" w:rsidRDefault="00765B62" w:rsidP="00765B62">
      <w:pPr>
        <w:rPr>
          <w:rFonts w:asciiTheme="majorHAnsi" w:eastAsiaTheme="majorEastAsia" w:hAnsiTheme="majorHAnsi" w:cstheme="majorBidi"/>
          <w:b/>
          <w:bCs/>
          <w:color w:val="4F81BD" w:themeColor="accent1"/>
          <w:sz w:val="26"/>
          <w:szCs w:val="26"/>
        </w:rPr>
        <w:sectPr w:rsidR="00765B62" w:rsidRPr="00765B62" w:rsidSect="007E1024">
          <w:footerReference w:type="default" r:id="rId48"/>
          <w:pgSz w:w="16838" w:h="11906" w:orient="landscape" w:code="9"/>
          <w:pgMar w:top="1440" w:right="1440" w:bottom="1440" w:left="1440" w:header="709" w:footer="709" w:gutter="0"/>
          <w:cols w:space="708"/>
          <w:docGrid w:linePitch="360"/>
        </w:sectPr>
      </w:pPr>
    </w:p>
    <w:p w14:paraId="2DFFA298" w14:textId="77777777" w:rsidR="00765B62" w:rsidRPr="00765B62" w:rsidRDefault="00765B62" w:rsidP="00765B62">
      <w:pPr>
        <w:keepNext/>
        <w:keepLines/>
        <w:spacing w:before="200" w:after="0"/>
        <w:outlineLvl w:val="1"/>
        <w:rPr>
          <w:rFonts w:asciiTheme="majorHAnsi" w:eastAsiaTheme="majorEastAsia" w:hAnsiTheme="majorHAnsi" w:cstheme="majorBidi"/>
          <w:b/>
          <w:bCs/>
          <w:color w:val="4F81BD" w:themeColor="accent1"/>
          <w:sz w:val="26"/>
          <w:szCs w:val="26"/>
        </w:rPr>
      </w:pPr>
      <w:r w:rsidRPr="00765B62">
        <w:rPr>
          <w:rFonts w:asciiTheme="majorHAnsi" w:eastAsiaTheme="majorEastAsia" w:hAnsiTheme="majorHAnsi" w:cstheme="majorBidi"/>
          <w:b/>
          <w:bCs/>
          <w:color w:val="4F81BD" w:themeColor="accent1"/>
          <w:sz w:val="26"/>
          <w:szCs w:val="26"/>
        </w:rPr>
        <w:lastRenderedPageBreak/>
        <w:t>Appendix 3 Analysis of Positive ‘Compliance Culture’ highlighted by FCA during period</w:t>
      </w:r>
    </w:p>
    <w:tbl>
      <w:tblPr>
        <w:tblStyle w:val="LightShading-Accent41"/>
        <w:tblW w:w="0" w:type="auto"/>
        <w:tblLayout w:type="fixed"/>
        <w:tblLook w:val="04A0" w:firstRow="1" w:lastRow="0" w:firstColumn="1" w:lastColumn="0" w:noHBand="0" w:noVBand="1"/>
      </w:tblPr>
      <w:tblGrid>
        <w:gridCol w:w="4928"/>
        <w:gridCol w:w="8505"/>
      </w:tblGrid>
      <w:tr w:rsidR="00765B62" w:rsidRPr="00765B62" w14:paraId="26308667" w14:textId="77777777" w:rsidTr="000F2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30D7C09" w14:textId="77777777" w:rsidR="00765B62" w:rsidRPr="00765B62" w:rsidRDefault="00765B62" w:rsidP="00765B62">
            <w:pPr>
              <w:rPr>
                <w:color w:val="403152" w:themeColor="accent4" w:themeShade="80"/>
              </w:rPr>
            </w:pPr>
            <w:r w:rsidRPr="00765B62">
              <w:rPr>
                <w:color w:val="403152" w:themeColor="accent4" w:themeShade="80"/>
              </w:rPr>
              <w:t>FCA Communication</w:t>
            </w:r>
          </w:p>
        </w:tc>
        <w:tc>
          <w:tcPr>
            <w:tcW w:w="8505" w:type="dxa"/>
          </w:tcPr>
          <w:p w14:paraId="775C2CD3" w14:textId="77777777" w:rsidR="00765B62" w:rsidRPr="00765B62" w:rsidRDefault="00765B62" w:rsidP="00765B62">
            <w:pPr>
              <w:cnfStyle w:val="100000000000" w:firstRow="1" w:lastRow="0" w:firstColumn="0" w:lastColumn="0" w:oddVBand="0" w:evenVBand="0" w:oddHBand="0" w:evenHBand="0" w:firstRowFirstColumn="0" w:firstRowLastColumn="0" w:lastRowFirstColumn="0" w:lastRowLastColumn="0"/>
              <w:rPr>
                <w:color w:val="403152" w:themeColor="accent4" w:themeShade="80"/>
              </w:rPr>
            </w:pPr>
            <w:r w:rsidRPr="00765B62">
              <w:rPr>
                <w:color w:val="403152" w:themeColor="accent4" w:themeShade="80"/>
              </w:rPr>
              <w:t>What the FCA said</w:t>
            </w:r>
          </w:p>
        </w:tc>
      </w:tr>
      <w:tr w:rsidR="00765B62" w:rsidRPr="00765B62" w14:paraId="15C62D67" w14:textId="77777777" w:rsidTr="000F2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2EA0D8B0" w14:textId="77777777" w:rsidR="00765B62" w:rsidRPr="00765B62" w:rsidRDefault="00765B62" w:rsidP="00765B62">
            <w:pPr>
              <w:rPr>
                <w:b w:val="0"/>
                <w:color w:val="403152" w:themeColor="accent4" w:themeShade="80"/>
              </w:rPr>
            </w:pPr>
            <w:r w:rsidRPr="00765B62">
              <w:rPr>
                <w:b w:val="0"/>
                <w:color w:val="403152" w:themeColor="accent4" w:themeShade="80"/>
              </w:rPr>
              <w:t>“culture is not measureable but is manageable” (FCA, 2016 b)</w:t>
            </w:r>
          </w:p>
          <w:p w14:paraId="6BA5A569" w14:textId="77777777" w:rsidR="00765B62" w:rsidRPr="00765B62" w:rsidRDefault="00765B62" w:rsidP="00765B62">
            <w:pPr>
              <w:rPr>
                <w:b w:val="0"/>
                <w:color w:val="403152" w:themeColor="accent4" w:themeShade="80"/>
              </w:rPr>
            </w:pPr>
          </w:p>
          <w:p w14:paraId="4CC7A64E" w14:textId="77777777" w:rsidR="00765B62" w:rsidRPr="00765B62" w:rsidRDefault="00765B62" w:rsidP="00765B62">
            <w:pPr>
              <w:rPr>
                <w:b w:val="0"/>
                <w:color w:val="403152" w:themeColor="accent4" w:themeShade="80"/>
              </w:rPr>
            </w:pPr>
            <w:r w:rsidRPr="00765B62">
              <w:rPr>
                <w:b w:val="0"/>
                <w:color w:val="403152" w:themeColor="accent4" w:themeShade="80"/>
              </w:rPr>
              <w:t>https://www.fca.org.uk/news/speeches/culture-conduct-extending-accountability-regime</w:t>
            </w:r>
          </w:p>
        </w:tc>
        <w:tc>
          <w:tcPr>
            <w:tcW w:w="8505" w:type="dxa"/>
          </w:tcPr>
          <w:p w14:paraId="2243CD3D"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403152" w:themeColor="accent4" w:themeShade="80"/>
              </w:rPr>
            </w:pPr>
            <w:r w:rsidRPr="00765B62">
              <w:rPr>
                <w:color w:val="403152" w:themeColor="accent4" w:themeShade="80"/>
              </w:rPr>
              <w:t>A number of levers were highlighted to manage culture including:</w:t>
            </w:r>
          </w:p>
          <w:p w14:paraId="1E255AE7"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403152" w:themeColor="accent4" w:themeShade="80"/>
              </w:rPr>
            </w:pPr>
            <w:r w:rsidRPr="00765B62">
              <w:rPr>
                <w:color w:val="403152" w:themeColor="accent4" w:themeShade="80"/>
              </w:rPr>
              <w:t>“communicated sense of purpose and approach […] the what and the how”</w:t>
            </w:r>
          </w:p>
          <w:p w14:paraId="1A1D1D2C"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403152" w:themeColor="accent4" w:themeShade="80"/>
              </w:rPr>
            </w:pPr>
            <w:r w:rsidRPr="00765B62">
              <w:rPr>
                <w:color w:val="403152" w:themeColor="accent4" w:themeShade="80"/>
              </w:rPr>
              <w:t>“tone from the top”</w:t>
            </w:r>
          </w:p>
          <w:p w14:paraId="69F4DEDF"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403152" w:themeColor="accent4" w:themeShade="80"/>
              </w:rPr>
            </w:pPr>
            <w:r w:rsidRPr="00765B62">
              <w:rPr>
                <w:color w:val="403152" w:themeColor="accent4" w:themeShade="80"/>
              </w:rPr>
              <w:t>“formal governance processes and structures”</w:t>
            </w:r>
          </w:p>
          <w:p w14:paraId="7217128F"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403152" w:themeColor="accent4" w:themeShade="80"/>
              </w:rPr>
            </w:pPr>
            <w:r w:rsidRPr="00765B62">
              <w:rPr>
                <w:color w:val="403152" w:themeColor="accent4" w:themeShade="80"/>
              </w:rPr>
              <w:t>“people related practices, including incentives and capabilities”</w:t>
            </w:r>
          </w:p>
          <w:p w14:paraId="7A2FFA52"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403152" w:themeColor="accent4" w:themeShade="80"/>
              </w:rPr>
            </w:pPr>
            <w:r w:rsidRPr="00765B62">
              <w:rPr>
                <w:color w:val="403152" w:themeColor="accent4" w:themeShade="80"/>
              </w:rPr>
              <w:t>“an ethical culture can be more powerful than on based solely on financial incentives”</w:t>
            </w:r>
          </w:p>
          <w:p w14:paraId="1DA31E17"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403152" w:themeColor="accent4" w:themeShade="80"/>
              </w:rPr>
            </w:pPr>
          </w:p>
        </w:tc>
      </w:tr>
      <w:tr w:rsidR="00765B62" w:rsidRPr="00765B62" w14:paraId="64C32DC3" w14:textId="77777777" w:rsidTr="000F22CD">
        <w:tc>
          <w:tcPr>
            <w:cnfStyle w:val="001000000000" w:firstRow="0" w:lastRow="0" w:firstColumn="1" w:lastColumn="0" w:oddVBand="0" w:evenVBand="0" w:oddHBand="0" w:evenHBand="0" w:firstRowFirstColumn="0" w:firstRowLastColumn="0" w:lastRowFirstColumn="0" w:lastRowLastColumn="0"/>
            <w:tcW w:w="4928" w:type="dxa"/>
          </w:tcPr>
          <w:p w14:paraId="6EC8821C" w14:textId="77777777" w:rsidR="00765B62" w:rsidRPr="00765B62" w:rsidRDefault="00765B62" w:rsidP="00765B62">
            <w:pPr>
              <w:rPr>
                <w:b w:val="0"/>
                <w:color w:val="403152" w:themeColor="accent4" w:themeShade="80"/>
              </w:rPr>
            </w:pPr>
            <w:r w:rsidRPr="00765B62">
              <w:rPr>
                <w:b w:val="0"/>
                <w:color w:val="403152" w:themeColor="accent4" w:themeShade="80"/>
              </w:rPr>
              <w:t>“cultural change can take a significant period of time to achieve” (FCA, 2014d)</w:t>
            </w:r>
          </w:p>
          <w:p w14:paraId="1D346722" w14:textId="77777777" w:rsidR="00765B62" w:rsidRPr="00765B62" w:rsidRDefault="00765B62" w:rsidP="00765B62">
            <w:pPr>
              <w:rPr>
                <w:b w:val="0"/>
                <w:color w:val="403152" w:themeColor="accent4" w:themeShade="80"/>
              </w:rPr>
            </w:pPr>
          </w:p>
          <w:p w14:paraId="7E6539AC" w14:textId="77777777" w:rsidR="00765B62" w:rsidRPr="00765B62" w:rsidRDefault="00765B62" w:rsidP="00765B62">
            <w:pPr>
              <w:rPr>
                <w:b w:val="0"/>
                <w:color w:val="403152" w:themeColor="accent4" w:themeShade="80"/>
              </w:rPr>
            </w:pPr>
            <w:r w:rsidRPr="00765B62">
              <w:rPr>
                <w:b w:val="0"/>
                <w:color w:val="403152" w:themeColor="accent4" w:themeShade="80"/>
              </w:rPr>
              <w:t>https://www.fca.org.uk/news/speeches/best-british-conference</w:t>
            </w:r>
          </w:p>
        </w:tc>
        <w:tc>
          <w:tcPr>
            <w:tcW w:w="8505" w:type="dxa"/>
          </w:tcPr>
          <w:p w14:paraId="0C626FC7"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403152" w:themeColor="accent4" w:themeShade="80"/>
              </w:rPr>
            </w:pPr>
            <w:r w:rsidRPr="00765B62">
              <w:rPr>
                <w:color w:val="403152" w:themeColor="accent4" w:themeShade="80"/>
              </w:rPr>
              <w:t>The speech praises a number of initiatives within the sector promoting trust, fairness and integrity.</w:t>
            </w:r>
          </w:p>
          <w:p w14:paraId="3766D52C"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403152" w:themeColor="accent4" w:themeShade="80"/>
              </w:rPr>
            </w:pPr>
          </w:p>
          <w:p w14:paraId="7F0CD571"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403152" w:themeColor="accent4" w:themeShade="80"/>
              </w:rPr>
            </w:pPr>
            <w:r w:rsidRPr="00765B62">
              <w:rPr>
                <w:color w:val="403152" w:themeColor="accent4" w:themeShade="80"/>
              </w:rPr>
              <w:t>“142 year old Cooperative Bank kicked off its advertising campaign in the ‘fight back for trust’”</w:t>
            </w:r>
          </w:p>
          <w:p w14:paraId="2A6555CD"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403152" w:themeColor="accent4" w:themeShade="80"/>
              </w:rPr>
            </w:pPr>
            <w:r w:rsidRPr="00765B62">
              <w:rPr>
                <w:color w:val="403152" w:themeColor="accent4" w:themeShade="80"/>
              </w:rPr>
              <w:t>“Nationwide’s campaign uses the tagline ‘they say money goes round we think it’s people’”</w:t>
            </w:r>
          </w:p>
          <w:p w14:paraId="0C9955CB"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403152" w:themeColor="accent4" w:themeShade="80"/>
              </w:rPr>
            </w:pPr>
            <w:r w:rsidRPr="00765B62">
              <w:rPr>
                <w:color w:val="403152" w:themeColor="accent4" w:themeShade="80"/>
              </w:rPr>
              <w:t>Quoting CEO of RBS “’in banking trust is not a nice to have – it is a commercial essential”</w:t>
            </w:r>
          </w:p>
          <w:p w14:paraId="717D08B0"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403152" w:themeColor="accent4" w:themeShade="80"/>
              </w:rPr>
            </w:pPr>
          </w:p>
        </w:tc>
      </w:tr>
      <w:tr w:rsidR="00765B62" w:rsidRPr="00765B62" w14:paraId="359D06A3" w14:textId="77777777" w:rsidTr="000F2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2EBF8C59" w14:textId="77777777" w:rsidR="00765B62" w:rsidRPr="00765B62" w:rsidRDefault="00765B62" w:rsidP="00765B62">
            <w:pPr>
              <w:rPr>
                <w:b w:val="0"/>
                <w:color w:val="403152" w:themeColor="accent4" w:themeShade="80"/>
              </w:rPr>
            </w:pPr>
            <w:r w:rsidRPr="00765B62">
              <w:rPr>
                <w:b w:val="0"/>
                <w:color w:val="403152" w:themeColor="accent4" w:themeShade="80"/>
              </w:rPr>
              <w:t>Behaviours and Compliance in Organisations (FCA, 2017)</w:t>
            </w:r>
          </w:p>
          <w:p w14:paraId="05780B80" w14:textId="77777777" w:rsidR="00765B62" w:rsidRPr="00765B62" w:rsidRDefault="00765B62" w:rsidP="00765B62">
            <w:pPr>
              <w:rPr>
                <w:b w:val="0"/>
                <w:color w:val="403152" w:themeColor="accent4" w:themeShade="80"/>
              </w:rPr>
            </w:pPr>
            <w:r w:rsidRPr="00765B62">
              <w:rPr>
                <w:b w:val="0"/>
                <w:color w:val="403152" w:themeColor="accent4" w:themeShade="80"/>
              </w:rPr>
              <w:t>https://www.fca.org.uk/publication/occasional-papers/op16-24.pdf</w:t>
            </w:r>
          </w:p>
        </w:tc>
        <w:tc>
          <w:tcPr>
            <w:tcW w:w="8505" w:type="dxa"/>
          </w:tcPr>
          <w:p w14:paraId="695DE6D1"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403152" w:themeColor="accent4" w:themeShade="80"/>
              </w:rPr>
            </w:pPr>
            <w:r w:rsidRPr="00765B62">
              <w:rPr>
                <w:color w:val="403152" w:themeColor="accent4" w:themeShade="80"/>
              </w:rPr>
              <w:t>“regulators can also influence perceptions of the prevailing culture by identifying and publicising examples of good behaviour” p. 36</w:t>
            </w:r>
          </w:p>
          <w:p w14:paraId="526CDE67"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403152" w:themeColor="accent4" w:themeShade="80"/>
              </w:rPr>
            </w:pPr>
            <w:r w:rsidRPr="00765B62">
              <w:rPr>
                <w:color w:val="403152" w:themeColor="accent4" w:themeShade="80"/>
              </w:rPr>
              <w:t>“the FCA publicises good behaviour when it undertakes thematic reviews” p. 36</w:t>
            </w:r>
          </w:p>
        </w:tc>
      </w:tr>
    </w:tbl>
    <w:p w14:paraId="6414604C" w14:textId="77777777" w:rsidR="00765B62" w:rsidRPr="00765B62" w:rsidRDefault="00765B62" w:rsidP="00765B62"/>
    <w:p w14:paraId="75836E26" w14:textId="77777777" w:rsidR="00765B62" w:rsidRDefault="00765B62" w:rsidP="00765B62">
      <w:pPr>
        <w:keepNext/>
        <w:keepLines/>
        <w:spacing w:before="200" w:after="0"/>
        <w:outlineLvl w:val="1"/>
        <w:rPr>
          <w:rFonts w:asciiTheme="majorHAnsi" w:eastAsiaTheme="majorEastAsia" w:hAnsiTheme="majorHAnsi" w:cstheme="majorBidi"/>
          <w:b/>
          <w:bCs/>
          <w:color w:val="4F81BD" w:themeColor="accent1"/>
          <w:sz w:val="26"/>
          <w:szCs w:val="26"/>
        </w:rPr>
      </w:pPr>
    </w:p>
    <w:p w14:paraId="3D61F6BA" w14:textId="77777777" w:rsidR="00765B62" w:rsidRDefault="00765B62" w:rsidP="00765B62">
      <w:pPr>
        <w:keepNext/>
        <w:keepLines/>
        <w:spacing w:before="200" w:after="0"/>
        <w:outlineLvl w:val="1"/>
        <w:rPr>
          <w:rFonts w:asciiTheme="majorHAnsi" w:eastAsiaTheme="majorEastAsia" w:hAnsiTheme="majorHAnsi" w:cstheme="majorBidi"/>
          <w:b/>
          <w:bCs/>
          <w:color w:val="4F81BD" w:themeColor="accent1"/>
          <w:sz w:val="26"/>
          <w:szCs w:val="26"/>
        </w:rPr>
      </w:pPr>
    </w:p>
    <w:p w14:paraId="7CBF2F94" w14:textId="2922F6C7" w:rsidR="00765B62" w:rsidRPr="00765B62" w:rsidRDefault="00765B62" w:rsidP="00765B62">
      <w:pPr>
        <w:keepNext/>
        <w:keepLines/>
        <w:spacing w:before="200" w:after="0"/>
        <w:outlineLvl w:val="1"/>
        <w:rPr>
          <w:rFonts w:asciiTheme="majorHAnsi" w:eastAsiaTheme="majorEastAsia" w:hAnsiTheme="majorHAnsi" w:cstheme="majorBidi"/>
          <w:b/>
          <w:bCs/>
          <w:color w:val="4F81BD" w:themeColor="accent1"/>
          <w:sz w:val="26"/>
          <w:szCs w:val="26"/>
        </w:rPr>
      </w:pPr>
      <w:r w:rsidRPr="00765B62">
        <w:rPr>
          <w:rFonts w:asciiTheme="majorHAnsi" w:eastAsiaTheme="majorEastAsia" w:hAnsiTheme="majorHAnsi" w:cstheme="majorBidi"/>
          <w:b/>
          <w:bCs/>
          <w:color w:val="4F81BD" w:themeColor="accent1"/>
          <w:sz w:val="26"/>
          <w:szCs w:val="26"/>
        </w:rPr>
        <w:t>Appendix 4 Analysis of retail banks who were not sanctioned/or praised during the period</w:t>
      </w:r>
    </w:p>
    <w:p w14:paraId="4D913727" w14:textId="77777777" w:rsidR="00765B62" w:rsidRPr="00765B62" w:rsidRDefault="00765B62" w:rsidP="00765B62">
      <w:pPr>
        <w:keepNext/>
        <w:keepLines/>
        <w:spacing w:before="200" w:after="0"/>
        <w:outlineLvl w:val="1"/>
        <w:rPr>
          <w:rFonts w:eastAsiaTheme="majorEastAsia" w:cstheme="minorHAnsi"/>
          <w:bCs/>
        </w:rPr>
      </w:pPr>
      <w:r w:rsidRPr="00765B62">
        <w:rPr>
          <w:rFonts w:eastAsiaTheme="majorEastAsia" w:cstheme="minorHAnsi"/>
          <w:bCs/>
        </w:rPr>
        <w:t>During the ‘Best of British’ speech by Tracey McDermott (FCA 2014d), these organisations were included as exemplars of good ‘culture’ and ‘trust’ messages within the sector. Therefore, the press releases of Cooperative Bank, Nationwide, RBS and Virgin Money were selected as a sample. However, also to note that RBS was fined during 2014 as part of the wider, systemic LIBOR issues in 2014.</w:t>
      </w:r>
    </w:p>
    <w:tbl>
      <w:tblPr>
        <w:tblStyle w:val="LightShading-Accent41"/>
        <w:tblW w:w="0" w:type="auto"/>
        <w:tblLayout w:type="fixed"/>
        <w:tblLook w:val="04A0" w:firstRow="1" w:lastRow="0" w:firstColumn="1" w:lastColumn="0" w:noHBand="0" w:noVBand="1"/>
      </w:tblPr>
      <w:tblGrid>
        <w:gridCol w:w="4928"/>
        <w:gridCol w:w="8505"/>
      </w:tblGrid>
      <w:tr w:rsidR="00765B62" w:rsidRPr="00765B62" w14:paraId="512035E1" w14:textId="77777777" w:rsidTr="000F2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56FDACB5" w14:textId="77777777" w:rsidR="00765B62" w:rsidRPr="00765B62" w:rsidRDefault="00765B62" w:rsidP="00765B62">
            <w:pPr>
              <w:spacing w:after="200" w:line="276" w:lineRule="auto"/>
              <w:rPr>
                <w:b w:val="0"/>
                <w:bCs w:val="0"/>
                <w:color w:val="403152" w:themeColor="accent4" w:themeShade="80"/>
              </w:rPr>
            </w:pPr>
            <w:r w:rsidRPr="00765B62">
              <w:rPr>
                <w:b w:val="0"/>
                <w:bCs w:val="0"/>
                <w:color w:val="403152" w:themeColor="accent4" w:themeShade="80"/>
              </w:rPr>
              <w:t>Organisation and website reference</w:t>
            </w:r>
          </w:p>
        </w:tc>
        <w:tc>
          <w:tcPr>
            <w:tcW w:w="8505" w:type="dxa"/>
          </w:tcPr>
          <w:p w14:paraId="5CD777EA" w14:textId="77777777" w:rsidR="00765B62" w:rsidRPr="00765B62" w:rsidRDefault="00765B62" w:rsidP="00765B62">
            <w:pPr>
              <w:spacing w:after="200" w:line="276" w:lineRule="auto"/>
              <w:cnfStyle w:val="100000000000" w:firstRow="1" w:lastRow="0" w:firstColumn="0" w:lastColumn="0" w:oddVBand="0" w:evenVBand="0" w:oddHBand="0" w:evenHBand="0" w:firstRowFirstColumn="0" w:firstRowLastColumn="0" w:lastRowFirstColumn="0" w:lastRowLastColumn="0"/>
              <w:rPr>
                <w:b w:val="0"/>
                <w:bCs w:val="0"/>
                <w:color w:val="403152" w:themeColor="accent4" w:themeShade="80"/>
              </w:rPr>
            </w:pPr>
            <w:r w:rsidRPr="00765B62">
              <w:rPr>
                <w:b w:val="0"/>
                <w:bCs w:val="0"/>
                <w:color w:val="403152" w:themeColor="accent4" w:themeShade="80"/>
              </w:rPr>
              <w:t>What they said/did</w:t>
            </w:r>
          </w:p>
        </w:tc>
      </w:tr>
      <w:tr w:rsidR="00765B62" w:rsidRPr="00765B62" w14:paraId="6D8F513D" w14:textId="77777777" w:rsidTr="000F2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5BBFEBD4" w14:textId="77777777" w:rsidR="00765B62" w:rsidRPr="00765B62" w:rsidRDefault="00765B62" w:rsidP="00765B62">
            <w:pPr>
              <w:spacing w:after="200" w:line="276" w:lineRule="auto"/>
              <w:rPr>
                <w:b w:val="0"/>
                <w:bCs w:val="0"/>
                <w:color w:val="403152" w:themeColor="accent4" w:themeShade="80"/>
              </w:rPr>
            </w:pPr>
            <w:r w:rsidRPr="00765B62">
              <w:rPr>
                <w:b w:val="0"/>
                <w:bCs w:val="0"/>
                <w:color w:val="403152" w:themeColor="accent4" w:themeShade="80"/>
              </w:rPr>
              <w:t>Cooperative Bank</w:t>
            </w:r>
          </w:p>
        </w:tc>
        <w:tc>
          <w:tcPr>
            <w:tcW w:w="8505" w:type="dxa"/>
          </w:tcPr>
          <w:p w14:paraId="6CC6FDDA" w14:textId="77777777" w:rsidR="00765B62" w:rsidRPr="00765B62" w:rsidRDefault="00765B62" w:rsidP="00765B62">
            <w:pPr>
              <w:spacing w:after="200" w:line="276" w:lineRule="auto"/>
              <w:cnfStyle w:val="000000100000" w:firstRow="0" w:lastRow="0" w:firstColumn="0" w:lastColumn="0" w:oddVBand="0" w:evenVBand="0" w:oddHBand="1" w:evenHBand="0" w:firstRowFirstColumn="0" w:firstRowLastColumn="0" w:lastRowFirstColumn="0" w:lastRowLastColumn="0"/>
              <w:rPr>
                <w:color w:val="403152" w:themeColor="accent4" w:themeShade="80"/>
              </w:rPr>
            </w:pPr>
            <w:r w:rsidRPr="00765B62">
              <w:rPr>
                <w:color w:val="403152" w:themeColor="accent4" w:themeShade="80"/>
              </w:rPr>
              <w:t>2013 News 27/5/2013 The Co-operative Group appoints Niall Booker as Bank Chief Executive and Group Deputy Chief Executive Officer</w:t>
            </w:r>
          </w:p>
          <w:p w14:paraId="29058C3B" w14:textId="77777777" w:rsidR="00765B62" w:rsidRPr="00765B62" w:rsidRDefault="00765B62" w:rsidP="00765B62">
            <w:pPr>
              <w:spacing w:after="200" w:line="276" w:lineRule="auto"/>
              <w:cnfStyle w:val="000000100000" w:firstRow="0" w:lastRow="0" w:firstColumn="0" w:lastColumn="0" w:oddVBand="0" w:evenVBand="0" w:oddHBand="1" w:evenHBand="0" w:firstRowFirstColumn="0" w:firstRowLastColumn="0" w:lastRowFirstColumn="0" w:lastRowLastColumn="0"/>
              <w:rPr>
                <w:color w:val="403152" w:themeColor="accent4" w:themeShade="80"/>
              </w:rPr>
            </w:pPr>
            <w:r w:rsidRPr="00765B62">
              <w:rPr>
                <w:color w:val="403152" w:themeColor="accent4" w:themeShade="80"/>
              </w:rPr>
              <w:t>Prior to this announcement there was major unrest within the Bank, with a complaint from the FSA about handling of PPI complaints. There were also issues with balance sheet stability (capital shortfall) and profit impacts. A number of new appointments were evident around this time in press releases.</w:t>
            </w:r>
          </w:p>
          <w:p w14:paraId="54E18CF9" w14:textId="77777777" w:rsidR="00765B62" w:rsidRPr="00765B62" w:rsidRDefault="00765B62" w:rsidP="00765B62">
            <w:pPr>
              <w:spacing w:after="200" w:line="276" w:lineRule="auto"/>
              <w:cnfStyle w:val="000000100000" w:firstRow="0" w:lastRow="0" w:firstColumn="0" w:lastColumn="0" w:oddVBand="0" w:evenVBand="0" w:oddHBand="1" w:evenHBand="0" w:firstRowFirstColumn="0" w:firstRowLastColumn="0" w:lastRowFirstColumn="0" w:lastRowLastColumn="0"/>
              <w:rPr>
                <w:color w:val="403152" w:themeColor="accent4" w:themeShade="80"/>
              </w:rPr>
            </w:pPr>
            <w:r w:rsidRPr="00765B62">
              <w:rPr>
                <w:color w:val="403152" w:themeColor="accent4" w:themeShade="80"/>
              </w:rPr>
              <w:t>2014 News 30/04/2014 The Co-operative Bank’s response to publication of independent review by Sir Christopher Kelly</w:t>
            </w:r>
          </w:p>
          <w:p w14:paraId="6BEA089E" w14:textId="77777777" w:rsidR="00765B62" w:rsidRPr="00765B62" w:rsidRDefault="00765B62" w:rsidP="00765B62">
            <w:pPr>
              <w:spacing w:after="200" w:line="276" w:lineRule="auto"/>
              <w:cnfStyle w:val="000000100000" w:firstRow="0" w:lastRow="0" w:firstColumn="0" w:lastColumn="0" w:oddVBand="0" w:evenVBand="0" w:oddHBand="1" w:evenHBand="0" w:firstRowFirstColumn="0" w:firstRowLastColumn="0" w:lastRowFirstColumn="0" w:lastRowLastColumn="0"/>
              <w:rPr>
                <w:color w:val="403152" w:themeColor="accent4" w:themeShade="80"/>
              </w:rPr>
            </w:pPr>
            <w:r w:rsidRPr="00765B62">
              <w:rPr>
                <w:color w:val="403152" w:themeColor="accent4" w:themeShade="80"/>
              </w:rPr>
              <w:t>“The Bank’s Board looks very different today and is now managed and governed independently to the Group. There is an entirely new Executive team with the depth of financial services expertise needed to turn the Bank around and we have also been reforming and improving the Bank’s systems, processes and culture which Sir Christopher Kelly refers to in the report”</w:t>
            </w:r>
          </w:p>
          <w:p w14:paraId="0C597F47" w14:textId="77777777" w:rsidR="00765B62" w:rsidRPr="00765B62" w:rsidRDefault="00765B62" w:rsidP="00765B62">
            <w:pPr>
              <w:spacing w:after="200" w:line="276" w:lineRule="auto"/>
              <w:cnfStyle w:val="000000100000" w:firstRow="0" w:lastRow="0" w:firstColumn="0" w:lastColumn="0" w:oddVBand="0" w:evenVBand="0" w:oddHBand="1" w:evenHBand="0" w:firstRowFirstColumn="0" w:firstRowLastColumn="0" w:lastRowFirstColumn="0" w:lastRowLastColumn="0"/>
              <w:rPr>
                <w:color w:val="403152" w:themeColor="accent4" w:themeShade="80"/>
              </w:rPr>
            </w:pPr>
            <w:r w:rsidRPr="00765B62">
              <w:rPr>
                <w:color w:val="403152" w:themeColor="accent4" w:themeShade="80"/>
              </w:rPr>
              <w:t>2015 News 20/01/2015 The Co-operative Bank re-launches Ethical Policy</w:t>
            </w:r>
          </w:p>
          <w:p w14:paraId="60746D3B" w14:textId="77777777" w:rsidR="00765B62" w:rsidRPr="00765B62" w:rsidRDefault="00765B62" w:rsidP="00765B62">
            <w:pPr>
              <w:spacing w:after="200" w:line="276" w:lineRule="auto"/>
              <w:cnfStyle w:val="000000100000" w:firstRow="0" w:lastRow="0" w:firstColumn="0" w:lastColumn="0" w:oddVBand="0" w:evenVBand="0" w:oddHBand="1" w:evenHBand="0" w:firstRowFirstColumn="0" w:firstRowLastColumn="0" w:lastRowFirstColumn="0" w:lastRowLastColumn="0"/>
              <w:rPr>
                <w:color w:val="403152" w:themeColor="accent4" w:themeShade="80"/>
              </w:rPr>
            </w:pPr>
            <w:r w:rsidRPr="00765B62">
              <w:rPr>
                <w:color w:val="403152" w:themeColor="accent4" w:themeShade="80"/>
              </w:rPr>
              <w:lastRenderedPageBreak/>
              <w:t>“the re-launch of this policy is an important step in rebuilding The Co-operative Bank as we listen to our customers and rebuild trust”</w:t>
            </w:r>
          </w:p>
        </w:tc>
      </w:tr>
      <w:tr w:rsidR="00765B62" w:rsidRPr="00765B62" w14:paraId="179B7E0E" w14:textId="77777777" w:rsidTr="000F22CD">
        <w:tc>
          <w:tcPr>
            <w:cnfStyle w:val="001000000000" w:firstRow="0" w:lastRow="0" w:firstColumn="1" w:lastColumn="0" w:oddVBand="0" w:evenVBand="0" w:oddHBand="0" w:evenHBand="0" w:firstRowFirstColumn="0" w:firstRowLastColumn="0" w:lastRowFirstColumn="0" w:lastRowLastColumn="0"/>
            <w:tcW w:w="4928" w:type="dxa"/>
          </w:tcPr>
          <w:p w14:paraId="2E2C8513" w14:textId="77777777" w:rsidR="00765B62" w:rsidRPr="00765B62" w:rsidRDefault="00765B62" w:rsidP="00765B62">
            <w:pPr>
              <w:spacing w:after="200" w:line="276" w:lineRule="auto"/>
              <w:rPr>
                <w:b w:val="0"/>
                <w:bCs w:val="0"/>
                <w:color w:val="403152" w:themeColor="accent4" w:themeShade="80"/>
              </w:rPr>
            </w:pPr>
            <w:r w:rsidRPr="00765B62">
              <w:rPr>
                <w:b w:val="0"/>
                <w:bCs w:val="0"/>
                <w:color w:val="403152" w:themeColor="accent4" w:themeShade="80"/>
              </w:rPr>
              <w:lastRenderedPageBreak/>
              <w:t>Nationwide</w:t>
            </w:r>
          </w:p>
        </w:tc>
        <w:tc>
          <w:tcPr>
            <w:tcW w:w="8505" w:type="dxa"/>
          </w:tcPr>
          <w:p w14:paraId="7CFA03BD" w14:textId="77777777" w:rsidR="00765B62" w:rsidRPr="00765B62" w:rsidRDefault="00765B62" w:rsidP="00765B62">
            <w:pPr>
              <w:spacing w:after="200" w:line="276" w:lineRule="auto"/>
              <w:cnfStyle w:val="000000000000" w:firstRow="0" w:lastRow="0" w:firstColumn="0" w:lastColumn="0" w:oddVBand="0" w:evenVBand="0" w:oddHBand="0" w:evenHBand="0" w:firstRowFirstColumn="0" w:firstRowLastColumn="0" w:lastRowFirstColumn="0" w:lastRowLastColumn="0"/>
              <w:rPr>
                <w:color w:val="403152" w:themeColor="accent4" w:themeShade="80"/>
              </w:rPr>
            </w:pPr>
            <w:r w:rsidRPr="00765B62">
              <w:rPr>
                <w:color w:val="403152" w:themeColor="accent4" w:themeShade="80"/>
              </w:rPr>
              <w:t>Website reviewed  - only contained news items back to 2017 at point of research.</w:t>
            </w:r>
          </w:p>
          <w:p w14:paraId="1E6E61B3" w14:textId="77777777" w:rsidR="00765B62" w:rsidRPr="00765B62" w:rsidRDefault="00765B62" w:rsidP="00765B62">
            <w:pPr>
              <w:spacing w:after="200" w:line="276" w:lineRule="auto"/>
              <w:cnfStyle w:val="000000000000" w:firstRow="0" w:lastRow="0" w:firstColumn="0" w:lastColumn="0" w:oddVBand="0" w:evenVBand="0" w:oddHBand="0" w:evenHBand="0" w:firstRowFirstColumn="0" w:firstRowLastColumn="0" w:lastRowFirstColumn="0" w:lastRowLastColumn="0"/>
              <w:rPr>
                <w:color w:val="403152" w:themeColor="accent4" w:themeShade="80"/>
              </w:rPr>
            </w:pPr>
            <w:r w:rsidRPr="00765B62">
              <w:rPr>
                <w:color w:val="403152" w:themeColor="accent4" w:themeShade="80"/>
              </w:rPr>
              <w:t>23/5/2017 UK’s most trusted financial brand</w:t>
            </w:r>
          </w:p>
          <w:p w14:paraId="0BA6C335" w14:textId="77777777" w:rsidR="00765B62" w:rsidRPr="00765B62" w:rsidRDefault="00765B62" w:rsidP="00765B62">
            <w:pPr>
              <w:spacing w:after="200" w:line="276" w:lineRule="auto"/>
              <w:cnfStyle w:val="000000000000" w:firstRow="0" w:lastRow="0" w:firstColumn="0" w:lastColumn="0" w:oddVBand="0" w:evenVBand="0" w:oddHBand="0" w:evenHBand="0" w:firstRowFirstColumn="0" w:firstRowLastColumn="0" w:lastRowFirstColumn="0" w:lastRowLastColumn="0"/>
              <w:rPr>
                <w:color w:val="403152" w:themeColor="accent4" w:themeShade="80"/>
              </w:rPr>
            </w:pPr>
            <w:r w:rsidRPr="00765B62">
              <w:rPr>
                <w:color w:val="403152" w:themeColor="accent4" w:themeShade="80"/>
              </w:rPr>
              <w:t>“The Society remains number one for customer satisfaction among its high-street peer group, currently leading by a margin of 5% over the next best financial provider and has been rated as the most trusted financial brand” (Financial Research Survey results)</w:t>
            </w:r>
          </w:p>
        </w:tc>
      </w:tr>
      <w:tr w:rsidR="00765B62" w:rsidRPr="00765B62" w14:paraId="2814F04D" w14:textId="77777777" w:rsidTr="000F2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33FA299" w14:textId="77777777" w:rsidR="00765B62" w:rsidRPr="00765B62" w:rsidRDefault="00765B62" w:rsidP="00765B62">
            <w:pPr>
              <w:spacing w:after="200" w:line="276" w:lineRule="auto"/>
              <w:rPr>
                <w:b w:val="0"/>
                <w:bCs w:val="0"/>
                <w:color w:val="403152" w:themeColor="accent4" w:themeShade="80"/>
              </w:rPr>
            </w:pPr>
            <w:r w:rsidRPr="00765B62">
              <w:rPr>
                <w:b w:val="0"/>
                <w:bCs w:val="0"/>
                <w:color w:val="403152" w:themeColor="accent4" w:themeShade="80"/>
              </w:rPr>
              <w:t>RBS</w:t>
            </w:r>
          </w:p>
        </w:tc>
        <w:tc>
          <w:tcPr>
            <w:tcW w:w="8505" w:type="dxa"/>
          </w:tcPr>
          <w:p w14:paraId="7B4D944E" w14:textId="77777777" w:rsidR="00765B62" w:rsidRPr="00765B62" w:rsidRDefault="00765B62" w:rsidP="00765B62">
            <w:pPr>
              <w:spacing w:after="200" w:line="276" w:lineRule="auto"/>
              <w:cnfStyle w:val="000000100000" w:firstRow="0" w:lastRow="0" w:firstColumn="0" w:lastColumn="0" w:oddVBand="0" w:evenVBand="0" w:oddHBand="1" w:evenHBand="0" w:firstRowFirstColumn="0" w:firstRowLastColumn="0" w:lastRowFirstColumn="0" w:lastRowLastColumn="0"/>
              <w:rPr>
                <w:color w:val="403152" w:themeColor="accent4" w:themeShade="80"/>
              </w:rPr>
            </w:pPr>
            <w:r w:rsidRPr="00765B62">
              <w:rPr>
                <w:color w:val="403152" w:themeColor="accent4" w:themeShade="80"/>
              </w:rPr>
              <w:t>The RBS press release site is difficult to search effectively for historic items. One item is noted to span the period of the review of other banks in 2017 release.</w:t>
            </w:r>
          </w:p>
          <w:p w14:paraId="6A3F7489" w14:textId="77777777" w:rsidR="00765B62" w:rsidRPr="00765B62" w:rsidRDefault="00765B62" w:rsidP="00765B62">
            <w:pPr>
              <w:spacing w:after="200" w:line="276" w:lineRule="auto"/>
              <w:cnfStyle w:val="000000100000" w:firstRow="0" w:lastRow="0" w:firstColumn="0" w:lastColumn="0" w:oddVBand="0" w:evenVBand="0" w:oddHBand="1" w:evenHBand="0" w:firstRowFirstColumn="0" w:firstRowLastColumn="0" w:lastRowFirstColumn="0" w:lastRowLastColumn="0"/>
              <w:rPr>
                <w:color w:val="403152" w:themeColor="accent4" w:themeShade="80"/>
              </w:rPr>
            </w:pPr>
            <w:r w:rsidRPr="00765B62">
              <w:rPr>
                <w:color w:val="403152" w:themeColor="accent4" w:themeShade="80"/>
              </w:rPr>
              <w:t>23 October 2017 RBS welcomes the publication of the Financial Conduct Authority’s (FCA) summary report, consistent with the summary findings announced by the FCA in November 2016</w:t>
            </w:r>
          </w:p>
          <w:p w14:paraId="1F66A3E2"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403152" w:themeColor="accent4" w:themeShade="80"/>
              </w:rPr>
            </w:pPr>
            <w:r w:rsidRPr="00765B62">
              <w:rPr>
                <w:color w:val="403152" w:themeColor="accent4" w:themeShade="80"/>
              </w:rPr>
              <w:t>“As a result of these historical issues identified, it put in place two steps – a complaints process overseen by retired High Court Judge, Sir William Blackburne, and an automatic refund of complex fees – for SMEs in the UK and ROI that were customers in GRG during the period 2008 – 2013.”</w:t>
            </w:r>
          </w:p>
          <w:p w14:paraId="3FA9CF19"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403152" w:themeColor="accent4" w:themeShade="80"/>
              </w:rPr>
            </w:pPr>
          </w:p>
          <w:p w14:paraId="707ABC2F"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403152" w:themeColor="accent4" w:themeShade="80"/>
              </w:rPr>
            </w:pPr>
            <w:r w:rsidRPr="00765B62">
              <w:rPr>
                <w:color w:val="403152" w:themeColor="accent4" w:themeShade="80"/>
              </w:rPr>
              <w:t>Ross McEwan, CEO of RBS said:</w:t>
            </w:r>
          </w:p>
          <w:p w14:paraId="2F924991"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403152" w:themeColor="accent4" w:themeShade="80"/>
              </w:rPr>
            </w:pPr>
          </w:p>
          <w:p w14:paraId="1A1D0822"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403152" w:themeColor="accent4" w:themeShade="80"/>
              </w:rPr>
            </w:pPr>
            <w:r w:rsidRPr="00765B62">
              <w:rPr>
                <w:color w:val="403152" w:themeColor="accent4" w:themeShade="80"/>
              </w:rPr>
              <w:t>“I am pleased that the regulator has confirmed the findings from last November and that the most serious allegations made against the bank have not been upheld.</w:t>
            </w:r>
          </w:p>
          <w:p w14:paraId="66CDCCA0"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403152" w:themeColor="accent4" w:themeShade="80"/>
              </w:rPr>
            </w:pPr>
          </w:p>
          <w:p w14:paraId="003012E3"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403152" w:themeColor="accent4" w:themeShade="80"/>
              </w:rPr>
            </w:pPr>
            <w:r w:rsidRPr="00765B62">
              <w:rPr>
                <w:color w:val="403152" w:themeColor="accent4" w:themeShade="80"/>
              </w:rPr>
              <w:t>“We have acknowledged for some time that mistakes were made and have apologised that we did not always provide the level of service and understanding we should have done for these customers in the aftermath of the financial crisis.</w:t>
            </w:r>
          </w:p>
          <w:p w14:paraId="4F512C23"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403152" w:themeColor="accent4" w:themeShade="80"/>
              </w:rPr>
            </w:pPr>
          </w:p>
          <w:p w14:paraId="781711DB" w14:textId="77777777" w:rsidR="00765B62" w:rsidRPr="00765B62" w:rsidRDefault="00765B62" w:rsidP="00765B62">
            <w:pPr>
              <w:spacing w:after="200" w:line="276" w:lineRule="auto"/>
              <w:cnfStyle w:val="000000100000" w:firstRow="0" w:lastRow="0" w:firstColumn="0" w:lastColumn="0" w:oddVBand="0" w:evenVBand="0" w:oddHBand="1" w:evenHBand="0" w:firstRowFirstColumn="0" w:firstRowLastColumn="0" w:lastRowFirstColumn="0" w:lastRowLastColumn="0"/>
              <w:rPr>
                <w:color w:val="403152" w:themeColor="accent4" w:themeShade="80"/>
              </w:rPr>
            </w:pPr>
            <w:r w:rsidRPr="00765B62">
              <w:rPr>
                <w:color w:val="403152" w:themeColor="accent4" w:themeShade="80"/>
              </w:rPr>
              <w:lastRenderedPageBreak/>
              <w:t>“The culture, structure and way RBS operates today have all changed fundamentally since the period under review. We have made significant changes to deal with the issues of the past, so that the bank can better support SME customers in financial difficulty whilst also protecting the bank’s capital.”</w:t>
            </w:r>
          </w:p>
        </w:tc>
      </w:tr>
      <w:tr w:rsidR="00765B62" w:rsidRPr="00765B62" w14:paraId="1DDC6096" w14:textId="77777777" w:rsidTr="000F22CD">
        <w:tc>
          <w:tcPr>
            <w:cnfStyle w:val="001000000000" w:firstRow="0" w:lastRow="0" w:firstColumn="1" w:lastColumn="0" w:oddVBand="0" w:evenVBand="0" w:oddHBand="0" w:evenHBand="0" w:firstRowFirstColumn="0" w:firstRowLastColumn="0" w:lastRowFirstColumn="0" w:lastRowLastColumn="0"/>
            <w:tcW w:w="4928" w:type="dxa"/>
          </w:tcPr>
          <w:p w14:paraId="4653899F" w14:textId="77777777" w:rsidR="00765B62" w:rsidRPr="00765B62" w:rsidRDefault="00765B62" w:rsidP="00765B62">
            <w:pPr>
              <w:rPr>
                <w:b w:val="0"/>
                <w:bCs w:val="0"/>
                <w:color w:val="403152" w:themeColor="accent4" w:themeShade="80"/>
              </w:rPr>
            </w:pPr>
            <w:r w:rsidRPr="00765B62">
              <w:rPr>
                <w:b w:val="0"/>
                <w:bCs w:val="0"/>
                <w:color w:val="403152" w:themeColor="accent4" w:themeShade="80"/>
              </w:rPr>
              <w:lastRenderedPageBreak/>
              <w:t>Virgin Money</w:t>
            </w:r>
          </w:p>
        </w:tc>
        <w:tc>
          <w:tcPr>
            <w:tcW w:w="8505" w:type="dxa"/>
          </w:tcPr>
          <w:p w14:paraId="0DD375D3"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403152" w:themeColor="accent4" w:themeShade="80"/>
              </w:rPr>
            </w:pPr>
            <w:r w:rsidRPr="00765B62">
              <w:rPr>
                <w:color w:val="403152" w:themeColor="accent4" w:themeShade="80"/>
              </w:rPr>
              <w:t>04/11/2015 Virgin Money welcomes interim report into the credit card market from the FCA</w:t>
            </w:r>
          </w:p>
          <w:p w14:paraId="045BEA0F"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403152" w:themeColor="accent4" w:themeShade="80"/>
              </w:rPr>
            </w:pPr>
            <w:r w:rsidRPr="00765B62">
              <w:rPr>
                <w:color w:val="403152" w:themeColor="accent4" w:themeShade="80"/>
              </w:rPr>
              <w:t>“Virgin Money fully agrees with the conclusions of the interim report into the credit card market published by the FCA today [….] Virgin Money already offers simple, transparent credit card products. Based on the potential remedies set out in today’s report, Virgin Money will fully implement any changes necessary to meet the final requirements in due course and looks forward to supporting the FCA in their final report.”</w:t>
            </w:r>
          </w:p>
          <w:p w14:paraId="552F0316"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403152" w:themeColor="accent4" w:themeShade="80"/>
              </w:rPr>
            </w:pPr>
          </w:p>
          <w:p w14:paraId="07964155"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403152" w:themeColor="accent4" w:themeShade="80"/>
              </w:rPr>
            </w:pPr>
            <w:r w:rsidRPr="00765B62">
              <w:rPr>
                <w:color w:val="403152" w:themeColor="accent4" w:themeShade="80"/>
              </w:rPr>
              <w:t>12/01/2016 Virgin Money announces two new appointments to senior executive team</w:t>
            </w:r>
          </w:p>
          <w:p w14:paraId="2A55014B"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403152" w:themeColor="accent4" w:themeShade="80"/>
              </w:rPr>
            </w:pPr>
          </w:p>
          <w:p w14:paraId="1A1F628E"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403152" w:themeColor="accent4" w:themeShade="80"/>
              </w:rPr>
            </w:pPr>
            <w:r w:rsidRPr="00765B62">
              <w:rPr>
                <w:color w:val="403152" w:themeColor="accent4" w:themeShade="80"/>
              </w:rPr>
              <w:t xml:space="preserve">Jayne-Anne </w:t>
            </w:r>
            <w:proofErr w:type="spellStart"/>
            <w:r w:rsidRPr="00765B62">
              <w:rPr>
                <w:color w:val="403152" w:themeColor="accent4" w:themeShade="80"/>
              </w:rPr>
              <w:t>Gadhia</w:t>
            </w:r>
            <w:proofErr w:type="spellEnd"/>
            <w:r w:rsidRPr="00765B62">
              <w:rPr>
                <w:color w:val="403152" w:themeColor="accent4" w:themeShade="80"/>
              </w:rPr>
              <w:t xml:space="preserve">, Chief Executive Officer said: "I am delighted to announce that Peter and Hugh will be joining the Virgin Money Executive Team. Their broad experience and knowledge of the financial services industry, including a strong customer focus in retail banking, will be invaluable to us as we </w:t>
            </w:r>
            <w:r w:rsidRPr="00765B62">
              <w:rPr>
                <w:color w:val="403152" w:themeColor="accent4" w:themeShade="80"/>
                <w:u w:val="single"/>
              </w:rPr>
              <w:t xml:space="preserve">continue </w:t>
            </w:r>
            <w:r w:rsidRPr="00765B62">
              <w:rPr>
                <w:color w:val="403152" w:themeColor="accent4" w:themeShade="80"/>
              </w:rPr>
              <w:t>to deliver on our strategy of delivering growth, quality and returns to all of our stakeholders. I am looking forward to working with them both.”</w:t>
            </w:r>
          </w:p>
          <w:p w14:paraId="41149FED"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403152" w:themeColor="accent4" w:themeShade="80"/>
              </w:rPr>
            </w:pPr>
            <w:r w:rsidRPr="00765B62">
              <w:rPr>
                <w:color w:val="403152" w:themeColor="accent4" w:themeShade="80"/>
              </w:rPr>
              <w:t>This press release indicates a strengthening of the internal senior management, un affected by external forces/events to trigger change as evidenced I the use of word ‘continue’.</w:t>
            </w:r>
          </w:p>
          <w:p w14:paraId="4F4825BB" w14:textId="77777777" w:rsidR="00765B62" w:rsidRPr="00765B62" w:rsidRDefault="00765B62" w:rsidP="00765B62">
            <w:pPr>
              <w:cnfStyle w:val="000000000000" w:firstRow="0" w:lastRow="0" w:firstColumn="0" w:lastColumn="0" w:oddVBand="0" w:evenVBand="0" w:oddHBand="0" w:evenHBand="0" w:firstRowFirstColumn="0" w:firstRowLastColumn="0" w:lastRowFirstColumn="0" w:lastRowLastColumn="0"/>
              <w:rPr>
                <w:color w:val="403152" w:themeColor="accent4" w:themeShade="80"/>
              </w:rPr>
            </w:pPr>
          </w:p>
        </w:tc>
      </w:tr>
      <w:tr w:rsidR="00765B62" w:rsidRPr="00765B62" w14:paraId="1DAD9A41" w14:textId="77777777" w:rsidTr="000F2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2A721251" w14:textId="77777777" w:rsidR="00765B62" w:rsidRPr="00765B62" w:rsidRDefault="00765B62" w:rsidP="00765B62">
            <w:pPr>
              <w:rPr>
                <w:color w:val="403152" w:themeColor="accent4" w:themeShade="80"/>
              </w:rPr>
            </w:pPr>
          </w:p>
        </w:tc>
        <w:tc>
          <w:tcPr>
            <w:tcW w:w="8505" w:type="dxa"/>
          </w:tcPr>
          <w:p w14:paraId="75356D43" w14:textId="77777777" w:rsidR="00765B62" w:rsidRPr="00765B62" w:rsidRDefault="00765B62" w:rsidP="00765B62">
            <w:pPr>
              <w:cnfStyle w:val="000000100000" w:firstRow="0" w:lastRow="0" w:firstColumn="0" w:lastColumn="0" w:oddVBand="0" w:evenVBand="0" w:oddHBand="1" w:evenHBand="0" w:firstRowFirstColumn="0" w:firstRowLastColumn="0" w:lastRowFirstColumn="0" w:lastRowLastColumn="0"/>
              <w:rPr>
                <w:color w:val="403152" w:themeColor="accent4" w:themeShade="80"/>
              </w:rPr>
            </w:pPr>
          </w:p>
        </w:tc>
      </w:tr>
    </w:tbl>
    <w:p w14:paraId="28036D48" w14:textId="77777777" w:rsidR="00765B62" w:rsidRPr="00765B62" w:rsidRDefault="00765B62" w:rsidP="00765B62"/>
    <w:p w14:paraId="1C801CC1" w14:textId="77777777" w:rsidR="00765B62" w:rsidRDefault="00765B62" w:rsidP="00765B62">
      <w:pPr>
        <w:keepNext/>
        <w:keepLines/>
        <w:spacing w:before="200" w:after="0"/>
        <w:outlineLvl w:val="1"/>
        <w:rPr>
          <w:rFonts w:asciiTheme="majorHAnsi" w:eastAsiaTheme="majorEastAsia" w:hAnsiTheme="majorHAnsi" w:cstheme="majorBidi"/>
          <w:b/>
          <w:bCs/>
          <w:color w:val="4F81BD" w:themeColor="accent1"/>
          <w:sz w:val="26"/>
          <w:szCs w:val="26"/>
        </w:rPr>
      </w:pPr>
    </w:p>
    <w:p w14:paraId="000D2094" w14:textId="77777777" w:rsidR="00765B62" w:rsidRDefault="00765B62" w:rsidP="00765B62">
      <w:pPr>
        <w:keepNext/>
        <w:keepLines/>
        <w:spacing w:before="200" w:after="0"/>
        <w:outlineLvl w:val="1"/>
        <w:rPr>
          <w:rFonts w:asciiTheme="majorHAnsi" w:eastAsiaTheme="majorEastAsia" w:hAnsiTheme="majorHAnsi" w:cstheme="majorBidi"/>
          <w:b/>
          <w:bCs/>
          <w:color w:val="4F81BD" w:themeColor="accent1"/>
          <w:sz w:val="26"/>
          <w:szCs w:val="26"/>
        </w:rPr>
      </w:pPr>
    </w:p>
    <w:p w14:paraId="26842971" w14:textId="6D6CBFF6" w:rsidR="00765B62" w:rsidRPr="00765B62" w:rsidRDefault="00765B62" w:rsidP="00765B62">
      <w:pPr>
        <w:keepNext/>
        <w:keepLines/>
        <w:spacing w:before="200" w:after="0"/>
        <w:outlineLvl w:val="1"/>
        <w:rPr>
          <w:rFonts w:asciiTheme="majorHAnsi" w:eastAsiaTheme="majorEastAsia" w:hAnsiTheme="majorHAnsi" w:cstheme="majorBidi"/>
          <w:b/>
          <w:bCs/>
          <w:color w:val="4F81BD" w:themeColor="accent1"/>
          <w:sz w:val="26"/>
          <w:szCs w:val="26"/>
        </w:rPr>
      </w:pPr>
      <w:r w:rsidRPr="00765B62">
        <w:rPr>
          <w:rFonts w:asciiTheme="majorHAnsi" w:eastAsiaTheme="majorEastAsia" w:hAnsiTheme="majorHAnsi" w:cstheme="majorBidi"/>
          <w:b/>
          <w:bCs/>
          <w:color w:val="4F81BD" w:themeColor="accent1"/>
          <w:sz w:val="26"/>
          <w:szCs w:val="26"/>
        </w:rPr>
        <w:t>Appendix 5</w:t>
      </w:r>
    </w:p>
    <w:p w14:paraId="37369610" w14:textId="77777777" w:rsidR="00765B62" w:rsidRPr="00765B62" w:rsidRDefault="00765B62" w:rsidP="00765B62">
      <w:r w:rsidRPr="00765B62">
        <w:t>During our analysis, we found difficulty in identifying praise of specific firm’s culture/compliance by FCA. Usually we would expect to sees highlights of ‘good practice’ in thematic reviews. However, within the 2015/16 annual report it was announced that “we considered that a thematic review would not be the most effective and efficient way to continue to support and drive continued culture change across the sector. Instead, we decided that the most effective way to achieve this was to continue to engage individually with firms, as well as supporting other initiatives outside the FCA. We have not changed our views about the importance of firm culture and we will continue our work with individual firms” (2015/16 Annual Report). As an alternative method of analysis the annual reports were searched to review the emphasis on culture by the FCA year on year.</w:t>
      </w:r>
    </w:p>
    <w:tbl>
      <w:tblPr>
        <w:tblStyle w:val="TableGrid1"/>
        <w:tblW w:w="0" w:type="auto"/>
        <w:tblLook w:val="04A0" w:firstRow="1" w:lastRow="0" w:firstColumn="1" w:lastColumn="0" w:noHBand="0" w:noVBand="1"/>
      </w:tblPr>
      <w:tblGrid>
        <w:gridCol w:w="5141"/>
        <w:gridCol w:w="2006"/>
        <w:gridCol w:w="6801"/>
      </w:tblGrid>
      <w:tr w:rsidR="00765B62" w:rsidRPr="00765B62" w14:paraId="06A37A80" w14:textId="77777777" w:rsidTr="000F22CD">
        <w:tc>
          <w:tcPr>
            <w:tcW w:w="4173" w:type="dxa"/>
          </w:tcPr>
          <w:p w14:paraId="4427BEA0" w14:textId="77777777" w:rsidR="00765B62" w:rsidRPr="00765B62" w:rsidRDefault="00765B62" w:rsidP="00765B62">
            <w:r w:rsidRPr="00765B62">
              <w:t xml:space="preserve">Year reviewed and </w:t>
            </w:r>
            <w:proofErr w:type="spellStart"/>
            <w:r w:rsidRPr="00765B62">
              <w:t>weblink</w:t>
            </w:r>
            <w:proofErr w:type="spellEnd"/>
          </w:p>
        </w:tc>
        <w:tc>
          <w:tcPr>
            <w:tcW w:w="2172" w:type="dxa"/>
          </w:tcPr>
          <w:p w14:paraId="43C8DFA9" w14:textId="77777777" w:rsidR="00765B62" w:rsidRPr="00765B62" w:rsidRDefault="00765B62" w:rsidP="00765B62">
            <w:r w:rsidRPr="00765B62">
              <w:t>Number of references to ‘culture’</w:t>
            </w:r>
          </w:p>
        </w:tc>
        <w:tc>
          <w:tcPr>
            <w:tcW w:w="7829" w:type="dxa"/>
          </w:tcPr>
          <w:p w14:paraId="0C392094" w14:textId="77777777" w:rsidR="00765B62" w:rsidRPr="00765B62" w:rsidRDefault="00765B62" w:rsidP="00765B62">
            <w:r w:rsidRPr="00765B62">
              <w:t>Key quotations</w:t>
            </w:r>
          </w:p>
        </w:tc>
      </w:tr>
      <w:tr w:rsidR="00765B62" w:rsidRPr="00765B62" w14:paraId="72BA5944" w14:textId="77777777" w:rsidTr="000F22CD">
        <w:tc>
          <w:tcPr>
            <w:tcW w:w="4173" w:type="dxa"/>
          </w:tcPr>
          <w:p w14:paraId="489F44D6" w14:textId="77777777" w:rsidR="00765B62" w:rsidRPr="00765B62" w:rsidRDefault="00765B62" w:rsidP="00765B62">
            <w:r w:rsidRPr="00765B62">
              <w:t>2016/17</w:t>
            </w:r>
          </w:p>
          <w:p w14:paraId="21209265" w14:textId="77777777" w:rsidR="00765B62" w:rsidRPr="00765B62" w:rsidRDefault="00765B62" w:rsidP="00765B62">
            <w:r w:rsidRPr="00765B62">
              <w:t>https://www.fca.org.uk/publication/annual-reports/annual-report-2016-17.pdf</w:t>
            </w:r>
          </w:p>
        </w:tc>
        <w:tc>
          <w:tcPr>
            <w:tcW w:w="2172" w:type="dxa"/>
          </w:tcPr>
          <w:p w14:paraId="799CFF8F" w14:textId="77777777" w:rsidR="00765B62" w:rsidRPr="00765B62" w:rsidRDefault="00765B62" w:rsidP="00765B62">
            <w:r w:rsidRPr="00765B62">
              <w:t>27</w:t>
            </w:r>
          </w:p>
        </w:tc>
        <w:tc>
          <w:tcPr>
            <w:tcW w:w="7829" w:type="dxa"/>
          </w:tcPr>
          <w:p w14:paraId="17050D1C" w14:textId="77777777" w:rsidR="00765B62" w:rsidRPr="00765B62" w:rsidRDefault="00765B62" w:rsidP="00765B62">
            <w:r w:rsidRPr="00765B62">
              <w:t>“Regulatory arbitrage, at least in the conduct arena, is a game no longer worth playing […] to give credit where it is due, much of this is the result of firms’ efforts to improve their business models and culture to meet our expectations” p.6</w:t>
            </w:r>
          </w:p>
          <w:p w14:paraId="37D49DE6" w14:textId="77777777" w:rsidR="00765B62" w:rsidRPr="00765B62" w:rsidRDefault="00765B62" w:rsidP="00765B62">
            <w:r w:rsidRPr="00765B62">
              <w:t>“Our annual review of the remuneration policies and practices of ‘Level 1 firms’ (deposit takers and investment firms with total balance sheets over £50bn) found they had undertaken significant work to embed conduct and culture in their remuneration policies and practices this year” p. 43</w:t>
            </w:r>
          </w:p>
        </w:tc>
      </w:tr>
      <w:tr w:rsidR="00765B62" w:rsidRPr="00765B62" w14:paraId="564A3968" w14:textId="77777777" w:rsidTr="000F22CD">
        <w:tc>
          <w:tcPr>
            <w:tcW w:w="4173" w:type="dxa"/>
          </w:tcPr>
          <w:p w14:paraId="71FF884D" w14:textId="77777777" w:rsidR="00765B62" w:rsidRPr="00765B62" w:rsidRDefault="00765B62" w:rsidP="00765B62">
            <w:r w:rsidRPr="00765B62">
              <w:t>2015/16</w:t>
            </w:r>
          </w:p>
          <w:p w14:paraId="731CE2E3" w14:textId="77777777" w:rsidR="00765B62" w:rsidRPr="00765B62" w:rsidRDefault="00765B62" w:rsidP="00765B62">
            <w:r w:rsidRPr="00765B62">
              <w:t>https://www.fca.org.uk/publication/corporate/annual-report-2015-16.pdf</w:t>
            </w:r>
          </w:p>
        </w:tc>
        <w:tc>
          <w:tcPr>
            <w:tcW w:w="2172" w:type="dxa"/>
          </w:tcPr>
          <w:p w14:paraId="3639147A" w14:textId="77777777" w:rsidR="00765B62" w:rsidRPr="00765B62" w:rsidRDefault="00765B62" w:rsidP="00765B62">
            <w:r w:rsidRPr="00765B62">
              <w:t>27</w:t>
            </w:r>
          </w:p>
        </w:tc>
        <w:tc>
          <w:tcPr>
            <w:tcW w:w="7829" w:type="dxa"/>
          </w:tcPr>
          <w:p w14:paraId="46D36975" w14:textId="77777777" w:rsidR="00765B62" w:rsidRPr="00765B62" w:rsidRDefault="00765B62" w:rsidP="00765B62">
            <w:r w:rsidRPr="00765B62">
              <w:t>“Changing culture: We rolled out a supervisory approach in wholesale banking designed to raise the overall standards of conduct risk management in the industry, ensuring that the industry itself takes responsibility for, and ownership of, the management of conduct risk” P.12</w:t>
            </w:r>
          </w:p>
          <w:p w14:paraId="37817EE0" w14:textId="77777777" w:rsidR="00765B62" w:rsidRPr="00765B62" w:rsidRDefault="00765B62" w:rsidP="00765B62">
            <w:r w:rsidRPr="00765B62">
              <w:t>“At the start of 2015/16 we identified a number of risks that informed our work for the year. We highlighted that firms’ culture, structures, processes and incentives still required improvements” P.30</w:t>
            </w:r>
          </w:p>
          <w:p w14:paraId="7DED3B40" w14:textId="77777777" w:rsidR="00765B62" w:rsidRPr="00765B62" w:rsidRDefault="00765B62" w:rsidP="00765B62">
            <w:r w:rsidRPr="00765B62">
              <w:lastRenderedPageBreak/>
              <w:t>“Firms were required to consider the culture, governance arrangements, policies, procedures, systems and controls within their UK businesses, as well as how much their overseas activities might impact upon their conduct in the UK.” P. 33</w:t>
            </w:r>
          </w:p>
          <w:p w14:paraId="11070B53" w14:textId="77777777" w:rsidR="00765B62" w:rsidRPr="00765B62" w:rsidRDefault="00765B62" w:rsidP="00765B62">
            <w:r w:rsidRPr="00765B62">
              <w:t>“FCA introduced new rules on whistleblowing. These rules aim to encourage a culture in firms where individuals feel able to raise concerns and challenge poor practice and behaviour.” P.34</w:t>
            </w:r>
          </w:p>
        </w:tc>
      </w:tr>
      <w:tr w:rsidR="00765B62" w:rsidRPr="00765B62" w14:paraId="1172FA9A" w14:textId="77777777" w:rsidTr="000F22CD">
        <w:tc>
          <w:tcPr>
            <w:tcW w:w="4173" w:type="dxa"/>
          </w:tcPr>
          <w:p w14:paraId="788924D8" w14:textId="77777777" w:rsidR="00765B62" w:rsidRPr="00765B62" w:rsidRDefault="00765B62" w:rsidP="00765B62">
            <w:r w:rsidRPr="00765B62">
              <w:lastRenderedPageBreak/>
              <w:t>2014/15</w:t>
            </w:r>
          </w:p>
          <w:p w14:paraId="4057590C" w14:textId="77777777" w:rsidR="00765B62" w:rsidRPr="00765B62" w:rsidRDefault="00765B62" w:rsidP="00765B62">
            <w:r w:rsidRPr="00765B62">
              <w:t>https://www.fca.org.uk/publications/corporate-documents/annual-report-2014-15</w:t>
            </w:r>
          </w:p>
        </w:tc>
        <w:tc>
          <w:tcPr>
            <w:tcW w:w="2172" w:type="dxa"/>
          </w:tcPr>
          <w:p w14:paraId="71FFEE75" w14:textId="77777777" w:rsidR="00765B62" w:rsidRPr="00765B62" w:rsidRDefault="00765B62" w:rsidP="00765B62">
            <w:r w:rsidRPr="00765B62">
              <w:t>19</w:t>
            </w:r>
          </w:p>
        </w:tc>
        <w:tc>
          <w:tcPr>
            <w:tcW w:w="7829" w:type="dxa"/>
          </w:tcPr>
          <w:p w14:paraId="026BFB30" w14:textId="77777777" w:rsidR="00765B62" w:rsidRPr="00765B62" w:rsidRDefault="00765B62" w:rsidP="00765B62">
            <w:r w:rsidRPr="00765B62">
              <w:t>“We assess firms’ business models, key personnel, control environment, and increasingly culture and its impact on conduct” P.31</w:t>
            </w:r>
          </w:p>
          <w:p w14:paraId="03901D82" w14:textId="77777777" w:rsidR="00765B62" w:rsidRPr="00765B62" w:rsidRDefault="00765B62" w:rsidP="00765B62">
            <w:r w:rsidRPr="00765B62">
              <w:t>“Compliance controls and culture, where we found robust controls and an improved cultural message being distributed across a global group” p.34</w:t>
            </w:r>
          </w:p>
          <w:p w14:paraId="4AC8B921" w14:textId="77777777" w:rsidR="00765B62" w:rsidRPr="00765B62" w:rsidRDefault="00765B62" w:rsidP="00765B62"/>
        </w:tc>
      </w:tr>
      <w:tr w:rsidR="00765B62" w:rsidRPr="00765B62" w14:paraId="1C491735" w14:textId="77777777" w:rsidTr="000F22CD">
        <w:tc>
          <w:tcPr>
            <w:tcW w:w="4173" w:type="dxa"/>
          </w:tcPr>
          <w:p w14:paraId="0304A56A" w14:textId="77777777" w:rsidR="00765B62" w:rsidRPr="00765B62" w:rsidRDefault="00765B62" w:rsidP="00765B62">
            <w:r w:rsidRPr="00765B62">
              <w:t>2013/14</w:t>
            </w:r>
          </w:p>
          <w:p w14:paraId="644A8136" w14:textId="77777777" w:rsidR="00765B62" w:rsidRPr="00765B62" w:rsidRDefault="00765B62" w:rsidP="00765B62">
            <w:r w:rsidRPr="00765B62">
              <w:t>https://www.fca.org.uk/publication/corporate/annual-report-13-14.pdf</w:t>
            </w:r>
          </w:p>
        </w:tc>
        <w:tc>
          <w:tcPr>
            <w:tcW w:w="2172" w:type="dxa"/>
          </w:tcPr>
          <w:p w14:paraId="194BED2F" w14:textId="77777777" w:rsidR="00765B62" w:rsidRPr="00765B62" w:rsidRDefault="00765B62" w:rsidP="00765B62">
            <w:r w:rsidRPr="00765B62">
              <w:t>8</w:t>
            </w:r>
          </w:p>
        </w:tc>
        <w:tc>
          <w:tcPr>
            <w:tcW w:w="7829" w:type="dxa"/>
          </w:tcPr>
          <w:p w14:paraId="10D6D229" w14:textId="77777777" w:rsidR="00765B62" w:rsidRPr="00765B62" w:rsidRDefault="00765B62" w:rsidP="00765B62">
            <w:r w:rsidRPr="00765B62">
              <w:t>The risk committee “noted the risks associated with the pace of change around firms’ business models and the culture in the financial sector; risks that the FCA sought to address in its 2013 Risk Outlook. It discussed these ongoing concerns with the FCA’s executive and has asked for further information on the  progress made in implementing a programme of positive culture change amongst firm” P.75</w:t>
            </w:r>
          </w:p>
        </w:tc>
      </w:tr>
    </w:tbl>
    <w:p w14:paraId="12D9FBC8" w14:textId="0D909B7D" w:rsidR="007D5C94" w:rsidRDefault="007D5C94" w:rsidP="007D5C94"/>
    <w:p w14:paraId="7FA9C646" w14:textId="310E635A" w:rsidR="007D5C94" w:rsidRDefault="007D5C94" w:rsidP="007D5C94"/>
    <w:p w14:paraId="10063603" w14:textId="43B83397" w:rsidR="007D5C94" w:rsidRDefault="007D5C94" w:rsidP="007D5C94"/>
    <w:p w14:paraId="0C9FF39D" w14:textId="79116F5D" w:rsidR="007D5C94" w:rsidRDefault="007D5C94" w:rsidP="007D5C94"/>
    <w:p w14:paraId="2CEA429D" w14:textId="63A6256E" w:rsidR="007D5C94" w:rsidRDefault="007D5C94" w:rsidP="007D5C94"/>
    <w:p w14:paraId="77F6E7FD" w14:textId="69A0A24D" w:rsidR="007D5C94" w:rsidRDefault="007D5C94" w:rsidP="007D5C94"/>
    <w:p w14:paraId="527F5770" w14:textId="28D0BA9D" w:rsidR="007D5C94" w:rsidRDefault="007D5C94" w:rsidP="007D5C94"/>
    <w:p w14:paraId="6A93D653" w14:textId="2A119AEC" w:rsidR="007D5C94" w:rsidRDefault="007D5C94" w:rsidP="007D5C94"/>
    <w:p w14:paraId="50561328" w14:textId="77777777" w:rsidR="00765B62" w:rsidRDefault="00765B62" w:rsidP="007D5C94">
      <w:pPr>
        <w:sectPr w:rsidR="00765B62" w:rsidSect="007E1024">
          <w:pgSz w:w="16838" w:h="11906" w:orient="landscape" w:code="9"/>
          <w:pgMar w:top="1440" w:right="1440" w:bottom="1440" w:left="1440" w:header="709" w:footer="709" w:gutter="0"/>
          <w:cols w:space="708"/>
          <w:docGrid w:linePitch="360"/>
        </w:sectPr>
      </w:pPr>
    </w:p>
    <w:p w14:paraId="0DF0D3DC" w14:textId="6350DEE3" w:rsidR="007D5C94" w:rsidRPr="00EB25FD" w:rsidRDefault="007D5C94" w:rsidP="00765B62">
      <w:pPr>
        <w:pStyle w:val="Heading1"/>
      </w:pPr>
      <w:r w:rsidRPr="00EB25FD">
        <w:lastRenderedPageBreak/>
        <w:t>ENDNOTES</w:t>
      </w:r>
    </w:p>
    <w:sectPr w:rsidR="007D5C94" w:rsidRPr="00EB25FD" w:rsidSect="007E1024">
      <w:pgSz w:w="16838" w:h="11906" w:orient="landscape" w:code="9"/>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44E0C1" w16cid:durableId="1E3BE3ED"/>
  <w16cid:commentId w16cid:paraId="71EE689D" w16cid:durableId="1E3BE3EE"/>
  <w16cid:commentId w16cid:paraId="63FE8803" w16cid:durableId="1E3BE3EF"/>
  <w16cid:commentId w16cid:paraId="7657E836" w16cid:durableId="1E3BE3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5F6C6" w14:textId="77777777" w:rsidR="0063067D" w:rsidRDefault="0063067D" w:rsidP="00E412DB">
      <w:pPr>
        <w:spacing w:after="0" w:line="240" w:lineRule="auto"/>
      </w:pPr>
      <w:r>
        <w:separator/>
      </w:r>
    </w:p>
  </w:endnote>
  <w:endnote w:type="continuationSeparator" w:id="0">
    <w:p w14:paraId="51E4C62B" w14:textId="77777777" w:rsidR="0063067D" w:rsidRDefault="0063067D" w:rsidP="00E412DB">
      <w:pPr>
        <w:spacing w:after="0" w:line="240" w:lineRule="auto"/>
      </w:pPr>
      <w:r>
        <w:continuationSeparator/>
      </w:r>
    </w:p>
  </w:endnote>
  <w:endnote w:id="1">
    <w:p w14:paraId="26619762" w14:textId="5C68BB88" w:rsidR="0063067D" w:rsidRDefault="0063067D" w:rsidP="002228C4">
      <w:pPr>
        <w:pStyle w:val="EndnoteText"/>
        <w:spacing w:line="480" w:lineRule="auto"/>
      </w:pPr>
      <w:r>
        <w:rPr>
          <w:rStyle w:val="EndnoteReference"/>
        </w:rPr>
        <w:endnoteRef/>
      </w:r>
      <w:r>
        <w:t xml:space="preserve"> </w:t>
      </w:r>
      <w:r w:rsidRPr="00DA3093">
        <w:t>However, this would not account for instance of non-compliant behaviours which may be ‘under the radar’ and unidentified by the regulator.</w:t>
      </w:r>
    </w:p>
  </w:endnote>
  <w:endnote w:id="2">
    <w:p w14:paraId="41CEC06D" w14:textId="4B1E510E" w:rsidR="0063067D" w:rsidRDefault="0063067D" w:rsidP="002228C4">
      <w:pPr>
        <w:pStyle w:val="EndnoteText"/>
        <w:spacing w:line="480" w:lineRule="auto"/>
      </w:pPr>
      <w:r>
        <w:rPr>
          <w:rStyle w:val="EndnoteReference"/>
        </w:rPr>
        <w:endnoteRef/>
      </w:r>
      <w:r>
        <w:t xml:space="preserve"> </w:t>
      </w:r>
      <w:r w:rsidRPr="009B26F0">
        <w:t>Whereas, compliance risk addresses the risk of legal or regulatory sanctions, material financial loss, or loss to reputation that a bank may suffer as a result of failure to comply with applicable laws, regulations, rules, related self-regulatory organisation standards, and codes of conducts (BASEL, 2005).</w:t>
      </w:r>
    </w:p>
  </w:endnote>
  <w:endnote w:id="3">
    <w:p w14:paraId="7B2618C5" w14:textId="55390468" w:rsidR="0063067D" w:rsidRDefault="0063067D" w:rsidP="002228C4">
      <w:pPr>
        <w:pStyle w:val="FootnoteText"/>
        <w:spacing w:line="480" w:lineRule="auto"/>
      </w:pPr>
      <w:r>
        <w:rPr>
          <w:rStyle w:val="EndnoteReference"/>
        </w:rPr>
        <w:endnoteRef/>
      </w:r>
      <w:r>
        <w:t xml:space="preserve"> This is explored within following literature review, including authors such as Jackman (2001), and </w:t>
      </w:r>
      <w:proofErr w:type="spellStart"/>
      <w:r>
        <w:t>Calcott</w:t>
      </w:r>
      <w:proofErr w:type="spellEnd"/>
      <w:r>
        <w:t xml:space="preserve"> (2010) who discuss the extremes of compliance approaches.</w:t>
      </w:r>
    </w:p>
  </w:endnote>
  <w:endnote w:id="4">
    <w:p w14:paraId="1813B0C5" w14:textId="77777777" w:rsidR="0063067D" w:rsidRDefault="0063067D" w:rsidP="00495866">
      <w:pPr>
        <w:pStyle w:val="EndnoteText"/>
        <w:spacing w:line="480" w:lineRule="auto"/>
      </w:pPr>
      <w:r>
        <w:rPr>
          <w:rStyle w:val="EndnoteReference"/>
        </w:rPr>
        <w:endnoteRef/>
      </w:r>
      <w:r>
        <w:t xml:space="preserve"> A range of media articles discuss the appointment of Andrew Bailey including: https://city.wsj.com/stories/2dfa6618-8d61-4980-9b04-0abd33e7e26b.html accessed February 2016, </w:t>
      </w:r>
    </w:p>
    <w:p w14:paraId="46712D50" w14:textId="77777777" w:rsidR="0063067D" w:rsidRDefault="0063067D" w:rsidP="00495866">
      <w:pPr>
        <w:pStyle w:val="EndnoteText"/>
        <w:spacing w:line="480" w:lineRule="auto"/>
      </w:pPr>
      <w:r>
        <w:t>http://www.telegraph.co.uk/finance/newsbysector/banksandfinance/12121782/Andrew-Bailey-named-surprise-choice-to-run-Financial-Conduct-Authority.html accessed February 2016.</w:t>
      </w:r>
    </w:p>
  </w:endnote>
  <w:endnote w:id="5">
    <w:p w14:paraId="6A7DC055" w14:textId="77777777" w:rsidR="0063067D" w:rsidRDefault="0063067D" w:rsidP="002228C4">
      <w:pPr>
        <w:pStyle w:val="EndnoteText"/>
        <w:spacing w:line="480" w:lineRule="auto"/>
      </w:pPr>
      <w:r>
        <w:rPr>
          <w:rStyle w:val="EndnoteReference"/>
        </w:rPr>
        <w:endnoteRef/>
      </w:r>
      <w:r>
        <w:t xml:space="preserve"> See enforcement actions at </w:t>
      </w:r>
      <w:r w:rsidRPr="00135A1A">
        <w:t>https://www.fca.org.uk/about/enforcement</w:t>
      </w:r>
    </w:p>
  </w:endnote>
  <w:endnote w:id="6">
    <w:p w14:paraId="43ED4A46" w14:textId="2A36FD16" w:rsidR="0063067D" w:rsidRPr="00BE477D" w:rsidRDefault="0063067D" w:rsidP="00BE477D">
      <w:pPr>
        <w:pStyle w:val="EndnoteText"/>
      </w:pPr>
      <w:r>
        <w:rPr>
          <w:rStyle w:val="EndnoteReference"/>
        </w:rPr>
        <w:endnoteRef/>
      </w:r>
      <w:r>
        <w:t xml:space="preserve"> See </w:t>
      </w:r>
      <w:r w:rsidRPr="00BE477D">
        <w:t>https://www.fca.org.uk/publication/news/enforcement-credible-deterrence-speech.pdf</w:t>
      </w:r>
    </w:p>
  </w:endnote>
  <w:endnote w:id="7">
    <w:p w14:paraId="18EA46B9" w14:textId="6F4559F6" w:rsidR="0063067D" w:rsidRDefault="0063067D" w:rsidP="002228C4">
      <w:pPr>
        <w:pStyle w:val="EndnoteText"/>
        <w:spacing w:line="480" w:lineRule="auto"/>
      </w:pPr>
      <w:r>
        <w:rPr>
          <w:rStyle w:val="EndnoteReference"/>
        </w:rPr>
        <w:endnoteRef/>
      </w:r>
      <w:r>
        <w:t xml:space="preserve"> For example, strict adherence to codes of conduct and ethics apply from legal and accounting professions. See http://www.lawsociety.org.uk/for-the-public/using-a-solicitor/code-of-conduct/</w:t>
      </w:r>
    </w:p>
    <w:p w14:paraId="1F56B126" w14:textId="24E4707D" w:rsidR="0063067D" w:rsidRDefault="0063067D" w:rsidP="002228C4">
      <w:pPr>
        <w:pStyle w:val="EndnoteText"/>
        <w:spacing w:line="480" w:lineRule="auto"/>
      </w:pPr>
      <w:r>
        <w:t>https://www.icaew.com/en/technical/ethics/icaew-code-of-ethics/icaew-code-of-ethics.</w:t>
      </w:r>
    </w:p>
  </w:endnote>
  <w:endnote w:id="8">
    <w:p w14:paraId="4D923B5F" w14:textId="6D9F49A1" w:rsidR="0063067D" w:rsidRDefault="0063067D" w:rsidP="002228C4">
      <w:pPr>
        <w:pStyle w:val="EndnoteText"/>
        <w:spacing w:line="480" w:lineRule="auto"/>
      </w:pPr>
      <w:r>
        <w:rPr>
          <w:rStyle w:val="EndnoteReference"/>
        </w:rPr>
        <w:endnoteRef/>
      </w:r>
      <w:r>
        <w:t xml:space="preserve"> See press release for details, https://www.bba.org.uk/news/press-releases/bba-licence-to-trade-qualifications-and-tougher-codes-of-conduct-will-strengthen-trust-in-financial-markets/#.WLlDcdJXXZ4</w:t>
      </w:r>
    </w:p>
  </w:endnote>
  <w:endnote w:id="9">
    <w:p w14:paraId="3D44CA9D" w14:textId="5F515353" w:rsidR="0063067D" w:rsidRDefault="0063067D" w:rsidP="002228C4">
      <w:pPr>
        <w:pStyle w:val="EndnoteText"/>
        <w:spacing w:line="480" w:lineRule="auto"/>
      </w:pPr>
      <w:r>
        <w:rPr>
          <w:rStyle w:val="EndnoteReference"/>
        </w:rPr>
        <w:endnoteRef/>
      </w:r>
      <w:r>
        <w:t xml:space="preserve"> See </w:t>
      </w:r>
      <w:r w:rsidRPr="00562DE2">
        <w:t>https://www.bis.org/publ/bcbs113.htm</w:t>
      </w:r>
    </w:p>
  </w:endnote>
  <w:endnote w:id="10">
    <w:p w14:paraId="5557265A" w14:textId="0BDC4813" w:rsidR="0063067D" w:rsidRDefault="0063067D">
      <w:pPr>
        <w:pStyle w:val="EndnoteText"/>
      </w:pPr>
      <w:r>
        <w:rPr>
          <w:rStyle w:val="EndnoteReference"/>
        </w:rPr>
        <w:endnoteRef/>
      </w:r>
      <w:r>
        <w:t xml:space="preserve"> As highlighted with Appendix 5 d</w:t>
      </w:r>
      <w:r w:rsidRPr="00DD0A6A">
        <w:t>uring our analysis, we found difficulty in identifying praise of specific firm’s culture/compliance by FCA. Usually we would expect to s</w:t>
      </w:r>
      <w:r>
        <w:t>ee</w:t>
      </w:r>
      <w:r w:rsidRPr="00DD0A6A">
        <w:t xml:space="preserve"> highlights of ‘good practice’ in thematic reviews. However, within the 2015/16 annual report it was announced that “we considered that a thematic review would not be the most effective and efficient way to continue to support and drive continued culture change across the sector. Instead, we decided that the most effective way to achieve this was to continue to engage individually with firms, as well as supporting other initiatives outside the FCA. We have not changed our views about the importance of firm culture and we will continue our work with individual firms” (2015/16 Annual Report). As an alternative method of analysis the annual reports were searched to review the emphasis on culture by the FCA year on year</w:t>
      </w:r>
      <w:r>
        <w:t xml:space="preserve"> in Appendix 5. In order to identify examples of good practice (highlighted in Appendix 4) we have used firms identified within</w:t>
      </w:r>
      <w:r w:rsidRPr="00DD0A6A">
        <w:t xml:space="preserve"> </w:t>
      </w:r>
      <w:r>
        <w:t xml:space="preserve">the </w:t>
      </w:r>
      <w:r w:rsidRPr="00DD0A6A">
        <w:t>‘Best of British’ speech by Tracey McDermott (FCA 2014d), these organisations were included as exemplars of good ‘culture’ and ‘trust’ messages within the sector. Therefore, the press releases of Cooperative Bank, Nationwide, RBS and Virgin Money were selected as a sample. However, also to note that RBS was fined during 2014 as part of the wider, systemic LIBOR issues in 2014.</w:t>
      </w:r>
    </w:p>
  </w:endnote>
  <w:endnote w:id="11">
    <w:p w14:paraId="17D07838" w14:textId="77777777" w:rsidR="0063067D" w:rsidRDefault="0063067D" w:rsidP="004E27A4">
      <w:pPr>
        <w:pStyle w:val="EndnoteText"/>
      </w:pPr>
      <w:r>
        <w:rPr>
          <w:rStyle w:val="EndnoteReference"/>
        </w:rPr>
        <w:endnoteRef/>
      </w:r>
      <w:r>
        <w:t xml:space="preserve"> </w:t>
      </w:r>
      <w:r w:rsidRPr="00760E87">
        <w:t>Risk management and compliance are often seen as inextricably interlinked within the professional landscape in the UK, whereby compliance officer and risk manager are used for the role. However within the literature Haynes (2005) is critical of the overlaps of roles in some organisations, whereby roles of “risk management” and “risk based compliance” (and other control functions) should not be blurred.</w:t>
      </w:r>
    </w:p>
  </w:endnote>
  <w:endnote w:id="12">
    <w:p w14:paraId="17162AAD" w14:textId="1BD17B58" w:rsidR="0063067D" w:rsidRDefault="0063067D">
      <w:pPr>
        <w:pStyle w:val="EndnoteText"/>
      </w:pPr>
      <w:r>
        <w:rPr>
          <w:rStyle w:val="EndnoteReference"/>
        </w:rPr>
        <w:endnoteRef/>
      </w:r>
      <w:r>
        <w:t xml:space="preserve"> See </w:t>
      </w:r>
      <w:hyperlink r:id="rId1" w:history="1">
        <w:r w:rsidRPr="005A2FC2">
          <w:rPr>
            <w:rStyle w:val="Hyperlink"/>
          </w:rPr>
          <w:t>http://www.bbc.co.uk/news/business-33859015</w:t>
        </w:r>
      </w:hyperlink>
      <w:r>
        <w:t xml:space="preserve"> for discussion of the capital shortfall issues in the bank, and the regulators criticism of the institute without official sanction.</w:t>
      </w:r>
    </w:p>
  </w:endnote>
  <w:endnote w:id="13">
    <w:p w14:paraId="25181DAC" w14:textId="663598CB" w:rsidR="0063067D" w:rsidRDefault="0063067D">
      <w:pPr>
        <w:pStyle w:val="EndnoteText"/>
      </w:pPr>
      <w:r>
        <w:rPr>
          <w:rStyle w:val="EndnoteReference"/>
        </w:rPr>
        <w:endnoteRef/>
      </w:r>
      <w:r>
        <w:t xml:space="preserve"> There are ongoing criticism of both the role of management of RBS and the then regulator the FSA within media coverage. </w:t>
      </w:r>
      <w:hyperlink r:id="rId2" w:history="1">
        <w:r w:rsidRPr="005A2FC2">
          <w:rPr>
            <w:rStyle w:val="Hyperlink"/>
          </w:rPr>
          <w:t>http://www.telegraph.co.uk/finance/newsbysector/banksandfinance/8950115/RBS-report-poor-decisions-by-management-and-FSA-blamed-for-failure.html</w:t>
        </w:r>
      </w:hyperlink>
      <w:r>
        <w:t xml:space="preserve"> and </w:t>
      </w:r>
      <w:hyperlink r:id="rId3" w:history="1">
        <w:r w:rsidRPr="005A2FC2">
          <w:rPr>
            <w:rStyle w:val="Hyperlink"/>
          </w:rPr>
          <w:t>http://www.bbc.co.uk/news/business-41652883</w:t>
        </w:r>
      </w:hyperlink>
      <w:r>
        <w:t xml:space="preserve"> provide further background to this case.</w:t>
      </w:r>
    </w:p>
  </w:endnote>
  <w:endnote w:id="14">
    <w:p w14:paraId="4A0E886A" w14:textId="1295F41D" w:rsidR="0063067D" w:rsidRDefault="0063067D">
      <w:pPr>
        <w:pStyle w:val="EndnoteText"/>
      </w:pPr>
      <w:r>
        <w:rPr>
          <w:rStyle w:val="EndnoteReference"/>
        </w:rPr>
        <w:endnoteRef/>
      </w:r>
      <w:r>
        <w:t xml:space="preserve"> See </w:t>
      </w:r>
      <w:r w:rsidRPr="00A3592A">
        <w:t>http://www.bbc.co.uk/news/business-15769886</w:t>
      </w:r>
    </w:p>
  </w:endnote>
  <w:endnote w:id="15">
    <w:p w14:paraId="0E34D3AB" w14:textId="3AFAE9F0" w:rsidR="0063067D" w:rsidRDefault="0063067D" w:rsidP="002228C4">
      <w:pPr>
        <w:pStyle w:val="FootnoteText"/>
        <w:spacing w:line="480" w:lineRule="auto"/>
      </w:pPr>
      <w:r>
        <w:rPr>
          <w:rStyle w:val="EndnoteReference"/>
        </w:rPr>
        <w:endnoteRef/>
      </w:r>
      <w:r>
        <w:t xml:space="preserve"> See </w:t>
      </w:r>
      <w:hyperlink r:id="rId4" w:history="1">
        <w:r w:rsidR="00765B62" w:rsidRPr="00D27C1E">
          <w:rPr>
            <w:rStyle w:val="Hyperlink"/>
          </w:rPr>
          <w:t>http://www.nytimes.com/2016/09/09/business/dealbook/wells-fargo-fined-for-years-of-harm-to-customers.html?_r=1</w:t>
        </w:r>
      </w:hyperlink>
    </w:p>
    <w:bookmarkStart w:id="10" w:name="_MON_1592206965"/>
    <w:bookmarkEnd w:id="10"/>
    <w:p w14:paraId="5FD43C86" w14:textId="067C2317" w:rsidR="00765B62" w:rsidRDefault="00765B62" w:rsidP="002228C4">
      <w:pPr>
        <w:pStyle w:val="FootnoteText"/>
        <w:spacing w:line="480" w:lineRule="auto"/>
      </w:pPr>
      <w:r>
        <w:object w:dxaOrig="9026" w:dyaOrig="450" w14:anchorId="635AE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48.9pt;height:22.2pt">
            <v:imagedata r:id="rId5" o:title=""/>
          </v:shape>
          <o:OLEObject Type="Embed" ProgID="Word.Document.12" ShapeID="_x0000_i1032" DrawAspect="Content" ObjectID="_1593420642" r:id="rId6">
            <o:FieldCodes>\s</o:FieldCodes>
          </o:OLEObject>
        </w:object>
      </w:r>
    </w:p>
    <w:p w14:paraId="0EE4A4D8" w14:textId="22D500BF" w:rsidR="0063067D" w:rsidRDefault="0063067D">
      <w:pPr>
        <w:pStyle w:val="EndnoteText"/>
      </w:pPr>
    </w:p>
    <w:p w14:paraId="608A5E2D" w14:textId="11E67C34" w:rsidR="00765B62" w:rsidRDefault="00765B62">
      <w:pPr>
        <w:pStyle w:val="EndnoteText"/>
      </w:pPr>
    </w:p>
    <w:p w14:paraId="52379C20" w14:textId="76B49FE4" w:rsidR="00765B62" w:rsidRDefault="00765B62">
      <w:pPr>
        <w:pStyle w:val="EndnoteText"/>
      </w:pPr>
    </w:p>
    <w:p w14:paraId="0A66D7A1" w14:textId="02AC9D29" w:rsidR="00765B62" w:rsidRDefault="00765B62">
      <w:pPr>
        <w:pStyle w:val="EndnoteText"/>
      </w:pPr>
    </w:p>
    <w:p w14:paraId="3315D41C" w14:textId="086A3A8F" w:rsidR="00765B62" w:rsidRDefault="00765B62">
      <w:pPr>
        <w:pStyle w:val="EndnoteText"/>
      </w:pPr>
    </w:p>
    <w:p w14:paraId="6E553A9E" w14:textId="3941F020" w:rsidR="00765B62" w:rsidRDefault="00765B62">
      <w:pPr>
        <w:pStyle w:val="EndnoteText"/>
      </w:pPr>
    </w:p>
    <w:p w14:paraId="31A5D983" w14:textId="37961932" w:rsidR="00765B62" w:rsidRDefault="00765B62">
      <w:pPr>
        <w:pStyle w:val="EndnoteText"/>
      </w:pPr>
    </w:p>
    <w:p w14:paraId="145167C3" w14:textId="4D4A3CE3" w:rsidR="00765B62" w:rsidRDefault="00765B62">
      <w:pPr>
        <w:pStyle w:val="EndnoteText"/>
      </w:pPr>
    </w:p>
    <w:p w14:paraId="340E9CD1" w14:textId="6FFA7113" w:rsidR="00765B62" w:rsidRDefault="00765B62">
      <w:pPr>
        <w:pStyle w:val="EndnoteText"/>
      </w:pPr>
    </w:p>
    <w:p w14:paraId="75D0E9EC" w14:textId="58BAEC9F" w:rsidR="00765B62" w:rsidRDefault="00765B62">
      <w:pPr>
        <w:pStyle w:val="EndnoteText"/>
      </w:pPr>
    </w:p>
    <w:p w14:paraId="161486FA" w14:textId="0B16CF62" w:rsidR="00765B62" w:rsidRDefault="00765B62">
      <w:pPr>
        <w:pStyle w:val="EndnoteText"/>
      </w:pPr>
    </w:p>
    <w:p w14:paraId="051E95EE" w14:textId="1972FA74" w:rsidR="00765B62" w:rsidRDefault="00765B62">
      <w:pPr>
        <w:pStyle w:val="EndnoteText"/>
      </w:pPr>
    </w:p>
    <w:p w14:paraId="6AFEFDB8" w14:textId="352D3D33" w:rsidR="00765B62" w:rsidRDefault="00765B62">
      <w:pPr>
        <w:pStyle w:val="EndnoteText"/>
      </w:pPr>
    </w:p>
    <w:p w14:paraId="2391A472" w14:textId="36AAB709" w:rsidR="00765B62" w:rsidRDefault="00765B62">
      <w:pPr>
        <w:pStyle w:val="EndnoteText"/>
      </w:pPr>
    </w:p>
    <w:p w14:paraId="4E3C9B27" w14:textId="451AE412" w:rsidR="00765B62" w:rsidRDefault="00765B62">
      <w:pPr>
        <w:pStyle w:val="EndnoteText"/>
      </w:pPr>
    </w:p>
    <w:p w14:paraId="33AC51C5" w14:textId="407E261F" w:rsidR="00765B62" w:rsidRDefault="00765B62">
      <w:pPr>
        <w:pStyle w:val="EndnoteText"/>
      </w:pPr>
    </w:p>
    <w:p w14:paraId="42894DB3" w14:textId="3D6CCE2D" w:rsidR="00765B62" w:rsidRDefault="00765B62">
      <w:pPr>
        <w:pStyle w:val="EndnoteText"/>
      </w:pPr>
    </w:p>
    <w:p w14:paraId="122E608E" w14:textId="32034397" w:rsidR="00765B62" w:rsidRDefault="00765B62">
      <w:pPr>
        <w:pStyle w:val="EndnoteText"/>
      </w:pPr>
    </w:p>
    <w:p w14:paraId="4244C568" w14:textId="618451EF" w:rsidR="00765B62" w:rsidRDefault="00765B62">
      <w:pPr>
        <w:pStyle w:val="EndnoteText"/>
      </w:pPr>
    </w:p>
    <w:p w14:paraId="2C482C0C" w14:textId="46B0C159" w:rsidR="00765B62" w:rsidRDefault="00765B62">
      <w:pPr>
        <w:pStyle w:val="EndnoteText"/>
      </w:pPr>
    </w:p>
    <w:p w14:paraId="05F6544B" w14:textId="21A90454" w:rsidR="00765B62" w:rsidRDefault="00765B62">
      <w:pPr>
        <w:pStyle w:val="EndnoteText"/>
      </w:pPr>
    </w:p>
    <w:p w14:paraId="6C17BD77" w14:textId="78EAE617" w:rsidR="00765B62" w:rsidRDefault="00765B62">
      <w:pPr>
        <w:pStyle w:val="EndnoteText"/>
      </w:pPr>
    </w:p>
    <w:p w14:paraId="6689EDE6" w14:textId="202F0591" w:rsidR="00765B62" w:rsidRDefault="00765B62">
      <w:pPr>
        <w:pStyle w:val="EndnoteText"/>
      </w:pPr>
    </w:p>
    <w:p w14:paraId="46F54093" w14:textId="3AC3BFF5" w:rsidR="00765B62" w:rsidRDefault="00765B62">
      <w:pPr>
        <w:pStyle w:val="EndnoteText"/>
      </w:pPr>
    </w:p>
    <w:p w14:paraId="02A7E3F6" w14:textId="4D8AE2FA" w:rsidR="00765B62" w:rsidRDefault="00765B62">
      <w:pPr>
        <w:pStyle w:val="EndnoteText"/>
      </w:pPr>
    </w:p>
    <w:p w14:paraId="64327333" w14:textId="41FB8DC9" w:rsidR="00765B62" w:rsidRDefault="00765B62">
      <w:pPr>
        <w:pStyle w:val="EndnoteText"/>
      </w:pPr>
    </w:p>
    <w:p w14:paraId="6A7B2664" w14:textId="37F5FBBF" w:rsidR="00765B62" w:rsidRDefault="00765B62">
      <w:pPr>
        <w:pStyle w:val="EndnoteText"/>
      </w:pPr>
    </w:p>
    <w:p w14:paraId="72C7AEE4" w14:textId="449D267B" w:rsidR="00765B62" w:rsidRDefault="00765B62">
      <w:pPr>
        <w:pStyle w:val="EndnoteText"/>
      </w:pPr>
    </w:p>
    <w:p w14:paraId="5BDA0477" w14:textId="75544566" w:rsidR="00765B62" w:rsidRDefault="00765B62">
      <w:pPr>
        <w:pStyle w:val="EndnoteText"/>
      </w:pPr>
    </w:p>
    <w:p w14:paraId="3CF75935" w14:textId="7414BF33" w:rsidR="00765B62" w:rsidRDefault="00765B62">
      <w:pPr>
        <w:pStyle w:val="EndnoteText"/>
      </w:pPr>
    </w:p>
    <w:p w14:paraId="5AF7EABB" w14:textId="62FD874F" w:rsidR="00765B62" w:rsidRDefault="00765B62">
      <w:pPr>
        <w:pStyle w:val="EndnoteText"/>
      </w:pPr>
    </w:p>
    <w:p w14:paraId="333CC415" w14:textId="2A6EE542" w:rsidR="00765B62" w:rsidRDefault="00765B62">
      <w:pPr>
        <w:pStyle w:val="EndnoteText"/>
      </w:pPr>
    </w:p>
    <w:p w14:paraId="7B5DD723" w14:textId="6C51FC57" w:rsidR="00765B62" w:rsidRDefault="00765B62">
      <w:pPr>
        <w:pStyle w:val="EndnoteText"/>
      </w:pPr>
    </w:p>
    <w:p w14:paraId="204A8F37" w14:textId="651CE757" w:rsidR="00765B62" w:rsidRDefault="00765B62">
      <w:pPr>
        <w:pStyle w:val="EndnoteText"/>
      </w:pPr>
    </w:p>
    <w:p w14:paraId="20E3E347" w14:textId="141B0CB3" w:rsidR="00765B62" w:rsidRDefault="00765B62">
      <w:pPr>
        <w:pStyle w:val="EndnoteText"/>
      </w:pPr>
    </w:p>
    <w:p w14:paraId="6CC2DB89" w14:textId="7D26E170" w:rsidR="00765B62" w:rsidRDefault="00765B62">
      <w:pPr>
        <w:pStyle w:val="EndnoteText"/>
      </w:pPr>
    </w:p>
    <w:p w14:paraId="57A38A9C" w14:textId="2E244E4E" w:rsidR="00765B62" w:rsidRDefault="00765B62">
      <w:pPr>
        <w:pStyle w:val="EndnoteText"/>
      </w:pPr>
    </w:p>
    <w:p w14:paraId="41DCD96E" w14:textId="1008A718" w:rsidR="00765B62" w:rsidRDefault="00765B62">
      <w:pPr>
        <w:pStyle w:val="EndnoteText"/>
      </w:pPr>
    </w:p>
    <w:p w14:paraId="36FEEAE8" w14:textId="2F0CC0A4" w:rsidR="00765B62" w:rsidRDefault="00765B62">
      <w:pPr>
        <w:pStyle w:val="EndnoteText"/>
      </w:pPr>
    </w:p>
    <w:p w14:paraId="1747245B" w14:textId="565A2855" w:rsidR="00765B62" w:rsidRDefault="00765B62">
      <w:pPr>
        <w:pStyle w:val="EndnoteText"/>
      </w:pPr>
    </w:p>
    <w:p w14:paraId="5BCA2DEB" w14:textId="67A1694B" w:rsidR="00765B62" w:rsidRDefault="00765B62">
      <w:pPr>
        <w:pStyle w:val="EndnoteText"/>
      </w:pPr>
    </w:p>
    <w:p w14:paraId="365148C0" w14:textId="13D0EAFA" w:rsidR="00765B62" w:rsidRDefault="00765B62">
      <w:pPr>
        <w:pStyle w:val="EndnoteText"/>
      </w:pPr>
    </w:p>
    <w:p w14:paraId="50D33C54" w14:textId="13D0EAFA" w:rsidR="00765B62" w:rsidRDefault="00765B62">
      <w:pPr>
        <w:pStyle w:val="EndnoteText"/>
      </w:pPr>
    </w:p>
    <w:p w14:paraId="3C510427" w14:textId="77777777" w:rsidR="00765B62" w:rsidRDefault="00765B62">
      <w:pPr>
        <w:pStyle w:val="EndnoteText"/>
      </w:pPr>
    </w:p>
    <w:p w14:paraId="1C85A947" w14:textId="674C4151" w:rsidR="00765B62" w:rsidRDefault="00765B62">
      <w:pPr>
        <w:pStyle w:val="EndnoteText"/>
      </w:pPr>
    </w:p>
    <w:p w14:paraId="73729BE9" w14:textId="5A39FAE5" w:rsidR="00765B62" w:rsidRDefault="00765B62">
      <w:pPr>
        <w:pStyle w:val="EndnoteText"/>
      </w:pPr>
    </w:p>
    <w:p w14:paraId="7D5B0E43" w14:textId="79302385" w:rsidR="00765B62" w:rsidRDefault="00765B62">
      <w:pPr>
        <w:pStyle w:val="EndnoteText"/>
      </w:pPr>
    </w:p>
    <w:p w14:paraId="46CF9E7A" w14:textId="37E2ED92" w:rsidR="00765B62" w:rsidRDefault="00765B62">
      <w:pPr>
        <w:pStyle w:val="EndnoteText"/>
      </w:pPr>
    </w:p>
    <w:p w14:paraId="17C0CAE4" w14:textId="184B0619" w:rsidR="00765B62" w:rsidRDefault="00765B62">
      <w:pPr>
        <w:pStyle w:val="EndnoteText"/>
      </w:pPr>
    </w:p>
    <w:p w14:paraId="11359D7D" w14:textId="78E2A828" w:rsidR="00765B62" w:rsidRDefault="00765B62">
      <w:pPr>
        <w:pStyle w:val="EndnoteText"/>
      </w:pPr>
    </w:p>
    <w:p w14:paraId="2A5A028A" w14:textId="250DAB4A" w:rsidR="00765B62" w:rsidRDefault="00765B62">
      <w:pPr>
        <w:pStyle w:val="EndnoteText"/>
      </w:pPr>
    </w:p>
    <w:p w14:paraId="187108E8" w14:textId="0DFE16BC" w:rsidR="00765B62" w:rsidRDefault="00765B62">
      <w:pPr>
        <w:pStyle w:val="EndnoteText"/>
      </w:pPr>
    </w:p>
    <w:p w14:paraId="67BACFE9" w14:textId="616081DF" w:rsidR="00765B62" w:rsidRDefault="00765B62">
      <w:pPr>
        <w:pStyle w:val="EndnoteText"/>
      </w:pPr>
    </w:p>
    <w:p w14:paraId="4E633D59" w14:textId="51FD2111" w:rsidR="00765B62" w:rsidRDefault="00765B62">
      <w:pPr>
        <w:pStyle w:val="EndnoteText"/>
      </w:pPr>
    </w:p>
    <w:p w14:paraId="76EA6E53" w14:textId="245DCB08" w:rsidR="00765B62" w:rsidRDefault="00765B62">
      <w:pPr>
        <w:pStyle w:val="EndnoteText"/>
      </w:pPr>
    </w:p>
    <w:p w14:paraId="3D42B591" w14:textId="29AAE3D6" w:rsidR="00765B62" w:rsidRDefault="00765B62">
      <w:pPr>
        <w:pStyle w:val="EndnoteText"/>
      </w:pPr>
    </w:p>
    <w:p w14:paraId="1BF35B64" w14:textId="41F825C1" w:rsidR="00765B62" w:rsidRDefault="00765B62">
      <w:pPr>
        <w:pStyle w:val="EndnoteText"/>
      </w:pPr>
    </w:p>
    <w:p w14:paraId="67CD2378" w14:textId="03D51B3C" w:rsidR="00765B62" w:rsidRDefault="00765B62">
      <w:pPr>
        <w:pStyle w:val="EndnoteText"/>
      </w:pPr>
    </w:p>
    <w:p w14:paraId="21828419" w14:textId="2C59C03A" w:rsidR="00765B62" w:rsidRDefault="00765B62">
      <w:pPr>
        <w:pStyle w:val="EndnoteText"/>
      </w:pPr>
    </w:p>
    <w:p w14:paraId="0A304837" w14:textId="468379C0" w:rsidR="00765B62" w:rsidRDefault="00765B62">
      <w:pPr>
        <w:pStyle w:val="EndnoteText"/>
      </w:pPr>
    </w:p>
    <w:p w14:paraId="3CE292B7" w14:textId="6DA563EA" w:rsidR="00765B62" w:rsidRDefault="00765B62">
      <w:pPr>
        <w:pStyle w:val="EndnoteText"/>
      </w:pPr>
    </w:p>
    <w:p w14:paraId="7CF705CF" w14:textId="7841E95B" w:rsidR="00765B62" w:rsidRDefault="00765B62">
      <w:pPr>
        <w:pStyle w:val="EndnoteText"/>
      </w:pPr>
    </w:p>
    <w:p w14:paraId="13A231EF" w14:textId="01E23CFA" w:rsidR="00765B62" w:rsidRDefault="00765B62">
      <w:pPr>
        <w:pStyle w:val="EndnoteText"/>
      </w:pPr>
    </w:p>
    <w:p w14:paraId="5F49EBBB" w14:textId="4B02D3C2" w:rsidR="00765B62" w:rsidRDefault="00765B62">
      <w:pPr>
        <w:pStyle w:val="EndnoteText"/>
      </w:pPr>
    </w:p>
    <w:p w14:paraId="4682A825" w14:textId="12A20AAD" w:rsidR="00765B62" w:rsidRDefault="00765B62">
      <w:pPr>
        <w:pStyle w:val="EndnoteText"/>
      </w:pPr>
    </w:p>
    <w:p w14:paraId="6D804E29" w14:textId="38BDAC4E" w:rsidR="00765B62" w:rsidRDefault="00765B62">
      <w:pPr>
        <w:pStyle w:val="EndnoteText"/>
      </w:pPr>
    </w:p>
    <w:p w14:paraId="5F88037A" w14:textId="6DEFF81A" w:rsidR="00765B62" w:rsidRDefault="00765B62">
      <w:pPr>
        <w:pStyle w:val="EndnoteText"/>
      </w:pPr>
    </w:p>
    <w:p w14:paraId="2A0DFACD" w14:textId="5E1D4B19" w:rsidR="00765B62" w:rsidRDefault="00765B62">
      <w:pPr>
        <w:pStyle w:val="EndnoteText"/>
      </w:pPr>
    </w:p>
    <w:p w14:paraId="24D6EA6E" w14:textId="5D9DDFF9" w:rsidR="00765B62" w:rsidRDefault="00765B62">
      <w:pPr>
        <w:pStyle w:val="EndnoteText"/>
      </w:pPr>
    </w:p>
    <w:p w14:paraId="0CA63F48" w14:textId="5C4435ED" w:rsidR="00765B62" w:rsidRDefault="00765B62">
      <w:pPr>
        <w:pStyle w:val="EndnoteText"/>
      </w:pPr>
    </w:p>
    <w:p w14:paraId="3FD5A47B" w14:textId="11915187" w:rsidR="00765B62" w:rsidRDefault="00765B62">
      <w:pPr>
        <w:pStyle w:val="EndnoteText"/>
      </w:pPr>
    </w:p>
    <w:p w14:paraId="0EF15694" w14:textId="4627F19B" w:rsidR="00765B62" w:rsidRDefault="00765B62">
      <w:pPr>
        <w:pStyle w:val="EndnoteText"/>
      </w:pPr>
    </w:p>
    <w:p w14:paraId="056C95B0" w14:textId="7AC29A11" w:rsidR="00765B62" w:rsidRDefault="00765B62">
      <w:pPr>
        <w:pStyle w:val="EndnoteText"/>
      </w:pPr>
    </w:p>
    <w:p w14:paraId="169D76AA" w14:textId="550CE748" w:rsidR="00765B62" w:rsidRDefault="00765B62">
      <w:pPr>
        <w:pStyle w:val="EndnoteText"/>
      </w:pPr>
    </w:p>
    <w:p w14:paraId="6B11A240" w14:textId="07247579" w:rsidR="00765B62" w:rsidRDefault="00765B62">
      <w:pPr>
        <w:pStyle w:val="EndnoteText"/>
      </w:pPr>
    </w:p>
    <w:p w14:paraId="1CBB4D25" w14:textId="27E2C30C" w:rsidR="00765B62" w:rsidRDefault="00765B62">
      <w:pPr>
        <w:pStyle w:val="EndnoteText"/>
      </w:pPr>
    </w:p>
    <w:p w14:paraId="4161794D" w14:textId="51E30F96" w:rsidR="00765B62" w:rsidRDefault="00765B62">
      <w:pPr>
        <w:pStyle w:val="EndnoteText"/>
      </w:pPr>
    </w:p>
    <w:p w14:paraId="0ED9DC04" w14:textId="7AB73127" w:rsidR="00765B62" w:rsidRDefault="00765B62">
      <w:pPr>
        <w:pStyle w:val="EndnoteText"/>
      </w:pPr>
    </w:p>
    <w:p w14:paraId="60E59915" w14:textId="765907F6" w:rsidR="00765B62" w:rsidRDefault="00765B62">
      <w:pPr>
        <w:pStyle w:val="EndnoteText"/>
      </w:pPr>
    </w:p>
    <w:p w14:paraId="50936340" w14:textId="60143546" w:rsidR="00765B62" w:rsidRDefault="00765B62">
      <w:pPr>
        <w:pStyle w:val="EndnoteText"/>
      </w:pPr>
    </w:p>
    <w:p w14:paraId="024CACBA" w14:textId="49960E3F" w:rsidR="00765B62" w:rsidRDefault="00765B62">
      <w:pPr>
        <w:pStyle w:val="EndnoteText"/>
      </w:pPr>
    </w:p>
    <w:p w14:paraId="1CAD5B2F" w14:textId="297A865B" w:rsidR="00765B62" w:rsidRDefault="00765B62">
      <w:pPr>
        <w:pStyle w:val="EndnoteText"/>
      </w:pPr>
    </w:p>
    <w:p w14:paraId="5C811C5C" w14:textId="00433974" w:rsidR="00765B62" w:rsidRDefault="00765B62">
      <w:pPr>
        <w:pStyle w:val="EndnoteText"/>
      </w:pPr>
    </w:p>
    <w:p w14:paraId="2DFFC1ED" w14:textId="6450CB36" w:rsidR="00765B62" w:rsidRDefault="00765B62">
      <w:pPr>
        <w:pStyle w:val="EndnoteText"/>
      </w:pPr>
    </w:p>
    <w:p w14:paraId="0A90CF1B" w14:textId="1686A99F" w:rsidR="00765B62" w:rsidRDefault="00765B62">
      <w:pPr>
        <w:pStyle w:val="EndnoteText"/>
      </w:pPr>
    </w:p>
    <w:p w14:paraId="4726008B" w14:textId="3D0B6F92" w:rsidR="00765B62" w:rsidRDefault="00765B62">
      <w:pPr>
        <w:pStyle w:val="EndnoteText"/>
      </w:pPr>
    </w:p>
    <w:p w14:paraId="7AC411FF" w14:textId="4E92298A" w:rsidR="00765B62" w:rsidRDefault="00765B62">
      <w:pPr>
        <w:pStyle w:val="EndnoteText"/>
      </w:pPr>
    </w:p>
    <w:p w14:paraId="585075F6" w14:textId="6DE27CCB" w:rsidR="00765B62" w:rsidRDefault="00765B62">
      <w:pPr>
        <w:pStyle w:val="EndnoteText"/>
      </w:pPr>
    </w:p>
    <w:p w14:paraId="24DA6944" w14:textId="77777777" w:rsidR="00765B62" w:rsidRDefault="00765B6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124633"/>
      <w:docPartObj>
        <w:docPartGallery w:val="Page Numbers (Bottom of Page)"/>
        <w:docPartUnique/>
      </w:docPartObj>
    </w:sdtPr>
    <w:sdtEndPr>
      <w:rPr>
        <w:noProof/>
      </w:rPr>
    </w:sdtEndPr>
    <w:sdtContent>
      <w:p w14:paraId="5C92A5CB" w14:textId="228B1DA1" w:rsidR="0063067D" w:rsidRDefault="0063067D">
        <w:pPr>
          <w:pStyle w:val="Footer"/>
          <w:jc w:val="center"/>
        </w:pPr>
        <w:r>
          <w:fldChar w:fldCharType="begin"/>
        </w:r>
        <w:r>
          <w:instrText xml:space="preserve"> PAGE   \* MERGEFORMAT </w:instrText>
        </w:r>
        <w:r>
          <w:fldChar w:fldCharType="separate"/>
        </w:r>
        <w:r w:rsidR="007E1024">
          <w:rPr>
            <w:noProof/>
          </w:rPr>
          <w:t>58</w:t>
        </w:r>
        <w:r>
          <w:rPr>
            <w:noProof/>
          </w:rPr>
          <w:fldChar w:fldCharType="end"/>
        </w:r>
      </w:p>
    </w:sdtContent>
  </w:sdt>
  <w:p w14:paraId="58F15DA8" w14:textId="77777777" w:rsidR="0063067D" w:rsidRDefault="0063067D">
    <w:pPr>
      <w:pStyle w:val="Footer"/>
    </w:pPr>
  </w:p>
  <w:p w14:paraId="512A4405" w14:textId="77777777" w:rsidR="009102F4" w:rsidRDefault="009102F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80138"/>
      <w:docPartObj>
        <w:docPartGallery w:val="Page Numbers (Bottom of Page)"/>
        <w:docPartUnique/>
      </w:docPartObj>
    </w:sdtPr>
    <w:sdtEndPr>
      <w:rPr>
        <w:color w:val="808080" w:themeColor="background1" w:themeShade="80"/>
        <w:spacing w:val="60"/>
      </w:rPr>
    </w:sdtEndPr>
    <w:sdtContent>
      <w:p w14:paraId="2CA03D47" w14:textId="52822C12" w:rsidR="00765B62" w:rsidRDefault="00765B62">
        <w:pPr>
          <w:pStyle w:val="Footer"/>
          <w:pBdr>
            <w:top w:val="single" w:sz="4" w:space="1" w:color="D9D9D9" w:themeColor="background1" w:themeShade="D9"/>
          </w:pBdr>
          <w:jc w:val="right"/>
        </w:pPr>
        <w:r>
          <w:fldChar w:fldCharType="begin"/>
        </w:r>
        <w:r>
          <w:instrText xml:space="preserve"> PAGE   \* MERGEFORMAT </w:instrText>
        </w:r>
        <w:r>
          <w:fldChar w:fldCharType="separate"/>
        </w:r>
        <w:r w:rsidR="007E1024">
          <w:rPr>
            <w:noProof/>
          </w:rPr>
          <w:t>81</w:t>
        </w:r>
        <w:r>
          <w:rPr>
            <w:noProof/>
          </w:rPr>
          <w:fldChar w:fldCharType="end"/>
        </w:r>
        <w:r>
          <w:t xml:space="preserve"> | </w:t>
        </w:r>
        <w:r w:rsidRPr="00E412DB">
          <w:rPr>
            <w:color w:val="808080" w:themeColor="background1" w:themeShade="80"/>
            <w:spacing w:val="60"/>
          </w:rPr>
          <w:t>Page</w:t>
        </w:r>
      </w:p>
    </w:sdtContent>
  </w:sdt>
  <w:p w14:paraId="1A5B99E6" w14:textId="77777777" w:rsidR="00765B62" w:rsidRDefault="00765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3654A" w14:textId="77777777" w:rsidR="0063067D" w:rsidRDefault="0063067D" w:rsidP="00E412DB">
      <w:pPr>
        <w:spacing w:after="0" w:line="240" w:lineRule="auto"/>
      </w:pPr>
      <w:r>
        <w:separator/>
      </w:r>
    </w:p>
  </w:footnote>
  <w:footnote w:type="continuationSeparator" w:id="0">
    <w:p w14:paraId="334E96F0" w14:textId="77777777" w:rsidR="0063067D" w:rsidRDefault="0063067D" w:rsidP="00E41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7946" w14:textId="57A2DE6C" w:rsidR="0063067D" w:rsidRDefault="0063067D" w:rsidP="008569D9">
    <w:pPr>
      <w:pStyle w:val="Header"/>
    </w:pPr>
    <w:r>
      <w:t>Evolution of Compliance Culture in the UK</w:t>
    </w:r>
  </w:p>
  <w:p w14:paraId="2B2C8A45" w14:textId="77777777" w:rsidR="009102F4" w:rsidRDefault="009102F4" w:rsidP="00765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7A3D"/>
    <w:multiLevelType w:val="hybridMultilevel"/>
    <w:tmpl w:val="88A4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D3E8A"/>
    <w:multiLevelType w:val="hybridMultilevel"/>
    <w:tmpl w:val="0D12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65E2C"/>
    <w:multiLevelType w:val="hybridMultilevel"/>
    <w:tmpl w:val="0B2621D4"/>
    <w:lvl w:ilvl="0" w:tplc="A7364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230E1"/>
    <w:multiLevelType w:val="hybridMultilevel"/>
    <w:tmpl w:val="2078E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BA4AC9"/>
    <w:multiLevelType w:val="hybridMultilevel"/>
    <w:tmpl w:val="C7C2F6D6"/>
    <w:lvl w:ilvl="0" w:tplc="CF66F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F321A2"/>
    <w:multiLevelType w:val="hybridMultilevel"/>
    <w:tmpl w:val="57A8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C6145"/>
    <w:multiLevelType w:val="hybridMultilevel"/>
    <w:tmpl w:val="94E80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782E20"/>
    <w:multiLevelType w:val="hybridMultilevel"/>
    <w:tmpl w:val="B142D4B0"/>
    <w:lvl w:ilvl="0" w:tplc="814CBFC0">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6A83666C"/>
    <w:multiLevelType w:val="hybridMultilevel"/>
    <w:tmpl w:val="F9B8B14A"/>
    <w:lvl w:ilvl="0" w:tplc="B71C645E">
      <w:start w:val="3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B45030"/>
    <w:multiLevelType w:val="hybridMultilevel"/>
    <w:tmpl w:val="4F8AC088"/>
    <w:lvl w:ilvl="0" w:tplc="702E1FE8">
      <w:start w:val="3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7"/>
  </w:num>
  <w:num w:numId="5">
    <w:abstractNumId w:val="2"/>
  </w:num>
  <w:num w:numId="6">
    <w:abstractNumId w:val="4"/>
  </w:num>
  <w:num w:numId="7">
    <w:abstractNumId w:val="5"/>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C1"/>
    <w:rsid w:val="00002702"/>
    <w:rsid w:val="00007D45"/>
    <w:rsid w:val="000108C0"/>
    <w:rsid w:val="000112B3"/>
    <w:rsid w:val="00012EEF"/>
    <w:rsid w:val="00013870"/>
    <w:rsid w:val="00013EF0"/>
    <w:rsid w:val="00014980"/>
    <w:rsid w:val="00014C1A"/>
    <w:rsid w:val="00016557"/>
    <w:rsid w:val="00017887"/>
    <w:rsid w:val="00020D2A"/>
    <w:rsid w:val="00022AEC"/>
    <w:rsid w:val="0002350A"/>
    <w:rsid w:val="0002384A"/>
    <w:rsid w:val="00025BA3"/>
    <w:rsid w:val="000303E6"/>
    <w:rsid w:val="00030D42"/>
    <w:rsid w:val="00030EC2"/>
    <w:rsid w:val="000313FB"/>
    <w:rsid w:val="00031E14"/>
    <w:rsid w:val="000322E5"/>
    <w:rsid w:val="00032881"/>
    <w:rsid w:val="00034409"/>
    <w:rsid w:val="000371CD"/>
    <w:rsid w:val="000406D7"/>
    <w:rsid w:val="000407C6"/>
    <w:rsid w:val="000412F4"/>
    <w:rsid w:val="00042A23"/>
    <w:rsid w:val="00042E7D"/>
    <w:rsid w:val="00043148"/>
    <w:rsid w:val="0004389D"/>
    <w:rsid w:val="00043939"/>
    <w:rsid w:val="00043F40"/>
    <w:rsid w:val="00044A7E"/>
    <w:rsid w:val="00047BAD"/>
    <w:rsid w:val="0005049B"/>
    <w:rsid w:val="0005496A"/>
    <w:rsid w:val="0005596F"/>
    <w:rsid w:val="00055C41"/>
    <w:rsid w:val="000567C9"/>
    <w:rsid w:val="0006040A"/>
    <w:rsid w:val="00062A86"/>
    <w:rsid w:val="00062EA8"/>
    <w:rsid w:val="000706A5"/>
    <w:rsid w:val="00071144"/>
    <w:rsid w:val="00071C4B"/>
    <w:rsid w:val="0007523E"/>
    <w:rsid w:val="000772CC"/>
    <w:rsid w:val="00083659"/>
    <w:rsid w:val="00083EF7"/>
    <w:rsid w:val="00084AF2"/>
    <w:rsid w:val="00085AD7"/>
    <w:rsid w:val="00085C9D"/>
    <w:rsid w:val="000862C7"/>
    <w:rsid w:val="000867FF"/>
    <w:rsid w:val="00087832"/>
    <w:rsid w:val="00087BBF"/>
    <w:rsid w:val="0009140E"/>
    <w:rsid w:val="00092477"/>
    <w:rsid w:val="00094830"/>
    <w:rsid w:val="00096244"/>
    <w:rsid w:val="00096285"/>
    <w:rsid w:val="00096BF7"/>
    <w:rsid w:val="000A1557"/>
    <w:rsid w:val="000A369E"/>
    <w:rsid w:val="000A459F"/>
    <w:rsid w:val="000B0357"/>
    <w:rsid w:val="000B0F2F"/>
    <w:rsid w:val="000B1FBF"/>
    <w:rsid w:val="000B49D0"/>
    <w:rsid w:val="000B4E05"/>
    <w:rsid w:val="000B574A"/>
    <w:rsid w:val="000B5AAC"/>
    <w:rsid w:val="000B5AE9"/>
    <w:rsid w:val="000C17C0"/>
    <w:rsid w:val="000C195E"/>
    <w:rsid w:val="000C1FDC"/>
    <w:rsid w:val="000C26ED"/>
    <w:rsid w:val="000C45F7"/>
    <w:rsid w:val="000C6436"/>
    <w:rsid w:val="000C6A7F"/>
    <w:rsid w:val="000D0476"/>
    <w:rsid w:val="000D3347"/>
    <w:rsid w:val="000D344D"/>
    <w:rsid w:val="000D4178"/>
    <w:rsid w:val="000D638B"/>
    <w:rsid w:val="000D63CD"/>
    <w:rsid w:val="000D6FE7"/>
    <w:rsid w:val="000E03D4"/>
    <w:rsid w:val="000E1EB5"/>
    <w:rsid w:val="000E4B46"/>
    <w:rsid w:val="000E6B3B"/>
    <w:rsid w:val="000E6C74"/>
    <w:rsid w:val="000E712D"/>
    <w:rsid w:val="000E7816"/>
    <w:rsid w:val="000E7978"/>
    <w:rsid w:val="000E7D90"/>
    <w:rsid w:val="000F08CA"/>
    <w:rsid w:val="000F0C94"/>
    <w:rsid w:val="000F1380"/>
    <w:rsid w:val="000F2721"/>
    <w:rsid w:val="000F3C8A"/>
    <w:rsid w:val="00100B7B"/>
    <w:rsid w:val="00102A4D"/>
    <w:rsid w:val="00104512"/>
    <w:rsid w:val="00104C54"/>
    <w:rsid w:val="001060E6"/>
    <w:rsid w:val="00106C0D"/>
    <w:rsid w:val="0010739B"/>
    <w:rsid w:val="00111D13"/>
    <w:rsid w:val="00113B30"/>
    <w:rsid w:val="00113FF4"/>
    <w:rsid w:val="0011459F"/>
    <w:rsid w:val="00114FF5"/>
    <w:rsid w:val="001155B0"/>
    <w:rsid w:val="0011581B"/>
    <w:rsid w:val="00115BA4"/>
    <w:rsid w:val="00115F28"/>
    <w:rsid w:val="00116E35"/>
    <w:rsid w:val="00116F1F"/>
    <w:rsid w:val="00117BFE"/>
    <w:rsid w:val="00117EBD"/>
    <w:rsid w:val="00120CD4"/>
    <w:rsid w:val="00122717"/>
    <w:rsid w:val="00123EBC"/>
    <w:rsid w:val="001251F1"/>
    <w:rsid w:val="00126487"/>
    <w:rsid w:val="001272BE"/>
    <w:rsid w:val="00131369"/>
    <w:rsid w:val="001318CB"/>
    <w:rsid w:val="00132058"/>
    <w:rsid w:val="00132C71"/>
    <w:rsid w:val="00133702"/>
    <w:rsid w:val="00134099"/>
    <w:rsid w:val="001340E1"/>
    <w:rsid w:val="00134DBA"/>
    <w:rsid w:val="001357F4"/>
    <w:rsid w:val="00135A1A"/>
    <w:rsid w:val="00135E41"/>
    <w:rsid w:val="0013651A"/>
    <w:rsid w:val="0013755A"/>
    <w:rsid w:val="00137843"/>
    <w:rsid w:val="00141DB6"/>
    <w:rsid w:val="00141FC6"/>
    <w:rsid w:val="001437C3"/>
    <w:rsid w:val="00144687"/>
    <w:rsid w:val="001447FD"/>
    <w:rsid w:val="0014485A"/>
    <w:rsid w:val="00144C26"/>
    <w:rsid w:val="00145046"/>
    <w:rsid w:val="00146599"/>
    <w:rsid w:val="00151B76"/>
    <w:rsid w:val="00152B60"/>
    <w:rsid w:val="0015331B"/>
    <w:rsid w:val="001545E3"/>
    <w:rsid w:val="001546DB"/>
    <w:rsid w:val="00155FFF"/>
    <w:rsid w:val="001565E7"/>
    <w:rsid w:val="001602D0"/>
    <w:rsid w:val="0016168D"/>
    <w:rsid w:val="001651CF"/>
    <w:rsid w:val="00166349"/>
    <w:rsid w:val="00166E9C"/>
    <w:rsid w:val="00167329"/>
    <w:rsid w:val="00170767"/>
    <w:rsid w:val="001722AA"/>
    <w:rsid w:val="0017252E"/>
    <w:rsid w:val="00180161"/>
    <w:rsid w:val="00180450"/>
    <w:rsid w:val="001804CF"/>
    <w:rsid w:val="0018513B"/>
    <w:rsid w:val="00185262"/>
    <w:rsid w:val="0018735E"/>
    <w:rsid w:val="001913DF"/>
    <w:rsid w:val="0019177B"/>
    <w:rsid w:val="00192605"/>
    <w:rsid w:val="001935BA"/>
    <w:rsid w:val="0019501A"/>
    <w:rsid w:val="00196D17"/>
    <w:rsid w:val="00196FDD"/>
    <w:rsid w:val="001976B6"/>
    <w:rsid w:val="001A0CF0"/>
    <w:rsid w:val="001A5523"/>
    <w:rsid w:val="001A651E"/>
    <w:rsid w:val="001A674A"/>
    <w:rsid w:val="001A6D6B"/>
    <w:rsid w:val="001A76A6"/>
    <w:rsid w:val="001B2282"/>
    <w:rsid w:val="001B2636"/>
    <w:rsid w:val="001B3B73"/>
    <w:rsid w:val="001B4B56"/>
    <w:rsid w:val="001B53CA"/>
    <w:rsid w:val="001B5440"/>
    <w:rsid w:val="001B5A3C"/>
    <w:rsid w:val="001B6163"/>
    <w:rsid w:val="001B70AA"/>
    <w:rsid w:val="001C1BE0"/>
    <w:rsid w:val="001C2FAD"/>
    <w:rsid w:val="001C5FB0"/>
    <w:rsid w:val="001C5FF8"/>
    <w:rsid w:val="001D0842"/>
    <w:rsid w:val="001D21D7"/>
    <w:rsid w:val="001D2977"/>
    <w:rsid w:val="001D3321"/>
    <w:rsid w:val="001D3D04"/>
    <w:rsid w:val="001D45D4"/>
    <w:rsid w:val="001D4A7A"/>
    <w:rsid w:val="001D4BA7"/>
    <w:rsid w:val="001D4F89"/>
    <w:rsid w:val="001D67FE"/>
    <w:rsid w:val="001D6966"/>
    <w:rsid w:val="001D6E26"/>
    <w:rsid w:val="001D793C"/>
    <w:rsid w:val="001D7FAA"/>
    <w:rsid w:val="001E0D27"/>
    <w:rsid w:val="001E23A6"/>
    <w:rsid w:val="001E2C6F"/>
    <w:rsid w:val="001E3745"/>
    <w:rsid w:val="001E39E5"/>
    <w:rsid w:val="001E4EEE"/>
    <w:rsid w:val="001E6145"/>
    <w:rsid w:val="001E660D"/>
    <w:rsid w:val="001F06B5"/>
    <w:rsid w:val="001F0A7F"/>
    <w:rsid w:val="001F0ABD"/>
    <w:rsid w:val="001F0B3B"/>
    <w:rsid w:val="001F0E90"/>
    <w:rsid w:val="001F1307"/>
    <w:rsid w:val="001F4B58"/>
    <w:rsid w:val="001F6C8D"/>
    <w:rsid w:val="0020356B"/>
    <w:rsid w:val="002039B1"/>
    <w:rsid w:val="002054FA"/>
    <w:rsid w:val="0021021A"/>
    <w:rsid w:val="002118D5"/>
    <w:rsid w:val="00211F5D"/>
    <w:rsid w:val="0021336C"/>
    <w:rsid w:val="0021344E"/>
    <w:rsid w:val="002140D1"/>
    <w:rsid w:val="002141E1"/>
    <w:rsid w:val="00214480"/>
    <w:rsid w:val="002152FB"/>
    <w:rsid w:val="00215CF3"/>
    <w:rsid w:val="00215E83"/>
    <w:rsid w:val="00217C5A"/>
    <w:rsid w:val="00221DA0"/>
    <w:rsid w:val="002228C4"/>
    <w:rsid w:val="002229A7"/>
    <w:rsid w:val="00222E92"/>
    <w:rsid w:val="00223889"/>
    <w:rsid w:val="002245BB"/>
    <w:rsid w:val="002250C6"/>
    <w:rsid w:val="0022521B"/>
    <w:rsid w:val="002253DD"/>
    <w:rsid w:val="002255F9"/>
    <w:rsid w:val="002275E5"/>
    <w:rsid w:val="00227A55"/>
    <w:rsid w:val="00227B85"/>
    <w:rsid w:val="002311FA"/>
    <w:rsid w:val="002334C8"/>
    <w:rsid w:val="00234FFA"/>
    <w:rsid w:val="0023681A"/>
    <w:rsid w:val="00237E76"/>
    <w:rsid w:val="0024006D"/>
    <w:rsid w:val="00240BD1"/>
    <w:rsid w:val="00240D92"/>
    <w:rsid w:val="00241D4B"/>
    <w:rsid w:val="002424A3"/>
    <w:rsid w:val="0024376A"/>
    <w:rsid w:val="00244F0E"/>
    <w:rsid w:val="002450D6"/>
    <w:rsid w:val="0024511E"/>
    <w:rsid w:val="00246206"/>
    <w:rsid w:val="0024620A"/>
    <w:rsid w:val="0025101B"/>
    <w:rsid w:val="00252121"/>
    <w:rsid w:val="00254529"/>
    <w:rsid w:val="00256940"/>
    <w:rsid w:val="00256A6D"/>
    <w:rsid w:val="00260013"/>
    <w:rsid w:val="0026150B"/>
    <w:rsid w:val="00261763"/>
    <w:rsid w:val="00262A7C"/>
    <w:rsid w:val="00264774"/>
    <w:rsid w:val="00264A45"/>
    <w:rsid w:val="002657B6"/>
    <w:rsid w:val="0026714D"/>
    <w:rsid w:val="00273CBF"/>
    <w:rsid w:val="00274F0F"/>
    <w:rsid w:val="00275599"/>
    <w:rsid w:val="0027567F"/>
    <w:rsid w:val="002765F9"/>
    <w:rsid w:val="00276D45"/>
    <w:rsid w:val="00277929"/>
    <w:rsid w:val="00281100"/>
    <w:rsid w:val="002815DC"/>
    <w:rsid w:val="00281C32"/>
    <w:rsid w:val="00282100"/>
    <w:rsid w:val="00282528"/>
    <w:rsid w:val="00284F0D"/>
    <w:rsid w:val="002854CF"/>
    <w:rsid w:val="00285786"/>
    <w:rsid w:val="00286133"/>
    <w:rsid w:val="002863C6"/>
    <w:rsid w:val="00287595"/>
    <w:rsid w:val="00287781"/>
    <w:rsid w:val="00290CDE"/>
    <w:rsid w:val="00290D7D"/>
    <w:rsid w:val="00291872"/>
    <w:rsid w:val="002923B1"/>
    <w:rsid w:val="00292FC5"/>
    <w:rsid w:val="00293C2D"/>
    <w:rsid w:val="00295566"/>
    <w:rsid w:val="00295A1B"/>
    <w:rsid w:val="0029700D"/>
    <w:rsid w:val="002A09F6"/>
    <w:rsid w:val="002A0A42"/>
    <w:rsid w:val="002A2896"/>
    <w:rsid w:val="002A2AB8"/>
    <w:rsid w:val="002A4644"/>
    <w:rsid w:val="002A51BF"/>
    <w:rsid w:val="002A6E2A"/>
    <w:rsid w:val="002B0A89"/>
    <w:rsid w:val="002B1873"/>
    <w:rsid w:val="002B1FB6"/>
    <w:rsid w:val="002B264D"/>
    <w:rsid w:val="002B3A42"/>
    <w:rsid w:val="002B3F62"/>
    <w:rsid w:val="002B4FE7"/>
    <w:rsid w:val="002B501F"/>
    <w:rsid w:val="002B5026"/>
    <w:rsid w:val="002B5A41"/>
    <w:rsid w:val="002B6FFA"/>
    <w:rsid w:val="002B7794"/>
    <w:rsid w:val="002C0DBE"/>
    <w:rsid w:val="002C1394"/>
    <w:rsid w:val="002C2631"/>
    <w:rsid w:val="002C5AF2"/>
    <w:rsid w:val="002C5F02"/>
    <w:rsid w:val="002C700B"/>
    <w:rsid w:val="002C7011"/>
    <w:rsid w:val="002C740F"/>
    <w:rsid w:val="002C7502"/>
    <w:rsid w:val="002D0254"/>
    <w:rsid w:val="002D1440"/>
    <w:rsid w:val="002D3DC9"/>
    <w:rsid w:val="002D4182"/>
    <w:rsid w:val="002D5A1E"/>
    <w:rsid w:val="002D5A7A"/>
    <w:rsid w:val="002D667F"/>
    <w:rsid w:val="002D78F5"/>
    <w:rsid w:val="002D7B9E"/>
    <w:rsid w:val="002E040A"/>
    <w:rsid w:val="002E1503"/>
    <w:rsid w:val="002E39A1"/>
    <w:rsid w:val="002E4781"/>
    <w:rsid w:val="002E5184"/>
    <w:rsid w:val="002E54DA"/>
    <w:rsid w:val="002E700C"/>
    <w:rsid w:val="002F0850"/>
    <w:rsid w:val="002F1090"/>
    <w:rsid w:val="002F31A8"/>
    <w:rsid w:val="002F43B9"/>
    <w:rsid w:val="002F4A20"/>
    <w:rsid w:val="002F50D3"/>
    <w:rsid w:val="002F53C7"/>
    <w:rsid w:val="002F5BBC"/>
    <w:rsid w:val="002F6392"/>
    <w:rsid w:val="002F6D0D"/>
    <w:rsid w:val="002F6F06"/>
    <w:rsid w:val="002F7350"/>
    <w:rsid w:val="002F7687"/>
    <w:rsid w:val="002F7F44"/>
    <w:rsid w:val="002F7FD9"/>
    <w:rsid w:val="0030062A"/>
    <w:rsid w:val="003013B3"/>
    <w:rsid w:val="00301F19"/>
    <w:rsid w:val="0030205B"/>
    <w:rsid w:val="00302069"/>
    <w:rsid w:val="00302906"/>
    <w:rsid w:val="003043F7"/>
    <w:rsid w:val="00304630"/>
    <w:rsid w:val="00304FF0"/>
    <w:rsid w:val="0030522A"/>
    <w:rsid w:val="003077D0"/>
    <w:rsid w:val="003102C4"/>
    <w:rsid w:val="003113B8"/>
    <w:rsid w:val="003116D5"/>
    <w:rsid w:val="0031272E"/>
    <w:rsid w:val="00313564"/>
    <w:rsid w:val="0031490C"/>
    <w:rsid w:val="00314B3B"/>
    <w:rsid w:val="003159D0"/>
    <w:rsid w:val="00315D0D"/>
    <w:rsid w:val="00315F14"/>
    <w:rsid w:val="0031623F"/>
    <w:rsid w:val="00316BD1"/>
    <w:rsid w:val="00316F79"/>
    <w:rsid w:val="0031775B"/>
    <w:rsid w:val="00320A49"/>
    <w:rsid w:val="00320D36"/>
    <w:rsid w:val="00321766"/>
    <w:rsid w:val="00322E2B"/>
    <w:rsid w:val="003232EC"/>
    <w:rsid w:val="00326E24"/>
    <w:rsid w:val="00330182"/>
    <w:rsid w:val="003301A4"/>
    <w:rsid w:val="003306CF"/>
    <w:rsid w:val="00332021"/>
    <w:rsid w:val="00332482"/>
    <w:rsid w:val="00332E74"/>
    <w:rsid w:val="00334724"/>
    <w:rsid w:val="00337022"/>
    <w:rsid w:val="00337066"/>
    <w:rsid w:val="0034340F"/>
    <w:rsid w:val="003437FC"/>
    <w:rsid w:val="00344589"/>
    <w:rsid w:val="00344AEB"/>
    <w:rsid w:val="003458EA"/>
    <w:rsid w:val="00347342"/>
    <w:rsid w:val="003502DB"/>
    <w:rsid w:val="00352547"/>
    <w:rsid w:val="003527F4"/>
    <w:rsid w:val="0035289D"/>
    <w:rsid w:val="0035499F"/>
    <w:rsid w:val="003569C8"/>
    <w:rsid w:val="0036096A"/>
    <w:rsid w:val="00361039"/>
    <w:rsid w:val="0036139F"/>
    <w:rsid w:val="00361D1F"/>
    <w:rsid w:val="00362201"/>
    <w:rsid w:val="003625DF"/>
    <w:rsid w:val="00362AB7"/>
    <w:rsid w:val="00363C4A"/>
    <w:rsid w:val="00364CA8"/>
    <w:rsid w:val="00364D09"/>
    <w:rsid w:val="00364F36"/>
    <w:rsid w:val="003668D3"/>
    <w:rsid w:val="00367423"/>
    <w:rsid w:val="003714DF"/>
    <w:rsid w:val="00372AF2"/>
    <w:rsid w:val="003732D9"/>
    <w:rsid w:val="00373745"/>
    <w:rsid w:val="00374BFB"/>
    <w:rsid w:val="00374F72"/>
    <w:rsid w:val="00375BD6"/>
    <w:rsid w:val="003764F4"/>
    <w:rsid w:val="00383564"/>
    <w:rsid w:val="00384259"/>
    <w:rsid w:val="00384593"/>
    <w:rsid w:val="003854C7"/>
    <w:rsid w:val="00386F8C"/>
    <w:rsid w:val="00387075"/>
    <w:rsid w:val="00390D8A"/>
    <w:rsid w:val="00392A3C"/>
    <w:rsid w:val="00393C32"/>
    <w:rsid w:val="0039400D"/>
    <w:rsid w:val="003948AF"/>
    <w:rsid w:val="00394FD7"/>
    <w:rsid w:val="00397EC3"/>
    <w:rsid w:val="003A07BF"/>
    <w:rsid w:val="003A1034"/>
    <w:rsid w:val="003A3205"/>
    <w:rsid w:val="003A357E"/>
    <w:rsid w:val="003A3931"/>
    <w:rsid w:val="003A4DB5"/>
    <w:rsid w:val="003A567D"/>
    <w:rsid w:val="003B1C91"/>
    <w:rsid w:val="003B228D"/>
    <w:rsid w:val="003B29AB"/>
    <w:rsid w:val="003B2CCB"/>
    <w:rsid w:val="003B2F08"/>
    <w:rsid w:val="003B392F"/>
    <w:rsid w:val="003B653F"/>
    <w:rsid w:val="003B6DC9"/>
    <w:rsid w:val="003C04A7"/>
    <w:rsid w:val="003C1C2F"/>
    <w:rsid w:val="003C1D88"/>
    <w:rsid w:val="003C6D79"/>
    <w:rsid w:val="003C7E9C"/>
    <w:rsid w:val="003C7FBF"/>
    <w:rsid w:val="003D0DAA"/>
    <w:rsid w:val="003D1A61"/>
    <w:rsid w:val="003D1EF2"/>
    <w:rsid w:val="003D2616"/>
    <w:rsid w:val="003D282A"/>
    <w:rsid w:val="003D35A5"/>
    <w:rsid w:val="003D38FF"/>
    <w:rsid w:val="003D5679"/>
    <w:rsid w:val="003D775F"/>
    <w:rsid w:val="003D7873"/>
    <w:rsid w:val="003E0958"/>
    <w:rsid w:val="003E0EBF"/>
    <w:rsid w:val="003E33EC"/>
    <w:rsid w:val="003E370C"/>
    <w:rsid w:val="003E3B8F"/>
    <w:rsid w:val="003E56F5"/>
    <w:rsid w:val="003E59DB"/>
    <w:rsid w:val="003E5EAF"/>
    <w:rsid w:val="003E625A"/>
    <w:rsid w:val="003E69CB"/>
    <w:rsid w:val="003E7961"/>
    <w:rsid w:val="003E7ABE"/>
    <w:rsid w:val="003F1030"/>
    <w:rsid w:val="003F1665"/>
    <w:rsid w:val="003F1D94"/>
    <w:rsid w:val="003F37D5"/>
    <w:rsid w:val="003F7C3B"/>
    <w:rsid w:val="003F7EF6"/>
    <w:rsid w:val="0040182B"/>
    <w:rsid w:val="00402DF1"/>
    <w:rsid w:val="00403BB3"/>
    <w:rsid w:val="00404709"/>
    <w:rsid w:val="00405B4F"/>
    <w:rsid w:val="00412864"/>
    <w:rsid w:val="00412C9B"/>
    <w:rsid w:val="00412EE4"/>
    <w:rsid w:val="0041352D"/>
    <w:rsid w:val="00414A1A"/>
    <w:rsid w:val="00415359"/>
    <w:rsid w:val="0041778E"/>
    <w:rsid w:val="00420436"/>
    <w:rsid w:val="00421C79"/>
    <w:rsid w:val="004249AB"/>
    <w:rsid w:val="0042553F"/>
    <w:rsid w:val="004257DE"/>
    <w:rsid w:val="00425FD4"/>
    <w:rsid w:val="0042745F"/>
    <w:rsid w:val="004274AA"/>
    <w:rsid w:val="004308E1"/>
    <w:rsid w:val="00430ABA"/>
    <w:rsid w:val="00433733"/>
    <w:rsid w:val="004347D7"/>
    <w:rsid w:val="004368CE"/>
    <w:rsid w:val="00437112"/>
    <w:rsid w:val="00437480"/>
    <w:rsid w:val="00440280"/>
    <w:rsid w:val="0044162A"/>
    <w:rsid w:val="00442026"/>
    <w:rsid w:val="004425B5"/>
    <w:rsid w:val="00446CF0"/>
    <w:rsid w:val="00446F7A"/>
    <w:rsid w:val="00450A0D"/>
    <w:rsid w:val="00452056"/>
    <w:rsid w:val="00452810"/>
    <w:rsid w:val="00452FEE"/>
    <w:rsid w:val="00454078"/>
    <w:rsid w:val="0045510F"/>
    <w:rsid w:val="00455997"/>
    <w:rsid w:val="00455DD9"/>
    <w:rsid w:val="00456A8F"/>
    <w:rsid w:val="004601C4"/>
    <w:rsid w:val="00464410"/>
    <w:rsid w:val="00465144"/>
    <w:rsid w:val="004657E9"/>
    <w:rsid w:val="00466A89"/>
    <w:rsid w:val="00467FBF"/>
    <w:rsid w:val="00471405"/>
    <w:rsid w:val="00471BFB"/>
    <w:rsid w:val="004729C7"/>
    <w:rsid w:val="00473B36"/>
    <w:rsid w:val="0047519C"/>
    <w:rsid w:val="00475959"/>
    <w:rsid w:val="00475D62"/>
    <w:rsid w:val="004769D6"/>
    <w:rsid w:val="00481136"/>
    <w:rsid w:val="00481734"/>
    <w:rsid w:val="00481949"/>
    <w:rsid w:val="004819AE"/>
    <w:rsid w:val="00482176"/>
    <w:rsid w:val="004831B5"/>
    <w:rsid w:val="00483CFF"/>
    <w:rsid w:val="0048530A"/>
    <w:rsid w:val="00486D57"/>
    <w:rsid w:val="004879A3"/>
    <w:rsid w:val="00487A6D"/>
    <w:rsid w:val="00490F45"/>
    <w:rsid w:val="004924BD"/>
    <w:rsid w:val="0049340D"/>
    <w:rsid w:val="00494E1E"/>
    <w:rsid w:val="00495866"/>
    <w:rsid w:val="004964A4"/>
    <w:rsid w:val="0049703E"/>
    <w:rsid w:val="00497C60"/>
    <w:rsid w:val="004A03F9"/>
    <w:rsid w:val="004A591D"/>
    <w:rsid w:val="004A673E"/>
    <w:rsid w:val="004A6C8C"/>
    <w:rsid w:val="004A75D4"/>
    <w:rsid w:val="004A7AE9"/>
    <w:rsid w:val="004B01D7"/>
    <w:rsid w:val="004B14A8"/>
    <w:rsid w:val="004B315B"/>
    <w:rsid w:val="004B49CA"/>
    <w:rsid w:val="004B64E2"/>
    <w:rsid w:val="004B6E82"/>
    <w:rsid w:val="004B72D5"/>
    <w:rsid w:val="004C0A89"/>
    <w:rsid w:val="004C113D"/>
    <w:rsid w:val="004C13BD"/>
    <w:rsid w:val="004C191B"/>
    <w:rsid w:val="004C19EC"/>
    <w:rsid w:val="004C1B07"/>
    <w:rsid w:val="004C1EFE"/>
    <w:rsid w:val="004C2208"/>
    <w:rsid w:val="004C3FBE"/>
    <w:rsid w:val="004C47BA"/>
    <w:rsid w:val="004C5CAA"/>
    <w:rsid w:val="004C6653"/>
    <w:rsid w:val="004C7953"/>
    <w:rsid w:val="004D2A1F"/>
    <w:rsid w:val="004D4AC7"/>
    <w:rsid w:val="004D79CA"/>
    <w:rsid w:val="004D7DCF"/>
    <w:rsid w:val="004E053E"/>
    <w:rsid w:val="004E0BBF"/>
    <w:rsid w:val="004E0EBA"/>
    <w:rsid w:val="004E1323"/>
    <w:rsid w:val="004E206F"/>
    <w:rsid w:val="004E27A4"/>
    <w:rsid w:val="004E4E77"/>
    <w:rsid w:val="004E53C3"/>
    <w:rsid w:val="004E5C9C"/>
    <w:rsid w:val="004F004E"/>
    <w:rsid w:val="004F1565"/>
    <w:rsid w:val="004F19D8"/>
    <w:rsid w:val="004F20F0"/>
    <w:rsid w:val="004F3901"/>
    <w:rsid w:val="004F42E9"/>
    <w:rsid w:val="004F582E"/>
    <w:rsid w:val="004F5A34"/>
    <w:rsid w:val="004F668B"/>
    <w:rsid w:val="004F7AB0"/>
    <w:rsid w:val="004F7AB5"/>
    <w:rsid w:val="005002B2"/>
    <w:rsid w:val="0050282E"/>
    <w:rsid w:val="00502DDD"/>
    <w:rsid w:val="0050315B"/>
    <w:rsid w:val="00504249"/>
    <w:rsid w:val="00506BF1"/>
    <w:rsid w:val="00506E20"/>
    <w:rsid w:val="00511450"/>
    <w:rsid w:val="005115BB"/>
    <w:rsid w:val="00512940"/>
    <w:rsid w:val="00512A72"/>
    <w:rsid w:val="005131EF"/>
    <w:rsid w:val="00514CDA"/>
    <w:rsid w:val="00515E4E"/>
    <w:rsid w:val="00515E60"/>
    <w:rsid w:val="00517ECC"/>
    <w:rsid w:val="0052093C"/>
    <w:rsid w:val="00522E22"/>
    <w:rsid w:val="0052637E"/>
    <w:rsid w:val="00527417"/>
    <w:rsid w:val="00530C98"/>
    <w:rsid w:val="0053414A"/>
    <w:rsid w:val="00534175"/>
    <w:rsid w:val="005342A4"/>
    <w:rsid w:val="00535B57"/>
    <w:rsid w:val="005375BC"/>
    <w:rsid w:val="005376B1"/>
    <w:rsid w:val="005378BD"/>
    <w:rsid w:val="00537E7D"/>
    <w:rsid w:val="005406BE"/>
    <w:rsid w:val="00540BE2"/>
    <w:rsid w:val="005432DA"/>
    <w:rsid w:val="0054376E"/>
    <w:rsid w:val="00543F7B"/>
    <w:rsid w:val="005440DE"/>
    <w:rsid w:val="00544CD8"/>
    <w:rsid w:val="00547D77"/>
    <w:rsid w:val="0055090C"/>
    <w:rsid w:val="00550A2C"/>
    <w:rsid w:val="00550B69"/>
    <w:rsid w:val="005519EE"/>
    <w:rsid w:val="00554453"/>
    <w:rsid w:val="00555344"/>
    <w:rsid w:val="0055563F"/>
    <w:rsid w:val="00555CE0"/>
    <w:rsid w:val="005571D1"/>
    <w:rsid w:val="00557AE1"/>
    <w:rsid w:val="0056059E"/>
    <w:rsid w:val="005608CF"/>
    <w:rsid w:val="00561F2A"/>
    <w:rsid w:val="00562DE2"/>
    <w:rsid w:val="005635EC"/>
    <w:rsid w:val="0056525F"/>
    <w:rsid w:val="005678D1"/>
    <w:rsid w:val="00567A63"/>
    <w:rsid w:val="00567B6D"/>
    <w:rsid w:val="005713DF"/>
    <w:rsid w:val="00571618"/>
    <w:rsid w:val="00572570"/>
    <w:rsid w:val="005729E5"/>
    <w:rsid w:val="00572E6B"/>
    <w:rsid w:val="005732B6"/>
    <w:rsid w:val="0057369C"/>
    <w:rsid w:val="00573D94"/>
    <w:rsid w:val="00574B9D"/>
    <w:rsid w:val="00574C88"/>
    <w:rsid w:val="0057515B"/>
    <w:rsid w:val="005768B9"/>
    <w:rsid w:val="005778FE"/>
    <w:rsid w:val="00577936"/>
    <w:rsid w:val="00577A58"/>
    <w:rsid w:val="005815BB"/>
    <w:rsid w:val="00581CAA"/>
    <w:rsid w:val="00581FC8"/>
    <w:rsid w:val="00582402"/>
    <w:rsid w:val="0058397C"/>
    <w:rsid w:val="00583EAC"/>
    <w:rsid w:val="00584358"/>
    <w:rsid w:val="00585975"/>
    <w:rsid w:val="00585EC1"/>
    <w:rsid w:val="0058750B"/>
    <w:rsid w:val="00590D45"/>
    <w:rsid w:val="005916F4"/>
    <w:rsid w:val="00591D9C"/>
    <w:rsid w:val="005924E6"/>
    <w:rsid w:val="005927B7"/>
    <w:rsid w:val="00593327"/>
    <w:rsid w:val="00593C35"/>
    <w:rsid w:val="00595674"/>
    <w:rsid w:val="005962AB"/>
    <w:rsid w:val="005963C1"/>
    <w:rsid w:val="00596466"/>
    <w:rsid w:val="00596CBA"/>
    <w:rsid w:val="005A0727"/>
    <w:rsid w:val="005A10A3"/>
    <w:rsid w:val="005A1592"/>
    <w:rsid w:val="005A219B"/>
    <w:rsid w:val="005A22E0"/>
    <w:rsid w:val="005A22F0"/>
    <w:rsid w:val="005A3005"/>
    <w:rsid w:val="005A306C"/>
    <w:rsid w:val="005A348C"/>
    <w:rsid w:val="005A516E"/>
    <w:rsid w:val="005A51D9"/>
    <w:rsid w:val="005A6D2C"/>
    <w:rsid w:val="005A7FE8"/>
    <w:rsid w:val="005B2DF0"/>
    <w:rsid w:val="005B3459"/>
    <w:rsid w:val="005B729F"/>
    <w:rsid w:val="005B7A8D"/>
    <w:rsid w:val="005C12ED"/>
    <w:rsid w:val="005C2CE9"/>
    <w:rsid w:val="005C3280"/>
    <w:rsid w:val="005C3DFE"/>
    <w:rsid w:val="005C42DE"/>
    <w:rsid w:val="005C4CE5"/>
    <w:rsid w:val="005C534A"/>
    <w:rsid w:val="005C631B"/>
    <w:rsid w:val="005C708E"/>
    <w:rsid w:val="005C71BC"/>
    <w:rsid w:val="005C75A6"/>
    <w:rsid w:val="005D1963"/>
    <w:rsid w:val="005D33C4"/>
    <w:rsid w:val="005D34C4"/>
    <w:rsid w:val="005D39F4"/>
    <w:rsid w:val="005D4172"/>
    <w:rsid w:val="005D42E6"/>
    <w:rsid w:val="005D59C7"/>
    <w:rsid w:val="005D6CC8"/>
    <w:rsid w:val="005E0174"/>
    <w:rsid w:val="005E3268"/>
    <w:rsid w:val="005E4155"/>
    <w:rsid w:val="005E4CDB"/>
    <w:rsid w:val="005E66D3"/>
    <w:rsid w:val="005E6D8D"/>
    <w:rsid w:val="005E777C"/>
    <w:rsid w:val="005F066B"/>
    <w:rsid w:val="005F2302"/>
    <w:rsid w:val="005F4BAF"/>
    <w:rsid w:val="005F5A26"/>
    <w:rsid w:val="005F72C6"/>
    <w:rsid w:val="00600C41"/>
    <w:rsid w:val="0060364B"/>
    <w:rsid w:val="006048CD"/>
    <w:rsid w:val="00604908"/>
    <w:rsid w:val="0060645B"/>
    <w:rsid w:val="0060769E"/>
    <w:rsid w:val="0061001A"/>
    <w:rsid w:val="0061079A"/>
    <w:rsid w:val="00611527"/>
    <w:rsid w:val="00611EAF"/>
    <w:rsid w:val="006133FA"/>
    <w:rsid w:val="006137BD"/>
    <w:rsid w:val="00614739"/>
    <w:rsid w:val="00614CA8"/>
    <w:rsid w:val="00615849"/>
    <w:rsid w:val="00615D00"/>
    <w:rsid w:val="0061625D"/>
    <w:rsid w:val="0061644F"/>
    <w:rsid w:val="0062031B"/>
    <w:rsid w:val="0062118E"/>
    <w:rsid w:val="006236AE"/>
    <w:rsid w:val="00623967"/>
    <w:rsid w:val="00625155"/>
    <w:rsid w:val="006261A2"/>
    <w:rsid w:val="00626DE8"/>
    <w:rsid w:val="006279F3"/>
    <w:rsid w:val="00627BA4"/>
    <w:rsid w:val="00627C0D"/>
    <w:rsid w:val="00627EC1"/>
    <w:rsid w:val="006303B7"/>
    <w:rsid w:val="0063067D"/>
    <w:rsid w:val="00631866"/>
    <w:rsid w:val="00631AED"/>
    <w:rsid w:val="00631F28"/>
    <w:rsid w:val="006320A4"/>
    <w:rsid w:val="006321D1"/>
    <w:rsid w:val="0063372D"/>
    <w:rsid w:val="00633FF0"/>
    <w:rsid w:val="0063411F"/>
    <w:rsid w:val="00634273"/>
    <w:rsid w:val="006357B3"/>
    <w:rsid w:val="00635F32"/>
    <w:rsid w:val="00636258"/>
    <w:rsid w:val="0063678A"/>
    <w:rsid w:val="00636B99"/>
    <w:rsid w:val="00641FFD"/>
    <w:rsid w:val="006435B7"/>
    <w:rsid w:val="0064399F"/>
    <w:rsid w:val="00645336"/>
    <w:rsid w:val="00645C69"/>
    <w:rsid w:val="0064713F"/>
    <w:rsid w:val="006477E2"/>
    <w:rsid w:val="00647F3B"/>
    <w:rsid w:val="006530B9"/>
    <w:rsid w:val="006567CB"/>
    <w:rsid w:val="00657ED0"/>
    <w:rsid w:val="00660AFC"/>
    <w:rsid w:val="00661067"/>
    <w:rsid w:val="006613EF"/>
    <w:rsid w:val="00661CD0"/>
    <w:rsid w:val="00661D58"/>
    <w:rsid w:val="0066388D"/>
    <w:rsid w:val="00663E9D"/>
    <w:rsid w:val="0066485B"/>
    <w:rsid w:val="00665ECB"/>
    <w:rsid w:val="006664D9"/>
    <w:rsid w:val="00666BA8"/>
    <w:rsid w:val="006673E7"/>
    <w:rsid w:val="006707A5"/>
    <w:rsid w:val="00672552"/>
    <w:rsid w:val="00672C8E"/>
    <w:rsid w:val="00674B60"/>
    <w:rsid w:val="00676950"/>
    <w:rsid w:val="00680345"/>
    <w:rsid w:val="00680757"/>
    <w:rsid w:val="00680CA3"/>
    <w:rsid w:val="00680F28"/>
    <w:rsid w:val="00681040"/>
    <w:rsid w:val="0068119F"/>
    <w:rsid w:val="00681B85"/>
    <w:rsid w:val="00684B03"/>
    <w:rsid w:val="006853DC"/>
    <w:rsid w:val="0068553C"/>
    <w:rsid w:val="00687CF6"/>
    <w:rsid w:val="006928A9"/>
    <w:rsid w:val="006946C1"/>
    <w:rsid w:val="006B048F"/>
    <w:rsid w:val="006B16B9"/>
    <w:rsid w:val="006B2B46"/>
    <w:rsid w:val="006B4C18"/>
    <w:rsid w:val="006B642E"/>
    <w:rsid w:val="006B6ACC"/>
    <w:rsid w:val="006B706D"/>
    <w:rsid w:val="006C0C8C"/>
    <w:rsid w:val="006C26B6"/>
    <w:rsid w:val="006C70E5"/>
    <w:rsid w:val="006C7D79"/>
    <w:rsid w:val="006D1DE3"/>
    <w:rsid w:val="006D26CC"/>
    <w:rsid w:val="006D289B"/>
    <w:rsid w:val="006D3685"/>
    <w:rsid w:val="006D48A3"/>
    <w:rsid w:val="006D5285"/>
    <w:rsid w:val="006D5D3D"/>
    <w:rsid w:val="006D6782"/>
    <w:rsid w:val="006D7EEF"/>
    <w:rsid w:val="006E2603"/>
    <w:rsid w:val="006E2F4C"/>
    <w:rsid w:val="006E39C3"/>
    <w:rsid w:val="006E4C2D"/>
    <w:rsid w:val="006E62DC"/>
    <w:rsid w:val="006F30EB"/>
    <w:rsid w:val="006F41EE"/>
    <w:rsid w:val="006F5255"/>
    <w:rsid w:val="006F6F0E"/>
    <w:rsid w:val="006F7703"/>
    <w:rsid w:val="00701F21"/>
    <w:rsid w:val="007023D3"/>
    <w:rsid w:val="00703476"/>
    <w:rsid w:val="007052BB"/>
    <w:rsid w:val="0070673F"/>
    <w:rsid w:val="00707198"/>
    <w:rsid w:val="00707486"/>
    <w:rsid w:val="0071154E"/>
    <w:rsid w:val="007115E2"/>
    <w:rsid w:val="00712081"/>
    <w:rsid w:val="007125FE"/>
    <w:rsid w:val="00712DED"/>
    <w:rsid w:val="00712E77"/>
    <w:rsid w:val="00714826"/>
    <w:rsid w:val="00714F0F"/>
    <w:rsid w:val="00715037"/>
    <w:rsid w:val="007169BB"/>
    <w:rsid w:val="00717526"/>
    <w:rsid w:val="00717A8E"/>
    <w:rsid w:val="00720CE3"/>
    <w:rsid w:val="007230A0"/>
    <w:rsid w:val="00723819"/>
    <w:rsid w:val="00723F90"/>
    <w:rsid w:val="00724525"/>
    <w:rsid w:val="007278A1"/>
    <w:rsid w:val="007279B9"/>
    <w:rsid w:val="00731D6B"/>
    <w:rsid w:val="007321F2"/>
    <w:rsid w:val="00733BE1"/>
    <w:rsid w:val="007340C9"/>
    <w:rsid w:val="00734ACB"/>
    <w:rsid w:val="007361B7"/>
    <w:rsid w:val="007379E6"/>
    <w:rsid w:val="00737B57"/>
    <w:rsid w:val="007404E2"/>
    <w:rsid w:val="00740721"/>
    <w:rsid w:val="00741335"/>
    <w:rsid w:val="00741D4A"/>
    <w:rsid w:val="0074362F"/>
    <w:rsid w:val="00744C72"/>
    <w:rsid w:val="00745450"/>
    <w:rsid w:val="0074568D"/>
    <w:rsid w:val="00752CA3"/>
    <w:rsid w:val="007533D7"/>
    <w:rsid w:val="0075367A"/>
    <w:rsid w:val="007536D3"/>
    <w:rsid w:val="00753B70"/>
    <w:rsid w:val="00753D48"/>
    <w:rsid w:val="0075426F"/>
    <w:rsid w:val="007546EE"/>
    <w:rsid w:val="00754759"/>
    <w:rsid w:val="0075770A"/>
    <w:rsid w:val="00757DB2"/>
    <w:rsid w:val="00760E87"/>
    <w:rsid w:val="00761885"/>
    <w:rsid w:val="0076237A"/>
    <w:rsid w:val="00762B13"/>
    <w:rsid w:val="007635F3"/>
    <w:rsid w:val="00763EAA"/>
    <w:rsid w:val="00764C23"/>
    <w:rsid w:val="007653B7"/>
    <w:rsid w:val="00765B62"/>
    <w:rsid w:val="007705AA"/>
    <w:rsid w:val="007720A0"/>
    <w:rsid w:val="007722CE"/>
    <w:rsid w:val="0077241B"/>
    <w:rsid w:val="0077395E"/>
    <w:rsid w:val="0077497A"/>
    <w:rsid w:val="00776772"/>
    <w:rsid w:val="00776918"/>
    <w:rsid w:val="0077741F"/>
    <w:rsid w:val="0077774D"/>
    <w:rsid w:val="0077796D"/>
    <w:rsid w:val="00777C37"/>
    <w:rsid w:val="007808CE"/>
    <w:rsid w:val="00781A07"/>
    <w:rsid w:val="00782E3E"/>
    <w:rsid w:val="00783118"/>
    <w:rsid w:val="00783845"/>
    <w:rsid w:val="00786A15"/>
    <w:rsid w:val="007875A9"/>
    <w:rsid w:val="00790B2E"/>
    <w:rsid w:val="00790CE7"/>
    <w:rsid w:val="0079104D"/>
    <w:rsid w:val="00792B5E"/>
    <w:rsid w:val="00794259"/>
    <w:rsid w:val="0079589D"/>
    <w:rsid w:val="0079620E"/>
    <w:rsid w:val="007A01DF"/>
    <w:rsid w:val="007A06FD"/>
    <w:rsid w:val="007A075C"/>
    <w:rsid w:val="007A0ED7"/>
    <w:rsid w:val="007A11CB"/>
    <w:rsid w:val="007A2797"/>
    <w:rsid w:val="007A2852"/>
    <w:rsid w:val="007A49B3"/>
    <w:rsid w:val="007A5563"/>
    <w:rsid w:val="007A626B"/>
    <w:rsid w:val="007A6853"/>
    <w:rsid w:val="007A70E3"/>
    <w:rsid w:val="007B07AF"/>
    <w:rsid w:val="007B2378"/>
    <w:rsid w:val="007B3382"/>
    <w:rsid w:val="007B6102"/>
    <w:rsid w:val="007B6446"/>
    <w:rsid w:val="007B6F2F"/>
    <w:rsid w:val="007B7223"/>
    <w:rsid w:val="007C338B"/>
    <w:rsid w:val="007C60A6"/>
    <w:rsid w:val="007C61CE"/>
    <w:rsid w:val="007C664D"/>
    <w:rsid w:val="007C7414"/>
    <w:rsid w:val="007D033F"/>
    <w:rsid w:val="007D09C5"/>
    <w:rsid w:val="007D19F9"/>
    <w:rsid w:val="007D2392"/>
    <w:rsid w:val="007D2478"/>
    <w:rsid w:val="007D275C"/>
    <w:rsid w:val="007D2C34"/>
    <w:rsid w:val="007D4020"/>
    <w:rsid w:val="007D543E"/>
    <w:rsid w:val="007D5C94"/>
    <w:rsid w:val="007D73E9"/>
    <w:rsid w:val="007E1024"/>
    <w:rsid w:val="007E266C"/>
    <w:rsid w:val="007E27D8"/>
    <w:rsid w:val="007E287E"/>
    <w:rsid w:val="007E379A"/>
    <w:rsid w:val="007E476A"/>
    <w:rsid w:val="007E4A74"/>
    <w:rsid w:val="007E4FDB"/>
    <w:rsid w:val="007E518E"/>
    <w:rsid w:val="007E54C4"/>
    <w:rsid w:val="007E7F23"/>
    <w:rsid w:val="007F1CB7"/>
    <w:rsid w:val="007F2570"/>
    <w:rsid w:val="007F30E4"/>
    <w:rsid w:val="007F39D9"/>
    <w:rsid w:val="007F3C95"/>
    <w:rsid w:val="007F422F"/>
    <w:rsid w:val="007F6663"/>
    <w:rsid w:val="007F7772"/>
    <w:rsid w:val="00800857"/>
    <w:rsid w:val="00802107"/>
    <w:rsid w:val="0080458E"/>
    <w:rsid w:val="00804D0D"/>
    <w:rsid w:val="00804D20"/>
    <w:rsid w:val="00805240"/>
    <w:rsid w:val="008069C2"/>
    <w:rsid w:val="00810B27"/>
    <w:rsid w:val="0081173C"/>
    <w:rsid w:val="00812B62"/>
    <w:rsid w:val="00817CAC"/>
    <w:rsid w:val="00820469"/>
    <w:rsid w:val="00820FC6"/>
    <w:rsid w:val="008219D2"/>
    <w:rsid w:val="00823A95"/>
    <w:rsid w:val="0082467E"/>
    <w:rsid w:val="008276F9"/>
    <w:rsid w:val="00827B72"/>
    <w:rsid w:val="00830D2B"/>
    <w:rsid w:val="00831590"/>
    <w:rsid w:val="0083252A"/>
    <w:rsid w:val="0083254D"/>
    <w:rsid w:val="00832864"/>
    <w:rsid w:val="00832D05"/>
    <w:rsid w:val="00834136"/>
    <w:rsid w:val="008346AA"/>
    <w:rsid w:val="0083533A"/>
    <w:rsid w:val="00836757"/>
    <w:rsid w:val="00836B3F"/>
    <w:rsid w:val="00836F53"/>
    <w:rsid w:val="00836FE1"/>
    <w:rsid w:val="008408B2"/>
    <w:rsid w:val="00840BAB"/>
    <w:rsid w:val="00844CC8"/>
    <w:rsid w:val="008456FD"/>
    <w:rsid w:val="008457A7"/>
    <w:rsid w:val="00847ECE"/>
    <w:rsid w:val="0085086C"/>
    <w:rsid w:val="00850B76"/>
    <w:rsid w:val="00850C60"/>
    <w:rsid w:val="00854852"/>
    <w:rsid w:val="00854A2C"/>
    <w:rsid w:val="00855902"/>
    <w:rsid w:val="008569D9"/>
    <w:rsid w:val="00856D47"/>
    <w:rsid w:val="00860745"/>
    <w:rsid w:val="00860B9A"/>
    <w:rsid w:val="00860F2E"/>
    <w:rsid w:val="00861388"/>
    <w:rsid w:val="008628DA"/>
    <w:rsid w:val="008639CD"/>
    <w:rsid w:val="00863F05"/>
    <w:rsid w:val="0086535D"/>
    <w:rsid w:val="00870F7F"/>
    <w:rsid w:val="008712CB"/>
    <w:rsid w:val="00873B33"/>
    <w:rsid w:val="008747F8"/>
    <w:rsid w:val="00875A20"/>
    <w:rsid w:val="00875B9D"/>
    <w:rsid w:val="00881F8F"/>
    <w:rsid w:val="00885D80"/>
    <w:rsid w:val="00886B36"/>
    <w:rsid w:val="00890777"/>
    <w:rsid w:val="008907E9"/>
    <w:rsid w:val="00890E82"/>
    <w:rsid w:val="00891EF5"/>
    <w:rsid w:val="00891F5F"/>
    <w:rsid w:val="008947EC"/>
    <w:rsid w:val="00895C1A"/>
    <w:rsid w:val="00895D52"/>
    <w:rsid w:val="008A02A7"/>
    <w:rsid w:val="008A0ED0"/>
    <w:rsid w:val="008A1402"/>
    <w:rsid w:val="008A16EE"/>
    <w:rsid w:val="008A396B"/>
    <w:rsid w:val="008A481D"/>
    <w:rsid w:val="008A5346"/>
    <w:rsid w:val="008A5E4C"/>
    <w:rsid w:val="008A6D2D"/>
    <w:rsid w:val="008A6FE1"/>
    <w:rsid w:val="008B05C9"/>
    <w:rsid w:val="008B06C2"/>
    <w:rsid w:val="008B0F88"/>
    <w:rsid w:val="008C0000"/>
    <w:rsid w:val="008C0DF0"/>
    <w:rsid w:val="008C16B6"/>
    <w:rsid w:val="008C17F3"/>
    <w:rsid w:val="008C1BA5"/>
    <w:rsid w:val="008C2052"/>
    <w:rsid w:val="008C2B85"/>
    <w:rsid w:val="008C3FFB"/>
    <w:rsid w:val="008C4867"/>
    <w:rsid w:val="008C520B"/>
    <w:rsid w:val="008C554B"/>
    <w:rsid w:val="008C5C66"/>
    <w:rsid w:val="008C633A"/>
    <w:rsid w:val="008D00F4"/>
    <w:rsid w:val="008D215E"/>
    <w:rsid w:val="008D32ED"/>
    <w:rsid w:val="008D360A"/>
    <w:rsid w:val="008D40AD"/>
    <w:rsid w:val="008D46B8"/>
    <w:rsid w:val="008D503B"/>
    <w:rsid w:val="008D50DD"/>
    <w:rsid w:val="008D5F7B"/>
    <w:rsid w:val="008D67D4"/>
    <w:rsid w:val="008D7E67"/>
    <w:rsid w:val="008E33A5"/>
    <w:rsid w:val="008E3C31"/>
    <w:rsid w:val="008E600D"/>
    <w:rsid w:val="008E6CBD"/>
    <w:rsid w:val="008F310D"/>
    <w:rsid w:val="008F45B4"/>
    <w:rsid w:val="008F4B6A"/>
    <w:rsid w:val="008F4BC7"/>
    <w:rsid w:val="008F6E24"/>
    <w:rsid w:val="008F7BB6"/>
    <w:rsid w:val="009006F8"/>
    <w:rsid w:val="00900720"/>
    <w:rsid w:val="00900902"/>
    <w:rsid w:val="009021A4"/>
    <w:rsid w:val="0090289D"/>
    <w:rsid w:val="00902CC1"/>
    <w:rsid w:val="00903DD2"/>
    <w:rsid w:val="00905816"/>
    <w:rsid w:val="00906218"/>
    <w:rsid w:val="00906855"/>
    <w:rsid w:val="00906ADA"/>
    <w:rsid w:val="009073BB"/>
    <w:rsid w:val="00907BFD"/>
    <w:rsid w:val="009102F4"/>
    <w:rsid w:val="00911269"/>
    <w:rsid w:val="0091252E"/>
    <w:rsid w:val="00913A4F"/>
    <w:rsid w:val="00914AB6"/>
    <w:rsid w:val="0091780B"/>
    <w:rsid w:val="00917ECA"/>
    <w:rsid w:val="0092133B"/>
    <w:rsid w:val="00922180"/>
    <w:rsid w:val="00922E41"/>
    <w:rsid w:val="009232BF"/>
    <w:rsid w:val="009248DB"/>
    <w:rsid w:val="0092523F"/>
    <w:rsid w:val="00925E83"/>
    <w:rsid w:val="00927E4E"/>
    <w:rsid w:val="0093066C"/>
    <w:rsid w:val="00930DBC"/>
    <w:rsid w:val="00931B90"/>
    <w:rsid w:val="00931E6A"/>
    <w:rsid w:val="0093281F"/>
    <w:rsid w:val="0093306F"/>
    <w:rsid w:val="00933C91"/>
    <w:rsid w:val="00934626"/>
    <w:rsid w:val="00934C0F"/>
    <w:rsid w:val="009350AC"/>
    <w:rsid w:val="00935693"/>
    <w:rsid w:val="009363B7"/>
    <w:rsid w:val="00937619"/>
    <w:rsid w:val="0093786B"/>
    <w:rsid w:val="00937AEA"/>
    <w:rsid w:val="00937D0C"/>
    <w:rsid w:val="00937D52"/>
    <w:rsid w:val="00937DB3"/>
    <w:rsid w:val="00942014"/>
    <w:rsid w:val="00943785"/>
    <w:rsid w:val="00944A09"/>
    <w:rsid w:val="00944CF1"/>
    <w:rsid w:val="00945944"/>
    <w:rsid w:val="00945F2F"/>
    <w:rsid w:val="0094619F"/>
    <w:rsid w:val="00946F0C"/>
    <w:rsid w:val="00947D1E"/>
    <w:rsid w:val="009511A7"/>
    <w:rsid w:val="009522EC"/>
    <w:rsid w:val="00952C11"/>
    <w:rsid w:val="00952F64"/>
    <w:rsid w:val="00953735"/>
    <w:rsid w:val="009550A2"/>
    <w:rsid w:val="0095569C"/>
    <w:rsid w:val="00955DB7"/>
    <w:rsid w:val="009562C1"/>
    <w:rsid w:val="00957666"/>
    <w:rsid w:val="009609F8"/>
    <w:rsid w:val="00960D21"/>
    <w:rsid w:val="0096182A"/>
    <w:rsid w:val="00961D78"/>
    <w:rsid w:val="00961E7A"/>
    <w:rsid w:val="009626D6"/>
    <w:rsid w:val="00963669"/>
    <w:rsid w:val="00963C46"/>
    <w:rsid w:val="009649D0"/>
    <w:rsid w:val="009660EE"/>
    <w:rsid w:val="00967641"/>
    <w:rsid w:val="00967AEB"/>
    <w:rsid w:val="00967F48"/>
    <w:rsid w:val="00970A5A"/>
    <w:rsid w:val="00971093"/>
    <w:rsid w:val="009714BD"/>
    <w:rsid w:val="00971989"/>
    <w:rsid w:val="009724BC"/>
    <w:rsid w:val="00973C2F"/>
    <w:rsid w:val="00974FFA"/>
    <w:rsid w:val="00975C00"/>
    <w:rsid w:val="00976AEA"/>
    <w:rsid w:val="00977795"/>
    <w:rsid w:val="00980615"/>
    <w:rsid w:val="0098121B"/>
    <w:rsid w:val="00981AE5"/>
    <w:rsid w:val="0098224B"/>
    <w:rsid w:val="009826FD"/>
    <w:rsid w:val="009835D0"/>
    <w:rsid w:val="0098395E"/>
    <w:rsid w:val="00983F16"/>
    <w:rsid w:val="00984BB3"/>
    <w:rsid w:val="00984D53"/>
    <w:rsid w:val="00985319"/>
    <w:rsid w:val="0099031E"/>
    <w:rsid w:val="00990EBF"/>
    <w:rsid w:val="009911F6"/>
    <w:rsid w:val="009913A3"/>
    <w:rsid w:val="00992828"/>
    <w:rsid w:val="00993278"/>
    <w:rsid w:val="00993289"/>
    <w:rsid w:val="0099333A"/>
    <w:rsid w:val="0099345D"/>
    <w:rsid w:val="00997AD4"/>
    <w:rsid w:val="009A0C22"/>
    <w:rsid w:val="009A103C"/>
    <w:rsid w:val="009A20F5"/>
    <w:rsid w:val="009A21B2"/>
    <w:rsid w:val="009A2380"/>
    <w:rsid w:val="009A3AD5"/>
    <w:rsid w:val="009A3C25"/>
    <w:rsid w:val="009A3FDF"/>
    <w:rsid w:val="009A4BAC"/>
    <w:rsid w:val="009A4BC5"/>
    <w:rsid w:val="009A519C"/>
    <w:rsid w:val="009A5901"/>
    <w:rsid w:val="009A7AA0"/>
    <w:rsid w:val="009B26F0"/>
    <w:rsid w:val="009B2F1B"/>
    <w:rsid w:val="009B45CC"/>
    <w:rsid w:val="009B46E6"/>
    <w:rsid w:val="009B4A16"/>
    <w:rsid w:val="009B4CAF"/>
    <w:rsid w:val="009B6A9C"/>
    <w:rsid w:val="009B7416"/>
    <w:rsid w:val="009B7B34"/>
    <w:rsid w:val="009C04BB"/>
    <w:rsid w:val="009C0CBA"/>
    <w:rsid w:val="009C236F"/>
    <w:rsid w:val="009C2539"/>
    <w:rsid w:val="009C3253"/>
    <w:rsid w:val="009C3676"/>
    <w:rsid w:val="009C36F6"/>
    <w:rsid w:val="009C37A9"/>
    <w:rsid w:val="009C4AEF"/>
    <w:rsid w:val="009C5A11"/>
    <w:rsid w:val="009C5CF8"/>
    <w:rsid w:val="009C60FA"/>
    <w:rsid w:val="009C66B1"/>
    <w:rsid w:val="009C6CE8"/>
    <w:rsid w:val="009C700F"/>
    <w:rsid w:val="009C7723"/>
    <w:rsid w:val="009D2133"/>
    <w:rsid w:val="009D2AE6"/>
    <w:rsid w:val="009D2B7C"/>
    <w:rsid w:val="009D2ECA"/>
    <w:rsid w:val="009D320A"/>
    <w:rsid w:val="009D48BD"/>
    <w:rsid w:val="009D66BC"/>
    <w:rsid w:val="009D7EF1"/>
    <w:rsid w:val="009E0573"/>
    <w:rsid w:val="009E074E"/>
    <w:rsid w:val="009E13E8"/>
    <w:rsid w:val="009E15B5"/>
    <w:rsid w:val="009E2B79"/>
    <w:rsid w:val="009E5907"/>
    <w:rsid w:val="009E6755"/>
    <w:rsid w:val="009E703F"/>
    <w:rsid w:val="009F04DE"/>
    <w:rsid w:val="009F073B"/>
    <w:rsid w:val="009F0824"/>
    <w:rsid w:val="009F1119"/>
    <w:rsid w:val="009F25CD"/>
    <w:rsid w:val="009F33CC"/>
    <w:rsid w:val="009F6FEF"/>
    <w:rsid w:val="009F7BD0"/>
    <w:rsid w:val="009F7EF9"/>
    <w:rsid w:val="00A003C9"/>
    <w:rsid w:val="00A02F7E"/>
    <w:rsid w:val="00A05D01"/>
    <w:rsid w:val="00A0677A"/>
    <w:rsid w:val="00A11755"/>
    <w:rsid w:val="00A11D75"/>
    <w:rsid w:val="00A13533"/>
    <w:rsid w:val="00A145B9"/>
    <w:rsid w:val="00A160C2"/>
    <w:rsid w:val="00A17A37"/>
    <w:rsid w:val="00A20046"/>
    <w:rsid w:val="00A20C32"/>
    <w:rsid w:val="00A2298B"/>
    <w:rsid w:val="00A22BE6"/>
    <w:rsid w:val="00A22FC2"/>
    <w:rsid w:val="00A2372E"/>
    <w:rsid w:val="00A24225"/>
    <w:rsid w:val="00A24D21"/>
    <w:rsid w:val="00A25F10"/>
    <w:rsid w:val="00A2657D"/>
    <w:rsid w:val="00A27350"/>
    <w:rsid w:val="00A300A3"/>
    <w:rsid w:val="00A34C85"/>
    <w:rsid w:val="00A3592A"/>
    <w:rsid w:val="00A35D6D"/>
    <w:rsid w:val="00A36349"/>
    <w:rsid w:val="00A374B2"/>
    <w:rsid w:val="00A37A76"/>
    <w:rsid w:val="00A37B74"/>
    <w:rsid w:val="00A37E27"/>
    <w:rsid w:val="00A40904"/>
    <w:rsid w:val="00A4129E"/>
    <w:rsid w:val="00A4233E"/>
    <w:rsid w:val="00A42560"/>
    <w:rsid w:val="00A428F4"/>
    <w:rsid w:val="00A42C26"/>
    <w:rsid w:val="00A43994"/>
    <w:rsid w:val="00A43FE3"/>
    <w:rsid w:val="00A45C03"/>
    <w:rsid w:val="00A45FCC"/>
    <w:rsid w:val="00A47A8D"/>
    <w:rsid w:val="00A5195C"/>
    <w:rsid w:val="00A51DA6"/>
    <w:rsid w:val="00A53038"/>
    <w:rsid w:val="00A5318B"/>
    <w:rsid w:val="00A560A8"/>
    <w:rsid w:val="00A565AF"/>
    <w:rsid w:val="00A56C03"/>
    <w:rsid w:val="00A57085"/>
    <w:rsid w:val="00A5788B"/>
    <w:rsid w:val="00A57DC8"/>
    <w:rsid w:val="00A61AFA"/>
    <w:rsid w:val="00A64116"/>
    <w:rsid w:val="00A6763E"/>
    <w:rsid w:val="00A6797F"/>
    <w:rsid w:val="00A67AB9"/>
    <w:rsid w:val="00A7044F"/>
    <w:rsid w:val="00A7100E"/>
    <w:rsid w:val="00A712BB"/>
    <w:rsid w:val="00A716B5"/>
    <w:rsid w:val="00A721D8"/>
    <w:rsid w:val="00A725AD"/>
    <w:rsid w:val="00A730C2"/>
    <w:rsid w:val="00A75217"/>
    <w:rsid w:val="00A762E5"/>
    <w:rsid w:val="00A7684E"/>
    <w:rsid w:val="00A76912"/>
    <w:rsid w:val="00A769B2"/>
    <w:rsid w:val="00A76CC3"/>
    <w:rsid w:val="00A80B09"/>
    <w:rsid w:val="00A81C77"/>
    <w:rsid w:val="00A821DF"/>
    <w:rsid w:val="00A82710"/>
    <w:rsid w:val="00A83ABF"/>
    <w:rsid w:val="00A83E5D"/>
    <w:rsid w:val="00A841D8"/>
    <w:rsid w:val="00A84566"/>
    <w:rsid w:val="00A84C46"/>
    <w:rsid w:val="00A8548E"/>
    <w:rsid w:val="00A85EDB"/>
    <w:rsid w:val="00A86AD0"/>
    <w:rsid w:val="00A91A6A"/>
    <w:rsid w:val="00A926BC"/>
    <w:rsid w:val="00A92F61"/>
    <w:rsid w:val="00A93AE4"/>
    <w:rsid w:val="00A93E25"/>
    <w:rsid w:val="00A941E2"/>
    <w:rsid w:val="00A9659B"/>
    <w:rsid w:val="00AA0C44"/>
    <w:rsid w:val="00AA22FB"/>
    <w:rsid w:val="00AA3062"/>
    <w:rsid w:val="00AA5E13"/>
    <w:rsid w:val="00AA7CD0"/>
    <w:rsid w:val="00AB1113"/>
    <w:rsid w:val="00AB32D3"/>
    <w:rsid w:val="00AB51B7"/>
    <w:rsid w:val="00AC289E"/>
    <w:rsid w:val="00AC3353"/>
    <w:rsid w:val="00AC4307"/>
    <w:rsid w:val="00AC49A2"/>
    <w:rsid w:val="00AC5491"/>
    <w:rsid w:val="00AC564A"/>
    <w:rsid w:val="00AC6B6B"/>
    <w:rsid w:val="00AC76FD"/>
    <w:rsid w:val="00AC7E07"/>
    <w:rsid w:val="00AD117F"/>
    <w:rsid w:val="00AD12F2"/>
    <w:rsid w:val="00AD1927"/>
    <w:rsid w:val="00AD33D0"/>
    <w:rsid w:val="00AD3406"/>
    <w:rsid w:val="00AD3D9D"/>
    <w:rsid w:val="00AD443B"/>
    <w:rsid w:val="00AD492C"/>
    <w:rsid w:val="00AD4E98"/>
    <w:rsid w:val="00AD5156"/>
    <w:rsid w:val="00AD5DD5"/>
    <w:rsid w:val="00AD6446"/>
    <w:rsid w:val="00AD68AC"/>
    <w:rsid w:val="00AD6C88"/>
    <w:rsid w:val="00AE28DF"/>
    <w:rsid w:val="00AE2C7A"/>
    <w:rsid w:val="00AE3264"/>
    <w:rsid w:val="00AE3C97"/>
    <w:rsid w:val="00AE3D5A"/>
    <w:rsid w:val="00AE5343"/>
    <w:rsid w:val="00AE627B"/>
    <w:rsid w:val="00AE6DD1"/>
    <w:rsid w:val="00AE6EF0"/>
    <w:rsid w:val="00AE7E23"/>
    <w:rsid w:val="00AE7FA8"/>
    <w:rsid w:val="00AF0E23"/>
    <w:rsid w:val="00AF202F"/>
    <w:rsid w:val="00AF2AEC"/>
    <w:rsid w:val="00AF48CC"/>
    <w:rsid w:val="00AF6E4C"/>
    <w:rsid w:val="00B01162"/>
    <w:rsid w:val="00B01CF9"/>
    <w:rsid w:val="00B02046"/>
    <w:rsid w:val="00B02E29"/>
    <w:rsid w:val="00B038F1"/>
    <w:rsid w:val="00B03C05"/>
    <w:rsid w:val="00B041E2"/>
    <w:rsid w:val="00B05C6A"/>
    <w:rsid w:val="00B05E4F"/>
    <w:rsid w:val="00B06B41"/>
    <w:rsid w:val="00B10E72"/>
    <w:rsid w:val="00B122F8"/>
    <w:rsid w:val="00B1238C"/>
    <w:rsid w:val="00B127D6"/>
    <w:rsid w:val="00B13817"/>
    <w:rsid w:val="00B16774"/>
    <w:rsid w:val="00B17403"/>
    <w:rsid w:val="00B17532"/>
    <w:rsid w:val="00B17AC9"/>
    <w:rsid w:val="00B20D51"/>
    <w:rsid w:val="00B21926"/>
    <w:rsid w:val="00B21A9C"/>
    <w:rsid w:val="00B22321"/>
    <w:rsid w:val="00B2387B"/>
    <w:rsid w:val="00B23A8A"/>
    <w:rsid w:val="00B24442"/>
    <w:rsid w:val="00B252E1"/>
    <w:rsid w:val="00B25992"/>
    <w:rsid w:val="00B26513"/>
    <w:rsid w:val="00B271AD"/>
    <w:rsid w:val="00B27386"/>
    <w:rsid w:val="00B3085A"/>
    <w:rsid w:val="00B30C41"/>
    <w:rsid w:val="00B3294C"/>
    <w:rsid w:val="00B33880"/>
    <w:rsid w:val="00B35980"/>
    <w:rsid w:val="00B360E3"/>
    <w:rsid w:val="00B37016"/>
    <w:rsid w:val="00B37A5D"/>
    <w:rsid w:val="00B425A9"/>
    <w:rsid w:val="00B43325"/>
    <w:rsid w:val="00B4414B"/>
    <w:rsid w:val="00B47175"/>
    <w:rsid w:val="00B477FC"/>
    <w:rsid w:val="00B506C8"/>
    <w:rsid w:val="00B506F8"/>
    <w:rsid w:val="00B51371"/>
    <w:rsid w:val="00B5387B"/>
    <w:rsid w:val="00B538ED"/>
    <w:rsid w:val="00B56140"/>
    <w:rsid w:val="00B5699E"/>
    <w:rsid w:val="00B56ECC"/>
    <w:rsid w:val="00B57305"/>
    <w:rsid w:val="00B57C36"/>
    <w:rsid w:val="00B60AE3"/>
    <w:rsid w:val="00B618B8"/>
    <w:rsid w:val="00B61CB5"/>
    <w:rsid w:val="00B64B8F"/>
    <w:rsid w:val="00B64DDB"/>
    <w:rsid w:val="00B64F56"/>
    <w:rsid w:val="00B66C28"/>
    <w:rsid w:val="00B7166E"/>
    <w:rsid w:val="00B71D6C"/>
    <w:rsid w:val="00B731DD"/>
    <w:rsid w:val="00B74475"/>
    <w:rsid w:val="00B751C1"/>
    <w:rsid w:val="00B752FA"/>
    <w:rsid w:val="00B75866"/>
    <w:rsid w:val="00B75E1B"/>
    <w:rsid w:val="00B76510"/>
    <w:rsid w:val="00B765BA"/>
    <w:rsid w:val="00B76CB8"/>
    <w:rsid w:val="00B7708E"/>
    <w:rsid w:val="00B77ECD"/>
    <w:rsid w:val="00B8040B"/>
    <w:rsid w:val="00B80B6B"/>
    <w:rsid w:val="00B8179F"/>
    <w:rsid w:val="00B8444A"/>
    <w:rsid w:val="00B86941"/>
    <w:rsid w:val="00B90751"/>
    <w:rsid w:val="00B907EA"/>
    <w:rsid w:val="00B91A02"/>
    <w:rsid w:val="00B91EF8"/>
    <w:rsid w:val="00B9204B"/>
    <w:rsid w:val="00B948F6"/>
    <w:rsid w:val="00B95814"/>
    <w:rsid w:val="00B9677C"/>
    <w:rsid w:val="00B968A0"/>
    <w:rsid w:val="00B96F20"/>
    <w:rsid w:val="00B97BE4"/>
    <w:rsid w:val="00BA2585"/>
    <w:rsid w:val="00BA3CFF"/>
    <w:rsid w:val="00BA4779"/>
    <w:rsid w:val="00BA4960"/>
    <w:rsid w:val="00BA5955"/>
    <w:rsid w:val="00BA5AF2"/>
    <w:rsid w:val="00BA6190"/>
    <w:rsid w:val="00BB1C0A"/>
    <w:rsid w:val="00BB2712"/>
    <w:rsid w:val="00BB3024"/>
    <w:rsid w:val="00BB3AB5"/>
    <w:rsid w:val="00BB6B53"/>
    <w:rsid w:val="00BB6D31"/>
    <w:rsid w:val="00BB72AE"/>
    <w:rsid w:val="00BB7812"/>
    <w:rsid w:val="00BC0B21"/>
    <w:rsid w:val="00BC1F80"/>
    <w:rsid w:val="00BC2213"/>
    <w:rsid w:val="00BC23B2"/>
    <w:rsid w:val="00BC68F2"/>
    <w:rsid w:val="00BC6F31"/>
    <w:rsid w:val="00BC7189"/>
    <w:rsid w:val="00BC7DB5"/>
    <w:rsid w:val="00BD1618"/>
    <w:rsid w:val="00BD30C3"/>
    <w:rsid w:val="00BD4B63"/>
    <w:rsid w:val="00BD5E24"/>
    <w:rsid w:val="00BD6111"/>
    <w:rsid w:val="00BD6F6E"/>
    <w:rsid w:val="00BE04D1"/>
    <w:rsid w:val="00BE2729"/>
    <w:rsid w:val="00BE31A6"/>
    <w:rsid w:val="00BE40CF"/>
    <w:rsid w:val="00BE477D"/>
    <w:rsid w:val="00BE55FA"/>
    <w:rsid w:val="00BE5C78"/>
    <w:rsid w:val="00BE64DA"/>
    <w:rsid w:val="00BE680E"/>
    <w:rsid w:val="00BE77CE"/>
    <w:rsid w:val="00BF019E"/>
    <w:rsid w:val="00BF1A01"/>
    <w:rsid w:val="00BF2416"/>
    <w:rsid w:val="00BF33E8"/>
    <w:rsid w:val="00BF52A9"/>
    <w:rsid w:val="00BF5DB4"/>
    <w:rsid w:val="00BF5EDD"/>
    <w:rsid w:val="00BF6316"/>
    <w:rsid w:val="00BF63B8"/>
    <w:rsid w:val="00BF644A"/>
    <w:rsid w:val="00C01495"/>
    <w:rsid w:val="00C01FEB"/>
    <w:rsid w:val="00C02245"/>
    <w:rsid w:val="00C02FDC"/>
    <w:rsid w:val="00C10E5A"/>
    <w:rsid w:val="00C1159F"/>
    <w:rsid w:val="00C11BEC"/>
    <w:rsid w:val="00C12979"/>
    <w:rsid w:val="00C12EE4"/>
    <w:rsid w:val="00C134A3"/>
    <w:rsid w:val="00C15012"/>
    <w:rsid w:val="00C151A3"/>
    <w:rsid w:val="00C17EB3"/>
    <w:rsid w:val="00C206A0"/>
    <w:rsid w:val="00C23A83"/>
    <w:rsid w:val="00C2457A"/>
    <w:rsid w:val="00C31659"/>
    <w:rsid w:val="00C338A0"/>
    <w:rsid w:val="00C344D2"/>
    <w:rsid w:val="00C36269"/>
    <w:rsid w:val="00C41CBE"/>
    <w:rsid w:val="00C42024"/>
    <w:rsid w:val="00C44246"/>
    <w:rsid w:val="00C4438A"/>
    <w:rsid w:val="00C44514"/>
    <w:rsid w:val="00C4537D"/>
    <w:rsid w:val="00C455DF"/>
    <w:rsid w:val="00C4597F"/>
    <w:rsid w:val="00C46862"/>
    <w:rsid w:val="00C468B8"/>
    <w:rsid w:val="00C469C2"/>
    <w:rsid w:val="00C46ED5"/>
    <w:rsid w:val="00C46F74"/>
    <w:rsid w:val="00C47B0C"/>
    <w:rsid w:val="00C508D6"/>
    <w:rsid w:val="00C50C9B"/>
    <w:rsid w:val="00C522D6"/>
    <w:rsid w:val="00C52E21"/>
    <w:rsid w:val="00C54549"/>
    <w:rsid w:val="00C54FDB"/>
    <w:rsid w:val="00C552FA"/>
    <w:rsid w:val="00C55BA9"/>
    <w:rsid w:val="00C56BFD"/>
    <w:rsid w:val="00C611EB"/>
    <w:rsid w:val="00C626D9"/>
    <w:rsid w:val="00C629CF"/>
    <w:rsid w:val="00C63416"/>
    <w:rsid w:val="00C637C9"/>
    <w:rsid w:val="00C63B2B"/>
    <w:rsid w:val="00C643C5"/>
    <w:rsid w:val="00C64428"/>
    <w:rsid w:val="00C67BE0"/>
    <w:rsid w:val="00C709B3"/>
    <w:rsid w:val="00C7232B"/>
    <w:rsid w:val="00C72351"/>
    <w:rsid w:val="00C742CA"/>
    <w:rsid w:val="00C777D5"/>
    <w:rsid w:val="00C806BA"/>
    <w:rsid w:val="00C81F64"/>
    <w:rsid w:val="00C82F1E"/>
    <w:rsid w:val="00C84B87"/>
    <w:rsid w:val="00C84C8C"/>
    <w:rsid w:val="00C90182"/>
    <w:rsid w:val="00C91BF4"/>
    <w:rsid w:val="00C91C68"/>
    <w:rsid w:val="00C9253F"/>
    <w:rsid w:val="00C9382E"/>
    <w:rsid w:val="00C94047"/>
    <w:rsid w:val="00C95121"/>
    <w:rsid w:val="00C95C2B"/>
    <w:rsid w:val="00C96D90"/>
    <w:rsid w:val="00C97F22"/>
    <w:rsid w:val="00CA1E63"/>
    <w:rsid w:val="00CA21F8"/>
    <w:rsid w:val="00CA2C3B"/>
    <w:rsid w:val="00CA3040"/>
    <w:rsid w:val="00CA3B32"/>
    <w:rsid w:val="00CA445A"/>
    <w:rsid w:val="00CA474D"/>
    <w:rsid w:val="00CA62EE"/>
    <w:rsid w:val="00CA6A4D"/>
    <w:rsid w:val="00CB0281"/>
    <w:rsid w:val="00CB0453"/>
    <w:rsid w:val="00CB2EDF"/>
    <w:rsid w:val="00CB30C9"/>
    <w:rsid w:val="00CB540F"/>
    <w:rsid w:val="00CC10D9"/>
    <w:rsid w:val="00CC202B"/>
    <w:rsid w:val="00CC2174"/>
    <w:rsid w:val="00CC287E"/>
    <w:rsid w:val="00CC399D"/>
    <w:rsid w:val="00CC5DBA"/>
    <w:rsid w:val="00CC72FE"/>
    <w:rsid w:val="00CD0645"/>
    <w:rsid w:val="00CD0C8E"/>
    <w:rsid w:val="00CD23A5"/>
    <w:rsid w:val="00CD23F8"/>
    <w:rsid w:val="00CD25CA"/>
    <w:rsid w:val="00CD2B5C"/>
    <w:rsid w:val="00CD2D04"/>
    <w:rsid w:val="00CD4531"/>
    <w:rsid w:val="00CD567F"/>
    <w:rsid w:val="00CD68E0"/>
    <w:rsid w:val="00CD7F9B"/>
    <w:rsid w:val="00CE0F89"/>
    <w:rsid w:val="00CE27AA"/>
    <w:rsid w:val="00CE31A2"/>
    <w:rsid w:val="00CE34C7"/>
    <w:rsid w:val="00CE4129"/>
    <w:rsid w:val="00CE45FE"/>
    <w:rsid w:val="00CE555A"/>
    <w:rsid w:val="00CE59A0"/>
    <w:rsid w:val="00CE5F6A"/>
    <w:rsid w:val="00CF06C3"/>
    <w:rsid w:val="00CF1EB7"/>
    <w:rsid w:val="00CF1EFD"/>
    <w:rsid w:val="00CF21D3"/>
    <w:rsid w:val="00CF3010"/>
    <w:rsid w:val="00CF3C6E"/>
    <w:rsid w:val="00CF4B00"/>
    <w:rsid w:val="00CF67F1"/>
    <w:rsid w:val="00CF74C6"/>
    <w:rsid w:val="00CF7A18"/>
    <w:rsid w:val="00D013D1"/>
    <w:rsid w:val="00D02B62"/>
    <w:rsid w:val="00D02CD3"/>
    <w:rsid w:val="00D0439B"/>
    <w:rsid w:val="00D04BDD"/>
    <w:rsid w:val="00D07496"/>
    <w:rsid w:val="00D109CA"/>
    <w:rsid w:val="00D1119B"/>
    <w:rsid w:val="00D14BC0"/>
    <w:rsid w:val="00D14F7F"/>
    <w:rsid w:val="00D150AB"/>
    <w:rsid w:val="00D15F85"/>
    <w:rsid w:val="00D1740A"/>
    <w:rsid w:val="00D2085E"/>
    <w:rsid w:val="00D21C6C"/>
    <w:rsid w:val="00D22070"/>
    <w:rsid w:val="00D22697"/>
    <w:rsid w:val="00D226EC"/>
    <w:rsid w:val="00D23E22"/>
    <w:rsid w:val="00D24317"/>
    <w:rsid w:val="00D25407"/>
    <w:rsid w:val="00D271C8"/>
    <w:rsid w:val="00D273A7"/>
    <w:rsid w:val="00D3028C"/>
    <w:rsid w:val="00D308A1"/>
    <w:rsid w:val="00D31440"/>
    <w:rsid w:val="00D352D9"/>
    <w:rsid w:val="00D358A3"/>
    <w:rsid w:val="00D375E6"/>
    <w:rsid w:val="00D40315"/>
    <w:rsid w:val="00D412BD"/>
    <w:rsid w:val="00D43CEA"/>
    <w:rsid w:val="00D444AA"/>
    <w:rsid w:val="00D445E7"/>
    <w:rsid w:val="00D4481B"/>
    <w:rsid w:val="00D44DC1"/>
    <w:rsid w:val="00D45489"/>
    <w:rsid w:val="00D45D7C"/>
    <w:rsid w:val="00D46826"/>
    <w:rsid w:val="00D46DD1"/>
    <w:rsid w:val="00D47683"/>
    <w:rsid w:val="00D47A91"/>
    <w:rsid w:val="00D508C6"/>
    <w:rsid w:val="00D54946"/>
    <w:rsid w:val="00D54FEF"/>
    <w:rsid w:val="00D56650"/>
    <w:rsid w:val="00D568E6"/>
    <w:rsid w:val="00D60412"/>
    <w:rsid w:val="00D613FB"/>
    <w:rsid w:val="00D6448A"/>
    <w:rsid w:val="00D650FD"/>
    <w:rsid w:val="00D66CC3"/>
    <w:rsid w:val="00D70F53"/>
    <w:rsid w:val="00D717B7"/>
    <w:rsid w:val="00D72B73"/>
    <w:rsid w:val="00D74D6D"/>
    <w:rsid w:val="00D7582D"/>
    <w:rsid w:val="00D77265"/>
    <w:rsid w:val="00D803DE"/>
    <w:rsid w:val="00D82B0C"/>
    <w:rsid w:val="00D82FDE"/>
    <w:rsid w:val="00D84922"/>
    <w:rsid w:val="00D84BB0"/>
    <w:rsid w:val="00D8558A"/>
    <w:rsid w:val="00D875C4"/>
    <w:rsid w:val="00D9055A"/>
    <w:rsid w:val="00D91CB7"/>
    <w:rsid w:val="00D92345"/>
    <w:rsid w:val="00D94424"/>
    <w:rsid w:val="00D95C4F"/>
    <w:rsid w:val="00D97892"/>
    <w:rsid w:val="00DA0F47"/>
    <w:rsid w:val="00DA2A18"/>
    <w:rsid w:val="00DA3093"/>
    <w:rsid w:val="00DA6C70"/>
    <w:rsid w:val="00DA7163"/>
    <w:rsid w:val="00DA7D3D"/>
    <w:rsid w:val="00DB0F10"/>
    <w:rsid w:val="00DB29ED"/>
    <w:rsid w:val="00DB3BE4"/>
    <w:rsid w:val="00DB3D34"/>
    <w:rsid w:val="00DB7096"/>
    <w:rsid w:val="00DB7F3A"/>
    <w:rsid w:val="00DC0A9A"/>
    <w:rsid w:val="00DC0AED"/>
    <w:rsid w:val="00DC11E5"/>
    <w:rsid w:val="00DC271B"/>
    <w:rsid w:val="00DC3282"/>
    <w:rsid w:val="00DC3340"/>
    <w:rsid w:val="00DC3B15"/>
    <w:rsid w:val="00DC3DC8"/>
    <w:rsid w:val="00DC4715"/>
    <w:rsid w:val="00DC4717"/>
    <w:rsid w:val="00DC6344"/>
    <w:rsid w:val="00DD0A6A"/>
    <w:rsid w:val="00DD10B6"/>
    <w:rsid w:val="00DD1387"/>
    <w:rsid w:val="00DD14EF"/>
    <w:rsid w:val="00DD2048"/>
    <w:rsid w:val="00DD2C74"/>
    <w:rsid w:val="00DD2F03"/>
    <w:rsid w:val="00DD3CE3"/>
    <w:rsid w:val="00DD3E5C"/>
    <w:rsid w:val="00DD4A93"/>
    <w:rsid w:val="00DD581B"/>
    <w:rsid w:val="00DD6B22"/>
    <w:rsid w:val="00DD6F0A"/>
    <w:rsid w:val="00DE3A06"/>
    <w:rsid w:val="00DE40A6"/>
    <w:rsid w:val="00DE45D1"/>
    <w:rsid w:val="00DE5310"/>
    <w:rsid w:val="00DE735B"/>
    <w:rsid w:val="00DF352B"/>
    <w:rsid w:val="00DF3617"/>
    <w:rsid w:val="00DF46B1"/>
    <w:rsid w:val="00DF49BD"/>
    <w:rsid w:val="00DF50FD"/>
    <w:rsid w:val="00DF51A2"/>
    <w:rsid w:val="00DF7E5D"/>
    <w:rsid w:val="00E02D32"/>
    <w:rsid w:val="00E03AF3"/>
    <w:rsid w:val="00E03D49"/>
    <w:rsid w:val="00E0427C"/>
    <w:rsid w:val="00E04F1E"/>
    <w:rsid w:val="00E0551B"/>
    <w:rsid w:val="00E06ABC"/>
    <w:rsid w:val="00E06FC7"/>
    <w:rsid w:val="00E07E9B"/>
    <w:rsid w:val="00E10066"/>
    <w:rsid w:val="00E10888"/>
    <w:rsid w:val="00E1159B"/>
    <w:rsid w:val="00E12DEA"/>
    <w:rsid w:val="00E12E32"/>
    <w:rsid w:val="00E15C79"/>
    <w:rsid w:val="00E172C1"/>
    <w:rsid w:val="00E22DFA"/>
    <w:rsid w:val="00E239A2"/>
    <w:rsid w:val="00E23C7F"/>
    <w:rsid w:val="00E2412E"/>
    <w:rsid w:val="00E258D9"/>
    <w:rsid w:val="00E2685D"/>
    <w:rsid w:val="00E27135"/>
    <w:rsid w:val="00E314AE"/>
    <w:rsid w:val="00E32B79"/>
    <w:rsid w:val="00E33DEC"/>
    <w:rsid w:val="00E3490A"/>
    <w:rsid w:val="00E3609B"/>
    <w:rsid w:val="00E368AC"/>
    <w:rsid w:val="00E36B29"/>
    <w:rsid w:val="00E40ECC"/>
    <w:rsid w:val="00E40F6E"/>
    <w:rsid w:val="00E412DB"/>
    <w:rsid w:val="00E42964"/>
    <w:rsid w:val="00E429B6"/>
    <w:rsid w:val="00E4378A"/>
    <w:rsid w:val="00E43D9F"/>
    <w:rsid w:val="00E47DD7"/>
    <w:rsid w:val="00E540AD"/>
    <w:rsid w:val="00E54D92"/>
    <w:rsid w:val="00E54DBA"/>
    <w:rsid w:val="00E54EAA"/>
    <w:rsid w:val="00E56C55"/>
    <w:rsid w:val="00E57176"/>
    <w:rsid w:val="00E57609"/>
    <w:rsid w:val="00E60F64"/>
    <w:rsid w:val="00E610BD"/>
    <w:rsid w:val="00E62C6A"/>
    <w:rsid w:val="00E641E4"/>
    <w:rsid w:val="00E66469"/>
    <w:rsid w:val="00E67054"/>
    <w:rsid w:val="00E70106"/>
    <w:rsid w:val="00E70183"/>
    <w:rsid w:val="00E7104D"/>
    <w:rsid w:val="00E730DE"/>
    <w:rsid w:val="00E73BC9"/>
    <w:rsid w:val="00E73BD4"/>
    <w:rsid w:val="00E74791"/>
    <w:rsid w:val="00E768A8"/>
    <w:rsid w:val="00E802B1"/>
    <w:rsid w:val="00E82332"/>
    <w:rsid w:val="00E82552"/>
    <w:rsid w:val="00E825D0"/>
    <w:rsid w:val="00E848CA"/>
    <w:rsid w:val="00E8525B"/>
    <w:rsid w:val="00E85291"/>
    <w:rsid w:val="00E8543A"/>
    <w:rsid w:val="00E91CB2"/>
    <w:rsid w:val="00E95019"/>
    <w:rsid w:val="00E95156"/>
    <w:rsid w:val="00EA0710"/>
    <w:rsid w:val="00EA0ACC"/>
    <w:rsid w:val="00EA1402"/>
    <w:rsid w:val="00EA152E"/>
    <w:rsid w:val="00EA5001"/>
    <w:rsid w:val="00EA6846"/>
    <w:rsid w:val="00EA694C"/>
    <w:rsid w:val="00EB08AC"/>
    <w:rsid w:val="00EB12F6"/>
    <w:rsid w:val="00EB25FD"/>
    <w:rsid w:val="00EB28B9"/>
    <w:rsid w:val="00EB3224"/>
    <w:rsid w:val="00EB3977"/>
    <w:rsid w:val="00EB3E46"/>
    <w:rsid w:val="00EB42E6"/>
    <w:rsid w:val="00EB5BDE"/>
    <w:rsid w:val="00EB6877"/>
    <w:rsid w:val="00EB74CD"/>
    <w:rsid w:val="00EC0802"/>
    <w:rsid w:val="00EC2AFF"/>
    <w:rsid w:val="00EC2FDE"/>
    <w:rsid w:val="00EC3E42"/>
    <w:rsid w:val="00EC480E"/>
    <w:rsid w:val="00EC5C80"/>
    <w:rsid w:val="00ED0479"/>
    <w:rsid w:val="00ED1109"/>
    <w:rsid w:val="00ED11B9"/>
    <w:rsid w:val="00ED1F7B"/>
    <w:rsid w:val="00ED2912"/>
    <w:rsid w:val="00ED3072"/>
    <w:rsid w:val="00ED493A"/>
    <w:rsid w:val="00ED599D"/>
    <w:rsid w:val="00ED59E1"/>
    <w:rsid w:val="00ED6959"/>
    <w:rsid w:val="00ED7CB0"/>
    <w:rsid w:val="00EE1860"/>
    <w:rsid w:val="00EE3115"/>
    <w:rsid w:val="00EE3BEB"/>
    <w:rsid w:val="00EE457E"/>
    <w:rsid w:val="00EE5726"/>
    <w:rsid w:val="00EE5CF3"/>
    <w:rsid w:val="00EE626F"/>
    <w:rsid w:val="00EE6D91"/>
    <w:rsid w:val="00EF004A"/>
    <w:rsid w:val="00EF1C7E"/>
    <w:rsid w:val="00EF2149"/>
    <w:rsid w:val="00EF36E0"/>
    <w:rsid w:val="00EF427F"/>
    <w:rsid w:val="00EF4338"/>
    <w:rsid w:val="00EF48F8"/>
    <w:rsid w:val="00EF4AB5"/>
    <w:rsid w:val="00EF4B72"/>
    <w:rsid w:val="00EF526B"/>
    <w:rsid w:val="00EF6066"/>
    <w:rsid w:val="00EF6E7B"/>
    <w:rsid w:val="00EF782A"/>
    <w:rsid w:val="00F001C7"/>
    <w:rsid w:val="00F00F6C"/>
    <w:rsid w:val="00F02043"/>
    <w:rsid w:val="00F026A9"/>
    <w:rsid w:val="00F026D9"/>
    <w:rsid w:val="00F06C3A"/>
    <w:rsid w:val="00F07A2B"/>
    <w:rsid w:val="00F108CF"/>
    <w:rsid w:val="00F10A7F"/>
    <w:rsid w:val="00F10F8E"/>
    <w:rsid w:val="00F12342"/>
    <w:rsid w:val="00F136E9"/>
    <w:rsid w:val="00F13BAD"/>
    <w:rsid w:val="00F146E2"/>
    <w:rsid w:val="00F15B2B"/>
    <w:rsid w:val="00F162CD"/>
    <w:rsid w:val="00F16A73"/>
    <w:rsid w:val="00F17771"/>
    <w:rsid w:val="00F20932"/>
    <w:rsid w:val="00F210E5"/>
    <w:rsid w:val="00F2172C"/>
    <w:rsid w:val="00F2520F"/>
    <w:rsid w:val="00F255AD"/>
    <w:rsid w:val="00F258FB"/>
    <w:rsid w:val="00F25EF9"/>
    <w:rsid w:val="00F26AAD"/>
    <w:rsid w:val="00F26E39"/>
    <w:rsid w:val="00F26FB2"/>
    <w:rsid w:val="00F27604"/>
    <w:rsid w:val="00F32DF3"/>
    <w:rsid w:val="00F349A4"/>
    <w:rsid w:val="00F369AD"/>
    <w:rsid w:val="00F36CCE"/>
    <w:rsid w:val="00F40558"/>
    <w:rsid w:val="00F40CD5"/>
    <w:rsid w:val="00F4141D"/>
    <w:rsid w:val="00F427F4"/>
    <w:rsid w:val="00F4397F"/>
    <w:rsid w:val="00F43D0A"/>
    <w:rsid w:val="00F44A12"/>
    <w:rsid w:val="00F44A34"/>
    <w:rsid w:val="00F45068"/>
    <w:rsid w:val="00F520C2"/>
    <w:rsid w:val="00F5274E"/>
    <w:rsid w:val="00F53E7C"/>
    <w:rsid w:val="00F53EBB"/>
    <w:rsid w:val="00F5623D"/>
    <w:rsid w:val="00F60EBB"/>
    <w:rsid w:val="00F610E1"/>
    <w:rsid w:val="00F617D5"/>
    <w:rsid w:val="00F6253C"/>
    <w:rsid w:val="00F62721"/>
    <w:rsid w:val="00F65F6B"/>
    <w:rsid w:val="00F66F6D"/>
    <w:rsid w:val="00F673F1"/>
    <w:rsid w:val="00F67ADD"/>
    <w:rsid w:val="00F67DA8"/>
    <w:rsid w:val="00F719EE"/>
    <w:rsid w:val="00F73217"/>
    <w:rsid w:val="00F75F77"/>
    <w:rsid w:val="00F77829"/>
    <w:rsid w:val="00F8014C"/>
    <w:rsid w:val="00F80DFC"/>
    <w:rsid w:val="00F810EA"/>
    <w:rsid w:val="00F8113E"/>
    <w:rsid w:val="00F823F4"/>
    <w:rsid w:val="00F8429E"/>
    <w:rsid w:val="00F84319"/>
    <w:rsid w:val="00F851A3"/>
    <w:rsid w:val="00F8598F"/>
    <w:rsid w:val="00F867D3"/>
    <w:rsid w:val="00F871A0"/>
    <w:rsid w:val="00F90012"/>
    <w:rsid w:val="00F90330"/>
    <w:rsid w:val="00F91012"/>
    <w:rsid w:val="00F919FB"/>
    <w:rsid w:val="00F944FE"/>
    <w:rsid w:val="00F94AC9"/>
    <w:rsid w:val="00F9551B"/>
    <w:rsid w:val="00FA0605"/>
    <w:rsid w:val="00FA1F0A"/>
    <w:rsid w:val="00FA26F3"/>
    <w:rsid w:val="00FA3722"/>
    <w:rsid w:val="00FA4C58"/>
    <w:rsid w:val="00FA5A7F"/>
    <w:rsid w:val="00FA751F"/>
    <w:rsid w:val="00FB085F"/>
    <w:rsid w:val="00FB09B3"/>
    <w:rsid w:val="00FB1D04"/>
    <w:rsid w:val="00FB20F1"/>
    <w:rsid w:val="00FB3AD1"/>
    <w:rsid w:val="00FB45CA"/>
    <w:rsid w:val="00FB4668"/>
    <w:rsid w:val="00FB4E72"/>
    <w:rsid w:val="00FB56D5"/>
    <w:rsid w:val="00FB5D09"/>
    <w:rsid w:val="00FC0FF4"/>
    <w:rsid w:val="00FC349E"/>
    <w:rsid w:val="00FC35AD"/>
    <w:rsid w:val="00FC4B6B"/>
    <w:rsid w:val="00FC516E"/>
    <w:rsid w:val="00FC753C"/>
    <w:rsid w:val="00FD22A8"/>
    <w:rsid w:val="00FD2670"/>
    <w:rsid w:val="00FD3F60"/>
    <w:rsid w:val="00FD48DB"/>
    <w:rsid w:val="00FD72C1"/>
    <w:rsid w:val="00FE118F"/>
    <w:rsid w:val="00FE290C"/>
    <w:rsid w:val="00FE2AAC"/>
    <w:rsid w:val="00FE2AD5"/>
    <w:rsid w:val="00FE3C28"/>
    <w:rsid w:val="00FE4250"/>
    <w:rsid w:val="00FE428D"/>
    <w:rsid w:val="00FE46BB"/>
    <w:rsid w:val="00FE4766"/>
    <w:rsid w:val="00FE4E5A"/>
    <w:rsid w:val="00FE6F49"/>
    <w:rsid w:val="00FF0137"/>
    <w:rsid w:val="00FF1157"/>
    <w:rsid w:val="00FF21AC"/>
    <w:rsid w:val="00FF2346"/>
    <w:rsid w:val="00FF3283"/>
    <w:rsid w:val="00FF4357"/>
    <w:rsid w:val="00FF4638"/>
    <w:rsid w:val="00FF550B"/>
    <w:rsid w:val="00FF76CC"/>
    <w:rsid w:val="00FF78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35C5C8"/>
  <w15:docId w15:val="{2EEA53DA-D2F3-4BBD-B2B1-DF7F09CB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512"/>
  </w:style>
  <w:style w:type="paragraph" w:styleId="Heading1">
    <w:name w:val="heading 1"/>
    <w:basedOn w:val="Normal"/>
    <w:next w:val="Normal"/>
    <w:link w:val="Heading1Char"/>
    <w:uiPriority w:val="9"/>
    <w:qFormat/>
    <w:rsid w:val="00E17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72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23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31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72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72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172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72C1"/>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172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72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23D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545E3"/>
    <w:rPr>
      <w:color w:val="0000FF" w:themeColor="hyperlink"/>
      <w:u w:val="single"/>
    </w:rPr>
  </w:style>
  <w:style w:type="table" w:styleId="TableGrid">
    <w:name w:val="Table Grid"/>
    <w:basedOn w:val="TableNormal"/>
    <w:uiPriority w:val="59"/>
    <w:rsid w:val="002E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E700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DD14EF"/>
    <w:pPr>
      <w:ind w:left="720"/>
      <w:contextualSpacing/>
    </w:pPr>
  </w:style>
  <w:style w:type="paragraph" w:styleId="BalloonText">
    <w:name w:val="Balloon Text"/>
    <w:basedOn w:val="Normal"/>
    <w:link w:val="BalloonTextChar"/>
    <w:uiPriority w:val="99"/>
    <w:semiHidden/>
    <w:unhideWhenUsed/>
    <w:rsid w:val="00B6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CB5"/>
    <w:rPr>
      <w:rFonts w:ascii="Tahoma" w:hAnsi="Tahoma" w:cs="Tahoma"/>
      <w:sz w:val="16"/>
      <w:szCs w:val="16"/>
    </w:rPr>
  </w:style>
  <w:style w:type="character" w:styleId="CommentReference">
    <w:name w:val="annotation reference"/>
    <w:basedOn w:val="DefaultParagraphFont"/>
    <w:uiPriority w:val="99"/>
    <w:semiHidden/>
    <w:unhideWhenUsed/>
    <w:rsid w:val="0002384A"/>
    <w:rPr>
      <w:sz w:val="16"/>
      <w:szCs w:val="16"/>
    </w:rPr>
  </w:style>
  <w:style w:type="paragraph" w:styleId="CommentText">
    <w:name w:val="annotation text"/>
    <w:basedOn w:val="Normal"/>
    <w:link w:val="CommentTextChar"/>
    <w:uiPriority w:val="99"/>
    <w:semiHidden/>
    <w:unhideWhenUsed/>
    <w:rsid w:val="0002384A"/>
    <w:pPr>
      <w:spacing w:line="240" w:lineRule="auto"/>
    </w:pPr>
    <w:rPr>
      <w:sz w:val="20"/>
      <w:szCs w:val="20"/>
    </w:rPr>
  </w:style>
  <w:style w:type="character" w:customStyle="1" w:styleId="CommentTextChar">
    <w:name w:val="Comment Text Char"/>
    <w:basedOn w:val="DefaultParagraphFont"/>
    <w:link w:val="CommentText"/>
    <w:uiPriority w:val="99"/>
    <w:semiHidden/>
    <w:rsid w:val="0002384A"/>
    <w:rPr>
      <w:sz w:val="20"/>
      <w:szCs w:val="20"/>
    </w:rPr>
  </w:style>
  <w:style w:type="paragraph" w:styleId="CommentSubject">
    <w:name w:val="annotation subject"/>
    <w:basedOn w:val="CommentText"/>
    <w:next w:val="CommentText"/>
    <w:link w:val="CommentSubjectChar"/>
    <w:uiPriority w:val="99"/>
    <w:semiHidden/>
    <w:unhideWhenUsed/>
    <w:rsid w:val="0002384A"/>
    <w:rPr>
      <w:b/>
      <w:bCs/>
    </w:rPr>
  </w:style>
  <w:style w:type="character" w:customStyle="1" w:styleId="CommentSubjectChar">
    <w:name w:val="Comment Subject Char"/>
    <w:basedOn w:val="CommentTextChar"/>
    <w:link w:val="CommentSubject"/>
    <w:uiPriority w:val="99"/>
    <w:semiHidden/>
    <w:rsid w:val="0002384A"/>
    <w:rPr>
      <w:b/>
      <w:bCs/>
      <w:sz w:val="20"/>
      <w:szCs w:val="20"/>
    </w:rPr>
  </w:style>
  <w:style w:type="table" w:customStyle="1" w:styleId="LightShading-Accent11">
    <w:name w:val="Light Shading - Accent 11"/>
    <w:basedOn w:val="TableNormal"/>
    <w:next w:val="LightShading-Accent1"/>
    <w:uiPriority w:val="60"/>
    <w:rsid w:val="007125FE"/>
    <w:pPr>
      <w:spacing w:after="0" w:line="240" w:lineRule="auto"/>
    </w:pPr>
    <w:rPr>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E41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2DB"/>
  </w:style>
  <w:style w:type="paragraph" w:styleId="Footer">
    <w:name w:val="footer"/>
    <w:basedOn w:val="Normal"/>
    <w:link w:val="FooterChar"/>
    <w:uiPriority w:val="99"/>
    <w:unhideWhenUsed/>
    <w:rsid w:val="00E41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2DB"/>
  </w:style>
  <w:style w:type="table" w:styleId="LightShading-Accent4">
    <w:name w:val="Light Shading Accent 4"/>
    <w:basedOn w:val="TableNormal"/>
    <w:uiPriority w:val="60"/>
    <w:rsid w:val="00B7447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4Char">
    <w:name w:val="Heading 4 Char"/>
    <w:basedOn w:val="DefaultParagraphFont"/>
    <w:link w:val="Heading4"/>
    <w:uiPriority w:val="9"/>
    <w:rsid w:val="0050315B"/>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B8179F"/>
    <w:rPr>
      <w:color w:val="800080" w:themeColor="followedHyperlink"/>
      <w:u w:val="single"/>
    </w:rPr>
  </w:style>
  <w:style w:type="paragraph" w:styleId="Caption">
    <w:name w:val="caption"/>
    <w:basedOn w:val="Normal"/>
    <w:next w:val="Normal"/>
    <w:uiPriority w:val="35"/>
    <w:unhideWhenUsed/>
    <w:qFormat/>
    <w:rsid w:val="00E82552"/>
    <w:pPr>
      <w:spacing w:line="240" w:lineRule="auto"/>
    </w:pPr>
    <w:rPr>
      <w:b/>
      <w:bCs/>
      <w:color w:val="4F81BD" w:themeColor="accent1"/>
      <w:sz w:val="18"/>
      <w:szCs w:val="18"/>
    </w:rPr>
  </w:style>
  <w:style w:type="paragraph" w:styleId="FootnoteText">
    <w:name w:val="footnote text"/>
    <w:basedOn w:val="Normal"/>
    <w:link w:val="FootnoteTextChar"/>
    <w:uiPriority w:val="99"/>
    <w:unhideWhenUsed/>
    <w:rsid w:val="00540BE2"/>
    <w:pPr>
      <w:spacing w:after="0" w:line="240" w:lineRule="auto"/>
    </w:pPr>
    <w:rPr>
      <w:sz w:val="20"/>
      <w:szCs w:val="20"/>
    </w:rPr>
  </w:style>
  <w:style w:type="character" w:customStyle="1" w:styleId="FootnoteTextChar">
    <w:name w:val="Footnote Text Char"/>
    <w:basedOn w:val="DefaultParagraphFont"/>
    <w:link w:val="FootnoteText"/>
    <w:uiPriority w:val="99"/>
    <w:rsid w:val="00540BE2"/>
    <w:rPr>
      <w:sz w:val="20"/>
      <w:szCs w:val="20"/>
    </w:rPr>
  </w:style>
  <w:style w:type="character" w:styleId="FootnoteReference">
    <w:name w:val="footnote reference"/>
    <w:basedOn w:val="DefaultParagraphFont"/>
    <w:uiPriority w:val="99"/>
    <w:semiHidden/>
    <w:unhideWhenUsed/>
    <w:rsid w:val="00540BE2"/>
    <w:rPr>
      <w:vertAlign w:val="superscript"/>
    </w:rPr>
  </w:style>
  <w:style w:type="paragraph" w:styleId="NoSpacing">
    <w:name w:val="No Spacing"/>
    <w:link w:val="NoSpacingChar"/>
    <w:uiPriority w:val="1"/>
    <w:qFormat/>
    <w:rsid w:val="009A4BAC"/>
    <w:pPr>
      <w:spacing w:after="0" w:line="240" w:lineRule="auto"/>
    </w:pPr>
    <w:rPr>
      <w:lang w:val="en-US" w:eastAsia="ja-JP"/>
    </w:rPr>
  </w:style>
  <w:style w:type="character" w:customStyle="1" w:styleId="NoSpacingChar">
    <w:name w:val="No Spacing Char"/>
    <w:basedOn w:val="DefaultParagraphFont"/>
    <w:link w:val="NoSpacing"/>
    <w:uiPriority w:val="1"/>
    <w:rsid w:val="009A4BAC"/>
    <w:rPr>
      <w:lang w:val="en-US" w:eastAsia="ja-JP"/>
    </w:rPr>
  </w:style>
  <w:style w:type="paragraph" w:styleId="NormalWeb">
    <w:name w:val="Normal (Web)"/>
    <w:basedOn w:val="Normal"/>
    <w:uiPriority w:val="99"/>
    <w:unhideWhenUsed/>
    <w:rsid w:val="006673E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84566"/>
    <w:pPr>
      <w:spacing w:after="0" w:line="240" w:lineRule="auto"/>
    </w:pPr>
  </w:style>
  <w:style w:type="paragraph" w:styleId="EndnoteText">
    <w:name w:val="endnote text"/>
    <w:basedOn w:val="Normal"/>
    <w:link w:val="EndnoteTextChar"/>
    <w:uiPriority w:val="99"/>
    <w:semiHidden/>
    <w:unhideWhenUsed/>
    <w:rsid w:val="00DA30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3093"/>
    <w:rPr>
      <w:sz w:val="20"/>
      <w:szCs w:val="20"/>
    </w:rPr>
  </w:style>
  <w:style w:type="character" w:styleId="EndnoteReference">
    <w:name w:val="endnote reference"/>
    <w:basedOn w:val="DefaultParagraphFont"/>
    <w:uiPriority w:val="99"/>
    <w:semiHidden/>
    <w:unhideWhenUsed/>
    <w:rsid w:val="00DA3093"/>
    <w:rPr>
      <w:vertAlign w:val="superscript"/>
    </w:rPr>
  </w:style>
  <w:style w:type="table" w:styleId="GridTable1Light-Accent1">
    <w:name w:val="Grid Table 1 Light Accent 1"/>
    <w:basedOn w:val="TableNormal"/>
    <w:uiPriority w:val="46"/>
    <w:rsid w:val="009660E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CE31A2"/>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rsid w:val="00CE31A2"/>
    <w:rPr>
      <w:rFonts w:ascii="Calibri" w:eastAsiaTheme="minorHAnsi" w:hAnsi="Calibri" w:cs="Times New Roman"/>
      <w:lang w:eastAsia="en-US"/>
    </w:rPr>
  </w:style>
  <w:style w:type="table" w:customStyle="1" w:styleId="TableGrid1">
    <w:name w:val="Table Grid1"/>
    <w:basedOn w:val="TableNormal"/>
    <w:next w:val="TableGrid"/>
    <w:uiPriority w:val="59"/>
    <w:rsid w:val="0076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41">
    <w:name w:val="Light Shading - Accent 41"/>
    <w:basedOn w:val="TableNormal"/>
    <w:next w:val="LightShading-Accent4"/>
    <w:uiPriority w:val="60"/>
    <w:rsid w:val="00765B6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Grid2">
    <w:name w:val="Table Grid2"/>
    <w:basedOn w:val="TableNormal"/>
    <w:next w:val="TableGrid"/>
    <w:uiPriority w:val="59"/>
    <w:rsid w:val="001447F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10930">
      <w:bodyDiv w:val="1"/>
      <w:marLeft w:val="0"/>
      <w:marRight w:val="0"/>
      <w:marTop w:val="0"/>
      <w:marBottom w:val="0"/>
      <w:divBdr>
        <w:top w:val="none" w:sz="0" w:space="0" w:color="auto"/>
        <w:left w:val="none" w:sz="0" w:space="0" w:color="auto"/>
        <w:bottom w:val="none" w:sz="0" w:space="0" w:color="auto"/>
        <w:right w:val="none" w:sz="0" w:space="0" w:color="auto"/>
      </w:divBdr>
      <w:divsChild>
        <w:div w:id="63381316">
          <w:marLeft w:val="0"/>
          <w:marRight w:val="0"/>
          <w:marTop w:val="0"/>
          <w:marBottom w:val="0"/>
          <w:divBdr>
            <w:top w:val="none" w:sz="0" w:space="0" w:color="auto"/>
            <w:left w:val="none" w:sz="0" w:space="0" w:color="auto"/>
            <w:bottom w:val="none" w:sz="0" w:space="0" w:color="auto"/>
            <w:right w:val="none" w:sz="0" w:space="0" w:color="auto"/>
          </w:divBdr>
          <w:divsChild>
            <w:div w:id="1571188430">
              <w:marLeft w:val="0"/>
              <w:marRight w:val="0"/>
              <w:marTop w:val="0"/>
              <w:marBottom w:val="0"/>
              <w:divBdr>
                <w:top w:val="none" w:sz="0" w:space="0" w:color="auto"/>
                <w:left w:val="none" w:sz="0" w:space="0" w:color="auto"/>
                <w:bottom w:val="none" w:sz="0" w:space="0" w:color="auto"/>
                <w:right w:val="none" w:sz="0" w:space="0" w:color="auto"/>
              </w:divBdr>
              <w:divsChild>
                <w:div w:id="1959532064">
                  <w:marLeft w:val="0"/>
                  <w:marRight w:val="0"/>
                  <w:marTop w:val="0"/>
                  <w:marBottom w:val="0"/>
                  <w:divBdr>
                    <w:top w:val="none" w:sz="0" w:space="0" w:color="auto"/>
                    <w:left w:val="none" w:sz="0" w:space="0" w:color="auto"/>
                    <w:bottom w:val="none" w:sz="0" w:space="0" w:color="auto"/>
                    <w:right w:val="none" w:sz="0" w:space="0" w:color="auto"/>
                  </w:divBdr>
                  <w:divsChild>
                    <w:div w:id="1177038684">
                      <w:marLeft w:val="0"/>
                      <w:marRight w:val="0"/>
                      <w:marTop w:val="0"/>
                      <w:marBottom w:val="0"/>
                      <w:divBdr>
                        <w:top w:val="none" w:sz="0" w:space="0" w:color="auto"/>
                        <w:left w:val="none" w:sz="0" w:space="0" w:color="auto"/>
                        <w:bottom w:val="none" w:sz="0" w:space="0" w:color="auto"/>
                        <w:right w:val="none" w:sz="0" w:space="0" w:color="auto"/>
                      </w:divBdr>
                      <w:divsChild>
                        <w:div w:id="13467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2893">
      <w:bodyDiv w:val="1"/>
      <w:marLeft w:val="0"/>
      <w:marRight w:val="0"/>
      <w:marTop w:val="0"/>
      <w:marBottom w:val="0"/>
      <w:divBdr>
        <w:top w:val="none" w:sz="0" w:space="0" w:color="auto"/>
        <w:left w:val="none" w:sz="0" w:space="0" w:color="auto"/>
        <w:bottom w:val="none" w:sz="0" w:space="0" w:color="auto"/>
        <w:right w:val="none" w:sz="0" w:space="0" w:color="auto"/>
      </w:divBdr>
    </w:div>
    <w:div w:id="1225407773">
      <w:bodyDiv w:val="1"/>
      <w:marLeft w:val="0"/>
      <w:marRight w:val="0"/>
      <w:marTop w:val="0"/>
      <w:marBottom w:val="0"/>
      <w:divBdr>
        <w:top w:val="none" w:sz="0" w:space="0" w:color="auto"/>
        <w:left w:val="none" w:sz="0" w:space="0" w:color="auto"/>
        <w:bottom w:val="none" w:sz="0" w:space="0" w:color="auto"/>
        <w:right w:val="none" w:sz="0" w:space="0" w:color="auto"/>
      </w:divBdr>
    </w:div>
    <w:div w:id="1703625164">
      <w:bodyDiv w:val="1"/>
      <w:marLeft w:val="0"/>
      <w:marRight w:val="0"/>
      <w:marTop w:val="0"/>
      <w:marBottom w:val="0"/>
      <w:divBdr>
        <w:top w:val="none" w:sz="0" w:space="0" w:color="auto"/>
        <w:left w:val="none" w:sz="0" w:space="0" w:color="auto"/>
        <w:bottom w:val="none" w:sz="0" w:space="0" w:color="auto"/>
        <w:right w:val="none" w:sz="0" w:space="0" w:color="auto"/>
      </w:divBdr>
    </w:div>
    <w:div w:id="1806660385">
      <w:bodyDiv w:val="1"/>
      <w:marLeft w:val="0"/>
      <w:marRight w:val="0"/>
      <w:marTop w:val="0"/>
      <w:marBottom w:val="0"/>
      <w:divBdr>
        <w:top w:val="none" w:sz="0" w:space="0" w:color="auto"/>
        <w:left w:val="none" w:sz="0" w:space="0" w:color="auto"/>
        <w:bottom w:val="none" w:sz="0" w:space="0" w:color="auto"/>
        <w:right w:val="none" w:sz="0" w:space="0" w:color="auto"/>
      </w:divBdr>
    </w:div>
    <w:div w:id="18169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fca.org.uk/news/icap-europe-limited-fined" TargetMode="External"/><Relationship Id="rId26" Type="http://schemas.openxmlformats.org/officeDocument/2006/relationships/hyperlink" Target="https://www.fca.org.uk/news/press-releases/homeserve-fined-%C2%A330-million-widespread-failings" TargetMode="External"/><Relationship Id="rId39" Type="http://schemas.openxmlformats.org/officeDocument/2006/relationships/hyperlink" Target="https://www.fca.org.uk/news/press-releases/payday-lender-cash-genie-provide-%C2%A320-million-redress-over-92000-customers" TargetMode="External"/><Relationship Id="rId3" Type="http://schemas.openxmlformats.org/officeDocument/2006/relationships/styles" Target="styles.xml"/><Relationship Id="rId21" Type="http://schemas.openxmlformats.org/officeDocument/2006/relationships/hyperlink" Target="https://www.fca.org.uk/news/press-releases/firm-fined-%C2%A318million-unacceptable-approach-bribery-corruption-risks-overseas" TargetMode="External"/><Relationship Id="rId34" Type="http://schemas.openxmlformats.org/officeDocument/2006/relationships/hyperlink" Target="https://www.fca.org.uk/news/press-releases/clydesdale-bank-fined-%C2%A320678300-serious-failings-ppi-complaint-handling" TargetMode="External"/><Relationship Id="rId42" Type="http://schemas.openxmlformats.org/officeDocument/2006/relationships/hyperlink" Target="http://www.bankofengland.co.uk/pra/Pages/publications/powersculture.aspx" TargetMode="External"/><Relationship Id="rId47" Type="http://schemas.openxmlformats.org/officeDocument/2006/relationships/hyperlink" Target="https://www.bnymellon.com/uk/en/"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iiste.org/Journals/index.php/RJFA/article/view/14807" TargetMode="External"/><Relationship Id="rId25" Type="http://schemas.openxmlformats.org/officeDocument/2006/relationships/hyperlink" Target="https://www.fca.org.uk/publication/final-notices/state-street.pdf" TargetMode="External"/><Relationship Id="rId33" Type="http://schemas.openxmlformats.org/officeDocument/2006/relationships/hyperlink" Target="https://www.fca.org.uk/news/press-releases/fca-fines-bank-new-york-mellon-london-branch-and-bank-new-york-mellon" TargetMode="External"/><Relationship Id="rId38" Type="http://schemas.openxmlformats.org/officeDocument/2006/relationships/hyperlink" Target="https://www.fca.org.uk/news/press-releases/payday-lender-dollar-provide-%C2%A3154-million-redress-over-147000-customers" TargetMode="External"/><Relationship Id="rId46" Type="http://schemas.openxmlformats.org/officeDocument/2006/relationships/hyperlink" Target="https://www.db.com/unitedkingdom/" TargetMode="External"/><Relationship Id="rId2" Type="http://schemas.openxmlformats.org/officeDocument/2006/relationships/numbering" Target="numbering.xml"/><Relationship Id="rId16" Type="http://schemas.openxmlformats.org/officeDocument/2006/relationships/hyperlink" Target="http://compliancex.com/barclays-spending-millions-on-truthfulness-training-at-new-compliance-academy/" TargetMode="External"/><Relationship Id="rId20" Type="http://schemas.openxmlformats.org/officeDocument/2006/relationships/hyperlink" Target="https://www.fca.org.uk/publication/final-notices/lloyds-tsb-bank-and-bank-of-scotland.pdf" TargetMode="External"/><Relationship Id="rId29" Type="http://schemas.openxmlformats.org/officeDocument/2006/relationships/hyperlink" Target="https://www.fca.org.uk/news/press-releases/lloyds-banking-group-fined-%C2%A3117m-failing-handle-ppi-complaints-fairly" TargetMode="External"/><Relationship Id="rId41" Type="http://schemas.openxmlformats.org/officeDocument/2006/relationships/hyperlink" Target="https://www.fca.org.uk/publication/occasional-papers/op16-2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fca.org.uk/news/press-releases/martin-brokers-uk-limited-fined-630000-for-significant-failings-in-relation-to-libor" TargetMode="External"/><Relationship Id="rId32" Type="http://schemas.openxmlformats.org/officeDocument/2006/relationships/hyperlink" Target="https://www.fca.org.uk/news/press-releases/fca-fines-merrill-lynch-international-%C2%A3132-million-transaction-reporting" TargetMode="External"/><Relationship Id="rId37" Type="http://schemas.openxmlformats.org/officeDocument/2006/relationships/hyperlink" Target="https://www.fca.org.uk/news/press-releases/almost-4000-customers-due-redress-totalling-%C2%A317-million-payday-firm-casheuronet" TargetMode="External"/><Relationship Id="rId40" Type="http://schemas.openxmlformats.org/officeDocument/2006/relationships/hyperlink" Target="https://www.frc.org.uk/Our-Work/Publications/Corporate-Governance/Corporate-Culture-and-the-Role-of-Boards-Report-o.pdf" TargetMode="External"/><Relationship Id="rId45" Type="http://schemas.openxmlformats.org/officeDocument/2006/relationships/hyperlink" Target="http://www.columbiathreadneedle.com/en/media-centre/" TargetMode="External"/><Relationship Id="rId5" Type="http://schemas.openxmlformats.org/officeDocument/2006/relationships/webSettings" Target="webSettings.xml"/><Relationship Id="rId15" Type="http://schemas.openxmlformats.org/officeDocument/2006/relationships/hyperlink" Target="http://mpra.ub.uni-muenchen.de/8302/" TargetMode="External"/><Relationship Id="rId23" Type="http://schemas.openxmlformats.org/officeDocument/2006/relationships/hyperlink" Target="https://www.fca.org.uk/publication/final-notices/sesame-limited.pdf" TargetMode="External"/><Relationship Id="rId28" Type="http://schemas.openxmlformats.org/officeDocument/2006/relationships/hyperlink" Target="https://www.fca.org.uk/news/press-releases/fca-fines-barclays-%C2%A372-million-poor-handling-financial-crime-risks" TargetMode="External"/><Relationship Id="rId36" Type="http://schemas.openxmlformats.org/officeDocument/2006/relationships/hyperlink" Target="https://www.fca.org.uk/news/press-releases/fca-fines-aviva-investors-%C2%A3176m-systems-and-controls-failings-led-its-failure" TargetMode="External"/><Relationship Id="rId49" Type="http://schemas.openxmlformats.org/officeDocument/2006/relationships/fontTable" Target="fontTable.xml"/><Relationship Id="rId10" Type="http://schemas.openxmlformats.org/officeDocument/2006/relationships/hyperlink" Target="https://www.fca.org.uk/news/news-stories/2014-fines" TargetMode="External"/><Relationship Id="rId19" Type="http://schemas.openxmlformats.org/officeDocument/2006/relationships/hyperlink" Target="http://www.fca.org.uk/news/regulation-professionalism" TargetMode="External"/><Relationship Id="rId31" Type="http://schemas.openxmlformats.org/officeDocument/2006/relationships/hyperlink" Target="https://www.fca.org.uk/news/press-releases/deutsche-bank-fined-%C2%A3227-million-financial-conduct-authority-libor-and-euribor" TargetMode="External"/><Relationship Id="rId44" Type="http://schemas.openxmlformats.org/officeDocument/2006/relationships/hyperlink" Target="http://www.aic.gov.au/media_library/conferences/regulation/yeung.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s.org/publ/bcbs113.pdf%20downloaded%2028%20July%202012" TargetMode="External"/><Relationship Id="rId22" Type="http://schemas.openxmlformats.org/officeDocument/2006/relationships/hyperlink" Target="https://www.fca.org.uk/news/press-releases/jpmorgan-chase-bank-na-fined-%C2%A3137610000-serious-failings-relating-its-chief" TargetMode="External"/><Relationship Id="rId27" Type="http://schemas.openxmlformats.org/officeDocument/2006/relationships/hyperlink" Target="https://www.fca.org.uk/news/press-releases/fca-fines-threadneedle-asset-management-limited-%C2%A36m" TargetMode="External"/><Relationship Id="rId30" Type="http://schemas.openxmlformats.org/officeDocument/2006/relationships/hyperlink" Target="https://www.fca.org.uk/news/press-releases/fca-fines-barclays-%C2%A3284432000-forex-failings" TargetMode="External"/><Relationship Id="rId35" Type="http://schemas.openxmlformats.org/officeDocument/2006/relationships/hyperlink" Target="https://www.fca.org.uk/news/press-releases/financial-conduct-authority-imposes-%C2%A321m-fine-and-places-restriction-bank-beirut" TargetMode="External"/><Relationship Id="rId43" Type="http://schemas.openxmlformats.org/officeDocument/2006/relationships/hyperlink" Target="http://www.sec.gov/news/speech/spch042303lar.htm" TargetMode="External"/><Relationship Id="rId48" Type="http://schemas.openxmlformats.org/officeDocument/2006/relationships/footer" Target="footer2.xml"/><Relationship Id="rId8" Type="http://schemas.openxmlformats.org/officeDocument/2006/relationships/image" Target="media/image1.png"/><Relationship Id="rId51" Type="http://schemas.microsoft.com/office/2016/09/relationships/commentsIds" Target="commentsIds.xml"/></Relationships>
</file>

<file path=word/_rels/endnotes.xml.rels><?xml version="1.0" encoding="UTF-8" standalone="yes"?>
<Relationships xmlns="http://schemas.openxmlformats.org/package/2006/relationships"><Relationship Id="rId3" Type="http://schemas.openxmlformats.org/officeDocument/2006/relationships/hyperlink" Target="http://www.bbc.co.uk/news/business-41652883" TargetMode="External"/><Relationship Id="rId2" Type="http://schemas.openxmlformats.org/officeDocument/2006/relationships/hyperlink" Target="http://www.telegraph.co.uk/finance/newsbysector/banksandfinance/8950115/RBS-report-poor-decisions-by-management-and-FSA-blamed-for-failure.html" TargetMode="External"/><Relationship Id="rId1" Type="http://schemas.openxmlformats.org/officeDocument/2006/relationships/hyperlink" Target="http://www.bbc.co.uk/news/business-33859015" TargetMode="External"/><Relationship Id="rId6" Type="http://schemas.openxmlformats.org/officeDocument/2006/relationships/package" Target="embeddings/Microsoft_Word_Document.docx"/><Relationship Id="rId5" Type="http://schemas.openxmlformats.org/officeDocument/2006/relationships/image" Target="media/image4.emf"/><Relationship Id="rId4" Type="http://schemas.openxmlformats.org/officeDocument/2006/relationships/hyperlink" Target="http://www.nytimes.com/2016/09/09/business/dealbook/wells-fargo-fined-for-years-of-harm-to-customers.html?_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A110-56F8-4D41-8434-DFC194E3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82</Pages>
  <Words>21466</Words>
  <Characters>122362</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Does coercion work? The role of regulatory sanctions to embed compliance culture</vt:lpstr>
    </vt:vector>
  </TitlesOfParts>
  <Company>Northumbria University</Company>
  <LinksUpToDate>false</LinksUpToDate>
  <CharactersWithSpaces>143541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coercion work? The role of regulatory sanctions to embed compliance culture</dc:title>
  <dc:creator>Wendy Mason Burdon</dc:creator>
  <cp:lastModifiedBy>Wendy Mason Burdon</cp:lastModifiedBy>
  <cp:revision>8</cp:revision>
  <cp:lastPrinted>2018-06-28T07:42:00Z</cp:lastPrinted>
  <dcterms:created xsi:type="dcterms:W3CDTF">2018-07-18T10:52:00Z</dcterms:created>
  <dcterms:modified xsi:type="dcterms:W3CDTF">2018-07-18T11:04:00Z</dcterms:modified>
</cp:coreProperties>
</file>