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2B" w:rsidRDefault="001732B5">
      <w:pPr>
        <w:rPr>
          <w:b/>
        </w:rPr>
      </w:pPr>
      <w:bookmarkStart w:id="0" w:name="_GoBack"/>
      <w:bookmarkEnd w:id="0"/>
      <w:r w:rsidRPr="001732B5">
        <w:rPr>
          <w:b/>
        </w:rPr>
        <w:t>Not quite anyone’s guess: Brexit</w:t>
      </w:r>
      <w:r w:rsidR="00DC6184">
        <w:rPr>
          <w:b/>
        </w:rPr>
        <w:t>,</w:t>
      </w:r>
      <w:r w:rsidRPr="001732B5">
        <w:rPr>
          <w:b/>
        </w:rPr>
        <w:t xml:space="preserve"> forensic science and legal medicine</w:t>
      </w:r>
    </w:p>
    <w:p w:rsidR="0095722C" w:rsidRDefault="002E445B" w:rsidP="0095722C">
      <w:r>
        <w:t>Tim J Wilson</w:t>
      </w:r>
      <w:r w:rsidR="00577A6F">
        <w:t>,</w:t>
      </w:r>
      <w:r>
        <w:t xml:space="preserve"> </w:t>
      </w:r>
      <w:r w:rsidR="008C2226">
        <w:t xml:space="preserve">Professor of Criminal Justice Policy, </w:t>
      </w:r>
      <w:r w:rsidR="002E3269">
        <w:t>Northumbria University</w:t>
      </w:r>
      <w:r w:rsidR="00596915">
        <w:t xml:space="preserve"> L</w:t>
      </w:r>
      <w:r>
        <w:t>aw School</w:t>
      </w:r>
      <w:r w:rsidR="002E3269">
        <w:t xml:space="preserve">, </w:t>
      </w:r>
      <w:r>
        <w:t xml:space="preserve">City Campus 1, Newcastle upon Tyne, NE1 8ST, </w:t>
      </w:r>
      <w:r w:rsidR="002E3269">
        <w:t xml:space="preserve">UK </w:t>
      </w:r>
      <w:hyperlink r:id="rId8" w:history="1">
        <w:r w:rsidR="002E3269" w:rsidRPr="00336CBE">
          <w:rPr>
            <w:rStyle w:val="Hyperlink"/>
          </w:rPr>
          <w:t>tim.wilson@northumbria.ac.uk</w:t>
        </w:r>
      </w:hyperlink>
      <w:r w:rsidR="002E3269">
        <w:t xml:space="preserve"> </w:t>
      </w:r>
    </w:p>
    <w:p w:rsidR="00062956" w:rsidRDefault="003E4B9B">
      <w:pPr>
        <w:rPr>
          <w:b/>
        </w:rPr>
      </w:pPr>
      <w:r>
        <w:t xml:space="preserve">A few </w:t>
      </w:r>
      <w:r w:rsidR="00062956">
        <w:t xml:space="preserve">months before </w:t>
      </w:r>
      <w:r w:rsidR="00062956" w:rsidRPr="00062956">
        <w:t>29th March 2019</w:t>
      </w:r>
      <w:r w:rsidR="00062956">
        <w:t xml:space="preserve"> - the date when the UK is </w:t>
      </w:r>
      <w:r w:rsidR="00463F49">
        <w:t xml:space="preserve">due </w:t>
      </w:r>
      <w:r w:rsidR="00062956">
        <w:t>to leave the EU (</w:t>
      </w:r>
      <w:r w:rsidR="00577A6F">
        <w:t>‘</w:t>
      </w:r>
      <w:r w:rsidR="00062956">
        <w:t>Brexit</w:t>
      </w:r>
      <w:r w:rsidR="00577A6F">
        <w:t>’</w:t>
      </w:r>
      <w:r w:rsidR="00062956">
        <w:t xml:space="preserve">) - the nature of the future UK-EU relationship is </w:t>
      </w:r>
      <w:r w:rsidR="006A6F86">
        <w:t xml:space="preserve">highly </w:t>
      </w:r>
      <w:r w:rsidR="00062956">
        <w:t xml:space="preserve">uncertain. </w:t>
      </w:r>
      <w:r w:rsidR="00577A6F">
        <w:t>S</w:t>
      </w:r>
      <w:r w:rsidR="00062956">
        <w:t xml:space="preserve">ome of the </w:t>
      </w:r>
      <w:r w:rsidR="00062956" w:rsidRPr="00062956">
        <w:t xml:space="preserve">consequences </w:t>
      </w:r>
      <w:r w:rsidR="006A6F86">
        <w:t xml:space="preserve">of the new relationship </w:t>
      </w:r>
      <w:r w:rsidR="007450CD">
        <w:t xml:space="preserve">– whatever form it takes - </w:t>
      </w:r>
      <w:r w:rsidR="00062956" w:rsidRPr="00062956">
        <w:t xml:space="preserve">for </w:t>
      </w:r>
      <w:r w:rsidR="000A4FBA" w:rsidRPr="002F3A89">
        <w:t xml:space="preserve">legal </w:t>
      </w:r>
      <w:r w:rsidR="00463F49" w:rsidRPr="002F3A89">
        <w:t>cooperation</w:t>
      </w:r>
      <w:r w:rsidR="00463F49">
        <w:t xml:space="preserve"> and</w:t>
      </w:r>
      <w:r w:rsidR="00062956" w:rsidRPr="00062956">
        <w:t xml:space="preserve"> </w:t>
      </w:r>
      <w:r w:rsidR="00596915">
        <w:t xml:space="preserve">everything </w:t>
      </w:r>
      <w:r w:rsidR="00463F49">
        <w:t>(</w:t>
      </w:r>
      <w:r w:rsidR="00463F49" w:rsidRPr="00062956">
        <w:t xml:space="preserve">including forensic science and legal </w:t>
      </w:r>
      <w:r w:rsidR="00463F49">
        <w:t xml:space="preserve">medicine) </w:t>
      </w:r>
      <w:r w:rsidR="00062956">
        <w:t>that underpins</w:t>
      </w:r>
      <w:r w:rsidR="00596915">
        <w:t xml:space="preserve"> it</w:t>
      </w:r>
      <w:r w:rsidR="00062956">
        <w:t xml:space="preserve"> can </w:t>
      </w:r>
      <w:r w:rsidR="007450CD">
        <w:t>be</w:t>
      </w:r>
      <w:r w:rsidR="00577A6F">
        <w:t xml:space="preserve"> anticipated</w:t>
      </w:r>
      <w:r w:rsidR="00062956">
        <w:t>.</w:t>
      </w:r>
      <w:r w:rsidR="006A6F86">
        <w:t xml:space="preserve"> </w:t>
      </w:r>
      <w:r w:rsidR="00577A6F">
        <w:t xml:space="preserve">Further analysis, however, of the </w:t>
      </w:r>
      <w:r w:rsidR="006A6F86">
        <w:t xml:space="preserve">scope and significance of Brexit </w:t>
      </w:r>
      <w:r w:rsidR="00577A6F">
        <w:t>for</w:t>
      </w:r>
      <w:r w:rsidR="006A6F86">
        <w:t xml:space="preserve"> the professional and academic scientific </w:t>
      </w:r>
      <w:r w:rsidR="00012051">
        <w:t xml:space="preserve">and clinical </w:t>
      </w:r>
      <w:r w:rsidR="006A6F86">
        <w:t>work covered by this journal</w:t>
      </w:r>
      <w:r w:rsidR="00577A6F">
        <w:t xml:space="preserve"> is </w:t>
      </w:r>
      <w:r w:rsidR="006A6F86">
        <w:t>need</w:t>
      </w:r>
      <w:r w:rsidR="00577A6F">
        <w:t>ed</w:t>
      </w:r>
      <w:r w:rsidR="00463F49">
        <w:t xml:space="preserve"> </w:t>
      </w:r>
      <w:r w:rsidR="00577A6F">
        <w:t xml:space="preserve">urgently. </w:t>
      </w:r>
      <w:r w:rsidR="00463F49">
        <w:t>This commentar</w:t>
      </w:r>
      <w:r w:rsidR="005C7FA0">
        <w:t>y ends with an invitation to its</w:t>
      </w:r>
      <w:r w:rsidR="00463F49">
        <w:t xml:space="preserve"> readers to join a new academic and professional </w:t>
      </w:r>
      <w:r w:rsidR="002F3A89">
        <w:t xml:space="preserve">network </w:t>
      </w:r>
      <w:r w:rsidR="002F3A89" w:rsidRPr="002F3A89">
        <w:t xml:space="preserve">(including </w:t>
      </w:r>
      <w:r w:rsidR="002F3A89">
        <w:t xml:space="preserve">professional </w:t>
      </w:r>
      <w:r w:rsidR="002F3A89" w:rsidRPr="002F3A89">
        <w:t>corporate bodies</w:t>
      </w:r>
      <w:r w:rsidR="002F3A89">
        <w:t xml:space="preserve"> and NGOs</w:t>
      </w:r>
      <w:r w:rsidR="002F3A89" w:rsidRPr="002F3A89">
        <w:t xml:space="preserve">) </w:t>
      </w:r>
      <w:r w:rsidR="007450CD">
        <w:t xml:space="preserve">intended to help </w:t>
      </w:r>
      <w:r w:rsidR="00463F49">
        <w:t>facilitate this.</w:t>
      </w:r>
    </w:p>
    <w:p w:rsidR="00970409" w:rsidRPr="00CD75CC" w:rsidRDefault="00BD5A7E">
      <w:pPr>
        <w:rPr>
          <w:b/>
        </w:rPr>
      </w:pPr>
      <w:r>
        <w:rPr>
          <w:b/>
        </w:rPr>
        <w:t>What will happen from</w:t>
      </w:r>
      <w:r w:rsidR="00463F49">
        <w:rPr>
          <w:b/>
        </w:rPr>
        <w:t xml:space="preserve"> March 2019</w:t>
      </w:r>
      <w:r>
        <w:rPr>
          <w:b/>
        </w:rPr>
        <w:t xml:space="preserve"> onwards</w:t>
      </w:r>
      <w:r w:rsidR="00463F49">
        <w:rPr>
          <w:b/>
        </w:rPr>
        <w:t>?</w:t>
      </w:r>
    </w:p>
    <w:p w:rsidR="00CD75CC" w:rsidRDefault="007B4CA4" w:rsidP="00CD75CC">
      <w:r>
        <w:t>On</w:t>
      </w:r>
      <w:r w:rsidR="001466A4">
        <w:t xml:space="preserve"> </w:t>
      </w:r>
      <w:r w:rsidR="004E1DA6" w:rsidRPr="00E74C17">
        <w:t>29</w:t>
      </w:r>
      <w:r w:rsidR="00D13E16" w:rsidRPr="00E74C17">
        <w:rPr>
          <w:vertAlign w:val="superscript"/>
        </w:rPr>
        <w:t>t</w:t>
      </w:r>
      <w:r w:rsidR="00D13E16" w:rsidRPr="00D13E16">
        <w:rPr>
          <w:vertAlign w:val="superscript"/>
        </w:rPr>
        <w:t>h</w:t>
      </w:r>
      <w:r w:rsidR="00D13E16">
        <w:t xml:space="preserve"> </w:t>
      </w:r>
      <w:r w:rsidR="001466A4">
        <w:t xml:space="preserve">March 2019 </w:t>
      </w:r>
      <w:r w:rsidR="00EE0EE8">
        <w:t xml:space="preserve">(assuming that </w:t>
      </w:r>
      <w:r w:rsidR="00D13E16">
        <w:t xml:space="preserve">the negotiating timetable is </w:t>
      </w:r>
      <w:r w:rsidR="00EE0EE8">
        <w:t>not</w:t>
      </w:r>
      <w:r w:rsidR="00D13E16">
        <w:t xml:space="preserve"> extended</w:t>
      </w:r>
      <w:r w:rsidR="00EE0EE8">
        <w:t xml:space="preserve">) </w:t>
      </w:r>
      <w:r w:rsidR="00D13E16">
        <w:t>we could see</w:t>
      </w:r>
      <w:r w:rsidR="00CD75CC">
        <w:t>:</w:t>
      </w:r>
    </w:p>
    <w:p w:rsidR="00CD75CC" w:rsidRDefault="0032430D" w:rsidP="00B361AF">
      <w:pPr>
        <w:pStyle w:val="ListParagraph"/>
        <w:numPr>
          <w:ilvl w:val="0"/>
          <w:numId w:val="3"/>
        </w:numPr>
      </w:pPr>
      <w:r>
        <w:t>Brexit without a withdrawal a</w:t>
      </w:r>
      <w:r w:rsidR="00CD75CC">
        <w:t>greement (‘no deal Brexit’)</w:t>
      </w:r>
      <w:r w:rsidR="001466A4">
        <w:t>;</w:t>
      </w:r>
    </w:p>
    <w:p w:rsidR="00CD75CC" w:rsidRDefault="00D13E16" w:rsidP="00B361AF">
      <w:pPr>
        <w:pStyle w:val="ListParagraph"/>
        <w:numPr>
          <w:ilvl w:val="0"/>
          <w:numId w:val="3"/>
        </w:numPr>
      </w:pPr>
      <w:r>
        <w:t>a</w:t>
      </w:r>
      <w:r w:rsidR="00CD75CC">
        <w:t xml:space="preserve"> ‘</w:t>
      </w:r>
      <w:r w:rsidR="00B361AF">
        <w:t>blind</w:t>
      </w:r>
      <w:r w:rsidR="00CD75CC">
        <w:t>fold</w:t>
      </w:r>
      <w:r w:rsidR="00B361AF">
        <w:t>’</w:t>
      </w:r>
      <w:r w:rsidR="00CD75CC">
        <w:t xml:space="preserve"> Brexit’</w:t>
      </w:r>
      <w:r>
        <w:t xml:space="preserve"> (continuing </w:t>
      </w:r>
      <w:r w:rsidR="00B361AF">
        <w:t xml:space="preserve">negotiations </w:t>
      </w:r>
      <w:r w:rsidR="000D15E1">
        <w:t xml:space="preserve">to </w:t>
      </w:r>
      <w:r w:rsidR="0032430D">
        <w:t xml:space="preserve">settle </w:t>
      </w:r>
      <w:r w:rsidR="000D15E1">
        <w:t>what the future relationship should be</w:t>
      </w:r>
      <w:r w:rsidR="001466A4">
        <w:t>)</w:t>
      </w:r>
      <w:r w:rsidR="00C07EDD">
        <w:t>;</w:t>
      </w:r>
    </w:p>
    <w:p w:rsidR="00EB507D" w:rsidRDefault="00D13E16" w:rsidP="00B361AF">
      <w:pPr>
        <w:pStyle w:val="ListParagraph"/>
        <w:numPr>
          <w:ilvl w:val="0"/>
          <w:numId w:val="3"/>
        </w:numPr>
      </w:pPr>
      <w:r>
        <w:t>a</w:t>
      </w:r>
      <w:r w:rsidR="007569E6">
        <w:t xml:space="preserve"> treaty setting out </w:t>
      </w:r>
      <w:r w:rsidR="000D15E1">
        <w:t xml:space="preserve">the </w:t>
      </w:r>
      <w:r w:rsidR="0032430D">
        <w:t xml:space="preserve">new UK-EU </w:t>
      </w:r>
      <w:r w:rsidR="000D15E1">
        <w:t>relationship</w:t>
      </w:r>
      <w:r>
        <w:t>; or</w:t>
      </w:r>
      <w:r w:rsidR="007569E6">
        <w:t>, as the least likely outcome,</w:t>
      </w:r>
    </w:p>
    <w:p w:rsidR="005878BD" w:rsidRPr="00C07EDD" w:rsidRDefault="003F32AB" w:rsidP="00471C89">
      <w:pPr>
        <w:pStyle w:val="ListParagraph"/>
        <w:numPr>
          <w:ilvl w:val="0"/>
          <w:numId w:val="3"/>
        </w:numPr>
      </w:pPr>
      <w:r>
        <w:t>n</w:t>
      </w:r>
      <w:r w:rsidR="00CD75CC">
        <w:t>o Brexit</w:t>
      </w:r>
      <w:r w:rsidR="00C07EDD">
        <w:t xml:space="preserve"> </w:t>
      </w:r>
      <w:r>
        <w:t>(this</w:t>
      </w:r>
      <w:r w:rsidR="00C07EDD">
        <w:t xml:space="preserve"> </w:t>
      </w:r>
      <w:r w:rsidR="000D15E1">
        <w:t>remains on the table</w:t>
      </w:r>
      <w:r w:rsidR="00C07EDD">
        <w:t>,</w:t>
      </w:r>
      <w:r w:rsidR="000D15E1">
        <w:t xml:space="preserve"> </w:t>
      </w:r>
      <w:r w:rsidR="00661F91">
        <w:t xml:space="preserve">in principle </w:t>
      </w:r>
      <w:r w:rsidR="000D15E1">
        <w:t>for the Labour Party</w:t>
      </w:r>
      <w:r w:rsidR="00C07EDD">
        <w:t>,</w:t>
      </w:r>
      <w:r w:rsidR="00471C89">
        <w:t xml:space="preserve"> or,</w:t>
      </w:r>
      <w:r w:rsidR="007569E6">
        <w:t xml:space="preserve"> if </w:t>
      </w:r>
      <w:r>
        <w:t xml:space="preserve">the Government </w:t>
      </w:r>
      <w:r w:rsidR="0032430D">
        <w:t xml:space="preserve">concludes </w:t>
      </w:r>
      <w:r>
        <w:t>that Brexit is</w:t>
      </w:r>
      <w:r w:rsidRPr="00471C89">
        <w:t xml:space="preserve"> </w:t>
      </w:r>
      <w:r w:rsidR="00471C89" w:rsidRPr="00471C89">
        <w:t>unnegotiable</w:t>
      </w:r>
      <w:r w:rsidR="007B6276">
        <w:rPr>
          <w:rStyle w:val="EndnoteReference"/>
        </w:rPr>
        <w:endnoteReference w:id="1"/>
      </w:r>
      <w:r w:rsidR="005C7FA0">
        <w:t>).</w:t>
      </w:r>
    </w:p>
    <w:p w:rsidR="003F32AB" w:rsidRDefault="00C07EDD" w:rsidP="00C07EDD">
      <w:r>
        <w:t>N</w:t>
      </w:r>
      <w:r w:rsidRPr="00C07EDD">
        <w:t xml:space="preserve">one </w:t>
      </w:r>
      <w:r>
        <w:t>of these outcomes</w:t>
      </w:r>
      <w:r w:rsidR="003F32AB">
        <w:t xml:space="preserve"> </w:t>
      </w:r>
      <w:r w:rsidR="00952D69">
        <w:t xml:space="preserve">will </w:t>
      </w:r>
      <w:r w:rsidR="008902AA">
        <w:t xml:space="preserve">heal </w:t>
      </w:r>
      <w:r w:rsidR="003F32AB">
        <w:t xml:space="preserve">the </w:t>
      </w:r>
      <w:r w:rsidR="00AC5B06">
        <w:t xml:space="preserve">divisions </w:t>
      </w:r>
      <w:r w:rsidR="008902AA">
        <w:t xml:space="preserve">within British society </w:t>
      </w:r>
      <w:r w:rsidR="00AC5B06">
        <w:t xml:space="preserve">caused by </w:t>
      </w:r>
      <w:r w:rsidR="003F32AB">
        <w:t>the 2016 Referendum</w:t>
      </w:r>
      <w:r w:rsidR="008902AA">
        <w:t xml:space="preserve"> and its aftermath.</w:t>
      </w:r>
    </w:p>
    <w:p w:rsidR="00934ACA" w:rsidRDefault="00557CA8" w:rsidP="001466A4">
      <w:r>
        <w:t>The fiscal</w:t>
      </w:r>
      <w:r w:rsidR="008F4947">
        <w:t xml:space="preserve"> prospects of Brexit are </w:t>
      </w:r>
      <w:r w:rsidR="008902AA">
        <w:t xml:space="preserve">also worrying. </w:t>
      </w:r>
      <w:r w:rsidR="008F4947">
        <w:t>A</w:t>
      </w:r>
      <w:r w:rsidR="00292253">
        <w:t xml:space="preserve"> </w:t>
      </w:r>
      <w:r w:rsidR="005C7FA0">
        <w:t xml:space="preserve">robust </w:t>
      </w:r>
      <w:r w:rsidR="003F32AB">
        <w:t xml:space="preserve">analysis of </w:t>
      </w:r>
      <w:r w:rsidR="005C7FA0">
        <w:t>g</w:t>
      </w:r>
      <w:r>
        <w:t xml:space="preserve">overnment </w:t>
      </w:r>
      <w:r w:rsidR="005C7FA0">
        <w:t xml:space="preserve">data </w:t>
      </w:r>
      <w:r>
        <w:t xml:space="preserve">against </w:t>
      </w:r>
      <w:r w:rsidR="00D73880">
        <w:t>four</w:t>
      </w:r>
      <w:r w:rsidR="008902AA">
        <w:t xml:space="preserve"> </w:t>
      </w:r>
      <w:r w:rsidR="00D73880">
        <w:t>post-</w:t>
      </w:r>
      <w:r w:rsidR="008902AA">
        <w:t xml:space="preserve">Brexit </w:t>
      </w:r>
      <w:r w:rsidR="008C2226">
        <w:t>relationship options</w:t>
      </w:r>
      <w:r w:rsidR="008902AA">
        <w:t xml:space="preserve"> </w:t>
      </w:r>
      <w:r w:rsidR="00A93547">
        <w:t>suggests that</w:t>
      </w:r>
      <w:r w:rsidR="008902AA">
        <w:t xml:space="preserve"> </w:t>
      </w:r>
      <w:r w:rsidR="008F4947">
        <w:t xml:space="preserve">the </w:t>
      </w:r>
      <w:r w:rsidR="008130E1">
        <w:t xml:space="preserve">weekly </w:t>
      </w:r>
      <w:r w:rsidR="008F4947">
        <w:t xml:space="preserve">net fiscal loss </w:t>
      </w:r>
      <w:r w:rsidR="00A93547">
        <w:t xml:space="preserve">will </w:t>
      </w:r>
      <w:r w:rsidR="00292253">
        <w:t xml:space="preserve">be </w:t>
      </w:r>
      <w:r>
        <w:t>equivalent to 9%</w:t>
      </w:r>
      <w:r w:rsidR="004C0EC0">
        <w:t>-</w:t>
      </w:r>
      <w:r>
        <w:t xml:space="preserve">44% of </w:t>
      </w:r>
      <w:r w:rsidR="004C0EC0">
        <w:t>current</w:t>
      </w:r>
      <w:r>
        <w:t xml:space="preserve"> </w:t>
      </w:r>
      <w:r w:rsidR="008130E1">
        <w:t xml:space="preserve">weekly </w:t>
      </w:r>
      <w:r>
        <w:t>NHS spending.</w:t>
      </w:r>
      <w:r w:rsidR="00292253">
        <w:t xml:space="preserve"> </w:t>
      </w:r>
      <w:r w:rsidR="00E74810">
        <w:t xml:space="preserve">(The range </w:t>
      </w:r>
      <w:r w:rsidR="008130E1">
        <w:t xml:space="preserve">indicates </w:t>
      </w:r>
      <w:r w:rsidR="00A64C9C">
        <w:t xml:space="preserve">how </w:t>
      </w:r>
      <w:r w:rsidR="008C2226">
        <w:t xml:space="preserve">losses will rise in proportion to </w:t>
      </w:r>
      <w:r w:rsidR="00292253">
        <w:t xml:space="preserve">divergence </w:t>
      </w:r>
      <w:r w:rsidR="008C2226">
        <w:t>from the EU</w:t>
      </w:r>
      <w:r w:rsidR="00E74810">
        <w:t>.)</w:t>
      </w:r>
      <w:r w:rsidR="007B6276">
        <w:rPr>
          <w:rStyle w:val="EndnoteReference"/>
        </w:rPr>
        <w:endnoteReference w:id="2"/>
      </w:r>
    </w:p>
    <w:p w:rsidR="001466A4" w:rsidRDefault="00EC3B31" w:rsidP="001466A4">
      <w:r>
        <w:t xml:space="preserve">Legal </w:t>
      </w:r>
      <w:r w:rsidR="000D15E1" w:rsidRPr="000A4FBA">
        <w:t>cooperation</w:t>
      </w:r>
      <w:r w:rsidR="000D15E1" w:rsidRPr="000D15E1">
        <w:t xml:space="preserve"> </w:t>
      </w:r>
      <w:r w:rsidR="000D15E1">
        <w:t xml:space="preserve">between the UK and EU member states </w:t>
      </w:r>
      <w:r w:rsidR="007B4CA4">
        <w:t xml:space="preserve">will </w:t>
      </w:r>
      <w:r w:rsidR="009A7E82">
        <w:t xml:space="preserve">certainly </w:t>
      </w:r>
      <w:r w:rsidR="007B4CA4">
        <w:t>change with</w:t>
      </w:r>
      <w:r w:rsidR="000D15E1" w:rsidRPr="000D15E1">
        <w:t xml:space="preserve"> </w:t>
      </w:r>
      <w:r w:rsidR="007B4CA4">
        <w:t>Brexit.</w:t>
      </w:r>
      <w:r w:rsidR="00661F91">
        <w:t xml:space="preserve"> </w:t>
      </w:r>
      <w:r w:rsidR="009A7E82">
        <w:t>‘</w:t>
      </w:r>
      <w:r w:rsidR="000D15E1">
        <w:t>No deal</w:t>
      </w:r>
      <w:r w:rsidR="009A7E82">
        <w:t>’</w:t>
      </w:r>
      <w:r w:rsidR="000D15E1">
        <w:t xml:space="preserve"> would mean the abrupt</w:t>
      </w:r>
      <w:r w:rsidR="001466A4" w:rsidRPr="001466A4">
        <w:t xml:space="preserve"> termination of all cooperation, including </w:t>
      </w:r>
      <w:r w:rsidR="000D15E1">
        <w:t xml:space="preserve">in </w:t>
      </w:r>
      <w:r w:rsidR="001466A4" w:rsidRPr="001466A4">
        <w:t xml:space="preserve">many </w:t>
      </w:r>
      <w:r w:rsidR="000D15E1">
        <w:t xml:space="preserve">or all </w:t>
      </w:r>
      <w:r w:rsidR="001466A4" w:rsidRPr="001466A4">
        <w:t>current proceedings</w:t>
      </w:r>
      <w:r w:rsidR="00D527C9">
        <w:t xml:space="preserve"> still dependent on such</w:t>
      </w:r>
      <w:r w:rsidR="00C672B2">
        <w:t xml:space="preserve"> assistance</w:t>
      </w:r>
      <w:r w:rsidR="000D15E1">
        <w:t xml:space="preserve">. </w:t>
      </w:r>
      <w:r w:rsidR="00166760">
        <w:t>The</w:t>
      </w:r>
      <w:r w:rsidR="00661F91">
        <w:t xml:space="preserve"> withdrawal (or transition) period or periods </w:t>
      </w:r>
      <w:r w:rsidR="00605FB4">
        <w:t xml:space="preserve">consequential to </w:t>
      </w:r>
      <w:r w:rsidR="00166760">
        <w:t xml:space="preserve">outcomes </w:t>
      </w:r>
      <w:r w:rsidR="00661F91">
        <w:t>b)</w:t>
      </w:r>
      <w:r w:rsidR="00166760">
        <w:t xml:space="preserve"> and c</w:t>
      </w:r>
      <w:r w:rsidR="00661F91">
        <w:t xml:space="preserve">) would </w:t>
      </w:r>
      <w:r w:rsidR="00166760">
        <w:t xml:space="preserve">freeze </w:t>
      </w:r>
      <w:r w:rsidR="009A7E82">
        <w:t xml:space="preserve">much </w:t>
      </w:r>
      <w:r w:rsidR="001421BB">
        <w:t xml:space="preserve">of the </w:t>
      </w:r>
      <w:r w:rsidR="00166760">
        <w:t xml:space="preserve">present </w:t>
      </w:r>
      <w:r w:rsidR="00661F91">
        <w:t>cooperation</w:t>
      </w:r>
      <w:r w:rsidR="001421BB">
        <w:t xml:space="preserve"> arrangements</w:t>
      </w:r>
      <w:r>
        <w:t xml:space="preserve"> until the end of 2020 or</w:t>
      </w:r>
      <w:r w:rsidR="00605FB4">
        <w:t xml:space="preserve"> at</w:t>
      </w:r>
      <w:r w:rsidR="00166760">
        <w:t xml:space="preserve"> </w:t>
      </w:r>
      <w:r w:rsidR="00605FB4">
        <w:t xml:space="preserve">least </w:t>
      </w:r>
      <w:r w:rsidR="00605FB4" w:rsidRPr="003F3E9E">
        <w:t>until something more bespoke and longer-term could be put in place</w:t>
      </w:r>
      <w:r>
        <w:t xml:space="preserve">. </w:t>
      </w:r>
      <w:r w:rsidR="009A7E82">
        <w:t>E</w:t>
      </w:r>
      <w:r w:rsidR="00C672B2">
        <w:t>ven in a more benign scenario for</w:t>
      </w:r>
      <w:r w:rsidR="009A7E82">
        <w:t xml:space="preserve"> criminal justice </w:t>
      </w:r>
      <w:r w:rsidR="00BA4B8C">
        <w:t xml:space="preserve">cooperation </w:t>
      </w:r>
      <w:r w:rsidR="009327FD">
        <w:t xml:space="preserve">(my main focus) there may well </w:t>
      </w:r>
      <w:r w:rsidR="009A7E82">
        <w:t xml:space="preserve">be reduced </w:t>
      </w:r>
      <w:r w:rsidR="00166760">
        <w:t xml:space="preserve">UK </w:t>
      </w:r>
      <w:r w:rsidR="00605FB4">
        <w:t xml:space="preserve">benefits (e.g. significant restrictions on the extradition to the UK) and </w:t>
      </w:r>
      <w:r w:rsidR="00C672B2">
        <w:t xml:space="preserve">less </w:t>
      </w:r>
      <w:r w:rsidR="00166760" w:rsidRPr="003F3E9E">
        <w:t xml:space="preserve">participation </w:t>
      </w:r>
      <w:r w:rsidR="00605FB4">
        <w:t xml:space="preserve">(e.g. in </w:t>
      </w:r>
      <w:r w:rsidR="00C672B2">
        <w:t>Euro</w:t>
      </w:r>
      <w:r w:rsidR="00166760" w:rsidRPr="00605FB4">
        <w:t>pol</w:t>
      </w:r>
      <w:r w:rsidR="00605FB4" w:rsidRPr="00605FB4">
        <w:t xml:space="preserve"> information sharing).</w:t>
      </w:r>
      <w:r w:rsidR="00661F91">
        <w:t xml:space="preserve"> </w:t>
      </w:r>
      <w:r w:rsidR="00305D3E">
        <w:t xml:space="preserve">Longer-term, even for an orderly Brexit or </w:t>
      </w:r>
      <w:r w:rsidR="007B4CA4">
        <w:t xml:space="preserve">even </w:t>
      </w:r>
      <w:r w:rsidR="00305D3E">
        <w:t xml:space="preserve">no Brexit at all, there will be a </w:t>
      </w:r>
      <w:r w:rsidR="00C672B2">
        <w:t xml:space="preserve">reckoning </w:t>
      </w:r>
      <w:r w:rsidR="00305D3E">
        <w:t xml:space="preserve">for </w:t>
      </w:r>
      <w:r w:rsidR="00934ACA">
        <w:t xml:space="preserve">the excesses of </w:t>
      </w:r>
      <w:r w:rsidR="007B4CA4">
        <w:t xml:space="preserve">past </w:t>
      </w:r>
      <w:r w:rsidR="00305D3E">
        <w:t>British exceptionalism</w:t>
      </w:r>
      <w:r w:rsidR="009A7E82">
        <w:t>,</w:t>
      </w:r>
      <w:r w:rsidR="00D36EB0">
        <w:rPr>
          <w:rStyle w:val="EndnoteReference"/>
        </w:rPr>
        <w:endnoteReference w:id="3"/>
      </w:r>
      <w:r w:rsidR="007B4CA4">
        <w:t xml:space="preserve"> </w:t>
      </w:r>
      <w:r w:rsidR="00305D3E">
        <w:t>for example,</w:t>
      </w:r>
      <w:r w:rsidR="00605FB4">
        <w:t xml:space="preserve"> </w:t>
      </w:r>
      <w:r w:rsidR="00C672B2">
        <w:t xml:space="preserve">probably </w:t>
      </w:r>
      <w:r w:rsidR="000A4927">
        <w:t xml:space="preserve">(also hopefully) </w:t>
      </w:r>
      <w:r w:rsidR="00C672B2">
        <w:t>an end of</w:t>
      </w:r>
      <w:r w:rsidR="009A7E82">
        <w:t xml:space="preserve"> </w:t>
      </w:r>
      <w:r w:rsidR="00305D3E">
        <w:t>the</w:t>
      </w:r>
      <w:r w:rsidR="00661F91">
        <w:t xml:space="preserve"> </w:t>
      </w:r>
      <w:r w:rsidR="006816B6">
        <w:t>opt-out</w:t>
      </w:r>
      <w:r w:rsidR="006816B6" w:rsidRPr="00605FB4">
        <w:t xml:space="preserve"> </w:t>
      </w:r>
      <w:r w:rsidR="000A4927">
        <w:t>from legal a</w:t>
      </w:r>
      <w:r w:rsidR="00305D3E">
        <w:t>id in UK-EU criminal justice cooperation.</w:t>
      </w:r>
    </w:p>
    <w:p w:rsidR="004E56E2" w:rsidRDefault="004B4CD2">
      <w:r>
        <w:t xml:space="preserve">The issues </w:t>
      </w:r>
      <w:r w:rsidR="001A2536">
        <w:t xml:space="preserve">that will </w:t>
      </w:r>
      <w:r w:rsidR="00F42E41">
        <w:t xml:space="preserve">determine </w:t>
      </w:r>
      <w:r w:rsidR="001A2536">
        <w:t xml:space="preserve">the future UK-EU relationship are </w:t>
      </w:r>
      <w:r w:rsidR="00C42113">
        <w:t xml:space="preserve">also </w:t>
      </w:r>
      <w:r w:rsidR="001A2536">
        <w:t>clear. These are the foundations on</w:t>
      </w:r>
      <w:r w:rsidR="008E38F0">
        <w:t xml:space="preserve"> which </w:t>
      </w:r>
      <w:r w:rsidR="0034253A">
        <w:t xml:space="preserve">the </w:t>
      </w:r>
      <w:r w:rsidR="008E38F0">
        <w:t xml:space="preserve">Common Market metamorphosed into EU and </w:t>
      </w:r>
      <w:r w:rsidR="001A2536">
        <w:t xml:space="preserve">the </w:t>
      </w:r>
      <w:r w:rsidR="008E38F0">
        <w:t xml:space="preserve">long-term consequences of </w:t>
      </w:r>
      <w:r w:rsidR="00F42E41">
        <w:t xml:space="preserve">Westminster’s </w:t>
      </w:r>
      <w:r w:rsidR="008E38F0">
        <w:t xml:space="preserve">abject </w:t>
      </w:r>
      <w:r w:rsidR="0034253A">
        <w:t>failure on</w:t>
      </w:r>
      <w:r w:rsidR="00851826">
        <w:t xml:space="preserve"> </w:t>
      </w:r>
      <w:r w:rsidR="00C777A6">
        <w:t xml:space="preserve">the </w:t>
      </w:r>
      <w:r w:rsidR="008E38F0">
        <w:t>Irish Home Rule</w:t>
      </w:r>
      <w:r w:rsidR="0034253A">
        <w:t xml:space="preserve"> issue</w:t>
      </w:r>
      <w:r w:rsidR="001A2536">
        <w:t xml:space="preserve">: </w:t>
      </w:r>
      <w:r>
        <w:t>tariffs (the Customs Union), re</w:t>
      </w:r>
      <w:r w:rsidR="004E675B">
        <w:t>gulatory standards</w:t>
      </w:r>
      <w:r w:rsidR="00F42E41">
        <w:t xml:space="preserve"> and migration </w:t>
      </w:r>
      <w:r w:rsidR="004E675B">
        <w:t>(the Single M</w:t>
      </w:r>
      <w:r>
        <w:t>arket)</w:t>
      </w:r>
      <w:r w:rsidR="008E38F0">
        <w:t xml:space="preserve"> and</w:t>
      </w:r>
      <w:r w:rsidR="004E675B">
        <w:t xml:space="preserve"> Ireland (the EU external </w:t>
      </w:r>
      <w:r w:rsidR="004E675B">
        <w:lastRenderedPageBreak/>
        <w:t>border</w:t>
      </w:r>
      <w:r w:rsidR="00F42E41">
        <w:t>)</w:t>
      </w:r>
      <w:r w:rsidR="008E38F0">
        <w:t>.</w:t>
      </w:r>
      <w:r w:rsidR="00F42E41">
        <w:t>The</w:t>
      </w:r>
      <w:r w:rsidR="00EB68B6">
        <w:t xml:space="preserve"> transformation from the Common Market to the EU, however, was parallel</w:t>
      </w:r>
      <w:r w:rsidR="00F42E41">
        <w:t>ed</w:t>
      </w:r>
      <w:r w:rsidR="00EB68B6">
        <w:t xml:space="preserve"> by an unprecedented achievement </w:t>
      </w:r>
      <w:r w:rsidR="001E7D41">
        <w:t xml:space="preserve">(probably more by accident than design) </w:t>
      </w:r>
      <w:r w:rsidR="00F42E41">
        <w:t>i</w:t>
      </w:r>
      <w:r w:rsidR="00EB68B6">
        <w:t xml:space="preserve">n how individual states can effectively cooperate to protect </w:t>
      </w:r>
      <w:r w:rsidR="009E103A">
        <w:t xml:space="preserve">security </w:t>
      </w:r>
      <w:r w:rsidR="00ED75EA">
        <w:t>and well-being. With</w:t>
      </w:r>
      <w:r w:rsidR="00C42113">
        <w:t>in criminal justice</w:t>
      </w:r>
      <w:r w:rsidR="004E56E2">
        <w:t xml:space="preserve"> </w:t>
      </w:r>
      <w:r w:rsidR="00C42113">
        <w:t>this has not compromised</w:t>
      </w:r>
      <w:r w:rsidR="00EB68B6">
        <w:t xml:space="preserve"> </w:t>
      </w:r>
      <w:r w:rsidR="00E54B4F">
        <w:t>distinctly</w:t>
      </w:r>
      <w:r w:rsidR="00EB68B6">
        <w:t xml:space="preserve"> </w:t>
      </w:r>
      <w:r w:rsidR="009E103A">
        <w:t xml:space="preserve">national </w:t>
      </w:r>
      <w:r w:rsidR="00C42113">
        <w:t xml:space="preserve">approaches to </w:t>
      </w:r>
      <w:r w:rsidR="00EB68B6">
        <w:t>substantive</w:t>
      </w:r>
      <w:r w:rsidR="00851826">
        <w:t>,</w:t>
      </w:r>
      <w:r w:rsidR="00EB68B6">
        <w:t xml:space="preserve"> </w:t>
      </w:r>
      <w:r w:rsidR="00851826">
        <w:t>evidential</w:t>
      </w:r>
      <w:r w:rsidR="001E7D41" w:rsidRPr="001E7D41">
        <w:t xml:space="preserve"> </w:t>
      </w:r>
      <w:r w:rsidR="00851826">
        <w:t>and procedural</w:t>
      </w:r>
      <w:r w:rsidR="00C42113">
        <w:t xml:space="preserve"> law</w:t>
      </w:r>
      <w:r w:rsidR="00DB7BF2">
        <w:t>.</w:t>
      </w:r>
    </w:p>
    <w:p w:rsidR="004B4CD2" w:rsidRDefault="00E54B4F">
      <w:r>
        <w:t>H</w:t>
      </w:r>
      <w:r w:rsidR="001E7D41">
        <w:t xml:space="preserve">ow the </w:t>
      </w:r>
      <w:r>
        <w:t xml:space="preserve">principle </w:t>
      </w:r>
      <w:r w:rsidR="001E7D41">
        <w:t xml:space="preserve">issues are resolved </w:t>
      </w:r>
      <w:r w:rsidR="001A2536">
        <w:t xml:space="preserve">or not (‘no deal’) </w:t>
      </w:r>
      <w:r w:rsidR="004E675B">
        <w:t xml:space="preserve">will </w:t>
      </w:r>
      <w:r w:rsidR="001862C0">
        <w:t xml:space="preserve">have </w:t>
      </w:r>
      <w:r w:rsidR="001A2536">
        <w:t xml:space="preserve">significant consequences for </w:t>
      </w:r>
      <w:r w:rsidR="00750896">
        <w:t xml:space="preserve">the future of UK-EU </w:t>
      </w:r>
      <w:r>
        <w:t xml:space="preserve">criminal justice </w:t>
      </w:r>
      <w:r w:rsidR="007D6A2E">
        <w:t>cooperation</w:t>
      </w:r>
      <w:r w:rsidR="00E46A58">
        <w:t xml:space="preserve">, </w:t>
      </w:r>
      <w:r w:rsidR="009E103A">
        <w:t xml:space="preserve">including aspects of </w:t>
      </w:r>
      <w:r w:rsidR="009E103A" w:rsidRPr="001862C0">
        <w:t>forensic science and legal medicine</w:t>
      </w:r>
      <w:r w:rsidR="001A2536">
        <w:t xml:space="preserve"> that underpin it</w:t>
      </w:r>
      <w:r w:rsidR="00012215">
        <w:t>.</w:t>
      </w:r>
      <w:r w:rsidR="006A076A">
        <w:t xml:space="preserve"> A wider analysis</w:t>
      </w:r>
      <w:r w:rsidR="00DB7BF2">
        <w:t xml:space="preserve"> of legal cooperation </w:t>
      </w:r>
      <w:r w:rsidR="00493AE0">
        <w:t xml:space="preserve">quickly </w:t>
      </w:r>
      <w:r w:rsidR="00DB7BF2">
        <w:t>reveals</w:t>
      </w:r>
      <w:r w:rsidR="00DE6AE3">
        <w:t xml:space="preserve"> many other issues</w:t>
      </w:r>
      <w:r w:rsidR="006A076A">
        <w:t xml:space="preserve">, for example, </w:t>
      </w:r>
      <w:r w:rsidR="004E56E2">
        <w:t>in</w:t>
      </w:r>
      <w:r w:rsidR="00DB7BF2">
        <w:t xml:space="preserve"> family law</w:t>
      </w:r>
      <w:r w:rsidR="00D36EB0">
        <w:rPr>
          <w:rStyle w:val="EndnoteReference"/>
        </w:rPr>
        <w:endnoteReference w:id="4"/>
      </w:r>
      <w:r w:rsidR="00E25B7D" w:rsidRPr="00E25B7D">
        <w:t xml:space="preserve"> </w:t>
      </w:r>
      <w:r w:rsidR="00DB7BF2">
        <w:t xml:space="preserve">and </w:t>
      </w:r>
      <w:r w:rsidR="00C72526">
        <w:t xml:space="preserve">with </w:t>
      </w:r>
      <w:r w:rsidR="00850598" w:rsidRPr="00850598">
        <w:t xml:space="preserve">traceability </w:t>
      </w:r>
      <w:r w:rsidR="00850598">
        <w:t>and authenticity</w:t>
      </w:r>
      <w:r w:rsidR="00850598" w:rsidRPr="00850598">
        <w:t xml:space="preserve"> information</w:t>
      </w:r>
      <w:r w:rsidR="00DE6AE3" w:rsidRPr="00DE6AE3">
        <w:t xml:space="preserve"> </w:t>
      </w:r>
      <w:r w:rsidR="00DE6AE3">
        <w:t>needed for food safety</w:t>
      </w:r>
      <w:r w:rsidR="00B322E6">
        <w:t>.</w:t>
      </w:r>
      <w:r w:rsidR="00D36EB0">
        <w:rPr>
          <w:rStyle w:val="EndnoteReference"/>
        </w:rPr>
        <w:endnoteReference w:id="5"/>
      </w:r>
    </w:p>
    <w:p w:rsidR="00D54A04" w:rsidRPr="00D54A04" w:rsidRDefault="0089540D">
      <w:pPr>
        <w:rPr>
          <w:b/>
        </w:rPr>
      </w:pPr>
      <w:r>
        <w:rPr>
          <w:b/>
        </w:rPr>
        <w:t xml:space="preserve">The possible </w:t>
      </w:r>
      <w:r w:rsidR="000F767E">
        <w:rPr>
          <w:b/>
        </w:rPr>
        <w:t>loss or reduction in</w:t>
      </w:r>
      <w:r w:rsidR="00392D24">
        <w:rPr>
          <w:b/>
        </w:rPr>
        <w:t xml:space="preserve"> EU legal cooperation</w:t>
      </w:r>
    </w:p>
    <w:p w:rsidR="002C10F0" w:rsidRDefault="0049544D">
      <w:r>
        <w:t xml:space="preserve">The politics of </w:t>
      </w:r>
      <w:r w:rsidR="00E522AD">
        <w:t>Brexit</w:t>
      </w:r>
      <w:r w:rsidR="00FE01F3">
        <w:t xml:space="preserve"> </w:t>
      </w:r>
      <w:r w:rsidR="00E522AD">
        <w:t>-</w:t>
      </w:r>
      <w:r w:rsidR="002C10F0">
        <w:t xml:space="preserve"> especially </w:t>
      </w:r>
      <w:r>
        <w:t xml:space="preserve">talk of </w:t>
      </w:r>
      <w:r w:rsidR="00300AEC">
        <w:t>‘r</w:t>
      </w:r>
      <w:r w:rsidR="00D15359">
        <w:t xml:space="preserve">etaking control of </w:t>
      </w:r>
      <w:r w:rsidR="009E103A">
        <w:t>[</w:t>
      </w:r>
      <w:r w:rsidR="00D15359">
        <w:t>UK</w:t>
      </w:r>
      <w:r w:rsidR="009E103A">
        <w:t>]</w:t>
      </w:r>
      <w:r w:rsidR="00D15359">
        <w:t xml:space="preserve"> borders</w:t>
      </w:r>
      <w:r w:rsidR="009E103A">
        <w:t>’</w:t>
      </w:r>
      <w:r w:rsidR="00E522AD">
        <w:t xml:space="preserve">- </w:t>
      </w:r>
      <w:r>
        <w:t xml:space="preserve">frequently </w:t>
      </w:r>
      <w:r w:rsidR="007A076A">
        <w:t>mis</w:t>
      </w:r>
      <w:r>
        <w:t>represents</w:t>
      </w:r>
      <w:r w:rsidR="00ED75EA">
        <w:t xml:space="preserve"> </w:t>
      </w:r>
      <w:r>
        <w:t>it’s</w:t>
      </w:r>
      <w:r w:rsidR="00ED75EA">
        <w:t xml:space="preserve"> </w:t>
      </w:r>
      <w:r w:rsidR="00250D71">
        <w:t xml:space="preserve">consequences for </w:t>
      </w:r>
      <w:r w:rsidR="00ED75EA">
        <w:t xml:space="preserve">the </w:t>
      </w:r>
      <w:r w:rsidR="00250D71">
        <w:t xml:space="preserve">continued </w:t>
      </w:r>
      <w:r w:rsidR="00ED75EA">
        <w:t xml:space="preserve">protection of </w:t>
      </w:r>
      <w:r w:rsidR="00ED75EA" w:rsidRPr="00ED75EA">
        <w:t>security and well-being</w:t>
      </w:r>
      <w:r w:rsidR="00ED75EA">
        <w:t xml:space="preserve"> in the UK</w:t>
      </w:r>
      <w:r w:rsidR="002C10F0">
        <w:t xml:space="preserve">. </w:t>
      </w:r>
      <w:r>
        <w:t xml:space="preserve">More restrictive </w:t>
      </w:r>
      <w:r w:rsidR="002459E6" w:rsidRPr="002459E6">
        <w:t xml:space="preserve">immigration rules </w:t>
      </w:r>
      <w:r>
        <w:t xml:space="preserve">will not </w:t>
      </w:r>
      <w:r w:rsidR="002459E6" w:rsidRPr="002459E6">
        <w:t xml:space="preserve">reduce the scale of cross-border movement. When the UK joined the Common market its resident population exceeded by three times the total number of cross-border movements (excluding </w:t>
      </w:r>
      <w:r w:rsidR="003E4B9B">
        <w:t>those in</w:t>
      </w:r>
      <w:r w:rsidR="00D71848">
        <w:t xml:space="preserve"> </w:t>
      </w:r>
      <w:r w:rsidR="002459E6" w:rsidRPr="002459E6">
        <w:t>Ireland). Today that situati</w:t>
      </w:r>
      <w:r w:rsidR="00250D71">
        <w:t>on has been more than reversed.</w:t>
      </w:r>
    </w:p>
    <w:p w:rsidR="00BB75B0" w:rsidRDefault="00BB75B0">
      <w:r w:rsidRPr="00BB75B0">
        <w:t xml:space="preserve">Offending by nationals from other EU member states is </w:t>
      </w:r>
      <w:r w:rsidR="0049544D" w:rsidRPr="00BB75B0">
        <w:t>proportion</w:t>
      </w:r>
      <w:r w:rsidR="0049544D">
        <w:t>ately</w:t>
      </w:r>
      <w:r w:rsidRPr="00BB75B0">
        <w:t xml:space="preserve"> </w:t>
      </w:r>
      <w:r w:rsidR="0049544D">
        <w:t xml:space="preserve">lower than </w:t>
      </w:r>
      <w:r w:rsidRPr="00BB75B0">
        <w:t xml:space="preserve">the </w:t>
      </w:r>
      <w:r w:rsidR="0049544D">
        <w:t xml:space="preserve">size of this group within </w:t>
      </w:r>
      <w:r w:rsidR="00F818EE">
        <w:t>the UK population.</w:t>
      </w:r>
      <w:r w:rsidR="00D36EB0">
        <w:rPr>
          <w:rStyle w:val="EndnoteReference"/>
        </w:rPr>
        <w:endnoteReference w:id="6"/>
      </w:r>
      <w:r w:rsidR="00F818EE">
        <w:t xml:space="preserve"> </w:t>
      </w:r>
      <w:r w:rsidRPr="00BB75B0">
        <w:t xml:space="preserve">The challenge, therefore, has been </w:t>
      </w:r>
      <w:r w:rsidR="002459E6">
        <w:t>and will continue to be that of</w:t>
      </w:r>
      <w:r w:rsidRPr="00BB75B0">
        <w:t xml:space="preserve"> identify</w:t>
      </w:r>
      <w:r w:rsidR="002459E6">
        <w:t xml:space="preserve">ing </w:t>
      </w:r>
      <w:r w:rsidR="0049544D">
        <w:t xml:space="preserve">a </w:t>
      </w:r>
      <w:r w:rsidRPr="00BB75B0">
        <w:t xml:space="preserve">small group </w:t>
      </w:r>
      <w:r w:rsidR="0049544D">
        <w:t xml:space="preserve">of criminals </w:t>
      </w:r>
      <w:r w:rsidRPr="00BB75B0">
        <w:t xml:space="preserve">within the overwhelmingly law-abiding and tax-paying crowd travelling to the UK from </w:t>
      </w:r>
      <w:r w:rsidR="00CE7A2B">
        <w:t>(</w:t>
      </w:r>
      <w:r w:rsidRPr="00BB75B0">
        <w:t>other</w:t>
      </w:r>
      <w:r w:rsidR="00CE7A2B">
        <w:t>)</w:t>
      </w:r>
      <w:r w:rsidRPr="00BB75B0">
        <w:t xml:space="preserve"> EU states. </w:t>
      </w:r>
      <w:r w:rsidR="00250D71">
        <w:t xml:space="preserve">Speedy and efficient EU </w:t>
      </w:r>
      <w:r w:rsidR="00250D71" w:rsidRPr="00BB75B0">
        <w:t>information sharing (</w:t>
      </w:r>
      <w:r w:rsidR="00250D71">
        <w:t xml:space="preserve">e.g. </w:t>
      </w:r>
      <w:r w:rsidR="00E522AD" w:rsidRPr="00BB75B0">
        <w:t>forensic bioinformation and</w:t>
      </w:r>
      <w:r w:rsidR="00E522AD">
        <w:t>, also for safeguarding purposes,</w:t>
      </w:r>
      <w:r w:rsidR="00E522AD" w:rsidRPr="00BB75B0">
        <w:t xml:space="preserve"> </w:t>
      </w:r>
      <w:r w:rsidR="00250D71" w:rsidRPr="00BB75B0">
        <w:t>criminal records)</w:t>
      </w:r>
      <w:r w:rsidR="00250D71">
        <w:t xml:space="preserve"> is critical for this,</w:t>
      </w:r>
      <w:r w:rsidR="00D36EB0">
        <w:rPr>
          <w:rStyle w:val="EndnoteReference"/>
        </w:rPr>
        <w:endnoteReference w:id="7"/>
      </w:r>
      <w:r w:rsidR="00250D71">
        <w:t xml:space="preserve"> but c</w:t>
      </w:r>
      <w:r w:rsidR="0032695C">
        <w:t xml:space="preserve">ontinued UK access to such systems </w:t>
      </w:r>
      <w:r w:rsidR="00250D71">
        <w:t>will decline in proportion to</w:t>
      </w:r>
      <w:r w:rsidR="0032695C">
        <w:t xml:space="preserve"> the </w:t>
      </w:r>
      <w:r w:rsidR="00250D71">
        <w:t xml:space="preserve">extent </w:t>
      </w:r>
      <w:r w:rsidR="0032695C">
        <w:t>of divergence from the Single Market.</w:t>
      </w:r>
    </w:p>
    <w:p w:rsidR="00FF7E8C" w:rsidRDefault="002459E6" w:rsidP="00CF2166">
      <w:r>
        <w:t xml:space="preserve">Brexit is also likely to increase the </w:t>
      </w:r>
      <w:r w:rsidR="0032695C">
        <w:t xml:space="preserve">risk of </w:t>
      </w:r>
      <w:r>
        <w:t>increased</w:t>
      </w:r>
      <w:r w:rsidR="005A0A87">
        <w:t xml:space="preserve"> </w:t>
      </w:r>
      <w:r w:rsidR="0032695C">
        <w:t xml:space="preserve">harm </w:t>
      </w:r>
      <w:r>
        <w:t xml:space="preserve">and </w:t>
      </w:r>
      <w:r w:rsidR="005A0A87">
        <w:t>crime relating to (not necessarily by) migrant workers</w:t>
      </w:r>
      <w:r w:rsidR="0080185F">
        <w:t xml:space="preserve"> and residents</w:t>
      </w:r>
      <w:r w:rsidR="005A0A87">
        <w:t>.</w:t>
      </w:r>
      <w:r w:rsidR="00392D24">
        <w:t xml:space="preserve"> </w:t>
      </w:r>
      <w:r>
        <w:t>I</w:t>
      </w:r>
      <w:r w:rsidR="00264968" w:rsidRPr="00264968">
        <w:t xml:space="preserve">mmigration controls </w:t>
      </w:r>
      <w:r w:rsidR="00BB75B0">
        <w:t xml:space="preserve">are </w:t>
      </w:r>
      <w:r w:rsidR="00D94023">
        <w:t>enforced</w:t>
      </w:r>
      <w:r w:rsidR="0080185F">
        <w:t xml:space="preserve"> pr</w:t>
      </w:r>
      <w:r w:rsidR="00665E50">
        <w:t>imarily at</w:t>
      </w:r>
      <w:r w:rsidR="0080185F">
        <w:t xml:space="preserve"> </w:t>
      </w:r>
      <w:r w:rsidR="00264968" w:rsidRPr="00264968">
        <w:t>access to employment, ho</w:t>
      </w:r>
      <w:r w:rsidR="00A61A82">
        <w:t>using and public services. As t</w:t>
      </w:r>
      <w:r w:rsidR="00426475">
        <w:t xml:space="preserve">he </w:t>
      </w:r>
      <w:r w:rsidR="00A61A82">
        <w:t>capacity and reach of UK</w:t>
      </w:r>
      <w:r w:rsidR="00A61A82" w:rsidRPr="00264968">
        <w:t xml:space="preserve"> public services</w:t>
      </w:r>
      <w:r w:rsidR="00A61A82">
        <w:t xml:space="preserve"> is reduced by fiscal </w:t>
      </w:r>
      <w:r w:rsidR="00A61A82" w:rsidRPr="00264968">
        <w:t xml:space="preserve">austerity </w:t>
      </w:r>
      <w:r w:rsidR="00A61A82">
        <w:t>and the</w:t>
      </w:r>
      <w:r w:rsidR="00426475">
        <w:t xml:space="preserve"> ‘hostile</w:t>
      </w:r>
      <w:r w:rsidR="00532A23">
        <w:t xml:space="preserve"> environment</w:t>
      </w:r>
      <w:r w:rsidR="0032695C">
        <w:t>’</w:t>
      </w:r>
      <w:r w:rsidR="00A61A82">
        <w:t xml:space="preserve"> intensifies</w:t>
      </w:r>
      <w:r w:rsidR="00264968" w:rsidRPr="00264968">
        <w:t xml:space="preserve">, </w:t>
      </w:r>
      <w:r w:rsidR="00363BB8">
        <w:t xml:space="preserve">these and other </w:t>
      </w:r>
      <w:r w:rsidR="00A61A82">
        <w:t xml:space="preserve">host society problems will make it </w:t>
      </w:r>
      <w:r w:rsidR="0032695C">
        <w:t xml:space="preserve">easier for </w:t>
      </w:r>
      <w:r w:rsidR="00264968" w:rsidRPr="00264968">
        <w:t xml:space="preserve">criminals, including unscrupulous employers and landlords, </w:t>
      </w:r>
      <w:r w:rsidR="0032695C">
        <w:t>to</w:t>
      </w:r>
      <w:r w:rsidR="00264968" w:rsidRPr="00264968">
        <w:t xml:space="preserve"> exploit vulnerable </w:t>
      </w:r>
      <w:r w:rsidR="00BB75B0">
        <w:t xml:space="preserve">post-Brexit </w:t>
      </w:r>
      <w:r w:rsidR="00264968" w:rsidRPr="00264968">
        <w:t xml:space="preserve">migrants </w:t>
      </w:r>
      <w:r w:rsidR="00426475">
        <w:t xml:space="preserve">within </w:t>
      </w:r>
      <w:r w:rsidR="0032695C">
        <w:t xml:space="preserve">the </w:t>
      </w:r>
      <w:r w:rsidR="00426475">
        <w:t>black economy</w:t>
      </w:r>
      <w:r w:rsidR="00B201AD">
        <w:t>.</w:t>
      </w:r>
      <w:r w:rsidR="00D36EB0">
        <w:rPr>
          <w:rStyle w:val="EndnoteReference"/>
        </w:rPr>
        <w:endnoteReference w:id="8"/>
      </w:r>
      <w:r w:rsidR="00CC239C">
        <w:t xml:space="preserve"> </w:t>
      </w:r>
      <w:r w:rsidR="00513994">
        <w:t xml:space="preserve">This is likely to bear disproportionately on women. </w:t>
      </w:r>
      <w:r w:rsidR="0030403D">
        <w:t>T</w:t>
      </w:r>
      <w:r w:rsidR="00A27934">
        <w:t>he</w:t>
      </w:r>
      <w:r w:rsidR="00BB75B0">
        <w:t xml:space="preserve"> </w:t>
      </w:r>
      <w:r w:rsidR="00CC239C">
        <w:t>fear</w:t>
      </w:r>
      <w:r w:rsidR="00CC239C" w:rsidRPr="00CC239C">
        <w:t xml:space="preserve"> of deportation </w:t>
      </w:r>
      <w:r w:rsidR="0030403D">
        <w:t xml:space="preserve">already </w:t>
      </w:r>
      <w:r w:rsidR="00BB75B0">
        <w:t>results in ma</w:t>
      </w:r>
      <w:r w:rsidR="0032695C">
        <w:t>n</w:t>
      </w:r>
      <w:r w:rsidR="00BB75B0">
        <w:t xml:space="preserve">y </w:t>
      </w:r>
      <w:r w:rsidR="00CC239C">
        <w:t>women</w:t>
      </w:r>
      <w:r w:rsidR="00CC239C" w:rsidRPr="00CC239C">
        <w:t xml:space="preserve"> not report</w:t>
      </w:r>
      <w:r w:rsidR="00BB75B0">
        <w:t>ing</w:t>
      </w:r>
      <w:r w:rsidR="00CC239C" w:rsidRPr="00CC239C">
        <w:t xml:space="preserve"> crimes of sexual and domestic violence to</w:t>
      </w:r>
      <w:r w:rsidR="00CC239C">
        <w:t xml:space="preserve"> </w:t>
      </w:r>
      <w:r w:rsidR="00CC239C" w:rsidRPr="00CC239C">
        <w:t>the police or seek</w:t>
      </w:r>
      <w:r w:rsidR="00BB75B0">
        <w:t>ing</w:t>
      </w:r>
      <w:r w:rsidR="00CC239C" w:rsidRPr="00CC239C">
        <w:t xml:space="preserve"> support</w:t>
      </w:r>
      <w:r w:rsidR="00DC4A60">
        <w:t>.</w:t>
      </w:r>
      <w:r w:rsidR="00F27D64">
        <w:rPr>
          <w:rStyle w:val="EndnoteReference"/>
        </w:rPr>
        <w:endnoteReference w:id="9"/>
      </w:r>
      <w:r w:rsidR="00DC4A60">
        <w:t xml:space="preserve"> </w:t>
      </w:r>
      <w:r w:rsidR="00965753">
        <w:t>Also w</w:t>
      </w:r>
      <w:r w:rsidR="00CF2166">
        <w:t>ithin prisons, the loss of EU pre-trial bail</w:t>
      </w:r>
      <w:r w:rsidR="00392D24">
        <w:t xml:space="preserve"> and a slowing-down of post-conviction transfers home</w:t>
      </w:r>
      <w:r w:rsidR="00CF2166">
        <w:t xml:space="preserve">, the prospects for women from other EU member states - many with underlying physical and mental health </w:t>
      </w:r>
      <w:r w:rsidR="0032695C">
        <w:t xml:space="preserve">problems </w:t>
      </w:r>
      <w:r w:rsidR="00CF2166">
        <w:t xml:space="preserve">- are likely </w:t>
      </w:r>
      <w:r w:rsidR="00392D24">
        <w:t xml:space="preserve">to </w:t>
      </w:r>
      <w:r w:rsidR="00FF7E8C">
        <w:t>worsen.</w:t>
      </w:r>
      <w:r w:rsidR="00F27D64">
        <w:rPr>
          <w:rStyle w:val="EndnoteReference"/>
        </w:rPr>
        <w:endnoteReference w:id="10"/>
      </w:r>
    </w:p>
    <w:p w:rsidR="00CF2166" w:rsidRDefault="009E3868" w:rsidP="00CF2166">
      <w:pPr>
        <w:rPr>
          <w:b/>
        </w:rPr>
      </w:pPr>
      <w:r>
        <w:rPr>
          <w:b/>
        </w:rPr>
        <w:t>Brexit</w:t>
      </w:r>
      <w:r w:rsidR="00CA5093">
        <w:rPr>
          <w:b/>
        </w:rPr>
        <w:t>,</w:t>
      </w:r>
      <w:r>
        <w:rPr>
          <w:b/>
        </w:rPr>
        <w:t xml:space="preserve"> </w:t>
      </w:r>
      <w:r w:rsidR="00CF2166" w:rsidRPr="00D54A04">
        <w:rPr>
          <w:b/>
        </w:rPr>
        <w:t>forensic science and legal medicine</w:t>
      </w:r>
    </w:p>
    <w:p w:rsidR="00894B6C" w:rsidRPr="00300AEC" w:rsidRDefault="00CA5093" w:rsidP="00894B6C">
      <w:r>
        <w:t>A</w:t>
      </w:r>
      <w:r w:rsidR="00894B6C">
        <w:t xml:space="preserve"> key objective must be to prevent the professional isolation of UK forensic science and legal medicine,</w:t>
      </w:r>
      <w:r w:rsidR="002C10F0">
        <w:t xml:space="preserve"> </w:t>
      </w:r>
      <w:r w:rsidR="00CD3060">
        <w:t xml:space="preserve">as well as ensuring </w:t>
      </w:r>
      <w:r w:rsidR="002C10F0">
        <w:t>that the UK</w:t>
      </w:r>
      <w:r w:rsidR="00894B6C">
        <w:t xml:space="preserve">, like Norway and Switzerland, can continue to benefit </w:t>
      </w:r>
      <w:r w:rsidR="00673D33">
        <w:t xml:space="preserve">from </w:t>
      </w:r>
      <w:r w:rsidR="009D6010">
        <w:t xml:space="preserve">advances achieved through </w:t>
      </w:r>
      <w:r w:rsidR="00673D33">
        <w:t xml:space="preserve">EU </w:t>
      </w:r>
      <w:r w:rsidR="002C10F0">
        <w:t xml:space="preserve">organised and funded </w:t>
      </w:r>
      <w:r w:rsidR="00673D33">
        <w:t>research</w:t>
      </w:r>
      <w:r w:rsidR="00A75F68">
        <w:t>.</w:t>
      </w:r>
      <w:r w:rsidR="00673D33" w:rsidRPr="00673D33">
        <w:t xml:space="preserve"> </w:t>
      </w:r>
      <w:r w:rsidR="00673D33">
        <w:t>This</w:t>
      </w:r>
      <w:r w:rsidR="00CD3060">
        <w:t xml:space="preserve"> is </w:t>
      </w:r>
      <w:r w:rsidR="00673D33">
        <w:t xml:space="preserve">important not just for </w:t>
      </w:r>
      <w:r w:rsidR="00CD3060">
        <w:t xml:space="preserve">responding to </w:t>
      </w:r>
      <w:r w:rsidR="009D6010">
        <w:t xml:space="preserve">crimes and </w:t>
      </w:r>
      <w:r w:rsidR="00673D33">
        <w:t>risks</w:t>
      </w:r>
      <w:r w:rsidR="009D6010" w:rsidRPr="009D6010">
        <w:t xml:space="preserve"> </w:t>
      </w:r>
      <w:r w:rsidR="009D6010">
        <w:t>with an external element</w:t>
      </w:r>
      <w:r w:rsidR="00673D33">
        <w:t xml:space="preserve">, but </w:t>
      </w:r>
      <w:r w:rsidR="009D6010">
        <w:t>also f</w:t>
      </w:r>
      <w:r w:rsidR="009A113B">
        <w:t xml:space="preserve">or </w:t>
      </w:r>
      <w:r w:rsidR="009D6010">
        <w:t xml:space="preserve">the general quality of scientific and clinical legal </w:t>
      </w:r>
      <w:r w:rsidR="00673D33">
        <w:t>casework.</w:t>
      </w:r>
      <w:r w:rsidR="009D6010" w:rsidRPr="009D6010">
        <w:rPr>
          <w:rStyle w:val="EndnoteReference"/>
        </w:rPr>
        <w:t xml:space="preserve"> </w:t>
      </w:r>
      <w:r w:rsidR="009D6010">
        <w:rPr>
          <w:rStyle w:val="EndnoteReference"/>
        </w:rPr>
        <w:endnoteReference w:id="11"/>
      </w:r>
    </w:p>
    <w:p w:rsidR="00300AEC" w:rsidRDefault="00FC5E93" w:rsidP="00166760">
      <w:r>
        <w:t xml:space="preserve">The greatest challenge posed by Brexit will be in the extent to which it </w:t>
      </w:r>
      <w:r w:rsidR="00605A30">
        <w:t>will amplify</w:t>
      </w:r>
      <w:r w:rsidR="00FB057B">
        <w:t xml:space="preserve"> </w:t>
      </w:r>
      <w:r w:rsidR="00605A30">
        <w:t xml:space="preserve">current </w:t>
      </w:r>
      <w:r w:rsidR="00FB057B">
        <w:t>organisation</w:t>
      </w:r>
      <w:r w:rsidR="00605A30">
        <w:t>al</w:t>
      </w:r>
      <w:r w:rsidR="00FB057B">
        <w:t xml:space="preserve"> and funding </w:t>
      </w:r>
      <w:r w:rsidR="00605A30">
        <w:t xml:space="preserve">problems. </w:t>
      </w:r>
      <w:r w:rsidR="007E5EC7">
        <w:t>T</w:t>
      </w:r>
      <w:r w:rsidR="003F3E9E" w:rsidRPr="003F3E9E">
        <w:t>he sustainability of high quality forensic science and</w:t>
      </w:r>
      <w:r w:rsidR="002C10F0">
        <w:t xml:space="preserve"> legal </w:t>
      </w:r>
      <w:r w:rsidR="007E5EC7">
        <w:t>medicine</w:t>
      </w:r>
      <w:r w:rsidR="007957E4" w:rsidRPr="007957E4">
        <w:t xml:space="preserve"> </w:t>
      </w:r>
      <w:r w:rsidR="007E5EC7">
        <w:t xml:space="preserve">is already at risk, for example, from </w:t>
      </w:r>
      <w:r w:rsidR="007957E4">
        <w:t xml:space="preserve">succession planning </w:t>
      </w:r>
      <w:r w:rsidR="00363BB8">
        <w:t xml:space="preserve">problems </w:t>
      </w:r>
      <w:r w:rsidR="007957E4">
        <w:t xml:space="preserve">in forensic </w:t>
      </w:r>
      <w:r w:rsidR="007E5EC7">
        <w:t>pathology or</w:t>
      </w:r>
      <w:r w:rsidR="007957E4">
        <w:t xml:space="preserve"> </w:t>
      </w:r>
      <w:r w:rsidR="009A113B">
        <w:t xml:space="preserve">forensic science </w:t>
      </w:r>
      <w:r w:rsidR="007957E4" w:rsidRPr="003F3E9E">
        <w:t>procurement practices that are incapable of distinguishing between cost and value</w:t>
      </w:r>
      <w:r w:rsidR="003F3E9E" w:rsidRPr="003F3E9E">
        <w:t xml:space="preserve">. Much of the concern arises from </w:t>
      </w:r>
      <w:r w:rsidR="009A113B">
        <w:t xml:space="preserve">the </w:t>
      </w:r>
      <w:r w:rsidR="003F3E9E" w:rsidRPr="003F3E9E">
        <w:t xml:space="preserve">decline in funding. The underlying cause, however, is organisational fragmentation: narrowly focused public service priorities and responsibilities with little or no space for independent </w:t>
      </w:r>
      <w:r w:rsidR="007957E4">
        <w:t xml:space="preserve">clinical, </w:t>
      </w:r>
      <w:r w:rsidR="003F3E9E" w:rsidRPr="003F3E9E">
        <w:t>scientific and legal influence over resource allocation and policy making, or even a balanced consideration of the bigger picture.</w:t>
      </w:r>
      <w:r w:rsidR="002C10F0">
        <w:t xml:space="preserve"> Brexit will </w:t>
      </w:r>
      <w:r w:rsidR="009A113B">
        <w:t xml:space="preserve">aggravate </w:t>
      </w:r>
      <w:r w:rsidR="002C10F0">
        <w:t xml:space="preserve">these problems </w:t>
      </w:r>
      <w:r w:rsidR="00887F48">
        <w:t xml:space="preserve">by </w:t>
      </w:r>
      <w:r w:rsidR="007A7276">
        <w:t xml:space="preserve">simultaneously </w:t>
      </w:r>
      <w:r w:rsidR="00887F48">
        <w:t>increasing</w:t>
      </w:r>
      <w:r w:rsidR="002C10F0">
        <w:t xml:space="preserve"> </w:t>
      </w:r>
      <w:r w:rsidR="009A113B">
        <w:t xml:space="preserve">public spending </w:t>
      </w:r>
      <w:r w:rsidR="00887F48">
        <w:t xml:space="preserve">retrenchment </w:t>
      </w:r>
      <w:r w:rsidR="009A113B">
        <w:t xml:space="preserve">and </w:t>
      </w:r>
      <w:r w:rsidR="002C10F0">
        <w:t>generat</w:t>
      </w:r>
      <w:r w:rsidR="007A7276">
        <w:t>ing</w:t>
      </w:r>
      <w:r w:rsidR="002C10F0">
        <w:t xml:space="preserve"> new demand</w:t>
      </w:r>
      <w:r w:rsidR="007A7276">
        <w:t>s</w:t>
      </w:r>
      <w:r w:rsidR="002C10F0">
        <w:t>.</w:t>
      </w:r>
      <w:r w:rsidR="0019293F">
        <w:t xml:space="preserve"> </w:t>
      </w:r>
      <w:r w:rsidR="009A113B">
        <w:t>Sometimes t</w:t>
      </w:r>
      <w:r w:rsidR="0019293F">
        <w:t>he effect could be paradoxical.</w:t>
      </w:r>
      <w:r w:rsidR="007A7276">
        <w:t xml:space="preserve"> For example, companies and scientists forced out of criminal justice </w:t>
      </w:r>
      <w:r w:rsidR="002C10F0">
        <w:t xml:space="preserve">may </w:t>
      </w:r>
      <w:r w:rsidR="007A7276">
        <w:t xml:space="preserve">find new opportunities – particularly under more extreme versions of Brexit </w:t>
      </w:r>
      <w:r w:rsidR="0019293F">
        <w:t>–</w:t>
      </w:r>
      <w:r w:rsidR="007A7276">
        <w:t xml:space="preserve"> </w:t>
      </w:r>
      <w:r w:rsidR="0019293F">
        <w:t xml:space="preserve">in new and </w:t>
      </w:r>
      <w:r w:rsidR="003C6770">
        <w:t xml:space="preserve">extensive </w:t>
      </w:r>
      <w:r w:rsidR="007A7276" w:rsidRPr="00344279">
        <w:t xml:space="preserve">regulatory science </w:t>
      </w:r>
      <w:r w:rsidR="007A7276">
        <w:t>and public health checks</w:t>
      </w:r>
      <w:r w:rsidR="0051337E">
        <w:t xml:space="preserve"> on imported and exported goods</w:t>
      </w:r>
      <w:r w:rsidR="00887F48">
        <w:t>.</w:t>
      </w:r>
      <w:r w:rsidR="007A7276">
        <w:t xml:space="preserve"> </w:t>
      </w:r>
      <w:r w:rsidR="003C6770">
        <w:t xml:space="preserve">The net effect of such public expenditure reallocation, while helpful for some companies and individuals, </w:t>
      </w:r>
      <w:r w:rsidR="0019293F">
        <w:t xml:space="preserve">however, </w:t>
      </w:r>
      <w:r w:rsidR="003C6770">
        <w:t xml:space="preserve">is likely to reduce </w:t>
      </w:r>
      <w:r w:rsidR="0019293F">
        <w:t xml:space="preserve">overall </w:t>
      </w:r>
      <w:r w:rsidR="003C6770">
        <w:t>social welfare and protection from harm.</w:t>
      </w:r>
    </w:p>
    <w:p w:rsidR="007E138F" w:rsidRPr="007E138F" w:rsidRDefault="002E3269">
      <w:pPr>
        <w:rPr>
          <w:b/>
        </w:rPr>
      </w:pPr>
      <w:r>
        <w:rPr>
          <w:b/>
        </w:rPr>
        <w:t>Conclusions and an invitation</w:t>
      </w:r>
    </w:p>
    <w:p w:rsidR="007B6276" w:rsidRPr="007B6276" w:rsidRDefault="002E3269" w:rsidP="007B6276">
      <w:r w:rsidRPr="002E3269">
        <w:t xml:space="preserve">The scope and significance of the impact of Brexit on </w:t>
      </w:r>
      <w:r w:rsidR="00CA5186">
        <w:t>forensic science</w:t>
      </w:r>
      <w:r w:rsidRPr="002E3269">
        <w:t xml:space="preserve"> and </w:t>
      </w:r>
      <w:r w:rsidR="00CA5186">
        <w:t xml:space="preserve">legal medicine </w:t>
      </w:r>
      <w:r w:rsidRPr="002E3269">
        <w:t xml:space="preserve">needs </w:t>
      </w:r>
      <w:r w:rsidR="00AE3AFF">
        <w:t xml:space="preserve">to </w:t>
      </w:r>
      <w:r w:rsidRPr="002E3269">
        <w:t>be identified more fully and analysed in greater detail.</w:t>
      </w:r>
      <w:r>
        <w:t xml:space="preserve"> This </w:t>
      </w:r>
      <w:r w:rsidR="00A2569E">
        <w:t xml:space="preserve">is needed </w:t>
      </w:r>
      <w:r>
        <w:t xml:space="preserve">to inform greater concerted engagement </w:t>
      </w:r>
      <w:r w:rsidR="00194115">
        <w:t xml:space="preserve">by </w:t>
      </w:r>
      <w:r>
        <w:t>professionals and</w:t>
      </w:r>
      <w:r w:rsidRPr="002E3269">
        <w:t xml:space="preserve"> </w:t>
      </w:r>
      <w:r>
        <w:t>academics with Parliament and government officials</w:t>
      </w:r>
      <w:r w:rsidR="00194115">
        <w:t>.</w:t>
      </w:r>
      <w:r w:rsidR="00887F48">
        <w:t xml:space="preserve"> </w:t>
      </w:r>
      <w:r w:rsidR="00CA5186">
        <w:t>Two university research centres (one at Northumbria and the other at Aston) have come together with colleagues based at RUSI (the Royal United Service</w:t>
      </w:r>
      <w:r w:rsidR="00AE3AFF">
        <w:t>s</w:t>
      </w:r>
      <w:r w:rsidR="00CA5186">
        <w:t xml:space="preserve"> Institution) to create a network to facilitate such</w:t>
      </w:r>
      <w:r w:rsidR="009C1F58">
        <w:t xml:space="preserve"> activity</w:t>
      </w:r>
      <w:r w:rsidR="00A96FA9">
        <w:t xml:space="preserve">. The network will </w:t>
      </w:r>
      <w:r w:rsidR="009C1F58">
        <w:t xml:space="preserve">be concerned with </w:t>
      </w:r>
      <w:r w:rsidR="00CA5186">
        <w:t xml:space="preserve">protection from harm in a very broad sense </w:t>
      </w:r>
      <w:r w:rsidR="009C1F58">
        <w:t xml:space="preserve">and </w:t>
      </w:r>
      <w:r w:rsidR="0051337E">
        <w:t xml:space="preserve">will </w:t>
      </w:r>
      <w:r w:rsidR="009C1F58">
        <w:t xml:space="preserve">support </w:t>
      </w:r>
      <w:r w:rsidR="00664715">
        <w:t xml:space="preserve">the maintenance or rebuilding of UK-EU </w:t>
      </w:r>
      <w:r w:rsidR="009C1F58">
        <w:t xml:space="preserve">legal and security </w:t>
      </w:r>
      <w:r w:rsidR="00CA5186">
        <w:t xml:space="preserve">cooperation </w:t>
      </w:r>
      <w:r w:rsidR="00664715">
        <w:t>after 29</w:t>
      </w:r>
      <w:r w:rsidR="00664715" w:rsidRPr="00664715">
        <w:rPr>
          <w:vertAlign w:val="superscript"/>
        </w:rPr>
        <w:t>th</w:t>
      </w:r>
      <w:r w:rsidR="00A96FA9">
        <w:t xml:space="preserve"> M</w:t>
      </w:r>
      <w:r w:rsidR="00664715">
        <w:t>arch 2019</w:t>
      </w:r>
      <w:r w:rsidR="00CA5186">
        <w:t xml:space="preserve">. </w:t>
      </w:r>
      <w:r w:rsidR="00664715">
        <w:t>P</w:t>
      </w:r>
      <w:r w:rsidR="004C451E">
        <w:t xml:space="preserve">lease contact the network if you </w:t>
      </w:r>
      <w:r w:rsidR="00A96FA9">
        <w:t>wish to join us</w:t>
      </w:r>
      <w:r w:rsidR="004C451E">
        <w:t>.</w:t>
      </w:r>
      <w:r w:rsidR="001B5AEE">
        <w:rPr>
          <w:rStyle w:val="EndnoteReference"/>
        </w:rPr>
        <w:endnoteReference w:id="12"/>
      </w:r>
      <w:r w:rsidR="004C451E">
        <w:t xml:space="preserve"> </w:t>
      </w:r>
    </w:p>
    <w:sectPr w:rsidR="007B6276" w:rsidRPr="007B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A5" w:rsidRDefault="008A5BA5" w:rsidP="00BE5F7F">
      <w:pPr>
        <w:spacing w:after="0" w:line="240" w:lineRule="auto"/>
      </w:pPr>
      <w:r>
        <w:separator/>
      </w:r>
    </w:p>
  </w:endnote>
  <w:endnote w:type="continuationSeparator" w:id="0">
    <w:p w:rsidR="008A5BA5" w:rsidRDefault="008A5BA5" w:rsidP="00BE5F7F">
      <w:pPr>
        <w:spacing w:after="0" w:line="240" w:lineRule="auto"/>
      </w:pPr>
      <w:r>
        <w:continuationSeparator/>
      </w:r>
    </w:p>
  </w:endnote>
  <w:endnote w:id="1">
    <w:p w:rsidR="007B6276" w:rsidRDefault="007B62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6276">
        <w:t>Howarth J,</w:t>
      </w:r>
      <w:r w:rsidRPr="007B6276">
        <w:rPr>
          <w:b/>
        </w:rPr>
        <w:t xml:space="preserve"> </w:t>
      </w:r>
      <w:r w:rsidRPr="007B6276">
        <w:t>Brexit has become unnegoti</w:t>
      </w:r>
      <w:r w:rsidR="00105AFE">
        <w:t>able:</w:t>
      </w:r>
      <w:r w:rsidRPr="007B6276">
        <w:t xml:space="preserve"> Theresa May has a constitutional duty to admit that truth</w:t>
      </w:r>
      <w:r w:rsidRPr="007B6276">
        <w:rPr>
          <w:b/>
        </w:rPr>
        <w:t xml:space="preserve"> </w:t>
      </w:r>
      <w:hyperlink r:id="rId1" w:history="1">
        <w:r w:rsidRPr="007B6276">
          <w:rPr>
            <w:rStyle w:val="Hyperlink"/>
          </w:rPr>
          <w:t>http://blogs.lse.ac.uk/brexit/2018/09/25/brexit-has-become-unnegotiable-theresa-may-has-a-constitutional-duty-to-admit-that-truth/</w:t>
        </w:r>
      </w:hyperlink>
      <w:r w:rsidRPr="007B6276">
        <w:rPr>
          <w:b/>
        </w:rPr>
        <w:t xml:space="preserve">; </w:t>
      </w:r>
      <w:r w:rsidRPr="007B6276">
        <w:t>2018</w:t>
      </w:r>
      <w:r w:rsidRPr="007B6276">
        <w:rPr>
          <w:b/>
        </w:rPr>
        <w:t xml:space="preserve"> </w:t>
      </w:r>
      <w:r w:rsidRPr="007B6276">
        <w:t>Accessed 4 October 2018.</w:t>
      </w:r>
    </w:p>
  </w:endnote>
  <w:endnote w:id="2">
    <w:p w:rsidR="007B6276" w:rsidRDefault="007B62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7A94">
        <w:t>Portes J, Putting a price on Brexit’, I</w:t>
      </w:r>
      <w:r w:rsidRPr="007B6276">
        <w:t>n</w:t>
      </w:r>
      <w:r w:rsidR="00037A94">
        <w:t>:</w:t>
      </w:r>
      <w:r w:rsidRPr="007B6276">
        <w:t xml:space="preserve"> Our Global Future </w:t>
      </w:r>
      <w:r w:rsidRPr="007B6276">
        <w:rPr>
          <w:i/>
        </w:rPr>
        <w:t>Too high a price? The cost of Brexit – what the public thinks,</w:t>
      </w:r>
      <w:r w:rsidRPr="007B6276">
        <w:t xml:space="preserve"> </w:t>
      </w:r>
      <w:hyperlink r:id="rId2" w:history="1">
        <w:r w:rsidRPr="007B6276">
          <w:rPr>
            <w:rStyle w:val="Hyperlink"/>
          </w:rPr>
          <w:t>http://ourglobalfuture.com/reports/too-high-a-price-the-cost-of-brexit-what-the-public-thinks/</w:t>
        </w:r>
      </w:hyperlink>
      <w:r w:rsidRPr="007B6276">
        <w:t xml:space="preserve"> </w:t>
      </w:r>
      <w:r w:rsidR="00037A94">
        <w:t>;2018</w:t>
      </w:r>
      <w:r w:rsidRPr="007B6276">
        <w:t xml:space="preserve"> Accessed 4 October 2018.</w:t>
      </w:r>
    </w:p>
  </w:endnote>
  <w:endnote w:id="3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Weyembergh A, Consequences of Brexit for European Union criminal law. </w:t>
      </w:r>
      <w:r w:rsidRPr="00D36EB0">
        <w:rPr>
          <w:i/>
        </w:rPr>
        <w:t>New Journal of European Criminal Law</w:t>
      </w:r>
      <w:r w:rsidRPr="00D36EB0">
        <w:t xml:space="preserve"> 2017; 8: 284–99. https://doi.org/10.1177/2032284417721286.</w:t>
      </w:r>
    </w:p>
  </w:endnote>
  <w:endnote w:id="4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Justice Committee, </w:t>
      </w:r>
      <w:r w:rsidRPr="00DD5998">
        <w:rPr>
          <w:i/>
        </w:rPr>
        <w:t>Implications of Brexit for the justice system</w:t>
      </w:r>
      <w:r w:rsidRPr="00D36EB0">
        <w:t xml:space="preserve"> (HC 2016-17, 750). </w:t>
      </w:r>
      <w:hyperlink r:id="rId3" w:history="1">
        <w:r w:rsidRPr="00D36EB0">
          <w:rPr>
            <w:rStyle w:val="Hyperlink"/>
          </w:rPr>
          <w:t>https://publications.parliament.uk/pa/cm201617/cmselect/cmjust/750/750.pdf</w:t>
        </w:r>
      </w:hyperlink>
      <w:r w:rsidRPr="00D36EB0">
        <w:t xml:space="preserve"> </w:t>
      </w:r>
      <w:r w:rsidR="0013493C">
        <w:t xml:space="preserve">; 2017 </w:t>
      </w:r>
      <w:r w:rsidRPr="00D36EB0">
        <w:t>Accessed 5 October 2018.</w:t>
      </w:r>
    </w:p>
  </w:endnote>
  <w:endnote w:id="5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Johnson D, Wilkinson J, Check the menu: Five years after the 'Horsemeat Scandal', food fraud remains a threat </w:t>
      </w:r>
      <w:hyperlink r:id="rId4" w:history="1">
        <w:r w:rsidRPr="00D36EB0">
          <w:rPr>
            <w:rStyle w:val="Hyperlink"/>
          </w:rPr>
          <w:t>https://shoc.rusi.org/informer/check-menu-five-years-after-horsemeat-scandal-food-fraud-remains-threat</w:t>
        </w:r>
      </w:hyperlink>
      <w:r w:rsidRPr="00D36EB0">
        <w:t xml:space="preserve"> ; 2018 Accessed 5 October 2018.</w:t>
      </w:r>
    </w:p>
  </w:endnote>
  <w:endnote w:id="6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Johnson D, Ludwig A, Younger B, McCloskey M, </w:t>
      </w:r>
      <w:r w:rsidRPr="008B399F">
        <w:rPr>
          <w:i/>
        </w:rPr>
        <w:t>The Prüm Implementation, Evaluation and Strengthening (P.I.E.S.) of Forensic DNA Data Exchange: Northumbria University Final Report</w:t>
      </w:r>
      <w:r w:rsidR="008B399F">
        <w:t>.</w:t>
      </w:r>
      <w:r w:rsidRPr="00D36EB0">
        <w:t xml:space="preserve"> </w:t>
      </w:r>
      <w:hyperlink r:id="rId5" w:history="1">
        <w:r w:rsidRPr="00D36EB0">
          <w:rPr>
            <w:rStyle w:val="Hyperlink"/>
          </w:rPr>
          <w:t>http://nrl.northumbria.ac.uk/23383/</w:t>
        </w:r>
      </w:hyperlink>
      <w:r w:rsidRPr="00D36EB0">
        <w:t>; 2015 Accessed 4 October 2018.</w:t>
      </w:r>
    </w:p>
  </w:endnote>
  <w:endnote w:id="7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Wilson TJ, Criminal Justice and Global Public Goods: The Prüm Forensic Biometric Cooperation Model, </w:t>
      </w:r>
      <w:r w:rsidRPr="00D36EB0">
        <w:rPr>
          <w:i/>
        </w:rPr>
        <w:t>The Journal of Criminal Law</w:t>
      </w:r>
      <w:r w:rsidRPr="00D36EB0">
        <w:t xml:space="preserve"> 2016 303–326. https://doi.org/10.1177/0022018316668450.</w:t>
      </w:r>
    </w:p>
  </w:endnote>
  <w:endnote w:id="8">
    <w:p w:rsidR="00D36EB0" w:rsidRDefault="00D36E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6EB0">
        <w:t xml:space="preserve">Solivetti LM, </w:t>
      </w:r>
      <w:r w:rsidRPr="00D36EB0">
        <w:rPr>
          <w:i/>
        </w:rPr>
        <w:t>Immigration, Social Integration and Crime</w:t>
      </w:r>
      <w:r w:rsidRPr="00D36EB0">
        <w:t>, Abingdon and New York: Routledge; 2010.</w:t>
      </w:r>
    </w:p>
  </w:endnote>
  <w:endnote w:id="9">
    <w:p w:rsidR="00F27D64" w:rsidRDefault="00F27D6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B399F">
        <w:rPr>
          <w:i/>
        </w:rPr>
        <w:t>End Violence Against Women. Women living in a hostile environment</w:t>
      </w:r>
      <w:r w:rsidRPr="00F27D64">
        <w:t xml:space="preserve">. </w:t>
      </w:r>
      <w:hyperlink r:id="rId6" w:history="1">
        <w:r w:rsidRPr="00F27D64">
          <w:rPr>
            <w:rStyle w:val="Hyperlink"/>
          </w:rPr>
          <w:t>https://www.endviolenceagainstwomen.org.uk/wp-content/uploads/FINAL-living-in-a-hostile-environment-for-Web-and-sharing-.pdf on 04.10.18</w:t>
        </w:r>
      </w:hyperlink>
      <w:r w:rsidRPr="00F27D64">
        <w:t>; 2018 Accessed 4 October 2018.</w:t>
      </w:r>
    </w:p>
  </w:endnote>
  <w:endnote w:id="10">
    <w:p w:rsidR="00F27D64" w:rsidRDefault="00F27D6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27D64">
        <w:t>Prison Reform Trust and Hibiscus</w:t>
      </w:r>
      <w:r w:rsidR="0013493C">
        <w:t>.</w:t>
      </w:r>
      <w:r w:rsidRPr="00F27D64">
        <w:t xml:space="preserve"> </w:t>
      </w:r>
      <w:r w:rsidRPr="008B399F">
        <w:rPr>
          <w:i/>
        </w:rPr>
        <w:t>Still No Way Out: Foreign national women and trafficked women in the criminal justice system</w:t>
      </w:r>
      <w:r w:rsidRPr="00F27D64">
        <w:t xml:space="preserve">. </w:t>
      </w:r>
      <w:hyperlink r:id="rId7" w:history="1">
        <w:r w:rsidRPr="00F27D64">
          <w:rPr>
            <w:rStyle w:val="Hyperlink"/>
          </w:rPr>
          <w:t>http://www.prisonreformtrust.org.uk/Portals/0/Documents/Still%20No%20Way%20Out%20full%20report.pdf</w:t>
        </w:r>
      </w:hyperlink>
      <w:r w:rsidRPr="00F27D64">
        <w:t xml:space="preserve"> 2018 Accessed 5 October 2018.</w:t>
      </w:r>
    </w:p>
  </w:endnote>
  <w:endnote w:id="11">
    <w:p w:rsidR="009D6010" w:rsidRDefault="009D6010" w:rsidP="009D60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618C">
        <w:t xml:space="preserve">Wilson </w:t>
      </w:r>
      <w:r w:rsidRPr="008E618C">
        <w:rPr>
          <w:lang w:val="da-DK"/>
        </w:rPr>
        <w:t xml:space="preserve">T, </w:t>
      </w:r>
      <w:r w:rsidR="008B399F">
        <w:t>Carr S, AFSJ</w:t>
      </w:r>
      <w:r w:rsidRPr="008E618C">
        <w:t xml:space="preserve"> and Forensic Science. In: Carrapico H, Niehuss A</w:t>
      </w:r>
      <w:r w:rsidR="00E00391">
        <w:t xml:space="preserve">, </w:t>
      </w:r>
      <w:r w:rsidRPr="008E618C">
        <w:t xml:space="preserve">Berthelemy C, </w:t>
      </w:r>
      <w:r w:rsidR="008B399F">
        <w:rPr>
          <w:i/>
          <w:iCs/>
        </w:rPr>
        <w:t>Brexit and Internal Security:</w:t>
      </w:r>
      <w:r w:rsidRPr="008B399F">
        <w:rPr>
          <w:i/>
          <w:iCs/>
        </w:rPr>
        <w:t xml:space="preserve"> Political and Legal concerns in the context of the future UK-EU Relationship</w:t>
      </w:r>
      <w:r w:rsidRPr="008E618C">
        <w:rPr>
          <w:iCs/>
        </w:rPr>
        <w:t>.</w:t>
      </w:r>
      <w:r w:rsidRPr="008E618C">
        <w:rPr>
          <w:i/>
          <w:iCs/>
        </w:rPr>
        <w:t xml:space="preserve"> </w:t>
      </w:r>
      <w:r w:rsidRPr="008E618C">
        <w:rPr>
          <w:iCs/>
        </w:rPr>
        <w:t xml:space="preserve">London: </w:t>
      </w:r>
      <w:r w:rsidRPr="008E618C">
        <w:t>Palgrave; forthcoming.</w:t>
      </w:r>
    </w:p>
  </w:endnote>
  <w:endnote w:id="12">
    <w:p w:rsidR="001B5AEE" w:rsidRDefault="001B5AEE">
      <w:pPr>
        <w:pStyle w:val="EndnoteText"/>
      </w:pPr>
      <w:r>
        <w:rPr>
          <w:rStyle w:val="EndnoteReference"/>
        </w:rPr>
        <w:endnoteRef/>
      </w:r>
      <w:r w:rsidRPr="001B5AEE">
        <w:t xml:space="preserve">Details at </w:t>
      </w:r>
      <w:hyperlink r:id="rId8" w:history="1">
        <w:r w:rsidRPr="008E567C">
          <w:rPr>
            <w:rStyle w:val="Hyperlink"/>
          </w:rPr>
          <w:t>https://shoc.rusi.org/juest-network</w:t>
        </w:r>
      </w:hyperlink>
      <w:r>
        <w:t xml:space="preserve"> </w:t>
      </w:r>
      <w:r w:rsidRPr="001B5AE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A5" w:rsidRDefault="008A5BA5" w:rsidP="00BE5F7F">
      <w:pPr>
        <w:spacing w:after="0" w:line="240" w:lineRule="auto"/>
      </w:pPr>
      <w:r>
        <w:separator/>
      </w:r>
    </w:p>
  </w:footnote>
  <w:footnote w:type="continuationSeparator" w:id="0">
    <w:p w:rsidR="008A5BA5" w:rsidRDefault="008A5BA5" w:rsidP="00BE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AE0"/>
    <w:multiLevelType w:val="hybridMultilevel"/>
    <w:tmpl w:val="89B43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62D"/>
    <w:multiLevelType w:val="hybridMultilevel"/>
    <w:tmpl w:val="DB3E882C"/>
    <w:lvl w:ilvl="0" w:tplc="899A65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62394">
      <w:start w:val="113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ED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21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88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E6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E1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88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90791"/>
    <w:multiLevelType w:val="hybridMultilevel"/>
    <w:tmpl w:val="E5E4F9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AE"/>
    <w:rsid w:val="00012051"/>
    <w:rsid w:val="00012215"/>
    <w:rsid w:val="00037A94"/>
    <w:rsid w:val="00062956"/>
    <w:rsid w:val="000647E1"/>
    <w:rsid w:val="00082EC5"/>
    <w:rsid w:val="000A435E"/>
    <w:rsid w:val="000A4927"/>
    <w:rsid w:val="000A4FBA"/>
    <w:rsid w:val="000A7807"/>
    <w:rsid w:val="000C5594"/>
    <w:rsid w:val="000D0CE5"/>
    <w:rsid w:val="000D15E1"/>
    <w:rsid w:val="000E3371"/>
    <w:rsid w:val="000F767E"/>
    <w:rsid w:val="00105AFE"/>
    <w:rsid w:val="00106273"/>
    <w:rsid w:val="00116A30"/>
    <w:rsid w:val="0011713A"/>
    <w:rsid w:val="0013493C"/>
    <w:rsid w:val="001421BB"/>
    <w:rsid w:val="001466A4"/>
    <w:rsid w:val="00166760"/>
    <w:rsid w:val="001732B5"/>
    <w:rsid w:val="001862C0"/>
    <w:rsid w:val="0019293F"/>
    <w:rsid w:val="00194115"/>
    <w:rsid w:val="00196582"/>
    <w:rsid w:val="001A2536"/>
    <w:rsid w:val="001B4280"/>
    <w:rsid w:val="001B5AEE"/>
    <w:rsid w:val="001C1E84"/>
    <w:rsid w:val="001D2334"/>
    <w:rsid w:val="001D41C2"/>
    <w:rsid w:val="001E7D41"/>
    <w:rsid w:val="002165B8"/>
    <w:rsid w:val="002165C2"/>
    <w:rsid w:val="00237DDB"/>
    <w:rsid w:val="002459E6"/>
    <w:rsid w:val="00250D71"/>
    <w:rsid w:val="00264968"/>
    <w:rsid w:val="002768A7"/>
    <w:rsid w:val="00292253"/>
    <w:rsid w:val="00295A0F"/>
    <w:rsid w:val="002B390E"/>
    <w:rsid w:val="002B634A"/>
    <w:rsid w:val="002C10F0"/>
    <w:rsid w:val="002E3269"/>
    <w:rsid w:val="002E445B"/>
    <w:rsid w:val="002F3A89"/>
    <w:rsid w:val="00300AEC"/>
    <w:rsid w:val="0030403D"/>
    <w:rsid w:val="00305D3E"/>
    <w:rsid w:val="0032430D"/>
    <w:rsid w:val="0032695C"/>
    <w:rsid w:val="0034253A"/>
    <w:rsid w:val="00344279"/>
    <w:rsid w:val="003457F1"/>
    <w:rsid w:val="00352E54"/>
    <w:rsid w:val="00363BB8"/>
    <w:rsid w:val="00386479"/>
    <w:rsid w:val="00392D24"/>
    <w:rsid w:val="003A796B"/>
    <w:rsid w:val="003A7F73"/>
    <w:rsid w:val="003B34FA"/>
    <w:rsid w:val="003C3D3E"/>
    <w:rsid w:val="003C6770"/>
    <w:rsid w:val="003D6003"/>
    <w:rsid w:val="003E4B9B"/>
    <w:rsid w:val="003E5C38"/>
    <w:rsid w:val="003F32AB"/>
    <w:rsid w:val="003F3E9E"/>
    <w:rsid w:val="004106D5"/>
    <w:rsid w:val="004164BE"/>
    <w:rsid w:val="00426475"/>
    <w:rsid w:val="0043097B"/>
    <w:rsid w:val="004338C6"/>
    <w:rsid w:val="004457A8"/>
    <w:rsid w:val="00450555"/>
    <w:rsid w:val="00463F49"/>
    <w:rsid w:val="00471C89"/>
    <w:rsid w:val="00493AE0"/>
    <w:rsid w:val="0049544D"/>
    <w:rsid w:val="004A0BF6"/>
    <w:rsid w:val="004B4CD2"/>
    <w:rsid w:val="004C0EC0"/>
    <w:rsid w:val="004C451E"/>
    <w:rsid w:val="004E1DA6"/>
    <w:rsid w:val="004E56E2"/>
    <w:rsid w:val="004E675B"/>
    <w:rsid w:val="004E7760"/>
    <w:rsid w:val="004E7E14"/>
    <w:rsid w:val="0051337E"/>
    <w:rsid w:val="00513994"/>
    <w:rsid w:val="005313E3"/>
    <w:rsid w:val="00532655"/>
    <w:rsid w:val="00532A23"/>
    <w:rsid w:val="00535251"/>
    <w:rsid w:val="00544ECD"/>
    <w:rsid w:val="00557B85"/>
    <w:rsid w:val="00557CA8"/>
    <w:rsid w:val="00566177"/>
    <w:rsid w:val="00570023"/>
    <w:rsid w:val="00577A6F"/>
    <w:rsid w:val="005878BD"/>
    <w:rsid w:val="00593F0E"/>
    <w:rsid w:val="00595212"/>
    <w:rsid w:val="00596915"/>
    <w:rsid w:val="005A0A87"/>
    <w:rsid w:val="005B504F"/>
    <w:rsid w:val="005C7FA0"/>
    <w:rsid w:val="005E3BA0"/>
    <w:rsid w:val="005E58A7"/>
    <w:rsid w:val="00602281"/>
    <w:rsid w:val="00605A30"/>
    <w:rsid w:val="00605FB4"/>
    <w:rsid w:val="00640B8D"/>
    <w:rsid w:val="00647858"/>
    <w:rsid w:val="006530AE"/>
    <w:rsid w:val="00661F91"/>
    <w:rsid w:val="00664715"/>
    <w:rsid w:val="00665E50"/>
    <w:rsid w:val="00673D33"/>
    <w:rsid w:val="00675ED1"/>
    <w:rsid w:val="006816B6"/>
    <w:rsid w:val="006868A6"/>
    <w:rsid w:val="006A076A"/>
    <w:rsid w:val="006A6F86"/>
    <w:rsid w:val="006B2130"/>
    <w:rsid w:val="006D5187"/>
    <w:rsid w:val="00713EF3"/>
    <w:rsid w:val="00734446"/>
    <w:rsid w:val="007450CD"/>
    <w:rsid w:val="00745F4B"/>
    <w:rsid w:val="00750896"/>
    <w:rsid w:val="007512F4"/>
    <w:rsid w:val="007569E6"/>
    <w:rsid w:val="0076073E"/>
    <w:rsid w:val="007813CF"/>
    <w:rsid w:val="007904AE"/>
    <w:rsid w:val="00790780"/>
    <w:rsid w:val="007957E4"/>
    <w:rsid w:val="007A076A"/>
    <w:rsid w:val="007A7276"/>
    <w:rsid w:val="007B4CA4"/>
    <w:rsid w:val="007B4E46"/>
    <w:rsid w:val="007B6276"/>
    <w:rsid w:val="007D6A2E"/>
    <w:rsid w:val="007E138F"/>
    <w:rsid w:val="007E5C85"/>
    <w:rsid w:val="007E5EC7"/>
    <w:rsid w:val="007F153D"/>
    <w:rsid w:val="00800B19"/>
    <w:rsid w:val="0080185F"/>
    <w:rsid w:val="00810F92"/>
    <w:rsid w:val="008130E1"/>
    <w:rsid w:val="00826BA0"/>
    <w:rsid w:val="00850598"/>
    <w:rsid w:val="00851826"/>
    <w:rsid w:val="00864E17"/>
    <w:rsid w:val="00882A70"/>
    <w:rsid w:val="008862EC"/>
    <w:rsid w:val="00887F48"/>
    <w:rsid w:val="008902AA"/>
    <w:rsid w:val="0089075A"/>
    <w:rsid w:val="00894B6C"/>
    <w:rsid w:val="0089540D"/>
    <w:rsid w:val="00895734"/>
    <w:rsid w:val="008A377A"/>
    <w:rsid w:val="008A5BA5"/>
    <w:rsid w:val="008A7514"/>
    <w:rsid w:val="008B27DD"/>
    <w:rsid w:val="008B399F"/>
    <w:rsid w:val="008B47F0"/>
    <w:rsid w:val="008C2226"/>
    <w:rsid w:val="008E38F0"/>
    <w:rsid w:val="008E618C"/>
    <w:rsid w:val="008F4947"/>
    <w:rsid w:val="009327FD"/>
    <w:rsid w:val="00934ACA"/>
    <w:rsid w:val="00952D69"/>
    <w:rsid w:val="0095722C"/>
    <w:rsid w:val="00965753"/>
    <w:rsid w:val="00970409"/>
    <w:rsid w:val="009A113B"/>
    <w:rsid w:val="009A7E82"/>
    <w:rsid w:val="009C1F58"/>
    <w:rsid w:val="009D2ACF"/>
    <w:rsid w:val="009D6010"/>
    <w:rsid w:val="009E103A"/>
    <w:rsid w:val="009E3868"/>
    <w:rsid w:val="00A0465B"/>
    <w:rsid w:val="00A2569E"/>
    <w:rsid w:val="00A261F3"/>
    <w:rsid w:val="00A27934"/>
    <w:rsid w:val="00A43760"/>
    <w:rsid w:val="00A46212"/>
    <w:rsid w:val="00A61A82"/>
    <w:rsid w:val="00A63E94"/>
    <w:rsid w:val="00A64C9C"/>
    <w:rsid w:val="00A75F68"/>
    <w:rsid w:val="00A90179"/>
    <w:rsid w:val="00A93547"/>
    <w:rsid w:val="00A96FA9"/>
    <w:rsid w:val="00AA5B55"/>
    <w:rsid w:val="00AC5B06"/>
    <w:rsid w:val="00AE3AFF"/>
    <w:rsid w:val="00AE6315"/>
    <w:rsid w:val="00AF5E7A"/>
    <w:rsid w:val="00B201AD"/>
    <w:rsid w:val="00B20BD0"/>
    <w:rsid w:val="00B25CA4"/>
    <w:rsid w:val="00B322E6"/>
    <w:rsid w:val="00B361AF"/>
    <w:rsid w:val="00B41515"/>
    <w:rsid w:val="00BA4B8C"/>
    <w:rsid w:val="00BB75B0"/>
    <w:rsid w:val="00BD5A7E"/>
    <w:rsid w:val="00BE5F7F"/>
    <w:rsid w:val="00BF5702"/>
    <w:rsid w:val="00C07EDD"/>
    <w:rsid w:val="00C21DC7"/>
    <w:rsid w:val="00C42113"/>
    <w:rsid w:val="00C44346"/>
    <w:rsid w:val="00C528FA"/>
    <w:rsid w:val="00C60F49"/>
    <w:rsid w:val="00C672B2"/>
    <w:rsid w:val="00C72526"/>
    <w:rsid w:val="00C73F4A"/>
    <w:rsid w:val="00C777A6"/>
    <w:rsid w:val="00CA1065"/>
    <w:rsid w:val="00CA5093"/>
    <w:rsid w:val="00CA5186"/>
    <w:rsid w:val="00CB3894"/>
    <w:rsid w:val="00CC239C"/>
    <w:rsid w:val="00CD22B2"/>
    <w:rsid w:val="00CD3060"/>
    <w:rsid w:val="00CD75CC"/>
    <w:rsid w:val="00CE7A2B"/>
    <w:rsid w:val="00CF2166"/>
    <w:rsid w:val="00CF6DFB"/>
    <w:rsid w:val="00D13E16"/>
    <w:rsid w:val="00D15359"/>
    <w:rsid w:val="00D20A29"/>
    <w:rsid w:val="00D36EB0"/>
    <w:rsid w:val="00D44066"/>
    <w:rsid w:val="00D44200"/>
    <w:rsid w:val="00D527C9"/>
    <w:rsid w:val="00D54A04"/>
    <w:rsid w:val="00D65BC7"/>
    <w:rsid w:val="00D71848"/>
    <w:rsid w:val="00D73880"/>
    <w:rsid w:val="00D94023"/>
    <w:rsid w:val="00DB7BF2"/>
    <w:rsid w:val="00DC4A60"/>
    <w:rsid w:val="00DC6184"/>
    <w:rsid w:val="00DD5998"/>
    <w:rsid w:val="00DD7164"/>
    <w:rsid w:val="00DD7DCE"/>
    <w:rsid w:val="00DE6AE3"/>
    <w:rsid w:val="00E00391"/>
    <w:rsid w:val="00E073C8"/>
    <w:rsid w:val="00E25B7D"/>
    <w:rsid w:val="00E26B18"/>
    <w:rsid w:val="00E37857"/>
    <w:rsid w:val="00E436BE"/>
    <w:rsid w:val="00E46A58"/>
    <w:rsid w:val="00E522AD"/>
    <w:rsid w:val="00E54B4F"/>
    <w:rsid w:val="00E74810"/>
    <w:rsid w:val="00E74C17"/>
    <w:rsid w:val="00E75AAE"/>
    <w:rsid w:val="00E861EE"/>
    <w:rsid w:val="00EB0F63"/>
    <w:rsid w:val="00EB42BF"/>
    <w:rsid w:val="00EB507D"/>
    <w:rsid w:val="00EB68B6"/>
    <w:rsid w:val="00EC3B31"/>
    <w:rsid w:val="00ED6E4F"/>
    <w:rsid w:val="00ED75EA"/>
    <w:rsid w:val="00EE0EE8"/>
    <w:rsid w:val="00EF79D7"/>
    <w:rsid w:val="00F04B02"/>
    <w:rsid w:val="00F27D64"/>
    <w:rsid w:val="00F42E41"/>
    <w:rsid w:val="00F60B2B"/>
    <w:rsid w:val="00F66ECB"/>
    <w:rsid w:val="00F66FCE"/>
    <w:rsid w:val="00F818EE"/>
    <w:rsid w:val="00F962BF"/>
    <w:rsid w:val="00FB057B"/>
    <w:rsid w:val="00FC5E93"/>
    <w:rsid w:val="00FD78A8"/>
    <w:rsid w:val="00FE01F3"/>
    <w:rsid w:val="00FE09F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04649-81C2-4E86-9E08-D220FC3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F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F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F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6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1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89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2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2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2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wilson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hoc.rusi.org/juest-network" TargetMode="External"/><Relationship Id="rId3" Type="http://schemas.openxmlformats.org/officeDocument/2006/relationships/hyperlink" Target="https://publications.parliament.uk/pa/cm201617/cmselect/cmjust/750/750.pdf" TargetMode="External"/><Relationship Id="rId7" Type="http://schemas.openxmlformats.org/officeDocument/2006/relationships/hyperlink" Target="http://www.prisonreformtrust.org.uk/Portals/0/Documents/Still%20No%20Way%20Out%20full%20report.pdf" TargetMode="External"/><Relationship Id="rId2" Type="http://schemas.openxmlformats.org/officeDocument/2006/relationships/hyperlink" Target="http://ourglobalfuture.com/reports/too-high-a-price-the-cost-of-brexit-what-the-public-thinks/" TargetMode="External"/><Relationship Id="rId1" Type="http://schemas.openxmlformats.org/officeDocument/2006/relationships/hyperlink" Target="http://blogs.lse.ac.uk/brexit/2018/09/25/brexit-has-become-unnegotiable-theresa-may-has-a-constitutional-duty-to-admit-that-truth/" TargetMode="External"/><Relationship Id="rId6" Type="http://schemas.openxmlformats.org/officeDocument/2006/relationships/hyperlink" Target="https://www.endviolenceagainstwomen.org.uk/wp-content/uploads/FINAL-living-in-a-hostile-environment-for-Web-and-sharing-.pdf%20on%2004.10.18" TargetMode="External"/><Relationship Id="rId5" Type="http://schemas.openxmlformats.org/officeDocument/2006/relationships/hyperlink" Target="http://nrl.northumbria.ac.uk/23383/" TargetMode="External"/><Relationship Id="rId4" Type="http://schemas.openxmlformats.org/officeDocument/2006/relationships/hyperlink" Target="https://shoc.rusi.org/informer/check-menu-five-years-after-horsemeat-scandal-food-fraud-remains-thr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BF2D-490C-4C69-938B-92D8416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Wilson</dc:creator>
  <cp:lastModifiedBy>Elena Carlaw</cp:lastModifiedBy>
  <cp:revision>2</cp:revision>
  <cp:lastPrinted>2018-10-07T09:52:00Z</cp:lastPrinted>
  <dcterms:created xsi:type="dcterms:W3CDTF">2019-02-05T13:25:00Z</dcterms:created>
  <dcterms:modified xsi:type="dcterms:W3CDTF">2019-02-05T13:25:00Z</dcterms:modified>
</cp:coreProperties>
</file>