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9E6BE" w14:textId="3121B6C8" w:rsidR="005849D3" w:rsidRPr="00323476" w:rsidRDefault="00D52A57" w:rsidP="005849D3">
      <w:pPr>
        <w:spacing w:line="480" w:lineRule="auto"/>
        <w:jc w:val="center"/>
        <w:rPr>
          <w:rFonts w:ascii="Times New Roman" w:hAnsi="Times New Roman" w:cs="Times New Roman"/>
          <w:b/>
          <w:sz w:val="24"/>
          <w:szCs w:val="24"/>
        </w:rPr>
      </w:pPr>
      <w:r w:rsidRPr="00323476">
        <w:rPr>
          <w:rFonts w:ascii="Times New Roman" w:hAnsi="Times New Roman" w:cs="Times New Roman"/>
          <w:b/>
          <w:sz w:val="24"/>
          <w:szCs w:val="24"/>
        </w:rPr>
        <w:t>Regulating youth sexuality</w:t>
      </w:r>
      <w:r>
        <w:rPr>
          <w:rFonts w:ascii="Times New Roman" w:hAnsi="Times New Roman" w:cs="Times New Roman"/>
          <w:b/>
          <w:sz w:val="24"/>
          <w:szCs w:val="24"/>
        </w:rPr>
        <w:t>,</w:t>
      </w:r>
      <w:r w:rsidRPr="00323476">
        <w:rPr>
          <w:rFonts w:ascii="Times New Roman" w:hAnsi="Times New Roman" w:cs="Times New Roman"/>
          <w:b/>
          <w:sz w:val="24"/>
          <w:szCs w:val="24"/>
        </w:rPr>
        <w:t xml:space="preserve"> agency</w:t>
      </w:r>
      <w:r>
        <w:rPr>
          <w:rFonts w:ascii="Times New Roman" w:hAnsi="Times New Roman" w:cs="Times New Roman"/>
          <w:b/>
          <w:sz w:val="24"/>
          <w:szCs w:val="24"/>
        </w:rPr>
        <w:t xml:space="preserve"> and citizenship</w:t>
      </w:r>
      <w:r w:rsidRPr="00323476">
        <w:rPr>
          <w:rFonts w:ascii="Times New Roman" w:hAnsi="Times New Roman" w:cs="Times New Roman"/>
          <w:b/>
          <w:sz w:val="24"/>
          <w:szCs w:val="24"/>
        </w:rPr>
        <w:t xml:space="preserve">: </w:t>
      </w:r>
      <w:r>
        <w:rPr>
          <w:rFonts w:ascii="Times New Roman" w:hAnsi="Times New Roman" w:cs="Times New Roman"/>
          <w:b/>
          <w:sz w:val="24"/>
          <w:szCs w:val="24"/>
        </w:rPr>
        <w:t xml:space="preserve">developing a coherent </w:t>
      </w:r>
      <w:r w:rsidR="005849D3">
        <w:rPr>
          <w:rFonts w:ascii="Times New Roman" w:hAnsi="Times New Roman" w:cs="Times New Roman"/>
          <w:b/>
          <w:sz w:val="24"/>
          <w:szCs w:val="24"/>
        </w:rPr>
        <w:t xml:space="preserve">criminal justice </w:t>
      </w:r>
      <w:r>
        <w:rPr>
          <w:rFonts w:ascii="Times New Roman" w:hAnsi="Times New Roman" w:cs="Times New Roman"/>
          <w:b/>
          <w:sz w:val="24"/>
          <w:szCs w:val="24"/>
        </w:rPr>
        <w:t xml:space="preserve">response to </w:t>
      </w:r>
      <w:r w:rsidR="00464A60">
        <w:rPr>
          <w:rFonts w:ascii="Times New Roman" w:hAnsi="Times New Roman" w:cs="Times New Roman"/>
          <w:b/>
          <w:sz w:val="24"/>
          <w:szCs w:val="24"/>
        </w:rPr>
        <w:t>youth</w:t>
      </w:r>
      <w:r w:rsidR="00036D3B">
        <w:rPr>
          <w:rFonts w:ascii="Times New Roman" w:hAnsi="Times New Roman" w:cs="Times New Roman"/>
          <w:b/>
          <w:sz w:val="24"/>
          <w:szCs w:val="24"/>
        </w:rPr>
        <w:t xml:space="preserve"> sexting</w:t>
      </w:r>
      <w:r w:rsidR="00464A60">
        <w:rPr>
          <w:rFonts w:ascii="Times New Roman" w:hAnsi="Times New Roman" w:cs="Times New Roman"/>
          <w:b/>
          <w:sz w:val="24"/>
          <w:szCs w:val="24"/>
        </w:rPr>
        <w:t xml:space="preserve"> </w:t>
      </w:r>
    </w:p>
    <w:p w14:paraId="1E7B19B8" w14:textId="77777777" w:rsidR="00D52A57" w:rsidRDefault="00D52A57" w:rsidP="00D52A57">
      <w:pPr>
        <w:spacing w:after="0" w:line="480" w:lineRule="auto"/>
        <w:rPr>
          <w:rFonts w:ascii="Times New Roman" w:hAnsi="Times New Roman" w:cs="Times New Roman"/>
          <w:b/>
          <w:sz w:val="24"/>
          <w:szCs w:val="24"/>
        </w:rPr>
      </w:pPr>
    </w:p>
    <w:p w14:paraId="12AA59BF" w14:textId="5F6FC8AF" w:rsidR="00D52A57" w:rsidRDefault="00D52A57" w:rsidP="00D52A57">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A</w:t>
      </w:r>
      <w:r w:rsidR="006B1147">
        <w:rPr>
          <w:rFonts w:ascii="Times New Roman" w:hAnsi="Times New Roman" w:cs="Times New Roman"/>
          <w:b/>
          <w:sz w:val="24"/>
          <w:szCs w:val="24"/>
        </w:rPr>
        <w:t>bstract</w:t>
      </w:r>
    </w:p>
    <w:p w14:paraId="2C41AEC2" w14:textId="4EB3E160" w:rsidR="00D52A57" w:rsidRPr="00E70641" w:rsidRDefault="00D52A57" w:rsidP="00D52A57">
      <w:pPr>
        <w:autoSpaceDE w:val="0"/>
        <w:autoSpaceDN w:val="0"/>
        <w:adjustRightInd w:val="0"/>
        <w:spacing w:line="360" w:lineRule="auto"/>
        <w:jc w:val="both"/>
        <w:rPr>
          <w:rFonts w:ascii="Times New Roman" w:hAnsi="Times New Roman" w:cs="Times New Roman"/>
          <w:i/>
          <w:sz w:val="24"/>
          <w:szCs w:val="24"/>
        </w:rPr>
      </w:pPr>
      <w:r w:rsidRPr="00E70641">
        <w:rPr>
          <w:rFonts w:ascii="Times New Roman" w:hAnsi="Times New Roman" w:cs="Times New Roman"/>
          <w:i/>
          <w:sz w:val="24"/>
          <w:szCs w:val="24"/>
        </w:rPr>
        <w:t xml:space="preserve">Currently the law in England and Wales means that young people who engage in </w:t>
      </w:r>
      <w:r w:rsidR="005D2246">
        <w:rPr>
          <w:rFonts w:ascii="Times New Roman" w:hAnsi="Times New Roman" w:cs="Times New Roman"/>
          <w:i/>
          <w:sz w:val="24"/>
          <w:szCs w:val="24"/>
        </w:rPr>
        <w:t xml:space="preserve">mutually </w:t>
      </w:r>
      <w:r w:rsidRPr="00E70641">
        <w:rPr>
          <w:rFonts w:ascii="Times New Roman" w:hAnsi="Times New Roman" w:cs="Times New Roman"/>
          <w:i/>
          <w:sz w:val="24"/>
          <w:szCs w:val="24"/>
        </w:rPr>
        <w:t>consensual teenage sexting may find that this activity has been recorded on their criminal record and may be disclosed in a way which impacts negatively upon the young person’s future opportunities</w:t>
      </w:r>
      <w:r w:rsidR="004E65D4">
        <w:rPr>
          <w:rFonts w:ascii="Times New Roman" w:hAnsi="Times New Roman" w:cs="Times New Roman"/>
          <w:i/>
          <w:sz w:val="24"/>
          <w:szCs w:val="24"/>
        </w:rPr>
        <w:t xml:space="preserve"> even where no charges have been brought</w:t>
      </w:r>
      <w:r>
        <w:rPr>
          <w:rFonts w:ascii="Times New Roman" w:hAnsi="Times New Roman" w:cs="Times New Roman"/>
          <w:i/>
          <w:sz w:val="24"/>
          <w:szCs w:val="24"/>
        </w:rPr>
        <w:t>.</w:t>
      </w:r>
      <w:r w:rsidRPr="00E70641">
        <w:rPr>
          <w:rFonts w:ascii="Times New Roman" w:hAnsi="Times New Roman" w:cs="Times New Roman"/>
          <w:i/>
          <w:sz w:val="24"/>
          <w:szCs w:val="24"/>
        </w:rPr>
        <w:t xml:space="preserve"> This information can usually only be removed from the records in exceptional and rare cases. This article will argue that this paternalistic </w:t>
      </w:r>
      <w:r w:rsidR="00293799">
        <w:rPr>
          <w:rFonts w:ascii="Times New Roman" w:hAnsi="Times New Roman" w:cs="Times New Roman"/>
          <w:i/>
          <w:sz w:val="24"/>
          <w:szCs w:val="24"/>
        </w:rPr>
        <w:t>and moralistic approach towards</w:t>
      </w:r>
      <w:r w:rsidR="005D2246">
        <w:rPr>
          <w:rFonts w:ascii="Times New Roman" w:hAnsi="Times New Roman" w:cs="Times New Roman"/>
          <w:i/>
          <w:sz w:val="24"/>
          <w:szCs w:val="24"/>
        </w:rPr>
        <w:t xml:space="preserve"> mutually </w:t>
      </w:r>
      <w:r w:rsidRPr="00E70641">
        <w:rPr>
          <w:rFonts w:ascii="Times New Roman" w:hAnsi="Times New Roman" w:cs="Times New Roman"/>
          <w:i/>
          <w:sz w:val="24"/>
          <w:szCs w:val="24"/>
        </w:rPr>
        <w:t xml:space="preserve">consensual teenage sexting overrides consideration of children’s rights to explore their sexuality by defining youth sexuality as inherently illegitimate and illegal. The strong preference for safeguarding the </w:t>
      </w:r>
      <w:r w:rsidR="00EE321E">
        <w:rPr>
          <w:rFonts w:ascii="Times New Roman" w:hAnsi="Times New Roman" w:cs="Times New Roman"/>
          <w:i/>
          <w:sz w:val="24"/>
          <w:szCs w:val="24"/>
        </w:rPr>
        <w:t xml:space="preserve">future adult the </w:t>
      </w:r>
      <w:r w:rsidRPr="00E70641">
        <w:rPr>
          <w:rFonts w:ascii="Times New Roman" w:hAnsi="Times New Roman" w:cs="Times New Roman"/>
          <w:i/>
          <w:sz w:val="24"/>
          <w:szCs w:val="24"/>
        </w:rPr>
        <w:t>child</w:t>
      </w:r>
      <w:r w:rsidR="00EE321E">
        <w:rPr>
          <w:rFonts w:ascii="Times New Roman" w:hAnsi="Times New Roman" w:cs="Times New Roman"/>
          <w:i/>
          <w:sz w:val="24"/>
          <w:szCs w:val="24"/>
        </w:rPr>
        <w:t xml:space="preserve"> will become</w:t>
      </w:r>
      <w:r w:rsidRPr="00E70641">
        <w:rPr>
          <w:rFonts w:ascii="Times New Roman" w:hAnsi="Times New Roman" w:cs="Times New Roman"/>
          <w:i/>
          <w:sz w:val="24"/>
          <w:szCs w:val="24"/>
        </w:rPr>
        <w:t xml:space="preserve"> undermines the recognition of children as rights holders</w:t>
      </w:r>
      <w:r w:rsidR="00EE321E" w:rsidRPr="00EE321E">
        <w:rPr>
          <w:rFonts w:ascii="Times New Roman" w:hAnsi="Times New Roman" w:cs="Times New Roman"/>
          <w:i/>
          <w:sz w:val="24"/>
          <w:szCs w:val="24"/>
        </w:rPr>
        <w:t xml:space="preserve"> </w:t>
      </w:r>
      <w:r w:rsidR="00EE321E">
        <w:rPr>
          <w:rFonts w:ascii="Times New Roman" w:hAnsi="Times New Roman" w:cs="Times New Roman"/>
          <w:i/>
          <w:sz w:val="24"/>
          <w:szCs w:val="24"/>
        </w:rPr>
        <w:t>right now</w:t>
      </w:r>
      <w:r w:rsidRPr="00E70641">
        <w:rPr>
          <w:rFonts w:ascii="Times New Roman" w:hAnsi="Times New Roman" w:cs="Times New Roman"/>
          <w:i/>
          <w:sz w:val="24"/>
          <w:szCs w:val="24"/>
        </w:rPr>
        <w:t>, depriving the</w:t>
      </w:r>
      <w:r w:rsidR="00EE321E">
        <w:rPr>
          <w:rFonts w:ascii="Times New Roman" w:hAnsi="Times New Roman" w:cs="Times New Roman"/>
          <w:i/>
          <w:sz w:val="24"/>
          <w:szCs w:val="24"/>
        </w:rPr>
        <w:t xml:space="preserve"> child</w:t>
      </w:r>
      <w:r w:rsidRPr="00E70641">
        <w:rPr>
          <w:rFonts w:ascii="Times New Roman" w:hAnsi="Times New Roman" w:cs="Times New Roman"/>
          <w:i/>
          <w:sz w:val="24"/>
          <w:szCs w:val="24"/>
        </w:rPr>
        <w:t xml:space="preserve"> of agency and voice. The legal response </w:t>
      </w:r>
      <w:r w:rsidR="006A60AD">
        <w:rPr>
          <w:rFonts w:ascii="Times New Roman" w:hAnsi="Times New Roman" w:cs="Times New Roman"/>
          <w:i/>
          <w:sz w:val="24"/>
          <w:szCs w:val="24"/>
        </w:rPr>
        <w:t xml:space="preserve">to sexting, and child </w:t>
      </w:r>
      <w:r w:rsidR="003F244F">
        <w:rPr>
          <w:rFonts w:ascii="Times New Roman" w:hAnsi="Times New Roman" w:cs="Times New Roman"/>
          <w:i/>
          <w:sz w:val="24"/>
          <w:szCs w:val="24"/>
        </w:rPr>
        <w:t>exploitation</w:t>
      </w:r>
      <w:bookmarkStart w:id="0" w:name="_GoBack"/>
      <w:bookmarkEnd w:id="0"/>
      <w:r w:rsidR="006A60AD">
        <w:rPr>
          <w:rFonts w:ascii="Times New Roman" w:hAnsi="Times New Roman" w:cs="Times New Roman"/>
          <w:i/>
          <w:sz w:val="24"/>
          <w:szCs w:val="24"/>
        </w:rPr>
        <w:t xml:space="preserve"> more generally, </w:t>
      </w:r>
      <w:r w:rsidRPr="00E70641">
        <w:rPr>
          <w:rFonts w:ascii="Times New Roman" w:hAnsi="Times New Roman" w:cs="Times New Roman"/>
          <w:i/>
          <w:sz w:val="24"/>
          <w:szCs w:val="24"/>
        </w:rPr>
        <w:t>needs to be informed by an understanding of youth sexualities that are more fully based in, and driven by, the realities of young people’s sexual lives. By recognising young people as holders of sexual rights and sexual citizenship, this would allow children’s voices to be heard in developing responses to expressions of their sexuality.</w:t>
      </w:r>
    </w:p>
    <w:p w14:paraId="6EDA0F0E" w14:textId="77777777" w:rsidR="00D52A57" w:rsidRDefault="00D52A57" w:rsidP="00D52A57">
      <w:pPr>
        <w:autoSpaceDE w:val="0"/>
        <w:autoSpaceDN w:val="0"/>
        <w:adjustRightInd w:val="0"/>
        <w:spacing w:line="360" w:lineRule="auto"/>
        <w:jc w:val="both"/>
        <w:rPr>
          <w:rFonts w:ascii="Arial" w:hAnsi="Arial" w:cs="Arial"/>
        </w:rPr>
      </w:pPr>
    </w:p>
    <w:p w14:paraId="5DA394F8" w14:textId="7A7B62A3" w:rsidR="00BD7DCB" w:rsidRPr="00EE321E" w:rsidRDefault="00D52A57" w:rsidP="00600CB8">
      <w:pPr>
        <w:rPr>
          <w:rFonts w:ascii="Times New Roman" w:hAnsi="Times New Roman" w:cs="Times New Roman"/>
          <w:b/>
          <w:sz w:val="24"/>
          <w:szCs w:val="24"/>
        </w:rPr>
      </w:pPr>
      <w:r>
        <w:rPr>
          <w:rFonts w:ascii="Times New Roman" w:hAnsi="Times New Roman" w:cs="Times New Roman"/>
          <w:b/>
          <w:sz w:val="24"/>
          <w:szCs w:val="24"/>
        </w:rPr>
        <w:br w:type="page"/>
      </w:r>
    </w:p>
    <w:p w14:paraId="6796CC6D" w14:textId="08FACD9C" w:rsidR="00C85EA9" w:rsidRPr="00A31C78" w:rsidRDefault="00A31C78" w:rsidP="00A31C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5C76E5" w:rsidRPr="00A31C78">
        <w:rPr>
          <w:rFonts w:ascii="Times New Roman" w:hAnsi="Times New Roman" w:cs="Times New Roman"/>
          <w:b/>
          <w:sz w:val="24"/>
          <w:szCs w:val="24"/>
        </w:rPr>
        <w:t>I</w:t>
      </w:r>
      <w:r w:rsidR="006B1147" w:rsidRPr="00A31C78">
        <w:rPr>
          <w:rFonts w:ascii="Times New Roman" w:hAnsi="Times New Roman" w:cs="Times New Roman"/>
          <w:b/>
          <w:sz w:val="24"/>
          <w:szCs w:val="24"/>
        </w:rPr>
        <w:t>ntroduction</w:t>
      </w:r>
    </w:p>
    <w:p w14:paraId="1F2D65BD" w14:textId="63BB4518" w:rsidR="005C76E5" w:rsidRDefault="00162154" w:rsidP="005C76E5">
      <w:pPr>
        <w:spacing w:after="0" w:line="480" w:lineRule="auto"/>
        <w:jc w:val="both"/>
        <w:rPr>
          <w:rFonts w:ascii="Times New Roman" w:hAnsi="Times New Roman" w:cs="Times New Roman"/>
          <w:sz w:val="24"/>
          <w:szCs w:val="24"/>
        </w:rPr>
      </w:pPr>
      <w:r w:rsidRPr="00162154">
        <w:rPr>
          <w:rFonts w:ascii="Times New Roman" w:hAnsi="Times New Roman" w:cs="Times New Roman"/>
          <w:sz w:val="24"/>
          <w:szCs w:val="24"/>
        </w:rPr>
        <w:t>Sexting refers to the sending or receiving of sexually explicit text message</w:t>
      </w:r>
      <w:r w:rsidR="00643DB9">
        <w:rPr>
          <w:rFonts w:ascii="Times New Roman" w:hAnsi="Times New Roman" w:cs="Times New Roman"/>
          <w:sz w:val="24"/>
          <w:szCs w:val="24"/>
        </w:rPr>
        <w:t>s</w:t>
      </w:r>
      <w:r w:rsidRPr="00162154">
        <w:rPr>
          <w:rFonts w:ascii="Times New Roman" w:hAnsi="Times New Roman" w:cs="Times New Roman"/>
          <w:sz w:val="24"/>
          <w:szCs w:val="24"/>
        </w:rPr>
        <w:t xml:space="preserve"> including the digital recording of naked, semi-naked, sexually suggestive or explicit images and their distribution via mobile phone messaging, email or social network sites.</w:t>
      </w:r>
      <w:r w:rsidR="00C96C4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Ringrose </w:t>
      </w:r>
      <w:r w:rsidR="00C96C44">
        <w:rPr>
          <w:rFonts w:ascii="Times New Roman" w:hAnsi="Times New Roman" w:cs="Times New Roman"/>
          <w:i/>
          <w:sz w:val="24"/>
          <w:szCs w:val="24"/>
        </w:rPr>
        <w:t>et al</w:t>
      </w:r>
      <w:r w:rsidR="00C13701">
        <w:rPr>
          <w:rFonts w:ascii="Times New Roman" w:hAnsi="Times New Roman" w:cs="Times New Roman"/>
          <w:sz w:val="24"/>
          <w:szCs w:val="24"/>
        </w:rPr>
        <w:t xml:space="preserve"> </w:t>
      </w:r>
      <w:r>
        <w:rPr>
          <w:rFonts w:ascii="Times New Roman" w:hAnsi="Times New Roman" w:cs="Times New Roman"/>
          <w:sz w:val="24"/>
          <w:szCs w:val="24"/>
        </w:rPr>
        <w:t xml:space="preserve">define it as the </w:t>
      </w:r>
      <w:r w:rsidR="00D844D4">
        <w:rPr>
          <w:rFonts w:ascii="Times New Roman" w:hAnsi="Times New Roman" w:cs="Times New Roman"/>
          <w:sz w:val="24"/>
          <w:szCs w:val="24"/>
        </w:rPr>
        <w:t>‘</w:t>
      </w:r>
      <w:r>
        <w:rPr>
          <w:rFonts w:ascii="Times New Roman" w:hAnsi="Times New Roman" w:cs="Times New Roman"/>
          <w:sz w:val="24"/>
          <w:szCs w:val="24"/>
        </w:rPr>
        <w:t>exchange of sexual messages or images</w:t>
      </w:r>
      <w:r w:rsidR="00D844D4">
        <w:rPr>
          <w:rFonts w:ascii="Times New Roman" w:hAnsi="Times New Roman" w:cs="Times New Roman"/>
          <w:sz w:val="24"/>
          <w:szCs w:val="24"/>
        </w:rPr>
        <w:t>’</w:t>
      </w:r>
      <w:r>
        <w:rPr>
          <w:rFonts w:ascii="Times New Roman" w:hAnsi="Times New Roman" w:cs="Times New Roman"/>
          <w:sz w:val="24"/>
          <w:szCs w:val="24"/>
        </w:rPr>
        <w:t xml:space="preserve"> and </w:t>
      </w:r>
      <w:r w:rsidR="00D844D4">
        <w:rPr>
          <w:rFonts w:ascii="Times New Roman" w:hAnsi="Times New Roman" w:cs="Times New Roman"/>
          <w:sz w:val="24"/>
          <w:szCs w:val="24"/>
        </w:rPr>
        <w:t>‘</w:t>
      </w:r>
      <w:r>
        <w:rPr>
          <w:rFonts w:ascii="Times New Roman" w:hAnsi="Times New Roman" w:cs="Times New Roman"/>
          <w:sz w:val="24"/>
          <w:szCs w:val="24"/>
        </w:rPr>
        <w:t>the creating, sharing and forwarding of sexually suggestive, nude or nearly nude images</w:t>
      </w:r>
      <w:r w:rsidR="00D844D4">
        <w:rPr>
          <w:rFonts w:ascii="Times New Roman" w:hAnsi="Times New Roman" w:cs="Times New Roman"/>
          <w:sz w:val="24"/>
          <w:szCs w:val="24"/>
        </w:rPr>
        <w:t>’</w:t>
      </w:r>
      <w:r>
        <w:rPr>
          <w:rFonts w:ascii="Times New Roman" w:hAnsi="Times New Roman" w:cs="Times New Roman"/>
          <w:sz w:val="24"/>
          <w:szCs w:val="24"/>
        </w:rPr>
        <w:t>.</w:t>
      </w:r>
      <w:r w:rsidR="00C96C4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1E7DA6">
        <w:rPr>
          <w:rFonts w:ascii="Times New Roman" w:hAnsi="Times New Roman" w:cs="Times New Roman"/>
          <w:sz w:val="24"/>
          <w:szCs w:val="24"/>
        </w:rPr>
        <w:t>When adults consensually share explicit phot</w:t>
      </w:r>
      <w:r w:rsidR="0056128B">
        <w:rPr>
          <w:rFonts w:ascii="Times New Roman" w:hAnsi="Times New Roman" w:cs="Times New Roman"/>
          <w:sz w:val="24"/>
          <w:szCs w:val="24"/>
        </w:rPr>
        <w:t>o</w:t>
      </w:r>
      <w:r w:rsidR="001E7DA6">
        <w:rPr>
          <w:rFonts w:ascii="Times New Roman" w:hAnsi="Times New Roman" w:cs="Times New Roman"/>
          <w:sz w:val="24"/>
          <w:szCs w:val="24"/>
        </w:rPr>
        <w:t xml:space="preserve">s of themselves, such behaviour is not criminalised. </w:t>
      </w:r>
      <w:r w:rsidR="00882190">
        <w:rPr>
          <w:rFonts w:ascii="Times New Roman" w:hAnsi="Times New Roman" w:cs="Times New Roman"/>
          <w:sz w:val="24"/>
          <w:szCs w:val="24"/>
        </w:rPr>
        <w:t>However a</w:t>
      </w:r>
      <w:r w:rsidR="00052A13">
        <w:rPr>
          <w:rFonts w:ascii="Times New Roman" w:hAnsi="Times New Roman" w:cs="Times New Roman"/>
          <w:sz w:val="24"/>
          <w:szCs w:val="24"/>
        </w:rPr>
        <w:t>s c</w:t>
      </w:r>
      <w:r w:rsidR="007176F4">
        <w:rPr>
          <w:rFonts w:ascii="Times New Roman" w:hAnsi="Times New Roman" w:cs="Times New Roman"/>
          <w:sz w:val="24"/>
          <w:szCs w:val="24"/>
        </w:rPr>
        <w:t xml:space="preserve">hild pornography laws </w:t>
      </w:r>
      <w:r w:rsidR="005849D3">
        <w:rPr>
          <w:rFonts w:ascii="Times New Roman" w:hAnsi="Times New Roman" w:cs="Times New Roman"/>
          <w:sz w:val="24"/>
          <w:szCs w:val="24"/>
        </w:rPr>
        <w:t xml:space="preserve">in England and Wales </w:t>
      </w:r>
      <w:r w:rsidR="007176F4">
        <w:rPr>
          <w:rFonts w:ascii="Times New Roman" w:hAnsi="Times New Roman" w:cs="Times New Roman"/>
          <w:sz w:val="24"/>
          <w:szCs w:val="24"/>
        </w:rPr>
        <w:t xml:space="preserve">do not distinguish </w:t>
      </w:r>
      <w:r w:rsidR="00FA3F57">
        <w:rPr>
          <w:rFonts w:ascii="Times New Roman" w:hAnsi="Times New Roman" w:cs="Times New Roman"/>
          <w:sz w:val="24"/>
          <w:szCs w:val="24"/>
        </w:rPr>
        <w:t xml:space="preserve">non-exploitative </w:t>
      </w:r>
      <w:r w:rsidR="007176F4">
        <w:rPr>
          <w:rFonts w:ascii="Times New Roman" w:hAnsi="Times New Roman" w:cs="Times New Roman"/>
          <w:sz w:val="24"/>
          <w:szCs w:val="24"/>
        </w:rPr>
        <w:t>consensual teenage sexting from child pornography</w:t>
      </w:r>
      <w:r w:rsidR="00A37B77">
        <w:rPr>
          <w:rFonts w:ascii="Times New Roman" w:hAnsi="Times New Roman" w:cs="Times New Roman"/>
          <w:sz w:val="24"/>
          <w:szCs w:val="24"/>
        </w:rPr>
        <w:t>,</w:t>
      </w:r>
      <w:r w:rsidR="007176F4">
        <w:rPr>
          <w:rFonts w:ascii="Times New Roman" w:hAnsi="Times New Roman" w:cs="Times New Roman"/>
          <w:sz w:val="24"/>
          <w:szCs w:val="24"/>
        </w:rPr>
        <w:t xml:space="preserve"> </w:t>
      </w:r>
      <w:r w:rsidR="00052A13">
        <w:rPr>
          <w:rFonts w:ascii="Times New Roman" w:hAnsi="Times New Roman" w:cs="Times New Roman"/>
          <w:sz w:val="24"/>
          <w:szCs w:val="24"/>
        </w:rPr>
        <w:t xml:space="preserve">they potentially </w:t>
      </w:r>
      <w:r w:rsidR="007176F4">
        <w:rPr>
          <w:rFonts w:ascii="Times New Roman" w:hAnsi="Times New Roman" w:cs="Times New Roman"/>
          <w:sz w:val="24"/>
          <w:szCs w:val="24"/>
        </w:rPr>
        <w:t>expose both the sender and receiver of youth sexting to the risk of criminal prosecution, classification as a sex offender and</w:t>
      </w:r>
      <w:r w:rsidR="00882190">
        <w:rPr>
          <w:rFonts w:ascii="Times New Roman" w:hAnsi="Times New Roman" w:cs="Times New Roman"/>
          <w:sz w:val="24"/>
          <w:szCs w:val="24"/>
        </w:rPr>
        <w:t>/or</w:t>
      </w:r>
      <w:r w:rsidR="007176F4">
        <w:rPr>
          <w:rFonts w:ascii="Times New Roman" w:hAnsi="Times New Roman" w:cs="Times New Roman"/>
          <w:sz w:val="24"/>
          <w:szCs w:val="24"/>
        </w:rPr>
        <w:t xml:space="preserve"> a permanent criminal record of youthful sexual e</w:t>
      </w:r>
      <w:r w:rsidR="00116B8A">
        <w:rPr>
          <w:rFonts w:ascii="Times New Roman" w:hAnsi="Times New Roman" w:cs="Times New Roman"/>
          <w:sz w:val="24"/>
          <w:szCs w:val="24"/>
        </w:rPr>
        <w:t>xploration and experimentation even where no charges have been brought.</w:t>
      </w:r>
    </w:p>
    <w:p w14:paraId="2BA4CBF8" w14:textId="082DF9CB" w:rsidR="007176F4" w:rsidRDefault="003E0C38" w:rsidP="00397A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article will </w:t>
      </w:r>
      <w:r w:rsidR="00F67164">
        <w:rPr>
          <w:rFonts w:ascii="Times New Roman" w:hAnsi="Times New Roman" w:cs="Times New Roman"/>
          <w:sz w:val="24"/>
          <w:szCs w:val="24"/>
        </w:rPr>
        <w:t>argue that</w:t>
      </w:r>
      <w:r>
        <w:rPr>
          <w:rFonts w:ascii="Times New Roman" w:hAnsi="Times New Roman" w:cs="Times New Roman"/>
          <w:sz w:val="24"/>
          <w:szCs w:val="24"/>
        </w:rPr>
        <w:t xml:space="preserve"> current legal responses </w:t>
      </w:r>
      <w:r w:rsidR="005849D3">
        <w:rPr>
          <w:rFonts w:ascii="Times New Roman" w:hAnsi="Times New Roman" w:cs="Times New Roman"/>
          <w:sz w:val="24"/>
          <w:szCs w:val="24"/>
        </w:rPr>
        <w:t xml:space="preserve">in England and Wales </w:t>
      </w:r>
      <w:r>
        <w:rPr>
          <w:rFonts w:ascii="Times New Roman" w:hAnsi="Times New Roman" w:cs="Times New Roman"/>
          <w:sz w:val="24"/>
          <w:szCs w:val="24"/>
        </w:rPr>
        <w:t xml:space="preserve">to the practice of </w:t>
      </w:r>
      <w:r w:rsidR="004E65D4">
        <w:rPr>
          <w:rFonts w:ascii="Times New Roman" w:hAnsi="Times New Roman" w:cs="Times New Roman"/>
          <w:sz w:val="24"/>
          <w:szCs w:val="24"/>
        </w:rPr>
        <w:t xml:space="preserve">non-exploitive </w:t>
      </w:r>
      <w:r>
        <w:rPr>
          <w:rFonts w:ascii="Times New Roman" w:hAnsi="Times New Roman" w:cs="Times New Roman"/>
          <w:sz w:val="24"/>
          <w:szCs w:val="24"/>
        </w:rPr>
        <w:t>consen</w:t>
      </w:r>
      <w:r w:rsidR="00F67164">
        <w:rPr>
          <w:rFonts w:ascii="Times New Roman" w:hAnsi="Times New Roman" w:cs="Times New Roman"/>
          <w:sz w:val="24"/>
          <w:szCs w:val="24"/>
        </w:rPr>
        <w:t xml:space="preserve">sual sexting amongst teenagers are </w:t>
      </w:r>
      <w:r w:rsidR="001E7DA6" w:rsidRPr="00FF4BFA">
        <w:rPr>
          <w:rFonts w:ascii="Times New Roman" w:hAnsi="Times New Roman" w:cs="Times New Roman"/>
          <w:sz w:val="24"/>
          <w:szCs w:val="24"/>
        </w:rPr>
        <w:t xml:space="preserve">based upon a conceptualisation of youth and childhood as a period of time when children and young people are </w:t>
      </w:r>
      <w:r w:rsidR="00397A09">
        <w:rPr>
          <w:rFonts w:ascii="Times New Roman" w:hAnsi="Times New Roman" w:cs="Times New Roman"/>
          <w:sz w:val="24"/>
          <w:szCs w:val="24"/>
        </w:rPr>
        <w:t xml:space="preserve">innocent and </w:t>
      </w:r>
      <w:r w:rsidR="001E7DA6" w:rsidRPr="00FF4BFA">
        <w:rPr>
          <w:rFonts w:ascii="Times New Roman" w:hAnsi="Times New Roman" w:cs="Times New Roman"/>
          <w:sz w:val="24"/>
          <w:szCs w:val="24"/>
        </w:rPr>
        <w:t>asexual or pre-sexual</w:t>
      </w:r>
      <w:r w:rsidR="00397A09">
        <w:rPr>
          <w:rFonts w:ascii="Times New Roman" w:hAnsi="Times New Roman" w:cs="Times New Roman"/>
          <w:sz w:val="24"/>
          <w:szCs w:val="24"/>
        </w:rPr>
        <w:t>. T</w:t>
      </w:r>
      <w:r w:rsidR="001E7DA6" w:rsidRPr="00FF4BFA">
        <w:rPr>
          <w:rFonts w:ascii="Times New Roman" w:hAnsi="Times New Roman" w:cs="Times New Roman"/>
          <w:sz w:val="24"/>
          <w:szCs w:val="24"/>
        </w:rPr>
        <w:t>hose young people who are deemed to have sexual</w:t>
      </w:r>
      <w:r w:rsidR="00116B8A">
        <w:rPr>
          <w:rFonts w:ascii="Times New Roman" w:hAnsi="Times New Roman" w:cs="Times New Roman"/>
          <w:sz w:val="24"/>
          <w:szCs w:val="24"/>
        </w:rPr>
        <w:t xml:space="preserve"> experience or</w:t>
      </w:r>
      <w:r w:rsidR="001E7DA6" w:rsidRPr="00FF4BFA">
        <w:rPr>
          <w:rFonts w:ascii="Times New Roman" w:hAnsi="Times New Roman" w:cs="Times New Roman"/>
          <w:sz w:val="24"/>
          <w:szCs w:val="24"/>
        </w:rPr>
        <w:t xml:space="preserve"> knowledge are</w:t>
      </w:r>
      <w:r w:rsidR="004E65D4">
        <w:rPr>
          <w:rFonts w:ascii="Times New Roman" w:hAnsi="Times New Roman" w:cs="Times New Roman"/>
          <w:sz w:val="24"/>
          <w:szCs w:val="24"/>
        </w:rPr>
        <w:t xml:space="preserve"> therefore</w:t>
      </w:r>
      <w:r w:rsidR="001E7DA6" w:rsidRPr="00FF4BFA">
        <w:rPr>
          <w:rFonts w:ascii="Times New Roman" w:hAnsi="Times New Roman" w:cs="Times New Roman"/>
          <w:sz w:val="24"/>
          <w:szCs w:val="24"/>
        </w:rPr>
        <w:t xml:space="preserve"> in need of regulation. </w:t>
      </w:r>
      <w:r w:rsidR="00397A09">
        <w:rPr>
          <w:rFonts w:ascii="Times New Roman" w:hAnsi="Times New Roman" w:cs="Times New Roman"/>
          <w:sz w:val="24"/>
          <w:szCs w:val="24"/>
          <w:lang w:val="en"/>
        </w:rPr>
        <w:t>C</w:t>
      </w:r>
      <w:r w:rsidR="00397A09" w:rsidRPr="00FF4BFA">
        <w:rPr>
          <w:rFonts w:ascii="Times New Roman" w:hAnsi="Times New Roman" w:cs="Times New Roman"/>
          <w:sz w:val="24"/>
          <w:szCs w:val="24"/>
          <w:lang w:val="en"/>
        </w:rPr>
        <w:t>onceptualiz</w:t>
      </w:r>
      <w:r w:rsidR="00397A09">
        <w:rPr>
          <w:rFonts w:ascii="Times New Roman" w:hAnsi="Times New Roman" w:cs="Times New Roman"/>
          <w:sz w:val="24"/>
          <w:szCs w:val="24"/>
          <w:lang w:val="en"/>
        </w:rPr>
        <w:t>ing</w:t>
      </w:r>
      <w:r w:rsidR="00397A09" w:rsidRPr="00FF4BFA">
        <w:rPr>
          <w:rFonts w:ascii="Times New Roman" w:hAnsi="Times New Roman" w:cs="Times New Roman"/>
          <w:sz w:val="24"/>
          <w:szCs w:val="24"/>
          <w:lang w:val="en"/>
        </w:rPr>
        <w:t xml:space="preserve"> young people</w:t>
      </w:r>
      <w:r w:rsidR="00397A09">
        <w:rPr>
          <w:rFonts w:ascii="Times New Roman" w:hAnsi="Times New Roman" w:cs="Times New Roman"/>
          <w:sz w:val="24"/>
          <w:szCs w:val="24"/>
          <w:lang w:val="en"/>
        </w:rPr>
        <w:t>’s sexuality</w:t>
      </w:r>
      <w:r w:rsidR="00397A09" w:rsidRPr="00FF4BFA">
        <w:rPr>
          <w:rFonts w:ascii="Times New Roman" w:hAnsi="Times New Roman" w:cs="Times New Roman"/>
          <w:sz w:val="24"/>
          <w:szCs w:val="24"/>
          <w:lang w:val="en"/>
        </w:rPr>
        <w:t xml:space="preserve"> </w:t>
      </w:r>
      <w:r w:rsidR="00397A09">
        <w:rPr>
          <w:rFonts w:ascii="Times New Roman" w:hAnsi="Times New Roman" w:cs="Times New Roman"/>
          <w:sz w:val="24"/>
          <w:szCs w:val="24"/>
          <w:lang w:val="en"/>
        </w:rPr>
        <w:t xml:space="preserve">in this way </w:t>
      </w:r>
      <w:r w:rsidR="00397A09" w:rsidRPr="00FF4BFA">
        <w:rPr>
          <w:rFonts w:ascii="Times New Roman" w:hAnsi="Times New Roman" w:cs="Times New Roman"/>
          <w:sz w:val="24"/>
          <w:szCs w:val="24"/>
          <w:lang w:val="en"/>
        </w:rPr>
        <w:t xml:space="preserve">erodes the possibility of any meaningful </w:t>
      </w:r>
      <w:r w:rsidR="00397A09" w:rsidRPr="00FF4BFA">
        <w:rPr>
          <w:rFonts w:ascii="Times New Roman" w:hAnsi="Times New Roman" w:cs="Times New Roman"/>
          <w:sz w:val="24"/>
          <w:szCs w:val="24"/>
        </w:rPr>
        <w:t>consideration of a children’s rights discourse that goes in any significant way to valuing and empowering young people’s agency, including their agency around exploring and expressing their sexuality.</w:t>
      </w:r>
      <w:r w:rsidR="00397A09">
        <w:rPr>
          <w:rFonts w:ascii="Times New Roman" w:hAnsi="Times New Roman" w:cs="Times New Roman"/>
          <w:sz w:val="24"/>
          <w:szCs w:val="24"/>
        </w:rPr>
        <w:t xml:space="preserve"> </w:t>
      </w:r>
      <w:r w:rsidR="001E7DA6" w:rsidRPr="00FF4BFA">
        <w:rPr>
          <w:rFonts w:ascii="Times New Roman" w:hAnsi="Times New Roman" w:cs="Times New Roman"/>
          <w:sz w:val="24"/>
          <w:szCs w:val="24"/>
        </w:rPr>
        <w:t xml:space="preserve">This </w:t>
      </w:r>
      <w:r w:rsidR="00397A09">
        <w:rPr>
          <w:rFonts w:ascii="Times New Roman" w:hAnsi="Times New Roman" w:cs="Times New Roman"/>
          <w:sz w:val="24"/>
          <w:szCs w:val="24"/>
        </w:rPr>
        <w:t>conceptualisation</w:t>
      </w:r>
      <w:r w:rsidR="007659C1">
        <w:rPr>
          <w:rFonts w:ascii="Times New Roman" w:hAnsi="Times New Roman" w:cs="Times New Roman"/>
          <w:sz w:val="24"/>
          <w:szCs w:val="24"/>
        </w:rPr>
        <w:t xml:space="preserve"> of youth sexuality</w:t>
      </w:r>
      <w:r w:rsidR="00397A09">
        <w:rPr>
          <w:rFonts w:ascii="Times New Roman" w:hAnsi="Times New Roman" w:cs="Times New Roman"/>
          <w:sz w:val="24"/>
          <w:szCs w:val="24"/>
        </w:rPr>
        <w:t xml:space="preserve"> </w:t>
      </w:r>
      <w:r w:rsidR="001E7DA6" w:rsidRPr="00FF4BFA">
        <w:rPr>
          <w:rFonts w:ascii="Times New Roman" w:hAnsi="Times New Roman" w:cs="Times New Roman"/>
          <w:sz w:val="24"/>
          <w:szCs w:val="24"/>
        </w:rPr>
        <w:t xml:space="preserve">reflects the laws hegemonic construction of young people as </w:t>
      </w:r>
      <w:r w:rsidR="00D844D4">
        <w:rPr>
          <w:rFonts w:ascii="Times New Roman" w:hAnsi="Times New Roman" w:cs="Times New Roman"/>
          <w:sz w:val="24"/>
          <w:szCs w:val="24"/>
        </w:rPr>
        <w:t>‘</w:t>
      </w:r>
      <w:proofErr w:type="spellStart"/>
      <w:r w:rsidR="001E7DA6" w:rsidRPr="00FF4BFA">
        <w:rPr>
          <w:rFonts w:ascii="Times New Roman" w:hAnsi="Times New Roman" w:cs="Times New Roman"/>
          <w:sz w:val="24"/>
          <w:szCs w:val="24"/>
        </w:rPr>
        <w:t>becomings</w:t>
      </w:r>
      <w:proofErr w:type="spellEnd"/>
      <w:r w:rsidR="00D844D4">
        <w:rPr>
          <w:rFonts w:ascii="Times New Roman" w:hAnsi="Times New Roman" w:cs="Times New Roman"/>
          <w:sz w:val="24"/>
          <w:szCs w:val="24"/>
        </w:rPr>
        <w:t>’</w:t>
      </w:r>
      <w:r w:rsidR="001E7DA6" w:rsidRPr="00FF4BFA">
        <w:rPr>
          <w:rFonts w:ascii="Times New Roman" w:hAnsi="Times New Roman" w:cs="Times New Roman"/>
          <w:sz w:val="24"/>
          <w:szCs w:val="24"/>
        </w:rPr>
        <w:t xml:space="preserve"> who need to</w:t>
      </w:r>
      <w:r w:rsidR="00811A1E">
        <w:rPr>
          <w:rFonts w:ascii="Times New Roman" w:hAnsi="Times New Roman" w:cs="Times New Roman"/>
          <w:sz w:val="24"/>
          <w:szCs w:val="24"/>
        </w:rPr>
        <w:t xml:space="preserve"> </w:t>
      </w:r>
      <w:r w:rsidR="001E7DA6" w:rsidRPr="00FF4BFA">
        <w:rPr>
          <w:rFonts w:ascii="Times New Roman" w:hAnsi="Times New Roman" w:cs="Times New Roman"/>
          <w:sz w:val="24"/>
          <w:szCs w:val="24"/>
        </w:rPr>
        <w:t>be protected</w:t>
      </w:r>
      <w:r w:rsidR="00EE321E">
        <w:rPr>
          <w:rFonts w:ascii="Times New Roman" w:hAnsi="Times New Roman" w:cs="Times New Roman"/>
          <w:sz w:val="24"/>
          <w:szCs w:val="24"/>
        </w:rPr>
        <w:t>, including protection</w:t>
      </w:r>
      <w:r w:rsidR="001E7DA6" w:rsidRPr="00FF4BFA">
        <w:rPr>
          <w:rFonts w:ascii="Times New Roman" w:hAnsi="Times New Roman" w:cs="Times New Roman"/>
          <w:sz w:val="24"/>
          <w:szCs w:val="24"/>
        </w:rPr>
        <w:t xml:space="preserve"> from their sexuality</w:t>
      </w:r>
      <w:r w:rsidR="00EE321E">
        <w:rPr>
          <w:rFonts w:ascii="Times New Roman" w:hAnsi="Times New Roman" w:cs="Times New Roman"/>
          <w:sz w:val="24"/>
          <w:szCs w:val="24"/>
        </w:rPr>
        <w:t>,</w:t>
      </w:r>
      <w:r w:rsidR="001E7DA6" w:rsidRPr="00FF4BFA">
        <w:rPr>
          <w:rFonts w:ascii="Times New Roman" w:hAnsi="Times New Roman" w:cs="Times New Roman"/>
          <w:sz w:val="24"/>
          <w:szCs w:val="24"/>
        </w:rPr>
        <w:t xml:space="preserve"> rather than </w:t>
      </w:r>
      <w:r w:rsidR="00D844D4">
        <w:rPr>
          <w:rFonts w:ascii="Times New Roman" w:hAnsi="Times New Roman" w:cs="Times New Roman"/>
          <w:sz w:val="24"/>
          <w:szCs w:val="24"/>
        </w:rPr>
        <w:t>‘</w:t>
      </w:r>
      <w:r w:rsidR="001E7DA6" w:rsidRPr="00FF4BFA">
        <w:rPr>
          <w:rFonts w:ascii="Times New Roman" w:hAnsi="Times New Roman" w:cs="Times New Roman"/>
          <w:sz w:val="24"/>
          <w:szCs w:val="24"/>
        </w:rPr>
        <w:t>beings</w:t>
      </w:r>
      <w:r w:rsidR="00D844D4">
        <w:rPr>
          <w:rFonts w:ascii="Times New Roman" w:hAnsi="Times New Roman" w:cs="Times New Roman"/>
          <w:sz w:val="24"/>
          <w:szCs w:val="24"/>
        </w:rPr>
        <w:t>’</w:t>
      </w:r>
      <w:r w:rsidR="001E7DA6" w:rsidRPr="00FF4BFA">
        <w:rPr>
          <w:rFonts w:ascii="Times New Roman" w:hAnsi="Times New Roman" w:cs="Times New Roman"/>
          <w:sz w:val="24"/>
          <w:szCs w:val="24"/>
        </w:rPr>
        <w:t xml:space="preserve"> or independent holders of rights. </w:t>
      </w:r>
      <w:r w:rsidR="001E7DA6">
        <w:rPr>
          <w:rFonts w:ascii="Times New Roman" w:eastAsia="Times New Roman" w:hAnsi="Times New Roman" w:cs="Times New Roman"/>
          <w:sz w:val="24"/>
          <w:szCs w:val="24"/>
        </w:rPr>
        <w:t>This view</w:t>
      </w:r>
      <w:r w:rsidR="001E7DA6" w:rsidRPr="00BC297C">
        <w:rPr>
          <w:rFonts w:ascii="Times New Roman" w:eastAsia="Times New Roman" w:hAnsi="Times New Roman" w:cs="Times New Roman"/>
          <w:sz w:val="24"/>
          <w:szCs w:val="24"/>
        </w:rPr>
        <w:t xml:space="preserve"> </w:t>
      </w:r>
      <w:r w:rsidR="001E7DA6">
        <w:rPr>
          <w:rFonts w:ascii="Times New Roman" w:eastAsia="Times New Roman" w:hAnsi="Times New Roman" w:cs="Times New Roman"/>
          <w:sz w:val="24"/>
          <w:szCs w:val="24"/>
        </w:rPr>
        <w:t>of young people as</w:t>
      </w:r>
      <w:r w:rsidR="001E7DA6" w:rsidRPr="00BC297C">
        <w:rPr>
          <w:rFonts w:ascii="Times New Roman" w:eastAsia="Times New Roman" w:hAnsi="Times New Roman" w:cs="Times New Roman"/>
          <w:sz w:val="24"/>
          <w:szCs w:val="24"/>
        </w:rPr>
        <w:t xml:space="preserve"> </w:t>
      </w:r>
      <w:r w:rsidR="00D844D4">
        <w:rPr>
          <w:rFonts w:ascii="Times New Roman" w:eastAsia="Times New Roman" w:hAnsi="Times New Roman" w:cs="Times New Roman"/>
          <w:sz w:val="24"/>
          <w:szCs w:val="24"/>
        </w:rPr>
        <w:t>‘</w:t>
      </w:r>
      <w:r w:rsidR="001E7DA6" w:rsidRPr="00BC297C">
        <w:rPr>
          <w:rFonts w:ascii="Times New Roman" w:eastAsia="Times New Roman" w:hAnsi="Times New Roman" w:cs="Times New Roman"/>
          <w:sz w:val="24"/>
          <w:szCs w:val="24"/>
        </w:rPr>
        <w:t xml:space="preserve">human </w:t>
      </w:r>
      <w:proofErr w:type="spellStart"/>
      <w:r w:rsidR="001E7DA6" w:rsidRPr="00BC297C">
        <w:rPr>
          <w:rFonts w:ascii="Times New Roman" w:eastAsia="Times New Roman" w:hAnsi="Times New Roman" w:cs="Times New Roman"/>
          <w:sz w:val="24"/>
          <w:szCs w:val="24"/>
        </w:rPr>
        <w:t>becomings</w:t>
      </w:r>
      <w:proofErr w:type="spellEnd"/>
      <w:r w:rsidR="00D844D4">
        <w:rPr>
          <w:rFonts w:ascii="Times New Roman" w:eastAsia="Times New Roman" w:hAnsi="Times New Roman" w:cs="Times New Roman"/>
          <w:sz w:val="24"/>
          <w:szCs w:val="24"/>
        </w:rPr>
        <w:t>’</w:t>
      </w:r>
      <w:r w:rsidR="001E7DA6">
        <w:rPr>
          <w:rFonts w:ascii="Times New Roman" w:eastAsia="Times New Roman" w:hAnsi="Times New Roman" w:cs="Times New Roman"/>
          <w:sz w:val="24"/>
          <w:szCs w:val="24"/>
        </w:rPr>
        <w:t xml:space="preserve"> over-emphasises the position of the child as a future adult and consequently downgrades their present interests</w:t>
      </w:r>
      <w:r w:rsidR="001E7DA6">
        <w:t xml:space="preserve">, </w:t>
      </w:r>
      <w:r w:rsidR="001E7DA6">
        <w:rPr>
          <w:rFonts w:ascii="Times New Roman" w:hAnsi="Times New Roman" w:cs="Times New Roman"/>
          <w:sz w:val="24"/>
          <w:szCs w:val="24"/>
        </w:rPr>
        <w:lastRenderedPageBreak/>
        <w:t>accentuates</w:t>
      </w:r>
      <w:r w:rsidR="001E7DA6" w:rsidRPr="00635DB9">
        <w:rPr>
          <w:rFonts w:ascii="Times New Roman" w:hAnsi="Times New Roman" w:cs="Times New Roman"/>
          <w:sz w:val="24"/>
          <w:szCs w:val="24"/>
        </w:rPr>
        <w:t xml:space="preserve"> passivity and incompetence and limits the recognition of </w:t>
      </w:r>
      <w:r w:rsidR="001E7DA6">
        <w:rPr>
          <w:rFonts w:ascii="Times New Roman" w:hAnsi="Times New Roman" w:cs="Times New Roman"/>
          <w:sz w:val="24"/>
          <w:szCs w:val="24"/>
        </w:rPr>
        <w:t>young people as rights-holders</w:t>
      </w:r>
      <w:r w:rsidR="001E7DA6" w:rsidRPr="00635DB9">
        <w:rPr>
          <w:rFonts w:ascii="Times New Roman" w:hAnsi="Times New Roman" w:cs="Times New Roman"/>
          <w:sz w:val="24"/>
          <w:szCs w:val="24"/>
        </w:rPr>
        <w:t>.</w:t>
      </w:r>
      <w:r w:rsidR="001E7DA6">
        <w:rPr>
          <w:rFonts w:ascii="Times New Roman" w:hAnsi="Times New Roman" w:cs="Times New Roman"/>
          <w:sz w:val="24"/>
          <w:szCs w:val="24"/>
        </w:rPr>
        <w:t xml:space="preserve"> </w:t>
      </w:r>
      <w:r w:rsidR="00397A09" w:rsidRPr="00B23C8F">
        <w:rPr>
          <w:rFonts w:ascii="Times New Roman" w:hAnsi="Times New Roman" w:cs="Times New Roman"/>
          <w:sz w:val="24"/>
          <w:szCs w:val="24"/>
        </w:rPr>
        <w:t xml:space="preserve">In a period of development of sexual identity and awareness, </w:t>
      </w:r>
      <w:r w:rsidR="005849D3">
        <w:rPr>
          <w:rFonts w:ascii="Times New Roman" w:hAnsi="Times New Roman" w:cs="Times New Roman"/>
          <w:sz w:val="24"/>
          <w:szCs w:val="24"/>
        </w:rPr>
        <w:t xml:space="preserve">mutually </w:t>
      </w:r>
      <w:r w:rsidR="00397A09">
        <w:rPr>
          <w:rFonts w:ascii="Times New Roman" w:hAnsi="Times New Roman" w:cs="Times New Roman"/>
          <w:sz w:val="24"/>
          <w:szCs w:val="24"/>
        </w:rPr>
        <w:t xml:space="preserve">consensual </w:t>
      </w:r>
      <w:r w:rsidR="007E36D2">
        <w:rPr>
          <w:rFonts w:ascii="Times New Roman" w:hAnsi="Times New Roman" w:cs="Times New Roman"/>
          <w:sz w:val="24"/>
          <w:szCs w:val="24"/>
        </w:rPr>
        <w:t xml:space="preserve">teenage </w:t>
      </w:r>
      <w:r w:rsidR="00397A09" w:rsidRPr="00B23C8F">
        <w:rPr>
          <w:rFonts w:ascii="Times New Roman" w:hAnsi="Times New Roman" w:cs="Times New Roman"/>
          <w:sz w:val="24"/>
          <w:szCs w:val="24"/>
        </w:rPr>
        <w:t>sexting should not be equated with the co-production of child pornography.</w:t>
      </w:r>
      <w:r w:rsidR="00397A09">
        <w:rPr>
          <w:rFonts w:ascii="Times New Roman" w:hAnsi="Times New Roman" w:cs="Times New Roman"/>
          <w:sz w:val="24"/>
          <w:szCs w:val="24"/>
        </w:rPr>
        <w:t xml:space="preserve"> </w:t>
      </w:r>
      <w:r w:rsidR="00397A09" w:rsidRPr="00B23C8F">
        <w:rPr>
          <w:rFonts w:ascii="Times New Roman" w:hAnsi="Times New Roman" w:cs="Times New Roman"/>
          <w:sz w:val="24"/>
          <w:szCs w:val="24"/>
        </w:rPr>
        <w:t>Instead</w:t>
      </w:r>
      <w:r w:rsidR="00FA3F57">
        <w:rPr>
          <w:rFonts w:ascii="Times New Roman" w:hAnsi="Times New Roman" w:cs="Times New Roman"/>
          <w:sz w:val="24"/>
          <w:szCs w:val="24"/>
        </w:rPr>
        <w:t xml:space="preserve"> non-exploitative</w:t>
      </w:r>
      <w:r w:rsidR="00397A09" w:rsidRPr="00B23C8F">
        <w:rPr>
          <w:rFonts w:ascii="Times New Roman" w:hAnsi="Times New Roman" w:cs="Times New Roman"/>
          <w:sz w:val="24"/>
          <w:szCs w:val="24"/>
        </w:rPr>
        <w:t xml:space="preserve"> </w:t>
      </w:r>
      <w:r w:rsidR="00397A09">
        <w:rPr>
          <w:rFonts w:ascii="Times New Roman" w:hAnsi="Times New Roman" w:cs="Times New Roman"/>
          <w:sz w:val="24"/>
          <w:szCs w:val="24"/>
        </w:rPr>
        <w:t xml:space="preserve">consensual </w:t>
      </w:r>
      <w:r w:rsidR="00397A09" w:rsidRPr="00B23C8F">
        <w:rPr>
          <w:rFonts w:ascii="Times New Roman" w:hAnsi="Times New Roman" w:cs="Times New Roman"/>
          <w:sz w:val="24"/>
          <w:szCs w:val="24"/>
        </w:rPr>
        <w:t xml:space="preserve">sexting </w:t>
      </w:r>
      <w:r w:rsidR="00397A09">
        <w:rPr>
          <w:rFonts w:ascii="Times New Roman" w:hAnsi="Times New Roman" w:cs="Times New Roman"/>
          <w:sz w:val="24"/>
          <w:szCs w:val="24"/>
        </w:rPr>
        <w:t>should</w:t>
      </w:r>
      <w:r w:rsidR="00397A09" w:rsidRPr="00B23C8F">
        <w:rPr>
          <w:rFonts w:ascii="Times New Roman" w:hAnsi="Times New Roman" w:cs="Times New Roman"/>
          <w:sz w:val="24"/>
          <w:szCs w:val="24"/>
        </w:rPr>
        <w:t xml:space="preserve"> be more aptly conceptualised as a </w:t>
      </w:r>
      <w:r w:rsidR="00397A09">
        <w:rPr>
          <w:rFonts w:ascii="Times New Roman" w:hAnsi="Times New Roman" w:cs="Times New Roman"/>
          <w:sz w:val="24"/>
          <w:szCs w:val="24"/>
        </w:rPr>
        <w:t>modern form</w:t>
      </w:r>
      <w:r w:rsidR="00397A09" w:rsidRPr="00B23C8F">
        <w:rPr>
          <w:rFonts w:ascii="Times New Roman" w:hAnsi="Times New Roman" w:cs="Times New Roman"/>
          <w:sz w:val="24"/>
          <w:szCs w:val="24"/>
        </w:rPr>
        <w:t xml:space="preserve"> of sexual behaviour in which youn</w:t>
      </w:r>
      <w:r w:rsidR="00C13701">
        <w:rPr>
          <w:rFonts w:ascii="Times New Roman" w:hAnsi="Times New Roman" w:cs="Times New Roman"/>
          <w:sz w:val="24"/>
          <w:szCs w:val="24"/>
        </w:rPr>
        <w:t>g people may (or may not) engage</w:t>
      </w:r>
      <w:r w:rsidR="00397A09" w:rsidRPr="00B23C8F">
        <w:rPr>
          <w:rFonts w:ascii="Times New Roman" w:hAnsi="Times New Roman" w:cs="Times New Roman"/>
          <w:sz w:val="24"/>
          <w:szCs w:val="24"/>
        </w:rPr>
        <w:t>.</w:t>
      </w:r>
    </w:p>
    <w:p w14:paraId="6C31A76F" w14:textId="60DD45CC" w:rsidR="00FF4BFA" w:rsidRDefault="0056128B" w:rsidP="00397A0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current approach to teenage sexting confusingly views adolescents on the one hand as incapable of rational and reasoned judgment while also expect</w:t>
      </w:r>
      <w:r w:rsidR="007659C1">
        <w:rPr>
          <w:rFonts w:ascii="Times New Roman" w:hAnsi="Times New Roman" w:cs="Times New Roman"/>
          <w:sz w:val="24"/>
          <w:szCs w:val="24"/>
        </w:rPr>
        <w:t>ing them</w:t>
      </w:r>
      <w:r>
        <w:rPr>
          <w:rFonts w:ascii="Times New Roman" w:hAnsi="Times New Roman" w:cs="Times New Roman"/>
          <w:sz w:val="24"/>
          <w:szCs w:val="24"/>
        </w:rPr>
        <w:t xml:space="preserve"> to make wise decisions about expressions of their sexuality and criminalising those who do</w:t>
      </w:r>
      <w:r w:rsidR="00811A1E">
        <w:rPr>
          <w:rFonts w:ascii="Times New Roman" w:hAnsi="Times New Roman" w:cs="Times New Roman"/>
          <w:sz w:val="24"/>
          <w:szCs w:val="24"/>
        </w:rPr>
        <w:t xml:space="preserve"> </w:t>
      </w:r>
      <w:r>
        <w:rPr>
          <w:rFonts w:ascii="Times New Roman" w:hAnsi="Times New Roman" w:cs="Times New Roman"/>
          <w:sz w:val="24"/>
          <w:szCs w:val="24"/>
        </w:rPr>
        <w:t>n</w:t>
      </w:r>
      <w:r w:rsidR="00811A1E">
        <w:rPr>
          <w:rFonts w:ascii="Times New Roman" w:hAnsi="Times New Roman" w:cs="Times New Roman"/>
          <w:sz w:val="24"/>
          <w:szCs w:val="24"/>
        </w:rPr>
        <w:t>o</w:t>
      </w:r>
      <w:r>
        <w:rPr>
          <w:rFonts w:ascii="Times New Roman" w:hAnsi="Times New Roman" w:cs="Times New Roman"/>
          <w:sz w:val="24"/>
          <w:szCs w:val="24"/>
        </w:rPr>
        <w:t xml:space="preserve">t. </w:t>
      </w:r>
      <w:r w:rsidR="00F45BD8">
        <w:rPr>
          <w:rFonts w:ascii="Times New Roman" w:hAnsi="Times New Roman" w:cs="Times New Roman"/>
          <w:sz w:val="24"/>
          <w:szCs w:val="24"/>
        </w:rPr>
        <w:t xml:space="preserve">This article </w:t>
      </w:r>
      <w:r w:rsidR="007176F4">
        <w:rPr>
          <w:rFonts w:ascii="Times New Roman" w:hAnsi="Times New Roman" w:cs="Times New Roman"/>
          <w:sz w:val="24"/>
          <w:szCs w:val="24"/>
        </w:rPr>
        <w:t>will not be arguing that there should be no protection of children in the context of sexting, child exploitation and the creation and distribution of child pornography</w:t>
      </w:r>
      <w:r w:rsidR="00A37B77">
        <w:rPr>
          <w:rFonts w:ascii="Times New Roman" w:hAnsi="Times New Roman" w:cs="Times New Roman"/>
          <w:sz w:val="24"/>
          <w:szCs w:val="24"/>
        </w:rPr>
        <w:t>.</w:t>
      </w:r>
      <w:r w:rsidRPr="00B23C8F">
        <w:rPr>
          <w:rFonts w:ascii="Times New Roman" w:hAnsi="Times New Roman" w:cs="Times New Roman"/>
          <w:sz w:val="24"/>
          <w:szCs w:val="24"/>
        </w:rPr>
        <w:t xml:space="preserve"> </w:t>
      </w:r>
      <w:r w:rsidR="004E65D4">
        <w:rPr>
          <w:rFonts w:ascii="Times New Roman" w:hAnsi="Times New Roman" w:cs="Times New Roman"/>
          <w:sz w:val="24"/>
          <w:szCs w:val="24"/>
        </w:rPr>
        <w:t xml:space="preserve">There are already a plethora of criminal justice and civil law responses which can challenge, and protect young people from, bullying and exploitive forms of sexting. </w:t>
      </w:r>
      <w:r w:rsidR="00397A09" w:rsidRPr="007659C1">
        <w:rPr>
          <w:rFonts w:ascii="Times New Roman" w:hAnsi="Times New Roman" w:cs="Times New Roman"/>
          <w:sz w:val="24"/>
          <w:szCs w:val="24"/>
        </w:rPr>
        <w:t xml:space="preserve">Instead </w:t>
      </w:r>
      <w:r w:rsidR="007659C1">
        <w:rPr>
          <w:rFonts w:ascii="Times New Roman" w:hAnsi="Times New Roman" w:cs="Times New Roman"/>
          <w:color w:val="000000"/>
          <w:sz w:val="24"/>
          <w:szCs w:val="24"/>
        </w:rPr>
        <w:t>t</w:t>
      </w:r>
      <w:r w:rsidR="007659C1" w:rsidRPr="007659C1">
        <w:rPr>
          <w:rFonts w:ascii="Times New Roman" w:hAnsi="Times New Roman" w:cs="Times New Roman"/>
          <w:color w:val="000000"/>
          <w:sz w:val="24"/>
          <w:szCs w:val="24"/>
        </w:rPr>
        <w:t>his article is concerned with the lived experiences of young people and the need to educate policy makers and police in discourses of children’s rights dealing with issues of agency, empowerment and deconstructing the innocent child.</w:t>
      </w:r>
      <w:r w:rsidR="007659C1">
        <w:rPr>
          <w:rFonts w:ascii="Times New Roman" w:hAnsi="Times New Roman" w:cs="Times New Roman"/>
          <w:color w:val="000000"/>
          <w:sz w:val="24"/>
          <w:szCs w:val="24"/>
        </w:rPr>
        <w:t xml:space="preserve"> </w:t>
      </w:r>
      <w:r w:rsidR="00811A1E">
        <w:rPr>
          <w:rFonts w:ascii="Times New Roman" w:hAnsi="Times New Roman" w:cs="Times New Roman"/>
          <w:sz w:val="24"/>
          <w:szCs w:val="24"/>
        </w:rPr>
        <w:t xml:space="preserve">The criminal justice response to teenage sexting which categorises young people who engage in sexting as producers and distributors of their own child pornography needs to be redrawn in a way in which the child’s rights are foregrounded and young people’s agency, including sexual agency, is recognised. </w:t>
      </w:r>
      <w:r w:rsidR="007659C1">
        <w:rPr>
          <w:rFonts w:ascii="Times New Roman" w:hAnsi="Times New Roman" w:cs="Times New Roman"/>
          <w:color w:val="000000"/>
          <w:sz w:val="24"/>
          <w:szCs w:val="24"/>
        </w:rPr>
        <w:t xml:space="preserve">To understand the lived experiences of young people </w:t>
      </w:r>
      <w:r w:rsidR="007E36D2">
        <w:rPr>
          <w:rFonts w:ascii="Times New Roman" w:hAnsi="Times New Roman" w:cs="Times New Roman"/>
          <w:sz w:val="24"/>
          <w:szCs w:val="24"/>
        </w:rPr>
        <w:t>it is necessary to first consider</w:t>
      </w:r>
      <w:r w:rsidR="003E0C38">
        <w:rPr>
          <w:rFonts w:ascii="Times New Roman" w:hAnsi="Times New Roman" w:cs="Times New Roman"/>
          <w:sz w:val="24"/>
          <w:szCs w:val="24"/>
        </w:rPr>
        <w:t xml:space="preserve"> the extent to which </w:t>
      </w:r>
      <w:r w:rsidR="00D35E63">
        <w:rPr>
          <w:rFonts w:ascii="Times New Roman" w:hAnsi="Times New Roman" w:cs="Times New Roman"/>
          <w:sz w:val="24"/>
          <w:szCs w:val="24"/>
        </w:rPr>
        <w:t>young people are engaging in sexting</w:t>
      </w:r>
      <w:r w:rsidR="00560393">
        <w:rPr>
          <w:rFonts w:ascii="Times New Roman" w:hAnsi="Times New Roman" w:cs="Times New Roman"/>
          <w:sz w:val="24"/>
          <w:szCs w:val="24"/>
        </w:rPr>
        <w:t xml:space="preserve"> behaviour. </w:t>
      </w:r>
    </w:p>
    <w:p w14:paraId="47F12BF5" w14:textId="77777777" w:rsidR="00560393" w:rsidRDefault="00560393" w:rsidP="003E0C38">
      <w:pPr>
        <w:spacing w:line="480" w:lineRule="auto"/>
        <w:jc w:val="both"/>
        <w:rPr>
          <w:rFonts w:ascii="Times New Roman" w:hAnsi="Times New Roman" w:cs="Times New Roman"/>
          <w:sz w:val="24"/>
          <w:szCs w:val="24"/>
        </w:rPr>
      </w:pPr>
    </w:p>
    <w:p w14:paraId="0A303FBB" w14:textId="51B7A765" w:rsidR="00C85EA9" w:rsidRPr="00A31C78" w:rsidRDefault="00A31C78" w:rsidP="00A31C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A31C78">
        <w:rPr>
          <w:rFonts w:ascii="Times New Roman" w:hAnsi="Times New Roman" w:cs="Times New Roman"/>
          <w:b/>
          <w:sz w:val="24"/>
          <w:szCs w:val="24"/>
        </w:rPr>
        <w:t>PREVALENCE OF SEXTING</w:t>
      </w:r>
    </w:p>
    <w:p w14:paraId="7809A7B8" w14:textId="0897390C" w:rsidR="00397A09" w:rsidRPr="00397A09" w:rsidRDefault="00560393" w:rsidP="000B29F5">
      <w:pPr>
        <w:spacing w:after="0" w:line="480" w:lineRule="auto"/>
        <w:jc w:val="both"/>
        <w:rPr>
          <w:rFonts w:ascii="Times New Roman" w:hAnsi="Times New Roman" w:cs="Times New Roman"/>
          <w:sz w:val="24"/>
          <w:szCs w:val="24"/>
        </w:rPr>
      </w:pPr>
      <w:r w:rsidRPr="00B23C8F">
        <w:rPr>
          <w:rFonts w:ascii="Times New Roman" w:hAnsi="Times New Roman" w:cs="Times New Roman"/>
          <w:sz w:val="24"/>
          <w:szCs w:val="24"/>
        </w:rPr>
        <w:t>In June 2016 the NSPCC reported that 1 in 7 (approximately 14</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young people </w:t>
      </w:r>
      <w:r>
        <w:rPr>
          <w:rFonts w:ascii="Times New Roman" w:hAnsi="Times New Roman" w:cs="Times New Roman"/>
          <w:sz w:val="24"/>
          <w:szCs w:val="24"/>
        </w:rPr>
        <w:t xml:space="preserve">in the UK </w:t>
      </w:r>
      <w:r w:rsidRPr="00B23C8F">
        <w:rPr>
          <w:rFonts w:ascii="Times New Roman" w:hAnsi="Times New Roman" w:cs="Times New Roman"/>
          <w:sz w:val="24"/>
          <w:szCs w:val="24"/>
        </w:rPr>
        <w:t xml:space="preserve">have taken a semi-naked or naked picture of themselves using electronic devices and over half </w:t>
      </w:r>
      <w:r w:rsidRPr="00B23C8F">
        <w:rPr>
          <w:rFonts w:ascii="Times New Roman" w:hAnsi="Times New Roman" w:cs="Times New Roman"/>
          <w:sz w:val="24"/>
          <w:szCs w:val="24"/>
        </w:rPr>
        <w:lastRenderedPageBreak/>
        <w:t>of these young people went on to share the image with someone else.</w:t>
      </w:r>
      <w:r w:rsidR="00C96C44">
        <w:rPr>
          <w:rStyle w:val="FootnoteReference"/>
          <w:rFonts w:ascii="Times New Roman" w:hAnsi="Times New Roman" w:cs="Times New Roman"/>
          <w:sz w:val="24"/>
          <w:szCs w:val="24"/>
        </w:rPr>
        <w:footnoteReference w:id="3"/>
      </w:r>
      <w:r w:rsidRPr="00B23C8F">
        <w:rPr>
          <w:rFonts w:ascii="Times New Roman" w:hAnsi="Times New Roman" w:cs="Times New Roman"/>
          <w:sz w:val="24"/>
          <w:szCs w:val="24"/>
        </w:rPr>
        <w:t xml:space="preserve"> The majority of those who shared images (60</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reported that they knew the person with whom it was shared, however </w:t>
      </w:r>
      <w:proofErr w:type="spellStart"/>
      <w:r w:rsidRPr="00B23C8F">
        <w:rPr>
          <w:rFonts w:ascii="Times New Roman" w:hAnsi="Times New Roman" w:cs="Times New Roman"/>
          <w:sz w:val="24"/>
          <w:szCs w:val="24"/>
        </w:rPr>
        <w:t>Bowlin</w:t>
      </w:r>
      <w:proofErr w:type="spellEnd"/>
      <w:r w:rsidRPr="00B23C8F">
        <w:rPr>
          <w:rFonts w:ascii="Times New Roman" w:hAnsi="Times New Roman" w:cs="Times New Roman"/>
          <w:sz w:val="24"/>
          <w:szCs w:val="24"/>
        </w:rPr>
        <w:t xml:space="preserve"> estimated that 60</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sexually explicit texts (sexts) have been disseminated beyond the original recipient.</w:t>
      </w:r>
      <w:r w:rsidR="00C96C44">
        <w:rPr>
          <w:rStyle w:val="FootnoteReference"/>
          <w:rFonts w:ascii="Times New Roman" w:hAnsi="Times New Roman" w:cs="Times New Roman"/>
          <w:sz w:val="24"/>
          <w:szCs w:val="24"/>
        </w:rPr>
        <w:footnoteReference w:id="4"/>
      </w:r>
      <w:r w:rsidRPr="00B23C8F">
        <w:rPr>
          <w:rFonts w:ascii="Times New Roman" w:hAnsi="Times New Roman" w:cs="Times New Roman"/>
          <w:sz w:val="24"/>
          <w:szCs w:val="24"/>
        </w:rPr>
        <w:t xml:space="preserve"> A recent large survey of 4,564 young people aged 14 to 17 across five European countries – England, Italy, Cyprus, Bulgaria</w:t>
      </w:r>
      <w:r>
        <w:rPr>
          <w:rFonts w:ascii="Times New Roman" w:hAnsi="Times New Roman" w:cs="Times New Roman"/>
          <w:sz w:val="24"/>
          <w:szCs w:val="24"/>
        </w:rPr>
        <w:t xml:space="preserve"> and</w:t>
      </w:r>
      <w:r w:rsidRPr="00B23C8F">
        <w:rPr>
          <w:rFonts w:ascii="Times New Roman" w:hAnsi="Times New Roman" w:cs="Times New Roman"/>
          <w:sz w:val="24"/>
          <w:szCs w:val="24"/>
        </w:rPr>
        <w:t xml:space="preserve"> Norway - found that between </w:t>
      </w:r>
      <w:r w:rsidR="00D35E63">
        <w:rPr>
          <w:rFonts w:ascii="Times New Roman" w:hAnsi="Times New Roman" w:cs="Times New Roman"/>
          <w:sz w:val="24"/>
          <w:szCs w:val="24"/>
        </w:rPr>
        <w:t>six</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and 44</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young women and 15</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and 32</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young men said they had sent a sexual image/message (defined </w:t>
      </w:r>
      <w:r w:rsidR="00A37B77">
        <w:rPr>
          <w:rFonts w:ascii="Times New Roman" w:hAnsi="Times New Roman" w:cs="Times New Roman"/>
          <w:sz w:val="24"/>
          <w:szCs w:val="24"/>
        </w:rPr>
        <w:t xml:space="preserve">in the study </w:t>
      </w:r>
      <w:r w:rsidRPr="00B23C8F">
        <w:rPr>
          <w:rFonts w:ascii="Times New Roman" w:hAnsi="Times New Roman" w:cs="Times New Roman"/>
          <w:sz w:val="24"/>
          <w:szCs w:val="24"/>
        </w:rPr>
        <w:t xml:space="preserve">as naked or nearly naked pictures or messages which talked about having sex) to a partner. Similar proportions of young women (between </w:t>
      </w:r>
      <w:r w:rsidR="00D35E63">
        <w:rPr>
          <w:rFonts w:ascii="Times New Roman" w:hAnsi="Times New Roman" w:cs="Times New Roman"/>
          <w:sz w:val="24"/>
          <w:szCs w:val="24"/>
        </w:rPr>
        <w:t>nine</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and 49</w:t>
      </w:r>
      <w:r w:rsidR="00BC5D77">
        <w:rPr>
          <w:rFonts w:ascii="Times New Roman" w:hAnsi="Times New Roman" w:cs="Times New Roman"/>
          <w:sz w:val="24"/>
          <w:szCs w:val="24"/>
        </w:rPr>
        <w:t>%</w:t>
      </w:r>
      <w:r w:rsidRPr="00B23C8F">
        <w:rPr>
          <w:rFonts w:ascii="Times New Roman" w:hAnsi="Times New Roman" w:cs="Times New Roman"/>
          <w:sz w:val="24"/>
          <w:szCs w:val="24"/>
        </w:rPr>
        <w:t>) and a slightly higher proportion of young men (20</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to 47</w:t>
      </w:r>
      <w:r w:rsidR="00BC5D77">
        <w:rPr>
          <w:rFonts w:ascii="Times New Roman" w:hAnsi="Times New Roman" w:cs="Times New Roman"/>
          <w:sz w:val="24"/>
          <w:szCs w:val="24"/>
        </w:rPr>
        <w:t>%</w:t>
      </w:r>
      <w:r w:rsidRPr="00B23C8F">
        <w:rPr>
          <w:rFonts w:ascii="Times New Roman" w:hAnsi="Times New Roman" w:cs="Times New Roman"/>
          <w:sz w:val="24"/>
          <w:szCs w:val="24"/>
        </w:rPr>
        <w:t>) reported receiving a sexual image</w:t>
      </w:r>
      <w:r>
        <w:rPr>
          <w:rFonts w:ascii="Times New Roman" w:hAnsi="Times New Roman" w:cs="Times New Roman"/>
          <w:sz w:val="24"/>
          <w:szCs w:val="24"/>
        </w:rPr>
        <w:t xml:space="preserve"> or</w:t>
      </w:r>
      <w:r w:rsidRPr="00B23C8F">
        <w:rPr>
          <w:rFonts w:ascii="Times New Roman" w:hAnsi="Times New Roman" w:cs="Times New Roman"/>
          <w:sz w:val="24"/>
          <w:szCs w:val="24"/>
        </w:rPr>
        <w:t xml:space="preserve"> message from a partner</w:t>
      </w:r>
      <w:r w:rsidR="00BC5D77">
        <w:rPr>
          <w:rFonts w:ascii="Times New Roman" w:hAnsi="Times New Roman" w:cs="Times New Roman"/>
          <w:sz w:val="24"/>
          <w:szCs w:val="24"/>
        </w:rPr>
        <w:t>.</w:t>
      </w:r>
      <w:r w:rsidR="00C96C44">
        <w:rPr>
          <w:rStyle w:val="FootnoteReference"/>
          <w:rFonts w:ascii="Times New Roman" w:hAnsi="Times New Roman" w:cs="Times New Roman"/>
          <w:sz w:val="24"/>
          <w:szCs w:val="24"/>
        </w:rPr>
        <w:footnoteReference w:id="5"/>
      </w:r>
      <w:r w:rsidRPr="00B23C8F">
        <w:rPr>
          <w:rFonts w:ascii="Times New Roman" w:hAnsi="Times New Roman" w:cs="Times New Roman"/>
          <w:sz w:val="24"/>
          <w:szCs w:val="24"/>
        </w:rPr>
        <w:t xml:space="preserve"> In all</w:t>
      </w:r>
      <w:r>
        <w:rPr>
          <w:rFonts w:ascii="Times New Roman" w:hAnsi="Times New Roman" w:cs="Times New Roman"/>
          <w:sz w:val="24"/>
          <w:szCs w:val="24"/>
        </w:rPr>
        <w:t xml:space="preserve"> five countries</w:t>
      </w:r>
      <w:r w:rsidRPr="00B23C8F">
        <w:rPr>
          <w:rFonts w:ascii="Times New Roman" w:hAnsi="Times New Roman" w:cs="Times New Roman"/>
          <w:sz w:val="24"/>
          <w:szCs w:val="24"/>
        </w:rPr>
        <w:t xml:space="preserve"> this was often a reciprocal activity, as approximately </w:t>
      </w:r>
      <w:r>
        <w:rPr>
          <w:rFonts w:ascii="Times New Roman" w:hAnsi="Times New Roman" w:cs="Times New Roman"/>
          <w:sz w:val="24"/>
          <w:szCs w:val="24"/>
        </w:rPr>
        <w:t>66</w:t>
      </w:r>
      <w:r w:rsidR="00BC5D77">
        <w:rPr>
          <w:rFonts w:ascii="Times New Roman" w:hAnsi="Times New Roman" w:cs="Times New Roman"/>
          <w:sz w:val="24"/>
          <w:szCs w:val="24"/>
        </w:rPr>
        <w:t>%</w:t>
      </w:r>
      <w:r>
        <w:rPr>
          <w:rFonts w:ascii="Times New Roman" w:hAnsi="Times New Roman" w:cs="Times New Roman"/>
          <w:sz w:val="24"/>
          <w:szCs w:val="24"/>
        </w:rPr>
        <w:t xml:space="preserve"> of</w:t>
      </w:r>
      <w:r w:rsidRPr="00B23C8F">
        <w:rPr>
          <w:rFonts w:ascii="Times New Roman" w:hAnsi="Times New Roman" w:cs="Times New Roman"/>
          <w:sz w:val="24"/>
          <w:szCs w:val="24"/>
        </w:rPr>
        <w:t xml:space="preserve"> young people who had sent an i</w:t>
      </w:r>
      <w:r>
        <w:rPr>
          <w:rFonts w:ascii="Times New Roman" w:hAnsi="Times New Roman" w:cs="Times New Roman"/>
          <w:sz w:val="24"/>
          <w:szCs w:val="24"/>
        </w:rPr>
        <w:t>mage/message had also received o</w:t>
      </w:r>
      <w:r w:rsidRPr="00B23C8F">
        <w:rPr>
          <w:rFonts w:ascii="Times New Roman" w:hAnsi="Times New Roman" w:cs="Times New Roman"/>
          <w:sz w:val="24"/>
          <w:szCs w:val="24"/>
        </w:rPr>
        <w:t xml:space="preserve">ne. The highest rates for both sending and receiving were in England and the lowest in Cyprus. </w:t>
      </w:r>
      <w:r w:rsidRPr="00B23C8F">
        <w:rPr>
          <w:rFonts w:ascii="Times New Roman" w:hAnsi="Times New Roman" w:cs="Times New Roman"/>
          <w:sz w:val="24"/>
          <w:szCs w:val="24"/>
          <w:lang w:val="en"/>
        </w:rPr>
        <w:t xml:space="preserve">All </w:t>
      </w:r>
      <w:r>
        <w:rPr>
          <w:rFonts w:ascii="Times New Roman" w:hAnsi="Times New Roman" w:cs="Times New Roman"/>
          <w:sz w:val="24"/>
          <w:szCs w:val="24"/>
          <w:lang w:val="en"/>
        </w:rPr>
        <w:t xml:space="preserve">of the </w:t>
      </w:r>
      <w:r w:rsidRPr="00B23C8F">
        <w:rPr>
          <w:rFonts w:ascii="Times New Roman" w:hAnsi="Times New Roman" w:cs="Times New Roman"/>
          <w:sz w:val="24"/>
          <w:szCs w:val="24"/>
          <w:lang w:val="en"/>
        </w:rPr>
        <w:t>young people</w:t>
      </w:r>
      <w:r>
        <w:rPr>
          <w:rFonts w:ascii="Times New Roman" w:hAnsi="Times New Roman" w:cs="Times New Roman"/>
          <w:sz w:val="24"/>
          <w:szCs w:val="24"/>
          <w:lang w:val="en"/>
        </w:rPr>
        <w:t xml:space="preserve"> involved in the study</w:t>
      </w:r>
      <w:r w:rsidRPr="00B23C8F">
        <w:rPr>
          <w:rFonts w:ascii="Times New Roman" w:hAnsi="Times New Roman" w:cs="Times New Roman"/>
          <w:sz w:val="24"/>
          <w:szCs w:val="24"/>
          <w:lang w:val="en"/>
        </w:rPr>
        <w:t xml:space="preserve"> were asked to identify how they felt about sending or receiving a sexual image/message and many participants (41</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to 87</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young women and 75</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to 91</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young men) reported an affirmative impact. </w:t>
      </w:r>
      <w:r w:rsidR="0056128B">
        <w:rPr>
          <w:rFonts w:ascii="Times New Roman" w:hAnsi="Times New Roman" w:cs="Times New Roman"/>
          <w:sz w:val="24"/>
          <w:szCs w:val="24"/>
          <w:lang w:val="en"/>
        </w:rPr>
        <w:t>Females</w:t>
      </w:r>
      <w:r w:rsidRPr="00B23C8F">
        <w:rPr>
          <w:rFonts w:ascii="Times New Roman" w:hAnsi="Times New Roman" w:cs="Times New Roman"/>
          <w:sz w:val="24"/>
          <w:szCs w:val="24"/>
          <w:lang w:val="en"/>
        </w:rPr>
        <w:t xml:space="preserve"> in England and Norway were more likely to report a negative impact, and this was likely to be associated with the message or image having been shared with other people. 61</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w:t>
      </w:r>
      <w:r w:rsidR="0056128B">
        <w:rPr>
          <w:rFonts w:ascii="Times New Roman" w:hAnsi="Times New Roman" w:cs="Times New Roman"/>
          <w:sz w:val="24"/>
          <w:szCs w:val="24"/>
          <w:lang w:val="en"/>
        </w:rPr>
        <w:t>young females</w:t>
      </w:r>
      <w:r w:rsidRPr="00B23C8F">
        <w:rPr>
          <w:rFonts w:ascii="Times New Roman" w:hAnsi="Times New Roman" w:cs="Times New Roman"/>
          <w:sz w:val="24"/>
          <w:szCs w:val="24"/>
          <w:lang w:val="en"/>
        </w:rPr>
        <w:t xml:space="preserve"> in England and 47</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in Norway who reported a negative impact of sending a sexual image/message said that the message was shared. This compared with 21</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w:t>
      </w:r>
      <w:r w:rsidR="0056128B">
        <w:rPr>
          <w:rFonts w:ascii="Times New Roman" w:hAnsi="Times New Roman" w:cs="Times New Roman"/>
          <w:sz w:val="24"/>
          <w:szCs w:val="24"/>
          <w:lang w:val="en"/>
        </w:rPr>
        <w:t>females</w:t>
      </w:r>
      <w:r w:rsidRPr="00B23C8F">
        <w:rPr>
          <w:rFonts w:ascii="Times New Roman" w:hAnsi="Times New Roman" w:cs="Times New Roman"/>
          <w:sz w:val="24"/>
          <w:szCs w:val="24"/>
          <w:lang w:val="en"/>
        </w:rPr>
        <w:t xml:space="preserve"> in England and 15</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in Norway of those who reported an affirmative-only impact and who said </w:t>
      </w:r>
      <w:r w:rsidRPr="00B23C8F">
        <w:rPr>
          <w:rFonts w:ascii="Times New Roman" w:hAnsi="Times New Roman" w:cs="Times New Roman"/>
          <w:sz w:val="24"/>
          <w:szCs w:val="24"/>
          <w:lang w:val="en"/>
        </w:rPr>
        <w:lastRenderedPageBreak/>
        <w:t>that the sexual image/message was shared</w:t>
      </w:r>
      <w:r w:rsidR="00C13701">
        <w:rPr>
          <w:rFonts w:ascii="Times New Roman" w:hAnsi="Times New Roman" w:cs="Times New Roman"/>
          <w:sz w:val="24"/>
          <w:szCs w:val="24"/>
        </w:rPr>
        <w:t>.</w:t>
      </w:r>
      <w:r w:rsidR="00C96C44">
        <w:rPr>
          <w:rStyle w:val="FootnoteReference"/>
          <w:rFonts w:ascii="Times New Roman" w:hAnsi="Times New Roman" w:cs="Times New Roman"/>
          <w:sz w:val="24"/>
          <w:szCs w:val="24"/>
        </w:rPr>
        <w:footnoteReference w:id="6"/>
      </w:r>
      <w:r w:rsidRPr="00B23C8F">
        <w:rPr>
          <w:rFonts w:ascii="Times New Roman" w:hAnsi="Times New Roman" w:cs="Times New Roman"/>
          <w:sz w:val="24"/>
          <w:szCs w:val="24"/>
          <w:lang w:val="en"/>
        </w:rPr>
        <w:t xml:space="preserve"> </w:t>
      </w:r>
      <w:r w:rsidR="00397A09" w:rsidRPr="00D725EE">
        <w:rPr>
          <w:rFonts w:ascii="Times New Roman" w:hAnsi="Times New Roman" w:cs="Times New Roman"/>
          <w:sz w:val="24"/>
          <w:szCs w:val="24"/>
        </w:rPr>
        <w:t xml:space="preserve">The psychological and social risks of youth sexting </w:t>
      </w:r>
      <w:r w:rsidR="00397A09">
        <w:rPr>
          <w:rFonts w:ascii="Times New Roman" w:hAnsi="Times New Roman" w:cs="Times New Roman"/>
          <w:sz w:val="24"/>
          <w:szCs w:val="24"/>
        </w:rPr>
        <w:t>have been identified as including</w:t>
      </w:r>
      <w:r w:rsidR="00397A09" w:rsidRPr="00D725EE">
        <w:rPr>
          <w:rFonts w:ascii="Times New Roman" w:hAnsi="Times New Roman" w:cs="Times New Roman"/>
          <w:sz w:val="24"/>
          <w:szCs w:val="24"/>
        </w:rPr>
        <w:t xml:space="preserve"> increased likelihood of </w:t>
      </w:r>
      <w:r w:rsidR="00397A09">
        <w:rPr>
          <w:rFonts w:ascii="Times New Roman" w:hAnsi="Times New Roman" w:cs="Times New Roman"/>
          <w:sz w:val="24"/>
          <w:szCs w:val="24"/>
        </w:rPr>
        <w:t xml:space="preserve">future </w:t>
      </w:r>
      <w:r w:rsidR="00397A09" w:rsidRPr="00D725EE">
        <w:rPr>
          <w:rFonts w:ascii="Times New Roman" w:hAnsi="Times New Roman" w:cs="Times New Roman"/>
          <w:sz w:val="24"/>
          <w:szCs w:val="24"/>
        </w:rPr>
        <w:t xml:space="preserve">risky sexual behaviour, suicide, </w:t>
      </w:r>
      <w:r w:rsidR="00397A09">
        <w:rPr>
          <w:rFonts w:ascii="Times New Roman" w:hAnsi="Times New Roman" w:cs="Times New Roman"/>
          <w:sz w:val="24"/>
          <w:szCs w:val="24"/>
        </w:rPr>
        <w:t xml:space="preserve">humiliation, ‘slut-shaming’, </w:t>
      </w:r>
      <w:r w:rsidR="00397A09" w:rsidRPr="00D725EE">
        <w:rPr>
          <w:rFonts w:ascii="Times New Roman" w:hAnsi="Times New Roman" w:cs="Times New Roman"/>
          <w:sz w:val="24"/>
          <w:szCs w:val="24"/>
        </w:rPr>
        <w:t>depression</w:t>
      </w:r>
      <w:r w:rsidR="00397A09">
        <w:rPr>
          <w:rFonts w:ascii="Times New Roman" w:hAnsi="Times New Roman" w:cs="Times New Roman"/>
          <w:sz w:val="24"/>
          <w:szCs w:val="24"/>
        </w:rPr>
        <w:t>, anxiety disorders and</w:t>
      </w:r>
      <w:r w:rsidR="00397A09" w:rsidRPr="00D725EE">
        <w:rPr>
          <w:rFonts w:ascii="Times New Roman" w:hAnsi="Times New Roman" w:cs="Times New Roman"/>
          <w:sz w:val="24"/>
          <w:szCs w:val="24"/>
        </w:rPr>
        <w:t xml:space="preserve"> substance abuse</w:t>
      </w:r>
      <w:r w:rsidR="00397A09">
        <w:rPr>
          <w:rFonts w:ascii="Times New Roman" w:hAnsi="Times New Roman" w:cs="Times New Roman"/>
          <w:sz w:val="24"/>
          <w:szCs w:val="24"/>
        </w:rPr>
        <w:t>.</w:t>
      </w:r>
      <w:r w:rsidR="00C96C44">
        <w:rPr>
          <w:rStyle w:val="FootnoteReference"/>
          <w:rFonts w:ascii="Times New Roman" w:hAnsi="Times New Roman" w:cs="Times New Roman"/>
          <w:sz w:val="24"/>
          <w:szCs w:val="24"/>
        </w:rPr>
        <w:footnoteReference w:id="7"/>
      </w:r>
      <w:r w:rsidR="00397A09">
        <w:rPr>
          <w:rFonts w:ascii="Times New Roman" w:hAnsi="Times New Roman" w:cs="Times New Roman"/>
          <w:sz w:val="24"/>
          <w:szCs w:val="24"/>
        </w:rPr>
        <w:t xml:space="preserve"> T</w:t>
      </w:r>
      <w:r w:rsidR="00397A09" w:rsidRPr="00B9085A">
        <w:rPr>
          <w:rFonts w:ascii="Times New Roman" w:hAnsi="Times New Roman" w:cs="Times New Roman"/>
          <w:sz w:val="24"/>
          <w:szCs w:val="24"/>
        </w:rPr>
        <w:t>hese outcomes tend to not be associated with the act of sexting itself but because the images have</w:t>
      </w:r>
      <w:r w:rsidR="00397A09" w:rsidRPr="00D725EE">
        <w:rPr>
          <w:rFonts w:ascii="Times New Roman" w:hAnsi="Times New Roman" w:cs="Times New Roman"/>
          <w:sz w:val="24"/>
          <w:szCs w:val="24"/>
        </w:rPr>
        <w:t xml:space="preserve"> been distributed </w:t>
      </w:r>
      <w:r w:rsidR="00293799" w:rsidRPr="00D725EE">
        <w:rPr>
          <w:rFonts w:ascii="Times New Roman" w:hAnsi="Times New Roman" w:cs="Times New Roman"/>
          <w:sz w:val="24"/>
          <w:szCs w:val="24"/>
        </w:rPr>
        <w:t xml:space="preserve">further </w:t>
      </w:r>
      <w:r w:rsidR="00397A09" w:rsidRPr="00D725EE">
        <w:rPr>
          <w:rFonts w:ascii="Times New Roman" w:hAnsi="Times New Roman" w:cs="Times New Roman"/>
          <w:sz w:val="24"/>
          <w:szCs w:val="24"/>
        </w:rPr>
        <w:t xml:space="preserve">than originally intended. Non-consensual taking and/or distributing of </w:t>
      </w:r>
      <w:r w:rsidR="00DE17DE">
        <w:rPr>
          <w:rFonts w:ascii="Times New Roman" w:hAnsi="Times New Roman" w:cs="Times New Roman"/>
          <w:sz w:val="24"/>
          <w:szCs w:val="24"/>
        </w:rPr>
        <w:t xml:space="preserve">private sexual </w:t>
      </w:r>
      <w:r w:rsidR="00397A09" w:rsidRPr="00D725EE">
        <w:rPr>
          <w:rFonts w:ascii="Times New Roman" w:hAnsi="Times New Roman" w:cs="Times New Roman"/>
          <w:sz w:val="24"/>
          <w:szCs w:val="24"/>
        </w:rPr>
        <w:t>photographs can be d</w:t>
      </w:r>
      <w:r w:rsidR="00397A09">
        <w:rPr>
          <w:rFonts w:ascii="Times New Roman" w:hAnsi="Times New Roman" w:cs="Times New Roman"/>
          <w:sz w:val="24"/>
          <w:szCs w:val="24"/>
        </w:rPr>
        <w:t xml:space="preserve">ealt with by various other </w:t>
      </w:r>
      <w:r w:rsidR="004E65D4">
        <w:rPr>
          <w:rFonts w:ascii="Times New Roman" w:hAnsi="Times New Roman" w:cs="Times New Roman"/>
          <w:sz w:val="24"/>
          <w:szCs w:val="24"/>
        </w:rPr>
        <w:t xml:space="preserve">legal </w:t>
      </w:r>
      <w:r w:rsidR="00397A09">
        <w:rPr>
          <w:rFonts w:ascii="Times New Roman" w:hAnsi="Times New Roman" w:cs="Times New Roman"/>
          <w:sz w:val="24"/>
          <w:szCs w:val="24"/>
        </w:rPr>
        <w:t xml:space="preserve">means, such as </w:t>
      </w:r>
      <w:r w:rsidR="005849D3">
        <w:rPr>
          <w:rFonts w:ascii="Times New Roman" w:hAnsi="Times New Roman" w:cs="Times New Roman"/>
          <w:sz w:val="24"/>
          <w:szCs w:val="24"/>
        </w:rPr>
        <w:t xml:space="preserve">English </w:t>
      </w:r>
      <w:r w:rsidR="00397A09">
        <w:rPr>
          <w:rFonts w:ascii="Times New Roman" w:hAnsi="Times New Roman" w:cs="Times New Roman"/>
          <w:sz w:val="24"/>
          <w:szCs w:val="24"/>
        </w:rPr>
        <w:t>laws which criminalise revenge porn</w:t>
      </w:r>
      <w:r w:rsidR="006E695D">
        <w:rPr>
          <w:rFonts w:ascii="Times New Roman" w:hAnsi="Times New Roman" w:cs="Times New Roman"/>
          <w:sz w:val="24"/>
          <w:szCs w:val="24"/>
        </w:rPr>
        <w:t xml:space="preserve"> </w:t>
      </w:r>
      <w:r w:rsidR="006E695D" w:rsidRPr="007E36D2">
        <w:rPr>
          <w:rFonts w:ascii="Times New Roman" w:hAnsi="Times New Roman" w:cs="Times New Roman"/>
          <w:sz w:val="24"/>
          <w:szCs w:val="24"/>
        </w:rPr>
        <w:t>(Criminal Justice and Courts Act 2015)</w:t>
      </w:r>
      <w:r w:rsidR="00397A09" w:rsidRPr="007E36D2">
        <w:rPr>
          <w:rFonts w:ascii="Times New Roman" w:hAnsi="Times New Roman" w:cs="Times New Roman"/>
          <w:sz w:val="24"/>
          <w:szCs w:val="24"/>
        </w:rPr>
        <w:t>,</w:t>
      </w:r>
      <w:r w:rsidR="00397A09">
        <w:rPr>
          <w:rFonts w:ascii="Times New Roman" w:hAnsi="Times New Roman" w:cs="Times New Roman"/>
          <w:sz w:val="24"/>
          <w:szCs w:val="24"/>
        </w:rPr>
        <w:t xml:space="preserve"> offences against </w:t>
      </w:r>
      <w:r w:rsidR="006E695D">
        <w:rPr>
          <w:rFonts w:ascii="Times New Roman" w:hAnsi="Times New Roman" w:cs="Times New Roman"/>
          <w:sz w:val="24"/>
          <w:szCs w:val="24"/>
        </w:rPr>
        <w:t>sending indecent communications (Malicious Communications Act 1988)</w:t>
      </w:r>
      <w:r w:rsidR="00397A09">
        <w:rPr>
          <w:rFonts w:ascii="Times New Roman" w:hAnsi="Times New Roman" w:cs="Times New Roman"/>
          <w:sz w:val="24"/>
          <w:szCs w:val="24"/>
        </w:rPr>
        <w:t xml:space="preserve">, </w:t>
      </w:r>
      <w:r w:rsidR="006E695D">
        <w:rPr>
          <w:rFonts w:ascii="Times New Roman" w:hAnsi="Times New Roman" w:cs="Times New Roman"/>
          <w:sz w:val="24"/>
          <w:szCs w:val="24"/>
        </w:rPr>
        <w:t>voyeu</w:t>
      </w:r>
      <w:r w:rsidR="00811A1E">
        <w:rPr>
          <w:rFonts w:ascii="Times New Roman" w:hAnsi="Times New Roman" w:cs="Times New Roman"/>
          <w:sz w:val="24"/>
          <w:szCs w:val="24"/>
        </w:rPr>
        <w:t xml:space="preserve">rism (Sexual Offences Act 2003) and </w:t>
      </w:r>
      <w:r w:rsidR="00397A09">
        <w:rPr>
          <w:rFonts w:ascii="Times New Roman" w:hAnsi="Times New Roman" w:cs="Times New Roman"/>
          <w:sz w:val="24"/>
          <w:szCs w:val="24"/>
        </w:rPr>
        <w:t>stalking and harassment</w:t>
      </w:r>
      <w:r w:rsidR="006E695D">
        <w:rPr>
          <w:rFonts w:ascii="Times New Roman" w:hAnsi="Times New Roman" w:cs="Times New Roman"/>
          <w:sz w:val="24"/>
          <w:szCs w:val="24"/>
        </w:rPr>
        <w:t xml:space="preserve"> (Protection from Harassment Act 1997)</w:t>
      </w:r>
      <w:r w:rsidR="00397A09">
        <w:rPr>
          <w:rFonts w:ascii="Times New Roman" w:hAnsi="Times New Roman" w:cs="Times New Roman"/>
          <w:sz w:val="24"/>
          <w:szCs w:val="24"/>
        </w:rPr>
        <w:t xml:space="preserve">. It is </w:t>
      </w:r>
      <w:r w:rsidR="006E695D">
        <w:rPr>
          <w:rFonts w:ascii="Times New Roman" w:hAnsi="Times New Roman" w:cs="Times New Roman"/>
          <w:sz w:val="24"/>
          <w:szCs w:val="24"/>
        </w:rPr>
        <w:t xml:space="preserve">also </w:t>
      </w:r>
      <w:r w:rsidR="00811A1E">
        <w:rPr>
          <w:rFonts w:ascii="Times New Roman" w:hAnsi="Times New Roman" w:cs="Times New Roman"/>
          <w:sz w:val="24"/>
          <w:szCs w:val="24"/>
        </w:rPr>
        <w:t xml:space="preserve">possible to bring a civil </w:t>
      </w:r>
      <w:r w:rsidR="00397A09">
        <w:rPr>
          <w:rFonts w:ascii="Times New Roman" w:hAnsi="Times New Roman" w:cs="Times New Roman"/>
          <w:sz w:val="24"/>
          <w:szCs w:val="24"/>
        </w:rPr>
        <w:t>action for breach of privacy, breach of confidence, nuisance and sexual harassment.</w:t>
      </w:r>
      <w:r w:rsidR="000B29F5">
        <w:rPr>
          <w:rFonts w:ascii="Times New Roman" w:hAnsi="Times New Roman" w:cs="Times New Roman"/>
          <w:sz w:val="24"/>
          <w:szCs w:val="24"/>
        </w:rPr>
        <w:t xml:space="preserve"> </w:t>
      </w:r>
      <w:r w:rsidR="000B29F5" w:rsidRPr="00DB25FE">
        <w:rPr>
          <w:rFonts w:ascii="Times New Roman" w:hAnsi="Times New Roman" w:cs="Times New Roman"/>
          <w:sz w:val="24"/>
          <w:szCs w:val="24"/>
        </w:rPr>
        <w:t>The Children Act</w:t>
      </w:r>
      <w:r w:rsidR="000B29F5">
        <w:rPr>
          <w:rFonts w:ascii="Times New Roman" w:hAnsi="Times New Roman" w:cs="Times New Roman"/>
          <w:sz w:val="24"/>
          <w:szCs w:val="24"/>
        </w:rPr>
        <w:t xml:space="preserve"> 1989 also</w:t>
      </w:r>
      <w:r w:rsidR="000B29F5" w:rsidRPr="00DB25FE">
        <w:rPr>
          <w:rFonts w:ascii="Times New Roman" w:hAnsi="Times New Roman" w:cs="Times New Roman"/>
          <w:sz w:val="24"/>
          <w:szCs w:val="24"/>
        </w:rPr>
        <w:t xml:space="preserve"> creates the opportunity to develop interventions which promote the health and wellbeing of </w:t>
      </w:r>
      <w:r w:rsidR="006A60AD">
        <w:rPr>
          <w:rFonts w:ascii="Times New Roman" w:hAnsi="Times New Roman" w:cs="Times New Roman"/>
          <w:sz w:val="24"/>
          <w:szCs w:val="24"/>
        </w:rPr>
        <w:t>young people</w:t>
      </w:r>
      <w:r w:rsidR="000B29F5" w:rsidRPr="00DB25FE">
        <w:rPr>
          <w:rFonts w:ascii="Times New Roman" w:hAnsi="Times New Roman" w:cs="Times New Roman"/>
          <w:sz w:val="24"/>
          <w:szCs w:val="24"/>
        </w:rPr>
        <w:t xml:space="preserve"> and to encourage positive prosocial behaviour.</w:t>
      </w:r>
      <w:r w:rsidR="000B29F5">
        <w:rPr>
          <w:rFonts w:ascii="Times New Roman" w:hAnsi="Times New Roman" w:cs="Times New Roman"/>
          <w:sz w:val="24"/>
          <w:szCs w:val="24"/>
        </w:rPr>
        <w:t xml:space="preserve"> </w:t>
      </w:r>
      <w:r w:rsidR="000B29F5" w:rsidRPr="00DB25FE">
        <w:rPr>
          <w:rFonts w:ascii="Times New Roman" w:hAnsi="Times New Roman" w:cs="Times New Roman"/>
          <w:color w:val="000000"/>
          <w:sz w:val="24"/>
          <w:szCs w:val="24"/>
        </w:rPr>
        <w:t>In cases of non-consensual</w:t>
      </w:r>
      <w:r w:rsidR="000B29F5">
        <w:rPr>
          <w:rFonts w:ascii="Times New Roman" w:hAnsi="Times New Roman" w:cs="Times New Roman"/>
          <w:color w:val="000000"/>
          <w:sz w:val="24"/>
          <w:szCs w:val="24"/>
        </w:rPr>
        <w:t xml:space="preserve"> or exploitative</w:t>
      </w:r>
      <w:r w:rsidR="000B29F5" w:rsidRPr="00DB25FE">
        <w:rPr>
          <w:rFonts w:ascii="Times New Roman" w:hAnsi="Times New Roman" w:cs="Times New Roman"/>
          <w:color w:val="000000"/>
          <w:sz w:val="24"/>
          <w:szCs w:val="24"/>
        </w:rPr>
        <w:t xml:space="preserve"> sexting it may be thought preferable to proceed by way of civil proceedings seeking a care or supervision order under the Children Act 1989, rather than to embark on a prosecution.</w:t>
      </w:r>
      <w:r w:rsidR="004215BC">
        <w:rPr>
          <w:rFonts w:ascii="Times New Roman" w:hAnsi="Times New Roman" w:cs="Times New Roman"/>
          <w:color w:val="000000"/>
          <w:sz w:val="24"/>
          <w:szCs w:val="24"/>
        </w:rPr>
        <w:t xml:space="preserve"> </w:t>
      </w:r>
      <w:r w:rsidR="004215BC" w:rsidRPr="004215BC">
        <w:rPr>
          <w:rFonts w:ascii="Times New Roman" w:hAnsi="Times New Roman" w:cs="Times New Roman"/>
          <w:sz w:val="24"/>
          <w:szCs w:val="24"/>
        </w:rPr>
        <w:t xml:space="preserve">Moreover section </w:t>
      </w:r>
      <w:r w:rsidR="004215BC" w:rsidRPr="004215BC">
        <w:rPr>
          <w:rFonts w:ascii="Times New Roman" w:eastAsia="Times New Roman" w:hAnsi="Times New Roman" w:cs="Times New Roman"/>
          <w:sz w:val="24"/>
          <w:szCs w:val="24"/>
          <w:lang w:val="en" w:eastAsia="en-GB"/>
        </w:rPr>
        <w:t xml:space="preserve">67 of the Serious Crime Act 2015 makes it a criminal offence for anyone aged 18 or over to intentionally communicate with a child under 16, where the person acts for a sexual purpose and the communication is sexual or intended to elicit a sexual response. This offence applies to online and offline communication, including social media. </w:t>
      </w:r>
      <w:r w:rsidR="004215BC" w:rsidRPr="004215BC">
        <w:rPr>
          <w:rFonts w:ascii="Times New Roman" w:hAnsi="Times New Roman" w:cs="Times New Roman"/>
          <w:sz w:val="24"/>
          <w:szCs w:val="24"/>
        </w:rPr>
        <w:t xml:space="preserve">The 2015 Act intendeds to protect children from </w:t>
      </w:r>
      <w:r w:rsidR="004215BC" w:rsidRPr="004215BC">
        <w:rPr>
          <w:rFonts w:ascii="Times New Roman" w:hAnsi="Times New Roman" w:cs="Times New Roman"/>
          <w:sz w:val="24"/>
          <w:szCs w:val="24"/>
          <w:lang w:val="en"/>
        </w:rPr>
        <w:t>abuse and exploitation</w:t>
      </w:r>
      <w:r w:rsidR="00BF6B08">
        <w:rPr>
          <w:rFonts w:ascii="Times New Roman" w:hAnsi="Times New Roman" w:cs="Times New Roman"/>
          <w:sz w:val="24"/>
          <w:szCs w:val="24"/>
          <w:lang w:val="en"/>
        </w:rPr>
        <w:t xml:space="preserve"> at the interface of sexuality</w:t>
      </w:r>
      <w:r w:rsidR="001E407C">
        <w:rPr>
          <w:rFonts w:ascii="Times New Roman" w:hAnsi="Times New Roman" w:cs="Times New Roman"/>
          <w:sz w:val="24"/>
          <w:szCs w:val="24"/>
          <w:lang w:val="en"/>
        </w:rPr>
        <w:t>,</w:t>
      </w:r>
      <w:r w:rsidR="00BF6B08">
        <w:rPr>
          <w:rFonts w:ascii="Times New Roman" w:hAnsi="Times New Roman" w:cs="Times New Roman"/>
          <w:sz w:val="24"/>
          <w:szCs w:val="24"/>
          <w:lang w:val="en"/>
        </w:rPr>
        <w:t xml:space="preserve"> age differences</w:t>
      </w:r>
      <w:r w:rsidR="001E407C">
        <w:rPr>
          <w:rFonts w:ascii="Times New Roman" w:hAnsi="Times New Roman" w:cs="Times New Roman"/>
          <w:sz w:val="24"/>
          <w:szCs w:val="24"/>
          <w:lang w:val="en"/>
        </w:rPr>
        <w:t>, power, dependency and gendered expectations</w:t>
      </w:r>
      <w:r w:rsidR="004215BC" w:rsidRPr="004215BC">
        <w:rPr>
          <w:rFonts w:ascii="Times New Roman" w:hAnsi="Times New Roman" w:cs="Times New Roman"/>
          <w:sz w:val="24"/>
          <w:szCs w:val="24"/>
          <w:lang w:val="en"/>
        </w:rPr>
        <w:t xml:space="preserve"> by </w:t>
      </w:r>
      <w:proofErr w:type="spellStart"/>
      <w:r w:rsidR="004215BC" w:rsidRPr="004215BC">
        <w:rPr>
          <w:rFonts w:ascii="Times New Roman" w:hAnsi="Times New Roman" w:cs="Times New Roman"/>
          <w:sz w:val="24"/>
          <w:szCs w:val="24"/>
          <w:lang w:val="en"/>
        </w:rPr>
        <w:t>criminalising</w:t>
      </w:r>
      <w:proofErr w:type="spellEnd"/>
      <w:r w:rsidR="004215BC" w:rsidRPr="004215BC">
        <w:rPr>
          <w:rFonts w:ascii="Times New Roman" w:hAnsi="Times New Roman" w:cs="Times New Roman"/>
          <w:sz w:val="24"/>
          <w:szCs w:val="24"/>
          <w:lang w:val="en"/>
        </w:rPr>
        <w:t xml:space="preserve"> the sending of sexual messages to children by adults and adults contacting children online or by text message with requests to take and send nude photos.</w:t>
      </w:r>
      <w:r w:rsidR="00A63019" w:rsidRPr="004215BC">
        <w:rPr>
          <w:rFonts w:ascii="Times New Roman" w:hAnsi="Times New Roman" w:cs="Times New Roman"/>
          <w:color w:val="000000"/>
          <w:sz w:val="24"/>
          <w:szCs w:val="24"/>
        </w:rPr>
        <w:t xml:space="preserve"> </w:t>
      </w:r>
    </w:p>
    <w:p w14:paraId="2574464A" w14:textId="421FF0A2" w:rsidR="00560393" w:rsidRPr="00397A09" w:rsidRDefault="00560393" w:rsidP="00397A09">
      <w:pPr>
        <w:spacing w:after="0" w:line="480" w:lineRule="auto"/>
        <w:ind w:firstLine="360"/>
        <w:jc w:val="both"/>
        <w:rPr>
          <w:rFonts w:ascii="Times New Roman" w:hAnsi="Times New Roman" w:cs="Times New Roman"/>
          <w:sz w:val="24"/>
          <w:szCs w:val="24"/>
        </w:rPr>
      </w:pPr>
      <w:r w:rsidRPr="00B23C8F">
        <w:rPr>
          <w:rFonts w:ascii="Times New Roman" w:hAnsi="Times New Roman" w:cs="Times New Roman"/>
          <w:sz w:val="24"/>
          <w:szCs w:val="24"/>
        </w:rPr>
        <w:lastRenderedPageBreak/>
        <w:t xml:space="preserve">Similar results </w:t>
      </w:r>
      <w:r w:rsidR="00397A09">
        <w:rPr>
          <w:rFonts w:ascii="Times New Roman" w:hAnsi="Times New Roman" w:cs="Times New Roman"/>
          <w:sz w:val="24"/>
          <w:szCs w:val="24"/>
        </w:rPr>
        <w:t xml:space="preserve">regarding the prevalence of youth sexting </w:t>
      </w:r>
      <w:r w:rsidRPr="00B23C8F">
        <w:rPr>
          <w:rFonts w:ascii="Times New Roman" w:hAnsi="Times New Roman" w:cs="Times New Roman"/>
          <w:sz w:val="24"/>
          <w:szCs w:val="24"/>
        </w:rPr>
        <w:t xml:space="preserve">have been found in the USA, according to the National Campaign to Prevent Teen and Unplanned Pregnancy </w:t>
      </w:r>
      <w:r w:rsidR="00C96C44">
        <w:rPr>
          <w:rFonts w:ascii="Times New Roman" w:hAnsi="Times New Roman" w:cs="Times New Roman"/>
          <w:sz w:val="24"/>
          <w:szCs w:val="24"/>
        </w:rPr>
        <w:t>2008</w:t>
      </w:r>
      <w:r w:rsidR="00A23AC5">
        <w:rPr>
          <w:rFonts w:ascii="Times New Roman" w:hAnsi="Times New Roman" w:cs="Times New Roman"/>
          <w:sz w:val="24"/>
          <w:szCs w:val="24"/>
        </w:rPr>
        <w:t xml:space="preserve"> </w:t>
      </w:r>
      <w:r w:rsidRPr="00B23C8F">
        <w:rPr>
          <w:rFonts w:ascii="Times New Roman" w:hAnsi="Times New Roman" w:cs="Times New Roman"/>
          <w:sz w:val="24"/>
          <w:szCs w:val="24"/>
        </w:rPr>
        <w:t>20</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teenagers surveyed had sent or posted nude or semi-nude pictures of themselves. Additionally 39</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teen </w:t>
      </w:r>
      <w:r w:rsidR="0056128B">
        <w:rPr>
          <w:rFonts w:ascii="Times New Roman" w:hAnsi="Times New Roman" w:cs="Times New Roman"/>
          <w:sz w:val="24"/>
          <w:szCs w:val="24"/>
        </w:rPr>
        <w:t>females</w:t>
      </w:r>
      <w:r w:rsidRPr="00B23C8F">
        <w:rPr>
          <w:rFonts w:ascii="Times New Roman" w:hAnsi="Times New Roman" w:cs="Times New Roman"/>
          <w:sz w:val="24"/>
          <w:szCs w:val="24"/>
        </w:rPr>
        <w:t xml:space="preserve"> and 38</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teen boys reported being sent nude or </w:t>
      </w:r>
      <w:proofErr w:type="spellStart"/>
      <w:r w:rsidRPr="00B23C8F">
        <w:rPr>
          <w:rFonts w:ascii="Times New Roman" w:hAnsi="Times New Roman" w:cs="Times New Roman"/>
          <w:sz w:val="24"/>
          <w:szCs w:val="24"/>
        </w:rPr>
        <w:t>semi nude</w:t>
      </w:r>
      <w:proofErr w:type="spellEnd"/>
      <w:r w:rsidRPr="00B23C8F">
        <w:rPr>
          <w:rFonts w:ascii="Times New Roman" w:hAnsi="Times New Roman" w:cs="Times New Roman"/>
          <w:sz w:val="24"/>
          <w:szCs w:val="24"/>
        </w:rPr>
        <w:t xml:space="preserve"> images of others, originally intended for someone else.</w:t>
      </w:r>
      <w:r w:rsidR="00C96C44">
        <w:rPr>
          <w:rStyle w:val="FootnoteReference"/>
          <w:rFonts w:ascii="Times New Roman" w:hAnsi="Times New Roman" w:cs="Times New Roman"/>
          <w:sz w:val="24"/>
          <w:szCs w:val="24"/>
        </w:rPr>
        <w:footnoteReference w:id="8"/>
      </w:r>
      <w:r w:rsidRPr="00B23C8F">
        <w:rPr>
          <w:rFonts w:ascii="Times New Roman" w:hAnsi="Times New Roman" w:cs="Times New Roman"/>
          <w:sz w:val="24"/>
          <w:szCs w:val="24"/>
        </w:rPr>
        <w:t xml:space="preserve"> Rice </w:t>
      </w:r>
      <w:r w:rsidR="00C96C44">
        <w:rPr>
          <w:rFonts w:ascii="Times New Roman" w:hAnsi="Times New Roman" w:cs="Times New Roman"/>
          <w:i/>
          <w:sz w:val="24"/>
          <w:szCs w:val="24"/>
        </w:rPr>
        <w:t>et al</w:t>
      </w:r>
      <w:r w:rsidR="00A23AC5">
        <w:rPr>
          <w:rFonts w:ascii="Times New Roman" w:hAnsi="Times New Roman" w:cs="Times New Roman"/>
          <w:sz w:val="24"/>
          <w:szCs w:val="24"/>
        </w:rPr>
        <w:t xml:space="preserve"> </w:t>
      </w:r>
      <w:r w:rsidRPr="00B23C8F">
        <w:rPr>
          <w:rFonts w:ascii="Times New Roman" w:hAnsi="Times New Roman" w:cs="Times New Roman"/>
          <w:sz w:val="24"/>
          <w:szCs w:val="24"/>
        </w:rPr>
        <w:t xml:space="preserve">and Temple </w:t>
      </w:r>
      <w:r w:rsidR="00C96C44">
        <w:rPr>
          <w:rFonts w:ascii="Times New Roman" w:hAnsi="Times New Roman" w:cs="Times New Roman"/>
          <w:i/>
          <w:sz w:val="24"/>
          <w:szCs w:val="24"/>
        </w:rPr>
        <w:t>et al</w:t>
      </w:r>
      <w:r w:rsidRPr="00B23C8F">
        <w:rPr>
          <w:rFonts w:ascii="Times New Roman" w:hAnsi="Times New Roman" w:cs="Times New Roman"/>
          <w:i/>
          <w:sz w:val="24"/>
          <w:szCs w:val="24"/>
        </w:rPr>
        <w:t xml:space="preserve"> </w:t>
      </w:r>
      <w:r w:rsidRPr="00B23C8F">
        <w:rPr>
          <w:rFonts w:ascii="Times New Roman" w:hAnsi="Times New Roman" w:cs="Times New Roman"/>
          <w:sz w:val="24"/>
          <w:szCs w:val="24"/>
        </w:rPr>
        <w:t>found that between 15</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and 28</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older adolescents have sent a </w:t>
      </w:r>
      <w:proofErr w:type="spellStart"/>
      <w:r w:rsidRPr="00B23C8F">
        <w:rPr>
          <w:rFonts w:ascii="Times New Roman" w:hAnsi="Times New Roman" w:cs="Times New Roman"/>
          <w:sz w:val="24"/>
          <w:szCs w:val="24"/>
        </w:rPr>
        <w:t>sext</w:t>
      </w:r>
      <w:proofErr w:type="spellEnd"/>
      <w:r w:rsidRPr="00B23C8F">
        <w:rPr>
          <w:rFonts w:ascii="Times New Roman" w:hAnsi="Times New Roman" w:cs="Times New Roman"/>
          <w:sz w:val="24"/>
          <w:szCs w:val="24"/>
        </w:rPr>
        <w:t>.</w:t>
      </w:r>
      <w:r w:rsidR="00C96C44">
        <w:rPr>
          <w:rStyle w:val="FootnoteReference"/>
          <w:rFonts w:ascii="Times New Roman" w:hAnsi="Times New Roman" w:cs="Times New Roman"/>
          <w:sz w:val="24"/>
          <w:szCs w:val="24"/>
        </w:rPr>
        <w:footnoteReference w:id="9"/>
      </w:r>
      <w:r w:rsidRPr="00B23C8F">
        <w:rPr>
          <w:rFonts w:ascii="Times New Roman" w:hAnsi="Times New Roman" w:cs="Times New Roman"/>
          <w:sz w:val="24"/>
          <w:szCs w:val="24"/>
        </w:rPr>
        <w:t xml:space="preserve"> </w:t>
      </w:r>
      <w:proofErr w:type="spellStart"/>
      <w:r w:rsidRPr="00B23C8F">
        <w:rPr>
          <w:rFonts w:ascii="Times New Roman" w:hAnsi="Times New Roman" w:cs="Times New Roman"/>
          <w:sz w:val="24"/>
          <w:szCs w:val="24"/>
        </w:rPr>
        <w:t>Dowdell</w:t>
      </w:r>
      <w:proofErr w:type="spellEnd"/>
      <w:r w:rsidRPr="00B23C8F">
        <w:rPr>
          <w:rFonts w:ascii="Times New Roman" w:hAnsi="Times New Roman" w:cs="Times New Roman"/>
          <w:sz w:val="24"/>
          <w:szCs w:val="24"/>
        </w:rPr>
        <w:t xml:space="preserve"> </w:t>
      </w:r>
      <w:r w:rsidRPr="009274DA">
        <w:rPr>
          <w:rFonts w:ascii="Times New Roman" w:hAnsi="Times New Roman" w:cs="Times New Roman"/>
          <w:i/>
          <w:sz w:val="24"/>
          <w:szCs w:val="24"/>
        </w:rPr>
        <w:t xml:space="preserve">et </w:t>
      </w:r>
      <w:r w:rsidR="00C96C44">
        <w:rPr>
          <w:rFonts w:ascii="Times New Roman" w:hAnsi="Times New Roman" w:cs="Times New Roman"/>
          <w:i/>
          <w:sz w:val="24"/>
          <w:szCs w:val="24"/>
        </w:rPr>
        <w:t>al</w:t>
      </w:r>
      <w:r w:rsidRPr="00B23C8F">
        <w:rPr>
          <w:rFonts w:ascii="Times New Roman" w:hAnsi="Times New Roman" w:cs="Times New Roman"/>
          <w:sz w:val="24"/>
          <w:szCs w:val="24"/>
        </w:rPr>
        <w:t xml:space="preserve"> </w:t>
      </w:r>
      <w:r w:rsidR="00A23AC5">
        <w:rPr>
          <w:rFonts w:ascii="Times New Roman" w:hAnsi="Times New Roman" w:cs="Times New Roman"/>
          <w:sz w:val="24"/>
          <w:szCs w:val="24"/>
        </w:rPr>
        <w:t xml:space="preserve"> </w:t>
      </w:r>
      <w:r w:rsidRPr="00B23C8F">
        <w:rPr>
          <w:rFonts w:ascii="Times New Roman" w:hAnsi="Times New Roman" w:cs="Times New Roman"/>
          <w:sz w:val="24"/>
          <w:szCs w:val="24"/>
        </w:rPr>
        <w:t>reported that 15</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of their High School sample had been sent a </w:t>
      </w:r>
      <w:proofErr w:type="spellStart"/>
      <w:r w:rsidRPr="00B23C8F">
        <w:rPr>
          <w:rFonts w:ascii="Times New Roman" w:hAnsi="Times New Roman" w:cs="Times New Roman"/>
          <w:sz w:val="24"/>
          <w:szCs w:val="24"/>
        </w:rPr>
        <w:t>sext</w:t>
      </w:r>
      <w:proofErr w:type="spellEnd"/>
      <w:r w:rsidRPr="00B23C8F">
        <w:rPr>
          <w:rFonts w:ascii="Times New Roman" w:hAnsi="Times New Roman" w:cs="Times New Roman"/>
          <w:sz w:val="24"/>
          <w:szCs w:val="24"/>
        </w:rPr>
        <w:t xml:space="preserve"> and 33</w:t>
      </w:r>
      <w:r w:rsidR="00BC5D77">
        <w:rPr>
          <w:rFonts w:ascii="Times New Roman" w:hAnsi="Times New Roman" w:cs="Times New Roman"/>
          <w:sz w:val="24"/>
          <w:szCs w:val="24"/>
        </w:rPr>
        <w:t>%</w:t>
      </w:r>
      <w:r w:rsidRPr="00B23C8F">
        <w:rPr>
          <w:rFonts w:ascii="Times New Roman" w:hAnsi="Times New Roman" w:cs="Times New Roman"/>
          <w:sz w:val="24"/>
          <w:szCs w:val="24"/>
        </w:rPr>
        <w:t xml:space="preserve"> reported knowing someone who had been involved in sexting. </w:t>
      </w:r>
      <w:r w:rsidRPr="00B23C8F">
        <w:rPr>
          <w:rFonts w:ascii="Times New Roman" w:hAnsi="Times New Roman" w:cs="Times New Roman"/>
          <w:sz w:val="24"/>
          <w:szCs w:val="24"/>
          <w:lang w:val="en"/>
        </w:rPr>
        <w:t>Some studies have challenged these statistics.</w:t>
      </w:r>
      <w:r w:rsidR="00C96C44">
        <w:rPr>
          <w:rStyle w:val="FootnoteReference"/>
          <w:rFonts w:ascii="Times New Roman" w:hAnsi="Times New Roman" w:cs="Times New Roman"/>
          <w:sz w:val="24"/>
          <w:szCs w:val="24"/>
          <w:lang w:val="en"/>
        </w:rPr>
        <w:footnoteReference w:id="10"/>
      </w:r>
      <w:r w:rsidRPr="00B23C8F">
        <w:rPr>
          <w:rFonts w:ascii="Times New Roman" w:hAnsi="Times New Roman" w:cs="Times New Roman"/>
          <w:sz w:val="24"/>
          <w:szCs w:val="24"/>
          <w:lang w:val="en"/>
        </w:rPr>
        <w:t xml:space="preserve"> A report by</w:t>
      </w:r>
      <w:r>
        <w:rPr>
          <w:rFonts w:ascii="Times New Roman" w:hAnsi="Times New Roman" w:cs="Times New Roman"/>
          <w:sz w:val="24"/>
          <w:szCs w:val="24"/>
          <w:lang w:val="en"/>
        </w:rPr>
        <w:t xml:space="preserve"> the</w:t>
      </w:r>
      <w:r w:rsidRPr="00B23C8F">
        <w:rPr>
          <w:rFonts w:ascii="Times New Roman" w:hAnsi="Times New Roman" w:cs="Times New Roman"/>
          <w:sz w:val="24"/>
          <w:szCs w:val="24"/>
          <w:lang w:val="en"/>
        </w:rPr>
        <w:t xml:space="preserve"> Pew R</w:t>
      </w:r>
      <w:r w:rsidR="00D35E63">
        <w:rPr>
          <w:rFonts w:ascii="Times New Roman" w:hAnsi="Times New Roman" w:cs="Times New Roman"/>
          <w:sz w:val="24"/>
          <w:szCs w:val="24"/>
          <w:lang w:val="en"/>
        </w:rPr>
        <w:t>esearch Center found that only five</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14–17-year-olds have sexted imagery of themselves and 18</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have received such imagery.</w:t>
      </w:r>
      <w:r w:rsidR="00C96C44">
        <w:rPr>
          <w:rStyle w:val="FootnoteReference"/>
          <w:rFonts w:ascii="Times New Roman" w:hAnsi="Times New Roman" w:cs="Times New Roman"/>
          <w:sz w:val="24"/>
          <w:szCs w:val="24"/>
          <w:lang w:val="en"/>
        </w:rPr>
        <w:footnoteReference w:id="11"/>
      </w:r>
      <w:r w:rsidRPr="00B23C8F">
        <w:rPr>
          <w:rFonts w:ascii="Times New Roman" w:hAnsi="Times New Roman" w:cs="Times New Roman"/>
          <w:sz w:val="24"/>
          <w:szCs w:val="24"/>
          <w:lang w:val="en"/>
        </w:rPr>
        <w:t xml:space="preserve"> The Crimes Against Children Research Center national study </w:t>
      </w:r>
      <w:r>
        <w:rPr>
          <w:rFonts w:ascii="Times New Roman" w:hAnsi="Times New Roman" w:cs="Times New Roman"/>
          <w:sz w:val="24"/>
          <w:szCs w:val="24"/>
          <w:lang w:val="en"/>
        </w:rPr>
        <w:t>suggests even lower figures,</w:t>
      </w:r>
      <w:r w:rsidRPr="00B23C8F">
        <w:rPr>
          <w:rFonts w:ascii="Times New Roman" w:hAnsi="Times New Roman" w:cs="Times New Roman"/>
          <w:sz w:val="24"/>
          <w:szCs w:val="24"/>
          <w:lang w:val="en"/>
        </w:rPr>
        <w:t xml:space="preserve"> </w:t>
      </w:r>
      <w:r>
        <w:rPr>
          <w:rFonts w:ascii="Times New Roman" w:hAnsi="Times New Roman" w:cs="Times New Roman"/>
          <w:sz w:val="24"/>
          <w:szCs w:val="24"/>
          <w:lang w:val="en"/>
        </w:rPr>
        <w:t>o</w:t>
      </w:r>
      <w:r w:rsidRPr="00B23C8F">
        <w:rPr>
          <w:rFonts w:ascii="Times New Roman" w:hAnsi="Times New Roman" w:cs="Times New Roman"/>
          <w:sz w:val="24"/>
          <w:szCs w:val="24"/>
          <w:lang w:val="en"/>
        </w:rPr>
        <w:t xml:space="preserve">f </w:t>
      </w:r>
      <w:r>
        <w:rPr>
          <w:rFonts w:ascii="Times New Roman" w:hAnsi="Times New Roman" w:cs="Times New Roman"/>
          <w:sz w:val="24"/>
          <w:szCs w:val="24"/>
          <w:lang w:val="en"/>
        </w:rPr>
        <w:t>the 1560 10–17-year-olds surv</w:t>
      </w:r>
      <w:r w:rsidR="00D35E63">
        <w:rPr>
          <w:rFonts w:ascii="Times New Roman" w:hAnsi="Times New Roman" w:cs="Times New Roman"/>
          <w:sz w:val="24"/>
          <w:szCs w:val="24"/>
          <w:lang w:val="en"/>
        </w:rPr>
        <w:t>eyed, nine</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reported having created or received nude or nearly nude images, and</w:t>
      </w:r>
      <w:r w:rsidR="00D35E63">
        <w:rPr>
          <w:rFonts w:ascii="Times New Roman" w:hAnsi="Times New Roman" w:cs="Times New Roman"/>
          <w:sz w:val="24"/>
          <w:szCs w:val="24"/>
          <w:lang w:val="en"/>
        </w:rPr>
        <w:t xml:space="preserve"> only one</w:t>
      </w:r>
      <w:r w:rsidR="00BC5D77">
        <w:rPr>
          <w:rFonts w:ascii="Times New Roman" w:hAnsi="Times New Roman" w:cs="Times New Roman"/>
          <w:sz w:val="24"/>
          <w:szCs w:val="24"/>
          <w:lang w:val="en"/>
        </w:rPr>
        <w:t>%</w:t>
      </w:r>
      <w:r>
        <w:rPr>
          <w:rFonts w:ascii="Times New Roman" w:hAnsi="Times New Roman" w:cs="Times New Roman"/>
          <w:sz w:val="24"/>
          <w:szCs w:val="24"/>
          <w:lang w:val="en"/>
        </w:rPr>
        <w:t xml:space="preserve"> reported</w:t>
      </w:r>
      <w:r w:rsidRPr="00B23C8F">
        <w:rPr>
          <w:rFonts w:ascii="Times New Roman" w:hAnsi="Times New Roman" w:cs="Times New Roman"/>
          <w:sz w:val="24"/>
          <w:szCs w:val="24"/>
          <w:lang w:val="en"/>
        </w:rPr>
        <w:t xml:space="preserve"> having created images of themselves that show breasts, genitals, or bottoms.</w:t>
      </w:r>
      <w:r w:rsidR="00C96C44">
        <w:rPr>
          <w:rStyle w:val="FootnoteReference"/>
          <w:rFonts w:ascii="Times New Roman" w:hAnsi="Times New Roman" w:cs="Times New Roman"/>
          <w:sz w:val="24"/>
          <w:szCs w:val="24"/>
          <w:lang w:val="en"/>
        </w:rPr>
        <w:footnoteReference w:id="12"/>
      </w:r>
      <w:r w:rsidRPr="00B23C8F">
        <w:rPr>
          <w:rFonts w:ascii="Times New Roman" w:hAnsi="Times New Roman" w:cs="Times New Roman"/>
          <w:sz w:val="24"/>
          <w:szCs w:val="24"/>
          <w:lang w:val="en"/>
        </w:rPr>
        <w:t xml:space="preserve"> Part of a 25-country study, the EU Kids Online project found that 12</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11–16-year-old teens have seen or received online sexual messag</w:t>
      </w:r>
      <w:r w:rsidR="00D35E63">
        <w:rPr>
          <w:rFonts w:ascii="Times New Roman" w:hAnsi="Times New Roman" w:cs="Times New Roman"/>
          <w:sz w:val="24"/>
          <w:szCs w:val="24"/>
          <w:lang w:val="en"/>
        </w:rPr>
        <w:t>es, although this decreases to four</w:t>
      </w:r>
      <w:r w:rsidR="00BC5D77">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of that group within the past year.</w:t>
      </w:r>
      <w:r w:rsidR="00C96C44">
        <w:rPr>
          <w:rStyle w:val="FootnoteReference"/>
          <w:rFonts w:ascii="Times New Roman" w:hAnsi="Times New Roman" w:cs="Times New Roman"/>
          <w:sz w:val="24"/>
          <w:szCs w:val="24"/>
          <w:lang w:val="en"/>
        </w:rPr>
        <w:footnoteReference w:id="13"/>
      </w:r>
      <w:r w:rsidR="008220D9">
        <w:rPr>
          <w:rFonts w:ascii="Times New Roman" w:hAnsi="Times New Roman" w:cs="Times New Roman"/>
          <w:sz w:val="24"/>
          <w:szCs w:val="24"/>
          <w:lang w:val="en"/>
        </w:rPr>
        <w:t xml:space="preserve"> These inconsistencies may be due to differences in how ‘sexting’ is defined as well as variations between methods and samples.</w:t>
      </w:r>
      <w:r w:rsidR="00C96C44">
        <w:rPr>
          <w:rStyle w:val="FootnoteReference"/>
          <w:rFonts w:ascii="Times New Roman" w:hAnsi="Times New Roman" w:cs="Times New Roman"/>
          <w:sz w:val="24"/>
          <w:szCs w:val="24"/>
          <w:lang w:val="en"/>
        </w:rPr>
        <w:footnoteReference w:id="14"/>
      </w:r>
      <w:r w:rsidR="008220D9">
        <w:rPr>
          <w:rFonts w:ascii="Times New Roman" w:hAnsi="Times New Roman" w:cs="Times New Roman"/>
          <w:sz w:val="24"/>
          <w:szCs w:val="24"/>
          <w:lang w:val="en"/>
        </w:rPr>
        <w:t xml:space="preserve"> </w:t>
      </w:r>
      <w:r w:rsidRPr="00B34107">
        <w:rPr>
          <w:rFonts w:ascii="Times New Roman" w:hAnsi="Times New Roman" w:cs="Times New Roman"/>
          <w:sz w:val="24"/>
          <w:szCs w:val="24"/>
        </w:rPr>
        <w:t>These figures, although contested, suggest</w:t>
      </w:r>
      <w:r w:rsidRPr="00B34107">
        <w:rPr>
          <w:rFonts w:ascii="Times New Roman" w:hAnsi="Times New Roman" w:cs="Times New Roman"/>
          <w:b/>
          <w:sz w:val="24"/>
          <w:szCs w:val="24"/>
        </w:rPr>
        <w:t xml:space="preserve"> </w:t>
      </w:r>
      <w:r w:rsidRPr="00B34107">
        <w:rPr>
          <w:rFonts w:ascii="Times New Roman" w:hAnsi="Times New Roman" w:cs="Times New Roman"/>
          <w:sz w:val="24"/>
          <w:szCs w:val="24"/>
        </w:rPr>
        <w:t>that sharing self-</w:t>
      </w:r>
      <w:r w:rsidRPr="00B34107">
        <w:rPr>
          <w:rFonts w:ascii="Times New Roman" w:hAnsi="Times New Roman" w:cs="Times New Roman"/>
          <w:sz w:val="24"/>
          <w:szCs w:val="24"/>
        </w:rPr>
        <w:lastRenderedPageBreak/>
        <w:t xml:space="preserve">generated sexual images has become a more normalised part of modern growing-up, even if it is not all pervasive. This creates a number of problems in how </w:t>
      </w:r>
      <w:r w:rsidR="005849D3">
        <w:rPr>
          <w:rFonts w:ascii="Times New Roman" w:hAnsi="Times New Roman" w:cs="Times New Roman"/>
          <w:sz w:val="24"/>
          <w:szCs w:val="24"/>
        </w:rPr>
        <w:t>English</w:t>
      </w:r>
      <w:r w:rsidRPr="00B34107">
        <w:rPr>
          <w:rFonts w:ascii="Times New Roman" w:hAnsi="Times New Roman" w:cs="Times New Roman"/>
          <w:sz w:val="24"/>
          <w:szCs w:val="24"/>
        </w:rPr>
        <w:t xml:space="preserve"> law responds to this activity and more broadly how the law conceptualises the sexual behaviour of young people.</w:t>
      </w:r>
    </w:p>
    <w:p w14:paraId="78B955E1" w14:textId="77777777" w:rsidR="00C85EA9" w:rsidRDefault="00C85EA9" w:rsidP="00C85EA9">
      <w:pPr>
        <w:spacing w:after="0" w:line="480" w:lineRule="auto"/>
        <w:rPr>
          <w:rFonts w:ascii="Times New Roman" w:hAnsi="Times New Roman" w:cs="Times New Roman"/>
          <w:sz w:val="24"/>
          <w:szCs w:val="24"/>
        </w:rPr>
      </w:pPr>
    </w:p>
    <w:p w14:paraId="75963DE3" w14:textId="343C9E8D" w:rsidR="00370228" w:rsidRPr="00A31C78" w:rsidRDefault="00A31C78" w:rsidP="00A31C78">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III. </w:t>
      </w:r>
      <w:r w:rsidR="00370228" w:rsidRPr="00A31C78">
        <w:rPr>
          <w:rFonts w:ascii="Times New Roman" w:eastAsiaTheme="minorEastAsia" w:hAnsi="Times New Roman" w:cs="Times New Roman"/>
          <w:b/>
          <w:caps/>
          <w:sz w:val="24"/>
          <w:szCs w:val="24"/>
        </w:rPr>
        <w:t>The legal response to youth consensual sexting</w:t>
      </w:r>
    </w:p>
    <w:p w14:paraId="2F773602" w14:textId="706027A4" w:rsidR="00C839F7" w:rsidRDefault="00A37B77" w:rsidP="0093068F">
      <w:pPr>
        <w:pStyle w:val="NormalWeb"/>
        <w:spacing w:line="480" w:lineRule="auto"/>
        <w:jc w:val="both"/>
      </w:pPr>
      <w:r>
        <w:t>T</w:t>
      </w:r>
      <w:r w:rsidR="00314A1F">
        <w:t xml:space="preserve">he age at which young people can lawfully consent to engage in sexual activity is </w:t>
      </w:r>
      <w:r w:rsidR="00DB086E">
        <w:t xml:space="preserve">currently </w:t>
      </w:r>
      <w:r w:rsidR="00314A1F">
        <w:t>16 years</w:t>
      </w:r>
      <w:r w:rsidR="00DB086E" w:rsidRPr="00DB086E">
        <w:t xml:space="preserve"> </w:t>
      </w:r>
      <w:r w:rsidR="00DB086E">
        <w:t>in England and Wales</w:t>
      </w:r>
      <w:r w:rsidR="00314A1F">
        <w:t xml:space="preserve">. </w:t>
      </w:r>
      <w:r w:rsidR="00314A1F">
        <w:rPr>
          <w:rFonts w:ascii="GaramondThree" w:hAnsi="GaramondThree" w:cs="GaramondThree"/>
        </w:rPr>
        <w:t>Age of consent legislation defines the age at which individuals are legitimately regarded as sexual citizens with the right to engage in sexual conduct in personal relationships.</w:t>
      </w:r>
      <w:r w:rsidR="00C96C44">
        <w:rPr>
          <w:rStyle w:val="FootnoteReference"/>
          <w:rFonts w:ascii="GaramondThree" w:hAnsi="GaramondThree" w:cs="GaramondThree"/>
        </w:rPr>
        <w:footnoteReference w:id="15"/>
      </w:r>
      <w:r w:rsidR="001B6ECF">
        <w:rPr>
          <w:rFonts w:ascii="GaramondThree" w:hAnsi="GaramondThree" w:cs="GaramondThree"/>
        </w:rPr>
        <w:t xml:space="preserve"> The age of consent laws are </w:t>
      </w:r>
      <w:r w:rsidR="003106FF">
        <w:rPr>
          <w:rFonts w:ascii="GaramondThree" w:hAnsi="GaramondThree" w:cs="GaramondThree"/>
        </w:rPr>
        <w:t xml:space="preserve">also </w:t>
      </w:r>
      <w:r w:rsidR="001B6ECF">
        <w:rPr>
          <w:rFonts w:ascii="GaramondThree" w:hAnsi="GaramondThree" w:cs="GaramondThree"/>
        </w:rPr>
        <w:t>intended to protect children from sexual relations by criminalising all forms of sexual behaviour involving young people</w:t>
      </w:r>
      <w:r w:rsidR="00E0475A">
        <w:rPr>
          <w:rFonts w:ascii="GaramondThree" w:hAnsi="GaramondThree" w:cs="GaramondThree"/>
        </w:rPr>
        <w:t xml:space="preserve"> below the age of consent</w:t>
      </w:r>
      <w:r w:rsidR="001B6ECF">
        <w:rPr>
          <w:rFonts w:ascii="GaramondThree" w:hAnsi="GaramondThree" w:cs="GaramondThree"/>
        </w:rPr>
        <w:t xml:space="preserve">. Children </w:t>
      </w:r>
      <w:r w:rsidR="0056128B">
        <w:rPr>
          <w:rFonts w:ascii="GaramondThree" w:hAnsi="GaramondThree" w:cs="GaramondThree"/>
        </w:rPr>
        <w:t xml:space="preserve">under 16 </w:t>
      </w:r>
      <w:r w:rsidR="001B6ECF">
        <w:rPr>
          <w:rFonts w:ascii="GaramondThree" w:hAnsi="GaramondThree" w:cs="GaramondThree"/>
        </w:rPr>
        <w:t xml:space="preserve">are </w:t>
      </w:r>
      <w:r w:rsidR="00AA1D13">
        <w:rPr>
          <w:rFonts w:ascii="GaramondThree" w:hAnsi="GaramondThree" w:cs="GaramondThree"/>
        </w:rPr>
        <w:t xml:space="preserve">thus </w:t>
      </w:r>
      <w:r w:rsidR="001B6ECF">
        <w:rPr>
          <w:rFonts w:ascii="GaramondThree" w:hAnsi="GaramondThree" w:cs="GaramondThree"/>
        </w:rPr>
        <w:t xml:space="preserve">constructed </w:t>
      </w:r>
      <w:r w:rsidR="0056128B">
        <w:rPr>
          <w:rFonts w:ascii="GaramondThree" w:hAnsi="GaramondThree" w:cs="GaramondThree"/>
        </w:rPr>
        <w:t xml:space="preserve">by the 2003 Act </w:t>
      </w:r>
      <w:r w:rsidR="001B6ECF">
        <w:rPr>
          <w:rFonts w:ascii="GaramondThree" w:hAnsi="GaramondThree" w:cs="GaramondThree"/>
        </w:rPr>
        <w:t xml:space="preserve">as </w:t>
      </w:r>
      <w:r w:rsidR="00D4289B">
        <w:rPr>
          <w:rFonts w:ascii="GaramondThree" w:hAnsi="GaramondThree" w:cs="GaramondThree"/>
        </w:rPr>
        <w:t xml:space="preserve">immature, </w:t>
      </w:r>
      <w:r w:rsidR="001B6ECF">
        <w:rPr>
          <w:rFonts w:ascii="GaramondThree" w:hAnsi="GaramondThree" w:cs="GaramondThree"/>
        </w:rPr>
        <w:t xml:space="preserve">naïve, helpless victims </w:t>
      </w:r>
      <w:r w:rsidR="00D4289B">
        <w:t xml:space="preserve">with </w:t>
      </w:r>
      <w:r w:rsidR="001B6ECF" w:rsidRPr="00D4289B">
        <w:t xml:space="preserve">a </w:t>
      </w:r>
      <w:r w:rsidR="00D844D4">
        <w:t>‘</w:t>
      </w:r>
      <w:r w:rsidR="001B6ECF" w:rsidRPr="00D4289B">
        <w:t>lack of sexual knowledge</w:t>
      </w:r>
      <w:r w:rsidR="00D844D4">
        <w:t>’</w:t>
      </w:r>
      <w:r w:rsidR="001B6ECF" w:rsidRPr="00D4289B">
        <w:t xml:space="preserve"> and an </w:t>
      </w:r>
      <w:r w:rsidR="00D844D4">
        <w:t>‘</w:t>
      </w:r>
      <w:r w:rsidR="001B6ECF" w:rsidRPr="00D4289B">
        <w:t>inability to make or understand sexual decisions</w:t>
      </w:r>
      <w:r w:rsidR="00D844D4">
        <w:t>’</w:t>
      </w:r>
      <w:r w:rsidR="001B6ECF" w:rsidRPr="00D4289B">
        <w:t>.</w:t>
      </w:r>
      <w:r w:rsidR="00C96C44">
        <w:rPr>
          <w:rStyle w:val="FootnoteReference"/>
        </w:rPr>
        <w:footnoteReference w:id="16"/>
      </w:r>
      <w:r w:rsidR="00D4289B">
        <w:t xml:space="preserve"> </w:t>
      </w:r>
      <w:r w:rsidR="00DB086E">
        <w:t>T</w:t>
      </w:r>
      <w:r w:rsidR="00D4289B">
        <w:t xml:space="preserve">his </w:t>
      </w:r>
      <w:r w:rsidR="0056128B">
        <w:t xml:space="preserve">construction of young people </w:t>
      </w:r>
      <w:r w:rsidR="00E468FF">
        <w:t xml:space="preserve">as in need of protection </w:t>
      </w:r>
      <w:r w:rsidR="00D4289B">
        <w:t>means that</w:t>
      </w:r>
      <w:r w:rsidR="00FA3F57">
        <w:t xml:space="preserve"> non-exploitative</w:t>
      </w:r>
      <w:r w:rsidR="00D4289B">
        <w:t xml:space="preserve"> </w:t>
      </w:r>
      <w:r w:rsidR="001B6ECF">
        <w:rPr>
          <w:rFonts w:ascii="GaramondThree" w:hAnsi="GaramondThree" w:cs="GaramondThree"/>
        </w:rPr>
        <w:t>consen</w:t>
      </w:r>
      <w:r w:rsidR="00D4289B">
        <w:rPr>
          <w:rFonts w:ascii="GaramondThree" w:hAnsi="GaramondThree" w:cs="GaramondThree"/>
        </w:rPr>
        <w:t>sual sexualised</w:t>
      </w:r>
      <w:r w:rsidR="001B6ECF">
        <w:rPr>
          <w:rFonts w:ascii="GaramondThree" w:hAnsi="GaramondThree" w:cs="GaramondThree"/>
        </w:rPr>
        <w:t xml:space="preserve"> behaviour between young people </w:t>
      </w:r>
      <w:r w:rsidR="00791410">
        <w:rPr>
          <w:rFonts w:ascii="GaramondThree" w:hAnsi="GaramondThree" w:cs="GaramondThree"/>
        </w:rPr>
        <w:t xml:space="preserve">where one of them is below the age of consent </w:t>
      </w:r>
      <w:r w:rsidR="003106FF">
        <w:rPr>
          <w:rFonts w:ascii="GaramondThree" w:hAnsi="GaramondThree" w:cs="GaramondThree"/>
        </w:rPr>
        <w:t>could</w:t>
      </w:r>
      <w:r w:rsidR="0056128B">
        <w:rPr>
          <w:rFonts w:ascii="GaramondThree" w:hAnsi="GaramondThree" w:cs="GaramondThree"/>
        </w:rPr>
        <w:t xml:space="preserve"> be</w:t>
      </w:r>
      <w:r w:rsidR="00D4289B">
        <w:rPr>
          <w:rFonts w:ascii="GaramondThree" w:hAnsi="GaramondThree" w:cs="GaramondThree"/>
        </w:rPr>
        <w:t xml:space="preserve"> criminalised, including </w:t>
      </w:r>
      <w:r w:rsidR="001B6ECF">
        <w:rPr>
          <w:rFonts w:ascii="GaramondThree" w:hAnsi="GaramondThree" w:cs="GaramondThree"/>
        </w:rPr>
        <w:t>mouth-to-mouth kissing, sexual exploration and young people sharing pornographic materials amongst themselves.</w:t>
      </w:r>
      <w:r w:rsidR="000E57A9">
        <w:rPr>
          <w:rStyle w:val="FootnoteReference"/>
          <w:rFonts w:ascii="GaramondThree" w:hAnsi="GaramondThree" w:cs="GaramondThree"/>
        </w:rPr>
        <w:footnoteReference w:id="17"/>
      </w:r>
      <w:r w:rsidR="00D4289B">
        <w:rPr>
          <w:rFonts w:ascii="GaramondThree" w:hAnsi="GaramondThree" w:cs="GaramondThree"/>
        </w:rPr>
        <w:t xml:space="preserve"> </w:t>
      </w:r>
      <w:r w:rsidR="00D4289B" w:rsidRPr="00D4289B">
        <w:t xml:space="preserve">As such </w:t>
      </w:r>
      <w:r w:rsidR="00383F6B">
        <w:t xml:space="preserve">youth sexuality is defined as inherently illegitimate and </w:t>
      </w:r>
      <w:r w:rsidR="00D4289B" w:rsidRPr="00D4289B">
        <w:t>the sexual subjectivity of young people that claims desire, autonomy and consent is erased.</w:t>
      </w:r>
      <w:r w:rsidR="000E57A9">
        <w:rPr>
          <w:rStyle w:val="FootnoteReference"/>
        </w:rPr>
        <w:footnoteReference w:id="18"/>
      </w:r>
    </w:p>
    <w:p w14:paraId="3D1AA55D" w14:textId="409B583B" w:rsidR="009532EC" w:rsidRPr="005546E3" w:rsidRDefault="006E695D" w:rsidP="00231029">
      <w:pPr>
        <w:pStyle w:val="NormalWeb"/>
        <w:spacing w:line="480" w:lineRule="auto"/>
        <w:ind w:firstLine="720"/>
        <w:jc w:val="both"/>
      </w:pPr>
      <w:r>
        <w:lastRenderedPageBreak/>
        <w:t xml:space="preserve">The epistemological assumption that young people’s sexuality needs to be managed and regulated </w:t>
      </w:r>
      <w:r w:rsidRPr="00B23C8F">
        <w:t xml:space="preserve">is also </w:t>
      </w:r>
      <w:r>
        <w:t xml:space="preserve">reflected in child pornography laws and the response to consensual </w:t>
      </w:r>
      <w:r w:rsidR="004E65D4">
        <w:t xml:space="preserve">non-exploitive </w:t>
      </w:r>
      <w:r>
        <w:t xml:space="preserve">youth sexting. </w:t>
      </w:r>
      <w:r w:rsidRPr="00B23C8F">
        <w:t xml:space="preserve">In England and Wales </w:t>
      </w:r>
      <w:r>
        <w:t>any creation or transfer of</w:t>
      </w:r>
      <w:r w:rsidRPr="00B23C8F">
        <w:t xml:space="preserve"> naked image</w:t>
      </w:r>
      <w:r>
        <w:t xml:space="preserve">s of young people </w:t>
      </w:r>
      <w:r w:rsidRPr="00B23C8F">
        <w:t>potentially constitutes a criminal act of possessing, transmitting, viewing or downloading indecent images of children under the Protection of Children Act 1978. Section 1 of the 1978 Act ma</w:t>
      </w:r>
      <w:r>
        <w:t>de</w:t>
      </w:r>
      <w:r w:rsidRPr="00B23C8F">
        <w:t xml:space="preserve"> it an offence to take an indecent photograph of a child under 1</w:t>
      </w:r>
      <w:r>
        <w:t>6</w:t>
      </w:r>
      <w:r w:rsidRPr="00B23C8F">
        <w:t xml:space="preserve"> years of age and also criminalises distributing an indecent photograph of a child. Conviction of these offences carries a maximum 10 years imprisonment and a requirement to comply with Sex Offenders Registration conditions. </w:t>
      </w:r>
      <w:r>
        <w:t xml:space="preserve">The Sexual Offences Act 2003 extended the reach of the 1978 Act by redefining the child as </w:t>
      </w:r>
      <w:r w:rsidR="00D844D4">
        <w:t>‘</w:t>
      </w:r>
      <w:r>
        <w:t>all persons under 18</w:t>
      </w:r>
      <w:r w:rsidR="00D844D4">
        <w:t>’</w:t>
      </w:r>
      <w:r>
        <w:t xml:space="preserve"> years of age, rather than 16. Therefore while 16 and 17 year olds can consent to engage in sexual activity, they cannot </w:t>
      </w:r>
      <w:r w:rsidR="005546E3">
        <w:t xml:space="preserve">take </w:t>
      </w:r>
      <w:r>
        <w:t>a photograph or mak</w:t>
      </w:r>
      <w:r w:rsidR="005546E3">
        <w:t>e</w:t>
      </w:r>
      <w:r>
        <w:t xml:space="preserve"> a video unless they are married or in an </w:t>
      </w:r>
      <w:r w:rsidR="00D844D4">
        <w:t>‘</w:t>
      </w:r>
      <w:r>
        <w:t>enduring family relationship</w:t>
      </w:r>
      <w:r w:rsidR="00D844D4">
        <w:t>’</w:t>
      </w:r>
      <w:r>
        <w:t>.</w:t>
      </w:r>
      <w:r w:rsidR="00231029">
        <w:rPr>
          <w:rStyle w:val="FootnoteReference"/>
        </w:rPr>
        <w:footnoteReference w:id="19"/>
      </w:r>
      <w:r w:rsidR="009532EC">
        <w:t xml:space="preserve"> While the 2003 Act provides no guidance on what constitutes an ‘enduring family relationship’, it is clear that the young people must be at least living together.</w:t>
      </w:r>
      <w:r w:rsidR="00231029">
        <w:rPr>
          <w:rStyle w:val="FootnoteReference"/>
        </w:rPr>
        <w:footnoteReference w:id="20"/>
      </w:r>
      <w:r w:rsidR="009532EC">
        <w:t xml:space="preserve"> Otherwise any young people under 18 years of age who engage in consensual sexting are at risk of being charged with child pornography </w:t>
      </w:r>
      <w:r w:rsidR="009532EC" w:rsidRPr="005546E3">
        <w:t>offences under the 1978 Act.</w:t>
      </w:r>
    </w:p>
    <w:p w14:paraId="4246AD23" w14:textId="5B181C08" w:rsidR="009532EC" w:rsidRPr="005546E3" w:rsidRDefault="009532EC" w:rsidP="005546E3">
      <w:pPr>
        <w:spacing w:line="480" w:lineRule="auto"/>
        <w:ind w:firstLine="720"/>
        <w:jc w:val="both"/>
        <w:rPr>
          <w:rFonts w:ascii="Times New Roman" w:hAnsi="Times New Roman" w:cs="Times New Roman"/>
          <w:sz w:val="24"/>
          <w:szCs w:val="24"/>
        </w:rPr>
      </w:pPr>
      <w:r w:rsidRPr="005546E3">
        <w:rPr>
          <w:rFonts w:ascii="Times New Roman" w:hAnsi="Times New Roman" w:cs="Times New Roman"/>
          <w:sz w:val="24"/>
          <w:szCs w:val="24"/>
          <w:lang w:val="en"/>
        </w:rPr>
        <w:t xml:space="preserve">Conceptualizing childhood sexuality within the discourse of protection creates a framework which </w:t>
      </w:r>
      <w:r w:rsidR="00882190">
        <w:rPr>
          <w:rFonts w:ascii="Times New Roman" w:hAnsi="Times New Roman" w:cs="Times New Roman"/>
          <w:sz w:val="24"/>
          <w:szCs w:val="24"/>
          <w:lang w:val="en"/>
        </w:rPr>
        <w:t>limits</w:t>
      </w:r>
      <w:r w:rsidRPr="005546E3">
        <w:rPr>
          <w:rFonts w:ascii="Times New Roman" w:hAnsi="Times New Roman" w:cs="Times New Roman"/>
          <w:sz w:val="24"/>
          <w:szCs w:val="24"/>
          <w:lang w:val="en"/>
        </w:rPr>
        <w:t xml:space="preserve"> space for the sexual subjectivity of young people, their agency or recognition of their rights as sexual citizens. In the USA the legal approach to sexting</w:t>
      </w:r>
      <w:r w:rsidRPr="005546E3">
        <w:rPr>
          <w:rFonts w:ascii="Times New Roman" w:hAnsi="Times New Roman" w:cs="Times New Roman"/>
          <w:sz w:val="24"/>
          <w:szCs w:val="24"/>
        </w:rPr>
        <w:t xml:space="preserve">, similar to the approach in England and Wales, seeks to marginalise and make invisible young people’s sexuality and sexual identity and inhibit their exploration of their own sexuality. For example in </w:t>
      </w:r>
      <w:r w:rsidRPr="005546E3">
        <w:rPr>
          <w:rFonts w:ascii="Times New Roman" w:hAnsi="Times New Roman" w:cs="Times New Roman"/>
          <w:i/>
          <w:sz w:val="24"/>
          <w:szCs w:val="24"/>
        </w:rPr>
        <w:t xml:space="preserve">Miller v </w:t>
      </w:r>
      <w:proofErr w:type="spellStart"/>
      <w:r w:rsidRPr="005546E3">
        <w:rPr>
          <w:rFonts w:ascii="Times New Roman" w:hAnsi="Times New Roman" w:cs="Times New Roman"/>
          <w:i/>
          <w:sz w:val="24"/>
          <w:szCs w:val="24"/>
        </w:rPr>
        <w:t>Skumanik</w:t>
      </w:r>
      <w:proofErr w:type="spellEnd"/>
      <w:r w:rsidR="00231029">
        <w:rPr>
          <w:rStyle w:val="FootnoteReference"/>
          <w:rFonts w:ascii="Times New Roman" w:hAnsi="Times New Roman" w:cs="Times New Roman"/>
          <w:i/>
          <w:sz w:val="24"/>
          <w:szCs w:val="24"/>
        </w:rPr>
        <w:footnoteReference w:id="21"/>
      </w:r>
      <w:r w:rsidRPr="005546E3">
        <w:rPr>
          <w:rFonts w:ascii="Times New Roman" w:hAnsi="Times New Roman" w:cs="Times New Roman"/>
          <w:sz w:val="24"/>
          <w:szCs w:val="24"/>
        </w:rPr>
        <w:t xml:space="preserve"> school officials had found sexually explicit photos on some of the </w:t>
      </w:r>
      <w:r w:rsidRPr="005546E3">
        <w:rPr>
          <w:rFonts w:ascii="Times New Roman" w:hAnsi="Times New Roman" w:cs="Times New Roman"/>
          <w:sz w:val="24"/>
          <w:szCs w:val="24"/>
        </w:rPr>
        <w:lastRenderedPageBreak/>
        <w:t>students mobile phones. Those appearing in</w:t>
      </w:r>
      <w:r>
        <w:rPr>
          <w:rFonts w:ascii="Times New Roman" w:hAnsi="Times New Roman" w:cs="Times New Roman"/>
          <w:sz w:val="24"/>
          <w:szCs w:val="24"/>
        </w:rPr>
        <w:t>,</w:t>
      </w:r>
      <w:r w:rsidRPr="005546E3">
        <w:rPr>
          <w:rFonts w:ascii="Times New Roman" w:hAnsi="Times New Roman" w:cs="Times New Roman"/>
          <w:sz w:val="24"/>
          <w:szCs w:val="24"/>
        </w:rPr>
        <w:t xml:space="preserve"> or possessing</w:t>
      </w:r>
      <w:r>
        <w:rPr>
          <w:rFonts w:ascii="Times New Roman" w:hAnsi="Times New Roman" w:cs="Times New Roman"/>
          <w:sz w:val="24"/>
          <w:szCs w:val="24"/>
        </w:rPr>
        <w:t>,</w:t>
      </w:r>
      <w:r w:rsidRPr="005546E3">
        <w:rPr>
          <w:rFonts w:ascii="Times New Roman" w:hAnsi="Times New Roman" w:cs="Times New Roman"/>
          <w:sz w:val="24"/>
          <w:szCs w:val="24"/>
        </w:rPr>
        <w:t xml:space="preserve"> the photos were warned they could face child pornography charges unless they agreed to complete an education programme and serve six months of probation including random drug testing. Three students and their parents resisted and argued that the photos were not intended to be sexual. The exclusive focus of the defence was on desexualisation and innocence as it was argued that the girls took the photos for </w:t>
      </w:r>
      <w:r>
        <w:rPr>
          <w:rFonts w:ascii="Times New Roman" w:hAnsi="Times New Roman" w:cs="Times New Roman"/>
          <w:sz w:val="24"/>
          <w:szCs w:val="24"/>
        </w:rPr>
        <w:t>‘</w:t>
      </w:r>
      <w:r w:rsidRPr="005546E3">
        <w:rPr>
          <w:rFonts w:ascii="Times New Roman" w:hAnsi="Times New Roman" w:cs="Times New Roman"/>
          <w:sz w:val="24"/>
          <w:szCs w:val="24"/>
        </w:rPr>
        <w:t>fun</w:t>
      </w:r>
      <w:r>
        <w:rPr>
          <w:rFonts w:ascii="Times New Roman" w:hAnsi="Times New Roman" w:cs="Times New Roman"/>
          <w:sz w:val="24"/>
          <w:szCs w:val="24"/>
        </w:rPr>
        <w:t>’</w:t>
      </w:r>
      <w:r w:rsidRPr="005546E3">
        <w:rPr>
          <w:rFonts w:ascii="Times New Roman" w:hAnsi="Times New Roman" w:cs="Times New Roman"/>
          <w:sz w:val="24"/>
          <w:szCs w:val="24"/>
        </w:rPr>
        <w:t xml:space="preserve"> and because they are innately </w:t>
      </w:r>
      <w:r>
        <w:rPr>
          <w:rFonts w:ascii="Times New Roman" w:hAnsi="Times New Roman" w:cs="Times New Roman"/>
          <w:sz w:val="24"/>
          <w:szCs w:val="24"/>
        </w:rPr>
        <w:t>‘</w:t>
      </w:r>
      <w:r w:rsidRPr="005546E3">
        <w:rPr>
          <w:rFonts w:ascii="Times New Roman" w:hAnsi="Times New Roman" w:cs="Times New Roman"/>
          <w:sz w:val="24"/>
          <w:szCs w:val="24"/>
        </w:rPr>
        <w:t>irresponsible</w:t>
      </w:r>
      <w:r>
        <w:rPr>
          <w:rFonts w:ascii="Times New Roman" w:hAnsi="Times New Roman" w:cs="Times New Roman"/>
          <w:sz w:val="24"/>
          <w:szCs w:val="24"/>
        </w:rPr>
        <w:t>’</w:t>
      </w:r>
      <w:r w:rsidRPr="005546E3">
        <w:rPr>
          <w:rFonts w:ascii="Times New Roman" w:hAnsi="Times New Roman" w:cs="Times New Roman"/>
          <w:sz w:val="24"/>
          <w:szCs w:val="24"/>
        </w:rPr>
        <w:t xml:space="preserve">, </w:t>
      </w:r>
      <w:r>
        <w:rPr>
          <w:rFonts w:ascii="Times New Roman" w:hAnsi="Times New Roman" w:cs="Times New Roman"/>
          <w:sz w:val="24"/>
          <w:szCs w:val="24"/>
        </w:rPr>
        <w:t>‘</w:t>
      </w:r>
      <w:r w:rsidRPr="005546E3">
        <w:rPr>
          <w:rFonts w:ascii="Times New Roman" w:hAnsi="Times New Roman" w:cs="Times New Roman"/>
          <w:sz w:val="24"/>
          <w:szCs w:val="24"/>
        </w:rPr>
        <w:t>careless</w:t>
      </w:r>
      <w:r>
        <w:rPr>
          <w:rFonts w:ascii="Times New Roman" w:hAnsi="Times New Roman" w:cs="Times New Roman"/>
          <w:sz w:val="24"/>
          <w:szCs w:val="24"/>
        </w:rPr>
        <w:t>’</w:t>
      </w:r>
      <w:r w:rsidRPr="005546E3">
        <w:rPr>
          <w:rFonts w:ascii="Times New Roman" w:hAnsi="Times New Roman" w:cs="Times New Roman"/>
          <w:sz w:val="24"/>
          <w:szCs w:val="24"/>
        </w:rPr>
        <w:t xml:space="preserve">, </w:t>
      </w:r>
      <w:r>
        <w:rPr>
          <w:rFonts w:ascii="Times New Roman" w:hAnsi="Times New Roman" w:cs="Times New Roman"/>
          <w:sz w:val="24"/>
          <w:szCs w:val="24"/>
        </w:rPr>
        <w:t>‘</w:t>
      </w:r>
      <w:r w:rsidRPr="005546E3">
        <w:rPr>
          <w:rFonts w:ascii="Times New Roman" w:hAnsi="Times New Roman" w:cs="Times New Roman"/>
          <w:sz w:val="24"/>
          <w:szCs w:val="24"/>
        </w:rPr>
        <w:t>irrational</w:t>
      </w:r>
      <w:r>
        <w:rPr>
          <w:rFonts w:ascii="Times New Roman" w:hAnsi="Times New Roman" w:cs="Times New Roman"/>
          <w:sz w:val="24"/>
          <w:szCs w:val="24"/>
        </w:rPr>
        <w:t>’</w:t>
      </w:r>
      <w:r w:rsidRPr="005546E3">
        <w:rPr>
          <w:rFonts w:ascii="Times New Roman" w:hAnsi="Times New Roman" w:cs="Times New Roman"/>
          <w:sz w:val="24"/>
          <w:szCs w:val="24"/>
        </w:rPr>
        <w:t xml:space="preserve"> and </w:t>
      </w:r>
      <w:r>
        <w:rPr>
          <w:rFonts w:ascii="Times New Roman" w:hAnsi="Times New Roman" w:cs="Times New Roman"/>
          <w:sz w:val="24"/>
          <w:szCs w:val="24"/>
        </w:rPr>
        <w:t>‘</w:t>
      </w:r>
      <w:r w:rsidRPr="005546E3">
        <w:rPr>
          <w:rFonts w:ascii="Times New Roman" w:hAnsi="Times New Roman" w:cs="Times New Roman"/>
          <w:sz w:val="24"/>
          <w:szCs w:val="24"/>
        </w:rPr>
        <w:t>foolish</w:t>
      </w:r>
      <w:r>
        <w:rPr>
          <w:rFonts w:ascii="Times New Roman" w:hAnsi="Times New Roman" w:cs="Times New Roman"/>
          <w:sz w:val="24"/>
          <w:szCs w:val="24"/>
        </w:rPr>
        <w:t>’</w:t>
      </w:r>
      <w:r w:rsidRPr="005546E3">
        <w:rPr>
          <w:rFonts w:ascii="Times New Roman" w:hAnsi="Times New Roman" w:cs="Times New Roman"/>
          <w:sz w:val="24"/>
          <w:szCs w:val="24"/>
        </w:rPr>
        <w:t>.</w:t>
      </w:r>
      <w:r w:rsidR="00231029">
        <w:rPr>
          <w:rStyle w:val="FootnoteReference"/>
          <w:rFonts w:ascii="Times New Roman" w:hAnsi="Times New Roman" w:cs="Times New Roman"/>
          <w:sz w:val="24"/>
          <w:szCs w:val="24"/>
        </w:rPr>
        <w:footnoteReference w:id="22"/>
      </w:r>
      <w:r w:rsidRPr="005546E3">
        <w:rPr>
          <w:rFonts w:ascii="Times New Roman" w:hAnsi="Times New Roman" w:cs="Times New Roman"/>
          <w:sz w:val="24"/>
          <w:szCs w:val="24"/>
        </w:rPr>
        <w:t xml:space="preserve"> There was no defence of their right to freedom of expression. Instead the case was won by arguing that forcing the girls to attend </w:t>
      </w:r>
      <w:proofErr w:type="spellStart"/>
      <w:r w:rsidRPr="005546E3">
        <w:rPr>
          <w:rFonts w:ascii="Times New Roman" w:hAnsi="Times New Roman" w:cs="Times New Roman"/>
          <w:sz w:val="24"/>
          <w:szCs w:val="24"/>
        </w:rPr>
        <w:t>Skumanick’s</w:t>
      </w:r>
      <w:proofErr w:type="spellEnd"/>
      <w:r w:rsidRPr="005546E3">
        <w:rPr>
          <w:rFonts w:ascii="Times New Roman" w:hAnsi="Times New Roman" w:cs="Times New Roman"/>
          <w:sz w:val="24"/>
          <w:szCs w:val="24"/>
        </w:rPr>
        <w:t xml:space="preserve"> education program would violate their parents’ right to control the upbringing of their children. The view that </w:t>
      </w:r>
      <w:r w:rsidRPr="005546E3">
        <w:rPr>
          <w:rFonts w:ascii="Times New Roman" w:hAnsi="Times New Roman" w:cs="Times New Roman"/>
          <w:sz w:val="24"/>
          <w:szCs w:val="24"/>
          <w:lang w:val="en"/>
        </w:rPr>
        <w:t>once the sexual consciousness of the child is spurred into expression it is dangerous and pathological</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and thus in need of outside intervention</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is also evident in </w:t>
      </w:r>
      <w:r w:rsidRPr="005546E3">
        <w:rPr>
          <w:rFonts w:ascii="Times New Roman" w:hAnsi="Times New Roman" w:cs="Times New Roman"/>
          <w:sz w:val="24"/>
          <w:szCs w:val="24"/>
        </w:rPr>
        <w:t xml:space="preserve">a judgment of the Florida judiciary in </w:t>
      </w:r>
      <w:r w:rsidRPr="005546E3">
        <w:rPr>
          <w:rFonts w:ascii="Times New Roman" w:hAnsi="Times New Roman" w:cs="Times New Roman"/>
          <w:i/>
          <w:sz w:val="24"/>
          <w:szCs w:val="24"/>
          <w:lang w:val="en"/>
        </w:rPr>
        <w:t>AH v State</w:t>
      </w:r>
      <w:r w:rsidR="00231029">
        <w:rPr>
          <w:rFonts w:ascii="Times New Roman" w:hAnsi="Times New Roman" w:cs="Times New Roman"/>
          <w:sz w:val="24"/>
          <w:szCs w:val="24"/>
          <w:lang w:val="en"/>
        </w:rPr>
        <w:t>.</w:t>
      </w:r>
      <w:r w:rsidR="00231029">
        <w:rPr>
          <w:rStyle w:val="FootnoteReference"/>
          <w:rFonts w:ascii="Times New Roman" w:hAnsi="Times New Roman" w:cs="Times New Roman"/>
          <w:i/>
          <w:sz w:val="24"/>
          <w:szCs w:val="24"/>
          <w:lang w:val="en"/>
        </w:rPr>
        <w:footnoteReference w:id="23"/>
      </w:r>
      <w:r w:rsidR="006B1147">
        <w:rPr>
          <w:rFonts w:ascii="Times New Roman" w:hAnsi="Times New Roman" w:cs="Times New Roman"/>
          <w:i/>
          <w:sz w:val="24"/>
          <w:szCs w:val="24"/>
          <w:lang w:val="en"/>
        </w:rPr>
        <w:t xml:space="preserve"> </w:t>
      </w:r>
      <w:r w:rsidRPr="005546E3">
        <w:rPr>
          <w:rFonts w:ascii="Times New Roman" w:hAnsi="Times New Roman" w:cs="Times New Roman"/>
          <w:sz w:val="24"/>
          <w:szCs w:val="24"/>
          <w:lang w:val="en"/>
        </w:rPr>
        <w:t>This case concerned a 16-year-old Florida teenage girl (AH) and her 17-year-old boyfriend (JGW) who in 2005 were charged as juveniles under child pornography laws after taking digital photos of themselves naked and engaged in sex, and then emailing the photos to JGW’s personal account</w:t>
      </w:r>
      <w:r w:rsidR="008D1A8E">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They were each charged with </w:t>
      </w:r>
      <w:r>
        <w:rPr>
          <w:rFonts w:ascii="Times New Roman" w:hAnsi="Times New Roman" w:cs="Times New Roman"/>
          <w:sz w:val="24"/>
          <w:szCs w:val="24"/>
          <w:lang w:val="en"/>
        </w:rPr>
        <w:t>‘</w:t>
      </w:r>
      <w:r w:rsidRPr="005546E3">
        <w:rPr>
          <w:rFonts w:ascii="Times New Roman" w:hAnsi="Times New Roman" w:cs="Times New Roman"/>
          <w:sz w:val="24"/>
          <w:szCs w:val="24"/>
          <w:lang w:val="en"/>
        </w:rPr>
        <w:t>one count of producing, dire</w:t>
      </w:r>
      <w:r>
        <w:rPr>
          <w:rFonts w:ascii="Times New Roman" w:hAnsi="Times New Roman" w:cs="Times New Roman"/>
          <w:sz w:val="24"/>
          <w:szCs w:val="24"/>
          <w:lang w:val="en"/>
        </w:rPr>
        <w:t>cting or promoting a photograph</w:t>
      </w:r>
      <w:r w:rsidRPr="005546E3">
        <w:rPr>
          <w:rFonts w:ascii="Times New Roman" w:hAnsi="Times New Roman" w:cs="Times New Roman"/>
          <w:sz w:val="24"/>
          <w:szCs w:val="24"/>
          <w:lang w:val="en"/>
        </w:rPr>
        <w:t xml:space="preserve"> or representation that they knew to include the sexual conduct of a child</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AH challenged the ruling on the basis that because she did not email the photos to a third party, the charges were a violation of her privacy rights and thus unconstitutional. Although the age of consent in Florida is 18, there is a close-in-age exemption, which allows for 16- or 17-year-old minors to have sex with someone between the ages of 16 and 23. However, the court ruled that privacy rights do not extend to circumstances in which the </w:t>
      </w:r>
      <w:r>
        <w:rPr>
          <w:rFonts w:ascii="Times New Roman" w:hAnsi="Times New Roman" w:cs="Times New Roman"/>
          <w:sz w:val="24"/>
          <w:szCs w:val="24"/>
          <w:lang w:val="en"/>
        </w:rPr>
        <w:t>‘</w:t>
      </w:r>
      <w:r w:rsidRPr="005546E3">
        <w:rPr>
          <w:rFonts w:ascii="Times New Roman" w:hAnsi="Times New Roman" w:cs="Times New Roman"/>
          <w:sz w:val="24"/>
          <w:szCs w:val="24"/>
          <w:lang w:val="en"/>
        </w:rPr>
        <w:t>minor memorializes the act through picture or video</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Strikingly, the reason given for this is that neither of the two young people had a reasonable expectation that </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the other would not show </w:t>
      </w:r>
      <w:r w:rsidRPr="005546E3">
        <w:rPr>
          <w:rFonts w:ascii="Times New Roman" w:hAnsi="Times New Roman" w:cs="Times New Roman"/>
          <w:sz w:val="24"/>
          <w:szCs w:val="24"/>
          <w:lang w:val="en"/>
        </w:rPr>
        <w:lastRenderedPageBreak/>
        <w:t>the photos to a third party</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or that the photos w</w:t>
      </w:r>
      <w:r>
        <w:rPr>
          <w:rFonts w:ascii="Times New Roman" w:hAnsi="Times New Roman" w:cs="Times New Roman"/>
          <w:sz w:val="24"/>
          <w:szCs w:val="24"/>
          <w:lang w:val="en"/>
        </w:rPr>
        <w:t>ould</w:t>
      </w:r>
      <w:r w:rsidRPr="005546E3">
        <w:rPr>
          <w:rFonts w:ascii="Times New Roman" w:hAnsi="Times New Roman" w:cs="Times New Roman"/>
          <w:sz w:val="24"/>
          <w:szCs w:val="24"/>
          <w:lang w:val="en"/>
        </w:rPr>
        <w:t xml:space="preserve"> not be disseminated </w:t>
      </w:r>
      <w:r w:rsidRPr="005546E3">
        <w:rPr>
          <w:rFonts w:ascii="Times New Roman" w:hAnsi="Times New Roman" w:cs="Times New Roman"/>
          <w:iCs/>
          <w:sz w:val="24"/>
          <w:szCs w:val="24"/>
          <w:lang w:val="en"/>
        </w:rPr>
        <w:t>unintentionally</w:t>
      </w:r>
      <w:r w:rsidRPr="005546E3">
        <w:rPr>
          <w:rFonts w:ascii="Times New Roman" w:hAnsi="Times New Roman" w:cs="Times New Roman"/>
          <w:sz w:val="24"/>
          <w:szCs w:val="24"/>
          <w:lang w:val="en"/>
        </w:rPr>
        <w:t xml:space="preserve">. The defendants also, the court concluded, </w:t>
      </w:r>
      <w:r>
        <w:rPr>
          <w:rFonts w:ascii="Times New Roman" w:hAnsi="Times New Roman" w:cs="Times New Roman"/>
          <w:sz w:val="24"/>
          <w:szCs w:val="24"/>
          <w:lang w:val="en"/>
        </w:rPr>
        <w:t>‘</w:t>
      </w:r>
      <w:r w:rsidRPr="005546E3">
        <w:rPr>
          <w:rFonts w:ascii="Times New Roman" w:hAnsi="Times New Roman" w:cs="Times New Roman"/>
          <w:sz w:val="24"/>
          <w:szCs w:val="24"/>
          <w:lang w:val="en"/>
        </w:rPr>
        <w:t>have no reasonable expectation that their relationship will continue</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apparently </w:t>
      </w:r>
      <w:r>
        <w:rPr>
          <w:rFonts w:ascii="Times New Roman" w:hAnsi="Times New Roman" w:cs="Times New Roman"/>
          <w:sz w:val="24"/>
          <w:szCs w:val="24"/>
          <w:lang w:val="en"/>
        </w:rPr>
        <w:t>‘</w:t>
      </w:r>
      <w:r w:rsidRPr="005546E3">
        <w:rPr>
          <w:rFonts w:ascii="Times New Roman" w:hAnsi="Times New Roman" w:cs="Times New Roman"/>
          <w:sz w:val="24"/>
          <w:szCs w:val="24"/>
          <w:lang w:val="en"/>
        </w:rPr>
        <w:t>unlike adults who may be involved in a mature committed relationship</w:t>
      </w:r>
      <w:r>
        <w:rPr>
          <w:rFonts w:ascii="Times New Roman" w:hAnsi="Times New Roman" w:cs="Times New Roman"/>
          <w:sz w:val="24"/>
          <w:szCs w:val="24"/>
          <w:lang w:val="en"/>
        </w:rPr>
        <w:t>’</w:t>
      </w:r>
      <w:r w:rsidRPr="005546E3">
        <w:rPr>
          <w:rFonts w:ascii="Times New Roman" w:hAnsi="Times New Roman" w:cs="Times New Roman"/>
          <w:sz w:val="24"/>
          <w:szCs w:val="24"/>
          <w:lang w:val="en"/>
        </w:rPr>
        <w:t xml:space="preserve">. </w:t>
      </w:r>
      <w:r w:rsidRPr="005546E3">
        <w:rPr>
          <w:rFonts w:ascii="Times New Roman" w:hAnsi="Times New Roman" w:cs="Times New Roman"/>
          <w:sz w:val="24"/>
          <w:szCs w:val="24"/>
        </w:rPr>
        <w:t xml:space="preserve">No evidence was provided that either of them intended to show the photographs to anyone else, as the one dissenting judge highlighted. Nevertheless AH was declared delinquent on the basis of generalized notions of the normative adolescent as both immature and sinister. AH was assumed to be </w:t>
      </w:r>
      <w:r>
        <w:rPr>
          <w:rFonts w:ascii="Times New Roman" w:hAnsi="Times New Roman" w:cs="Times New Roman"/>
          <w:sz w:val="24"/>
          <w:szCs w:val="24"/>
        </w:rPr>
        <w:t>‘</w:t>
      </w:r>
      <w:r w:rsidRPr="005546E3">
        <w:rPr>
          <w:rFonts w:ascii="Times New Roman" w:hAnsi="Times New Roman" w:cs="Times New Roman"/>
          <w:sz w:val="24"/>
          <w:szCs w:val="24"/>
        </w:rPr>
        <w:t>without either foresight or maturity … too young to make an intelligent decision about engaging in sexual conduct and memorializing it</w:t>
      </w:r>
      <w:r>
        <w:rPr>
          <w:rFonts w:ascii="Times New Roman" w:hAnsi="Times New Roman" w:cs="Times New Roman"/>
          <w:sz w:val="24"/>
          <w:szCs w:val="24"/>
        </w:rPr>
        <w:t>’</w:t>
      </w:r>
      <w:r w:rsidRPr="005546E3">
        <w:rPr>
          <w:rFonts w:ascii="Times New Roman" w:hAnsi="Times New Roman" w:cs="Times New Roman"/>
          <w:sz w:val="24"/>
          <w:szCs w:val="24"/>
        </w:rPr>
        <w:t>. No tests of the young woman’s intelligence were even considered; she was merely reduced to the unified category of immature, unintelligent teenager. AH and all teenagers were deemed to have such a compromised capacity for agency that not only was the privacy afforded her to engage in sex with her boyfriend offline not also protected online, but she was in fact punished for this apparently deficient agency.</w:t>
      </w:r>
    </w:p>
    <w:p w14:paraId="4CF21441" w14:textId="77777777" w:rsidR="004E65D4" w:rsidRDefault="009532EC" w:rsidP="00DB258D">
      <w:pPr>
        <w:pStyle w:val="NormalWeb"/>
        <w:spacing w:line="480" w:lineRule="auto"/>
        <w:ind w:firstLine="720"/>
        <w:jc w:val="both"/>
        <w:rPr>
          <w:lang w:val="en-US"/>
        </w:rPr>
      </w:pPr>
      <w:r w:rsidRPr="00B23C8F">
        <w:t xml:space="preserve">The paternalistic approach of the English </w:t>
      </w:r>
      <w:r>
        <w:t xml:space="preserve">and US </w:t>
      </w:r>
      <w:r w:rsidRPr="00B23C8F">
        <w:t>criminal justice system</w:t>
      </w:r>
      <w:r>
        <w:t>s</w:t>
      </w:r>
      <w:r w:rsidRPr="00B23C8F">
        <w:t xml:space="preserve"> suggests a legal and social context in which adolescents do not have the capacity or the right to pursue sexual pleasure.</w:t>
      </w:r>
      <w:r>
        <w:t xml:space="preserve"> In England t</w:t>
      </w:r>
      <w:r w:rsidRPr="00B23C8F">
        <w:t>here have been some attempts to alleviate the harshness of the law in this respect.</w:t>
      </w:r>
      <w:r>
        <w:t xml:space="preserve"> Home Office </w:t>
      </w:r>
      <w:r>
        <w:rPr>
          <w:i/>
        </w:rPr>
        <w:t xml:space="preserve">Guidance </w:t>
      </w:r>
      <w:r>
        <w:t xml:space="preserve">issued with the Sexual Offences Act 2003 sought to reassure that the English age of consent laws are designed to </w:t>
      </w:r>
      <w:r>
        <w:rPr>
          <w:lang w:val="en"/>
        </w:rPr>
        <w:t>protect children from abuse and exploitation and not to prosecute under-16s who engage in mutually consenting sexual activity.</w:t>
      </w:r>
      <w:r w:rsidR="00231029">
        <w:rPr>
          <w:rStyle w:val="FootnoteReference"/>
          <w:lang w:val="en"/>
        </w:rPr>
        <w:footnoteReference w:id="24"/>
      </w:r>
      <w:r>
        <w:t xml:space="preserve"> In relation to sexting, recent guidance from the </w:t>
      </w:r>
      <w:r w:rsidRPr="00B23C8F">
        <w:t>C</w:t>
      </w:r>
      <w:r>
        <w:t xml:space="preserve">rown </w:t>
      </w:r>
      <w:r w:rsidRPr="00B23C8F">
        <w:t>P</w:t>
      </w:r>
      <w:r>
        <w:t xml:space="preserve">rosecution </w:t>
      </w:r>
      <w:r w:rsidRPr="00B23C8F">
        <w:t>S</w:t>
      </w:r>
      <w:r>
        <w:t>ervice</w:t>
      </w:r>
      <w:r w:rsidR="00231029">
        <w:rPr>
          <w:rStyle w:val="FootnoteReference"/>
        </w:rPr>
        <w:footnoteReference w:id="25"/>
      </w:r>
      <w:r w:rsidRPr="00B23C8F">
        <w:t xml:space="preserve"> </w:t>
      </w:r>
      <w:r>
        <w:t>an</w:t>
      </w:r>
      <w:r w:rsidR="00231029">
        <w:t>d the College of Policing</w:t>
      </w:r>
      <w:r w:rsidR="00231029" w:rsidRPr="00B23C8F">
        <w:rPr>
          <w:rStyle w:val="FootnoteReference"/>
        </w:rPr>
        <w:footnoteReference w:id="26"/>
      </w:r>
      <w:r>
        <w:t xml:space="preserve"> have recommended that the </w:t>
      </w:r>
      <w:r w:rsidRPr="00B23C8F">
        <w:t xml:space="preserve">sharing of </w:t>
      </w:r>
      <w:r>
        <w:t>‘</w:t>
      </w:r>
      <w:r w:rsidRPr="00B23C8F">
        <w:t>youth produced sexual imagery</w:t>
      </w:r>
      <w:r>
        <w:t xml:space="preserve">’ </w:t>
      </w:r>
      <w:r>
        <w:lastRenderedPageBreak/>
        <w:t>amongst young people</w:t>
      </w:r>
      <w:r w:rsidRPr="00B23C8F">
        <w:t xml:space="preserve"> should not be routinely prosecuted </w:t>
      </w:r>
      <w:r w:rsidRPr="00B23C8F">
        <w:rPr>
          <w:lang w:val="en-US"/>
        </w:rPr>
        <w:t>and that most of these inci</w:t>
      </w:r>
      <w:r>
        <w:rPr>
          <w:lang w:val="en-US"/>
        </w:rPr>
        <w:t xml:space="preserve">dents should be dealt with informally particularly </w:t>
      </w:r>
      <w:r w:rsidRPr="00B23C8F">
        <w:t xml:space="preserve">where there is no evidence of </w:t>
      </w:r>
      <w:r>
        <w:t>‘</w:t>
      </w:r>
      <w:r w:rsidRPr="00B23C8F">
        <w:t>exploitation, grooming, profit motive, malicious intent or persistent behaviour</w:t>
      </w:r>
      <w:r>
        <w:t>’. While no formal actions may be taken, t</w:t>
      </w:r>
      <w:r w:rsidRPr="00B23C8F">
        <w:t xml:space="preserve">he police </w:t>
      </w:r>
      <w:r>
        <w:t>will still need</w:t>
      </w:r>
      <w:r w:rsidRPr="00B23C8F">
        <w:t xml:space="preserve"> to record</w:t>
      </w:r>
      <w:r>
        <w:t xml:space="preserve"> on the police intelligence database</w:t>
      </w:r>
      <w:r w:rsidRPr="00B23C8F">
        <w:t xml:space="preserve"> that a young person has been found creating and sharing sexual images. </w:t>
      </w:r>
      <w:r w:rsidR="004F34E7">
        <w:t>According to the Home Office Counting Rules 2012 (HOCR), and section 44 of the Police Act 1996, a</w:t>
      </w:r>
      <w:r w:rsidR="00882190">
        <w:t>ll reports of incidents, whether from victims, witnesses or third parties</w:t>
      </w:r>
      <w:r w:rsidR="004F34E7">
        <w:t xml:space="preserve">, </w:t>
      </w:r>
      <w:r w:rsidR="00882190" w:rsidRPr="004F34E7">
        <w:t xml:space="preserve">whether crime related or not, will result in the registration of an </w:t>
      </w:r>
      <w:r w:rsidR="004F34E7" w:rsidRPr="004F34E7">
        <w:t xml:space="preserve">incident report by the police. The reasons for registering all incidents include the need to ensure forces have all the available information in relation to possible crimes in their area and to allow an audit trail to be created to ensure consistency of crime recording between forces. </w:t>
      </w:r>
      <w:r w:rsidR="00DB258D">
        <w:t xml:space="preserve">The HOCR are binding rules which police forces are required to follow. </w:t>
      </w:r>
      <w:r w:rsidR="004F34E7" w:rsidRPr="004F34E7">
        <w:t xml:space="preserve">Where out of court disposals are used the National Crime Recording Standard (NCRS) requires </w:t>
      </w:r>
      <w:r w:rsidR="00D34370">
        <w:t xml:space="preserve">police </w:t>
      </w:r>
      <w:r w:rsidR="004F34E7" w:rsidRPr="004F34E7">
        <w:rPr>
          <w:color w:val="000000"/>
        </w:rPr>
        <w:t>forces to record the fact as part of the relevant crime record</w:t>
      </w:r>
      <w:r w:rsidR="004F34E7" w:rsidRPr="004F34E7">
        <w:t xml:space="preserve">. </w:t>
      </w:r>
      <w:r w:rsidR="004F34E7" w:rsidRPr="004F34E7">
        <w:rPr>
          <w:lang w:val="en-US"/>
        </w:rPr>
        <w:t xml:space="preserve">The NCRS promotes consistency between police forces in how to record crime and in providing a victim-orientated approach to crime recording. One of the standard principles of the NCRS is that the police register an incident report for all reports of </w:t>
      </w:r>
      <w:r w:rsidR="007A1BDD">
        <w:rPr>
          <w:lang w:val="en-US"/>
        </w:rPr>
        <w:t xml:space="preserve">incidents </w:t>
      </w:r>
      <w:r w:rsidR="004F34E7" w:rsidRPr="004F34E7">
        <w:rPr>
          <w:lang w:val="en-US"/>
        </w:rPr>
        <w:t>(whether from victims, witnesses or third parties and whether crime related or not)</w:t>
      </w:r>
      <w:r w:rsidR="007A1BDD">
        <w:rPr>
          <w:lang w:val="en-US"/>
        </w:rPr>
        <w:t xml:space="preserve">. </w:t>
      </w:r>
    </w:p>
    <w:p w14:paraId="2C6CF514" w14:textId="07906FAC" w:rsidR="009532EC" w:rsidRDefault="007A1BDD" w:rsidP="00DB258D">
      <w:pPr>
        <w:pStyle w:val="NormalWeb"/>
        <w:spacing w:line="480" w:lineRule="auto"/>
        <w:ind w:firstLine="720"/>
        <w:jc w:val="both"/>
      </w:pPr>
      <w:r>
        <w:rPr>
          <w:lang w:val="en-US"/>
        </w:rPr>
        <w:t xml:space="preserve">The National Police Chief’s Council have confirmed that in 2016/17 there were 6200 sexting incidents involving young people reported to the police. </w:t>
      </w:r>
      <w:r>
        <w:rPr>
          <w:lang w:val="en"/>
        </w:rPr>
        <w:t>This represents an increase of over 33% on the previous year and of 131% on 2014/15, when 2,700 cases were logged.</w:t>
      </w:r>
      <w:r w:rsidR="00F329B7">
        <w:rPr>
          <w:rStyle w:val="FootnoteReference"/>
          <w:lang w:val="en"/>
        </w:rPr>
        <w:footnoteReference w:id="27"/>
      </w:r>
      <w:r>
        <w:rPr>
          <w:lang w:val="en"/>
        </w:rPr>
        <w:t xml:space="preserve"> In response to this, in 2016 the Home Office introduced a new outcome specifically for consensual teenage sexting cases in crime recording rules, which allows police forces to log an offence </w:t>
      </w:r>
      <w:r>
        <w:rPr>
          <w:lang w:val="en"/>
        </w:rPr>
        <w:lastRenderedPageBreak/>
        <w:t xml:space="preserve">without any formal action being taken as it is not in the public interest. </w:t>
      </w:r>
      <w:r w:rsidRPr="007A1BDD">
        <w:t>Outcome 21 can only be used in cases where there is no evidence of exploitation or malicious intent, and is endorsed by advice from the College of Policing to help officers respond to sexting offences proportionately.</w:t>
      </w:r>
      <w:r w:rsidR="00524DC5">
        <w:rPr>
          <w:rStyle w:val="FootnoteReference"/>
        </w:rPr>
        <w:footnoteReference w:id="28"/>
      </w:r>
      <w:r w:rsidRPr="007A1BDD">
        <w:t xml:space="preserve"> </w:t>
      </w:r>
      <w:r w:rsidRPr="007A1BDD">
        <w:rPr>
          <w:lang w:val="en"/>
        </w:rPr>
        <w:t xml:space="preserve">Since 2016 Outcome 21 has been used more than 2000 times. The </w:t>
      </w:r>
      <w:hyperlink r:id="rId8" w:history="1">
        <w:r w:rsidRPr="007A1BDD">
          <w:rPr>
            <w:rStyle w:val="Hyperlink"/>
            <w:color w:val="auto"/>
            <w:u w:val="none"/>
            <w:lang w:val="en"/>
          </w:rPr>
          <w:t>problem with Outcome 21</w:t>
        </w:r>
      </w:hyperlink>
      <w:r w:rsidRPr="007A1BDD">
        <w:rPr>
          <w:lang w:val="en"/>
        </w:rPr>
        <w:t xml:space="preserve"> is that it is not possible to categorically say that a sexting incident recorded on police systems would never be disclosed during the kind of criminal records checks carried out by employers. Discretion about whether to </w:t>
      </w:r>
      <w:hyperlink r:id="rId9" w:history="1">
        <w:r w:rsidRPr="007A1BDD">
          <w:rPr>
            <w:rStyle w:val="Hyperlink"/>
            <w:color w:val="auto"/>
            <w:u w:val="none"/>
            <w:lang w:val="en"/>
          </w:rPr>
          <w:t>disclose non-conviction information</w:t>
        </w:r>
      </w:hyperlink>
      <w:r w:rsidRPr="007A1BDD">
        <w:rPr>
          <w:lang w:val="en"/>
        </w:rPr>
        <w:t xml:space="preserve"> rests with each </w:t>
      </w:r>
      <w:hyperlink r:id="rId10" w:history="1">
        <w:r w:rsidRPr="007A1BDD">
          <w:rPr>
            <w:rStyle w:val="Hyperlink"/>
            <w:color w:val="auto"/>
            <w:u w:val="none"/>
            <w:lang w:val="en"/>
          </w:rPr>
          <w:t>Chief Constable managing the process</w:t>
        </w:r>
      </w:hyperlink>
      <w:r w:rsidRPr="007A1BDD">
        <w:rPr>
          <w:lang w:val="en"/>
        </w:rPr>
        <w:t>.</w:t>
      </w:r>
      <w:r>
        <w:rPr>
          <w:lang w:val="en"/>
        </w:rPr>
        <w:t xml:space="preserve"> </w:t>
      </w:r>
      <w:r w:rsidR="009532EC" w:rsidRPr="0094104C">
        <w:t xml:space="preserve">Any future employer could potentially be made aware of the investigation into alleged sexual offences via </w:t>
      </w:r>
      <w:r w:rsidR="009532EC">
        <w:t xml:space="preserve">the </w:t>
      </w:r>
      <w:r w:rsidR="009532EC" w:rsidRPr="0094104C">
        <w:t xml:space="preserve">enhanced Disclosure and Barring Service (DBS) system. </w:t>
      </w:r>
      <w:r w:rsidR="003C470A">
        <w:t xml:space="preserve">Most criminal record checks </w:t>
      </w:r>
      <w:r w:rsidR="00B72C56">
        <w:t xml:space="preserve">(approximately 93% per year) </w:t>
      </w:r>
      <w:r w:rsidR="003C470A">
        <w:t>in England and Wales are for enhanced certificates.</w:t>
      </w:r>
      <w:r w:rsidR="00524DC5">
        <w:rPr>
          <w:rStyle w:val="FootnoteReference"/>
        </w:rPr>
        <w:footnoteReference w:id="29"/>
      </w:r>
      <w:r w:rsidR="003C470A">
        <w:t xml:space="preserve"> </w:t>
      </w:r>
      <w:r w:rsidR="009532EC" w:rsidRPr="0094104C">
        <w:t xml:space="preserve">Any request for an enhanced </w:t>
      </w:r>
      <w:r w:rsidR="009532EC">
        <w:t>DBS</w:t>
      </w:r>
      <w:r w:rsidR="009532EC" w:rsidRPr="0094104C">
        <w:t xml:space="preserve"> </w:t>
      </w:r>
      <w:r w:rsidR="009532EC">
        <w:t>certificate</w:t>
      </w:r>
      <w:r w:rsidR="009532EC" w:rsidRPr="0094104C">
        <w:t xml:space="preserve"> in England and Wales will disclose both conviction </w:t>
      </w:r>
      <w:r w:rsidR="009532EC">
        <w:t xml:space="preserve">information </w:t>
      </w:r>
      <w:r w:rsidR="009532EC" w:rsidRPr="0094104C">
        <w:t>a</w:t>
      </w:r>
      <w:r w:rsidR="009532EC">
        <w:t>nd relevant police intelligence</w:t>
      </w:r>
      <w:r w:rsidR="003C470A">
        <w:t xml:space="preserve"> recorded on the Police National Database. Police intelligence can </w:t>
      </w:r>
      <w:r w:rsidR="009532EC" w:rsidRPr="0094104C">
        <w:t>includ</w:t>
      </w:r>
      <w:r w:rsidR="003C470A">
        <w:t>e</w:t>
      </w:r>
      <w:r w:rsidR="009532EC" w:rsidRPr="0094104C">
        <w:t xml:space="preserve"> reports to the police</w:t>
      </w:r>
      <w:r w:rsidR="003C470A">
        <w:t>, informal resolution of criminal matters, an arrest that led to no further action being taken or an unsubstantiated allegation that the police never pursued further.</w:t>
      </w:r>
      <w:r w:rsidR="009532EC">
        <w:t xml:space="preserve"> </w:t>
      </w:r>
      <w:r w:rsidR="009532EC" w:rsidRPr="00B23C8F">
        <w:t>This information can only be removed from the database in exceptional and rare cases.</w:t>
      </w:r>
      <w:r w:rsidR="00524DC5">
        <w:rPr>
          <w:rStyle w:val="FootnoteReference"/>
        </w:rPr>
        <w:footnoteReference w:id="30"/>
      </w:r>
      <w:r w:rsidR="009532EC" w:rsidRPr="00B23C8F">
        <w:t xml:space="preserve"> </w:t>
      </w:r>
      <w:r w:rsidR="008C5593" w:rsidRPr="00B30797">
        <w:t xml:space="preserve">The recent landmark Supreme Court judgment of </w:t>
      </w:r>
      <w:hyperlink r:id="rId11" w:history="1">
        <w:r w:rsidR="008C5593" w:rsidRPr="00B30797">
          <w:rPr>
            <w:i/>
          </w:rPr>
          <w:t>R (on the application of P, G and W) v Secretary of State for the Home Department</w:t>
        </w:r>
        <w:r w:rsidR="008C5593" w:rsidRPr="00B30797">
          <w:rPr>
            <w:rStyle w:val="FootnoteReference"/>
          </w:rPr>
          <w:footnoteReference w:id="31"/>
        </w:r>
        <w:r w:rsidR="008C5593" w:rsidRPr="00B30797">
          <w:t xml:space="preserve"> </w:t>
        </w:r>
      </w:hyperlink>
      <w:r w:rsidR="008C5593" w:rsidRPr="00B30797">
        <w:t xml:space="preserve">ruled that the criminal records disclosure scheme was disproportionate and unlawful. </w:t>
      </w:r>
      <w:r w:rsidR="008C5593" w:rsidRPr="00B30797">
        <w:rPr>
          <w:lang w:val="en-US"/>
        </w:rPr>
        <w:t xml:space="preserve">The Supreme Court found that the filtering rules which govern when previous offences have to be disclosed on enhanced criminal records checks are a disproportionate interference with the individual’s Article 8 rights. The filtering rules mean that cautions for certain offences are filtered, and single convictions for certain offences that did not result in </w:t>
      </w:r>
      <w:r w:rsidR="008C5593" w:rsidRPr="00B30797">
        <w:rPr>
          <w:lang w:val="en-US"/>
        </w:rPr>
        <w:lastRenderedPageBreak/>
        <w:t xml:space="preserve">imprisonment are also filtered. Everything else remains to be disclosed for the entirety of the person’s life. The Supreme Court accordingly upheld the declaration of incompatibility under the Human Rights Act 1998 made by the Court of Appeal. </w:t>
      </w:r>
      <w:r w:rsidR="008C5593" w:rsidRPr="00B30797">
        <w:rPr>
          <w:rStyle w:val="FootnoteReference"/>
          <w:lang w:val="en-US"/>
        </w:rPr>
        <w:footnoteReference w:id="32"/>
      </w:r>
      <w:r w:rsidR="008C5593" w:rsidRPr="00B30797">
        <w:rPr>
          <w:lang w:val="en-US"/>
        </w:rPr>
        <w:t xml:space="preserve"> Nevertheless, in the Court of Appeal </w:t>
      </w:r>
      <w:r w:rsidR="008C5593" w:rsidRPr="00B30797">
        <w:t xml:space="preserve">Sir Brian </w:t>
      </w:r>
      <w:proofErr w:type="spellStart"/>
      <w:r w:rsidR="008C5593" w:rsidRPr="00B30797">
        <w:t>Leveson</w:t>
      </w:r>
      <w:proofErr w:type="spellEnd"/>
      <w:r w:rsidR="008C5593" w:rsidRPr="00B30797">
        <w:t xml:space="preserve"> confirmed that it is lawful for information which would not otherwise be included on a basic DBS to be included in an Enhanced DBS, including soft intelligence and a warning, reprimand, caution or penalty notice.</w:t>
      </w:r>
      <w:r w:rsidR="008C5593" w:rsidRPr="00B30797">
        <w:rPr>
          <w:rStyle w:val="FootnoteReference"/>
        </w:rPr>
        <w:footnoteReference w:id="33"/>
      </w:r>
      <w:r w:rsidR="008C5593">
        <w:t xml:space="preserve"> </w:t>
      </w:r>
      <w:r w:rsidR="00DB258D">
        <w:t xml:space="preserve">Thus any conviction, caution or investigation of consensual sexting between teenagers </w:t>
      </w:r>
      <w:r w:rsidR="00D34370">
        <w:t>c</w:t>
      </w:r>
      <w:r w:rsidR="00DB258D">
        <w:t>ould</w:t>
      </w:r>
      <w:r w:rsidR="00F329B7">
        <w:t xml:space="preserve"> result in the impositions of</w:t>
      </w:r>
      <w:r w:rsidR="00DB258D">
        <w:t xml:space="preserve"> restrict</w:t>
      </w:r>
      <w:r w:rsidR="00F329B7">
        <w:t>ions on</w:t>
      </w:r>
      <w:r w:rsidR="00DB258D">
        <w:t xml:space="preserve"> the young person’s future access to education, employment, travel, insurance and housing.</w:t>
      </w:r>
      <w:r w:rsidR="008C5593">
        <w:t xml:space="preserve"> </w:t>
      </w:r>
    </w:p>
    <w:p w14:paraId="4EBDB745" w14:textId="6F008B3A" w:rsidR="0098041A" w:rsidRDefault="009532EC" w:rsidP="00524DC5">
      <w:pPr>
        <w:pStyle w:val="BodyText"/>
        <w:ind w:firstLine="720"/>
      </w:pPr>
      <w:r w:rsidRPr="00B23C8F">
        <w:t>Instead of recognising sexting a</w:t>
      </w:r>
      <w:r>
        <w:t xml:space="preserve">s an </w:t>
      </w:r>
      <w:r w:rsidRPr="00B23C8F">
        <w:t xml:space="preserve">expression </w:t>
      </w:r>
      <w:r>
        <w:t xml:space="preserve">of </w:t>
      </w:r>
      <w:r w:rsidRPr="00B23C8F">
        <w:t>the well-recognized adolescent need for sexual exploration</w:t>
      </w:r>
      <w:r>
        <w:t xml:space="preserve">, </w:t>
      </w:r>
      <w:r w:rsidRPr="00B23C8F">
        <w:t xml:space="preserve">sexting is viewed </w:t>
      </w:r>
      <w:r>
        <w:t xml:space="preserve">by the English criminal justice system </w:t>
      </w:r>
      <w:r w:rsidRPr="00B23C8F">
        <w:t xml:space="preserve">as an illegal activity, albeit one that </w:t>
      </w:r>
      <w:r>
        <w:t>may not result in a criminal charge but may still restrict the young person’s future life opportunities</w:t>
      </w:r>
      <w:r w:rsidRPr="00B23C8F">
        <w:t xml:space="preserve">. </w:t>
      </w:r>
      <w:r>
        <w:t>In doing</w:t>
      </w:r>
      <w:r w:rsidR="00D34370">
        <w:t xml:space="preserve"> so, the current approach to responding to</w:t>
      </w:r>
      <w:r w:rsidR="00FA3F57">
        <w:t xml:space="preserve"> non-exploitative</w:t>
      </w:r>
      <w:r w:rsidR="00D34370">
        <w:t xml:space="preserve"> teenage consensual sexting and</w:t>
      </w:r>
      <w:r>
        <w:t xml:space="preserve"> the disclosure of youth criminal records appears to be running contrary to the principal aim of the youth justice system which is to prevent offending by children and young people</w:t>
      </w:r>
      <w:r w:rsidR="006B1147">
        <w:t>.</w:t>
      </w:r>
      <w:r w:rsidR="00524DC5">
        <w:rPr>
          <w:rStyle w:val="FootnoteReference"/>
        </w:rPr>
        <w:footnoteReference w:id="34"/>
      </w:r>
      <w:r>
        <w:t xml:space="preserve"> </w:t>
      </w:r>
      <w:r w:rsidR="00DB258D">
        <w:t>P</w:t>
      </w:r>
      <w:r w:rsidRPr="00C13C6F">
        <w:t xml:space="preserve">reventing offending by young people necessarily involves preventing young people being drawn into the criminal justice system </w:t>
      </w:r>
      <w:r>
        <w:t>‘</w:t>
      </w:r>
      <w:r w:rsidRPr="00C13C6F">
        <w:t>with consequent blighting of their life chances</w:t>
      </w:r>
      <w:r>
        <w:t>’</w:t>
      </w:r>
      <w:r w:rsidRPr="00C13C6F">
        <w:t xml:space="preserve"> and </w:t>
      </w:r>
      <w:r w:rsidR="00D34370">
        <w:t xml:space="preserve">ensuring </w:t>
      </w:r>
      <w:r w:rsidRPr="00C13C6F">
        <w:t xml:space="preserve">that </w:t>
      </w:r>
      <w:r>
        <w:t>‘</w:t>
      </w:r>
      <w:r w:rsidRPr="00C13C6F">
        <w:rPr>
          <w:color w:val="000000"/>
        </w:rPr>
        <w:t>children who offend may benefit from a second chance following their earlier errors</w:t>
      </w:r>
      <w:r w:rsidR="00524DC5">
        <w:rPr>
          <w:color w:val="000000"/>
        </w:rPr>
        <w:t>’</w:t>
      </w:r>
      <w:r w:rsidRPr="00C13C6F">
        <w:rPr>
          <w:color w:val="000000"/>
        </w:rPr>
        <w:t>.</w:t>
      </w:r>
      <w:r w:rsidR="00524DC5">
        <w:rPr>
          <w:rStyle w:val="FootnoteReference"/>
          <w:color w:val="000000"/>
        </w:rPr>
        <w:footnoteReference w:id="35"/>
      </w:r>
      <w:r>
        <w:rPr>
          <w:color w:val="000000"/>
        </w:rPr>
        <w:t xml:space="preserve"> </w:t>
      </w:r>
      <w:r w:rsidRPr="00B23C8F">
        <w:t>Th</w:t>
      </w:r>
      <w:r w:rsidR="006A60AD">
        <w:t xml:space="preserve">e current </w:t>
      </w:r>
      <w:r w:rsidRPr="00B23C8F">
        <w:t xml:space="preserve">approach to </w:t>
      </w:r>
      <w:r>
        <w:t xml:space="preserve">recording </w:t>
      </w:r>
      <w:r w:rsidRPr="00B23C8F">
        <w:t>sexting</w:t>
      </w:r>
      <w:r>
        <w:t xml:space="preserve"> </w:t>
      </w:r>
      <w:r w:rsidRPr="00B23C8F">
        <w:t xml:space="preserve">seeks to </w:t>
      </w:r>
      <w:r>
        <w:t>frame s</w:t>
      </w:r>
      <w:r w:rsidRPr="00B23C8F">
        <w:t>exting almost exclusively as a dangerous activit</w:t>
      </w:r>
      <w:r>
        <w:t>y and a social problem</w:t>
      </w:r>
      <w:r w:rsidRPr="0094104C">
        <w:rPr>
          <w:lang w:val="en"/>
        </w:rPr>
        <w:t xml:space="preserve"> </w:t>
      </w:r>
      <w:r w:rsidR="00D34370">
        <w:rPr>
          <w:lang w:val="en"/>
        </w:rPr>
        <w:t>leaving</w:t>
      </w:r>
      <w:r w:rsidRPr="00E06DFE">
        <w:rPr>
          <w:lang w:val="en"/>
        </w:rPr>
        <w:t xml:space="preserve"> no space for </w:t>
      </w:r>
      <w:r>
        <w:rPr>
          <w:lang w:val="en"/>
        </w:rPr>
        <w:t xml:space="preserve">the recognition of youth </w:t>
      </w:r>
      <w:r w:rsidRPr="00E06DFE">
        <w:rPr>
          <w:lang w:val="en"/>
        </w:rPr>
        <w:t xml:space="preserve">agency or recognition of their rights as sexual </w:t>
      </w:r>
      <w:r w:rsidRPr="00E06DFE">
        <w:rPr>
          <w:lang w:val="en"/>
        </w:rPr>
        <w:lastRenderedPageBreak/>
        <w:t>citizens</w:t>
      </w:r>
      <w:r>
        <w:rPr>
          <w:lang w:val="en"/>
        </w:rPr>
        <w:t xml:space="preserve">. </w:t>
      </w:r>
      <w:r>
        <w:t xml:space="preserve">Responses to sexting are erasing adolescent subjectivity and sexuality and instead assimilating it to a discourse of </w:t>
      </w:r>
      <w:r w:rsidR="00524DC5">
        <w:t>developmental incompetence</w:t>
      </w:r>
      <w:r>
        <w:t>.</w:t>
      </w:r>
      <w:r w:rsidR="00524DC5">
        <w:rPr>
          <w:rStyle w:val="FootnoteReference"/>
        </w:rPr>
        <w:footnoteReference w:id="36"/>
      </w:r>
      <w:r>
        <w:t xml:space="preserve"> </w:t>
      </w:r>
    </w:p>
    <w:p w14:paraId="6B02C02D" w14:textId="54A5D416" w:rsidR="009532EC" w:rsidRPr="00D51AAE" w:rsidRDefault="009532EC" w:rsidP="00D4432B">
      <w:pPr>
        <w:pStyle w:val="BodyText"/>
        <w:ind w:firstLine="720"/>
      </w:pPr>
      <w:r>
        <w:t>This approach to youth criminal records and youth sexting also runs counter to the UK’s obligations under international law. The U</w:t>
      </w:r>
      <w:r w:rsidR="00D34370">
        <w:t xml:space="preserve">nited </w:t>
      </w:r>
      <w:r>
        <w:t>N</w:t>
      </w:r>
      <w:r w:rsidR="00D34370">
        <w:t>ations</w:t>
      </w:r>
      <w:r>
        <w:t xml:space="preserve"> Convention on the Rights of the Child </w:t>
      </w:r>
      <w:r w:rsidR="00D34370">
        <w:t xml:space="preserve">(UNCRC) </w:t>
      </w:r>
      <w:r>
        <w:t xml:space="preserve">represents the most comprehensive legally binding statement of children’s rights. Article 40(3) of the </w:t>
      </w:r>
      <w:r w:rsidR="00D34370">
        <w:t>UNCRC</w:t>
      </w:r>
      <w:r>
        <w:t xml:space="preserve"> requires state parties to develop measures for dealing with young </w:t>
      </w:r>
      <w:r w:rsidR="00DB258D">
        <w:t>people</w:t>
      </w:r>
      <w:r>
        <w:t xml:space="preserve"> without resorting to judicial proceedings, provided that human rights are respected. </w:t>
      </w:r>
      <w:r w:rsidRPr="00350ADA">
        <w:t xml:space="preserve">The </w:t>
      </w:r>
      <w:r w:rsidR="00D34370">
        <w:t>UNCRC</w:t>
      </w:r>
      <w:r w:rsidRPr="00350ADA">
        <w:t xml:space="preserve"> not only constructs children as rights-bearing citizens with a range of social, political and civil rights, but also calls upon states to ensure that they are active, participating citizens, playing a role in governance ‘according to their age and maturity’, rather than simply ‘being passively governed’.</w:t>
      </w:r>
      <w:r w:rsidR="00524DC5">
        <w:rPr>
          <w:rStyle w:val="FootnoteReference"/>
        </w:rPr>
        <w:footnoteReference w:id="37"/>
      </w:r>
      <w:r w:rsidRPr="00350ADA">
        <w:t xml:space="preserve"> </w:t>
      </w:r>
      <w:r w:rsidR="00D34370">
        <w:t xml:space="preserve">The UNCRC </w:t>
      </w:r>
      <w:r>
        <w:t xml:space="preserve">was ratified by the UK in 1991 and under international law this places an obligation on the government to comply with its principles and standards. </w:t>
      </w:r>
      <w:r>
        <w:rPr>
          <w:iCs/>
        </w:rPr>
        <w:t xml:space="preserve">The </w:t>
      </w:r>
      <w:r w:rsidR="00D34370">
        <w:rPr>
          <w:iCs/>
        </w:rPr>
        <w:t>UNCRC</w:t>
      </w:r>
      <w:r>
        <w:rPr>
          <w:iCs/>
        </w:rPr>
        <w:t xml:space="preserve"> is not a part of UK national law therefore it is not possible to bring a challenge in the UK courts where there are grounds for believing that the state is violating Convention rights. This is not to say that the rights in the Convention are totally without protection, the United Nations Committee on the Rights of the Child monitors how states are making progress in securing Convention rights for children within their jurisdiction. </w:t>
      </w:r>
      <w:r>
        <w:t>The United Nations Commit</w:t>
      </w:r>
      <w:r w:rsidR="00524DC5">
        <w:t xml:space="preserve">tee on the Rights of the Child </w:t>
      </w:r>
      <w:r>
        <w:t>believes that diversion from the criminal justice system avoids stigmatising the child and is cost effective.</w:t>
      </w:r>
      <w:r w:rsidR="00524DC5">
        <w:rPr>
          <w:rStyle w:val="FootnoteReference"/>
        </w:rPr>
        <w:footnoteReference w:id="38"/>
      </w:r>
      <w:r>
        <w:t xml:space="preserve"> </w:t>
      </w:r>
      <w:r w:rsidRPr="00663BB4">
        <w:rPr>
          <w:color w:val="000000"/>
        </w:rPr>
        <w:t xml:space="preserve">The United Nations Committee on the Rights of the Child </w:t>
      </w:r>
      <w:r w:rsidRPr="00663BB4">
        <w:t xml:space="preserve">recommended that diversion from judicial proceedings should lead to a definite and final closure of the case, without the child in question being treated as having a </w:t>
      </w:r>
      <w:r w:rsidRPr="00663BB4">
        <w:lastRenderedPageBreak/>
        <w:t>criminal record or previous conviction.</w:t>
      </w:r>
      <w:r w:rsidR="00524DC5">
        <w:rPr>
          <w:rStyle w:val="FootnoteReference"/>
        </w:rPr>
        <w:footnoteReference w:id="39"/>
      </w:r>
      <w:r>
        <w:t xml:space="preserve"> Similarly the United Nations Committee o</w:t>
      </w:r>
      <w:r w:rsidR="00524DC5">
        <w:t>n the Rights of the Child</w:t>
      </w:r>
      <w:r>
        <w:t xml:space="preserve"> recommend that such processes should only be used where the young person acknowledges their responsibility, freely gives their consent to diversion and where such acknowledgement of responsibility will not be used against them in subsequent legal proceedings.</w:t>
      </w:r>
      <w:r w:rsidR="00524DC5">
        <w:rPr>
          <w:rStyle w:val="FootnoteReference"/>
        </w:rPr>
        <w:footnoteReference w:id="40"/>
      </w:r>
      <w:r>
        <w:t xml:space="preserve"> Thus the</w:t>
      </w:r>
      <w:r w:rsidRPr="00350ADA">
        <w:t xml:space="preserve"> UN Convention</w:t>
      </w:r>
      <w:r>
        <w:t>, and the UN Committee on the Rights of the Child, embrace</w:t>
      </w:r>
      <w:r w:rsidRPr="00350ADA">
        <w:t xml:space="preserve"> the concept of autonomy where it is inextricably linked to the concept of the child’s evolving capacities</w:t>
      </w:r>
      <w:r w:rsidR="006B1147">
        <w:t xml:space="preserve"> (</w:t>
      </w:r>
      <w:r w:rsidR="006B1147" w:rsidRPr="00FC2DF9">
        <w:t xml:space="preserve">Article 5 </w:t>
      </w:r>
      <w:r w:rsidR="00D34370">
        <w:t>UNCRC</w:t>
      </w:r>
      <w:r w:rsidR="006B1147">
        <w:t>)</w:t>
      </w:r>
      <w:r w:rsidRPr="00350ADA">
        <w:t>, the principle of the child’s active and informed participation in all matters affecting her or him</w:t>
      </w:r>
      <w:r w:rsidR="006B1147">
        <w:t xml:space="preserve"> (Art</w:t>
      </w:r>
      <w:r w:rsidR="006B1147" w:rsidRPr="00FC2DF9">
        <w:t xml:space="preserve">icle 12 </w:t>
      </w:r>
      <w:r w:rsidR="00D34370">
        <w:t>UNCRC</w:t>
      </w:r>
      <w:r w:rsidR="006B1147" w:rsidRPr="00350ADA">
        <w:rPr>
          <w:rStyle w:val="EndnoteReference"/>
        </w:rPr>
        <w:t xml:space="preserve"> </w:t>
      </w:r>
      <w:r w:rsidR="006B1147">
        <w:t>)</w:t>
      </w:r>
      <w:r w:rsidRPr="00350ADA">
        <w:t xml:space="preserve"> and the understanding that children are independent holders of rights.</w:t>
      </w:r>
      <w:r w:rsidR="005F5500">
        <w:rPr>
          <w:rStyle w:val="FootnoteReference"/>
        </w:rPr>
        <w:footnoteReference w:id="41"/>
      </w:r>
      <w:r w:rsidR="002334C6">
        <w:t xml:space="preserve"> </w:t>
      </w:r>
    </w:p>
    <w:p w14:paraId="63937C3A" w14:textId="77777777" w:rsidR="009532EC" w:rsidRDefault="009532EC" w:rsidP="00E35F75">
      <w:pPr>
        <w:spacing w:after="0" w:line="480" w:lineRule="auto"/>
        <w:rPr>
          <w:rFonts w:ascii="Times New Roman" w:hAnsi="Times New Roman" w:cs="Times New Roman"/>
          <w:b/>
          <w:sz w:val="24"/>
          <w:szCs w:val="24"/>
        </w:rPr>
      </w:pPr>
    </w:p>
    <w:p w14:paraId="2C119CE8" w14:textId="439560DC" w:rsidR="009532EC" w:rsidRPr="00A31C78" w:rsidRDefault="00A31C78" w:rsidP="005C76E5">
      <w:pPr>
        <w:spacing w:after="0" w:line="480" w:lineRule="auto"/>
        <w:jc w:val="center"/>
        <w:rPr>
          <w:rFonts w:ascii="Times New Roman" w:hAnsi="Times New Roman" w:cs="Times New Roman"/>
          <w:b/>
          <w:caps/>
          <w:sz w:val="24"/>
          <w:szCs w:val="24"/>
        </w:rPr>
      </w:pPr>
      <w:r w:rsidRPr="00A31C78">
        <w:rPr>
          <w:rFonts w:ascii="Times New Roman" w:hAnsi="Times New Roman" w:cs="Times New Roman"/>
          <w:b/>
          <w:caps/>
          <w:sz w:val="24"/>
          <w:szCs w:val="24"/>
        </w:rPr>
        <w:t xml:space="preserve">IV. </w:t>
      </w:r>
      <w:r w:rsidR="00370228" w:rsidRPr="00A31C78">
        <w:rPr>
          <w:rFonts w:ascii="Times New Roman" w:hAnsi="Times New Roman" w:cs="Times New Roman"/>
          <w:b/>
          <w:caps/>
          <w:sz w:val="24"/>
          <w:szCs w:val="24"/>
        </w:rPr>
        <w:t xml:space="preserve">Children’s rights, agency and citizenship – understanding childhood innocence and experience </w:t>
      </w:r>
    </w:p>
    <w:p w14:paraId="3ABD2FF9" w14:textId="2DFFE9DA" w:rsidR="009532EC" w:rsidRDefault="009532EC" w:rsidP="007E5514">
      <w:pPr>
        <w:pStyle w:val="NormalWeb"/>
        <w:spacing w:line="480" w:lineRule="auto"/>
        <w:jc w:val="both"/>
      </w:pPr>
      <w:r w:rsidRPr="00B23C8F">
        <w:t>The law’s view of children as simultaneously being in need of protection with regard to sex and as potentially dangerous, reflects competing and contradictory constructions of childhood</w:t>
      </w:r>
      <w:r>
        <w:t xml:space="preserve"> which constitute the child as either</w:t>
      </w:r>
      <w:r w:rsidRPr="00B23C8F">
        <w:t xml:space="preserve"> inherently innocent (Apollonian) </w:t>
      </w:r>
      <w:r>
        <w:t>or</w:t>
      </w:r>
      <w:r w:rsidRPr="00B23C8F">
        <w:t xml:space="preserve"> sinful (Dionysian).</w:t>
      </w:r>
      <w:r w:rsidR="007452A3">
        <w:rPr>
          <w:rStyle w:val="FootnoteReference"/>
        </w:rPr>
        <w:footnoteReference w:id="42"/>
      </w:r>
      <w:r w:rsidRPr="00B23C8F">
        <w:rPr>
          <w:lang w:val="en"/>
        </w:rPr>
        <w:t xml:space="preserve"> The </w:t>
      </w:r>
      <w:r>
        <w:rPr>
          <w:lang w:val="en"/>
        </w:rPr>
        <w:t>‘</w:t>
      </w:r>
      <w:r w:rsidRPr="00B23C8F">
        <w:rPr>
          <w:lang w:val="en"/>
        </w:rPr>
        <w:t>pure</w:t>
      </w:r>
      <w:r>
        <w:rPr>
          <w:lang w:val="en"/>
        </w:rPr>
        <w:t>’</w:t>
      </w:r>
      <w:r w:rsidRPr="00B23C8F">
        <w:rPr>
          <w:lang w:val="en"/>
        </w:rPr>
        <w:t xml:space="preserve"> and </w:t>
      </w:r>
      <w:r>
        <w:rPr>
          <w:lang w:val="en"/>
        </w:rPr>
        <w:t>‘</w:t>
      </w:r>
      <w:r w:rsidRPr="00B23C8F">
        <w:rPr>
          <w:lang w:val="en"/>
        </w:rPr>
        <w:t>innocent</w:t>
      </w:r>
      <w:r>
        <w:rPr>
          <w:lang w:val="en"/>
        </w:rPr>
        <w:t>’</w:t>
      </w:r>
      <w:r w:rsidRPr="00B23C8F">
        <w:rPr>
          <w:lang w:val="en"/>
        </w:rPr>
        <w:t xml:space="preserve"> child is critical to the formation of the good moral heteronormative adult citizen. </w:t>
      </w:r>
      <w:r>
        <w:t>The</w:t>
      </w:r>
      <w:r w:rsidRPr="00B23C8F">
        <w:t xml:space="preserve"> desire</w:t>
      </w:r>
      <w:r>
        <w:t xml:space="preserve"> for sexualised pleasure</w:t>
      </w:r>
      <w:r w:rsidRPr="00B23C8F">
        <w:t xml:space="preserve"> </w:t>
      </w:r>
      <w:r>
        <w:t>acts as an arbitrary marke</w:t>
      </w:r>
      <w:r w:rsidRPr="00B23C8F">
        <w:t>r between an innocent childhood and a sexually knowing adulthood.</w:t>
      </w:r>
      <w:r w:rsidR="007452A3">
        <w:rPr>
          <w:rStyle w:val="FootnoteReference"/>
        </w:rPr>
        <w:footnoteReference w:id="43"/>
      </w:r>
      <w:r>
        <w:t xml:space="preserve"> </w:t>
      </w:r>
      <w:r>
        <w:rPr>
          <w:lang w:val="en"/>
        </w:rPr>
        <w:t>C</w:t>
      </w:r>
      <w:r w:rsidRPr="00B23C8F">
        <w:rPr>
          <w:lang w:val="en"/>
        </w:rPr>
        <w:t xml:space="preserve">hildren’s access to sexual knowledge </w:t>
      </w:r>
      <w:r>
        <w:rPr>
          <w:lang w:val="en"/>
        </w:rPr>
        <w:t xml:space="preserve">and </w:t>
      </w:r>
      <w:proofErr w:type="spellStart"/>
      <w:r>
        <w:rPr>
          <w:lang w:val="en"/>
        </w:rPr>
        <w:lastRenderedPageBreak/>
        <w:t>behaviour</w:t>
      </w:r>
      <w:proofErr w:type="spellEnd"/>
      <w:r>
        <w:rPr>
          <w:lang w:val="en"/>
        </w:rPr>
        <w:t xml:space="preserve"> </w:t>
      </w:r>
      <w:r w:rsidRPr="00B23C8F">
        <w:rPr>
          <w:lang w:val="en"/>
        </w:rPr>
        <w:t>before it is considered to</w:t>
      </w:r>
      <w:r>
        <w:rPr>
          <w:lang w:val="en"/>
        </w:rPr>
        <w:t xml:space="preserve"> be developmentally appropriate,</w:t>
      </w:r>
      <w:r w:rsidRPr="00B23C8F">
        <w:rPr>
          <w:lang w:val="en"/>
        </w:rPr>
        <w:t xml:space="preserve"> discursively defined within a moral, Christian, heteronormative framework</w:t>
      </w:r>
      <w:r>
        <w:rPr>
          <w:lang w:val="en"/>
        </w:rPr>
        <w:t>,</w:t>
      </w:r>
      <w:r w:rsidRPr="00B23C8F">
        <w:rPr>
          <w:lang w:val="en"/>
        </w:rPr>
        <w:t xml:space="preserve"> is perceived as corrupting the child’s innocence.</w:t>
      </w:r>
      <w:r w:rsidR="007452A3">
        <w:rPr>
          <w:rStyle w:val="FootnoteReference"/>
          <w:lang w:val="en"/>
        </w:rPr>
        <w:footnoteReference w:id="44"/>
      </w:r>
      <w:r w:rsidRPr="00B23C8F">
        <w:rPr>
          <w:lang w:val="en"/>
        </w:rPr>
        <w:t xml:space="preserve"> The ultimate consequence is perceived to be the formation of the promiscuous adult or the deviant adult citizen.</w:t>
      </w:r>
      <w:r w:rsidRPr="008C0F41">
        <w:t xml:space="preserve"> </w:t>
      </w:r>
      <w:r w:rsidRPr="00E06DFE">
        <w:rPr>
          <w:lang w:val="en"/>
        </w:rPr>
        <w:t>Conceptualizing childhood sexuality within th</w:t>
      </w:r>
      <w:r w:rsidR="00D837C7">
        <w:rPr>
          <w:lang w:val="en"/>
        </w:rPr>
        <w:t>is discourse of protecti</w:t>
      </w:r>
      <w:r w:rsidRPr="00E06DFE">
        <w:rPr>
          <w:lang w:val="en"/>
        </w:rPr>
        <w:t>n</w:t>
      </w:r>
      <w:r w:rsidR="00D837C7">
        <w:rPr>
          <w:lang w:val="en"/>
        </w:rPr>
        <w:t xml:space="preserve">g the future adult the child will become </w:t>
      </w:r>
      <w:r w:rsidRPr="00E06DFE">
        <w:rPr>
          <w:lang w:val="en"/>
        </w:rPr>
        <w:t xml:space="preserve">creates a framework that </w:t>
      </w:r>
      <w:r w:rsidR="00BD5A2E">
        <w:rPr>
          <w:lang w:val="en"/>
        </w:rPr>
        <w:t>inexorably</w:t>
      </w:r>
      <w:r w:rsidR="00BD5A2E" w:rsidRPr="00E06DFE">
        <w:rPr>
          <w:lang w:val="en"/>
        </w:rPr>
        <w:t xml:space="preserve"> </w:t>
      </w:r>
      <w:proofErr w:type="spellStart"/>
      <w:r w:rsidRPr="00E06DFE">
        <w:rPr>
          <w:lang w:val="en"/>
        </w:rPr>
        <w:t>pathologizes</w:t>
      </w:r>
      <w:proofErr w:type="spellEnd"/>
      <w:r w:rsidRPr="00E06DFE">
        <w:rPr>
          <w:lang w:val="en"/>
        </w:rPr>
        <w:t xml:space="preserve"> the sexual subjectivity of children; once the sexual consciousness of the child is spurred into expression it is constructed as dangerous and pathological and i</w:t>
      </w:r>
      <w:r w:rsidR="00D837C7">
        <w:rPr>
          <w:lang w:val="en"/>
        </w:rPr>
        <w:t>n need of outside intervention</w:t>
      </w:r>
      <w:r>
        <w:rPr>
          <w:lang w:val="en"/>
        </w:rPr>
        <w:t>.</w:t>
      </w:r>
      <w:r w:rsidR="007452A3">
        <w:rPr>
          <w:rStyle w:val="FootnoteReference"/>
          <w:lang w:val="en"/>
        </w:rPr>
        <w:footnoteReference w:id="45"/>
      </w:r>
      <w:r w:rsidRPr="00997991">
        <w:rPr>
          <w:lang w:val="en"/>
        </w:rPr>
        <w:t xml:space="preserve"> </w:t>
      </w:r>
      <w:r w:rsidRPr="00E06DFE">
        <w:rPr>
          <w:lang w:val="en"/>
        </w:rPr>
        <w:t>Childhood sexuality within this framework remains solely under the auspices of parents, the state and other adult protectors</w:t>
      </w:r>
      <w:r>
        <w:rPr>
          <w:lang w:val="en"/>
        </w:rPr>
        <w:t xml:space="preserve"> a</w:t>
      </w:r>
      <w:r w:rsidR="006B1147">
        <w:rPr>
          <w:lang w:val="en"/>
        </w:rPr>
        <w:t>nd prosecutors</w:t>
      </w:r>
      <w:r w:rsidRPr="00E06DFE">
        <w:rPr>
          <w:lang w:val="en"/>
        </w:rPr>
        <w:t>.</w:t>
      </w:r>
      <w:r w:rsidR="007452A3">
        <w:rPr>
          <w:rStyle w:val="FootnoteReference"/>
          <w:lang w:val="en"/>
        </w:rPr>
        <w:footnoteReference w:id="46"/>
      </w:r>
      <w:r>
        <w:rPr>
          <w:lang w:val="en"/>
        </w:rPr>
        <w:t xml:space="preserve"> </w:t>
      </w:r>
      <w:r w:rsidR="00D837C7">
        <w:t>Consequently</w:t>
      </w:r>
      <w:r w:rsidRPr="00B23C8F">
        <w:t xml:space="preserve"> young people are presented with limited and limiting ways of expressing and scripting their sexuality</w:t>
      </w:r>
      <w:r>
        <w:t>, sexual feelings and sexual identity</w:t>
      </w:r>
      <w:r w:rsidR="007452A3">
        <w:rPr>
          <w:rStyle w:val="FootnoteReference"/>
        </w:rPr>
        <w:footnoteReference w:id="47"/>
      </w:r>
      <w:r w:rsidR="000F2951">
        <w:t xml:space="preserve"> and adults continue to exert power over children’s sexuality.</w:t>
      </w:r>
      <w:r w:rsidR="000F2951">
        <w:rPr>
          <w:rStyle w:val="FootnoteReference"/>
        </w:rPr>
        <w:footnoteReference w:id="48"/>
      </w:r>
    </w:p>
    <w:p w14:paraId="3E1E41C5" w14:textId="0E99C622" w:rsidR="00885C6C" w:rsidRDefault="009532EC" w:rsidP="00217291">
      <w:pPr>
        <w:pStyle w:val="NormalWeb"/>
        <w:spacing w:line="480" w:lineRule="auto"/>
        <w:ind w:firstLine="720"/>
        <w:jc w:val="both"/>
      </w:pPr>
      <w:r>
        <w:t>This</w:t>
      </w:r>
      <w:r w:rsidRPr="003F52CF">
        <w:t xml:space="preserve"> view underpins the strong emphasis currently being placed on regulating consensual teenage sexting.</w:t>
      </w:r>
      <w:r>
        <w:t xml:space="preserve"> </w:t>
      </w:r>
      <w:r w:rsidR="007D402A">
        <w:t xml:space="preserve">The potential for criminalising consensual sexting amongst young people </w:t>
      </w:r>
      <w:r w:rsidR="007D402A" w:rsidRPr="00E06DFE">
        <w:t>nega</w:t>
      </w:r>
      <w:r w:rsidR="007D402A">
        <w:t>tes</w:t>
      </w:r>
      <w:r w:rsidR="007D402A" w:rsidRPr="00E06DFE">
        <w:t xml:space="preserve"> the possibility that young people might be agents capable of making their own decisions in sexual matters</w:t>
      </w:r>
      <w:r w:rsidR="00D837C7">
        <w:t>.</w:t>
      </w:r>
      <w:r w:rsidR="007D402A" w:rsidRPr="00E06DFE">
        <w:t xml:space="preserve"> </w:t>
      </w:r>
      <w:r w:rsidR="00D837C7">
        <w:t xml:space="preserve">It </w:t>
      </w:r>
      <w:r w:rsidR="007D402A" w:rsidRPr="00E06DFE">
        <w:t xml:space="preserve">may be seen </w:t>
      </w:r>
      <w:r w:rsidR="007D402A">
        <w:t xml:space="preserve">as a reversion </w:t>
      </w:r>
      <w:r w:rsidR="007D402A" w:rsidRPr="00E06DFE">
        <w:t xml:space="preserve">to </w:t>
      </w:r>
      <w:r w:rsidR="007D402A">
        <w:t xml:space="preserve">simplistic </w:t>
      </w:r>
      <w:r w:rsidR="007D402A" w:rsidRPr="00E06DFE">
        <w:t xml:space="preserve">moralising </w:t>
      </w:r>
      <w:r w:rsidR="007D402A" w:rsidRPr="00B23C8F">
        <w:t>concerns</w:t>
      </w:r>
      <w:r w:rsidR="007D402A" w:rsidRPr="00E06DFE">
        <w:t xml:space="preserve"> to silence legitimate debates around children’s rights, particularly sexual rights</w:t>
      </w:r>
      <w:r w:rsidR="007D402A" w:rsidRPr="00B23C8F">
        <w:t>.</w:t>
      </w:r>
      <w:r w:rsidR="007452A3">
        <w:rPr>
          <w:rStyle w:val="FootnoteReference"/>
        </w:rPr>
        <w:footnoteReference w:id="49"/>
      </w:r>
      <w:r w:rsidR="007D402A">
        <w:t xml:space="preserve"> </w:t>
      </w:r>
      <w:r w:rsidRPr="003F52CF">
        <w:t xml:space="preserve">The criminal justice system is marking young people who engage in sexting as </w:t>
      </w:r>
      <w:r>
        <w:t>‘</w:t>
      </w:r>
      <w:r w:rsidRPr="003F52CF">
        <w:t>unrecognizable others</w:t>
      </w:r>
      <w:r>
        <w:t>’</w:t>
      </w:r>
      <w:r w:rsidR="00B95471">
        <w:t>,</w:t>
      </w:r>
      <w:r w:rsidR="007452A3">
        <w:rPr>
          <w:rStyle w:val="FootnoteReference"/>
        </w:rPr>
        <w:footnoteReference w:id="50"/>
      </w:r>
      <w:r w:rsidRPr="003F52CF">
        <w:t xml:space="preserve"> that is youth who fail to maintain socially, and sexually, proper behaviour.</w:t>
      </w:r>
      <w:r>
        <w:rPr>
          <w:lang w:val="en"/>
        </w:rPr>
        <w:t xml:space="preserve"> </w:t>
      </w:r>
      <w:r>
        <w:t>This discourse</w:t>
      </w:r>
      <w:r w:rsidRPr="00B23C8F">
        <w:t xml:space="preserve"> </w:t>
      </w:r>
      <w:r>
        <w:lastRenderedPageBreak/>
        <w:t xml:space="preserve">results in policies predicated </w:t>
      </w:r>
      <w:r w:rsidRPr="00B23C8F">
        <w:t xml:space="preserve">on protection and containment, within which the voices of children and young people are largely absent. There is no application of a children’s rights discourse that </w:t>
      </w:r>
      <w:r w:rsidR="00885C6C" w:rsidRPr="00B23C8F">
        <w:t>reflect</w:t>
      </w:r>
      <w:r w:rsidR="00885C6C">
        <w:t>s</w:t>
      </w:r>
      <w:r w:rsidR="00885C6C" w:rsidRPr="00B23C8F">
        <w:t xml:space="preserve"> young people’s experience of the ways in which their sexuality is regarded by adult societ</w:t>
      </w:r>
      <w:r w:rsidR="00885C6C">
        <w:t>y and that v</w:t>
      </w:r>
      <w:r w:rsidRPr="00B23C8F">
        <w:t xml:space="preserve">alues young people’s agency </w:t>
      </w:r>
      <w:r w:rsidR="00885C6C">
        <w:t xml:space="preserve">and autonomy </w:t>
      </w:r>
      <w:r w:rsidRPr="00B23C8F">
        <w:t xml:space="preserve">around sexual decision-making. </w:t>
      </w:r>
      <w:r w:rsidR="0084612F">
        <w:t xml:space="preserve">Denying children’s agency, autonomy and access to knowledge potentially increases their vulnerability to abuse as it denies them the opportunity to develop the tools to recognise abusive and exploitative behaviour and situations. </w:t>
      </w:r>
    </w:p>
    <w:p w14:paraId="22FB94C4" w14:textId="0C12F803" w:rsidR="00A415EF" w:rsidRDefault="00630D55" w:rsidP="00A415EF">
      <w:pPr>
        <w:pStyle w:val="NormalWeb"/>
        <w:spacing w:line="480" w:lineRule="auto"/>
        <w:ind w:firstLine="720"/>
        <w:jc w:val="both"/>
      </w:pPr>
      <w:r w:rsidRPr="00630D55">
        <w:t>The ability to genuinely consent is constitutive of sexual autonomy</w:t>
      </w:r>
      <w:r>
        <w:t>.</w:t>
      </w:r>
      <w:r>
        <w:rPr>
          <w:rStyle w:val="FootnoteReference"/>
        </w:rPr>
        <w:footnoteReference w:id="51"/>
      </w:r>
      <w:r w:rsidRPr="00630D55">
        <w:t xml:space="preserve"> </w:t>
      </w:r>
      <w:r w:rsidR="00885C6C" w:rsidRPr="00630D55">
        <w:rPr>
          <w:color w:val="000000"/>
        </w:rPr>
        <w:t xml:space="preserve">Autonomy in this </w:t>
      </w:r>
      <w:r w:rsidR="00885C6C">
        <w:rPr>
          <w:color w:val="000000"/>
        </w:rPr>
        <w:t>context should</w:t>
      </w:r>
      <w:r w:rsidR="00885C6C" w:rsidRPr="00C839F7">
        <w:rPr>
          <w:color w:val="000000"/>
        </w:rPr>
        <w:t xml:space="preserve"> be understood as </w:t>
      </w:r>
      <w:r w:rsidR="00885C6C">
        <w:rPr>
          <w:color w:val="000000"/>
        </w:rPr>
        <w:t>more than merely deliberative but also as affective and interpretive,</w:t>
      </w:r>
      <w:r w:rsidR="00885C6C">
        <w:rPr>
          <w:rStyle w:val="FootnoteReference"/>
          <w:color w:val="000000"/>
        </w:rPr>
        <w:footnoteReference w:id="52"/>
      </w:r>
      <w:r w:rsidR="00885C6C">
        <w:rPr>
          <w:color w:val="000000"/>
        </w:rPr>
        <w:t xml:space="preserve"> that is as </w:t>
      </w:r>
      <w:r w:rsidR="00885C6C" w:rsidRPr="00C839F7">
        <w:rPr>
          <w:color w:val="000000"/>
        </w:rPr>
        <w:t>‘a suite of rational, affective, deliberative, and self-interpretative skills and competences’ that enable a person to ‘make choices and act in line with [their] reflectively endorsed beliefs, values, goals, wants, and self-identity’.</w:t>
      </w:r>
      <w:r w:rsidR="00885C6C">
        <w:rPr>
          <w:rStyle w:val="FootnoteReference"/>
          <w:color w:val="000000"/>
        </w:rPr>
        <w:footnoteReference w:id="53"/>
      </w:r>
      <w:r w:rsidR="00885C6C" w:rsidRPr="00C839F7">
        <w:rPr>
          <w:color w:val="000000"/>
        </w:rPr>
        <w:t xml:space="preserve"> Anderson </w:t>
      </w:r>
      <w:r w:rsidR="00885C6C">
        <w:rPr>
          <w:color w:val="000000"/>
        </w:rPr>
        <w:t>characterised</w:t>
      </w:r>
      <w:r w:rsidR="00885C6C" w:rsidRPr="00C839F7">
        <w:rPr>
          <w:color w:val="000000"/>
        </w:rPr>
        <w:t xml:space="preserve"> autonomy </w:t>
      </w:r>
      <w:r w:rsidR="00885C6C">
        <w:rPr>
          <w:color w:val="000000"/>
        </w:rPr>
        <w:t>a</w:t>
      </w:r>
      <w:r w:rsidR="00885C6C" w:rsidRPr="00C839F7">
        <w:rPr>
          <w:color w:val="000000"/>
        </w:rPr>
        <w:t xml:space="preserve">s ‘an array of capacities that individuals have for leading their lives…. Autonomy competencies include, for example, the </w:t>
      </w:r>
      <w:r w:rsidR="00885C6C" w:rsidRPr="00464A60">
        <w:rPr>
          <w:color w:val="000000"/>
        </w:rPr>
        <w:t>ability to appreciate what activities one finds genuinely worthwhile, to figure out how to realize one’s ends, and to actually carry out one’s intentions in the face of temptations’.</w:t>
      </w:r>
      <w:r w:rsidR="00885C6C">
        <w:rPr>
          <w:rStyle w:val="FootnoteReference"/>
          <w:color w:val="000000"/>
        </w:rPr>
        <w:footnoteReference w:id="54"/>
      </w:r>
      <w:r w:rsidR="00885C6C" w:rsidRPr="00464A60">
        <w:rPr>
          <w:color w:val="000000"/>
        </w:rPr>
        <w:t xml:space="preserve"> </w:t>
      </w:r>
      <w:r w:rsidR="00885C6C">
        <w:rPr>
          <w:color w:val="000000"/>
        </w:rPr>
        <w:t>According to Anderson,</w:t>
      </w:r>
      <w:r w:rsidR="00885C6C" w:rsidRPr="00293799">
        <w:rPr>
          <w:color w:val="000000"/>
        </w:rPr>
        <w:t xml:space="preserve"> psychological structures such </w:t>
      </w:r>
      <w:r w:rsidR="00885C6C">
        <w:rPr>
          <w:color w:val="000000"/>
        </w:rPr>
        <w:t xml:space="preserve">as </w:t>
      </w:r>
      <w:r w:rsidR="00885C6C" w:rsidRPr="00293799">
        <w:rPr>
          <w:color w:val="000000"/>
        </w:rPr>
        <w:t>self-respect, self-esteem, and</w:t>
      </w:r>
      <w:r w:rsidR="00885C6C">
        <w:rPr>
          <w:color w:val="000000"/>
        </w:rPr>
        <w:t xml:space="preserve"> self-</w:t>
      </w:r>
      <w:r w:rsidR="00885C6C" w:rsidRPr="00293799">
        <w:rPr>
          <w:color w:val="000000"/>
        </w:rPr>
        <w:t xml:space="preserve">trust are vitally important </w:t>
      </w:r>
      <w:r w:rsidR="00885C6C">
        <w:rPr>
          <w:color w:val="000000"/>
        </w:rPr>
        <w:t xml:space="preserve">agentic resources </w:t>
      </w:r>
      <w:r w:rsidR="00885C6C" w:rsidRPr="00293799">
        <w:rPr>
          <w:color w:val="000000"/>
        </w:rPr>
        <w:t>for autonomy.</w:t>
      </w:r>
      <w:r w:rsidR="00885C6C">
        <w:rPr>
          <w:rStyle w:val="FootnoteReference"/>
          <w:color w:val="000000"/>
        </w:rPr>
        <w:footnoteReference w:id="55"/>
      </w:r>
      <w:r w:rsidR="00885C6C" w:rsidRPr="00293799">
        <w:rPr>
          <w:color w:val="000000"/>
        </w:rPr>
        <w:t xml:space="preserve"> </w:t>
      </w:r>
      <w:r w:rsidR="00885C6C" w:rsidRPr="00293799">
        <w:t>As Meyers argues, autonomy is best understood not as flowing from non-interference, but as</w:t>
      </w:r>
      <w:r w:rsidR="00885C6C" w:rsidRPr="00464A60">
        <w:t xml:space="preserve"> an ongoing project of ‘autonomy competency’ that is dependent on supportive relationships, </w:t>
      </w:r>
      <w:r w:rsidR="00885C6C" w:rsidRPr="00464A60">
        <w:lastRenderedPageBreak/>
        <w:t>institutions and social pra</w:t>
      </w:r>
      <w:r w:rsidR="00885C6C">
        <w:t>ctices</w:t>
      </w:r>
      <w:r w:rsidR="00885C6C" w:rsidRPr="00464A60">
        <w:t>.</w:t>
      </w:r>
      <w:r w:rsidR="00885C6C">
        <w:rPr>
          <w:rStyle w:val="FootnoteReference"/>
        </w:rPr>
        <w:footnoteReference w:id="56"/>
      </w:r>
      <w:r w:rsidR="00885C6C">
        <w:t xml:space="preserve"> </w:t>
      </w:r>
      <w:r w:rsidR="00885C6C" w:rsidRPr="009F4ACB">
        <w:t xml:space="preserve">However, as </w:t>
      </w:r>
      <w:proofErr w:type="spellStart"/>
      <w:r w:rsidR="00885C6C" w:rsidRPr="009F4ACB">
        <w:t>Madhok</w:t>
      </w:r>
      <w:proofErr w:type="spellEnd"/>
      <w:r w:rsidR="00885C6C">
        <w:t xml:space="preserve"> </w:t>
      </w:r>
      <w:r w:rsidR="00885C6C">
        <w:rPr>
          <w:i/>
        </w:rPr>
        <w:t>et al</w:t>
      </w:r>
      <w:r w:rsidR="00885C6C" w:rsidRPr="009F4ACB">
        <w:t xml:space="preserve"> note, autonomy should not be conceptualised ‘in a binary relationship of presence/absence’ with coercion.</w:t>
      </w:r>
      <w:r w:rsidR="00885C6C" w:rsidRPr="009F4ACB">
        <w:rPr>
          <w:rStyle w:val="FootnoteReference"/>
        </w:rPr>
        <w:footnoteReference w:id="57"/>
      </w:r>
      <w:r w:rsidR="00885C6C" w:rsidRPr="009F4ACB">
        <w:t xml:space="preserve"> As they suggest, </w:t>
      </w:r>
      <w:r w:rsidR="00A415EF" w:rsidRPr="009F4ACB">
        <w:t>‘[i]</w:t>
      </w:r>
      <w:r w:rsidR="00885C6C" w:rsidRPr="009F4ACB">
        <w:t>t is a mistake to see agency as the antithesis of coercion, as if the measure of how much agency we have is how little coercion has been exercised.’</w:t>
      </w:r>
      <w:r w:rsidR="00885C6C" w:rsidRPr="009F4ACB">
        <w:rPr>
          <w:rStyle w:val="FootnoteReference"/>
        </w:rPr>
        <w:footnoteReference w:id="58"/>
      </w:r>
      <w:r w:rsidR="00885C6C" w:rsidRPr="009F4ACB">
        <w:t xml:space="preserve"> Similarly </w:t>
      </w:r>
      <w:proofErr w:type="spellStart"/>
      <w:r w:rsidR="00885C6C" w:rsidRPr="009F4ACB">
        <w:t>Lacey</w:t>
      </w:r>
      <w:proofErr w:type="spellEnd"/>
      <w:r w:rsidR="00885C6C" w:rsidRPr="009F4ACB">
        <w:t xml:space="preserve"> rejects the standard liberal view of autonomy and consent as individualistic and the view that they can be evaluated outside of their social context. She st</w:t>
      </w:r>
      <w:r w:rsidR="00885C6C">
        <w:t xml:space="preserve">ates that </w:t>
      </w:r>
      <w:r w:rsidR="00885C6C" w:rsidRPr="009F4ACB">
        <w:t>‘[i]n focusing on an individualised notion of consent, rather than the conditions under which choices can be meaningful, the prevailing idea of sexual autonomy assumes the mind to be dominant and controlling, irrespective of … circumstances’.</w:t>
      </w:r>
      <w:r w:rsidR="00885C6C" w:rsidRPr="009F4ACB">
        <w:rPr>
          <w:rStyle w:val="FootnoteReference"/>
        </w:rPr>
        <w:footnoteReference w:id="59"/>
      </w:r>
      <w:r w:rsidR="00885C6C">
        <w:t xml:space="preserve"> </w:t>
      </w:r>
      <w:r w:rsidR="00A415EF">
        <w:t>Alderson’s research on the rights of children to make decisions in the context of their health care and medical treatment illustrates how rethinking the meaning of consent can facilitate a re-conceptualisation of children’s capacity to consent in contexts where a balance is sought between their autonomy rights and their ‘protection rights’.</w:t>
      </w:r>
      <w:r w:rsidR="00A415EF">
        <w:rPr>
          <w:rStyle w:val="FootnoteReference"/>
        </w:rPr>
        <w:footnoteReference w:id="60"/>
      </w:r>
      <w:r w:rsidR="00A415EF">
        <w:t xml:space="preserve"> Alderson recommended that more emphasis is needed on the forms of competence a child develops which are directly relevant to negotiating particular social contexts. Such an approach</w:t>
      </w:r>
      <w:r w:rsidR="00A415EF" w:rsidRPr="00630D55">
        <w:t xml:space="preserve"> may better equip</w:t>
      </w:r>
      <w:r w:rsidR="00A415EF">
        <w:t xml:space="preserve"> the law and the criminal justice system</w:t>
      </w:r>
      <w:r w:rsidR="00A415EF" w:rsidRPr="00630D55">
        <w:t xml:space="preserve"> to address ‘questions of power and agency inherent within the notion of sexual choice, and take on the broad task of substantively distinguishing between wanted and unwanted … interpersonal contact</w:t>
      </w:r>
      <w:r w:rsidR="00A415EF">
        <w:t>’</w:t>
      </w:r>
      <w:r w:rsidR="00A415EF" w:rsidRPr="00630D55">
        <w:t>.</w:t>
      </w:r>
      <w:r w:rsidR="00A415EF">
        <w:rPr>
          <w:rStyle w:val="FootnoteReference"/>
        </w:rPr>
        <w:footnoteReference w:id="61"/>
      </w:r>
    </w:p>
    <w:p w14:paraId="77C4EECA" w14:textId="0E3B85AE" w:rsidR="00304F1F" w:rsidRDefault="00885C6C" w:rsidP="00A415EF">
      <w:pPr>
        <w:pStyle w:val="NormalWeb"/>
        <w:spacing w:line="480" w:lineRule="auto"/>
        <w:ind w:firstLine="720"/>
        <w:jc w:val="both"/>
        <w:rPr>
          <w:rFonts w:eastAsia="TimesNewRomanPSMT"/>
        </w:rPr>
      </w:pPr>
      <w:r w:rsidRPr="009F4ACB">
        <w:t xml:space="preserve">Pearce believes that current understanding of young people’s ‘consent’ to sexual activity is based on a medical model which assess their intellectual capacity to understand and </w:t>
      </w:r>
      <w:r w:rsidRPr="009F4ACB">
        <w:lastRenderedPageBreak/>
        <w:t>use contraceptives which is an inadequate framework for understanding the pressures, coercion and control that may be experienced by those who are being sexually exploited. Pearce developed the concept of ‘coerced consent’,</w:t>
      </w:r>
      <w:r w:rsidRPr="009F4ACB">
        <w:rPr>
          <w:rStyle w:val="FootnoteReference"/>
        </w:rPr>
        <w:footnoteReference w:id="62"/>
      </w:r>
      <w:r w:rsidRPr="009F4ACB">
        <w:t xml:space="preserve"> closely aligned to concepts of ‘coercive control’</w:t>
      </w:r>
      <w:r>
        <w:t>,</w:t>
      </w:r>
      <w:r w:rsidRPr="009F4ACB">
        <w:t xml:space="preserve"> to ensure that ‘coercion’ does not remain under-theorised</w:t>
      </w:r>
      <w:r>
        <w:t xml:space="preserve"> and </w:t>
      </w:r>
      <w:r w:rsidR="00630D55">
        <w:t xml:space="preserve">to </w:t>
      </w:r>
      <w:r>
        <w:t xml:space="preserve">develop an awareness that </w:t>
      </w:r>
      <w:r w:rsidRPr="009F4ACB">
        <w:t>autonomy must itself be understood to be socially and inter-subjectively constituted.</w:t>
      </w:r>
      <w:r w:rsidRPr="009F4ACB">
        <w:rPr>
          <w:rStyle w:val="FootnoteReference"/>
        </w:rPr>
        <w:footnoteReference w:id="63"/>
      </w:r>
      <w:r w:rsidRPr="009F4ACB">
        <w:t xml:space="preserve"> </w:t>
      </w:r>
      <w:r>
        <w:t xml:space="preserve">Coerced consent </w:t>
      </w:r>
      <w:r w:rsidRPr="009F4ACB">
        <w:t>refers to where the child is subtly manipulated into consenting to sexual activity.</w:t>
      </w:r>
      <w:r w:rsidRPr="009F4ACB">
        <w:rPr>
          <w:rStyle w:val="FootnoteReference"/>
        </w:rPr>
        <w:footnoteReference w:id="64"/>
      </w:r>
      <w:r>
        <w:t xml:space="preserve"> </w:t>
      </w:r>
      <w:r w:rsidR="00A415EF">
        <w:t>Pearce recommended that a</w:t>
      </w:r>
      <w:r w:rsidRPr="009F4ACB">
        <w:t xml:space="preserve"> social model of consent would enable consent to be contextualised to allow space to understand the abusive, exploitative and coercive relationships and contexts</w:t>
      </w:r>
      <w:r>
        <w:t>.</w:t>
      </w:r>
      <w:r w:rsidRPr="009F4ACB">
        <w:rPr>
          <w:rStyle w:val="FootnoteReference"/>
        </w:rPr>
        <w:footnoteReference w:id="65"/>
      </w:r>
      <w:r w:rsidR="00630D55">
        <w:t xml:space="preserve"> </w:t>
      </w:r>
      <w:r w:rsidR="006A60AD">
        <w:t xml:space="preserve">Similarly </w:t>
      </w:r>
      <w:r w:rsidR="00630D55" w:rsidRPr="00630D55">
        <w:t>Cowart’s main planks of genuine consent are: that the act of consent must match the consenter’s intention; there must be a mutual understanding of the thing being consented to; and that subjectively speaking, the consenter must feel that they have a genuine range of choices from which to choose.</w:t>
      </w:r>
      <w:r w:rsidR="00630D55">
        <w:rPr>
          <w:rStyle w:val="FootnoteReference"/>
        </w:rPr>
        <w:footnoteReference w:id="66"/>
      </w:r>
      <w:r w:rsidR="00630D55">
        <w:t xml:space="preserve"> </w:t>
      </w:r>
      <w:r w:rsidR="000A6D3A">
        <w:t xml:space="preserve">Munro proposes that consent should be reformulated in a way that enables it to take greater account of the peculiarities of context, constraint, and construction, and to operate with renewed </w:t>
      </w:r>
      <w:proofErr w:type="spellStart"/>
      <w:r w:rsidR="000A6D3A">
        <w:t>vigor</w:t>
      </w:r>
      <w:proofErr w:type="spellEnd"/>
      <w:r w:rsidR="000A6D3A">
        <w:t xml:space="preserve"> in the pursuit of social justice</w:t>
      </w:r>
      <w:r w:rsidR="00304F1F" w:rsidRPr="00304F1F">
        <w:t xml:space="preserve"> </w:t>
      </w:r>
      <w:r w:rsidR="00304F1F">
        <w:t xml:space="preserve">and in a way which </w:t>
      </w:r>
      <w:r w:rsidR="00304F1F" w:rsidRPr="00304F1F">
        <w:t xml:space="preserve">serves to reconnect an abstract sexual choice with the concrete </w:t>
      </w:r>
      <w:r w:rsidR="00304F1F">
        <w:t>context in which that choice is framed, selected, and then acted upon</w:t>
      </w:r>
      <w:r w:rsidR="000A6D3A">
        <w:t>.</w:t>
      </w:r>
      <w:r w:rsidR="000A6D3A">
        <w:rPr>
          <w:rStyle w:val="FootnoteReference"/>
        </w:rPr>
        <w:footnoteReference w:id="67"/>
      </w:r>
      <w:r w:rsidR="00304F1F">
        <w:t xml:space="preserve"> </w:t>
      </w:r>
      <w:r w:rsidR="00350302">
        <w:rPr>
          <w:rFonts w:eastAsia="TimesNewRomanPSMT"/>
        </w:rPr>
        <w:t>Such a reformulation would allow consent to be understood in a way which recognises and nurtures the young person’s sexual agency</w:t>
      </w:r>
      <w:r w:rsidR="00A415EF">
        <w:rPr>
          <w:rFonts w:eastAsia="TimesNewRomanPSMT"/>
        </w:rPr>
        <w:t xml:space="preserve"> and autonomy</w:t>
      </w:r>
      <w:r w:rsidR="00350302">
        <w:rPr>
          <w:rFonts w:eastAsia="TimesNewRomanPSMT"/>
        </w:rPr>
        <w:t xml:space="preserve"> while also protecting against harmful sexual contact and sexually exploitative </w:t>
      </w:r>
      <w:r w:rsidR="00350302">
        <w:rPr>
          <w:rFonts w:eastAsia="TimesNewRomanPSMT"/>
        </w:rPr>
        <w:lastRenderedPageBreak/>
        <w:t>relationships.</w:t>
      </w:r>
      <w:r w:rsidR="00FC2ED1">
        <w:rPr>
          <w:rFonts w:eastAsia="TimesNewRomanPSMT"/>
        </w:rPr>
        <w:t xml:space="preserve"> The Scottish Law Commission proposed a more nuanced understanding of autonomy in relation to sexual intimacy: </w:t>
      </w:r>
    </w:p>
    <w:p w14:paraId="44DD1014" w14:textId="30C1F72C" w:rsidR="00FC2ED1" w:rsidRPr="00304F1F" w:rsidRDefault="00FC2ED1" w:rsidP="00FC2ED1">
      <w:pPr>
        <w:pStyle w:val="NormalWeb"/>
        <w:spacing w:line="480" w:lineRule="auto"/>
        <w:ind w:left="720"/>
        <w:jc w:val="both"/>
      </w:pPr>
      <w:r>
        <w:rPr>
          <w:rFonts w:eastAsia="TimesNewRomanPSMT"/>
        </w:rPr>
        <w:t>Autonomy is a complex idea but in the context of legal regulation of sexual conduct it involves placing emphasis on a person freely choosing to engage in sexual activity … Where a person participates in a sexual act in respect of which she has not freely chosen to be involved, that person’s autonomy has been infringed, and a wrong has been done to her.</w:t>
      </w:r>
      <w:r>
        <w:rPr>
          <w:rStyle w:val="FootnoteReference"/>
          <w:rFonts w:eastAsia="TimesNewRomanPSMT"/>
        </w:rPr>
        <w:footnoteReference w:id="68"/>
      </w:r>
    </w:p>
    <w:p w14:paraId="1690B527" w14:textId="0ED0443C" w:rsidR="00FC2ED1" w:rsidRDefault="00FC2ED1" w:rsidP="00FC2ED1">
      <w:pPr>
        <w:pStyle w:val="NormalWeb"/>
        <w:spacing w:line="480" w:lineRule="auto"/>
        <w:jc w:val="both"/>
      </w:pPr>
      <w:r>
        <w:t>This definition of autonomy recognises the structural constraints upon the process of sexual choice</w:t>
      </w:r>
      <w:r w:rsidR="00887D02">
        <w:t xml:space="preserve">, sexual integrity and consent and allows for consideration of whether the interaction between the parties involves mutuality, agency, relational choice and communication and ultimately whether the sexual contact was genuinely wanted. </w:t>
      </w:r>
    </w:p>
    <w:p w14:paraId="464F465F" w14:textId="27377BAF" w:rsidR="009532EC" w:rsidRPr="00350302" w:rsidRDefault="009532EC" w:rsidP="00350302">
      <w:pPr>
        <w:pStyle w:val="NormalWeb"/>
        <w:spacing w:line="480" w:lineRule="auto"/>
        <w:ind w:firstLine="720"/>
        <w:jc w:val="both"/>
        <w:rPr>
          <w:lang w:val="en"/>
        </w:rPr>
      </w:pPr>
      <w:r w:rsidRPr="00997991">
        <w:t>Engaging in sexual behaviour is a normal, expected and eventually encouraged social achievement for young adults</w:t>
      </w:r>
      <w:r>
        <w:t>.</w:t>
      </w:r>
      <w:r w:rsidR="007452A3">
        <w:rPr>
          <w:rStyle w:val="FootnoteReference"/>
        </w:rPr>
        <w:footnoteReference w:id="69"/>
      </w:r>
      <w:r>
        <w:t xml:space="preserve"> T</w:t>
      </w:r>
      <w:r w:rsidRPr="00E06DFE">
        <w:t xml:space="preserve">he transition to sexualised adulthood </w:t>
      </w:r>
      <w:r w:rsidR="00D837C7">
        <w:t>necessarily</w:t>
      </w:r>
      <w:r w:rsidRPr="00E06DFE">
        <w:t xml:space="preserve"> involve</w:t>
      </w:r>
      <w:r w:rsidR="00D837C7">
        <w:t>s</w:t>
      </w:r>
      <w:r w:rsidRPr="00E06DFE">
        <w:t xml:space="preserve"> increasing access to sexual knowledge. </w:t>
      </w:r>
      <w:r>
        <w:t>Repressing the decisional autonomy of sexually active young people endangers their freedom to engage in self-determined sexual relationships. By ignoring children’s rights, young people are being denied dignity and respect and treated as ‘</w:t>
      </w:r>
      <w:r w:rsidRPr="00FC56F5">
        <w:t>objects of intervention rather than as legal subjects</w:t>
      </w:r>
      <w:r w:rsidR="007452A3">
        <w:t>’</w:t>
      </w:r>
      <w:r>
        <w:t>.</w:t>
      </w:r>
      <w:r w:rsidR="007452A3">
        <w:rPr>
          <w:rStyle w:val="FootnoteReference"/>
        </w:rPr>
        <w:footnoteReference w:id="70"/>
      </w:r>
      <w:r>
        <w:t xml:space="preserve"> T</w:t>
      </w:r>
      <w:r w:rsidRPr="00FC56F5">
        <w:t xml:space="preserve">hey are </w:t>
      </w:r>
      <w:r>
        <w:t>viewed as</w:t>
      </w:r>
      <w:r w:rsidRPr="00FC56F5">
        <w:t xml:space="preserve"> </w:t>
      </w:r>
      <w:r>
        <w:t>‘</w:t>
      </w:r>
      <w:proofErr w:type="spellStart"/>
      <w:r>
        <w:t>becomings</w:t>
      </w:r>
      <w:proofErr w:type="spellEnd"/>
      <w:r>
        <w:t>’</w:t>
      </w:r>
      <w:r w:rsidRPr="00FC56F5">
        <w:t xml:space="preserve"> </w:t>
      </w:r>
      <w:r>
        <w:t xml:space="preserve">or </w:t>
      </w:r>
      <w:r w:rsidRPr="00F34951">
        <w:t>underdeveloped or unfinished</w:t>
      </w:r>
      <w:r>
        <w:t xml:space="preserve"> </w:t>
      </w:r>
      <w:r w:rsidRPr="00F34951">
        <w:t>potential citizen</w:t>
      </w:r>
      <w:r>
        <w:t>s</w:t>
      </w:r>
      <w:r w:rsidRPr="00F34951">
        <w:t xml:space="preserve"> </w:t>
      </w:r>
      <w:r>
        <w:t xml:space="preserve">who are not </w:t>
      </w:r>
      <w:r w:rsidRPr="00F34951">
        <w:t>fully equipped to parti</w:t>
      </w:r>
      <w:r>
        <w:t xml:space="preserve">cipate in a complex adult world. </w:t>
      </w:r>
      <w:r w:rsidRPr="00635DB9">
        <w:t xml:space="preserve">The view of young people as citizens in development </w:t>
      </w:r>
      <w:r w:rsidRPr="00E0475A">
        <w:t>is premised on a conception of dependence, vulnerability and powerlessness</w:t>
      </w:r>
      <w:r w:rsidRPr="00635DB9">
        <w:t xml:space="preserve"> </w:t>
      </w:r>
      <w:r>
        <w:t xml:space="preserve">as it </w:t>
      </w:r>
      <w:r w:rsidRPr="00635DB9">
        <w:t xml:space="preserve">emphasises passivity and </w:t>
      </w:r>
      <w:r w:rsidRPr="00635DB9">
        <w:lastRenderedPageBreak/>
        <w:t>incompetence and limits the reco</w:t>
      </w:r>
      <w:r>
        <w:t>gnition of children as citizens</w:t>
      </w:r>
      <w:r w:rsidR="007467B2">
        <w:t xml:space="preserve"> and reflects </w:t>
      </w:r>
      <w:r w:rsidR="007467B2" w:rsidRPr="00B23C8F">
        <w:rPr>
          <w:lang w:val="en"/>
        </w:rPr>
        <w:t>hegemonic discourses of child development</w:t>
      </w:r>
      <w:r w:rsidR="007467B2">
        <w:rPr>
          <w:lang w:val="en"/>
        </w:rPr>
        <w:t xml:space="preserve"> which</w:t>
      </w:r>
      <w:r w:rsidR="007467B2" w:rsidRPr="00B23C8F">
        <w:rPr>
          <w:lang w:val="en"/>
        </w:rPr>
        <w:t xml:space="preserve"> have </w:t>
      </w:r>
      <w:r w:rsidR="00885C6C">
        <w:rPr>
          <w:lang w:val="en"/>
        </w:rPr>
        <w:t xml:space="preserve">been </w:t>
      </w:r>
      <w:r w:rsidR="007467B2" w:rsidRPr="00B23C8F">
        <w:rPr>
          <w:lang w:val="en"/>
        </w:rPr>
        <w:t xml:space="preserve">primarily underpinned </w:t>
      </w:r>
      <w:r w:rsidR="00885C6C">
        <w:rPr>
          <w:lang w:val="en"/>
        </w:rPr>
        <w:t xml:space="preserve"> by </w:t>
      </w:r>
      <w:r w:rsidR="007467B2" w:rsidRPr="00B23C8F">
        <w:rPr>
          <w:lang w:val="en"/>
        </w:rPr>
        <w:t>perceptions of the irrelevance and inappropriateness of sexuality to children’s lives</w:t>
      </w:r>
      <w:r w:rsidR="007467B2">
        <w:rPr>
          <w:lang w:val="en"/>
        </w:rPr>
        <w:t>.</w:t>
      </w:r>
      <w:r w:rsidR="0028151D">
        <w:rPr>
          <w:rStyle w:val="FootnoteReference"/>
          <w:lang w:val="en"/>
        </w:rPr>
        <w:footnoteReference w:id="71"/>
      </w:r>
      <w:r w:rsidR="00350302">
        <w:rPr>
          <w:lang w:val="en"/>
        </w:rPr>
        <w:t xml:space="preserve"> </w:t>
      </w:r>
      <w:r w:rsidRPr="00E0475A">
        <w:t>Children’s citizenship status is important as it reflects the place of childhood and children in terms of the formal and legal boundaries and the particular constructions of childhood through which laws and policies for children and young people are brought into being.</w:t>
      </w:r>
      <w:r w:rsidR="0028151D">
        <w:rPr>
          <w:rStyle w:val="FootnoteReference"/>
        </w:rPr>
        <w:footnoteReference w:id="72"/>
      </w:r>
      <w:r w:rsidRPr="00E0475A">
        <w:t xml:space="preserve"> Arendt defined citizenship </w:t>
      </w:r>
      <w:r w:rsidR="0028151D">
        <w:t>as the ‘right to have rights’</w:t>
      </w:r>
      <w:r>
        <w:t>.</w:t>
      </w:r>
      <w:r w:rsidR="0028151D">
        <w:rPr>
          <w:rStyle w:val="FootnoteReference"/>
        </w:rPr>
        <w:footnoteReference w:id="73"/>
      </w:r>
      <w:r>
        <w:t xml:space="preserve"> </w:t>
      </w:r>
      <w:r w:rsidRPr="00BE0972">
        <w:t>For Neale, seeing children throug</w:t>
      </w:r>
      <w:r w:rsidR="00BD5A2E">
        <w:t>h the lens of their citizenship</w:t>
      </w:r>
      <w:r>
        <w:t xml:space="preserve"> affects how they are viewed and treated, how youth policy and services are developed and how young people feel about themselves an</w:t>
      </w:r>
      <w:r w:rsidR="0028151D">
        <w:t>d their value in society</w:t>
      </w:r>
      <w:r>
        <w:t>.</w:t>
      </w:r>
      <w:r w:rsidR="0028151D">
        <w:rPr>
          <w:rStyle w:val="FootnoteReference"/>
        </w:rPr>
        <w:footnoteReference w:id="74"/>
      </w:r>
      <w:r>
        <w:t xml:space="preserve"> ‘</w:t>
      </w:r>
      <w:r w:rsidRPr="00BE0972">
        <w:t>Real citizenship</w:t>
      </w:r>
      <w:r>
        <w:t>’</w:t>
      </w:r>
      <w:r w:rsidRPr="00BE0972">
        <w:t xml:space="preserve"> recognises young people as having strengths and competencies and involves a search for ways to alter the culture of adult practices and attitudes in order to include children in meaningful ways and to listen and respond to them effectively</w:t>
      </w:r>
      <w:r>
        <w:t>.</w:t>
      </w:r>
      <w:r w:rsidR="0028151D">
        <w:rPr>
          <w:rStyle w:val="FootnoteReference"/>
        </w:rPr>
        <w:footnoteReference w:id="75"/>
      </w:r>
      <w:r w:rsidRPr="00627C63">
        <w:t xml:space="preserve"> </w:t>
      </w:r>
      <w:r>
        <w:t>According to this definition</w:t>
      </w:r>
      <w:r w:rsidR="00885C6C">
        <w:t>,</w:t>
      </w:r>
      <w:r>
        <w:t xml:space="preserve"> c</w:t>
      </w:r>
      <w:r w:rsidRPr="00E81950">
        <w:t>itizenship may increase children’s status in society so that their voices can be heard in decision-making that affects their lives.</w:t>
      </w:r>
      <w:r w:rsidR="0028151D">
        <w:rPr>
          <w:rStyle w:val="FootnoteReference"/>
        </w:rPr>
        <w:footnoteReference w:id="76"/>
      </w:r>
      <w:r w:rsidR="0028151D">
        <w:t xml:space="preserve"> </w:t>
      </w:r>
      <w:proofErr w:type="spellStart"/>
      <w:r w:rsidR="0028151D">
        <w:t>Pakulski</w:t>
      </w:r>
      <w:proofErr w:type="spellEnd"/>
      <w:r w:rsidR="0028151D">
        <w:t xml:space="preserve"> </w:t>
      </w:r>
      <w:r>
        <w:t xml:space="preserve">analyses citizenship in terms of the right to symbolic visibility, </w:t>
      </w:r>
      <w:proofErr w:type="spellStart"/>
      <w:r>
        <w:t>endignifying</w:t>
      </w:r>
      <w:proofErr w:type="spellEnd"/>
      <w:r>
        <w:t xml:space="preserve"> representation, identity and the maintenance of lifestyle and as a challenge to marginalisation, stigmatisation and assimilation</w:t>
      </w:r>
      <w:r w:rsidR="00885C6C">
        <w:t>.</w:t>
      </w:r>
      <w:r w:rsidR="0028151D">
        <w:rPr>
          <w:rStyle w:val="FootnoteReference"/>
        </w:rPr>
        <w:footnoteReference w:id="77"/>
      </w:r>
      <w:r>
        <w:t xml:space="preserve"> In these terms </w:t>
      </w:r>
      <w:proofErr w:type="spellStart"/>
      <w:r>
        <w:t>Pakulski</w:t>
      </w:r>
      <w:proofErr w:type="spellEnd"/>
      <w:r>
        <w:t xml:space="preserve"> argues that citizenship embraces the right to be different, to re-evaluate stigmatised identities and to embrace marginalised lifestyles. </w:t>
      </w:r>
    </w:p>
    <w:p w14:paraId="6B72876D" w14:textId="7520B3A2" w:rsidR="00BD5A2E" w:rsidRPr="007659C1" w:rsidRDefault="009532EC" w:rsidP="00BD5A2E">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The concept of citizenship is valuable as a normative framing for understanding children’s right to express their voices and emotions as well as a critical lens for exploring the legal regulation of youth sexual activity. Feminist and queer perspectives have shown that in modern Western society, citizenship has been defined in narrow terms of the idealised heterosexual male engaging in heterosexual norms and practices with rights of self-determination and sexual autonomy being denied to ‘citizen-perverts’ whose sexual proclivi</w:t>
      </w:r>
      <w:r w:rsidR="0028151D">
        <w:rPr>
          <w:rFonts w:ascii="Times New Roman" w:hAnsi="Times New Roman" w:cs="Times New Roman"/>
          <w:sz w:val="24"/>
          <w:szCs w:val="24"/>
        </w:rPr>
        <w:t>ties are regarded as unhealthy</w:t>
      </w:r>
      <w:r>
        <w:rPr>
          <w:rFonts w:ascii="Times New Roman" w:hAnsi="Times New Roman" w:cs="Times New Roman"/>
          <w:sz w:val="24"/>
          <w:szCs w:val="24"/>
        </w:rPr>
        <w:t>.</w:t>
      </w:r>
      <w:r w:rsidR="0028151D">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r w:rsidRPr="005D104D">
        <w:rPr>
          <w:rFonts w:ascii="Times New Roman" w:hAnsi="Times New Roman" w:cs="Times New Roman"/>
          <w:sz w:val="24"/>
          <w:szCs w:val="24"/>
        </w:rPr>
        <w:t xml:space="preserve">If young people are to be recognised as citizens a broader understanding of citizenship is needed in order to facilitate a more </w:t>
      </w:r>
      <w:r>
        <w:rPr>
          <w:rFonts w:ascii="Times New Roman" w:hAnsi="Times New Roman" w:cs="Times New Roman"/>
          <w:sz w:val="24"/>
          <w:szCs w:val="24"/>
        </w:rPr>
        <w:t>‘</w:t>
      </w:r>
      <w:r w:rsidRPr="005D104D">
        <w:rPr>
          <w:rFonts w:ascii="Times New Roman" w:hAnsi="Times New Roman" w:cs="Times New Roman"/>
          <w:sz w:val="24"/>
          <w:szCs w:val="24"/>
        </w:rPr>
        <w:t>inclusive and conceptually comp</w:t>
      </w:r>
      <w:r w:rsidR="0028151D">
        <w:rPr>
          <w:rFonts w:ascii="Times New Roman" w:hAnsi="Times New Roman" w:cs="Times New Roman"/>
          <w:sz w:val="24"/>
          <w:szCs w:val="24"/>
        </w:rPr>
        <w:t>rehensive view of citizenship’</w:t>
      </w:r>
      <w:r w:rsidRPr="005D104D">
        <w:rPr>
          <w:rFonts w:ascii="Times New Roman" w:hAnsi="Times New Roman" w:cs="Times New Roman"/>
          <w:sz w:val="24"/>
          <w:szCs w:val="24"/>
        </w:rPr>
        <w:t>.</w:t>
      </w:r>
      <w:r w:rsidR="0028151D">
        <w:rPr>
          <w:rStyle w:val="FootnoteReference"/>
          <w:rFonts w:ascii="Times New Roman" w:hAnsi="Times New Roman" w:cs="Times New Roman"/>
          <w:sz w:val="24"/>
          <w:szCs w:val="24"/>
        </w:rPr>
        <w:footnoteReference w:id="79"/>
      </w:r>
      <w:r w:rsidRPr="005D104D">
        <w:rPr>
          <w:rFonts w:ascii="Times New Roman" w:hAnsi="Times New Roman" w:cs="Times New Roman"/>
          <w:sz w:val="24"/>
          <w:szCs w:val="24"/>
        </w:rPr>
        <w:t xml:space="preserve"> Youth citizenship requires young people who are exploring their sexuality to be treated as both competent and in need of protection from harm, exploitation and abuse. This reform should allow for youth citizenship to be recognised in a way which does not devalue their right to remain children</w:t>
      </w:r>
      <w:r>
        <w:rPr>
          <w:rFonts w:ascii="Times New Roman" w:hAnsi="Times New Roman" w:cs="Times New Roman"/>
          <w:sz w:val="24"/>
          <w:szCs w:val="24"/>
        </w:rPr>
        <w:t xml:space="preserve">. </w:t>
      </w:r>
      <w:r w:rsidR="00BD5A2E" w:rsidRPr="007659C1">
        <w:rPr>
          <w:rFonts w:ascii="Times New Roman" w:hAnsi="Times New Roman" w:cs="Times New Roman"/>
          <w:sz w:val="24"/>
          <w:szCs w:val="24"/>
        </w:rPr>
        <w:t xml:space="preserve">As </w:t>
      </w:r>
      <w:proofErr w:type="spellStart"/>
      <w:r w:rsidR="00BD5A2E" w:rsidRPr="007659C1">
        <w:rPr>
          <w:rFonts w:ascii="Times New Roman" w:hAnsi="Times New Roman" w:cs="Times New Roman"/>
          <w:sz w:val="24"/>
          <w:szCs w:val="24"/>
        </w:rPr>
        <w:t>Verhellen</w:t>
      </w:r>
      <w:proofErr w:type="spellEnd"/>
      <w:r w:rsidR="00BD5A2E" w:rsidRPr="007659C1">
        <w:rPr>
          <w:rFonts w:ascii="Times New Roman" w:hAnsi="Times New Roman" w:cs="Times New Roman"/>
          <w:sz w:val="24"/>
          <w:szCs w:val="24"/>
        </w:rPr>
        <w:t xml:space="preserve"> notes: </w:t>
      </w:r>
    </w:p>
    <w:p w14:paraId="3AF8C039" w14:textId="30DE129B" w:rsidR="00BD5A2E" w:rsidRDefault="00BD5A2E" w:rsidP="00885C6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659C1">
        <w:rPr>
          <w:rFonts w:ascii="Times New Roman" w:hAnsi="Times New Roman" w:cs="Times New Roman"/>
          <w:sz w:val="24"/>
          <w:szCs w:val="24"/>
        </w:rPr>
        <w:t>the more their competencies a</w:t>
      </w:r>
      <w:r>
        <w:rPr>
          <w:rFonts w:ascii="Times New Roman" w:hAnsi="Times New Roman" w:cs="Times New Roman"/>
          <w:sz w:val="24"/>
          <w:szCs w:val="24"/>
        </w:rPr>
        <w:t>re</w:t>
      </w:r>
      <w:r w:rsidRPr="007659C1">
        <w:rPr>
          <w:rFonts w:ascii="Times New Roman" w:hAnsi="Times New Roman" w:cs="Times New Roman"/>
          <w:sz w:val="24"/>
          <w:szCs w:val="24"/>
        </w:rPr>
        <w:t xml:space="preserve"> recognised and realised, the more the children will gain a prominent space and place in society, and the more they will ultimately be able to challenge the dominant child image that still does not see them as capable human beings on their own.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0"/>
      </w:r>
    </w:p>
    <w:p w14:paraId="4DB1215B" w14:textId="298CAB6E" w:rsidR="009532EC" w:rsidRPr="007659C1" w:rsidRDefault="009532EC" w:rsidP="00BD5A2E">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Plummer proposed a concept of ‘intimate citizenship’ which describes a ‘new set of claims around the body, the relationship and sexuality’.</w:t>
      </w:r>
      <w:r w:rsidR="0028151D">
        <w:rPr>
          <w:rStyle w:val="FootnoteReference"/>
          <w:rFonts w:ascii="Times New Roman" w:hAnsi="Times New Roman" w:cs="Times New Roman"/>
          <w:sz w:val="24"/>
          <w:szCs w:val="24"/>
        </w:rPr>
        <w:footnoteReference w:id="81"/>
      </w:r>
      <w:r w:rsidR="00B95471">
        <w:rPr>
          <w:rFonts w:ascii="Times New Roman" w:hAnsi="Times New Roman" w:cs="Times New Roman"/>
          <w:sz w:val="24"/>
          <w:szCs w:val="24"/>
        </w:rPr>
        <w:t xml:space="preserve"> </w:t>
      </w:r>
      <w:r>
        <w:rPr>
          <w:rFonts w:ascii="Times New Roman" w:hAnsi="Times New Roman" w:cs="Times New Roman"/>
          <w:sz w:val="24"/>
          <w:szCs w:val="24"/>
        </w:rPr>
        <w:t>Intimate citizenship describes the new kinds of stories which are formulated to articulate experiences of greater equality and empowerment and the beginnings of a democratisation of personhood.</w:t>
      </w:r>
      <w:r w:rsidR="0028151D">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00B22969" w:rsidRPr="00B22969">
        <w:rPr>
          <w:rFonts w:ascii="Times New Roman" w:hAnsi="Times New Roman" w:cs="Times New Roman"/>
          <w:sz w:val="24"/>
          <w:szCs w:val="24"/>
        </w:rPr>
        <w:t xml:space="preserve">Intimate citizenship should be a part </w:t>
      </w:r>
      <w:r w:rsidR="00B22969" w:rsidRPr="00B22969">
        <w:rPr>
          <w:rFonts w:ascii="Times New Roman" w:hAnsi="Times New Roman" w:cs="Times New Roman"/>
          <w:sz w:val="24"/>
          <w:szCs w:val="24"/>
        </w:rPr>
        <w:lastRenderedPageBreak/>
        <w:t xml:space="preserve">of life for all individuals, and it consists of: </w:t>
      </w:r>
      <w:r w:rsidR="00FD6D29">
        <w:rPr>
          <w:rFonts w:ascii="Times New Roman" w:hAnsi="Times New Roman" w:cs="Times New Roman"/>
          <w:sz w:val="24"/>
          <w:szCs w:val="24"/>
        </w:rPr>
        <w:t>‘</w:t>
      </w:r>
      <w:r w:rsidR="00B22969" w:rsidRPr="00B22969">
        <w:rPr>
          <w:rFonts w:ascii="Times New Roman" w:hAnsi="Times New Roman" w:cs="Times New Roman"/>
          <w:sz w:val="24"/>
          <w:szCs w:val="24"/>
        </w:rPr>
        <w:t>[. . .] the control (or not) over one’s body, feelings, relationships; access (or not) to representations, relationships, public spaces, etc.; and socially grounded choices (or not) about identities, gender experiences, erotic experiences</w:t>
      </w:r>
      <w:r w:rsidR="00FD6D29">
        <w:rPr>
          <w:rFonts w:ascii="Times New Roman" w:hAnsi="Times New Roman" w:cs="Times New Roman"/>
          <w:sz w:val="24"/>
          <w:szCs w:val="24"/>
        </w:rPr>
        <w:t>’</w:t>
      </w:r>
      <w:r w:rsidR="00B22969" w:rsidRPr="00B22969">
        <w:rPr>
          <w:rFonts w:ascii="Times New Roman" w:hAnsi="Times New Roman" w:cs="Times New Roman"/>
          <w:sz w:val="24"/>
          <w:szCs w:val="24"/>
        </w:rPr>
        <w:t>.</w:t>
      </w:r>
      <w:r w:rsidR="0028151D">
        <w:rPr>
          <w:rStyle w:val="FootnoteReference"/>
          <w:rFonts w:ascii="Times New Roman" w:hAnsi="Times New Roman" w:cs="Times New Roman"/>
          <w:sz w:val="24"/>
          <w:szCs w:val="24"/>
        </w:rPr>
        <w:footnoteReference w:id="83"/>
      </w:r>
      <w:r w:rsidR="00B22969" w:rsidRPr="00B22969">
        <w:rPr>
          <w:rFonts w:ascii="Times New Roman" w:hAnsi="Times New Roman" w:cs="Times New Roman"/>
          <w:sz w:val="24"/>
          <w:szCs w:val="24"/>
        </w:rPr>
        <w:t xml:space="preserve"> As Plummer insists, essential facets of intimate citi</w:t>
      </w:r>
      <w:r w:rsidR="0028151D">
        <w:rPr>
          <w:rFonts w:ascii="Times New Roman" w:hAnsi="Times New Roman" w:cs="Times New Roman"/>
          <w:sz w:val="24"/>
          <w:szCs w:val="24"/>
        </w:rPr>
        <w:t>zenship are choice and control</w:t>
      </w:r>
      <w:r w:rsidR="005D05BA">
        <w:rPr>
          <w:rFonts w:ascii="Times New Roman" w:hAnsi="Times New Roman" w:cs="Times New Roman"/>
          <w:sz w:val="24"/>
          <w:szCs w:val="24"/>
        </w:rPr>
        <w:t>.</w:t>
      </w:r>
      <w:r w:rsidR="0028151D">
        <w:rPr>
          <w:rStyle w:val="FootnoteReference"/>
          <w:rFonts w:ascii="Times New Roman" w:hAnsi="Times New Roman" w:cs="Times New Roman"/>
          <w:sz w:val="24"/>
          <w:szCs w:val="24"/>
        </w:rPr>
        <w:footnoteReference w:id="84"/>
      </w:r>
      <w:r w:rsidR="005D05BA">
        <w:rPr>
          <w:rFonts w:ascii="Times New Roman" w:hAnsi="Times New Roman" w:cs="Times New Roman"/>
          <w:sz w:val="24"/>
          <w:szCs w:val="24"/>
        </w:rPr>
        <w:t xml:space="preserve"> </w:t>
      </w:r>
      <w:r>
        <w:rPr>
          <w:rFonts w:ascii="Times New Roman" w:hAnsi="Times New Roman" w:cs="Times New Roman"/>
          <w:sz w:val="24"/>
          <w:szCs w:val="24"/>
        </w:rPr>
        <w:t xml:space="preserve">Plummer uses intimate citizenship to articulate a shift towards the achievement of democratic values in sexual and intimate life which embodies the right to choose ‘what we do with our bodies, feelings and </w:t>
      </w:r>
      <w:r w:rsidR="0028151D">
        <w:rPr>
          <w:rFonts w:ascii="Times New Roman" w:hAnsi="Times New Roman" w:cs="Times New Roman"/>
          <w:sz w:val="24"/>
          <w:szCs w:val="24"/>
        </w:rPr>
        <w:t>emotions’</w:t>
      </w:r>
      <w:r>
        <w:rPr>
          <w:rFonts w:ascii="Times New Roman" w:hAnsi="Times New Roman" w:cs="Times New Roman"/>
          <w:sz w:val="24"/>
          <w:szCs w:val="24"/>
        </w:rPr>
        <w:t>.</w:t>
      </w:r>
      <w:r w:rsidR="0028151D">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Plummer’s conceptualisation of intimate citizenship has been developed to include the right to choose and live relationships safely, securely and according to personal choice, with respect, recognition and support from the s</w:t>
      </w:r>
      <w:r w:rsidR="0028151D">
        <w:rPr>
          <w:rFonts w:ascii="Times New Roman" w:hAnsi="Times New Roman" w:cs="Times New Roman"/>
          <w:sz w:val="24"/>
          <w:szCs w:val="24"/>
        </w:rPr>
        <w:t>tate and civil society</w:t>
      </w:r>
      <w:r>
        <w:rPr>
          <w:rFonts w:ascii="Times New Roman" w:hAnsi="Times New Roman" w:cs="Times New Roman"/>
          <w:sz w:val="24"/>
          <w:szCs w:val="24"/>
        </w:rPr>
        <w:t>.</w:t>
      </w:r>
      <w:r w:rsidR="0028151D">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r w:rsidR="007467B2">
        <w:rPr>
          <w:rFonts w:ascii="Times New Roman" w:hAnsi="Times New Roman" w:cs="Times New Roman"/>
          <w:sz w:val="24"/>
          <w:szCs w:val="24"/>
        </w:rPr>
        <w:t>Apply</w:t>
      </w:r>
      <w:r>
        <w:rPr>
          <w:rFonts w:ascii="Times New Roman" w:hAnsi="Times New Roman" w:cs="Times New Roman"/>
          <w:sz w:val="24"/>
          <w:szCs w:val="24"/>
        </w:rPr>
        <w:t>ing Plummer’s conceptualisation of intimate citizenship</w:t>
      </w:r>
      <w:r w:rsidR="007467B2">
        <w:rPr>
          <w:rFonts w:ascii="Times New Roman" w:hAnsi="Times New Roman" w:cs="Times New Roman"/>
          <w:sz w:val="24"/>
          <w:szCs w:val="24"/>
        </w:rPr>
        <w:t xml:space="preserve"> to the issue of responding to consensual teenage sext</w:t>
      </w:r>
      <w:r w:rsidR="00FD6D29">
        <w:rPr>
          <w:rFonts w:ascii="Times New Roman" w:hAnsi="Times New Roman" w:cs="Times New Roman"/>
          <w:sz w:val="24"/>
          <w:szCs w:val="24"/>
        </w:rPr>
        <w:t>i</w:t>
      </w:r>
      <w:r w:rsidR="007467B2">
        <w:rPr>
          <w:rFonts w:ascii="Times New Roman" w:hAnsi="Times New Roman" w:cs="Times New Roman"/>
          <w:sz w:val="24"/>
          <w:szCs w:val="24"/>
        </w:rPr>
        <w:t>ng</w:t>
      </w:r>
      <w:r>
        <w:rPr>
          <w:rFonts w:ascii="Times New Roman" w:hAnsi="Times New Roman" w:cs="Times New Roman"/>
          <w:sz w:val="24"/>
          <w:szCs w:val="24"/>
        </w:rPr>
        <w:t xml:space="preserve">, requires the law and police to understand sexual and relational autonomy and accept that young people are ‘sexual’ and their sexuality must be understood and accepted rather than </w:t>
      </w:r>
      <w:proofErr w:type="spellStart"/>
      <w:r>
        <w:rPr>
          <w:rFonts w:ascii="Times New Roman" w:hAnsi="Times New Roman" w:cs="Times New Roman"/>
          <w:sz w:val="24"/>
          <w:szCs w:val="24"/>
        </w:rPr>
        <w:t>pathologised</w:t>
      </w:r>
      <w:proofErr w:type="spellEnd"/>
      <w:r>
        <w:rPr>
          <w:rFonts w:ascii="Times New Roman" w:hAnsi="Times New Roman" w:cs="Times New Roman"/>
          <w:sz w:val="24"/>
          <w:szCs w:val="24"/>
        </w:rPr>
        <w:t xml:space="preserve"> and labelled as perverse. </w:t>
      </w:r>
    </w:p>
    <w:p w14:paraId="7BB02E2C" w14:textId="77777777" w:rsidR="00885C6C" w:rsidRDefault="009532EC" w:rsidP="00BD5A2E">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T</w:t>
      </w:r>
      <w:r w:rsidRPr="007659C1">
        <w:rPr>
          <w:rFonts w:ascii="Times New Roman" w:hAnsi="Times New Roman" w:cs="Times New Roman"/>
          <w:sz w:val="24"/>
          <w:szCs w:val="24"/>
        </w:rPr>
        <w:t xml:space="preserve">he </w:t>
      </w:r>
      <w:r>
        <w:rPr>
          <w:rFonts w:ascii="Times New Roman" w:hAnsi="Times New Roman" w:cs="Times New Roman"/>
          <w:sz w:val="24"/>
          <w:szCs w:val="24"/>
        </w:rPr>
        <w:t>United Nations Convention on the Rights of the Child (</w:t>
      </w:r>
      <w:r w:rsidRPr="007659C1">
        <w:rPr>
          <w:rFonts w:ascii="Times New Roman" w:hAnsi="Times New Roman" w:cs="Times New Roman"/>
          <w:sz w:val="24"/>
          <w:szCs w:val="24"/>
        </w:rPr>
        <w:t>UNCRC</w:t>
      </w:r>
      <w:r>
        <w:rPr>
          <w:rFonts w:ascii="Times New Roman" w:hAnsi="Times New Roman" w:cs="Times New Roman"/>
          <w:sz w:val="24"/>
          <w:szCs w:val="24"/>
        </w:rPr>
        <w:t>)</w:t>
      </w:r>
      <w:r w:rsidRPr="007659C1">
        <w:rPr>
          <w:rFonts w:ascii="Times New Roman" w:hAnsi="Times New Roman" w:cs="Times New Roman"/>
          <w:sz w:val="24"/>
          <w:szCs w:val="24"/>
        </w:rPr>
        <w:t xml:space="preserve"> promotes the idea of children as full citizens in their own right and as independent bearers of rights invested with agency integrity and decision-making capacities</w:t>
      </w:r>
      <w:r>
        <w:rPr>
          <w:rFonts w:ascii="Times New Roman" w:hAnsi="Times New Roman" w:cs="Times New Roman"/>
          <w:sz w:val="24"/>
          <w:szCs w:val="24"/>
        </w:rPr>
        <w:t xml:space="preserve"> – that is </w:t>
      </w:r>
      <w:r w:rsidRPr="007659C1">
        <w:rPr>
          <w:rFonts w:ascii="Times New Roman" w:hAnsi="Times New Roman" w:cs="Times New Roman"/>
          <w:sz w:val="24"/>
          <w:szCs w:val="24"/>
        </w:rPr>
        <w:t>as a ‘citizen now’ r</w:t>
      </w:r>
      <w:r>
        <w:rPr>
          <w:rFonts w:ascii="Times New Roman" w:hAnsi="Times New Roman" w:cs="Times New Roman"/>
          <w:sz w:val="24"/>
          <w:szCs w:val="24"/>
        </w:rPr>
        <w:t>ather than a ‘citizen becomin</w:t>
      </w:r>
      <w:r w:rsidR="00EB62F1">
        <w:rPr>
          <w:rFonts w:ascii="Times New Roman" w:hAnsi="Times New Roman" w:cs="Times New Roman"/>
          <w:sz w:val="24"/>
          <w:szCs w:val="24"/>
        </w:rPr>
        <w:t>g’</w:t>
      </w:r>
      <w:r w:rsidRPr="007659C1">
        <w:rPr>
          <w:rFonts w:ascii="Times New Roman" w:hAnsi="Times New Roman" w:cs="Times New Roman"/>
          <w:sz w:val="24"/>
          <w:szCs w:val="24"/>
        </w:rPr>
        <w:t>.</w:t>
      </w:r>
      <w:r w:rsidR="00EB62F1">
        <w:rPr>
          <w:rStyle w:val="FootnoteReference"/>
          <w:rFonts w:ascii="Times New Roman" w:hAnsi="Times New Roman" w:cs="Times New Roman"/>
          <w:sz w:val="24"/>
          <w:szCs w:val="24"/>
        </w:rPr>
        <w:footnoteReference w:id="87"/>
      </w:r>
      <w:r w:rsidRPr="007659C1">
        <w:rPr>
          <w:rFonts w:ascii="Times New Roman" w:hAnsi="Times New Roman" w:cs="Times New Roman"/>
          <w:sz w:val="24"/>
          <w:szCs w:val="24"/>
        </w:rPr>
        <w:t xml:space="preserve"> The UN Convention promotes the view that children are no longer merely ‘pre-citizens’ or ‘po</w:t>
      </w:r>
      <w:r>
        <w:rPr>
          <w:rFonts w:ascii="Times New Roman" w:hAnsi="Times New Roman" w:cs="Times New Roman"/>
          <w:sz w:val="24"/>
          <w:szCs w:val="24"/>
        </w:rPr>
        <w:t>tential adults’ or ‘</w:t>
      </w:r>
      <w:proofErr w:type="spellStart"/>
      <w:r>
        <w:rPr>
          <w:rFonts w:ascii="Times New Roman" w:hAnsi="Times New Roman" w:cs="Times New Roman"/>
          <w:sz w:val="24"/>
          <w:szCs w:val="24"/>
        </w:rPr>
        <w:t>becomings</w:t>
      </w:r>
      <w:proofErr w:type="spellEnd"/>
      <w:r>
        <w:rPr>
          <w:rFonts w:ascii="Times New Roman" w:hAnsi="Times New Roman" w:cs="Times New Roman"/>
          <w:sz w:val="24"/>
          <w:szCs w:val="24"/>
        </w:rPr>
        <w:t>’</w:t>
      </w:r>
      <w:r w:rsidRPr="007659C1">
        <w:rPr>
          <w:rFonts w:ascii="Times New Roman" w:hAnsi="Times New Roman" w:cs="Times New Roman"/>
          <w:sz w:val="24"/>
          <w:szCs w:val="24"/>
        </w:rPr>
        <w:t xml:space="preserve">, but are cast as full human beings invested with important social citizenship rights, including the right to have their voice heard and taken into account in all decision-making. According to Article 12 </w:t>
      </w:r>
      <w:r>
        <w:rPr>
          <w:rFonts w:ascii="Times New Roman" w:hAnsi="Times New Roman" w:cs="Times New Roman"/>
          <w:sz w:val="24"/>
          <w:szCs w:val="24"/>
        </w:rPr>
        <w:t xml:space="preserve">of the UNCRC </w:t>
      </w:r>
      <w:r w:rsidRPr="007659C1">
        <w:rPr>
          <w:rFonts w:ascii="Times New Roman" w:hAnsi="Times New Roman" w:cs="Times New Roman"/>
          <w:sz w:val="24"/>
          <w:szCs w:val="24"/>
        </w:rPr>
        <w:t xml:space="preserve">children have the right </w:t>
      </w:r>
      <w:r w:rsidRPr="007659C1">
        <w:rPr>
          <w:rFonts w:ascii="Times New Roman" w:hAnsi="Times New Roman" w:cs="Times New Roman"/>
          <w:sz w:val="24"/>
          <w:szCs w:val="24"/>
        </w:rPr>
        <w:lastRenderedPageBreak/>
        <w:t xml:space="preserve">to participate and be involved in processes of decision-making, expressing their views clearly in matters that affect them and shall be provided the opportunity to be heard in any judicial proceedings affecting them. The </w:t>
      </w:r>
      <w:r>
        <w:rPr>
          <w:rFonts w:ascii="Times New Roman" w:hAnsi="Times New Roman" w:cs="Times New Roman"/>
          <w:sz w:val="24"/>
          <w:szCs w:val="24"/>
        </w:rPr>
        <w:t>current</w:t>
      </w:r>
      <w:r w:rsidRPr="007659C1">
        <w:rPr>
          <w:rFonts w:ascii="Times New Roman" w:hAnsi="Times New Roman" w:cs="Times New Roman"/>
          <w:sz w:val="24"/>
          <w:szCs w:val="24"/>
        </w:rPr>
        <w:t xml:space="preserve"> system </w:t>
      </w:r>
      <w:r>
        <w:rPr>
          <w:rFonts w:ascii="Times New Roman" w:hAnsi="Times New Roman" w:cs="Times New Roman"/>
          <w:sz w:val="24"/>
          <w:szCs w:val="24"/>
        </w:rPr>
        <w:t xml:space="preserve">of responding to consensual sexting and criminal record checks </w:t>
      </w:r>
      <w:r w:rsidRPr="007659C1">
        <w:rPr>
          <w:rFonts w:ascii="Times New Roman" w:hAnsi="Times New Roman" w:cs="Times New Roman"/>
          <w:sz w:val="24"/>
          <w:szCs w:val="24"/>
        </w:rPr>
        <w:t>does not allow this right to be heard.</w:t>
      </w:r>
      <w:r>
        <w:rPr>
          <w:rFonts w:ascii="Times New Roman" w:hAnsi="Times New Roman" w:cs="Times New Roman"/>
          <w:sz w:val="24"/>
          <w:szCs w:val="24"/>
        </w:rPr>
        <w:t xml:space="preserve"> It denies that young people may have the capacity to comprehend themselves and their world including the ability to assimilate and understand sexual information and the capacity to make appropriate choices regarding sex. English law recognises that young people possess these competencies and capacities in </w:t>
      </w:r>
      <w:r w:rsidR="007D402A">
        <w:rPr>
          <w:rFonts w:ascii="Times New Roman" w:hAnsi="Times New Roman" w:cs="Times New Roman"/>
          <w:sz w:val="24"/>
          <w:szCs w:val="24"/>
        </w:rPr>
        <w:t>some</w:t>
      </w:r>
      <w:r>
        <w:rPr>
          <w:rFonts w:ascii="Times New Roman" w:hAnsi="Times New Roman" w:cs="Times New Roman"/>
          <w:sz w:val="24"/>
          <w:szCs w:val="24"/>
        </w:rPr>
        <w:t xml:space="preserve"> contexts. </w:t>
      </w:r>
      <w:r w:rsidR="007D402A">
        <w:rPr>
          <w:rFonts w:ascii="Times New Roman" w:hAnsi="Times New Roman" w:cs="Times New Roman"/>
          <w:sz w:val="24"/>
          <w:szCs w:val="24"/>
        </w:rPr>
        <w:t>Th</w:t>
      </w:r>
      <w:r w:rsidR="007D402A" w:rsidRPr="00853EB0">
        <w:rPr>
          <w:rFonts w:ascii="Times New Roman" w:hAnsi="Times New Roman" w:cs="Times New Roman"/>
          <w:sz w:val="24"/>
          <w:szCs w:val="24"/>
        </w:rPr>
        <w:t xml:space="preserve">e House of Lords in </w:t>
      </w:r>
      <w:proofErr w:type="spellStart"/>
      <w:r w:rsidR="007D402A" w:rsidRPr="00853EB0">
        <w:rPr>
          <w:rFonts w:ascii="Times New Roman" w:hAnsi="Times New Roman" w:cs="Times New Roman"/>
          <w:i/>
          <w:sz w:val="24"/>
          <w:szCs w:val="24"/>
        </w:rPr>
        <w:t>Gillick</w:t>
      </w:r>
      <w:proofErr w:type="spellEnd"/>
      <w:r w:rsidR="007D402A" w:rsidRPr="00853EB0">
        <w:rPr>
          <w:rFonts w:ascii="Times New Roman" w:hAnsi="Times New Roman" w:cs="Times New Roman"/>
          <w:i/>
          <w:sz w:val="24"/>
          <w:szCs w:val="24"/>
        </w:rPr>
        <w:t xml:space="preserve"> v West Norfolk &amp; </w:t>
      </w:r>
      <w:proofErr w:type="spellStart"/>
      <w:r w:rsidR="007D402A" w:rsidRPr="00853EB0">
        <w:rPr>
          <w:rFonts w:ascii="Times New Roman" w:hAnsi="Times New Roman" w:cs="Times New Roman"/>
          <w:i/>
          <w:sz w:val="24"/>
          <w:szCs w:val="24"/>
        </w:rPr>
        <w:t>Wisbech</w:t>
      </w:r>
      <w:proofErr w:type="spellEnd"/>
      <w:r w:rsidR="007D402A" w:rsidRPr="00853EB0">
        <w:rPr>
          <w:rFonts w:ascii="Times New Roman" w:hAnsi="Times New Roman" w:cs="Times New Roman"/>
          <w:i/>
          <w:sz w:val="24"/>
          <w:szCs w:val="24"/>
        </w:rPr>
        <w:t xml:space="preserve"> AHA</w:t>
      </w:r>
      <w:r w:rsidR="00EB62F1">
        <w:rPr>
          <w:rStyle w:val="FootnoteReference"/>
          <w:rFonts w:ascii="Times New Roman" w:hAnsi="Times New Roman" w:cs="Times New Roman"/>
          <w:i/>
          <w:sz w:val="24"/>
          <w:szCs w:val="24"/>
        </w:rPr>
        <w:footnoteReference w:id="88"/>
      </w:r>
      <w:r w:rsidR="00370228">
        <w:rPr>
          <w:rFonts w:ascii="Times New Roman" w:hAnsi="Times New Roman" w:cs="Times New Roman"/>
          <w:i/>
          <w:sz w:val="24"/>
          <w:szCs w:val="24"/>
        </w:rPr>
        <w:t xml:space="preserve"> </w:t>
      </w:r>
      <w:r w:rsidR="007D402A" w:rsidRPr="00281DDC">
        <w:rPr>
          <w:rFonts w:ascii="Times New Roman" w:hAnsi="Times New Roman" w:cs="Times New Roman"/>
          <w:sz w:val="24"/>
          <w:szCs w:val="24"/>
        </w:rPr>
        <w:t xml:space="preserve">considered </w:t>
      </w:r>
      <w:r w:rsidR="007D402A" w:rsidRPr="00281DDC">
        <w:rPr>
          <w:rFonts w:ascii="Times New Roman" w:hAnsi="Times New Roman" w:cs="Times New Roman"/>
          <w:sz w:val="23"/>
          <w:szCs w:val="23"/>
        </w:rPr>
        <w:t>the autonomy of young people in relation to sexual activity</w:t>
      </w:r>
      <w:r w:rsidR="007D402A" w:rsidRPr="00281DDC">
        <w:rPr>
          <w:rFonts w:ascii="Times New Roman" w:hAnsi="Times New Roman" w:cs="Times New Roman"/>
          <w:sz w:val="24"/>
          <w:szCs w:val="24"/>
        </w:rPr>
        <w:t xml:space="preserve"> and recognised that the agency of the child was </w:t>
      </w:r>
      <w:r w:rsidR="007D402A" w:rsidRPr="0057176F">
        <w:rPr>
          <w:rFonts w:ascii="Times New Roman" w:hAnsi="Times New Roman" w:cs="Times New Roman"/>
          <w:sz w:val="24"/>
          <w:szCs w:val="24"/>
        </w:rPr>
        <w:t>crucial and that the young person who fully understood all the issues had a central role</w:t>
      </w:r>
      <w:r w:rsidR="007D402A">
        <w:rPr>
          <w:rFonts w:ascii="Times New Roman" w:hAnsi="Times New Roman" w:cs="Times New Roman"/>
          <w:sz w:val="24"/>
          <w:szCs w:val="24"/>
        </w:rPr>
        <w:t xml:space="preserve"> to play</w:t>
      </w:r>
      <w:r w:rsidR="007D402A" w:rsidRPr="0057176F">
        <w:rPr>
          <w:rFonts w:ascii="Times New Roman" w:hAnsi="Times New Roman" w:cs="Times New Roman"/>
          <w:sz w:val="24"/>
          <w:szCs w:val="24"/>
        </w:rPr>
        <w:t xml:space="preserve"> in deciding what courses of action were most appropriate.</w:t>
      </w:r>
      <w:r w:rsidR="007D402A">
        <w:rPr>
          <w:rFonts w:ascii="Times New Roman" w:hAnsi="Times New Roman" w:cs="Times New Roman"/>
          <w:sz w:val="24"/>
          <w:szCs w:val="24"/>
        </w:rPr>
        <w:t xml:space="preserve"> T</w:t>
      </w:r>
      <w:r w:rsidR="00853EB0" w:rsidRPr="00853EB0">
        <w:rPr>
          <w:rFonts w:ascii="Times New Roman" w:hAnsi="Times New Roman" w:cs="Times New Roman"/>
          <w:sz w:val="24"/>
          <w:szCs w:val="24"/>
        </w:rPr>
        <w:t>he House of Lords held that the mature minor possessed certain rights, in this case the right to a confidential relationship with a doctor for the purposes of receiving contraceptive advice and treatment. Adult patients are entitled to s</w:t>
      </w:r>
      <w:r w:rsidR="00853EB0">
        <w:rPr>
          <w:rFonts w:ascii="Times New Roman" w:hAnsi="Times New Roman" w:cs="Times New Roman"/>
          <w:sz w:val="24"/>
          <w:szCs w:val="24"/>
        </w:rPr>
        <w:t xml:space="preserve">uch a confidential relationship, </w:t>
      </w:r>
      <w:r w:rsidR="002E383C">
        <w:rPr>
          <w:rFonts w:ascii="Times New Roman" w:hAnsi="Times New Roman" w:cs="Times New Roman"/>
          <w:sz w:val="24"/>
          <w:szCs w:val="24"/>
        </w:rPr>
        <w:t xml:space="preserve">in the same way that </w:t>
      </w:r>
      <w:r w:rsidR="00853EB0">
        <w:rPr>
          <w:rFonts w:ascii="Times New Roman" w:hAnsi="Times New Roman" w:cs="Times New Roman"/>
          <w:sz w:val="24"/>
          <w:szCs w:val="24"/>
        </w:rPr>
        <w:t xml:space="preserve">adults are allowed to express their sexuality </w:t>
      </w:r>
      <w:r w:rsidR="002E383C">
        <w:rPr>
          <w:rFonts w:ascii="Times New Roman" w:hAnsi="Times New Roman" w:cs="Times New Roman"/>
          <w:sz w:val="24"/>
          <w:szCs w:val="24"/>
        </w:rPr>
        <w:t>by consensually sharing intimate photos</w:t>
      </w:r>
      <w:r w:rsidR="00281DDC">
        <w:rPr>
          <w:rFonts w:ascii="Times New Roman" w:hAnsi="Times New Roman" w:cs="Times New Roman"/>
          <w:sz w:val="24"/>
          <w:szCs w:val="24"/>
        </w:rPr>
        <w:t xml:space="preserve">. </w:t>
      </w:r>
      <w:r w:rsidR="0057176F" w:rsidRPr="0057176F">
        <w:rPr>
          <w:rFonts w:ascii="Times New Roman" w:hAnsi="Times New Roman" w:cs="Times New Roman"/>
          <w:sz w:val="24"/>
          <w:szCs w:val="24"/>
        </w:rPr>
        <w:t xml:space="preserve">In </w:t>
      </w:r>
      <w:proofErr w:type="spellStart"/>
      <w:r w:rsidR="0057176F" w:rsidRPr="0057176F">
        <w:rPr>
          <w:rFonts w:ascii="Times New Roman" w:hAnsi="Times New Roman" w:cs="Times New Roman"/>
          <w:i/>
          <w:sz w:val="24"/>
          <w:szCs w:val="24"/>
        </w:rPr>
        <w:t>Gillick</w:t>
      </w:r>
      <w:proofErr w:type="spellEnd"/>
      <w:r w:rsidR="0057176F" w:rsidRPr="0057176F">
        <w:rPr>
          <w:rFonts w:ascii="Times New Roman" w:hAnsi="Times New Roman" w:cs="Times New Roman"/>
          <w:i/>
          <w:sz w:val="24"/>
          <w:szCs w:val="24"/>
        </w:rPr>
        <w:t xml:space="preserve"> </w:t>
      </w:r>
      <w:r w:rsidR="0057176F" w:rsidRPr="0057176F">
        <w:rPr>
          <w:rFonts w:ascii="Times New Roman" w:hAnsi="Times New Roman" w:cs="Times New Roman"/>
          <w:sz w:val="24"/>
          <w:szCs w:val="24"/>
        </w:rPr>
        <w:t xml:space="preserve">Lord </w:t>
      </w:r>
      <w:proofErr w:type="spellStart"/>
      <w:r w:rsidR="0057176F" w:rsidRPr="0057176F">
        <w:rPr>
          <w:rFonts w:ascii="Times New Roman" w:hAnsi="Times New Roman" w:cs="Times New Roman"/>
          <w:sz w:val="24"/>
          <w:szCs w:val="24"/>
        </w:rPr>
        <w:t>Scarman</w:t>
      </w:r>
      <w:proofErr w:type="spellEnd"/>
      <w:r w:rsidR="0057176F" w:rsidRPr="0057176F">
        <w:rPr>
          <w:rFonts w:ascii="Times New Roman" w:hAnsi="Times New Roman" w:cs="Times New Roman"/>
          <w:sz w:val="24"/>
          <w:szCs w:val="24"/>
        </w:rPr>
        <w:t xml:space="preserve"> believed that it was important to acknowledge realism and to be ‘sensitive to human development and social change’ and that imposing fixed limits upon the process of growing up was inconsistent with the reality that the independence associated with the transition to adulthood was acquired gradually through the progressive relaxation of parental control rather than suddenly on reaching the age of majority. </w:t>
      </w:r>
    </w:p>
    <w:p w14:paraId="1F597F72" w14:textId="7ACF3EFB" w:rsidR="00171AE0" w:rsidRPr="0057176F" w:rsidRDefault="00281DDC" w:rsidP="00BD5A2E">
      <w:pPr>
        <w:spacing w:after="0" w:line="480" w:lineRule="auto"/>
        <w:ind w:firstLine="357"/>
        <w:jc w:val="both"/>
        <w:rPr>
          <w:rFonts w:ascii="Times New Roman" w:hAnsi="Times New Roman" w:cs="Times New Roman"/>
          <w:sz w:val="24"/>
          <w:szCs w:val="24"/>
        </w:rPr>
      </w:pPr>
      <w:r w:rsidRPr="0057176F">
        <w:rPr>
          <w:rFonts w:ascii="Times New Roman" w:hAnsi="Times New Roman" w:cs="Times New Roman"/>
          <w:sz w:val="24"/>
          <w:szCs w:val="24"/>
        </w:rPr>
        <w:t xml:space="preserve">This suggests the need for a greater understanding of youth sexualities that are more fully based in, and driven by, the realities of young people’s sexual lives. </w:t>
      </w:r>
      <w:proofErr w:type="spellStart"/>
      <w:r w:rsidR="00BD5A2E" w:rsidRPr="0057176F">
        <w:rPr>
          <w:rFonts w:ascii="Times New Roman" w:hAnsi="Times New Roman" w:cs="Times New Roman"/>
          <w:sz w:val="24"/>
          <w:szCs w:val="24"/>
        </w:rPr>
        <w:t>Bhana’s</w:t>
      </w:r>
      <w:proofErr w:type="spellEnd"/>
      <w:r w:rsidR="00BD5A2E" w:rsidRPr="0057176F">
        <w:rPr>
          <w:rFonts w:ascii="Times New Roman" w:hAnsi="Times New Roman" w:cs="Times New Roman"/>
          <w:sz w:val="24"/>
          <w:szCs w:val="24"/>
        </w:rPr>
        <w:t xml:space="preserve"> research suggests that young people desire and seek sexual pleasure within relationships.</w:t>
      </w:r>
      <w:r w:rsidR="00BD5A2E">
        <w:rPr>
          <w:rStyle w:val="FootnoteReference"/>
          <w:rFonts w:ascii="Times New Roman" w:hAnsi="Times New Roman" w:cs="Times New Roman"/>
          <w:sz w:val="24"/>
          <w:szCs w:val="24"/>
        </w:rPr>
        <w:footnoteReference w:id="89"/>
      </w:r>
      <w:r w:rsidR="00BD5A2E" w:rsidRPr="0057176F">
        <w:rPr>
          <w:rFonts w:ascii="Times New Roman" w:hAnsi="Times New Roman" w:cs="Times New Roman"/>
          <w:sz w:val="24"/>
          <w:szCs w:val="24"/>
        </w:rPr>
        <w:t xml:space="preserve"> Such pleasures </w:t>
      </w:r>
      <w:r w:rsidR="00BD5A2E" w:rsidRPr="0057176F">
        <w:rPr>
          <w:rFonts w:ascii="Times New Roman" w:hAnsi="Times New Roman" w:cs="Times New Roman"/>
          <w:sz w:val="24"/>
          <w:szCs w:val="24"/>
        </w:rPr>
        <w:lastRenderedPageBreak/>
        <w:t>includ</w:t>
      </w:r>
      <w:r w:rsidR="00BD5A2E">
        <w:rPr>
          <w:rFonts w:ascii="Times New Roman" w:hAnsi="Times New Roman" w:cs="Times New Roman"/>
          <w:sz w:val="24"/>
          <w:szCs w:val="24"/>
        </w:rPr>
        <w:t>es a range of sexual activities and</w:t>
      </w:r>
      <w:r w:rsidR="00BD5A2E" w:rsidRPr="0057176F">
        <w:rPr>
          <w:rFonts w:ascii="Times New Roman" w:hAnsi="Times New Roman" w:cs="Times New Roman"/>
          <w:sz w:val="24"/>
          <w:szCs w:val="24"/>
        </w:rPr>
        <w:t xml:space="preserve"> </w:t>
      </w:r>
      <w:r w:rsidR="00BD5A2E" w:rsidRPr="0057176F">
        <w:rPr>
          <w:rFonts w:ascii="Times New Roman" w:hAnsi="Times New Roman" w:cs="Times New Roman"/>
          <w:color w:val="000000"/>
          <w:sz w:val="24"/>
          <w:szCs w:val="24"/>
        </w:rPr>
        <w:t>that most young people don’t consider sexting to be criminal.</w:t>
      </w:r>
      <w:r w:rsidR="00BD5A2E">
        <w:rPr>
          <w:rStyle w:val="FootnoteReference"/>
          <w:rFonts w:ascii="Times New Roman" w:hAnsi="Times New Roman" w:cs="Times New Roman"/>
          <w:color w:val="000000"/>
          <w:sz w:val="24"/>
          <w:szCs w:val="24"/>
        </w:rPr>
        <w:footnoteReference w:id="90"/>
      </w:r>
      <w:r w:rsidR="00BD5A2E">
        <w:rPr>
          <w:rFonts w:ascii="Times New Roman" w:hAnsi="Times New Roman" w:cs="Times New Roman"/>
          <w:color w:val="000000"/>
          <w:sz w:val="24"/>
          <w:szCs w:val="24"/>
        </w:rPr>
        <w:t xml:space="preserve"> </w:t>
      </w:r>
      <w:r w:rsidR="00BD5A2E" w:rsidRPr="0057176F">
        <w:rPr>
          <w:rFonts w:ascii="Times" w:hAnsi="Times" w:cs="Times"/>
          <w:color w:val="000000"/>
          <w:sz w:val="24"/>
          <w:szCs w:val="24"/>
        </w:rPr>
        <w:t xml:space="preserve">Thus there is a disconnect between the lived experiences of young people and </w:t>
      </w:r>
      <w:r w:rsidR="00BD5A2E">
        <w:rPr>
          <w:rFonts w:ascii="Times" w:hAnsi="Times" w:cs="Times"/>
          <w:color w:val="000000"/>
          <w:sz w:val="24"/>
          <w:szCs w:val="24"/>
        </w:rPr>
        <w:t xml:space="preserve">the </w:t>
      </w:r>
      <w:r w:rsidR="00BD5A2E" w:rsidRPr="0057176F">
        <w:rPr>
          <w:rFonts w:ascii="Times" w:hAnsi="Times" w:cs="Times"/>
          <w:color w:val="000000"/>
          <w:sz w:val="24"/>
          <w:szCs w:val="24"/>
        </w:rPr>
        <w:t>lega</w:t>
      </w:r>
      <w:r w:rsidR="00BD5A2E">
        <w:rPr>
          <w:rFonts w:ascii="Times" w:hAnsi="Times" w:cs="Times"/>
          <w:color w:val="000000"/>
          <w:sz w:val="24"/>
          <w:szCs w:val="24"/>
        </w:rPr>
        <w:t xml:space="preserve">l regulation of their behaviour as </w:t>
      </w:r>
      <w:r w:rsidR="00BD5A2E" w:rsidRPr="0057176F">
        <w:rPr>
          <w:rFonts w:ascii="Times New Roman" w:hAnsi="Times New Roman" w:cs="Times New Roman"/>
          <w:sz w:val="24"/>
          <w:szCs w:val="24"/>
        </w:rPr>
        <w:t>young people look at sexuality as a key site for the building of relationships, pleasure and desire.</w:t>
      </w:r>
      <w:r w:rsidR="00BD5A2E">
        <w:rPr>
          <w:rFonts w:ascii="Times New Roman" w:hAnsi="Times New Roman" w:cs="Times New Roman"/>
          <w:sz w:val="24"/>
          <w:szCs w:val="24"/>
        </w:rPr>
        <w:t xml:space="preserve"> The criminal justice response to youth sexual behaviour needs to be reconceptualised in a way which supports and promotes the welfare of the young person. The current response to consensual teenage sexting operates in a way which stigmatises and discredits the young person’s own understanding and experiences of sexual behaviour and disregards any claim for sexual rights or freedoms. </w:t>
      </w:r>
      <w:r w:rsidR="00F16509" w:rsidRPr="00F16509">
        <w:rPr>
          <w:rFonts w:ascii="Times New Roman" w:hAnsi="Times New Roman" w:cs="Times New Roman"/>
          <w:sz w:val="24"/>
          <w:szCs w:val="24"/>
        </w:rPr>
        <w:t>Changing and reshaping the conceptual framework of analysis and critiquing the hegemonic</w:t>
      </w:r>
      <w:r w:rsidR="00C93632">
        <w:rPr>
          <w:rFonts w:ascii="Times New Roman" w:hAnsi="Times New Roman" w:cs="Times New Roman"/>
          <w:sz w:val="24"/>
          <w:szCs w:val="24"/>
        </w:rPr>
        <w:t xml:space="preserve"> constructions</w:t>
      </w:r>
      <w:r w:rsidR="00F16509" w:rsidRPr="00F16509">
        <w:rPr>
          <w:rFonts w:ascii="Times New Roman" w:hAnsi="Times New Roman" w:cs="Times New Roman"/>
          <w:sz w:val="24"/>
          <w:szCs w:val="24"/>
        </w:rPr>
        <w:t xml:space="preserve"> around autonomy/paternalism, capacity/inc</w:t>
      </w:r>
      <w:r w:rsidR="00BD5A2E">
        <w:rPr>
          <w:rFonts w:ascii="Times New Roman" w:hAnsi="Times New Roman" w:cs="Times New Roman"/>
          <w:sz w:val="24"/>
          <w:szCs w:val="24"/>
        </w:rPr>
        <w:t>apacity, empowerment/protection</w:t>
      </w:r>
      <w:r w:rsidR="00F16509" w:rsidRPr="00F16509">
        <w:rPr>
          <w:rFonts w:ascii="Times New Roman" w:hAnsi="Times New Roman" w:cs="Times New Roman"/>
          <w:sz w:val="24"/>
          <w:szCs w:val="24"/>
        </w:rPr>
        <w:t xml:space="preserve"> will </w:t>
      </w:r>
      <w:r w:rsidR="00F16509">
        <w:rPr>
          <w:rFonts w:ascii="Times New Roman" w:hAnsi="Times New Roman" w:cs="Times New Roman"/>
          <w:sz w:val="24"/>
          <w:szCs w:val="24"/>
        </w:rPr>
        <w:t xml:space="preserve">potentially create the space to normatively theorise </w:t>
      </w:r>
      <w:r w:rsidR="00C93632">
        <w:rPr>
          <w:rFonts w:ascii="Times New Roman" w:hAnsi="Times New Roman" w:cs="Times New Roman"/>
          <w:sz w:val="24"/>
          <w:szCs w:val="24"/>
        </w:rPr>
        <w:t xml:space="preserve">and challenge the unworkable </w:t>
      </w:r>
      <w:r w:rsidR="00F16509">
        <w:rPr>
          <w:rFonts w:ascii="Times New Roman" w:hAnsi="Times New Roman" w:cs="Times New Roman"/>
          <w:sz w:val="24"/>
          <w:szCs w:val="24"/>
        </w:rPr>
        <w:t>approach of the law and criminal justice system</w:t>
      </w:r>
      <w:r w:rsidR="00C93632">
        <w:rPr>
          <w:rFonts w:ascii="Times New Roman" w:hAnsi="Times New Roman" w:cs="Times New Roman"/>
          <w:sz w:val="24"/>
          <w:szCs w:val="24"/>
        </w:rPr>
        <w:t xml:space="preserve"> to expressions of youth sexuality.</w:t>
      </w:r>
    </w:p>
    <w:p w14:paraId="477AF4A8" w14:textId="77777777" w:rsidR="00C85EA9" w:rsidRPr="0057176F" w:rsidRDefault="00C85EA9" w:rsidP="007659C1">
      <w:pPr>
        <w:spacing w:after="0" w:line="480" w:lineRule="auto"/>
        <w:ind w:firstLine="357"/>
        <w:jc w:val="both"/>
        <w:rPr>
          <w:rFonts w:ascii="Times New Roman" w:hAnsi="Times New Roman" w:cs="Times New Roman"/>
          <w:sz w:val="24"/>
          <w:szCs w:val="24"/>
        </w:rPr>
      </w:pPr>
    </w:p>
    <w:p w14:paraId="5308AC5E" w14:textId="6F2ADB6D" w:rsidR="00C85EA9" w:rsidRPr="00A31C78" w:rsidRDefault="00A31C78" w:rsidP="00370228">
      <w:pPr>
        <w:pStyle w:val="NormalWeb"/>
        <w:spacing w:line="480" w:lineRule="auto"/>
        <w:jc w:val="center"/>
        <w:rPr>
          <w:b/>
          <w:caps/>
        </w:rPr>
      </w:pPr>
      <w:r>
        <w:rPr>
          <w:b/>
        </w:rPr>
        <w:t xml:space="preserve">V. </w:t>
      </w:r>
      <w:r w:rsidR="00370228" w:rsidRPr="00A31C78">
        <w:rPr>
          <w:b/>
          <w:caps/>
        </w:rPr>
        <w:t>Conclusion</w:t>
      </w:r>
    </w:p>
    <w:p w14:paraId="7ED44D4C" w14:textId="7982CB3A" w:rsidR="00BD5A2E" w:rsidRDefault="007B7397" w:rsidP="002E32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Over restrictive rules can be an expression of paternalistic </w:t>
      </w:r>
      <w:r w:rsidR="00E35F75">
        <w:rPr>
          <w:rFonts w:ascii="Times New Roman" w:hAnsi="Times New Roman" w:cs="Times New Roman"/>
          <w:sz w:val="24"/>
          <w:szCs w:val="24"/>
        </w:rPr>
        <w:t xml:space="preserve">and moralistic </w:t>
      </w:r>
      <w:r>
        <w:rPr>
          <w:rFonts w:ascii="Times New Roman" w:hAnsi="Times New Roman" w:cs="Times New Roman"/>
          <w:sz w:val="24"/>
          <w:szCs w:val="24"/>
        </w:rPr>
        <w:t>sentiments</w:t>
      </w:r>
      <w:r w:rsidR="00AE77E3">
        <w:rPr>
          <w:rFonts w:ascii="Times New Roman" w:hAnsi="Times New Roman" w:cs="Times New Roman"/>
          <w:sz w:val="24"/>
          <w:szCs w:val="24"/>
        </w:rPr>
        <w:t xml:space="preserve">, </w:t>
      </w:r>
      <w:r>
        <w:rPr>
          <w:rFonts w:ascii="Times New Roman" w:hAnsi="Times New Roman" w:cs="Times New Roman"/>
          <w:sz w:val="24"/>
          <w:szCs w:val="24"/>
        </w:rPr>
        <w:t>trying to mould children into the ideal of the innocent and non-sexual persona</w:t>
      </w:r>
      <w:r w:rsidR="00AE77E3">
        <w:rPr>
          <w:rFonts w:ascii="Times New Roman" w:hAnsi="Times New Roman" w:cs="Times New Roman"/>
          <w:sz w:val="24"/>
          <w:szCs w:val="24"/>
        </w:rPr>
        <w:t>,</w:t>
      </w:r>
      <w:r>
        <w:rPr>
          <w:rFonts w:ascii="Times New Roman" w:hAnsi="Times New Roman" w:cs="Times New Roman"/>
          <w:sz w:val="24"/>
          <w:szCs w:val="24"/>
        </w:rPr>
        <w:t xml:space="preserve"> rather than an approach that genuinely addresses children’s need for protection without disproportionately restricting children’s sexual self-determination.</w:t>
      </w:r>
      <w:r w:rsidR="008A4E2B">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r w:rsidRPr="00B23C8F">
        <w:rPr>
          <w:rFonts w:ascii="Times New Roman" w:hAnsi="Times New Roman" w:cs="Times New Roman"/>
          <w:sz w:val="24"/>
          <w:szCs w:val="24"/>
          <w:lang w:val="en"/>
        </w:rPr>
        <w:t xml:space="preserve">As </w:t>
      </w:r>
      <w:hyperlink r:id="rId12" w:history="1">
        <w:r w:rsidRPr="00B23C8F">
          <w:rPr>
            <w:rFonts w:ascii="Times New Roman" w:hAnsi="Times New Roman" w:cs="Times New Roman"/>
            <w:sz w:val="24"/>
            <w:szCs w:val="24"/>
          </w:rPr>
          <w:t xml:space="preserve">Albury and Crawford </w:t>
        </w:r>
      </w:hyperlink>
      <w:r w:rsidRPr="00B23C8F">
        <w:rPr>
          <w:rFonts w:ascii="Times New Roman" w:hAnsi="Times New Roman" w:cs="Times New Roman"/>
          <w:sz w:val="24"/>
          <w:szCs w:val="24"/>
          <w:lang w:val="en"/>
        </w:rPr>
        <w:t xml:space="preserve">argue, educational and policy responses </w:t>
      </w:r>
      <w:r w:rsidR="00D844D4">
        <w:rPr>
          <w:rFonts w:ascii="Times New Roman" w:hAnsi="Times New Roman" w:cs="Times New Roman"/>
          <w:sz w:val="24"/>
          <w:szCs w:val="24"/>
          <w:lang w:val="en"/>
        </w:rPr>
        <w:t>‘</w:t>
      </w:r>
      <w:r w:rsidRPr="00B23C8F">
        <w:rPr>
          <w:rFonts w:ascii="Times New Roman" w:hAnsi="Times New Roman" w:cs="Times New Roman"/>
          <w:sz w:val="24"/>
          <w:szCs w:val="24"/>
          <w:lang w:val="en"/>
        </w:rPr>
        <w:t>should do more than threaten young people with legal penalties or sexual shame</w:t>
      </w:r>
      <w:r w:rsidR="00D844D4">
        <w:rPr>
          <w:rFonts w:ascii="Times New Roman" w:hAnsi="Times New Roman" w:cs="Times New Roman"/>
          <w:sz w:val="24"/>
          <w:szCs w:val="24"/>
          <w:lang w:val="en"/>
        </w:rPr>
        <w:t>’</w:t>
      </w:r>
      <w:r w:rsidRPr="00B23C8F">
        <w:rPr>
          <w:rFonts w:ascii="Times New Roman" w:hAnsi="Times New Roman" w:cs="Times New Roman"/>
          <w:sz w:val="24"/>
          <w:szCs w:val="24"/>
          <w:lang w:val="en"/>
        </w:rPr>
        <w:t xml:space="preserve">. They should challenge sexual bullying, promote sexual ethics, acknowledge young people’s agency and provide them with </w:t>
      </w:r>
      <w:r w:rsidR="00D844D4">
        <w:rPr>
          <w:rFonts w:ascii="Times New Roman" w:hAnsi="Times New Roman" w:cs="Times New Roman"/>
          <w:sz w:val="24"/>
          <w:szCs w:val="24"/>
          <w:lang w:val="en"/>
        </w:rPr>
        <w:t>‘</w:t>
      </w:r>
      <w:r w:rsidRPr="00B23C8F">
        <w:rPr>
          <w:rFonts w:ascii="Times New Roman" w:hAnsi="Times New Roman" w:cs="Times New Roman"/>
          <w:sz w:val="24"/>
          <w:szCs w:val="24"/>
          <w:lang w:val="en"/>
        </w:rPr>
        <w:t>a sexual citizenship that includes mediated self-</w:t>
      </w:r>
      <w:r w:rsidRPr="00B23C8F">
        <w:rPr>
          <w:rFonts w:ascii="Times New Roman" w:hAnsi="Times New Roman" w:cs="Times New Roman"/>
          <w:sz w:val="24"/>
          <w:szCs w:val="24"/>
          <w:lang w:val="en"/>
        </w:rPr>
        <w:lastRenderedPageBreak/>
        <w:t>representation</w:t>
      </w:r>
      <w:r w:rsidR="00D844D4">
        <w:rPr>
          <w:rFonts w:ascii="Times New Roman" w:hAnsi="Times New Roman" w:cs="Times New Roman"/>
          <w:sz w:val="24"/>
          <w:szCs w:val="24"/>
          <w:lang w:val="en"/>
        </w:rPr>
        <w:t>’</w:t>
      </w:r>
      <w:r w:rsidRPr="00B23C8F">
        <w:rPr>
          <w:rFonts w:ascii="Times New Roman" w:hAnsi="Times New Roman" w:cs="Times New Roman"/>
          <w:sz w:val="24"/>
          <w:szCs w:val="24"/>
          <w:lang w:val="en"/>
        </w:rPr>
        <w:t>.</w:t>
      </w:r>
      <w:r w:rsidR="008A4E2B">
        <w:rPr>
          <w:rStyle w:val="FootnoteReference"/>
          <w:rFonts w:ascii="Times New Roman" w:hAnsi="Times New Roman" w:cs="Times New Roman"/>
          <w:sz w:val="24"/>
          <w:szCs w:val="24"/>
          <w:lang w:val="en"/>
        </w:rPr>
        <w:footnoteReference w:id="92"/>
      </w:r>
      <w:r>
        <w:rPr>
          <w:rFonts w:ascii="Times New Roman" w:hAnsi="Times New Roman" w:cs="Times New Roman"/>
          <w:sz w:val="24"/>
          <w:szCs w:val="24"/>
          <w:lang w:val="en"/>
        </w:rPr>
        <w:t xml:space="preserve"> </w:t>
      </w:r>
      <w:r w:rsidR="0010750A">
        <w:rPr>
          <w:rFonts w:ascii="Times New Roman" w:hAnsi="Times New Roman" w:cs="Times New Roman"/>
          <w:sz w:val="24"/>
          <w:szCs w:val="24"/>
        </w:rPr>
        <w:t xml:space="preserve">The </w:t>
      </w:r>
      <w:r w:rsidR="0010750A" w:rsidRPr="00B30797">
        <w:rPr>
          <w:rFonts w:ascii="Times New Roman" w:hAnsi="Times New Roman" w:cs="Times New Roman"/>
          <w:sz w:val="24"/>
          <w:szCs w:val="24"/>
        </w:rPr>
        <w:t xml:space="preserve">Supreme Court judgment </w:t>
      </w:r>
      <w:r w:rsidR="0010750A">
        <w:rPr>
          <w:rFonts w:ascii="Times New Roman" w:hAnsi="Times New Roman" w:cs="Times New Roman"/>
          <w:sz w:val="24"/>
          <w:szCs w:val="24"/>
        </w:rPr>
        <w:t>in</w:t>
      </w:r>
      <w:r w:rsidR="0010750A" w:rsidRPr="00B30797">
        <w:rPr>
          <w:rFonts w:ascii="Times New Roman" w:hAnsi="Times New Roman" w:cs="Times New Roman"/>
          <w:sz w:val="24"/>
          <w:szCs w:val="24"/>
        </w:rPr>
        <w:t xml:space="preserve"> </w:t>
      </w:r>
      <w:hyperlink r:id="rId13" w:history="1">
        <w:r w:rsidR="0010750A" w:rsidRPr="00B30797">
          <w:rPr>
            <w:rFonts w:ascii="Times New Roman" w:hAnsi="Times New Roman" w:cs="Times New Roman"/>
            <w:i/>
            <w:sz w:val="24"/>
            <w:szCs w:val="24"/>
          </w:rPr>
          <w:t>R (on the application of P, G and W) v Secretary of State for the Home Department</w:t>
        </w:r>
        <w:r w:rsidR="0010750A">
          <w:rPr>
            <w:rFonts w:ascii="Times New Roman" w:hAnsi="Times New Roman" w:cs="Times New Roman"/>
            <w:sz w:val="24"/>
            <w:szCs w:val="24"/>
          </w:rPr>
          <w:t>,</w:t>
        </w:r>
        <w:r w:rsidR="0010750A" w:rsidRPr="00B30797">
          <w:rPr>
            <w:rStyle w:val="FootnoteReference"/>
            <w:rFonts w:ascii="Times New Roman" w:hAnsi="Times New Roman" w:cs="Times New Roman"/>
            <w:sz w:val="24"/>
            <w:szCs w:val="24"/>
          </w:rPr>
          <w:footnoteReference w:id="93"/>
        </w:r>
        <w:r w:rsidR="0010750A" w:rsidRPr="00B30797">
          <w:rPr>
            <w:rFonts w:ascii="Times New Roman" w:hAnsi="Times New Roman" w:cs="Times New Roman"/>
            <w:sz w:val="24"/>
            <w:szCs w:val="24"/>
          </w:rPr>
          <w:t xml:space="preserve"> </w:t>
        </w:r>
      </w:hyperlink>
      <w:r w:rsidR="0010750A">
        <w:rPr>
          <w:rFonts w:ascii="Times New Roman" w:hAnsi="Times New Roman" w:cs="Times New Roman"/>
          <w:sz w:val="24"/>
          <w:szCs w:val="24"/>
        </w:rPr>
        <w:t xml:space="preserve">which </w:t>
      </w:r>
      <w:r w:rsidR="0010750A">
        <w:rPr>
          <w:rFonts w:ascii="Times New Roman" w:eastAsia="Times New Roman" w:hAnsi="Times New Roman" w:cs="Times New Roman"/>
          <w:sz w:val="24"/>
          <w:szCs w:val="24"/>
          <w:lang w:val="en-US" w:eastAsia="en-GB"/>
        </w:rPr>
        <w:t>identified</w:t>
      </w:r>
      <w:r w:rsidR="0010750A" w:rsidRPr="00BE3868">
        <w:rPr>
          <w:rFonts w:ascii="Times New Roman" w:eastAsia="Times New Roman" w:hAnsi="Times New Roman" w:cs="Times New Roman"/>
          <w:sz w:val="24"/>
          <w:szCs w:val="24"/>
          <w:lang w:val="en-US" w:eastAsia="en-GB"/>
        </w:rPr>
        <w:t xml:space="preserve"> two aspects of the </w:t>
      </w:r>
      <w:r w:rsidR="0010750A">
        <w:rPr>
          <w:rFonts w:ascii="Times New Roman" w:eastAsia="Times New Roman" w:hAnsi="Times New Roman" w:cs="Times New Roman"/>
          <w:sz w:val="24"/>
          <w:szCs w:val="24"/>
          <w:lang w:val="en-US" w:eastAsia="en-GB"/>
        </w:rPr>
        <w:t xml:space="preserve">current criminal record </w:t>
      </w:r>
      <w:r w:rsidR="0010750A" w:rsidRPr="00BE3868">
        <w:rPr>
          <w:rFonts w:ascii="Times New Roman" w:eastAsia="Times New Roman" w:hAnsi="Times New Roman" w:cs="Times New Roman"/>
          <w:sz w:val="24"/>
          <w:szCs w:val="24"/>
          <w:lang w:val="en-US" w:eastAsia="en-GB"/>
        </w:rPr>
        <w:t>filtering rules to be disproportionate under Article 8</w:t>
      </w:r>
      <w:r w:rsidR="0010750A">
        <w:rPr>
          <w:rFonts w:ascii="Times New Roman" w:eastAsia="Times New Roman" w:hAnsi="Times New Roman" w:cs="Times New Roman"/>
          <w:sz w:val="24"/>
          <w:szCs w:val="24"/>
          <w:lang w:val="en-US" w:eastAsia="en-GB"/>
        </w:rPr>
        <w:t xml:space="preserve">, </w:t>
      </w:r>
      <w:r w:rsidR="0010750A" w:rsidRPr="00E06DFE">
        <w:rPr>
          <w:rFonts w:ascii="Times New Roman" w:hAnsi="Times New Roman" w:cs="Times New Roman"/>
          <w:sz w:val="24"/>
          <w:szCs w:val="24"/>
          <w:lang w:val="en"/>
        </w:rPr>
        <w:t>might offer a powerful startin</w:t>
      </w:r>
      <w:r w:rsidR="0010750A">
        <w:rPr>
          <w:rFonts w:ascii="Times New Roman" w:hAnsi="Times New Roman" w:cs="Times New Roman"/>
          <w:sz w:val="24"/>
          <w:szCs w:val="24"/>
          <w:lang w:val="en"/>
        </w:rPr>
        <w:t>g point</w:t>
      </w:r>
      <w:r w:rsidR="0010750A">
        <w:rPr>
          <w:rFonts w:ascii="Times New Roman" w:eastAsia="Times New Roman" w:hAnsi="Times New Roman" w:cs="Times New Roman"/>
          <w:sz w:val="24"/>
          <w:szCs w:val="24"/>
          <w:lang w:val="en-US" w:eastAsia="en-GB"/>
        </w:rPr>
        <w:t>. Changing these</w:t>
      </w:r>
      <w:r w:rsidR="0010750A" w:rsidRPr="00BE3868">
        <w:rPr>
          <w:rFonts w:ascii="Times New Roman" w:eastAsia="Times New Roman" w:hAnsi="Times New Roman" w:cs="Times New Roman"/>
          <w:sz w:val="24"/>
          <w:szCs w:val="24"/>
          <w:lang w:val="en-US" w:eastAsia="en-GB"/>
        </w:rPr>
        <w:t xml:space="preserve"> two centra</w:t>
      </w:r>
      <w:r w:rsidR="0010750A">
        <w:rPr>
          <w:rFonts w:ascii="Times New Roman" w:eastAsia="Times New Roman" w:hAnsi="Times New Roman" w:cs="Times New Roman"/>
          <w:sz w:val="24"/>
          <w:szCs w:val="24"/>
          <w:lang w:val="en-US" w:eastAsia="en-GB"/>
        </w:rPr>
        <w:t xml:space="preserve">l parts of the filtering rules may result in more fundamental reform of how criminal records of young people are maintained. </w:t>
      </w:r>
      <w:r w:rsidR="004137A6">
        <w:rPr>
          <w:rFonts w:ascii="Times New Roman" w:eastAsia="Times New Roman" w:hAnsi="Times New Roman" w:cs="Times New Roman"/>
          <w:sz w:val="24"/>
          <w:szCs w:val="24"/>
          <w:lang w:val="en-US" w:eastAsia="en-GB"/>
        </w:rPr>
        <w:t>R</w:t>
      </w:r>
      <w:proofErr w:type="spellStart"/>
      <w:r w:rsidRPr="00E06DFE">
        <w:rPr>
          <w:rFonts w:ascii="Times New Roman" w:hAnsi="Times New Roman" w:cs="Times New Roman"/>
          <w:sz w:val="24"/>
          <w:szCs w:val="24"/>
          <w:lang w:val="en"/>
        </w:rPr>
        <w:t>econceptuali</w:t>
      </w:r>
      <w:r w:rsidR="00E07B7A">
        <w:rPr>
          <w:rFonts w:ascii="Times New Roman" w:hAnsi="Times New Roman" w:cs="Times New Roman"/>
          <w:sz w:val="24"/>
          <w:szCs w:val="24"/>
          <w:lang w:val="en"/>
        </w:rPr>
        <w:t>s</w:t>
      </w:r>
      <w:r w:rsidRPr="00E06DFE">
        <w:rPr>
          <w:rFonts w:ascii="Times New Roman" w:hAnsi="Times New Roman" w:cs="Times New Roman"/>
          <w:sz w:val="24"/>
          <w:szCs w:val="24"/>
          <w:lang w:val="en"/>
        </w:rPr>
        <w:t>ing</w:t>
      </w:r>
      <w:proofErr w:type="spellEnd"/>
      <w:r w:rsidRPr="00E06DFE">
        <w:rPr>
          <w:rFonts w:ascii="Times New Roman" w:hAnsi="Times New Roman" w:cs="Times New Roman"/>
          <w:sz w:val="24"/>
          <w:szCs w:val="24"/>
          <w:lang w:val="en"/>
        </w:rPr>
        <w:t xml:space="preserve"> discourses on childhood sexuality through a framework of recognition that acknowledges children as sexual subjects might </w:t>
      </w:r>
      <w:r w:rsidR="004137A6">
        <w:rPr>
          <w:rFonts w:ascii="Times New Roman" w:hAnsi="Times New Roman" w:cs="Times New Roman"/>
          <w:sz w:val="24"/>
          <w:szCs w:val="24"/>
          <w:lang w:val="en"/>
        </w:rPr>
        <w:t xml:space="preserve">also </w:t>
      </w:r>
      <w:r w:rsidRPr="006A60AD">
        <w:rPr>
          <w:rFonts w:ascii="Times New Roman" w:hAnsi="Times New Roman" w:cs="Times New Roman"/>
          <w:sz w:val="24"/>
          <w:szCs w:val="24"/>
          <w:lang w:val="en"/>
        </w:rPr>
        <w:t xml:space="preserve">offer </w:t>
      </w:r>
      <w:r w:rsidR="004137A6" w:rsidRPr="006A60AD">
        <w:rPr>
          <w:rFonts w:ascii="Times New Roman" w:hAnsi="Times New Roman" w:cs="Times New Roman"/>
          <w:sz w:val="24"/>
          <w:szCs w:val="24"/>
          <w:lang w:val="en"/>
        </w:rPr>
        <w:t xml:space="preserve">a new way of understanding what constitutes normal child sexual </w:t>
      </w:r>
      <w:proofErr w:type="spellStart"/>
      <w:r w:rsidR="004137A6" w:rsidRPr="006A60AD">
        <w:rPr>
          <w:rFonts w:ascii="Times New Roman" w:hAnsi="Times New Roman" w:cs="Times New Roman"/>
          <w:sz w:val="24"/>
          <w:szCs w:val="24"/>
          <w:lang w:val="en"/>
        </w:rPr>
        <w:t>behaviour</w:t>
      </w:r>
      <w:proofErr w:type="spellEnd"/>
      <w:r w:rsidR="00396B5E" w:rsidRPr="006A60AD">
        <w:rPr>
          <w:rFonts w:ascii="Times New Roman" w:hAnsi="Times New Roman" w:cs="Times New Roman"/>
          <w:sz w:val="24"/>
          <w:szCs w:val="24"/>
          <w:lang w:val="en"/>
        </w:rPr>
        <w:t xml:space="preserve">. An ethic of </w:t>
      </w:r>
      <w:proofErr w:type="spellStart"/>
      <w:r w:rsidR="00396B5E" w:rsidRPr="006A60AD">
        <w:rPr>
          <w:rFonts w:ascii="Times New Roman" w:hAnsi="Times New Roman" w:cs="Times New Roman"/>
          <w:sz w:val="24"/>
          <w:szCs w:val="24"/>
          <w:lang w:val="en"/>
        </w:rPr>
        <w:t>reco</w:t>
      </w:r>
      <w:r w:rsidR="00396B5E">
        <w:rPr>
          <w:rFonts w:ascii="Times New Roman" w:hAnsi="Times New Roman" w:cs="Times New Roman"/>
          <w:sz w:val="24"/>
          <w:szCs w:val="24"/>
          <w:lang w:val="en"/>
        </w:rPr>
        <w:t>gnising</w:t>
      </w:r>
      <w:proofErr w:type="spellEnd"/>
      <w:r w:rsidR="00396B5E">
        <w:rPr>
          <w:rFonts w:ascii="Times New Roman" w:hAnsi="Times New Roman" w:cs="Times New Roman"/>
          <w:sz w:val="24"/>
          <w:szCs w:val="24"/>
          <w:lang w:val="en"/>
        </w:rPr>
        <w:t xml:space="preserve"> young people as holders of sexual rights and sexual citizenships</w:t>
      </w:r>
      <w:r w:rsidRPr="00E06DFE">
        <w:rPr>
          <w:rFonts w:ascii="Times New Roman" w:hAnsi="Times New Roman" w:cs="Times New Roman"/>
          <w:sz w:val="24"/>
          <w:szCs w:val="24"/>
          <w:lang w:val="en"/>
        </w:rPr>
        <w:t xml:space="preserve"> could promote a more nuanced and collaborative vision that moves beyond a cultural conception of </w:t>
      </w:r>
      <w:r w:rsidR="00396B5E">
        <w:rPr>
          <w:rFonts w:ascii="Times New Roman" w:hAnsi="Times New Roman" w:cs="Times New Roman"/>
          <w:sz w:val="24"/>
          <w:szCs w:val="24"/>
          <w:lang w:val="en"/>
        </w:rPr>
        <w:t>the innocence of childhood</w:t>
      </w:r>
      <w:r w:rsidRPr="00E06DFE">
        <w:rPr>
          <w:rFonts w:ascii="Times New Roman" w:hAnsi="Times New Roman" w:cs="Times New Roman"/>
          <w:sz w:val="24"/>
          <w:szCs w:val="24"/>
          <w:lang w:val="en"/>
        </w:rPr>
        <w:t xml:space="preserve"> towards </w:t>
      </w:r>
      <w:r w:rsidR="00396B5E">
        <w:rPr>
          <w:rFonts w:ascii="Times New Roman" w:hAnsi="Times New Roman" w:cs="Times New Roman"/>
          <w:sz w:val="24"/>
          <w:szCs w:val="24"/>
          <w:lang w:val="en"/>
        </w:rPr>
        <w:t xml:space="preserve">an understanding of </w:t>
      </w:r>
      <w:r w:rsidRPr="00E06DFE">
        <w:rPr>
          <w:rFonts w:ascii="Times New Roman" w:hAnsi="Times New Roman" w:cs="Times New Roman"/>
          <w:sz w:val="24"/>
          <w:szCs w:val="24"/>
          <w:lang w:val="en"/>
        </w:rPr>
        <w:t>children</w:t>
      </w:r>
      <w:r w:rsidR="00642E45">
        <w:rPr>
          <w:rFonts w:ascii="Times New Roman" w:hAnsi="Times New Roman" w:cs="Times New Roman"/>
          <w:sz w:val="24"/>
          <w:szCs w:val="24"/>
          <w:lang w:val="en"/>
        </w:rPr>
        <w:t>’</w:t>
      </w:r>
      <w:r w:rsidRPr="00E06DFE">
        <w:rPr>
          <w:rFonts w:ascii="Times New Roman" w:hAnsi="Times New Roman" w:cs="Times New Roman"/>
          <w:sz w:val="24"/>
          <w:szCs w:val="24"/>
          <w:lang w:val="en"/>
        </w:rPr>
        <w:t>s sexuality in all of its complexity.</w:t>
      </w:r>
      <w:r w:rsidR="008A4E2B">
        <w:rPr>
          <w:rStyle w:val="FootnoteReference"/>
          <w:rFonts w:ascii="Times New Roman" w:hAnsi="Times New Roman" w:cs="Times New Roman"/>
          <w:sz w:val="24"/>
          <w:szCs w:val="24"/>
          <w:lang w:val="en"/>
        </w:rPr>
        <w:footnoteReference w:id="94"/>
      </w:r>
      <w:r w:rsidRPr="00772C4E">
        <w:rPr>
          <w:rFonts w:ascii="Times New Roman" w:hAnsi="Times New Roman" w:cs="Times New Roman"/>
          <w:sz w:val="24"/>
          <w:szCs w:val="24"/>
        </w:rPr>
        <w:t xml:space="preserve"> </w:t>
      </w:r>
      <w:r w:rsidRPr="00B23C8F">
        <w:rPr>
          <w:rFonts w:ascii="Times New Roman" w:hAnsi="Times New Roman" w:cs="Times New Roman"/>
          <w:sz w:val="24"/>
          <w:szCs w:val="24"/>
        </w:rPr>
        <w:t xml:space="preserve">Such a rights framework provides a normative lens through which to critically examine and evaluate the benefits or harms of children’s </w:t>
      </w:r>
      <w:r w:rsidR="007467B2">
        <w:rPr>
          <w:rFonts w:ascii="Times New Roman" w:hAnsi="Times New Roman" w:cs="Times New Roman"/>
          <w:sz w:val="24"/>
          <w:szCs w:val="24"/>
        </w:rPr>
        <w:t>engagement in exploratory sexual activity,</w:t>
      </w:r>
      <w:r w:rsidRPr="00B23C8F">
        <w:rPr>
          <w:rFonts w:ascii="Times New Roman" w:hAnsi="Times New Roman" w:cs="Times New Roman"/>
          <w:sz w:val="24"/>
          <w:szCs w:val="24"/>
        </w:rPr>
        <w:t xml:space="preserve"> thereby </w:t>
      </w:r>
      <w:r w:rsidR="00BD5A2E">
        <w:rPr>
          <w:rFonts w:ascii="Times New Roman" w:hAnsi="Times New Roman" w:cs="Times New Roman"/>
          <w:sz w:val="24"/>
          <w:szCs w:val="24"/>
        </w:rPr>
        <w:t>helping</w:t>
      </w:r>
      <w:r w:rsidRPr="00B23C8F">
        <w:rPr>
          <w:rFonts w:ascii="Times New Roman" w:hAnsi="Times New Roman" w:cs="Times New Roman"/>
          <w:sz w:val="24"/>
          <w:szCs w:val="24"/>
        </w:rPr>
        <w:t xml:space="preserve"> to identify where and how policy and practice need to change so as to support children’s rights more effectively.</w:t>
      </w:r>
      <w:r w:rsidR="00CA0B94">
        <w:rPr>
          <w:rFonts w:ascii="Times New Roman" w:hAnsi="Times New Roman" w:cs="Times New Roman"/>
          <w:sz w:val="24"/>
          <w:szCs w:val="24"/>
        </w:rPr>
        <w:t xml:space="preserve"> </w:t>
      </w:r>
      <w:r w:rsidR="00C839F7">
        <w:rPr>
          <w:rFonts w:ascii="Times New Roman" w:hAnsi="Times New Roman" w:cs="Times New Roman"/>
          <w:sz w:val="24"/>
          <w:szCs w:val="24"/>
        </w:rPr>
        <w:t xml:space="preserve">This lens </w:t>
      </w:r>
      <w:r w:rsidR="00B22969">
        <w:rPr>
          <w:rFonts w:ascii="Times New Roman" w:hAnsi="Times New Roman" w:cs="Times New Roman"/>
          <w:sz w:val="24"/>
          <w:szCs w:val="24"/>
        </w:rPr>
        <w:t xml:space="preserve">allows for the </w:t>
      </w:r>
      <w:r w:rsidR="00B22969" w:rsidRPr="00B22969">
        <w:rPr>
          <w:rFonts w:ascii="Times New Roman" w:hAnsi="Times New Roman" w:cs="Times New Roman"/>
          <w:sz w:val="24"/>
          <w:szCs w:val="24"/>
        </w:rPr>
        <w:t xml:space="preserve">reconceptualising </w:t>
      </w:r>
      <w:r w:rsidR="00B22969">
        <w:rPr>
          <w:rFonts w:ascii="Times New Roman" w:hAnsi="Times New Roman" w:cs="Times New Roman"/>
          <w:sz w:val="24"/>
          <w:szCs w:val="24"/>
        </w:rPr>
        <w:t xml:space="preserve">of </w:t>
      </w:r>
      <w:r w:rsidR="00B22969" w:rsidRPr="00B22969">
        <w:rPr>
          <w:rFonts w:ascii="Times New Roman" w:hAnsi="Times New Roman" w:cs="Times New Roman"/>
          <w:sz w:val="24"/>
          <w:szCs w:val="24"/>
        </w:rPr>
        <w:t>the legal subject and the role of the state and institutions</w:t>
      </w:r>
      <w:r w:rsidR="00B22969">
        <w:rPr>
          <w:rFonts w:ascii="Times New Roman" w:hAnsi="Times New Roman" w:cs="Times New Roman"/>
          <w:sz w:val="24"/>
          <w:szCs w:val="24"/>
        </w:rPr>
        <w:t xml:space="preserve"> and the </w:t>
      </w:r>
      <w:r w:rsidR="00C839F7">
        <w:rPr>
          <w:rFonts w:ascii="Times New Roman" w:hAnsi="Times New Roman" w:cs="Times New Roman"/>
          <w:sz w:val="24"/>
          <w:szCs w:val="24"/>
        </w:rPr>
        <w:t xml:space="preserve">creation of spaces of freedom for young people to safely explore their sexuality without focussing primarily on the domination and oppression of youth sexuality. </w:t>
      </w:r>
      <w:r w:rsidR="00396B5E">
        <w:rPr>
          <w:rFonts w:ascii="Times New Roman" w:hAnsi="Times New Roman" w:cs="Times New Roman"/>
          <w:sz w:val="24"/>
          <w:szCs w:val="24"/>
        </w:rPr>
        <w:t>The law needs to challenge coercive</w:t>
      </w:r>
      <w:r w:rsidR="001B5F33">
        <w:rPr>
          <w:rFonts w:ascii="Times New Roman" w:hAnsi="Times New Roman" w:cs="Times New Roman"/>
          <w:sz w:val="24"/>
          <w:szCs w:val="24"/>
        </w:rPr>
        <w:t>, exploitative</w:t>
      </w:r>
      <w:r w:rsidR="00D9000C">
        <w:rPr>
          <w:rFonts w:ascii="Times New Roman" w:hAnsi="Times New Roman" w:cs="Times New Roman"/>
          <w:sz w:val="24"/>
          <w:szCs w:val="24"/>
        </w:rPr>
        <w:t>, abusive</w:t>
      </w:r>
      <w:r w:rsidR="003A3F47">
        <w:rPr>
          <w:rFonts w:ascii="Times New Roman" w:hAnsi="Times New Roman" w:cs="Times New Roman"/>
          <w:sz w:val="24"/>
          <w:szCs w:val="24"/>
        </w:rPr>
        <w:t>, deceptive</w:t>
      </w:r>
      <w:r w:rsidR="00396B5E">
        <w:rPr>
          <w:rFonts w:ascii="Times New Roman" w:hAnsi="Times New Roman" w:cs="Times New Roman"/>
          <w:sz w:val="24"/>
          <w:szCs w:val="24"/>
        </w:rPr>
        <w:t xml:space="preserve"> and unauthorised producing and distributing </w:t>
      </w:r>
      <w:r w:rsidR="00885C6C">
        <w:rPr>
          <w:rFonts w:ascii="Times New Roman" w:hAnsi="Times New Roman" w:cs="Times New Roman"/>
          <w:sz w:val="24"/>
          <w:szCs w:val="24"/>
        </w:rPr>
        <w:t xml:space="preserve">of </w:t>
      </w:r>
      <w:r w:rsidR="00396B5E">
        <w:rPr>
          <w:rFonts w:ascii="Times New Roman" w:hAnsi="Times New Roman" w:cs="Times New Roman"/>
          <w:sz w:val="24"/>
          <w:szCs w:val="24"/>
        </w:rPr>
        <w:t xml:space="preserve">sexual images of children while also protecting </w:t>
      </w:r>
      <w:r w:rsidR="007659C1">
        <w:rPr>
          <w:rFonts w:ascii="Times New Roman" w:hAnsi="Times New Roman" w:cs="Times New Roman"/>
          <w:sz w:val="24"/>
          <w:szCs w:val="24"/>
        </w:rPr>
        <w:t>young people’s</w:t>
      </w:r>
      <w:r w:rsidR="00396B5E">
        <w:rPr>
          <w:rFonts w:ascii="Times New Roman" w:hAnsi="Times New Roman" w:cs="Times New Roman"/>
          <w:sz w:val="24"/>
          <w:szCs w:val="24"/>
        </w:rPr>
        <w:t xml:space="preserve"> freedom to engage in self-determined sexual relationships. </w:t>
      </w:r>
      <w:r w:rsidR="00D51AAE" w:rsidRPr="00F67164">
        <w:rPr>
          <w:rFonts w:ascii="Times New Roman" w:hAnsi="Times New Roman" w:cs="Times New Roman"/>
          <w:sz w:val="24"/>
          <w:szCs w:val="24"/>
        </w:rPr>
        <w:t xml:space="preserve">The </w:t>
      </w:r>
      <w:r w:rsidR="00BD5A2E">
        <w:rPr>
          <w:rFonts w:ascii="Times New Roman" w:hAnsi="Times New Roman" w:cs="Times New Roman"/>
          <w:sz w:val="24"/>
          <w:szCs w:val="24"/>
        </w:rPr>
        <w:t xml:space="preserve">current </w:t>
      </w:r>
      <w:r w:rsidR="00D51AAE" w:rsidRPr="00F67164">
        <w:rPr>
          <w:rFonts w:ascii="Times New Roman" w:hAnsi="Times New Roman" w:cs="Times New Roman"/>
          <w:sz w:val="24"/>
          <w:szCs w:val="24"/>
        </w:rPr>
        <w:t>paternalistic protectionist approach fails to distinguish between harmful and mutually consen</w:t>
      </w:r>
      <w:r w:rsidR="007E5514">
        <w:rPr>
          <w:rFonts w:ascii="Times New Roman" w:hAnsi="Times New Roman" w:cs="Times New Roman"/>
          <w:sz w:val="24"/>
          <w:szCs w:val="24"/>
        </w:rPr>
        <w:t>sual</w:t>
      </w:r>
      <w:r w:rsidR="00D51AAE" w:rsidRPr="00F67164">
        <w:rPr>
          <w:rFonts w:ascii="Times New Roman" w:hAnsi="Times New Roman" w:cs="Times New Roman"/>
          <w:sz w:val="24"/>
          <w:szCs w:val="24"/>
        </w:rPr>
        <w:t xml:space="preserve"> sexting and therefore potentially stifles the development of sexual autonomy.</w:t>
      </w:r>
      <w:r w:rsidR="00F22E0D">
        <w:rPr>
          <w:rFonts w:ascii="Times New Roman" w:hAnsi="Times New Roman" w:cs="Times New Roman"/>
          <w:sz w:val="24"/>
          <w:szCs w:val="24"/>
        </w:rPr>
        <w:t xml:space="preserve"> </w:t>
      </w:r>
    </w:p>
    <w:p w14:paraId="62AA9EC6" w14:textId="28C85139" w:rsidR="009532EC" w:rsidRDefault="00350302" w:rsidP="001D4EF0">
      <w:pPr>
        <w:spacing w:after="0" w:line="480" w:lineRule="auto"/>
        <w:ind w:firstLine="720"/>
        <w:jc w:val="both"/>
        <w:rPr>
          <w:rFonts w:ascii="Times New Roman" w:hAnsi="Times New Roman" w:cs="Times New Roman"/>
          <w:sz w:val="24"/>
          <w:szCs w:val="24"/>
        </w:rPr>
      </w:pPr>
      <w:r w:rsidRPr="00154017">
        <w:rPr>
          <w:rFonts w:ascii="Times New Roman" w:eastAsia="TimesNewRomanPSMT" w:hAnsi="Times New Roman" w:cs="Times New Roman"/>
          <w:sz w:val="24"/>
          <w:szCs w:val="24"/>
        </w:rPr>
        <w:lastRenderedPageBreak/>
        <w:t xml:space="preserve">The </w:t>
      </w:r>
      <w:r>
        <w:rPr>
          <w:rFonts w:ascii="Times New Roman" w:eastAsia="TimesNewRomanPSMT" w:hAnsi="Times New Roman" w:cs="Times New Roman"/>
          <w:sz w:val="24"/>
          <w:szCs w:val="24"/>
        </w:rPr>
        <w:t xml:space="preserve">United Nations </w:t>
      </w:r>
      <w:r w:rsidRPr="00154017">
        <w:rPr>
          <w:rFonts w:ascii="Times New Roman" w:eastAsia="TimesNewRomanPSMT" w:hAnsi="Times New Roman" w:cs="Times New Roman"/>
          <w:sz w:val="24"/>
          <w:szCs w:val="24"/>
        </w:rPr>
        <w:t>Committee on the Rights of the Child in its General Comment 20 on the implementation of the rights of the child during a</w:t>
      </w:r>
      <w:r>
        <w:rPr>
          <w:rFonts w:ascii="Times New Roman" w:eastAsia="TimesNewRomanPSMT" w:hAnsi="Times New Roman" w:cs="Times New Roman"/>
          <w:sz w:val="24"/>
          <w:szCs w:val="24"/>
        </w:rPr>
        <w:t xml:space="preserve">dolescence </w:t>
      </w:r>
      <w:r w:rsidRPr="00154017">
        <w:rPr>
          <w:rFonts w:ascii="Times New Roman" w:eastAsia="TimesNewRomanPSMT" w:hAnsi="Times New Roman" w:cs="Times New Roman"/>
          <w:sz w:val="24"/>
          <w:szCs w:val="24"/>
        </w:rPr>
        <w:t>stated that</w:t>
      </w:r>
      <w:r w:rsidR="006A60AD">
        <w:rPr>
          <w:rFonts w:ascii="Times New Roman" w:eastAsia="TimesNewRomanPSMT" w:hAnsi="Times New Roman" w:cs="Times New Roman"/>
          <w:sz w:val="24"/>
          <w:szCs w:val="24"/>
        </w:rPr>
        <w:t xml:space="preserve"> </w:t>
      </w:r>
      <w:r w:rsidRPr="00154017">
        <w:rPr>
          <w:rFonts w:ascii="Times New Roman" w:eastAsia="TimesNewRomanPSMT" w:hAnsi="Times New Roman" w:cs="Times New Roman"/>
          <w:sz w:val="24"/>
          <w:szCs w:val="24"/>
        </w:rPr>
        <w:t>“States should avoid criminalizing adolescents of similar ages for factually consensual and non</w:t>
      </w:r>
      <w:r w:rsidR="000F2951">
        <w:rPr>
          <w:rFonts w:ascii="Times New Roman" w:eastAsia="TimesNewRomanPSMT" w:hAnsi="Times New Roman" w:cs="Times New Roman"/>
          <w:sz w:val="24"/>
          <w:szCs w:val="24"/>
        </w:rPr>
        <w:t>-</w:t>
      </w:r>
      <w:r w:rsidRPr="00154017">
        <w:rPr>
          <w:rFonts w:ascii="Times New Roman" w:eastAsia="TimesNewRomanPSMT" w:hAnsi="Times New Roman" w:cs="Times New Roman"/>
          <w:sz w:val="24"/>
          <w:szCs w:val="24"/>
        </w:rPr>
        <w:t>exploitative sexual activity</w:t>
      </w:r>
      <w:r>
        <w:rPr>
          <w:rFonts w:ascii="Times New Roman" w:eastAsia="TimesNewRomanPSMT" w:hAnsi="Times New Roman" w:cs="Times New Roman"/>
          <w:sz w:val="24"/>
          <w:szCs w:val="24"/>
        </w:rPr>
        <w:t>.</w:t>
      </w:r>
      <w:r w:rsidRPr="00154017">
        <w:rPr>
          <w:rFonts w:ascii="Times New Roman" w:eastAsia="TimesNewRomanPSMT" w:hAnsi="Times New Roman" w:cs="Times New Roman"/>
          <w:sz w:val="24"/>
          <w:szCs w:val="24"/>
        </w:rPr>
        <w:t>”</w:t>
      </w:r>
      <w:r>
        <w:rPr>
          <w:rStyle w:val="FootnoteReference"/>
          <w:rFonts w:ascii="Times New Roman" w:eastAsia="TimesNewRomanPSMT" w:hAnsi="Times New Roman" w:cs="Times New Roman"/>
          <w:sz w:val="24"/>
          <w:szCs w:val="24"/>
        </w:rPr>
        <w:footnoteReference w:id="95"/>
      </w:r>
      <w:r>
        <w:rPr>
          <w:rFonts w:ascii="Times New Roman" w:eastAsia="TimesNewRomanPSMT" w:hAnsi="Times New Roman" w:cs="Times New Roman"/>
          <w:sz w:val="24"/>
          <w:szCs w:val="24"/>
        </w:rPr>
        <w:t xml:space="preserve"> </w:t>
      </w:r>
      <w:r w:rsidR="00F22E0D" w:rsidRPr="00F22E0D">
        <w:rPr>
          <w:rFonts w:ascii="Times New Roman" w:hAnsi="Times New Roman" w:cs="Times New Roman"/>
          <w:sz w:val="24"/>
          <w:szCs w:val="24"/>
        </w:rPr>
        <w:t>The current discourse</w:t>
      </w:r>
      <w:r>
        <w:rPr>
          <w:rFonts w:ascii="Times New Roman" w:hAnsi="Times New Roman" w:cs="Times New Roman"/>
          <w:sz w:val="24"/>
          <w:szCs w:val="24"/>
        </w:rPr>
        <w:t xml:space="preserve"> in England and Wales</w:t>
      </w:r>
      <w:r w:rsidR="00F22E0D" w:rsidRPr="00F22E0D">
        <w:rPr>
          <w:rFonts w:ascii="Times New Roman" w:hAnsi="Times New Roman" w:cs="Times New Roman"/>
          <w:sz w:val="24"/>
          <w:szCs w:val="24"/>
        </w:rPr>
        <w:t xml:space="preserve"> denies children’s subjectivity and instead invites increased surveillance and intervention by the state in the sexual expression of the young</w:t>
      </w:r>
      <w:r w:rsidR="00F22E0D">
        <w:rPr>
          <w:rFonts w:ascii="Times New Roman" w:hAnsi="Times New Roman" w:cs="Times New Roman"/>
          <w:sz w:val="24"/>
          <w:szCs w:val="24"/>
        </w:rPr>
        <w:t xml:space="preserve">. What is needed are new ways of thinking </w:t>
      </w:r>
      <w:r w:rsidR="00F22E0D" w:rsidRPr="00F22E0D">
        <w:rPr>
          <w:rFonts w:ascii="Times New Roman" w:hAnsi="Times New Roman" w:cs="Times New Roman"/>
          <w:sz w:val="24"/>
          <w:szCs w:val="24"/>
        </w:rPr>
        <w:t>about how young people</w:t>
      </w:r>
      <w:r w:rsidR="00580481">
        <w:rPr>
          <w:rFonts w:ascii="Times New Roman" w:hAnsi="Times New Roman" w:cs="Times New Roman"/>
          <w:sz w:val="24"/>
          <w:szCs w:val="24"/>
        </w:rPr>
        <w:t xml:space="preserve"> </w:t>
      </w:r>
      <w:r w:rsidR="00F22E0D" w:rsidRPr="00F22E0D">
        <w:rPr>
          <w:rFonts w:ascii="Times New Roman" w:hAnsi="Times New Roman" w:cs="Times New Roman"/>
          <w:sz w:val="24"/>
          <w:szCs w:val="24"/>
        </w:rPr>
        <w:t>might be supported in developing and expressing a healthy sense of sexual identity</w:t>
      </w:r>
      <w:r w:rsidR="00580481">
        <w:rPr>
          <w:rFonts w:ascii="Times New Roman" w:hAnsi="Times New Roman" w:cs="Times New Roman"/>
          <w:sz w:val="24"/>
          <w:szCs w:val="24"/>
        </w:rPr>
        <w:t xml:space="preserve"> without fear of criminalization and in a way which recognises structural vulnerability</w:t>
      </w:r>
      <w:r w:rsidR="00885C6C">
        <w:rPr>
          <w:rFonts w:ascii="Times New Roman" w:hAnsi="Times New Roman" w:cs="Times New Roman"/>
          <w:sz w:val="24"/>
          <w:szCs w:val="24"/>
        </w:rPr>
        <w:t xml:space="preserve"> and</w:t>
      </w:r>
      <w:r w:rsidR="00F74A1D">
        <w:rPr>
          <w:rFonts w:ascii="Times New Roman" w:hAnsi="Times New Roman" w:cs="Times New Roman"/>
          <w:sz w:val="24"/>
          <w:szCs w:val="24"/>
        </w:rPr>
        <w:t xml:space="preserve"> existing inequalities of power</w:t>
      </w:r>
      <w:r w:rsidR="00580481">
        <w:rPr>
          <w:rFonts w:ascii="Times New Roman" w:hAnsi="Times New Roman" w:cs="Times New Roman"/>
          <w:sz w:val="24"/>
          <w:szCs w:val="24"/>
        </w:rPr>
        <w:t xml:space="preserve"> and dependence</w:t>
      </w:r>
      <w:r w:rsidR="00F22E0D" w:rsidRPr="00F22E0D">
        <w:rPr>
          <w:rFonts w:ascii="Times New Roman" w:hAnsi="Times New Roman" w:cs="Times New Roman"/>
          <w:sz w:val="24"/>
          <w:szCs w:val="24"/>
        </w:rPr>
        <w:t>. New and emergent ways of thinking about young people and</w:t>
      </w:r>
      <w:r w:rsidR="00F22E0D">
        <w:rPr>
          <w:rFonts w:ascii="Times New Roman" w:hAnsi="Times New Roman" w:cs="Times New Roman"/>
          <w:sz w:val="24"/>
          <w:szCs w:val="24"/>
        </w:rPr>
        <w:t xml:space="preserve"> their</w:t>
      </w:r>
      <w:r w:rsidR="00F22E0D" w:rsidRPr="00F22E0D">
        <w:rPr>
          <w:rFonts w:ascii="Times New Roman" w:hAnsi="Times New Roman" w:cs="Times New Roman"/>
          <w:sz w:val="24"/>
          <w:szCs w:val="24"/>
        </w:rPr>
        <w:t xml:space="preserve"> decision-making</w:t>
      </w:r>
      <w:r w:rsidR="00F22E0D">
        <w:rPr>
          <w:rFonts w:ascii="Times New Roman" w:hAnsi="Times New Roman" w:cs="Times New Roman"/>
          <w:sz w:val="24"/>
          <w:szCs w:val="24"/>
        </w:rPr>
        <w:t xml:space="preserve"> on sexual matters</w:t>
      </w:r>
      <w:r w:rsidR="00F22E0D" w:rsidRPr="00F22E0D">
        <w:rPr>
          <w:rFonts w:ascii="Times New Roman" w:hAnsi="Times New Roman" w:cs="Times New Roman"/>
          <w:sz w:val="24"/>
          <w:szCs w:val="24"/>
        </w:rPr>
        <w:t xml:space="preserve"> have been </w:t>
      </w:r>
      <w:r w:rsidR="00F22E0D">
        <w:rPr>
          <w:rFonts w:ascii="Times New Roman" w:hAnsi="Times New Roman" w:cs="Times New Roman"/>
          <w:sz w:val="24"/>
          <w:szCs w:val="24"/>
        </w:rPr>
        <w:t>discusse</w:t>
      </w:r>
      <w:r w:rsidR="00F22E0D" w:rsidRPr="00F22E0D">
        <w:rPr>
          <w:rFonts w:ascii="Times New Roman" w:hAnsi="Times New Roman" w:cs="Times New Roman"/>
          <w:sz w:val="24"/>
          <w:szCs w:val="24"/>
        </w:rPr>
        <w:t>d in this article which can provide the conceptual underpinnings to challenge current paradigmatic concepts which currently frame and constrain our thinking.</w:t>
      </w:r>
      <w:r w:rsidR="00F22E0D">
        <w:rPr>
          <w:rFonts w:ascii="Times New Roman" w:hAnsi="Times New Roman" w:cs="Times New Roman"/>
          <w:sz w:val="24"/>
          <w:szCs w:val="24"/>
        </w:rPr>
        <w:t xml:space="preserve"> </w:t>
      </w:r>
      <w:r w:rsidR="002E328F">
        <w:rPr>
          <w:rFonts w:ascii="Times New Roman" w:hAnsi="Times New Roman" w:cs="Times New Roman"/>
          <w:sz w:val="24"/>
          <w:szCs w:val="24"/>
        </w:rPr>
        <w:t>This article proposes</w:t>
      </w:r>
      <w:r w:rsidR="002E328F" w:rsidRPr="00F22E0D">
        <w:rPr>
          <w:rFonts w:ascii="Times New Roman" w:hAnsi="Times New Roman" w:cs="Times New Roman"/>
          <w:sz w:val="24"/>
          <w:szCs w:val="24"/>
        </w:rPr>
        <w:t xml:space="preserve"> </w:t>
      </w:r>
      <w:r w:rsidR="002E328F">
        <w:rPr>
          <w:rFonts w:ascii="Times New Roman" w:hAnsi="Times New Roman" w:cs="Times New Roman"/>
          <w:sz w:val="24"/>
          <w:szCs w:val="24"/>
        </w:rPr>
        <w:t>the concept of ‘intimate citizenship’</w:t>
      </w:r>
      <w:r w:rsidR="002E328F" w:rsidRPr="00F22E0D">
        <w:rPr>
          <w:rFonts w:ascii="Times New Roman" w:hAnsi="Times New Roman" w:cs="Times New Roman"/>
          <w:sz w:val="24"/>
          <w:szCs w:val="24"/>
        </w:rPr>
        <w:t xml:space="preserve"> </w:t>
      </w:r>
      <w:r w:rsidR="002E328F">
        <w:rPr>
          <w:rFonts w:ascii="Times New Roman" w:hAnsi="Times New Roman" w:cs="Times New Roman"/>
          <w:sz w:val="24"/>
          <w:szCs w:val="24"/>
        </w:rPr>
        <w:t>as</w:t>
      </w:r>
      <w:r w:rsidR="002E328F" w:rsidRPr="00F22E0D">
        <w:rPr>
          <w:rFonts w:ascii="Times New Roman" w:hAnsi="Times New Roman" w:cs="Times New Roman"/>
          <w:sz w:val="24"/>
          <w:szCs w:val="24"/>
        </w:rPr>
        <w:t xml:space="preserve"> one model that</w:t>
      </w:r>
      <w:r w:rsidR="002E328F">
        <w:rPr>
          <w:rFonts w:ascii="Times New Roman" w:hAnsi="Times New Roman" w:cs="Times New Roman"/>
          <w:sz w:val="24"/>
          <w:szCs w:val="24"/>
        </w:rPr>
        <w:t xml:space="preserve"> challenges </w:t>
      </w:r>
      <w:r w:rsidR="002E328F" w:rsidRPr="00F22E0D">
        <w:rPr>
          <w:rFonts w:ascii="Times New Roman" w:hAnsi="Times New Roman" w:cs="Times New Roman"/>
          <w:sz w:val="24"/>
          <w:szCs w:val="24"/>
        </w:rPr>
        <w:t xml:space="preserve">the </w:t>
      </w:r>
      <w:proofErr w:type="spellStart"/>
      <w:r w:rsidR="002E328F" w:rsidRPr="00F22E0D">
        <w:rPr>
          <w:rFonts w:ascii="Times New Roman" w:hAnsi="Times New Roman" w:cs="Times New Roman"/>
          <w:sz w:val="24"/>
          <w:szCs w:val="24"/>
        </w:rPr>
        <w:t>decontextualised</w:t>
      </w:r>
      <w:proofErr w:type="spellEnd"/>
      <w:r w:rsidR="002E328F" w:rsidRPr="00F22E0D">
        <w:rPr>
          <w:rFonts w:ascii="Times New Roman" w:hAnsi="Times New Roman" w:cs="Times New Roman"/>
          <w:sz w:val="24"/>
          <w:szCs w:val="24"/>
        </w:rPr>
        <w:t xml:space="preserve"> and unreflective legal subject upon which much of law and policy is built.</w:t>
      </w:r>
      <w:r w:rsidR="002E328F">
        <w:rPr>
          <w:rFonts w:ascii="Times New Roman" w:hAnsi="Times New Roman" w:cs="Times New Roman"/>
          <w:sz w:val="24"/>
          <w:szCs w:val="24"/>
        </w:rPr>
        <w:t xml:space="preserve"> It opens up a new dialogue about </w:t>
      </w:r>
      <w:r w:rsidR="002E328F" w:rsidRPr="002E328F">
        <w:rPr>
          <w:rFonts w:ascii="Times New Roman" w:hAnsi="Times New Roman" w:cs="Times New Roman"/>
          <w:sz w:val="24"/>
          <w:szCs w:val="24"/>
        </w:rPr>
        <w:t xml:space="preserve">how young people might be supported in developing and expressing a healthy sense of sexual identity without fear of criminalization for these expressions and in which their sexual autonomy and vulnerability </w:t>
      </w:r>
      <w:r w:rsidR="00BD5A2E">
        <w:rPr>
          <w:rFonts w:ascii="Times New Roman" w:hAnsi="Times New Roman" w:cs="Times New Roman"/>
          <w:sz w:val="24"/>
          <w:szCs w:val="24"/>
        </w:rPr>
        <w:t>are</w:t>
      </w:r>
      <w:r w:rsidR="002E328F" w:rsidRPr="002E328F">
        <w:rPr>
          <w:rFonts w:ascii="Times New Roman" w:hAnsi="Times New Roman" w:cs="Times New Roman"/>
          <w:sz w:val="24"/>
          <w:szCs w:val="24"/>
        </w:rPr>
        <w:t xml:space="preserve"> acknowledged. </w:t>
      </w:r>
    </w:p>
    <w:sectPr w:rsidR="009532E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7121" w14:textId="77777777" w:rsidR="00900BD9" w:rsidRDefault="00900BD9" w:rsidP="00162154">
      <w:pPr>
        <w:spacing w:after="0" w:line="240" w:lineRule="auto"/>
      </w:pPr>
      <w:r>
        <w:separator/>
      </w:r>
    </w:p>
  </w:endnote>
  <w:endnote w:type="continuationSeparator" w:id="0">
    <w:p w14:paraId="35FF9FD1" w14:textId="77777777" w:rsidR="00900BD9" w:rsidRDefault="00900BD9" w:rsidP="0016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Three">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MT">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A7B0" w14:textId="77777777" w:rsidR="00FD6FB5" w:rsidRDefault="00FD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38241"/>
      <w:docPartObj>
        <w:docPartGallery w:val="Page Numbers (Bottom of Page)"/>
        <w:docPartUnique/>
      </w:docPartObj>
    </w:sdtPr>
    <w:sdtEndPr>
      <w:rPr>
        <w:noProof/>
      </w:rPr>
    </w:sdtEndPr>
    <w:sdtContent>
      <w:p w14:paraId="45951F0F" w14:textId="2B1EDBEF" w:rsidR="00E3735C" w:rsidRDefault="00E3735C">
        <w:pPr>
          <w:pStyle w:val="Footer"/>
          <w:jc w:val="center"/>
        </w:pPr>
        <w:r>
          <w:fldChar w:fldCharType="begin"/>
        </w:r>
        <w:r>
          <w:instrText xml:space="preserve"> PAGE   \* MERGEFORMAT </w:instrText>
        </w:r>
        <w:r>
          <w:fldChar w:fldCharType="separate"/>
        </w:r>
        <w:r w:rsidR="003F244F">
          <w:rPr>
            <w:noProof/>
          </w:rPr>
          <w:t>21</w:t>
        </w:r>
        <w:r>
          <w:rPr>
            <w:noProof/>
          </w:rPr>
          <w:fldChar w:fldCharType="end"/>
        </w:r>
      </w:p>
    </w:sdtContent>
  </w:sdt>
  <w:p w14:paraId="04D55F37" w14:textId="77777777" w:rsidR="00E3735C" w:rsidRDefault="00E3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B954" w14:textId="77777777" w:rsidR="00FD6FB5" w:rsidRDefault="00FD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56A0" w14:textId="77777777" w:rsidR="00900BD9" w:rsidRDefault="00900BD9" w:rsidP="00162154">
      <w:pPr>
        <w:spacing w:after="0" w:line="240" w:lineRule="auto"/>
      </w:pPr>
      <w:r>
        <w:separator/>
      </w:r>
    </w:p>
  </w:footnote>
  <w:footnote w:type="continuationSeparator" w:id="0">
    <w:p w14:paraId="12CE016D" w14:textId="77777777" w:rsidR="00900BD9" w:rsidRDefault="00900BD9" w:rsidP="00162154">
      <w:pPr>
        <w:spacing w:after="0" w:line="240" w:lineRule="auto"/>
      </w:pPr>
      <w:r>
        <w:continuationSeparator/>
      </w:r>
    </w:p>
  </w:footnote>
  <w:footnote w:id="1">
    <w:p w14:paraId="60C3DD72" w14:textId="133C8638" w:rsidR="00C96C44" w:rsidRDefault="00C96C44">
      <w:pPr>
        <w:pStyle w:val="FootnoteText"/>
      </w:pPr>
      <w:r>
        <w:rPr>
          <w:rStyle w:val="FootnoteReference"/>
        </w:rPr>
        <w:footnoteRef/>
      </w:r>
      <w:r>
        <w:t xml:space="preserve"> </w:t>
      </w:r>
      <w:r>
        <w:rPr>
          <w:rFonts w:ascii="Times New Roman" w:hAnsi="Times New Roman" w:cs="Times New Roman"/>
        </w:rPr>
        <w:t>T</w:t>
      </w:r>
      <w:r w:rsidR="00EA4C9D">
        <w:rPr>
          <w:rFonts w:ascii="Times New Roman" w:hAnsi="Times New Roman" w:cs="Times New Roman"/>
        </w:rPr>
        <w:t>homas</w:t>
      </w:r>
      <w:r w:rsidRPr="00463A90">
        <w:rPr>
          <w:rFonts w:ascii="Times New Roman" w:hAnsi="Times New Roman" w:cs="Times New Roman"/>
        </w:rPr>
        <w:t xml:space="preserve"> Crofts, M</w:t>
      </w:r>
      <w:r w:rsidR="00EA4C9D">
        <w:rPr>
          <w:rFonts w:ascii="Times New Roman" w:hAnsi="Times New Roman" w:cs="Times New Roman"/>
        </w:rPr>
        <w:t>urray</w:t>
      </w:r>
      <w:r w:rsidRPr="00463A90">
        <w:rPr>
          <w:rFonts w:ascii="Times New Roman" w:hAnsi="Times New Roman" w:cs="Times New Roman"/>
        </w:rPr>
        <w:t xml:space="preserve"> Le</w:t>
      </w:r>
      <w:r>
        <w:rPr>
          <w:rFonts w:ascii="Times New Roman" w:hAnsi="Times New Roman" w:cs="Times New Roman"/>
        </w:rPr>
        <w:t xml:space="preserve">e, </w:t>
      </w:r>
      <w:proofErr w:type="spellStart"/>
      <w:r>
        <w:rPr>
          <w:rFonts w:ascii="Times New Roman" w:hAnsi="Times New Roman" w:cs="Times New Roman"/>
        </w:rPr>
        <w:t>A</w:t>
      </w:r>
      <w:r w:rsidR="00EA4C9D">
        <w:rPr>
          <w:rFonts w:ascii="Times New Roman" w:hAnsi="Times New Roman" w:cs="Times New Roman"/>
        </w:rPr>
        <w:t>lyce</w:t>
      </w:r>
      <w:proofErr w:type="spellEnd"/>
      <w:r w:rsidR="00EA4C9D">
        <w:rPr>
          <w:rFonts w:ascii="Times New Roman" w:hAnsi="Times New Roman" w:cs="Times New Roman"/>
        </w:rPr>
        <w:t xml:space="preserve"> McGovern and</w:t>
      </w:r>
      <w:r>
        <w:rPr>
          <w:rFonts w:ascii="Times New Roman" w:hAnsi="Times New Roman" w:cs="Times New Roman"/>
        </w:rPr>
        <w:t xml:space="preserve"> </w:t>
      </w:r>
      <w:proofErr w:type="spellStart"/>
      <w:r>
        <w:rPr>
          <w:rFonts w:ascii="Times New Roman" w:hAnsi="Times New Roman" w:cs="Times New Roman"/>
        </w:rPr>
        <w:t>S</w:t>
      </w:r>
      <w:r w:rsidR="00EA4C9D">
        <w:rPr>
          <w:rFonts w:ascii="Times New Roman" w:hAnsi="Times New Roman" w:cs="Times New Roman"/>
        </w:rPr>
        <w:t>anja</w:t>
      </w:r>
      <w:proofErr w:type="spellEnd"/>
      <w:r>
        <w:rPr>
          <w:rFonts w:ascii="Times New Roman" w:hAnsi="Times New Roman" w:cs="Times New Roman"/>
        </w:rPr>
        <w:t xml:space="preserve"> </w:t>
      </w:r>
      <w:proofErr w:type="spellStart"/>
      <w:r>
        <w:rPr>
          <w:rFonts w:ascii="Times New Roman" w:hAnsi="Times New Roman" w:cs="Times New Roman"/>
        </w:rPr>
        <w:t>Milivojevic</w:t>
      </w:r>
      <w:proofErr w:type="spellEnd"/>
      <w:r w:rsidR="00EA4C9D">
        <w:rPr>
          <w:rFonts w:ascii="Times New Roman" w:hAnsi="Times New Roman" w:cs="Times New Roman"/>
        </w:rPr>
        <w:t>,</w:t>
      </w:r>
      <w:r w:rsidRPr="00463A90">
        <w:rPr>
          <w:rFonts w:ascii="Times New Roman" w:hAnsi="Times New Roman" w:cs="Times New Roman"/>
        </w:rPr>
        <w:t xml:space="preserve"> </w:t>
      </w:r>
      <w:r w:rsidRPr="00463A90">
        <w:rPr>
          <w:rFonts w:ascii="Times New Roman" w:hAnsi="Times New Roman" w:cs="Times New Roman"/>
          <w:i/>
        </w:rPr>
        <w:t>Sexting and young people</w:t>
      </w:r>
      <w:r w:rsidRPr="00463A90">
        <w:rPr>
          <w:rFonts w:ascii="Times New Roman" w:hAnsi="Times New Roman" w:cs="Times New Roman"/>
        </w:rPr>
        <w:t xml:space="preserve"> (</w:t>
      </w:r>
      <w:r w:rsidR="00EA4C9D">
        <w:rPr>
          <w:rFonts w:ascii="Times New Roman" w:hAnsi="Times New Roman" w:cs="Times New Roman"/>
        </w:rPr>
        <w:t>Palgrave 2015)</w:t>
      </w:r>
      <w:r>
        <w:rPr>
          <w:rFonts w:ascii="Times New Roman" w:hAnsi="Times New Roman" w:cs="Times New Roman"/>
        </w:rPr>
        <w:t xml:space="preserve"> </w:t>
      </w:r>
      <w:r w:rsidRPr="00463A90">
        <w:rPr>
          <w:rFonts w:ascii="Times New Roman" w:hAnsi="Times New Roman" w:cs="Times New Roman"/>
        </w:rPr>
        <w:t>4</w:t>
      </w:r>
    </w:p>
  </w:footnote>
  <w:footnote w:id="2">
    <w:p w14:paraId="5E0CD98B" w14:textId="7B280353" w:rsidR="00C96C44" w:rsidRDefault="00C96C44" w:rsidP="00C96C44">
      <w:pPr>
        <w:pStyle w:val="FootnoteText"/>
      </w:pPr>
      <w:r>
        <w:rPr>
          <w:rStyle w:val="FootnoteReference"/>
        </w:rPr>
        <w:footnoteRef/>
      </w:r>
      <w:r>
        <w:t xml:space="preserve"> </w:t>
      </w:r>
      <w:r w:rsidRPr="00463A90">
        <w:rPr>
          <w:rFonts w:ascii="Times New Roman" w:hAnsi="Times New Roman" w:cs="Times New Roman"/>
        </w:rPr>
        <w:t>J</w:t>
      </w:r>
      <w:r w:rsidR="00EA4C9D">
        <w:rPr>
          <w:rFonts w:ascii="Times New Roman" w:hAnsi="Times New Roman" w:cs="Times New Roman"/>
        </w:rPr>
        <w:t>essica</w:t>
      </w:r>
      <w:r w:rsidRPr="00463A90">
        <w:rPr>
          <w:rFonts w:ascii="Times New Roman" w:hAnsi="Times New Roman" w:cs="Times New Roman"/>
        </w:rPr>
        <w:t xml:space="preserve"> Ringrose, R</w:t>
      </w:r>
      <w:r w:rsidR="00EA4C9D">
        <w:rPr>
          <w:rFonts w:ascii="Times New Roman" w:hAnsi="Times New Roman" w:cs="Times New Roman"/>
        </w:rPr>
        <w:t>osalind</w:t>
      </w:r>
      <w:r w:rsidRPr="00463A90">
        <w:rPr>
          <w:rFonts w:ascii="Times New Roman" w:hAnsi="Times New Roman" w:cs="Times New Roman"/>
        </w:rPr>
        <w:t xml:space="preserve"> Gill, S</w:t>
      </w:r>
      <w:r w:rsidR="00EA4C9D">
        <w:rPr>
          <w:rFonts w:ascii="Times New Roman" w:hAnsi="Times New Roman" w:cs="Times New Roman"/>
        </w:rPr>
        <w:t>onia</w:t>
      </w:r>
      <w:r w:rsidRPr="00463A90">
        <w:rPr>
          <w:rFonts w:ascii="Times New Roman" w:hAnsi="Times New Roman" w:cs="Times New Roman"/>
        </w:rPr>
        <w:t xml:space="preserve"> </w:t>
      </w:r>
      <w:r w:rsidR="00EA4C9D">
        <w:rPr>
          <w:rFonts w:ascii="Times New Roman" w:hAnsi="Times New Roman" w:cs="Times New Roman"/>
        </w:rPr>
        <w:t>Livingstone and</w:t>
      </w:r>
      <w:r w:rsidRPr="00463A90">
        <w:rPr>
          <w:rFonts w:ascii="Times New Roman" w:hAnsi="Times New Roman" w:cs="Times New Roman"/>
        </w:rPr>
        <w:t xml:space="preserve"> L</w:t>
      </w:r>
      <w:r w:rsidR="00EA4C9D">
        <w:rPr>
          <w:rFonts w:ascii="Times New Roman" w:hAnsi="Times New Roman" w:cs="Times New Roman"/>
        </w:rPr>
        <w:t>aura</w:t>
      </w:r>
      <w:r>
        <w:rPr>
          <w:rFonts w:ascii="Times New Roman" w:hAnsi="Times New Roman" w:cs="Times New Roman"/>
        </w:rPr>
        <w:t xml:space="preserve"> Harvey</w:t>
      </w:r>
      <w:r w:rsidR="00EA4C9D">
        <w:rPr>
          <w:rFonts w:ascii="Times New Roman" w:hAnsi="Times New Roman" w:cs="Times New Roman"/>
        </w:rPr>
        <w:t>,</w:t>
      </w:r>
      <w:r w:rsidRPr="00463A90">
        <w:rPr>
          <w:rFonts w:ascii="Times New Roman" w:hAnsi="Times New Roman" w:cs="Times New Roman"/>
        </w:rPr>
        <w:t xml:space="preserve"> </w:t>
      </w:r>
      <w:r w:rsidRPr="00463A90">
        <w:rPr>
          <w:rFonts w:ascii="Times New Roman" w:hAnsi="Times New Roman" w:cs="Times New Roman"/>
          <w:i/>
        </w:rPr>
        <w:t xml:space="preserve">A qualitative study of children, young people and ‘sexting’ </w:t>
      </w:r>
      <w:r w:rsidR="00EA4C9D">
        <w:rPr>
          <w:rFonts w:ascii="Times New Roman" w:hAnsi="Times New Roman" w:cs="Times New Roman"/>
        </w:rPr>
        <w:t xml:space="preserve">NSPCC 2012) </w:t>
      </w:r>
      <w:r w:rsidRPr="00463A90">
        <w:rPr>
          <w:rFonts w:ascii="Times New Roman" w:hAnsi="Times New Roman" w:cs="Times New Roman"/>
        </w:rPr>
        <w:t>9.</w:t>
      </w:r>
    </w:p>
  </w:footnote>
  <w:footnote w:id="3">
    <w:p w14:paraId="48B40770" w14:textId="7642A27D" w:rsidR="00C96C44" w:rsidRDefault="00C96C44">
      <w:pPr>
        <w:pStyle w:val="FootnoteText"/>
      </w:pPr>
      <w:r>
        <w:rPr>
          <w:rStyle w:val="FootnoteReference"/>
        </w:rPr>
        <w:footnoteRef/>
      </w:r>
      <w:r>
        <w:t xml:space="preserve"> </w:t>
      </w:r>
      <w:r w:rsidRPr="00E30F98">
        <w:rPr>
          <w:rFonts w:ascii="Times New Roman" w:hAnsi="Times New Roman" w:cs="Times New Roman"/>
        </w:rPr>
        <w:t>E</w:t>
      </w:r>
      <w:r w:rsidR="000B7BBC">
        <w:rPr>
          <w:rFonts w:ascii="Times New Roman" w:hAnsi="Times New Roman" w:cs="Times New Roman"/>
        </w:rPr>
        <w:t>lena</w:t>
      </w:r>
      <w:r w:rsidRPr="00E30F98">
        <w:rPr>
          <w:rFonts w:ascii="Times New Roman" w:hAnsi="Times New Roman" w:cs="Times New Roman"/>
        </w:rPr>
        <w:t xml:space="preserve"> </w:t>
      </w:r>
      <w:proofErr w:type="spellStart"/>
      <w:r w:rsidRPr="00E30F98">
        <w:rPr>
          <w:rFonts w:ascii="Times New Roman" w:hAnsi="Times New Roman" w:cs="Times New Roman"/>
        </w:rPr>
        <w:t>Martellozzo</w:t>
      </w:r>
      <w:proofErr w:type="spellEnd"/>
      <w:r w:rsidRPr="00E30F98">
        <w:rPr>
          <w:rFonts w:ascii="Times New Roman" w:hAnsi="Times New Roman" w:cs="Times New Roman"/>
        </w:rPr>
        <w:t>, A</w:t>
      </w:r>
      <w:r w:rsidR="000B7BBC">
        <w:rPr>
          <w:rFonts w:ascii="Times New Roman" w:hAnsi="Times New Roman" w:cs="Times New Roman"/>
        </w:rPr>
        <w:t>ndy</w:t>
      </w:r>
      <w:r w:rsidRPr="00E30F98">
        <w:rPr>
          <w:rFonts w:ascii="Times New Roman" w:hAnsi="Times New Roman" w:cs="Times New Roman"/>
        </w:rPr>
        <w:t xml:space="preserve"> Monaghan, J</w:t>
      </w:r>
      <w:r w:rsidR="000B7BBC">
        <w:rPr>
          <w:rFonts w:ascii="Times New Roman" w:hAnsi="Times New Roman" w:cs="Times New Roman"/>
        </w:rPr>
        <w:t xml:space="preserve">oanna </w:t>
      </w:r>
      <w:r w:rsidRPr="00E30F98">
        <w:rPr>
          <w:rFonts w:ascii="Times New Roman" w:hAnsi="Times New Roman" w:cs="Times New Roman"/>
        </w:rPr>
        <w:t>R Adler, J</w:t>
      </w:r>
      <w:r w:rsidR="000B7BBC">
        <w:rPr>
          <w:rFonts w:ascii="Times New Roman" w:hAnsi="Times New Roman" w:cs="Times New Roman"/>
        </w:rPr>
        <w:t>ulia</w:t>
      </w:r>
      <w:r w:rsidRPr="00E30F98">
        <w:rPr>
          <w:rFonts w:ascii="Times New Roman" w:hAnsi="Times New Roman" w:cs="Times New Roman"/>
        </w:rPr>
        <w:t xml:space="preserve"> Davidson, R</w:t>
      </w:r>
      <w:r w:rsidR="000B7BBC">
        <w:rPr>
          <w:rFonts w:ascii="Times New Roman" w:hAnsi="Times New Roman" w:cs="Times New Roman"/>
        </w:rPr>
        <w:t>odolfo</w:t>
      </w:r>
      <w:r w:rsidRPr="00E30F98">
        <w:rPr>
          <w:rFonts w:ascii="Times New Roman" w:hAnsi="Times New Roman" w:cs="Times New Roman"/>
        </w:rPr>
        <w:t xml:space="preserve"> Leyva</w:t>
      </w:r>
      <w:r w:rsidR="000B7BBC">
        <w:rPr>
          <w:rFonts w:ascii="Times New Roman" w:hAnsi="Times New Roman" w:cs="Times New Roman"/>
        </w:rPr>
        <w:t xml:space="preserve"> and</w:t>
      </w:r>
      <w:r w:rsidRPr="00E30F98">
        <w:rPr>
          <w:rFonts w:ascii="Times New Roman" w:hAnsi="Times New Roman" w:cs="Times New Roman"/>
        </w:rPr>
        <w:t xml:space="preserve"> M</w:t>
      </w:r>
      <w:r w:rsidR="000B7BBC">
        <w:rPr>
          <w:rFonts w:ascii="Times New Roman" w:hAnsi="Times New Roman" w:cs="Times New Roman"/>
        </w:rPr>
        <w:t xml:space="preserve">iranda </w:t>
      </w:r>
      <w:r w:rsidRPr="00E30F98">
        <w:rPr>
          <w:rFonts w:ascii="Times New Roman" w:hAnsi="Times New Roman" w:cs="Times New Roman"/>
        </w:rPr>
        <w:t xml:space="preserve">AH </w:t>
      </w:r>
      <w:r w:rsidRPr="00463A90">
        <w:rPr>
          <w:rFonts w:ascii="Times New Roman" w:hAnsi="Times New Roman" w:cs="Times New Roman"/>
        </w:rPr>
        <w:t xml:space="preserve">Horvath, </w:t>
      </w:r>
      <w:r w:rsidRPr="00463A90">
        <w:rPr>
          <w:rFonts w:ascii="Times New Roman" w:hAnsi="Times New Roman" w:cs="Times New Roman"/>
          <w:i/>
        </w:rPr>
        <w:t>‘I wasn’t sure it was normal to watch it’ The impact of online pornography on the values, attitudes, beliefs and behaviours of children</w:t>
      </w:r>
      <w:r>
        <w:rPr>
          <w:rFonts w:ascii="Times New Roman" w:hAnsi="Times New Roman" w:cs="Times New Roman"/>
        </w:rPr>
        <w:t xml:space="preserve"> (</w:t>
      </w:r>
      <w:r w:rsidR="000B7BBC">
        <w:rPr>
          <w:rFonts w:ascii="Times New Roman" w:hAnsi="Times New Roman" w:cs="Times New Roman"/>
        </w:rPr>
        <w:t>NSPCC</w:t>
      </w:r>
      <w:r>
        <w:rPr>
          <w:rFonts w:ascii="Times New Roman" w:hAnsi="Times New Roman" w:cs="Times New Roman"/>
        </w:rPr>
        <w:t xml:space="preserve"> </w:t>
      </w:r>
      <w:r w:rsidRPr="00463A90">
        <w:rPr>
          <w:rFonts w:ascii="Times New Roman" w:hAnsi="Times New Roman" w:cs="Times New Roman"/>
        </w:rPr>
        <w:t>2016).</w:t>
      </w:r>
    </w:p>
  </w:footnote>
  <w:footnote w:id="4">
    <w:p w14:paraId="2874E36C" w14:textId="742C0C1C" w:rsidR="00C96C44" w:rsidRDefault="00C96C44">
      <w:pPr>
        <w:pStyle w:val="FootnoteText"/>
      </w:pPr>
      <w:r>
        <w:rPr>
          <w:rStyle w:val="FootnoteReference"/>
        </w:rPr>
        <w:footnoteRef/>
      </w:r>
      <w:r>
        <w:t xml:space="preserve"> </w:t>
      </w:r>
      <w:r>
        <w:rPr>
          <w:rFonts w:ascii="Times New Roman" w:hAnsi="Times New Roman" w:cs="Times New Roman"/>
        </w:rPr>
        <w:t>J</w:t>
      </w:r>
      <w:r w:rsidR="000B7BBC">
        <w:rPr>
          <w:rFonts w:ascii="Times New Roman" w:hAnsi="Times New Roman" w:cs="Times New Roman"/>
        </w:rPr>
        <w:t xml:space="preserve">ohn </w:t>
      </w:r>
      <w:r w:rsidRPr="00463A90">
        <w:rPr>
          <w:rFonts w:ascii="Times New Roman" w:hAnsi="Times New Roman" w:cs="Times New Roman"/>
        </w:rPr>
        <w:t xml:space="preserve">W </w:t>
      </w:r>
      <w:proofErr w:type="spellStart"/>
      <w:r w:rsidRPr="00463A90">
        <w:rPr>
          <w:rFonts w:ascii="Times New Roman" w:hAnsi="Times New Roman" w:cs="Times New Roman"/>
        </w:rPr>
        <w:t>Bowlin</w:t>
      </w:r>
      <w:proofErr w:type="spellEnd"/>
      <w:r w:rsidRPr="00463A90">
        <w:rPr>
          <w:rFonts w:ascii="Times New Roman" w:hAnsi="Times New Roman" w:cs="Times New Roman"/>
        </w:rPr>
        <w:t xml:space="preserve">, </w:t>
      </w:r>
      <w:proofErr w:type="spellStart"/>
      <w:r w:rsidRPr="00463A90">
        <w:rPr>
          <w:rFonts w:ascii="Times New Roman" w:hAnsi="Times New Roman" w:cs="Times New Roman"/>
          <w:i/>
          <w:iCs/>
        </w:rPr>
        <w:t>kNOw</w:t>
      </w:r>
      <w:proofErr w:type="spellEnd"/>
      <w:r w:rsidRPr="00463A90">
        <w:rPr>
          <w:rFonts w:ascii="Times New Roman" w:hAnsi="Times New Roman" w:cs="Times New Roman"/>
          <w:i/>
          <w:iCs/>
        </w:rPr>
        <w:t xml:space="preserve"> Sextortion: The Facts of Digital Blackmail and What You Can Do to Protect Yourself </w:t>
      </w:r>
      <w:r w:rsidRPr="00463A90">
        <w:rPr>
          <w:rFonts w:ascii="Times New Roman" w:hAnsi="Times New Roman" w:cs="Times New Roman"/>
          <w:iCs/>
        </w:rPr>
        <w:t>(</w:t>
      </w:r>
      <w:proofErr w:type="spellStart"/>
      <w:r>
        <w:rPr>
          <w:rFonts w:ascii="Times New Roman" w:hAnsi="Times New Roman" w:cs="Times New Roman"/>
        </w:rPr>
        <w:t>Createspace</w:t>
      </w:r>
      <w:proofErr w:type="spellEnd"/>
      <w:r w:rsidRPr="00463A90">
        <w:rPr>
          <w:rFonts w:ascii="Times New Roman" w:hAnsi="Times New Roman" w:cs="Times New Roman"/>
        </w:rPr>
        <w:t xml:space="preserve"> 2013</w:t>
      </w:r>
      <w:r>
        <w:rPr>
          <w:rFonts w:ascii="Times New Roman" w:hAnsi="Times New Roman" w:cs="Times New Roman"/>
        </w:rPr>
        <w:t>)</w:t>
      </w:r>
      <w:r w:rsidRPr="00463A90">
        <w:rPr>
          <w:rFonts w:ascii="Times New Roman" w:hAnsi="Times New Roman" w:cs="Times New Roman"/>
        </w:rPr>
        <w:t>.</w:t>
      </w:r>
    </w:p>
  </w:footnote>
  <w:footnote w:id="5">
    <w:p w14:paraId="4EC7BF11" w14:textId="23C554EF" w:rsidR="00C96C44" w:rsidRPr="000B7BBC" w:rsidRDefault="00C96C44">
      <w:pPr>
        <w:pStyle w:val="FootnoteText"/>
        <w:rPr>
          <w:rFonts w:ascii="Times New Roman" w:hAnsi="Times New Roman" w:cs="Times New Roman"/>
          <w:iCs/>
        </w:rPr>
      </w:pPr>
      <w:r>
        <w:rPr>
          <w:rStyle w:val="FootnoteReference"/>
        </w:rPr>
        <w:footnoteRef/>
      </w:r>
      <w:r>
        <w:t xml:space="preserve"> </w:t>
      </w:r>
      <w:r w:rsidRPr="00463A90">
        <w:rPr>
          <w:rFonts w:ascii="Times New Roman" w:hAnsi="Times New Roman" w:cs="Times New Roman"/>
        </w:rPr>
        <w:t>N</w:t>
      </w:r>
      <w:r w:rsidR="000B7BBC">
        <w:rPr>
          <w:rFonts w:ascii="Times New Roman" w:hAnsi="Times New Roman" w:cs="Times New Roman"/>
        </w:rPr>
        <w:t>icky</w:t>
      </w:r>
      <w:r w:rsidRPr="00463A90">
        <w:rPr>
          <w:rFonts w:ascii="Times New Roman" w:hAnsi="Times New Roman" w:cs="Times New Roman"/>
        </w:rPr>
        <w:t xml:space="preserve"> Stanley, C</w:t>
      </w:r>
      <w:r w:rsidR="000B7BBC">
        <w:rPr>
          <w:rFonts w:ascii="Times New Roman" w:hAnsi="Times New Roman" w:cs="Times New Roman"/>
        </w:rPr>
        <w:t>hristine</w:t>
      </w:r>
      <w:r w:rsidRPr="00463A90">
        <w:rPr>
          <w:rFonts w:ascii="Times New Roman" w:hAnsi="Times New Roman" w:cs="Times New Roman"/>
        </w:rPr>
        <w:t xml:space="preserve"> Barter, M</w:t>
      </w:r>
      <w:r w:rsidR="000B7BBC">
        <w:rPr>
          <w:rFonts w:ascii="Times New Roman" w:hAnsi="Times New Roman" w:cs="Times New Roman"/>
        </w:rPr>
        <w:t>arsha</w:t>
      </w:r>
      <w:r w:rsidRPr="00463A90">
        <w:rPr>
          <w:rFonts w:ascii="Times New Roman" w:hAnsi="Times New Roman" w:cs="Times New Roman"/>
        </w:rPr>
        <w:t xml:space="preserve"> Wood, N</w:t>
      </w:r>
      <w:r w:rsidR="000B7BBC">
        <w:rPr>
          <w:rFonts w:ascii="Times New Roman" w:hAnsi="Times New Roman" w:cs="Times New Roman"/>
        </w:rPr>
        <w:t>adia</w:t>
      </w:r>
      <w:r w:rsidRPr="00463A90">
        <w:rPr>
          <w:rFonts w:ascii="Times New Roman" w:hAnsi="Times New Roman" w:cs="Times New Roman"/>
        </w:rPr>
        <w:t xml:space="preserve"> </w:t>
      </w:r>
      <w:proofErr w:type="spellStart"/>
      <w:r>
        <w:rPr>
          <w:rFonts w:ascii="Times New Roman" w:hAnsi="Times New Roman" w:cs="Times New Roman"/>
        </w:rPr>
        <w:t>Aghtaie</w:t>
      </w:r>
      <w:proofErr w:type="spellEnd"/>
      <w:r>
        <w:rPr>
          <w:rFonts w:ascii="Times New Roman" w:hAnsi="Times New Roman" w:cs="Times New Roman"/>
        </w:rPr>
        <w:t>, C</w:t>
      </w:r>
      <w:r w:rsidR="000B7BBC">
        <w:rPr>
          <w:rFonts w:ascii="Times New Roman" w:hAnsi="Times New Roman" w:cs="Times New Roman"/>
        </w:rPr>
        <w:t>ath</w:t>
      </w:r>
      <w:r>
        <w:rPr>
          <w:rFonts w:ascii="Times New Roman" w:hAnsi="Times New Roman" w:cs="Times New Roman"/>
        </w:rPr>
        <w:t xml:space="preserve"> Larkins, A</w:t>
      </w:r>
      <w:r w:rsidR="000B7BBC">
        <w:rPr>
          <w:rFonts w:ascii="Times New Roman" w:hAnsi="Times New Roman" w:cs="Times New Roman"/>
        </w:rPr>
        <w:t>lba</w:t>
      </w:r>
      <w:r>
        <w:rPr>
          <w:rFonts w:ascii="Times New Roman" w:hAnsi="Times New Roman" w:cs="Times New Roman"/>
        </w:rPr>
        <w:t xml:space="preserve"> </w:t>
      </w:r>
      <w:proofErr w:type="spellStart"/>
      <w:r>
        <w:rPr>
          <w:rFonts w:ascii="Times New Roman" w:hAnsi="Times New Roman" w:cs="Times New Roman"/>
        </w:rPr>
        <w:t>Lanau</w:t>
      </w:r>
      <w:proofErr w:type="spellEnd"/>
      <w:r w:rsidR="000B7BBC">
        <w:rPr>
          <w:rFonts w:ascii="Times New Roman" w:hAnsi="Times New Roman" w:cs="Times New Roman"/>
        </w:rPr>
        <w:t xml:space="preserve"> and</w:t>
      </w:r>
      <w:r w:rsidRPr="00463A90">
        <w:rPr>
          <w:rFonts w:ascii="Times New Roman" w:hAnsi="Times New Roman" w:cs="Times New Roman"/>
        </w:rPr>
        <w:t xml:space="preserve"> C</w:t>
      </w:r>
      <w:r w:rsidR="000B7BBC">
        <w:rPr>
          <w:rFonts w:ascii="Times New Roman" w:hAnsi="Times New Roman" w:cs="Times New Roman"/>
        </w:rPr>
        <w:t>arolina</w:t>
      </w:r>
      <w:r w:rsidRPr="00463A90">
        <w:rPr>
          <w:rFonts w:ascii="Times New Roman" w:hAnsi="Times New Roman" w:cs="Times New Roman"/>
        </w:rPr>
        <w:t xml:space="preserve"> </w:t>
      </w:r>
      <w:proofErr w:type="spellStart"/>
      <w:r w:rsidRPr="00463A90">
        <w:rPr>
          <w:rFonts w:ascii="Times New Roman" w:hAnsi="Times New Roman" w:cs="Times New Roman"/>
        </w:rPr>
        <w:t>Ӧverlien</w:t>
      </w:r>
      <w:proofErr w:type="spellEnd"/>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Pornography, Sexual Coercion and Abuse and Sexting in Young People’s Intimate Relationships: A European Study</w:t>
      </w:r>
      <w:r>
        <w:rPr>
          <w:rFonts w:ascii="Times New Roman" w:hAnsi="Times New Roman" w:cs="Times New Roman"/>
        </w:rPr>
        <w:t>’</w:t>
      </w:r>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2016</w:t>
      </w:r>
      <w:r>
        <w:rPr>
          <w:rFonts w:ascii="Times New Roman" w:hAnsi="Times New Roman" w:cs="Times New Roman"/>
        </w:rPr>
        <w:t>)</w:t>
      </w:r>
      <w:r w:rsidRPr="00463A90">
        <w:rPr>
          <w:rFonts w:ascii="Times New Roman" w:hAnsi="Times New Roman" w:cs="Times New Roman"/>
        </w:rPr>
        <w:t xml:space="preserve"> </w:t>
      </w:r>
      <w:r w:rsidR="000B7BBC">
        <w:rPr>
          <w:rFonts w:ascii="Times New Roman" w:hAnsi="Times New Roman" w:cs="Times New Roman"/>
        </w:rPr>
        <w:t>33</w:t>
      </w:r>
      <w:r w:rsidR="000628C8">
        <w:rPr>
          <w:rFonts w:ascii="Times New Roman" w:hAnsi="Times New Roman" w:cs="Times New Roman"/>
        </w:rPr>
        <w:t>(19)</w:t>
      </w:r>
      <w:r w:rsidR="000B7BBC">
        <w:rPr>
          <w:rFonts w:ascii="Times New Roman" w:hAnsi="Times New Roman" w:cs="Times New Roman"/>
        </w:rPr>
        <w:t xml:space="preserve"> </w:t>
      </w:r>
      <w:r w:rsidRPr="000B7BBC">
        <w:rPr>
          <w:rFonts w:ascii="Times New Roman" w:hAnsi="Times New Roman" w:cs="Times New Roman"/>
          <w:iCs/>
        </w:rPr>
        <w:t>Journal of Interpersonal Violence</w:t>
      </w:r>
      <w:r w:rsidRPr="00463A90">
        <w:rPr>
          <w:rFonts w:ascii="Times New Roman" w:hAnsi="Times New Roman" w:cs="Times New Roman"/>
          <w:i/>
          <w:iCs/>
        </w:rPr>
        <w:t xml:space="preserve"> </w:t>
      </w:r>
      <w:r w:rsidR="000B7BBC">
        <w:rPr>
          <w:rFonts w:ascii="Times New Roman" w:hAnsi="Times New Roman" w:cs="Times New Roman"/>
          <w:iCs/>
        </w:rPr>
        <w:t>2919.</w:t>
      </w:r>
    </w:p>
  </w:footnote>
  <w:footnote w:id="6">
    <w:p w14:paraId="77173F1D" w14:textId="4EFC99D0" w:rsidR="00C96C44" w:rsidRDefault="00C96C44">
      <w:pPr>
        <w:pStyle w:val="FootnoteText"/>
      </w:pPr>
      <w:r>
        <w:rPr>
          <w:rStyle w:val="FootnoteReference"/>
        </w:rPr>
        <w:footnoteRef/>
      </w:r>
      <w:r>
        <w:t xml:space="preserve"> </w:t>
      </w:r>
      <w:r w:rsidR="000628C8">
        <w:rPr>
          <w:rFonts w:ascii="Times New Roman" w:hAnsi="Times New Roman" w:cs="Times New Roman"/>
        </w:rPr>
        <w:t>i</w:t>
      </w:r>
      <w:r w:rsidR="00677603">
        <w:rPr>
          <w:rFonts w:ascii="Times New Roman" w:hAnsi="Times New Roman" w:cs="Times New Roman"/>
        </w:rPr>
        <w:t>bid</w:t>
      </w:r>
      <w:r w:rsidRPr="00C96C44">
        <w:rPr>
          <w:rFonts w:ascii="Times New Roman" w:hAnsi="Times New Roman" w:cs="Times New Roman"/>
        </w:rPr>
        <w:t xml:space="preserve"> 14.</w:t>
      </w:r>
    </w:p>
  </w:footnote>
  <w:footnote w:id="7">
    <w:p w14:paraId="0323EF66" w14:textId="0EEA45A8" w:rsidR="00C96C44" w:rsidRDefault="00C96C44">
      <w:pPr>
        <w:pStyle w:val="FootnoteText"/>
      </w:pPr>
      <w:r>
        <w:rPr>
          <w:rStyle w:val="FootnoteReference"/>
        </w:rPr>
        <w:footnoteRef/>
      </w:r>
      <w:r>
        <w:t xml:space="preserve"> </w:t>
      </w:r>
      <w:r w:rsidRPr="00E30F98">
        <w:rPr>
          <w:rFonts w:ascii="Times New Roman" w:hAnsi="Times New Roman" w:cs="Times New Roman"/>
        </w:rPr>
        <w:t>A</w:t>
      </w:r>
      <w:r w:rsidR="000628C8">
        <w:rPr>
          <w:rFonts w:ascii="Times New Roman" w:hAnsi="Times New Roman" w:cs="Times New Roman"/>
        </w:rPr>
        <w:t xml:space="preserve">bigail </w:t>
      </w:r>
      <w:r w:rsidRPr="00E30F98">
        <w:rPr>
          <w:rFonts w:ascii="Times New Roman" w:hAnsi="Times New Roman" w:cs="Times New Roman"/>
        </w:rPr>
        <w:t xml:space="preserve">M Judge ‘“Sexting” among US adolescents: Psychological and legal perspectives’ (2012) 20(2) </w:t>
      </w:r>
      <w:r w:rsidRPr="000628C8">
        <w:rPr>
          <w:rFonts w:ascii="Times New Roman" w:hAnsi="Times New Roman" w:cs="Times New Roman"/>
        </w:rPr>
        <w:t>Harvard Review of Psychiatry</w:t>
      </w:r>
      <w:r w:rsidRPr="00E30F98">
        <w:rPr>
          <w:rFonts w:ascii="Times New Roman" w:hAnsi="Times New Roman" w:cs="Times New Roman"/>
          <w:i/>
        </w:rPr>
        <w:t xml:space="preserve"> </w:t>
      </w:r>
      <w:r w:rsidR="000628C8">
        <w:rPr>
          <w:rFonts w:ascii="Times New Roman" w:hAnsi="Times New Roman" w:cs="Times New Roman"/>
        </w:rPr>
        <w:t>86</w:t>
      </w:r>
      <w:r w:rsidRPr="00E30F98">
        <w:rPr>
          <w:rFonts w:ascii="Times New Roman" w:hAnsi="Times New Roman" w:cs="Times New Roman"/>
        </w:rPr>
        <w:t>; E</w:t>
      </w:r>
      <w:r w:rsidR="002B1700">
        <w:rPr>
          <w:rFonts w:ascii="Times New Roman" w:hAnsi="Times New Roman" w:cs="Times New Roman"/>
        </w:rPr>
        <w:t xml:space="preserve">ric </w:t>
      </w:r>
      <w:r w:rsidRPr="00E30F98">
        <w:rPr>
          <w:rFonts w:ascii="Times New Roman" w:hAnsi="Times New Roman" w:cs="Times New Roman"/>
        </w:rPr>
        <w:t xml:space="preserve">G </w:t>
      </w:r>
      <w:proofErr w:type="spellStart"/>
      <w:r w:rsidRPr="00E30F98">
        <w:rPr>
          <w:rFonts w:ascii="Times New Roman" w:hAnsi="Times New Roman" w:cs="Times New Roman"/>
        </w:rPr>
        <w:t>Benotsch</w:t>
      </w:r>
      <w:proofErr w:type="spellEnd"/>
      <w:r w:rsidRPr="00E30F98">
        <w:rPr>
          <w:rFonts w:ascii="Times New Roman" w:hAnsi="Times New Roman" w:cs="Times New Roman"/>
        </w:rPr>
        <w:t>, D</w:t>
      </w:r>
      <w:r w:rsidR="002B1700">
        <w:rPr>
          <w:rFonts w:ascii="Times New Roman" w:hAnsi="Times New Roman" w:cs="Times New Roman"/>
        </w:rPr>
        <w:t xml:space="preserve">aniel </w:t>
      </w:r>
      <w:r w:rsidRPr="00E30F98">
        <w:rPr>
          <w:rFonts w:ascii="Times New Roman" w:hAnsi="Times New Roman" w:cs="Times New Roman"/>
        </w:rPr>
        <w:t>J Snipes, A</w:t>
      </w:r>
      <w:r w:rsidR="002B1700">
        <w:rPr>
          <w:rFonts w:ascii="Times New Roman" w:hAnsi="Times New Roman" w:cs="Times New Roman"/>
        </w:rPr>
        <w:t xml:space="preserve">aron </w:t>
      </w:r>
      <w:r w:rsidRPr="00E30F98">
        <w:rPr>
          <w:rFonts w:ascii="Times New Roman" w:hAnsi="Times New Roman" w:cs="Times New Roman"/>
        </w:rPr>
        <w:t>M Martin</w:t>
      </w:r>
      <w:r w:rsidR="002B1700">
        <w:rPr>
          <w:rFonts w:ascii="Times New Roman" w:hAnsi="Times New Roman" w:cs="Times New Roman"/>
        </w:rPr>
        <w:t xml:space="preserve"> and</w:t>
      </w:r>
      <w:r w:rsidRPr="00E30F98">
        <w:rPr>
          <w:rFonts w:ascii="Times New Roman" w:hAnsi="Times New Roman" w:cs="Times New Roman"/>
        </w:rPr>
        <w:t xml:space="preserve"> S</w:t>
      </w:r>
      <w:r w:rsidR="000628C8">
        <w:rPr>
          <w:rFonts w:ascii="Times New Roman" w:hAnsi="Times New Roman" w:cs="Times New Roman"/>
        </w:rPr>
        <w:t xml:space="preserve">heena </w:t>
      </w:r>
      <w:r w:rsidRPr="00E30F98">
        <w:rPr>
          <w:rFonts w:ascii="Times New Roman" w:hAnsi="Times New Roman" w:cs="Times New Roman"/>
        </w:rPr>
        <w:t xml:space="preserve">S </w:t>
      </w:r>
      <w:r w:rsidRPr="00EF5FFA">
        <w:rPr>
          <w:rFonts w:ascii="Times New Roman" w:hAnsi="Times New Roman" w:cs="Times New Roman"/>
        </w:rPr>
        <w:t>Bull</w:t>
      </w:r>
      <w:r w:rsidR="002B1700">
        <w:rPr>
          <w:rFonts w:ascii="Times New Roman" w:hAnsi="Times New Roman" w:cs="Times New Roman"/>
        </w:rPr>
        <w:t>,</w:t>
      </w:r>
      <w:r w:rsidRPr="00EF5FFA">
        <w:rPr>
          <w:rFonts w:ascii="Times New Roman" w:hAnsi="Times New Roman" w:cs="Times New Roman"/>
        </w:rPr>
        <w:t xml:space="preserve"> </w:t>
      </w:r>
      <w:r>
        <w:rPr>
          <w:rFonts w:ascii="Times New Roman" w:hAnsi="Times New Roman" w:cs="Times New Roman"/>
        </w:rPr>
        <w:t>‘</w:t>
      </w:r>
      <w:r w:rsidRPr="00EF5FFA">
        <w:rPr>
          <w:rFonts w:ascii="Times New Roman" w:hAnsi="Times New Roman" w:cs="Times New Roman"/>
        </w:rPr>
        <w:t xml:space="preserve">Sexting, substance use, and sexual risk </w:t>
      </w:r>
      <w:proofErr w:type="spellStart"/>
      <w:r w:rsidRPr="00EF5FFA">
        <w:rPr>
          <w:rFonts w:ascii="Times New Roman" w:hAnsi="Times New Roman" w:cs="Times New Roman"/>
        </w:rPr>
        <w:t>behavior</w:t>
      </w:r>
      <w:proofErr w:type="spellEnd"/>
      <w:r w:rsidRPr="00EF5FFA">
        <w:rPr>
          <w:rFonts w:ascii="Times New Roman" w:hAnsi="Times New Roman" w:cs="Times New Roman"/>
        </w:rPr>
        <w:t xml:space="preserve"> in young adults</w:t>
      </w:r>
      <w:r>
        <w:rPr>
          <w:rFonts w:ascii="Times New Roman" w:hAnsi="Times New Roman" w:cs="Times New Roman"/>
        </w:rPr>
        <w:t>’</w:t>
      </w:r>
      <w:r w:rsidRPr="00EF5FFA">
        <w:rPr>
          <w:rFonts w:ascii="Times New Roman" w:hAnsi="Times New Roman" w:cs="Times New Roman"/>
        </w:rPr>
        <w:t xml:space="preserve"> </w:t>
      </w:r>
      <w:r>
        <w:rPr>
          <w:rFonts w:ascii="Times New Roman" w:hAnsi="Times New Roman" w:cs="Times New Roman"/>
        </w:rPr>
        <w:t>(</w:t>
      </w:r>
      <w:r w:rsidRPr="00EF5FFA">
        <w:rPr>
          <w:rFonts w:ascii="Times New Roman" w:hAnsi="Times New Roman" w:cs="Times New Roman"/>
        </w:rPr>
        <w:t>2013</w:t>
      </w:r>
      <w:r>
        <w:rPr>
          <w:rFonts w:ascii="Times New Roman" w:hAnsi="Times New Roman" w:cs="Times New Roman"/>
        </w:rPr>
        <w:t>)</w:t>
      </w:r>
      <w:r w:rsidRPr="00EF5FFA">
        <w:rPr>
          <w:rFonts w:ascii="Times New Roman" w:hAnsi="Times New Roman" w:cs="Times New Roman"/>
        </w:rPr>
        <w:t xml:space="preserve"> 52(3)</w:t>
      </w:r>
      <w:r w:rsidRPr="00EF5FFA">
        <w:rPr>
          <w:rFonts w:ascii="Times New Roman" w:hAnsi="Times New Roman" w:cs="Times New Roman"/>
          <w:i/>
        </w:rPr>
        <w:t xml:space="preserve"> </w:t>
      </w:r>
      <w:r w:rsidRPr="002B1700">
        <w:rPr>
          <w:rFonts w:ascii="Times New Roman" w:hAnsi="Times New Roman" w:cs="Times New Roman"/>
        </w:rPr>
        <w:t>Journal of Adolescent Health</w:t>
      </w:r>
      <w:r w:rsidRPr="00E30F98">
        <w:rPr>
          <w:rFonts w:ascii="Times New Roman" w:hAnsi="Times New Roman" w:cs="Times New Roman"/>
        </w:rPr>
        <w:t xml:space="preserve"> 307; </w:t>
      </w:r>
      <w:proofErr w:type="spellStart"/>
      <w:r w:rsidRPr="00E30F98">
        <w:rPr>
          <w:rFonts w:ascii="Times New Roman" w:hAnsi="Times New Roman" w:cs="Times New Roman"/>
        </w:rPr>
        <w:t>P</w:t>
      </w:r>
      <w:r w:rsidR="002B1700">
        <w:rPr>
          <w:rFonts w:ascii="Times New Roman" w:hAnsi="Times New Roman" w:cs="Times New Roman"/>
        </w:rPr>
        <w:t>anagiota</w:t>
      </w:r>
      <w:proofErr w:type="spellEnd"/>
      <w:r w:rsidRPr="00E30F98">
        <w:rPr>
          <w:rFonts w:ascii="Times New Roman" w:hAnsi="Times New Roman" w:cs="Times New Roman"/>
        </w:rPr>
        <w:t xml:space="preserve"> </w:t>
      </w:r>
      <w:proofErr w:type="spellStart"/>
      <w:r w:rsidRPr="00E30F98">
        <w:rPr>
          <w:rFonts w:ascii="Times New Roman" w:hAnsi="Times New Roman" w:cs="Times New Roman"/>
        </w:rPr>
        <w:t>Korenis</w:t>
      </w:r>
      <w:proofErr w:type="spellEnd"/>
      <w:r w:rsidR="002B1700">
        <w:rPr>
          <w:rFonts w:ascii="Times New Roman" w:hAnsi="Times New Roman" w:cs="Times New Roman"/>
        </w:rPr>
        <w:t xml:space="preserve"> and</w:t>
      </w:r>
      <w:r w:rsidRPr="00E30F98">
        <w:rPr>
          <w:rFonts w:ascii="Times New Roman" w:hAnsi="Times New Roman" w:cs="Times New Roman"/>
        </w:rPr>
        <w:t xml:space="preserve"> S</w:t>
      </w:r>
      <w:r w:rsidR="002B1700">
        <w:rPr>
          <w:rFonts w:ascii="Times New Roman" w:hAnsi="Times New Roman" w:cs="Times New Roman"/>
        </w:rPr>
        <w:t xml:space="preserve">tephen </w:t>
      </w:r>
      <w:r w:rsidRPr="00E30F98">
        <w:rPr>
          <w:rFonts w:ascii="Times New Roman" w:hAnsi="Times New Roman" w:cs="Times New Roman"/>
        </w:rPr>
        <w:t xml:space="preserve">B Billick ‘Forensic implications: Adolescent sexting and cyberbullying’ (2014) 85(1) </w:t>
      </w:r>
      <w:r w:rsidRPr="002B1700">
        <w:rPr>
          <w:rFonts w:ascii="Times New Roman" w:hAnsi="Times New Roman" w:cs="Times New Roman"/>
        </w:rPr>
        <w:t>Psychiatric Quarterly</w:t>
      </w:r>
      <w:r w:rsidRPr="00E30F98">
        <w:rPr>
          <w:rFonts w:ascii="Times New Roman" w:hAnsi="Times New Roman" w:cs="Times New Roman"/>
          <w:i/>
        </w:rPr>
        <w:t xml:space="preserve"> </w:t>
      </w:r>
      <w:r w:rsidR="002B1700">
        <w:rPr>
          <w:rFonts w:ascii="Times New Roman" w:hAnsi="Times New Roman" w:cs="Times New Roman"/>
        </w:rPr>
        <w:t>97.</w:t>
      </w:r>
    </w:p>
  </w:footnote>
  <w:footnote w:id="8">
    <w:p w14:paraId="51688A95" w14:textId="585C528D" w:rsidR="00C96C44" w:rsidRDefault="00C96C44" w:rsidP="00C96C44">
      <w:pPr>
        <w:pStyle w:val="FootnoteText"/>
      </w:pPr>
      <w:r>
        <w:rPr>
          <w:rStyle w:val="FootnoteReference"/>
        </w:rPr>
        <w:footnoteRef/>
      </w:r>
      <w:r>
        <w:t xml:space="preserve"> </w:t>
      </w:r>
      <w:r w:rsidRPr="00463A90">
        <w:rPr>
          <w:rFonts w:ascii="Times New Roman" w:hAnsi="Times New Roman" w:cs="Times New Roman"/>
        </w:rPr>
        <w:t xml:space="preserve">The National Campaign to Prevent Teen and Unplanned Pregnancy, </w:t>
      </w:r>
      <w:r w:rsidRPr="00463A90">
        <w:rPr>
          <w:rFonts w:ascii="Times New Roman" w:hAnsi="Times New Roman" w:cs="Times New Roman"/>
          <w:i/>
        </w:rPr>
        <w:t>Sex and Tech, Results from a Survey of Teens and Young Adults</w:t>
      </w:r>
      <w:r w:rsidRPr="00463A90">
        <w:rPr>
          <w:rFonts w:ascii="Times New Roman" w:hAnsi="Times New Roman" w:cs="Times New Roman"/>
        </w:rPr>
        <w:t xml:space="preserve"> (</w:t>
      </w:r>
      <w:r w:rsidR="00195A98">
        <w:rPr>
          <w:rFonts w:ascii="Times New Roman" w:hAnsi="Times New Roman" w:cs="Times New Roman"/>
        </w:rPr>
        <w:t xml:space="preserve">NCPTUP </w:t>
      </w:r>
      <w:r w:rsidRPr="00463A90">
        <w:rPr>
          <w:rFonts w:ascii="Times New Roman" w:hAnsi="Times New Roman" w:cs="Times New Roman"/>
        </w:rPr>
        <w:t>2008).</w:t>
      </w:r>
    </w:p>
  </w:footnote>
  <w:footnote w:id="9">
    <w:p w14:paraId="392CFA29" w14:textId="63D2700A" w:rsidR="00C96C44" w:rsidRDefault="00C96C44">
      <w:pPr>
        <w:pStyle w:val="FootnoteText"/>
      </w:pPr>
      <w:r>
        <w:rPr>
          <w:rStyle w:val="FootnoteReference"/>
        </w:rPr>
        <w:footnoteRef/>
      </w:r>
      <w:r>
        <w:t xml:space="preserve"> </w:t>
      </w:r>
      <w:r w:rsidRPr="00A37B77">
        <w:rPr>
          <w:rFonts w:ascii="Times New Roman" w:hAnsi="Times New Roman" w:cs="Times New Roman"/>
        </w:rPr>
        <w:t>E</w:t>
      </w:r>
      <w:r w:rsidR="00195A98">
        <w:rPr>
          <w:rFonts w:ascii="Times New Roman" w:hAnsi="Times New Roman" w:cs="Times New Roman"/>
        </w:rPr>
        <w:t>ric</w:t>
      </w:r>
      <w:r w:rsidRPr="00463A90">
        <w:rPr>
          <w:rFonts w:ascii="Times New Roman" w:hAnsi="Times New Roman" w:cs="Times New Roman"/>
        </w:rPr>
        <w:t xml:space="preserve"> Rice, H</w:t>
      </w:r>
      <w:r w:rsidR="00195A98">
        <w:rPr>
          <w:rFonts w:ascii="Times New Roman" w:hAnsi="Times New Roman" w:cs="Times New Roman"/>
        </w:rPr>
        <w:t>armony</w:t>
      </w:r>
      <w:r w:rsidRPr="00463A90">
        <w:rPr>
          <w:rFonts w:ascii="Times New Roman" w:hAnsi="Times New Roman" w:cs="Times New Roman"/>
        </w:rPr>
        <w:t xml:space="preserve"> Rhoades, H</w:t>
      </w:r>
      <w:r w:rsidR="00195A98">
        <w:rPr>
          <w:rFonts w:ascii="Times New Roman" w:hAnsi="Times New Roman" w:cs="Times New Roman"/>
        </w:rPr>
        <w:t>ailey</w:t>
      </w:r>
      <w:r w:rsidRPr="00463A90">
        <w:rPr>
          <w:rFonts w:ascii="Times New Roman" w:hAnsi="Times New Roman" w:cs="Times New Roman"/>
        </w:rPr>
        <w:t xml:space="preserve"> </w:t>
      </w:r>
      <w:proofErr w:type="spellStart"/>
      <w:r w:rsidRPr="00463A90">
        <w:rPr>
          <w:rFonts w:ascii="Times New Roman" w:hAnsi="Times New Roman" w:cs="Times New Roman"/>
        </w:rPr>
        <w:t>Winetrobe</w:t>
      </w:r>
      <w:proofErr w:type="spellEnd"/>
      <w:r w:rsidRPr="00463A90">
        <w:rPr>
          <w:rFonts w:ascii="Times New Roman" w:hAnsi="Times New Roman" w:cs="Times New Roman"/>
        </w:rPr>
        <w:t>, M</w:t>
      </w:r>
      <w:r w:rsidR="00195A98">
        <w:rPr>
          <w:rFonts w:ascii="Times New Roman" w:hAnsi="Times New Roman" w:cs="Times New Roman"/>
        </w:rPr>
        <w:t>onica</w:t>
      </w:r>
      <w:r w:rsidRPr="00463A90">
        <w:rPr>
          <w:rFonts w:ascii="Times New Roman" w:hAnsi="Times New Roman" w:cs="Times New Roman"/>
        </w:rPr>
        <w:t xml:space="preserve"> Sanchez, J</w:t>
      </w:r>
      <w:r w:rsidR="00195A98">
        <w:rPr>
          <w:rFonts w:ascii="Times New Roman" w:hAnsi="Times New Roman" w:cs="Times New Roman"/>
        </w:rPr>
        <w:t>orge Montoya, Aaron</w:t>
      </w:r>
      <w:r w:rsidRPr="00463A90">
        <w:rPr>
          <w:rFonts w:ascii="Times New Roman" w:hAnsi="Times New Roman" w:cs="Times New Roman"/>
        </w:rPr>
        <w:t xml:space="preserve"> Plant</w:t>
      </w:r>
      <w:r w:rsidR="00195A98">
        <w:rPr>
          <w:rFonts w:ascii="Times New Roman" w:hAnsi="Times New Roman" w:cs="Times New Roman"/>
        </w:rPr>
        <w:t xml:space="preserve"> and Timothy </w:t>
      </w:r>
      <w:proofErr w:type="spellStart"/>
      <w:r w:rsidR="00195A98">
        <w:rPr>
          <w:rFonts w:ascii="Times New Roman" w:hAnsi="Times New Roman" w:cs="Times New Roman"/>
        </w:rPr>
        <w:t>Kordic</w:t>
      </w:r>
      <w:proofErr w:type="spellEnd"/>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Sexually explicit cell phone messaging associated with sexual risk among adolescents</w:t>
      </w:r>
      <w:r>
        <w:rPr>
          <w:rFonts w:ascii="Times New Roman" w:hAnsi="Times New Roman" w:cs="Times New Roman"/>
        </w:rPr>
        <w:t>’</w:t>
      </w:r>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2012</w:t>
      </w:r>
      <w:r>
        <w:rPr>
          <w:rFonts w:ascii="Times New Roman" w:hAnsi="Times New Roman" w:cs="Times New Roman"/>
        </w:rPr>
        <w:t>)</w:t>
      </w:r>
      <w:r w:rsidRPr="00463A90">
        <w:rPr>
          <w:rFonts w:ascii="Times New Roman" w:hAnsi="Times New Roman" w:cs="Times New Roman"/>
        </w:rPr>
        <w:t xml:space="preserve"> 130 </w:t>
      </w:r>
      <w:proofErr w:type="spellStart"/>
      <w:r w:rsidRPr="00BD71F6">
        <w:rPr>
          <w:rFonts w:ascii="Times New Roman" w:hAnsi="Times New Roman" w:cs="Times New Roman"/>
        </w:rPr>
        <w:t>Pediatrics</w:t>
      </w:r>
      <w:proofErr w:type="spellEnd"/>
      <w:r w:rsidRPr="00BD71F6">
        <w:rPr>
          <w:rFonts w:ascii="Times New Roman" w:hAnsi="Times New Roman" w:cs="Times New Roman"/>
        </w:rPr>
        <w:t xml:space="preserve"> </w:t>
      </w:r>
      <w:r w:rsidRPr="00463A90">
        <w:rPr>
          <w:rFonts w:ascii="Times New Roman" w:hAnsi="Times New Roman" w:cs="Times New Roman"/>
        </w:rPr>
        <w:t>667; J</w:t>
      </w:r>
      <w:r w:rsidR="00195A98">
        <w:rPr>
          <w:rFonts w:ascii="Times New Roman" w:hAnsi="Times New Roman" w:cs="Times New Roman"/>
        </w:rPr>
        <w:t xml:space="preserve">eff </w:t>
      </w:r>
      <w:r w:rsidRPr="00463A90">
        <w:rPr>
          <w:rFonts w:ascii="Times New Roman" w:hAnsi="Times New Roman" w:cs="Times New Roman"/>
        </w:rPr>
        <w:t xml:space="preserve">R Temple, </w:t>
      </w:r>
      <w:r>
        <w:rPr>
          <w:rFonts w:ascii="Times New Roman" w:hAnsi="Times New Roman" w:cs="Times New Roman"/>
        </w:rPr>
        <w:t>J</w:t>
      </w:r>
      <w:r w:rsidR="00195A98">
        <w:rPr>
          <w:rFonts w:ascii="Times New Roman" w:hAnsi="Times New Roman" w:cs="Times New Roman"/>
        </w:rPr>
        <w:t xml:space="preserve">onathan </w:t>
      </w:r>
      <w:r>
        <w:rPr>
          <w:rFonts w:ascii="Times New Roman" w:hAnsi="Times New Roman" w:cs="Times New Roman"/>
        </w:rPr>
        <w:t>A Paul, P</w:t>
      </w:r>
      <w:r w:rsidR="00195A98">
        <w:rPr>
          <w:rFonts w:ascii="Times New Roman" w:hAnsi="Times New Roman" w:cs="Times New Roman"/>
        </w:rPr>
        <w:t>atricia</w:t>
      </w:r>
      <w:r>
        <w:rPr>
          <w:rFonts w:ascii="Times New Roman" w:hAnsi="Times New Roman" w:cs="Times New Roman"/>
        </w:rPr>
        <w:t xml:space="preserve"> van den Berg, </w:t>
      </w:r>
      <w:r w:rsidR="00195A98">
        <w:rPr>
          <w:rFonts w:ascii="Times New Roman" w:hAnsi="Times New Roman" w:cs="Times New Roman"/>
        </w:rPr>
        <w:t xml:space="preserve">Vi Donna Le, </w:t>
      </w:r>
      <w:r>
        <w:rPr>
          <w:rFonts w:ascii="Times New Roman" w:hAnsi="Times New Roman" w:cs="Times New Roman"/>
        </w:rPr>
        <w:t>A</w:t>
      </w:r>
      <w:r w:rsidR="00195A98">
        <w:rPr>
          <w:rFonts w:ascii="Times New Roman" w:hAnsi="Times New Roman" w:cs="Times New Roman"/>
        </w:rPr>
        <w:t xml:space="preserve">my </w:t>
      </w:r>
      <w:proofErr w:type="spellStart"/>
      <w:r w:rsidR="00195A98">
        <w:rPr>
          <w:rFonts w:ascii="Times New Roman" w:hAnsi="Times New Roman" w:cs="Times New Roman"/>
        </w:rPr>
        <w:t>McElhany</w:t>
      </w:r>
      <w:proofErr w:type="spellEnd"/>
      <w:r w:rsidR="00195A98">
        <w:rPr>
          <w:rFonts w:ascii="Times New Roman" w:hAnsi="Times New Roman" w:cs="Times New Roman"/>
        </w:rPr>
        <w:t xml:space="preserve"> and </w:t>
      </w:r>
      <w:r w:rsidRPr="00463A90">
        <w:rPr>
          <w:rFonts w:ascii="Times New Roman" w:hAnsi="Times New Roman" w:cs="Times New Roman"/>
        </w:rPr>
        <w:t>B</w:t>
      </w:r>
      <w:r w:rsidR="00195A98">
        <w:rPr>
          <w:rFonts w:ascii="Times New Roman" w:hAnsi="Times New Roman" w:cs="Times New Roman"/>
        </w:rPr>
        <w:t xml:space="preserve">rian </w:t>
      </w:r>
      <w:r w:rsidRPr="00463A90">
        <w:rPr>
          <w:rFonts w:ascii="Times New Roman" w:hAnsi="Times New Roman" w:cs="Times New Roman"/>
        </w:rPr>
        <w:t xml:space="preserve">W Temple, </w:t>
      </w:r>
      <w:r>
        <w:rPr>
          <w:rFonts w:ascii="Times New Roman" w:hAnsi="Times New Roman" w:cs="Times New Roman"/>
        </w:rPr>
        <w:t>‘</w:t>
      </w:r>
      <w:r w:rsidRPr="00463A90">
        <w:rPr>
          <w:rFonts w:ascii="Times New Roman" w:hAnsi="Times New Roman" w:cs="Times New Roman"/>
        </w:rPr>
        <w:t xml:space="preserve">Teen sexting and its </w:t>
      </w:r>
      <w:r w:rsidRPr="00052A13">
        <w:rPr>
          <w:rFonts w:ascii="Times New Roman" w:hAnsi="Times New Roman" w:cs="Times New Roman"/>
        </w:rPr>
        <w:t xml:space="preserve">association with sexual </w:t>
      </w:r>
      <w:proofErr w:type="spellStart"/>
      <w:r w:rsidRPr="00463A90">
        <w:rPr>
          <w:rFonts w:ascii="Times New Roman" w:hAnsi="Times New Roman" w:cs="Times New Roman"/>
        </w:rPr>
        <w:t>behaviors</w:t>
      </w:r>
      <w:r>
        <w:rPr>
          <w:rFonts w:ascii="Times New Roman" w:hAnsi="Times New Roman" w:cs="Times New Roman"/>
        </w:rPr>
        <w:t>’</w:t>
      </w:r>
      <w:proofErr w:type="spellEnd"/>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2012</w:t>
      </w:r>
      <w:r>
        <w:rPr>
          <w:rFonts w:ascii="Times New Roman" w:hAnsi="Times New Roman" w:cs="Times New Roman"/>
        </w:rPr>
        <w:t>)</w:t>
      </w:r>
      <w:r w:rsidRPr="00463A90">
        <w:rPr>
          <w:rFonts w:ascii="Times New Roman" w:hAnsi="Times New Roman" w:cs="Times New Roman"/>
        </w:rPr>
        <w:t xml:space="preserve"> 166 </w:t>
      </w:r>
      <w:r w:rsidRPr="00BD71F6">
        <w:rPr>
          <w:rFonts w:ascii="Times New Roman" w:hAnsi="Times New Roman" w:cs="Times New Roman"/>
        </w:rPr>
        <w:t xml:space="preserve">Archives of </w:t>
      </w:r>
      <w:proofErr w:type="spellStart"/>
      <w:r w:rsidRPr="00BD71F6">
        <w:rPr>
          <w:rFonts w:ascii="Times New Roman" w:hAnsi="Times New Roman" w:cs="Times New Roman"/>
        </w:rPr>
        <w:t>Pediatrics</w:t>
      </w:r>
      <w:proofErr w:type="spellEnd"/>
      <w:r w:rsidRPr="00BD71F6">
        <w:rPr>
          <w:rFonts w:ascii="Times New Roman" w:hAnsi="Times New Roman" w:cs="Times New Roman"/>
        </w:rPr>
        <w:t xml:space="preserve"> &amp; Adolescent Medicine</w:t>
      </w:r>
      <w:r w:rsidRPr="00052A13">
        <w:rPr>
          <w:rFonts w:ascii="Times New Roman" w:hAnsi="Times New Roman" w:cs="Times New Roman"/>
        </w:rPr>
        <w:t xml:space="preserve"> 828.</w:t>
      </w:r>
    </w:p>
  </w:footnote>
  <w:footnote w:id="10">
    <w:p w14:paraId="09344908" w14:textId="56B3DBF5" w:rsidR="00C96C44" w:rsidRDefault="00C96C44">
      <w:pPr>
        <w:pStyle w:val="FootnoteText"/>
      </w:pPr>
      <w:r>
        <w:rPr>
          <w:rStyle w:val="FootnoteReference"/>
        </w:rPr>
        <w:footnoteRef/>
      </w:r>
      <w:r>
        <w:t xml:space="preserve"> </w:t>
      </w:r>
      <w:proofErr w:type="spellStart"/>
      <w:r w:rsidRPr="00463A90">
        <w:rPr>
          <w:rFonts w:ascii="Times New Roman" w:hAnsi="Times New Roman" w:cs="Times New Roman"/>
        </w:rPr>
        <w:t>E</w:t>
      </w:r>
      <w:r w:rsidR="00195A98">
        <w:rPr>
          <w:rFonts w:ascii="Times New Roman" w:hAnsi="Times New Roman" w:cs="Times New Roman"/>
        </w:rPr>
        <w:t>ilzabeth</w:t>
      </w:r>
      <w:proofErr w:type="spellEnd"/>
      <w:r w:rsidR="00195A98">
        <w:rPr>
          <w:rFonts w:ascii="Times New Roman" w:hAnsi="Times New Roman" w:cs="Times New Roman"/>
        </w:rPr>
        <w:t xml:space="preserve"> </w:t>
      </w:r>
      <w:r w:rsidRPr="00463A90">
        <w:rPr>
          <w:rFonts w:ascii="Times New Roman" w:hAnsi="Times New Roman" w:cs="Times New Roman"/>
        </w:rPr>
        <w:t xml:space="preserve">B </w:t>
      </w:r>
      <w:proofErr w:type="spellStart"/>
      <w:r w:rsidRPr="00463A90">
        <w:rPr>
          <w:rFonts w:ascii="Times New Roman" w:hAnsi="Times New Roman" w:cs="Times New Roman"/>
        </w:rPr>
        <w:t>Dowdell</w:t>
      </w:r>
      <w:proofErr w:type="spellEnd"/>
      <w:r w:rsidRPr="00463A90">
        <w:rPr>
          <w:rFonts w:ascii="Times New Roman" w:hAnsi="Times New Roman" w:cs="Times New Roman"/>
        </w:rPr>
        <w:t>, A</w:t>
      </w:r>
      <w:r w:rsidR="00195A98">
        <w:rPr>
          <w:rFonts w:ascii="Times New Roman" w:hAnsi="Times New Roman" w:cs="Times New Roman"/>
        </w:rPr>
        <w:t>nn W Burgess, and Robert J</w:t>
      </w:r>
      <w:r w:rsidRPr="00463A90">
        <w:rPr>
          <w:rFonts w:ascii="Times New Roman" w:hAnsi="Times New Roman" w:cs="Times New Roman"/>
        </w:rPr>
        <w:t xml:space="preserve"> Flores, </w:t>
      </w:r>
      <w:r>
        <w:rPr>
          <w:rFonts w:ascii="Times New Roman" w:hAnsi="Times New Roman" w:cs="Times New Roman"/>
        </w:rPr>
        <w:t>‘</w:t>
      </w:r>
      <w:r w:rsidRPr="00463A90">
        <w:rPr>
          <w:rFonts w:ascii="Times New Roman" w:hAnsi="Times New Roman" w:cs="Times New Roman"/>
        </w:rPr>
        <w:t>Online social networking patterns among adolescents young adults and sexual offenders</w:t>
      </w:r>
      <w:r>
        <w:rPr>
          <w:rFonts w:ascii="Times New Roman" w:hAnsi="Times New Roman" w:cs="Times New Roman"/>
        </w:rPr>
        <w:t>’</w:t>
      </w:r>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2011</w:t>
      </w:r>
      <w:r>
        <w:rPr>
          <w:rFonts w:ascii="Times New Roman" w:hAnsi="Times New Roman" w:cs="Times New Roman"/>
        </w:rPr>
        <w:t>)</w:t>
      </w:r>
      <w:r w:rsidRPr="00463A90">
        <w:rPr>
          <w:rFonts w:ascii="Times New Roman" w:hAnsi="Times New Roman" w:cs="Times New Roman"/>
        </w:rPr>
        <w:t xml:space="preserve"> 111 </w:t>
      </w:r>
      <w:r w:rsidRPr="00BD71F6">
        <w:rPr>
          <w:rFonts w:ascii="Times New Roman" w:hAnsi="Times New Roman" w:cs="Times New Roman"/>
        </w:rPr>
        <w:t>American Journal of Nursing</w:t>
      </w:r>
      <w:r w:rsidRPr="00463A90">
        <w:rPr>
          <w:rFonts w:ascii="Times New Roman" w:hAnsi="Times New Roman" w:cs="Times New Roman"/>
        </w:rPr>
        <w:t xml:space="preserve"> 28</w:t>
      </w:r>
      <w:r>
        <w:rPr>
          <w:rFonts w:ascii="Times New Roman" w:hAnsi="Times New Roman" w:cs="Times New Roman"/>
        </w:rPr>
        <w:t>.</w:t>
      </w:r>
    </w:p>
  </w:footnote>
  <w:footnote w:id="11">
    <w:p w14:paraId="77081DF5" w14:textId="34554F4F" w:rsidR="00C96C44" w:rsidRDefault="00C96C44">
      <w:pPr>
        <w:pStyle w:val="FootnoteText"/>
      </w:pPr>
      <w:r>
        <w:rPr>
          <w:rStyle w:val="FootnoteReference"/>
        </w:rPr>
        <w:footnoteRef/>
      </w:r>
      <w:r>
        <w:t xml:space="preserve"> </w:t>
      </w:r>
      <w:r w:rsidRPr="007659C1">
        <w:rPr>
          <w:rFonts w:ascii="Times New Roman" w:hAnsi="Times New Roman" w:cs="Times New Roman"/>
        </w:rPr>
        <w:t>A</w:t>
      </w:r>
      <w:r w:rsidR="00195A98">
        <w:rPr>
          <w:rFonts w:ascii="Times New Roman" w:hAnsi="Times New Roman" w:cs="Times New Roman"/>
        </w:rPr>
        <w:t>manda</w:t>
      </w:r>
      <w:r>
        <w:rPr>
          <w:rFonts w:ascii="Times New Roman" w:hAnsi="Times New Roman" w:cs="Times New Roman"/>
        </w:rPr>
        <w:t xml:space="preserve"> </w:t>
      </w:r>
      <w:proofErr w:type="spellStart"/>
      <w:r>
        <w:rPr>
          <w:rFonts w:ascii="Times New Roman" w:hAnsi="Times New Roman" w:cs="Times New Roman"/>
        </w:rPr>
        <w:t>Lenhart</w:t>
      </w:r>
      <w:proofErr w:type="spellEnd"/>
      <w:r>
        <w:rPr>
          <w:rFonts w:ascii="Times New Roman" w:hAnsi="Times New Roman" w:cs="Times New Roman"/>
        </w:rPr>
        <w:t xml:space="preserve"> </w:t>
      </w:r>
      <w:r w:rsidRPr="007659C1">
        <w:rPr>
          <w:rFonts w:ascii="Times New Roman" w:hAnsi="Times New Roman" w:cs="Times New Roman"/>
          <w:i/>
        </w:rPr>
        <w:t xml:space="preserve">Teens and Sexting </w:t>
      </w:r>
      <w:r w:rsidRPr="007659C1">
        <w:rPr>
          <w:rFonts w:ascii="Times New Roman" w:hAnsi="Times New Roman" w:cs="Times New Roman"/>
        </w:rPr>
        <w:t>(</w:t>
      </w:r>
      <w:r w:rsidR="00195A98">
        <w:rPr>
          <w:rFonts w:ascii="Times New Roman" w:hAnsi="Times New Roman" w:cs="Times New Roman"/>
        </w:rPr>
        <w:t>Pew Research Center</w:t>
      </w:r>
      <w:r w:rsidRPr="007659C1">
        <w:rPr>
          <w:rFonts w:ascii="Times New Roman" w:hAnsi="Times New Roman" w:cs="Times New Roman"/>
        </w:rPr>
        <w:t xml:space="preserve"> 2009)</w:t>
      </w:r>
    </w:p>
  </w:footnote>
  <w:footnote w:id="12">
    <w:p w14:paraId="0CBD401A" w14:textId="70C940C4" w:rsidR="00C96C44" w:rsidRDefault="00C96C44">
      <w:pPr>
        <w:pStyle w:val="FootnoteText"/>
      </w:pPr>
      <w:r>
        <w:rPr>
          <w:rStyle w:val="FootnoteReference"/>
        </w:rPr>
        <w:footnoteRef/>
      </w:r>
      <w:r>
        <w:t xml:space="preserve"> </w:t>
      </w:r>
      <w:r>
        <w:rPr>
          <w:rFonts w:ascii="Times New Roman" w:hAnsi="Times New Roman" w:cs="Times New Roman"/>
        </w:rPr>
        <w:t>K</w:t>
      </w:r>
      <w:r w:rsidR="00195A98">
        <w:rPr>
          <w:rFonts w:ascii="Times New Roman" w:hAnsi="Times New Roman" w:cs="Times New Roman"/>
        </w:rPr>
        <w:t>imberley J</w:t>
      </w:r>
      <w:r>
        <w:rPr>
          <w:rFonts w:ascii="Times New Roman" w:hAnsi="Times New Roman" w:cs="Times New Roman"/>
        </w:rPr>
        <w:t xml:space="preserve"> </w:t>
      </w:r>
      <w:r w:rsidR="00195A98">
        <w:rPr>
          <w:rStyle w:val="nlmstring-name"/>
          <w:rFonts w:ascii="Times New Roman" w:hAnsi="Times New Roman" w:cs="Times New Roman"/>
        </w:rPr>
        <w:t>Mitchel, David</w:t>
      </w:r>
      <w:r>
        <w:rPr>
          <w:rFonts w:ascii="Times New Roman" w:hAnsi="Times New Roman" w:cs="Times New Roman"/>
        </w:rPr>
        <w:t xml:space="preserve"> </w:t>
      </w:r>
      <w:proofErr w:type="spellStart"/>
      <w:r>
        <w:rPr>
          <w:rStyle w:val="nlmstring-name"/>
          <w:rFonts w:ascii="Times New Roman" w:hAnsi="Times New Roman" w:cs="Times New Roman"/>
        </w:rPr>
        <w:t>Finkelhor</w:t>
      </w:r>
      <w:proofErr w:type="spellEnd"/>
      <w:r w:rsidR="00195A98">
        <w:rPr>
          <w:rStyle w:val="nlmstring-name"/>
          <w:rFonts w:ascii="Times New Roman" w:hAnsi="Times New Roman" w:cs="Times New Roman"/>
        </w:rPr>
        <w:t xml:space="preserve">, Lisa M Jones and Janis </w:t>
      </w:r>
      <w:proofErr w:type="spellStart"/>
      <w:r w:rsidR="00195A98">
        <w:rPr>
          <w:rStyle w:val="nlmstring-name"/>
          <w:rFonts w:ascii="Times New Roman" w:hAnsi="Times New Roman" w:cs="Times New Roman"/>
        </w:rPr>
        <w:t>Wolak</w:t>
      </w:r>
      <w:proofErr w:type="spellEnd"/>
      <w:r w:rsidRPr="00463A90">
        <w:rPr>
          <w:rFonts w:ascii="Times New Roman" w:hAnsi="Times New Roman" w:cs="Times New Roman"/>
        </w:rPr>
        <w:t xml:space="preserve"> </w:t>
      </w:r>
      <w:r>
        <w:rPr>
          <w:rFonts w:ascii="Times New Roman" w:hAnsi="Times New Roman" w:cs="Times New Roman"/>
        </w:rPr>
        <w:t>‘</w:t>
      </w:r>
      <w:r w:rsidRPr="00463A90">
        <w:rPr>
          <w:rStyle w:val="nlmarticle-title"/>
          <w:rFonts w:ascii="Times New Roman" w:hAnsi="Times New Roman" w:cs="Times New Roman"/>
        </w:rPr>
        <w:t>Prevalence and characteristics of youth sexting: A national study</w:t>
      </w:r>
      <w:r>
        <w:rPr>
          <w:rFonts w:ascii="Times New Roman" w:hAnsi="Times New Roman" w:cs="Times New Roman"/>
        </w:rPr>
        <w:t xml:space="preserve">’ (2012) 129 </w:t>
      </w:r>
      <w:proofErr w:type="spellStart"/>
      <w:r w:rsidRPr="00BD71F6">
        <w:rPr>
          <w:rFonts w:ascii="Times New Roman" w:hAnsi="Times New Roman" w:cs="Times New Roman"/>
        </w:rPr>
        <w:t>Pediatrics</w:t>
      </w:r>
      <w:proofErr w:type="spellEnd"/>
      <w:r w:rsidRPr="00463A90">
        <w:rPr>
          <w:rFonts w:ascii="Times New Roman" w:hAnsi="Times New Roman" w:cs="Times New Roman"/>
        </w:rPr>
        <w:t xml:space="preserve"> </w:t>
      </w:r>
      <w:r w:rsidR="00195A98">
        <w:rPr>
          <w:rStyle w:val="nlmlpage"/>
          <w:rFonts w:ascii="Times New Roman" w:hAnsi="Times New Roman" w:cs="Times New Roman"/>
        </w:rPr>
        <w:t>13</w:t>
      </w:r>
      <w:r>
        <w:rPr>
          <w:rStyle w:val="nlmlpage"/>
          <w:rFonts w:ascii="Times New Roman" w:hAnsi="Times New Roman" w:cs="Times New Roman"/>
        </w:rPr>
        <w:t>.</w:t>
      </w:r>
    </w:p>
  </w:footnote>
  <w:footnote w:id="13">
    <w:p w14:paraId="62825CB1" w14:textId="3CCFA647" w:rsidR="00C96C44" w:rsidRDefault="00C96C44">
      <w:pPr>
        <w:pStyle w:val="FootnoteText"/>
      </w:pPr>
      <w:r>
        <w:rPr>
          <w:rStyle w:val="FootnoteReference"/>
        </w:rPr>
        <w:footnoteRef/>
      </w:r>
      <w:r>
        <w:t xml:space="preserve"> </w:t>
      </w:r>
      <w:r w:rsidRPr="00463A90">
        <w:rPr>
          <w:rFonts w:ascii="Times New Roman" w:hAnsi="Times New Roman" w:cs="Times New Roman"/>
        </w:rPr>
        <w:t>J</w:t>
      </w:r>
      <w:r w:rsidR="00677603">
        <w:rPr>
          <w:rFonts w:ascii="Times New Roman" w:hAnsi="Times New Roman" w:cs="Times New Roman"/>
        </w:rPr>
        <w:t>essica</w:t>
      </w:r>
      <w:r w:rsidRPr="00463A90">
        <w:rPr>
          <w:rFonts w:ascii="Times New Roman" w:hAnsi="Times New Roman" w:cs="Times New Roman"/>
        </w:rPr>
        <w:t xml:space="preserve"> </w:t>
      </w:r>
      <w:r w:rsidRPr="00463A90">
        <w:rPr>
          <w:rStyle w:val="nlmstring-name"/>
          <w:rFonts w:ascii="Times New Roman" w:hAnsi="Times New Roman" w:cs="Times New Roman"/>
        </w:rPr>
        <w:t>Ringrose</w:t>
      </w:r>
      <w:r w:rsidRPr="00463A90">
        <w:rPr>
          <w:rFonts w:ascii="Times New Roman" w:hAnsi="Times New Roman" w:cs="Times New Roman"/>
        </w:rPr>
        <w:t xml:space="preserve"> </w:t>
      </w:r>
      <w:r w:rsidRPr="00463A90">
        <w:rPr>
          <w:rFonts w:ascii="Times New Roman" w:hAnsi="Times New Roman" w:cs="Times New Roman"/>
          <w:i/>
          <w:iCs/>
        </w:rPr>
        <w:t>A Qualitative Study of Children, Young People and ‘Sexting’</w:t>
      </w:r>
      <w:r w:rsidRPr="00463A90">
        <w:rPr>
          <w:rFonts w:ascii="Times New Roman" w:hAnsi="Times New Roman" w:cs="Times New Roman"/>
        </w:rPr>
        <w:t xml:space="preserve">: </w:t>
      </w:r>
      <w:r w:rsidRPr="00463A90">
        <w:rPr>
          <w:rFonts w:ascii="Times New Roman" w:hAnsi="Times New Roman" w:cs="Times New Roman"/>
          <w:i/>
          <w:iCs/>
        </w:rPr>
        <w:t>A Report for the National Society for Prevention to Children</w:t>
      </w:r>
      <w:r w:rsidRPr="00463A90">
        <w:rPr>
          <w:rFonts w:ascii="Times New Roman" w:hAnsi="Times New Roman" w:cs="Times New Roman"/>
        </w:rPr>
        <w:t xml:space="preserve"> (</w:t>
      </w:r>
      <w:r w:rsidR="004128AC">
        <w:rPr>
          <w:rStyle w:val="nlmpublisher-loc"/>
          <w:rFonts w:ascii="Times New Roman" w:hAnsi="Times New Roman" w:cs="Times New Roman"/>
        </w:rPr>
        <w:t>NSPCC</w:t>
      </w:r>
      <w:r w:rsidRPr="00463A90">
        <w:rPr>
          <w:rStyle w:val="nlmpublisher-loc"/>
          <w:rFonts w:ascii="Times New Roman" w:hAnsi="Times New Roman" w:cs="Times New Roman"/>
        </w:rPr>
        <w:t xml:space="preserve"> </w:t>
      </w:r>
      <w:r w:rsidRPr="00463A90">
        <w:rPr>
          <w:rFonts w:ascii="Times New Roman" w:hAnsi="Times New Roman" w:cs="Times New Roman"/>
        </w:rPr>
        <w:t>2012)</w:t>
      </w:r>
      <w:r w:rsidR="00195A98">
        <w:rPr>
          <w:rStyle w:val="nlmpublisher-name"/>
          <w:rFonts w:ascii="Times New Roman" w:hAnsi="Times New Roman" w:cs="Times New Roman"/>
        </w:rPr>
        <w:t xml:space="preserve"> </w:t>
      </w:r>
      <w:r w:rsidRPr="00463A90">
        <w:rPr>
          <w:rStyle w:val="nlmpublisher-name"/>
          <w:rFonts w:ascii="Times New Roman" w:hAnsi="Times New Roman" w:cs="Times New Roman"/>
        </w:rPr>
        <w:t>11</w:t>
      </w:r>
      <w:r>
        <w:rPr>
          <w:rStyle w:val="nlmpublisher-name"/>
          <w:rFonts w:ascii="Times New Roman" w:hAnsi="Times New Roman" w:cs="Times New Roman"/>
        </w:rPr>
        <w:t>.</w:t>
      </w:r>
    </w:p>
  </w:footnote>
  <w:footnote w:id="14">
    <w:p w14:paraId="35064616" w14:textId="540FE145" w:rsidR="00C96C44" w:rsidRDefault="00C96C44">
      <w:pPr>
        <w:pStyle w:val="FootnoteText"/>
      </w:pPr>
      <w:r>
        <w:rPr>
          <w:rStyle w:val="FootnoteReference"/>
        </w:rPr>
        <w:footnoteRef/>
      </w:r>
      <w:r>
        <w:t xml:space="preserve"> </w:t>
      </w:r>
      <w:r w:rsidRPr="00314A1F">
        <w:rPr>
          <w:rFonts w:ascii="Times New Roman" w:hAnsi="Times New Roman" w:cs="Times New Roman"/>
        </w:rPr>
        <w:t>A</w:t>
      </w:r>
      <w:r w:rsidR="00BD71F6">
        <w:rPr>
          <w:rFonts w:ascii="Times New Roman" w:hAnsi="Times New Roman" w:cs="Times New Roman"/>
        </w:rPr>
        <w:t xml:space="preserve">pril </w:t>
      </w:r>
      <w:r w:rsidRPr="00314A1F">
        <w:rPr>
          <w:rFonts w:ascii="Times New Roman" w:hAnsi="Times New Roman" w:cs="Times New Roman"/>
        </w:rPr>
        <w:t>G Thomas</w:t>
      </w:r>
      <w:r w:rsidR="00BD71F6">
        <w:rPr>
          <w:rFonts w:ascii="Times New Roman" w:hAnsi="Times New Roman" w:cs="Times New Roman"/>
        </w:rPr>
        <w:t xml:space="preserve"> and</w:t>
      </w:r>
      <w:r w:rsidRPr="00314A1F">
        <w:rPr>
          <w:rFonts w:ascii="Times New Roman" w:hAnsi="Times New Roman" w:cs="Times New Roman"/>
        </w:rPr>
        <w:t xml:space="preserve"> E</w:t>
      </w:r>
      <w:r w:rsidR="00BD71F6">
        <w:rPr>
          <w:rFonts w:ascii="Times New Roman" w:hAnsi="Times New Roman" w:cs="Times New Roman"/>
        </w:rPr>
        <w:t>lizabeth</w:t>
      </w:r>
      <w:r w:rsidRPr="00314A1F">
        <w:rPr>
          <w:rFonts w:ascii="Times New Roman" w:hAnsi="Times New Roman" w:cs="Times New Roman"/>
        </w:rPr>
        <w:t xml:space="preserve"> </w:t>
      </w:r>
      <w:proofErr w:type="spellStart"/>
      <w:r w:rsidRPr="00314A1F">
        <w:rPr>
          <w:rFonts w:ascii="Times New Roman" w:hAnsi="Times New Roman" w:cs="Times New Roman"/>
        </w:rPr>
        <w:t>Cauffman</w:t>
      </w:r>
      <w:proofErr w:type="spellEnd"/>
      <w:r w:rsidRPr="00314A1F">
        <w:rPr>
          <w:rFonts w:ascii="Times New Roman" w:hAnsi="Times New Roman" w:cs="Times New Roman"/>
        </w:rPr>
        <w:t xml:space="preserve"> </w:t>
      </w:r>
      <w:r>
        <w:rPr>
          <w:rFonts w:ascii="Times New Roman" w:hAnsi="Times New Roman" w:cs="Times New Roman"/>
        </w:rPr>
        <w:t>‘</w:t>
      </w:r>
      <w:r w:rsidRPr="00314A1F">
        <w:rPr>
          <w:rFonts w:ascii="Times New Roman" w:hAnsi="Times New Roman" w:cs="Times New Roman"/>
        </w:rPr>
        <w:t xml:space="preserve">Youth sexting as child pornography? Developmental science supports less harsh sanctions </w:t>
      </w:r>
      <w:r>
        <w:rPr>
          <w:rFonts w:ascii="Times New Roman" w:hAnsi="Times New Roman" w:cs="Times New Roman"/>
        </w:rPr>
        <w:t xml:space="preserve">for juvenile </w:t>
      </w:r>
      <w:proofErr w:type="spellStart"/>
      <w:r>
        <w:rPr>
          <w:rFonts w:ascii="Times New Roman" w:hAnsi="Times New Roman" w:cs="Times New Roman"/>
        </w:rPr>
        <w:t>sexters</w:t>
      </w:r>
      <w:proofErr w:type="spellEnd"/>
      <w:r>
        <w:rPr>
          <w:rFonts w:ascii="Times New Roman" w:hAnsi="Times New Roman" w:cs="Times New Roman"/>
        </w:rPr>
        <w:t>’ (2014) 17</w:t>
      </w:r>
      <w:r w:rsidRPr="00314A1F">
        <w:rPr>
          <w:rFonts w:ascii="Times New Roman" w:hAnsi="Times New Roman" w:cs="Times New Roman"/>
        </w:rPr>
        <w:t xml:space="preserve"> </w:t>
      </w:r>
      <w:r w:rsidRPr="00BD71F6">
        <w:rPr>
          <w:rFonts w:ascii="Times New Roman" w:hAnsi="Times New Roman" w:cs="Times New Roman"/>
        </w:rPr>
        <w:t>New Criminal Law Review</w:t>
      </w:r>
      <w:r w:rsidRPr="00314A1F">
        <w:rPr>
          <w:rFonts w:ascii="Times New Roman" w:hAnsi="Times New Roman" w:cs="Times New Roman"/>
          <w:i/>
        </w:rPr>
        <w:t xml:space="preserve"> </w:t>
      </w:r>
      <w:r w:rsidRPr="00314A1F">
        <w:rPr>
          <w:rFonts w:ascii="Times New Roman" w:hAnsi="Times New Roman" w:cs="Times New Roman"/>
        </w:rPr>
        <w:t>631</w:t>
      </w:r>
      <w:r>
        <w:rPr>
          <w:rFonts w:ascii="Times New Roman" w:hAnsi="Times New Roman" w:cs="Times New Roman"/>
        </w:rPr>
        <w:t>.</w:t>
      </w:r>
    </w:p>
  </w:footnote>
  <w:footnote w:id="15">
    <w:p w14:paraId="183CDBCD" w14:textId="3E020F63" w:rsidR="00C96C44" w:rsidRDefault="00C96C44">
      <w:pPr>
        <w:pStyle w:val="FootnoteText"/>
      </w:pPr>
      <w:r>
        <w:rPr>
          <w:rStyle w:val="FootnoteReference"/>
        </w:rPr>
        <w:footnoteRef/>
      </w:r>
      <w:r>
        <w:t xml:space="preserve"> </w:t>
      </w:r>
      <w:r w:rsidRPr="00314A1F">
        <w:rPr>
          <w:rFonts w:ascii="Times New Roman" w:hAnsi="Times New Roman" w:cs="Times New Roman"/>
        </w:rPr>
        <w:t>D</w:t>
      </w:r>
      <w:r w:rsidR="0090458F">
        <w:rPr>
          <w:rFonts w:ascii="Times New Roman" w:hAnsi="Times New Roman" w:cs="Times New Roman"/>
        </w:rPr>
        <w:t>iane</w:t>
      </w:r>
      <w:r w:rsidRPr="00314A1F">
        <w:rPr>
          <w:rFonts w:ascii="Times New Roman" w:hAnsi="Times New Roman" w:cs="Times New Roman"/>
        </w:rPr>
        <w:t xml:space="preserve"> Richardson</w:t>
      </w:r>
      <w:r w:rsidR="0090458F">
        <w:rPr>
          <w:rFonts w:ascii="Times New Roman" w:hAnsi="Times New Roman" w:cs="Times New Roman"/>
        </w:rPr>
        <w:t>,</w:t>
      </w:r>
      <w:r w:rsidRPr="00314A1F">
        <w:rPr>
          <w:rFonts w:ascii="Times New Roman" w:hAnsi="Times New Roman" w:cs="Times New Roman"/>
        </w:rPr>
        <w:t xml:space="preserve"> </w:t>
      </w:r>
      <w:r>
        <w:rPr>
          <w:rFonts w:ascii="Times New Roman" w:hAnsi="Times New Roman" w:cs="Times New Roman"/>
        </w:rPr>
        <w:t>‘</w:t>
      </w:r>
      <w:r w:rsidRPr="00314A1F">
        <w:rPr>
          <w:rFonts w:ascii="Times New Roman" w:hAnsi="Times New Roman" w:cs="Times New Roman"/>
        </w:rPr>
        <w:t>Constructing sexual citizenship: theorizing sexual rights</w:t>
      </w:r>
      <w:r>
        <w:rPr>
          <w:rFonts w:ascii="Times New Roman" w:hAnsi="Times New Roman" w:cs="Times New Roman"/>
        </w:rPr>
        <w:t>’</w:t>
      </w:r>
      <w:r w:rsidRPr="00314A1F">
        <w:rPr>
          <w:rFonts w:ascii="Times New Roman" w:hAnsi="Times New Roman" w:cs="Times New Roman"/>
        </w:rPr>
        <w:t xml:space="preserve"> </w:t>
      </w:r>
      <w:r>
        <w:rPr>
          <w:rFonts w:ascii="Times New Roman" w:hAnsi="Times New Roman" w:cs="Times New Roman"/>
        </w:rPr>
        <w:t>(</w:t>
      </w:r>
      <w:r w:rsidRPr="00314A1F">
        <w:rPr>
          <w:rFonts w:ascii="Times New Roman" w:hAnsi="Times New Roman" w:cs="Times New Roman"/>
        </w:rPr>
        <w:t>2000</w:t>
      </w:r>
      <w:r>
        <w:rPr>
          <w:rFonts w:ascii="Times New Roman" w:hAnsi="Times New Roman" w:cs="Times New Roman"/>
        </w:rPr>
        <w:t>)</w:t>
      </w:r>
      <w:r w:rsidRPr="00314A1F">
        <w:rPr>
          <w:rFonts w:ascii="Times New Roman" w:hAnsi="Times New Roman" w:cs="Times New Roman"/>
        </w:rPr>
        <w:t xml:space="preserve"> 20(1)</w:t>
      </w:r>
      <w:r w:rsidRPr="00314A1F">
        <w:rPr>
          <w:rFonts w:ascii="Times New Roman" w:hAnsi="Times New Roman" w:cs="Times New Roman"/>
          <w:i/>
        </w:rPr>
        <w:t xml:space="preserve"> </w:t>
      </w:r>
      <w:r w:rsidRPr="0090458F">
        <w:rPr>
          <w:rFonts w:ascii="Times New Roman" w:hAnsi="Times New Roman" w:cs="Times New Roman"/>
        </w:rPr>
        <w:t>Critical Social Policy</w:t>
      </w:r>
      <w:r w:rsidRPr="00314A1F">
        <w:rPr>
          <w:rFonts w:ascii="Times New Roman" w:hAnsi="Times New Roman" w:cs="Times New Roman"/>
        </w:rPr>
        <w:t xml:space="preserve"> 123</w:t>
      </w:r>
    </w:p>
  </w:footnote>
  <w:footnote w:id="16">
    <w:p w14:paraId="383C6B4E" w14:textId="45BAD1A9" w:rsidR="00C96C44" w:rsidRDefault="00C96C44">
      <w:pPr>
        <w:pStyle w:val="FootnoteText"/>
      </w:pPr>
      <w:r>
        <w:rPr>
          <w:rStyle w:val="FootnoteReference"/>
        </w:rPr>
        <w:footnoteRef/>
      </w:r>
      <w:r>
        <w:t xml:space="preserve"> </w:t>
      </w:r>
      <w:proofErr w:type="spellStart"/>
      <w:r w:rsidRPr="001B6ECF">
        <w:rPr>
          <w:rFonts w:ascii="Times New Roman" w:hAnsi="Times New Roman" w:cs="Times New Roman"/>
        </w:rPr>
        <w:t>K</w:t>
      </w:r>
      <w:r w:rsidR="0090458F">
        <w:rPr>
          <w:rFonts w:ascii="Times New Roman" w:hAnsi="Times New Roman" w:cs="Times New Roman"/>
        </w:rPr>
        <w:t>erwin</w:t>
      </w:r>
      <w:proofErr w:type="spellEnd"/>
      <w:r w:rsidRPr="001B6ECF">
        <w:rPr>
          <w:rFonts w:ascii="Times New Roman" w:hAnsi="Times New Roman" w:cs="Times New Roman"/>
        </w:rPr>
        <w:t xml:space="preserve"> Kaye</w:t>
      </w:r>
      <w:r>
        <w:rPr>
          <w:rFonts w:ascii="Times New Roman" w:hAnsi="Times New Roman" w:cs="Times New Roman"/>
        </w:rPr>
        <w:t xml:space="preserve"> ‘</w:t>
      </w:r>
      <w:r w:rsidRPr="001B6ECF">
        <w:rPr>
          <w:rFonts w:ascii="Times New Roman" w:hAnsi="Times New Roman" w:cs="Times New Roman"/>
        </w:rPr>
        <w:t>Sexual Abuse Vi</w:t>
      </w:r>
      <w:r>
        <w:rPr>
          <w:rFonts w:ascii="Times New Roman" w:hAnsi="Times New Roman" w:cs="Times New Roman"/>
        </w:rPr>
        <w:t>ctims and the Wholesome Family’</w:t>
      </w:r>
      <w:r w:rsidRPr="001B6ECF">
        <w:rPr>
          <w:rFonts w:ascii="Times New Roman" w:hAnsi="Times New Roman" w:cs="Times New Roman"/>
        </w:rPr>
        <w:t xml:space="preserve"> in E</w:t>
      </w:r>
      <w:r w:rsidR="0090458F">
        <w:rPr>
          <w:rFonts w:ascii="Times New Roman" w:hAnsi="Times New Roman" w:cs="Times New Roman"/>
        </w:rPr>
        <w:t xml:space="preserve">lizabeth Bernstein and </w:t>
      </w:r>
      <w:r w:rsidRPr="001B6ECF">
        <w:rPr>
          <w:rFonts w:ascii="Times New Roman" w:hAnsi="Times New Roman" w:cs="Times New Roman"/>
        </w:rPr>
        <w:t>L</w:t>
      </w:r>
      <w:r w:rsidR="0090458F">
        <w:rPr>
          <w:rFonts w:ascii="Times New Roman" w:hAnsi="Times New Roman" w:cs="Times New Roman"/>
        </w:rPr>
        <w:t>aurie</w:t>
      </w:r>
      <w:r w:rsidRPr="001B6ECF">
        <w:rPr>
          <w:rFonts w:ascii="Times New Roman" w:hAnsi="Times New Roman" w:cs="Times New Roman"/>
        </w:rPr>
        <w:t xml:space="preserve"> </w:t>
      </w:r>
      <w:proofErr w:type="spellStart"/>
      <w:r w:rsidRPr="001B6ECF">
        <w:rPr>
          <w:rFonts w:ascii="Times New Roman" w:hAnsi="Times New Roman" w:cs="Times New Roman"/>
        </w:rPr>
        <w:t>Schaffner</w:t>
      </w:r>
      <w:proofErr w:type="spellEnd"/>
      <w:r w:rsidRPr="001B6ECF">
        <w:rPr>
          <w:rFonts w:ascii="Times New Roman" w:hAnsi="Times New Roman" w:cs="Times New Roman"/>
        </w:rPr>
        <w:t xml:space="preserve"> (</w:t>
      </w:r>
      <w:proofErr w:type="spellStart"/>
      <w:r w:rsidRPr="001B6ECF">
        <w:rPr>
          <w:rFonts w:ascii="Times New Roman" w:hAnsi="Times New Roman" w:cs="Times New Roman"/>
        </w:rPr>
        <w:t>eds</w:t>
      </w:r>
      <w:proofErr w:type="spellEnd"/>
      <w:r w:rsidRPr="001B6ECF">
        <w:rPr>
          <w:rFonts w:ascii="Times New Roman" w:hAnsi="Times New Roman" w:cs="Times New Roman"/>
        </w:rPr>
        <w:t>)</w:t>
      </w:r>
      <w:r w:rsidR="0090458F">
        <w:rPr>
          <w:rFonts w:ascii="Times New Roman" w:hAnsi="Times New Roman" w:cs="Times New Roman"/>
        </w:rPr>
        <w:t>,</w:t>
      </w:r>
      <w:r w:rsidRPr="001B6ECF">
        <w:rPr>
          <w:rFonts w:ascii="Times New Roman" w:hAnsi="Times New Roman" w:cs="Times New Roman"/>
        </w:rPr>
        <w:t xml:space="preserve"> </w:t>
      </w:r>
      <w:r w:rsidRPr="001B6ECF">
        <w:rPr>
          <w:rFonts w:ascii="Times New Roman" w:hAnsi="Times New Roman" w:cs="Times New Roman"/>
          <w:i/>
        </w:rPr>
        <w:t>The Politics of Intimacy and identity</w:t>
      </w:r>
      <w:r w:rsidRPr="001B6ECF">
        <w:rPr>
          <w:rFonts w:ascii="Times New Roman" w:hAnsi="Times New Roman" w:cs="Times New Roman"/>
        </w:rPr>
        <w:t xml:space="preserve"> </w:t>
      </w:r>
      <w:r>
        <w:rPr>
          <w:rFonts w:ascii="Times New Roman" w:hAnsi="Times New Roman" w:cs="Times New Roman"/>
        </w:rPr>
        <w:t>(</w:t>
      </w:r>
      <w:r w:rsidR="0090458F">
        <w:rPr>
          <w:rFonts w:ascii="Times New Roman" w:hAnsi="Times New Roman" w:cs="Times New Roman"/>
        </w:rPr>
        <w:t>Routledge</w:t>
      </w:r>
      <w:r>
        <w:rPr>
          <w:rFonts w:ascii="Times New Roman" w:hAnsi="Times New Roman" w:cs="Times New Roman"/>
        </w:rPr>
        <w:t xml:space="preserve"> </w:t>
      </w:r>
      <w:r w:rsidRPr="001B6ECF">
        <w:rPr>
          <w:rFonts w:ascii="Times New Roman" w:hAnsi="Times New Roman" w:cs="Times New Roman"/>
        </w:rPr>
        <w:t>2005</w:t>
      </w:r>
      <w:r>
        <w:rPr>
          <w:rFonts w:ascii="Times New Roman" w:hAnsi="Times New Roman" w:cs="Times New Roman"/>
        </w:rPr>
        <w:t>)</w:t>
      </w:r>
      <w:r w:rsidRPr="001B6ECF">
        <w:rPr>
          <w:rFonts w:ascii="Times New Roman" w:hAnsi="Times New Roman" w:cs="Times New Roman"/>
        </w:rPr>
        <w:t xml:space="preserve"> </w:t>
      </w:r>
      <w:r>
        <w:rPr>
          <w:rFonts w:ascii="Times New Roman" w:hAnsi="Times New Roman" w:cs="Times New Roman"/>
        </w:rPr>
        <w:t>149</w:t>
      </w:r>
    </w:p>
  </w:footnote>
  <w:footnote w:id="17">
    <w:p w14:paraId="3499D861" w14:textId="76F3A2C2" w:rsidR="000E57A9" w:rsidRDefault="000E57A9">
      <w:pPr>
        <w:pStyle w:val="FootnoteText"/>
      </w:pPr>
      <w:r>
        <w:rPr>
          <w:rStyle w:val="FootnoteReference"/>
        </w:rPr>
        <w:footnoteRef/>
      </w:r>
      <w:r>
        <w:t xml:space="preserve"> </w:t>
      </w:r>
      <w:r>
        <w:rPr>
          <w:rFonts w:ascii="Times New Roman" w:hAnsi="Times New Roman" w:cs="Times New Roman"/>
        </w:rPr>
        <w:t>J</w:t>
      </w:r>
      <w:r w:rsidR="0090458F">
        <w:rPr>
          <w:rFonts w:ascii="Times New Roman" w:hAnsi="Times New Roman" w:cs="Times New Roman"/>
        </w:rPr>
        <w:t xml:space="preserve">ohn </w:t>
      </w:r>
      <w:r>
        <w:rPr>
          <w:rFonts w:ascii="Times New Roman" w:hAnsi="Times New Roman" w:cs="Times New Roman"/>
        </w:rPr>
        <w:t xml:space="preserve">R Spencer ‘The Sexual Offences Act 2003: (2) Child and Family Offences’ (2004) </w:t>
      </w:r>
      <w:r w:rsidRPr="0090458F">
        <w:rPr>
          <w:rFonts w:ascii="Times New Roman" w:hAnsi="Times New Roman" w:cs="Times New Roman"/>
        </w:rPr>
        <w:t>Criminal Law Review,</w:t>
      </w:r>
      <w:r>
        <w:rPr>
          <w:rFonts w:ascii="Times New Roman" w:hAnsi="Times New Roman" w:cs="Times New Roman"/>
        </w:rPr>
        <w:t xml:space="preserve"> 353.</w:t>
      </w:r>
    </w:p>
  </w:footnote>
  <w:footnote w:id="18">
    <w:p w14:paraId="35DB31B3" w14:textId="2D5DB06A" w:rsidR="000E57A9" w:rsidRDefault="000E57A9" w:rsidP="000E57A9">
      <w:pPr>
        <w:pStyle w:val="FootnoteText"/>
      </w:pPr>
      <w:r>
        <w:rPr>
          <w:rStyle w:val="FootnoteReference"/>
        </w:rPr>
        <w:footnoteRef/>
      </w:r>
      <w:r>
        <w:t xml:space="preserve"> </w:t>
      </w:r>
      <w:r w:rsidRPr="00D4289B">
        <w:rPr>
          <w:rFonts w:ascii="Times New Roman" w:hAnsi="Times New Roman" w:cs="Times New Roman"/>
        </w:rPr>
        <w:t>A</w:t>
      </w:r>
      <w:r w:rsidR="0090458F">
        <w:rPr>
          <w:rFonts w:ascii="Times New Roman" w:hAnsi="Times New Roman" w:cs="Times New Roman"/>
        </w:rPr>
        <w:t>ngelides</w:t>
      </w:r>
      <w:r w:rsidRPr="00D4289B">
        <w:rPr>
          <w:rFonts w:ascii="Times New Roman" w:hAnsi="Times New Roman" w:cs="Times New Roman"/>
        </w:rPr>
        <w:t xml:space="preserve"> Steven </w:t>
      </w:r>
      <w:r>
        <w:rPr>
          <w:rFonts w:ascii="Times New Roman" w:hAnsi="Times New Roman" w:cs="Times New Roman"/>
        </w:rPr>
        <w:t>‘</w:t>
      </w:r>
      <w:r w:rsidRPr="00D4289B">
        <w:rPr>
          <w:rFonts w:ascii="Times New Roman" w:hAnsi="Times New Roman" w:cs="Times New Roman"/>
        </w:rPr>
        <w:t xml:space="preserve">Hot for the teacher: the cultural </w:t>
      </w:r>
      <w:proofErr w:type="spellStart"/>
      <w:r w:rsidRPr="00D4289B">
        <w:rPr>
          <w:rFonts w:ascii="Times New Roman" w:hAnsi="Times New Roman" w:cs="Times New Roman"/>
        </w:rPr>
        <w:t>erotics</w:t>
      </w:r>
      <w:proofErr w:type="spellEnd"/>
      <w:r w:rsidRPr="00D4289B">
        <w:rPr>
          <w:rFonts w:ascii="Times New Roman" w:hAnsi="Times New Roman" w:cs="Times New Roman"/>
        </w:rPr>
        <w:t xml:space="preserve"> and anx</w:t>
      </w:r>
      <w:r>
        <w:rPr>
          <w:rFonts w:ascii="Times New Roman" w:hAnsi="Times New Roman" w:cs="Times New Roman"/>
        </w:rPr>
        <w:t>ieties of adolescent sexuality’</w:t>
      </w:r>
      <w:r w:rsidRPr="00D4289B">
        <w:rPr>
          <w:rFonts w:ascii="Times New Roman" w:hAnsi="Times New Roman" w:cs="Times New Roman"/>
        </w:rPr>
        <w:t xml:space="preserve"> (2010) 135</w:t>
      </w:r>
      <w:r>
        <w:rPr>
          <w:rFonts w:ascii="Times New Roman" w:hAnsi="Times New Roman" w:cs="Times New Roman"/>
        </w:rPr>
        <w:t>(1)</w:t>
      </w:r>
      <w:r w:rsidRPr="00D4289B">
        <w:rPr>
          <w:rFonts w:ascii="Times New Roman" w:hAnsi="Times New Roman" w:cs="Times New Roman"/>
        </w:rPr>
        <w:t xml:space="preserve"> </w:t>
      </w:r>
      <w:r w:rsidRPr="0090458F">
        <w:rPr>
          <w:rFonts w:ascii="Times New Roman" w:hAnsi="Times New Roman" w:cs="Times New Roman"/>
        </w:rPr>
        <w:t>Media International Australia,</w:t>
      </w:r>
      <w:r w:rsidR="0090458F">
        <w:rPr>
          <w:rFonts w:ascii="Times New Roman" w:hAnsi="Times New Roman" w:cs="Times New Roman"/>
        </w:rPr>
        <w:t xml:space="preserve"> 71</w:t>
      </w:r>
      <w:r>
        <w:rPr>
          <w:rFonts w:ascii="Times New Roman" w:hAnsi="Times New Roman" w:cs="Times New Roman"/>
        </w:rPr>
        <w:t>; B</w:t>
      </w:r>
      <w:r w:rsidR="0090458F">
        <w:rPr>
          <w:rFonts w:ascii="Times New Roman" w:hAnsi="Times New Roman" w:cs="Times New Roman"/>
        </w:rPr>
        <w:t>elinda</w:t>
      </w:r>
      <w:r>
        <w:rPr>
          <w:rFonts w:ascii="Times New Roman" w:hAnsi="Times New Roman" w:cs="Times New Roman"/>
        </w:rPr>
        <w:t xml:space="preserve"> Carpenter, E</w:t>
      </w:r>
      <w:r w:rsidR="0090458F">
        <w:rPr>
          <w:rFonts w:ascii="Times New Roman" w:hAnsi="Times New Roman" w:cs="Times New Roman"/>
        </w:rPr>
        <w:t>rin</w:t>
      </w:r>
      <w:r>
        <w:rPr>
          <w:rFonts w:ascii="Times New Roman" w:hAnsi="Times New Roman" w:cs="Times New Roman"/>
        </w:rPr>
        <w:t xml:space="preserve"> O’Brien, S</w:t>
      </w:r>
      <w:r w:rsidR="0090458F">
        <w:rPr>
          <w:rFonts w:ascii="Times New Roman" w:hAnsi="Times New Roman" w:cs="Times New Roman"/>
        </w:rPr>
        <w:t>haron Hayes and</w:t>
      </w:r>
      <w:r>
        <w:rPr>
          <w:rFonts w:ascii="Times New Roman" w:hAnsi="Times New Roman" w:cs="Times New Roman"/>
        </w:rPr>
        <w:t xml:space="preserve"> J</w:t>
      </w:r>
      <w:r w:rsidR="0090458F">
        <w:rPr>
          <w:rFonts w:ascii="Times New Roman" w:hAnsi="Times New Roman" w:cs="Times New Roman"/>
        </w:rPr>
        <w:t>odi</w:t>
      </w:r>
      <w:r>
        <w:rPr>
          <w:rFonts w:ascii="Times New Roman" w:hAnsi="Times New Roman" w:cs="Times New Roman"/>
        </w:rPr>
        <w:t xml:space="preserve"> Death ‘Harm, responsibility, age and consent’ (2014) 17 </w:t>
      </w:r>
      <w:r w:rsidRPr="0090458F">
        <w:rPr>
          <w:rFonts w:ascii="Times New Roman" w:hAnsi="Times New Roman" w:cs="Times New Roman"/>
        </w:rPr>
        <w:t>New Criminal Law Review</w:t>
      </w:r>
      <w:r>
        <w:rPr>
          <w:rFonts w:ascii="Times New Roman" w:hAnsi="Times New Roman" w:cs="Times New Roman"/>
          <w:i/>
        </w:rPr>
        <w:t xml:space="preserve"> </w:t>
      </w:r>
      <w:r w:rsidR="0090458F">
        <w:rPr>
          <w:rFonts w:ascii="Times New Roman" w:hAnsi="Times New Roman" w:cs="Times New Roman"/>
        </w:rPr>
        <w:t>23</w:t>
      </w:r>
      <w:r>
        <w:rPr>
          <w:rFonts w:ascii="Times New Roman" w:hAnsi="Times New Roman" w:cs="Times New Roman"/>
        </w:rPr>
        <w:t>.</w:t>
      </w:r>
    </w:p>
  </w:footnote>
  <w:footnote w:id="19">
    <w:p w14:paraId="619414F2" w14:textId="0016C175" w:rsidR="00231029" w:rsidRDefault="00231029">
      <w:pPr>
        <w:pStyle w:val="FootnoteText"/>
      </w:pPr>
      <w:r>
        <w:rPr>
          <w:rStyle w:val="FootnoteReference"/>
        </w:rPr>
        <w:footnoteRef/>
      </w:r>
      <w:r w:rsidRPr="00231029">
        <w:rPr>
          <w:rFonts w:ascii="Times New Roman" w:hAnsi="Times New Roman" w:cs="Times New Roman"/>
        </w:rPr>
        <w:t xml:space="preserve"> Sexual Offences Act 2003, s 45</w:t>
      </w:r>
      <w:r w:rsidR="009076C2">
        <w:rPr>
          <w:rFonts w:ascii="Times New Roman" w:hAnsi="Times New Roman" w:cs="Times New Roman"/>
        </w:rPr>
        <w:t>.</w:t>
      </w:r>
    </w:p>
  </w:footnote>
  <w:footnote w:id="20">
    <w:p w14:paraId="28A03058" w14:textId="27FE95C6" w:rsidR="00231029" w:rsidRDefault="00231029" w:rsidP="00231029">
      <w:pPr>
        <w:pStyle w:val="FootnoteText"/>
      </w:pPr>
      <w:r>
        <w:rPr>
          <w:rStyle w:val="FootnoteReference"/>
        </w:rPr>
        <w:footnoteRef/>
      </w:r>
      <w:r>
        <w:t xml:space="preserve"> </w:t>
      </w:r>
      <w:r w:rsidRPr="00231029">
        <w:rPr>
          <w:rFonts w:ascii="Times New Roman" w:hAnsi="Times New Roman" w:cs="Times New Roman"/>
        </w:rPr>
        <w:t>Sexual Offences Act 2003, s 1A(1),(2)</w:t>
      </w:r>
      <w:r w:rsidR="009076C2">
        <w:rPr>
          <w:rFonts w:ascii="Times New Roman" w:hAnsi="Times New Roman" w:cs="Times New Roman"/>
        </w:rPr>
        <w:t>.</w:t>
      </w:r>
    </w:p>
  </w:footnote>
  <w:footnote w:id="21">
    <w:p w14:paraId="5EE1DDB6" w14:textId="07B84EF1" w:rsidR="00231029" w:rsidRDefault="00231029">
      <w:pPr>
        <w:pStyle w:val="FootnoteText"/>
      </w:pPr>
      <w:r>
        <w:rPr>
          <w:rStyle w:val="FootnoteReference"/>
        </w:rPr>
        <w:footnoteRef/>
      </w:r>
      <w:r>
        <w:t xml:space="preserve"> </w:t>
      </w:r>
      <w:r w:rsidRPr="00231029">
        <w:rPr>
          <w:rFonts w:ascii="Times New Roman" w:hAnsi="Times New Roman" w:cs="Times New Roman"/>
        </w:rPr>
        <w:t>(2009) 605 F Supp. 2d 634</w:t>
      </w:r>
      <w:r w:rsidR="009076C2">
        <w:rPr>
          <w:rFonts w:ascii="Times New Roman" w:hAnsi="Times New Roman" w:cs="Times New Roman"/>
        </w:rPr>
        <w:t>.</w:t>
      </w:r>
    </w:p>
  </w:footnote>
  <w:footnote w:id="22">
    <w:p w14:paraId="4B6514BD" w14:textId="2B188577" w:rsidR="00231029" w:rsidRDefault="00231029">
      <w:pPr>
        <w:pStyle w:val="FootnoteText"/>
      </w:pPr>
      <w:r>
        <w:rPr>
          <w:rStyle w:val="FootnoteReference"/>
        </w:rPr>
        <w:footnoteRef/>
      </w:r>
      <w:r>
        <w:t xml:space="preserve"> </w:t>
      </w:r>
      <w:r w:rsidR="005B6882">
        <w:rPr>
          <w:rFonts w:ascii="Times New Roman" w:hAnsi="Times New Roman" w:cs="Times New Roman"/>
        </w:rPr>
        <w:t xml:space="preserve">Amy A </w:t>
      </w:r>
      <w:proofErr w:type="spellStart"/>
      <w:r w:rsidR="005B6882">
        <w:rPr>
          <w:rFonts w:ascii="Times New Roman" w:hAnsi="Times New Roman" w:cs="Times New Roman"/>
        </w:rPr>
        <w:t>H</w:t>
      </w:r>
      <w:r w:rsidRPr="00B501E2">
        <w:rPr>
          <w:rFonts w:ascii="Times New Roman" w:hAnsi="Times New Roman" w:cs="Times New Roman"/>
        </w:rPr>
        <w:t>asinoff</w:t>
      </w:r>
      <w:proofErr w:type="spellEnd"/>
      <w:r w:rsidRPr="00B501E2">
        <w:rPr>
          <w:rFonts w:ascii="Times New Roman" w:hAnsi="Times New Roman" w:cs="Times New Roman"/>
        </w:rPr>
        <w:t xml:space="preserve">, </w:t>
      </w:r>
      <w:r w:rsidRPr="00B501E2">
        <w:rPr>
          <w:rFonts w:ascii="Times New Roman" w:hAnsi="Times New Roman" w:cs="Times New Roman"/>
          <w:i/>
        </w:rPr>
        <w:t>Sexting Panic: rethinking criminalization, privacy and consent</w:t>
      </w:r>
      <w:r w:rsidRPr="00B501E2">
        <w:rPr>
          <w:rFonts w:ascii="Times New Roman" w:hAnsi="Times New Roman" w:cs="Times New Roman"/>
        </w:rPr>
        <w:t xml:space="preserve"> </w:t>
      </w:r>
      <w:r w:rsidR="005B6882">
        <w:rPr>
          <w:rFonts w:ascii="Times New Roman" w:hAnsi="Times New Roman" w:cs="Times New Roman"/>
        </w:rPr>
        <w:t>(</w:t>
      </w:r>
      <w:r w:rsidRPr="00B501E2">
        <w:rPr>
          <w:rFonts w:ascii="Times New Roman" w:hAnsi="Times New Roman" w:cs="Times New Roman"/>
        </w:rPr>
        <w:t>University of Illinois Press</w:t>
      </w:r>
      <w:r>
        <w:rPr>
          <w:rFonts w:ascii="Times New Roman" w:hAnsi="Times New Roman" w:cs="Times New Roman"/>
        </w:rPr>
        <w:t xml:space="preserve">, </w:t>
      </w:r>
      <w:r w:rsidR="005B6882">
        <w:rPr>
          <w:rFonts w:ascii="Times New Roman" w:hAnsi="Times New Roman" w:cs="Times New Roman"/>
        </w:rPr>
        <w:t>2015)</w:t>
      </w:r>
      <w:r>
        <w:rPr>
          <w:rFonts w:ascii="Times New Roman" w:hAnsi="Times New Roman" w:cs="Times New Roman"/>
        </w:rPr>
        <w:t xml:space="preserve"> 28.</w:t>
      </w:r>
    </w:p>
  </w:footnote>
  <w:footnote w:id="23">
    <w:p w14:paraId="76AFF94C" w14:textId="0A423FDA" w:rsidR="00231029" w:rsidRDefault="00231029">
      <w:pPr>
        <w:pStyle w:val="FootnoteText"/>
      </w:pPr>
      <w:r>
        <w:rPr>
          <w:rStyle w:val="FootnoteReference"/>
        </w:rPr>
        <w:footnoteRef/>
      </w:r>
      <w:r>
        <w:t xml:space="preserve"> </w:t>
      </w:r>
      <w:r w:rsidRPr="00463A90">
        <w:rPr>
          <w:rFonts w:ascii="Times New Roman" w:hAnsi="Times New Roman" w:cs="Times New Roman"/>
          <w:i/>
        </w:rPr>
        <w:t>AH v State</w:t>
      </w:r>
      <w:r>
        <w:rPr>
          <w:rFonts w:ascii="Times New Roman" w:hAnsi="Times New Roman" w:cs="Times New Roman"/>
        </w:rPr>
        <w:t xml:space="preserve"> (2007) 949 </w:t>
      </w:r>
      <w:proofErr w:type="spellStart"/>
      <w:r>
        <w:rPr>
          <w:rFonts w:ascii="Times New Roman" w:hAnsi="Times New Roman" w:cs="Times New Roman"/>
        </w:rPr>
        <w:t>So.</w:t>
      </w:r>
      <w:proofErr w:type="spellEnd"/>
      <w:r>
        <w:rPr>
          <w:rFonts w:ascii="Times New Roman" w:hAnsi="Times New Roman" w:cs="Times New Roman"/>
        </w:rPr>
        <w:t xml:space="preserve"> 2d 234, 235.</w:t>
      </w:r>
    </w:p>
  </w:footnote>
  <w:footnote w:id="24">
    <w:p w14:paraId="4F63540E" w14:textId="0D91D142" w:rsidR="00231029" w:rsidRDefault="00231029">
      <w:pPr>
        <w:pStyle w:val="FootnoteText"/>
      </w:pPr>
      <w:r>
        <w:rPr>
          <w:rStyle w:val="FootnoteReference"/>
        </w:rPr>
        <w:footnoteRef/>
      </w:r>
      <w:r>
        <w:t xml:space="preserve"> </w:t>
      </w:r>
      <w:r>
        <w:rPr>
          <w:rFonts w:ascii="Times New Roman" w:hAnsi="Times New Roman" w:cs="Times New Roman"/>
        </w:rPr>
        <w:t xml:space="preserve">Home Office </w:t>
      </w:r>
      <w:r>
        <w:rPr>
          <w:rFonts w:ascii="Times New Roman" w:hAnsi="Times New Roman" w:cs="Times New Roman"/>
          <w:i/>
        </w:rPr>
        <w:t xml:space="preserve">Guidance on the Sexual Offences Act 2003 </w:t>
      </w:r>
      <w:r>
        <w:rPr>
          <w:rFonts w:ascii="Times New Roman" w:hAnsi="Times New Roman" w:cs="Times New Roman"/>
        </w:rPr>
        <w:t xml:space="preserve">(Home Office, 2003) para 72. Also Home Office </w:t>
      </w:r>
      <w:r w:rsidRPr="00AA1D13">
        <w:rPr>
          <w:rFonts w:ascii="Times New Roman" w:hAnsi="Times New Roman" w:cs="Times New Roman"/>
          <w:i/>
        </w:rPr>
        <w:t>Children and Families: Safer from Sexual Crime – The Sexual Offences Act 2003</w:t>
      </w:r>
      <w:r w:rsidRPr="00AA1D13">
        <w:rPr>
          <w:rFonts w:ascii="Times New Roman" w:hAnsi="Times New Roman" w:cs="Times New Roman"/>
        </w:rPr>
        <w:t xml:space="preserve"> </w:t>
      </w:r>
      <w:r>
        <w:rPr>
          <w:rFonts w:ascii="Times New Roman" w:hAnsi="Times New Roman" w:cs="Times New Roman"/>
        </w:rPr>
        <w:t>(</w:t>
      </w:r>
      <w:r w:rsidRPr="00AA1D13">
        <w:rPr>
          <w:rFonts w:ascii="Times New Roman" w:hAnsi="Times New Roman" w:cs="Times New Roman"/>
        </w:rPr>
        <w:t>Home Of</w:t>
      </w:r>
      <w:r w:rsidR="004128AC">
        <w:rPr>
          <w:rFonts w:ascii="Times New Roman" w:hAnsi="Times New Roman" w:cs="Times New Roman"/>
        </w:rPr>
        <w:t>fice Communications Directorate</w:t>
      </w:r>
      <w:r w:rsidRPr="00AA1D13">
        <w:rPr>
          <w:rFonts w:ascii="Times New Roman" w:hAnsi="Times New Roman" w:cs="Times New Roman"/>
        </w:rPr>
        <w:t xml:space="preserve"> 2004</w:t>
      </w:r>
      <w:r w:rsidR="009076C2">
        <w:rPr>
          <w:rFonts w:ascii="Times New Roman" w:hAnsi="Times New Roman" w:cs="Times New Roman"/>
        </w:rPr>
        <w:t>.</w:t>
      </w:r>
    </w:p>
  </w:footnote>
  <w:footnote w:id="25">
    <w:p w14:paraId="2F811766" w14:textId="1DB08DCF" w:rsidR="00231029" w:rsidRDefault="00231029">
      <w:pPr>
        <w:pStyle w:val="FootnoteText"/>
      </w:pPr>
      <w:r>
        <w:rPr>
          <w:rStyle w:val="FootnoteReference"/>
        </w:rPr>
        <w:footnoteRef/>
      </w:r>
      <w:r>
        <w:t xml:space="preserve"> </w:t>
      </w:r>
      <w:r w:rsidRPr="00463A90">
        <w:rPr>
          <w:rFonts w:ascii="Times New Roman" w:hAnsi="Times New Roman" w:cs="Times New Roman"/>
        </w:rPr>
        <w:t xml:space="preserve">Crown Prosecution Service, </w:t>
      </w:r>
      <w:r w:rsidRPr="00463A90">
        <w:rPr>
          <w:rFonts w:ascii="Times New Roman" w:hAnsi="Times New Roman" w:cs="Times New Roman"/>
          <w:i/>
        </w:rPr>
        <w:t xml:space="preserve">Guidelines on prosecuting cases involving communications sent via social media </w:t>
      </w:r>
      <w:r w:rsidRPr="00463A90">
        <w:rPr>
          <w:rFonts w:ascii="Times New Roman" w:hAnsi="Times New Roman" w:cs="Times New Roman"/>
        </w:rPr>
        <w:t>(</w:t>
      </w:r>
      <w:r>
        <w:rPr>
          <w:rFonts w:ascii="Times New Roman" w:hAnsi="Times New Roman" w:cs="Times New Roman"/>
        </w:rPr>
        <w:t>HMSO,</w:t>
      </w:r>
      <w:r w:rsidRPr="00463A90">
        <w:rPr>
          <w:rFonts w:ascii="Times New Roman" w:hAnsi="Times New Roman" w:cs="Times New Roman"/>
        </w:rPr>
        <w:t xml:space="preserve"> 2016)</w:t>
      </w:r>
      <w:r>
        <w:rPr>
          <w:rFonts w:ascii="Times New Roman" w:hAnsi="Times New Roman" w:cs="Times New Roman"/>
        </w:rPr>
        <w:t>.</w:t>
      </w:r>
    </w:p>
  </w:footnote>
  <w:footnote w:id="26">
    <w:p w14:paraId="1D26A3CC" w14:textId="2F3DB7BE" w:rsidR="00231029" w:rsidRPr="00463A90" w:rsidRDefault="00231029" w:rsidP="00231029">
      <w:pPr>
        <w:pStyle w:val="FootnoteText"/>
        <w:rPr>
          <w:rFonts w:ascii="Times New Roman" w:hAnsi="Times New Roman" w:cs="Times New Roman"/>
        </w:rPr>
      </w:pPr>
      <w:r w:rsidRPr="00463A90">
        <w:rPr>
          <w:rStyle w:val="FootnoteReference"/>
          <w:rFonts w:ascii="Times New Roman" w:hAnsi="Times New Roman" w:cs="Times New Roman"/>
        </w:rPr>
        <w:footnoteRef/>
      </w:r>
      <w:r w:rsidRPr="00463A90">
        <w:rPr>
          <w:rFonts w:ascii="Times New Roman" w:hAnsi="Times New Roman" w:cs="Times New Roman"/>
        </w:rPr>
        <w:t xml:space="preserve"> College of Policing, </w:t>
      </w:r>
      <w:r w:rsidRPr="00463A90">
        <w:rPr>
          <w:rFonts w:ascii="Times New Roman" w:hAnsi="Times New Roman" w:cs="Times New Roman"/>
          <w:i/>
        </w:rPr>
        <w:t xml:space="preserve">Briefing Note: Police action in response to youth produced sexual imagery (sexting) </w:t>
      </w:r>
      <w:r w:rsidRPr="00463A90">
        <w:rPr>
          <w:rFonts w:ascii="Times New Roman" w:hAnsi="Times New Roman" w:cs="Times New Roman"/>
        </w:rPr>
        <w:t>(</w:t>
      </w:r>
      <w:r w:rsidR="004128AC">
        <w:rPr>
          <w:rFonts w:ascii="Times New Roman" w:hAnsi="Times New Roman" w:cs="Times New Roman"/>
        </w:rPr>
        <w:t>College of Policing</w:t>
      </w:r>
      <w:r w:rsidRPr="00463A90">
        <w:rPr>
          <w:rFonts w:ascii="Times New Roman" w:hAnsi="Times New Roman" w:cs="Times New Roman"/>
        </w:rPr>
        <w:t xml:space="preserve"> 2016). </w:t>
      </w:r>
    </w:p>
  </w:footnote>
  <w:footnote w:id="27">
    <w:p w14:paraId="0B1B8A5D" w14:textId="3EFE6EC2" w:rsidR="00F329B7" w:rsidRDefault="00F329B7" w:rsidP="00F329B7">
      <w:pPr>
        <w:pStyle w:val="Default"/>
      </w:pPr>
      <w:r>
        <w:rPr>
          <w:rStyle w:val="FootnoteReference"/>
        </w:rPr>
        <w:footnoteRef/>
      </w:r>
      <w:r>
        <w:t xml:space="preserve"> </w:t>
      </w:r>
      <w:r>
        <w:rPr>
          <w:rFonts w:cs="HelveticaNeueLT Std Lt"/>
          <w:color w:val="221E1F"/>
          <w:sz w:val="20"/>
          <w:szCs w:val="20"/>
        </w:rPr>
        <w:t xml:space="preserve">National Police Chiefs’ Council </w:t>
      </w:r>
      <w:r w:rsidRPr="00F329B7">
        <w:rPr>
          <w:rFonts w:cs="HelveticaNeueLT Std Lt"/>
          <w:i/>
          <w:color w:val="221E1F"/>
          <w:sz w:val="20"/>
          <w:szCs w:val="20"/>
        </w:rPr>
        <w:t>Police dealing with rising number ‘sexting’ cases involving children. Press release, 6 November</w:t>
      </w:r>
      <w:r>
        <w:rPr>
          <w:rFonts w:cs="HelveticaNeueLT Std Lt"/>
          <w:color w:val="221E1F"/>
          <w:sz w:val="20"/>
          <w:szCs w:val="20"/>
        </w:rPr>
        <w:t xml:space="preserve">. (NPCC 2017); Gavin Hales </w:t>
      </w:r>
      <w:r>
        <w:rPr>
          <w:rFonts w:cs="HelveticaNeueLT Std Lt"/>
          <w:i/>
          <w:color w:val="221E1F"/>
          <w:sz w:val="20"/>
          <w:szCs w:val="20"/>
        </w:rPr>
        <w:t xml:space="preserve">A ‘sexting’ surge or a conceptual muddle? The challenge of analogue law and ambiguous crime recording </w:t>
      </w:r>
      <w:r>
        <w:rPr>
          <w:rFonts w:cs="HelveticaNeueLT Std Lt"/>
          <w:color w:val="221E1F"/>
          <w:sz w:val="20"/>
          <w:szCs w:val="20"/>
        </w:rPr>
        <w:t>(Police Foundation 2018).</w:t>
      </w:r>
    </w:p>
  </w:footnote>
  <w:footnote w:id="28">
    <w:p w14:paraId="6566A12E" w14:textId="0A56CCCA" w:rsidR="00524DC5" w:rsidRDefault="00524DC5">
      <w:pPr>
        <w:pStyle w:val="FootnoteText"/>
      </w:pPr>
      <w:r>
        <w:rPr>
          <w:rStyle w:val="FootnoteReference"/>
        </w:rPr>
        <w:footnoteRef/>
      </w:r>
      <w:r>
        <w:t xml:space="preserve"> </w:t>
      </w:r>
      <w:r w:rsidRPr="00463A90">
        <w:rPr>
          <w:rFonts w:ascii="Times New Roman" w:hAnsi="Times New Roman" w:cs="Times New Roman"/>
        </w:rPr>
        <w:t xml:space="preserve">College of Policing, </w:t>
      </w:r>
      <w:r w:rsidRPr="00463A90">
        <w:rPr>
          <w:rFonts w:ascii="Times New Roman" w:hAnsi="Times New Roman" w:cs="Times New Roman"/>
          <w:i/>
        </w:rPr>
        <w:t xml:space="preserve">Briefing Note: Police action in response to youth produced sexual imagery (sexting) </w:t>
      </w:r>
      <w:r w:rsidRPr="00463A90">
        <w:rPr>
          <w:rFonts w:ascii="Times New Roman" w:hAnsi="Times New Roman" w:cs="Times New Roman"/>
        </w:rPr>
        <w:t>(</w:t>
      </w:r>
      <w:r w:rsidR="004128AC">
        <w:rPr>
          <w:rFonts w:ascii="Times New Roman" w:hAnsi="Times New Roman" w:cs="Times New Roman"/>
        </w:rPr>
        <w:t>College of Policing</w:t>
      </w:r>
      <w:r w:rsidRPr="00463A90">
        <w:rPr>
          <w:rFonts w:ascii="Times New Roman" w:hAnsi="Times New Roman" w:cs="Times New Roman"/>
        </w:rPr>
        <w:t xml:space="preserve"> 2016).</w:t>
      </w:r>
    </w:p>
  </w:footnote>
  <w:footnote w:id="29">
    <w:p w14:paraId="5F3C3504" w14:textId="5FC6FF2E" w:rsidR="00524DC5" w:rsidRDefault="00524DC5">
      <w:pPr>
        <w:pStyle w:val="FootnoteText"/>
      </w:pPr>
      <w:r>
        <w:rPr>
          <w:rStyle w:val="FootnoteReference"/>
        </w:rPr>
        <w:footnoteRef/>
      </w:r>
      <w:r>
        <w:t xml:space="preserve"> </w:t>
      </w:r>
      <w:r w:rsidR="002551E5">
        <w:rPr>
          <w:rFonts w:ascii="Times New Roman" w:hAnsi="Times New Roman" w:cs="Times New Roman"/>
        </w:rPr>
        <w:t xml:space="preserve">Disclosure and Barring Service </w:t>
      </w:r>
      <w:r w:rsidRPr="00B501E2">
        <w:rPr>
          <w:rFonts w:ascii="Times New Roman" w:hAnsi="Times New Roman" w:cs="Times New Roman"/>
          <w:i/>
        </w:rPr>
        <w:t>Disclosure and Barring Service Annual Report and Accounts for the period 1</w:t>
      </w:r>
      <w:r w:rsidRPr="00B501E2">
        <w:rPr>
          <w:rFonts w:ascii="Times New Roman" w:hAnsi="Times New Roman" w:cs="Times New Roman"/>
          <w:i/>
          <w:vertAlign w:val="superscript"/>
        </w:rPr>
        <w:t>st</w:t>
      </w:r>
      <w:r w:rsidRPr="00B501E2">
        <w:rPr>
          <w:rFonts w:ascii="Times New Roman" w:hAnsi="Times New Roman" w:cs="Times New Roman"/>
          <w:i/>
        </w:rPr>
        <w:t xml:space="preserve"> April 2016 to 31 March 2017 </w:t>
      </w:r>
      <w:r w:rsidR="002551E5">
        <w:rPr>
          <w:rFonts w:ascii="Times New Roman" w:hAnsi="Times New Roman" w:cs="Times New Roman"/>
        </w:rPr>
        <w:t>(</w:t>
      </w:r>
      <w:r w:rsidRPr="00B501E2">
        <w:rPr>
          <w:rFonts w:ascii="Times New Roman" w:hAnsi="Times New Roman" w:cs="Times New Roman"/>
        </w:rPr>
        <w:t>DBS</w:t>
      </w:r>
      <w:r w:rsidR="002551E5">
        <w:rPr>
          <w:rFonts w:ascii="Times New Roman" w:hAnsi="Times New Roman" w:cs="Times New Roman"/>
        </w:rPr>
        <w:t xml:space="preserve"> 2017).</w:t>
      </w:r>
    </w:p>
  </w:footnote>
  <w:footnote w:id="30">
    <w:p w14:paraId="3F4FC375" w14:textId="4D985991" w:rsidR="00524DC5" w:rsidRDefault="00524DC5" w:rsidP="00524DC5">
      <w:pPr>
        <w:pStyle w:val="FootnoteText"/>
      </w:pPr>
      <w:r>
        <w:rPr>
          <w:rStyle w:val="FootnoteReference"/>
        </w:rPr>
        <w:footnoteRef/>
      </w:r>
      <w:r>
        <w:t xml:space="preserve"> </w:t>
      </w:r>
      <w:r w:rsidRPr="00463A90">
        <w:rPr>
          <w:rFonts w:ascii="Times New Roman" w:hAnsi="Times New Roman" w:cs="Times New Roman"/>
        </w:rPr>
        <w:t>S</w:t>
      </w:r>
      <w:r w:rsidR="007E3CB3">
        <w:rPr>
          <w:rFonts w:ascii="Times New Roman" w:hAnsi="Times New Roman" w:cs="Times New Roman"/>
        </w:rPr>
        <w:t xml:space="preserve">ally </w:t>
      </w:r>
      <w:proofErr w:type="spellStart"/>
      <w:r w:rsidR="007E3CB3">
        <w:rPr>
          <w:rFonts w:ascii="Times New Roman" w:hAnsi="Times New Roman" w:cs="Times New Roman"/>
        </w:rPr>
        <w:t>Lipscombe</w:t>
      </w:r>
      <w:proofErr w:type="spellEnd"/>
      <w:r w:rsidR="007E3CB3">
        <w:rPr>
          <w:rFonts w:ascii="Times New Roman" w:hAnsi="Times New Roman" w:cs="Times New Roman"/>
        </w:rPr>
        <w:t xml:space="preserve"> and </w:t>
      </w:r>
      <w:r w:rsidRPr="00463A90">
        <w:rPr>
          <w:rFonts w:ascii="Times New Roman" w:hAnsi="Times New Roman" w:cs="Times New Roman"/>
        </w:rPr>
        <w:t>J</w:t>
      </w:r>
      <w:r w:rsidR="007E3CB3">
        <w:rPr>
          <w:rFonts w:ascii="Times New Roman" w:hAnsi="Times New Roman" w:cs="Times New Roman"/>
        </w:rPr>
        <w:t xml:space="preserve">acqueline </w:t>
      </w:r>
      <w:r w:rsidRPr="00463A90">
        <w:rPr>
          <w:rFonts w:ascii="Times New Roman" w:hAnsi="Times New Roman" w:cs="Times New Roman"/>
        </w:rPr>
        <w:t xml:space="preserve">Beard, </w:t>
      </w:r>
      <w:r w:rsidRPr="00463A90">
        <w:rPr>
          <w:rFonts w:ascii="Times New Roman" w:hAnsi="Times New Roman" w:cs="Times New Roman"/>
          <w:i/>
        </w:rPr>
        <w:t>Retention and Disclosure of Criminal Records</w:t>
      </w:r>
      <w:r w:rsidR="004128AC">
        <w:rPr>
          <w:rFonts w:ascii="Times New Roman" w:hAnsi="Times New Roman" w:cs="Times New Roman"/>
        </w:rPr>
        <w:t xml:space="preserve"> (UK Parliament</w:t>
      </w:r>
      <w:r w:rsidRPr="00463A90">
        <w:rPr>
          <w:rFonts w:ascii="Times New Roman" w:hAnsi="Times New Roman" w:cs="Times New Roman"/>
        </w:rPr>
        <w:t xml:space="preserve"> 2014).</w:t>
      </w:r>
    </w:p>
  </w:footnote>
  <w:footnote w:id="31">
    <w:p w14:paraId="6C69AD32" w14:textId="77777777" w:rsidR="008C5593" w:rsidRPr="000F2951" w:rsidRDefault="008C5593" w:rsidP="008C5593">
      <w:pPr>
        <w:pStyle w:val="FootnoteText"/>
        <w:rPr>
          <w:rFonts w:ascii="Times New Roman" w:hAnsi="Times New Roman" w:cs="Times New Roman"/>
        </w:rPr>
      </w:pPr>
      <w:r w:rsidRPr="00463A90">
        <w:rPr>
          <w:rStyle w:val="FootnoteReference"/>
          <w:rFonts w:ascii="Times New Roman" w:hAnsi="Times New Roman" w:cs="Times New Roman"/>
        </w:rPr>
        <w:footnoteRef/>
      </w:r>
      <w:r w:rsidRPr="000F2951">
        <w:rPr>
          <w:rFonts w:ascii="Times New Roman" w:hAnsi="Times New Roman" w:cs="Times New Roman"/>
        </w:rPr>
        <w:t xml:space="preserve"> (2019) UKSC 3</w:t>
      </w:r>
    </w:p>
  </w:footnote>
  <w:footnote w:id="32">
    <w:p w14:paraId="2D2657D1" w14:textId="77777777" w:rsidR="008C5593" w:rsidRPr="000F2951" w:rsidRDefault="008C5593" w:rsidP="008C5593">
      <w:pPr>
        <w:pStyle w:val="FootnoteText"/>
      </w:pPr>
      <w:r>
        <w:rPr>
          <w:rStyle w:val="FootnoteReference"/>
        </w:rPr>
        <w:footnoteRef/>
      </w:r>
      <w:r w:rsidRPr="000F2951">
        <w:t xml:space="preserve"> </w:t>
      </w:r>
      <w:r w:rsidRPr="000F2951">
        <w:rPr>
          <w:rFonts w:ascii="Times New Roman" w:hAnsi="Times New Roman" w:cs="Times New Roman"/>
        </w:rPr>
        <w:t xml:space="preserve">(2017) EWCA </w:t>
      </w:r>
      <w:proofErr w:type="spellStart"/>
      <w:r w:rsidRPr="000F2951">
        <w:rPr>
          <w:rFonts w:ascii="Times New Roman" w:hAnsi="Times New Roman" w:cs="Times New Roman"/>
        </w:rPr>
        <w:t>Civ</w:t>
      </w:r>
      <w:proofErr w:type="spellEnd"/>
      <w:r w:rsidRPr="000F2951">
        <w:rPr>
          <w:rFonts w:ascii="Times New Roman" w:hAnsi="Times New Roman" w:cs="Times New Roman"/>
        </w:rPr>
        <w:t xml:space="preserve"> 321</w:t>
      </w:r>
    </w:p>
  </w:footnote>
  <w:footnote w:id="33">
    <w:p w14:paraId="3303C21F" w14:textId="77777777" w:rsidR="008C5593" w:rsidRPr="00323476" w:rsidRDefault="008C5593" w:rsidP="008C5593">
      <w:pPr>
        <w:pStyle w:val="FootnoteText"/>
        <w:rPr>
          <w:rFonts w:ascii="Times New Roman" w:hAnsi="Times New Roman" w:cs="Times New Roman"/>
        </w:rPr>
      </w:pPr>
      <w:r w:rsidRPr="00463A90">
        <w:rPr>
          <w:rStyle w:val="FootnoteReference"/>
          <w:rFonts w:ascii="Times New Roman" w:hAnsi="Times New Roman" w:cs="Times New Roman"/>
        </w:rPr>
        <w:footnoteRef/>
      </w:r>
      <w:r w:rsidRPr="000F2951">
        <w:rPr>
          <w:rFonts w:ascii="Times New Roman" w:hAnsi="Times New Roman" w:cs="Times New Roman"/>
        </w:rPr>
        <w:t xml:space="preserve"> Ibid, para. </w:t>
      </w:r>
      <w:r>
        <w:rPr>
          <w:rFonts w:ascii="Times New Roman" w:hAnsi="Times New Roman" w:cs="Times New Roman"/>
        </w:rPr>
        <w:t>(</w:t>
      </w:r>
      <w:r w:rsidRPr="00323476">
        <w:rPr>
          <w:rFonts w:ascii="Times New Roman" w:hAnsi="Times New Roman" w:cs="Times New Roman"/>
        </w:rPr>
        <w:t>64</w:t>
      </w:r>
      <w:r>
        <w:rPr>
          <w:rFonts w:ascii="Times New Roman" w:hAnsi="Times New Roman" w:cs="Times New Roman"/>
        </w:rPr>
        <w:t>)</w:t>
      </w:r>
      <w:r w:rsidRPr="00323476">
        <w:rPr>
          <w:rFonts w:ascii="Times New Roman" w:hAnsi="Times New Roman" w:cs="Times New Roman"/>
        </w:rPr>
        <w:t>-</w:t>
      </w:r>
      <w:r>
        <w:rPr>
          <w:rFonts w:ascii="Times New Roman" w:hAnsi="Times New Roman" w:cs="Times New Roman"/>
        </w:rPr>
        <w:t>(</w:t>
      </w:r>
      <w:r w:rsidRPr="00323476">
        <w:rPr>
          <w:rFonts w:ascii="Times New Roman" w:hAnsi="Times New Roman" w:cs="Times New Roman"/>
        </w:rPr>
        <w:t>65</w:t>
      </w:r>
      <w:r>
        <w:rPr>
          <w:rFonts w:ascii="Times New Roman" w:hAnsi="Times New Roman" w:cs="Times New Roman"/>
        </w:rPr>
        <w:t>)</w:t>
      </w:r>
      <w:r w:rsidRPr="00323476">
        <w:rPr>
          <w:rFonts w:ascii="Times New Roman" w:hAnsi="Times New Roman" w:cs="Times New Roman"/>
        </w:rPr>
        <w:t>.</w:t>
      </w:r>
    </w:p>
  </w:footnote>
  <w:footnote w:id="34">
    <w:p w14:paraId="053152C3" w14:textId="3ACA3F92" w:rsidR="00524DC5" w:rsidRPr="00524DC5" w:rsidRDefault="00524DC5" w:rsidP="007E3CB3">
      <w:pPr>
        <w:pStyle w:val="FootnoteText"/>
        <w:rPr>
          <w:rFonts w:ascii="Times New Roman" w:hAnsi="Times New Roman" w:cs="Times New Roman"/>
        </w:rPr>
      </w:pPr>
      <w:r>
        <w:rPr>
          <w:rStyle w:val="FootnoteReference"/>
        </w:rPr>
        <w:footnoteRef/>
      </w:r>
      <w:r>
        <w:t xml:space="preserve"> </w:t>
      </w:r>
      <w:r w:rsidR="007E3CB3">
        <w:rPr>
          <w:rFonts w:ascii="Times New Roman" w:hAnsi="Times New Roman" w:cs="Times New Roman"/>
        </w:rPr>
        <w:t>C</w:t>
      </w:r>
      <w:r w:rsidRPr="00524DC5">
        <w:rPr>
          <w:rFonts w:ascii="Times New Roman" w:hAnsi="Times New Roman" w:cs="Times New Roman"/>
        </w:rPr>
        <w:t>rime and Disorder Act 1998</w:t>
      </w:r>
      <w:r w:rsidR="007E3CB3">
        <w:rPr>
          <w:rFonts w:ascii="Times New Roman" w:hAnsi="Times New Roman" w:cs="Times New Roman"/>
        </w:rPr>
        <w:t>,</w:t>
      </w:r>
      <w:r w:rsidR="007E3CB3" w:rsidRPr="007E3CB3">
        <w:rPr>
          <w:rFonts w:ascii="Times New Roman" w:hAnsi="Times New Roman" w:cs="Times New Roman"/>
        </w:rPr>
        <w:t xml:space="preserve"> </w:t>
      </w:r>
      <w:r w:rsidR="007E3CB3" w:rsidRPr="00524DC5">
        <w:rPr>
          <w:rFonts w:ascii="Times New Roman" w:hAnsi="Times New Roman" w:cs="Times New Roman"/>
        </w:rPr>
        <w:t>s 37(1)</w:t>
      </w:r>
      <w:r w:rsidR="009076C2">
        <w:rPr>
          <w:rFonts w:ascii="Times New Roman" w:hAnsi="Times New Roman" w:cs="Times New Roman"/>
        </w:rPr>
        <w:t>.</w:t>
      </w:r>
    </w:p>
  </w:footnote>
  <w:footnote w:id="35">
    <w:p w14:paraId="2EF2C871" w14:textId="1B5B7F2A" w:rsidR="00524DC5" w:rsidRDefault="00524DC5">
      <w:pPr>
        <w:pStyle w:val="FootnoteText"/>
      </w:pPr>
      <w:r>
        <w:rPr>
          <w:rStyle w:val="FootnoteReference"/>
        </w:rPr>
        <w:footnoteRef/>
      </w:r>
      <w:r>
        <w:t xml:space="preserve"> </w:t>
      </w:r>
      <w:r w:rsidR="007E3CB3">
        <w:rPr>
          <w:rFonts w:ascii="Times New Roman" w:hAnsi="Times New Roman" w:cs="Times New Roman"/>
        </w:rPr>
        <w:t xml:space="preserve">Bob Neill, </w:t>
      </w:r>
      <w:r w:rsidRPr="00B501E2">
        <w:rPr>
          <w:rFonts w:ascii="Times New Roman" w:hAnsi="Times New Roman" w:cs="Times New Roman"/>
          <w:i/>
        </w:rPr>
        <w:t xml:space="preserve">Disclosure of Youth Criminal Records HC 416 </w:t>
      </w:r>
      <w:r w:rsidR="007E3CB3">
        <w:rPr>
          <w:rFonts w:ascii="Times New Roman" w:hAnsi="Times New Roman" w:cs="Times New Roman"/>
        </w:rPr>
        <w:t>(</w:t>
      </w:r>
      <w:r w:rsidRPr="00B501E2">
        <w:rPr>
          <w:rFonts w:ascii="Times New Roman" w:hAnsi="Times New Roman" w:cs="Times New Roman"/>
        </w:rPr>
        <w:t>House of Commons Justice Select Committee</w:t>
      </w:r>
      <w:r w:rsidR="004128AC">
        <w:rPr>
          <w:rFonts w:ascii="Times New Roman" w:hAnsi="Times New Roman" w:cs="Times New Roman"/>
        </w:rPr>
        <w:t xml:space="preserve"> </w:t>
      </w:r>
      <w:r w:rsidR="007E3CB3">
        <w:rPr>
          <w:rFonts w:ascii="Times New Roman" w:hAnsi="Times New Roman" w:cs="Times New Roman"/>
        </w:rPr>
        <w:t>2017)</w:t>
      </w:r>
      <w:r w:rsidRPr="00B501E2">
        <w:rPr>
          <w:rFonts w:ascii="Times New Roman" w:hAnsi="Times New Roman" w:cs="Times New Roman"/>
        </w:rPr>
        <w:t>.</w:t>
      </w:r>
    </w:p>
  </w:footnote>
  <w:footnote w:id="36">
    <w:p w14:paraId="6B1CE312" w14:textId="43C1EED5" w:rsidR="00524DC5" w:rsidRDefault="00524DC5">
      <w:pPr>
        <w:pStyle w:val="FootnoteText"/>
      </w:pPr>
      <w:r>
        <w:rPr>
          <w:rStyle w:val="FootnoteReference"/>
        </w:rPr>
        <w:footnoteRef/>
      </w:r>
      <w:r>
        <w:t xml:space="preserve"> </w:t>
      </w:r>
      <w:r w:rsidRPr="00B9085A">
        <w:rPr>
          <w:rFonts w:ascii="Times New Roman" w:hAnsi="Times New Roman" w:cs="Times New Roman"/>
        </w:rPr>
        <w:t>K</w:t>
      </w:r>
      <w:r w:rsidR="007E3CB3">
        <w:rPr>
          <w:rFonts w:ascii="Times New Roman" w:hAnsi="Times New Roman" w:cs="Times New Roman"/>
        </w:rPr>
        <w:t>en</w:t>
      </w:r>
      <w:r w:rsidRPr="00B9085A">
        <w:rPr>
          <w:rFonts w:ascii="Times New Roman" w:hAnsi="Times New Roman" w:cs="Times New Roman"/>
        </w:rPr>
        <w:t xml:space="preserve"> Plummer </w:t>
      </w:r>
      <w:r w:rsidRPr="00B9085A">
        <w:rPr>
          <w:rFonts w:ascii="Times New Roman" w:hAnsi="Times New Roman" w:cs="Times New Roman"/>
          <w:i/>
        </w:rPr>
        <w:t xml:space="preserve">Telling sexual stories: power, change and social worlds </w:t>
      </w:r>
      <w:r w:rsidRPr="00B9085A">
        <w:rPr>
          <w:rFonts w:ascii="Times New Roman" w:hAnsi="Times New Roman" w:cs="Times New Roman"/>
        </w:rPr>
        <w:t>(Routledge, 1995) 150-151</w:t>
      </w:r>
      <w:r>
        <w:rPr>
          <w:rFonts w:ascii="Times New Roman" w:hAnsi="Times New Roman" w:cs="Times New Roman"/>
        </w:rPr>
        <w:t>.</w:t>
      </w:r>
    </w:p>
  </w:footnote>
  <w:footnote w:id="37">
    <w:p w14:paraId="5E024182" w14:textId="3378F3F2" w:rsidR="00524DC5" w:rsidRDefault="00524DC5">
      <w:pPr>
        <w:pStyle w:val="FootnoteText"/>
      </w:pPr>
      <w:r>
        <w:rPr>
          <w:rStyle w:val="FootnoteReference"/>
        </w:rPr>
        <w:footnoteRef/>
      </w:r>
      <w:r>
        <w:t xml:space="preserve"> </w:t>
      </w:r>
      <w:proofErr w:type="spellStart"/>
      <w:r w:rsidRPr="00FC2DF9">
        <w:rPr>
          <w:rFonts w:ascii="Times New Roman" w:hAnsi="Times New Roman" w:cs="Times New Roman"/>
        </w:rPr>
        <w:t>D</w:t>
      </w:r>
      <w:r w:rsidR="000B3CDA">
        <w:rPr>
          <w:rFonts w:ascii="Times New Roman" w:hAnsi="Times New Roman" w:cs="Times New Roman"/>
        </w:rPr>
        <w:t>aiva</w:t>
      </w:r>
      <w:proofErr w:type="spellEnd"/>
      <w:r w:rsidRPr="00FC2DF9">
        <w:rPr>
          <w:rFonts w:ascii="Times New Roman" w:hAnsi="Times New Roman" w:cs="Times New Roman"/>
        </w:rPr>
        <w:t xml:space="preserve"> </w:t>
      </w:r>
      <w:proofErr w:type="spellStart"/>
      <w:r w:rsidRPr="00FC2DF9">
        <w:rPr>
          <w:rFonts w:ascii="Times New Roman" w:hAnsi="Times New Roman" w:cs="Times New Roman"/>
        </w:rPr>
        <w:t>Stasiulis</w:t>
      </w:r>
      <w:proofErr w:type="spellEnd"/>
      <w:r w:rsidRPr="00FC2DF9">
        <w:rPr>
          <w:rFonts w:ascii="Times New Roman" w:hAnsi="Times New Roman" w:cs="Times New Roman"/>
        </w:rPr>
        <w:t>. ‘The Active Child Citizen: Lessons from Canadian Policy and the C</w:t>
      </w:r>
      <w:r>
        <w:rPr>
          <w:rFonts w:ascii="Times New Roman" w:hAnsi="Times New Roman" w:cs="Times New Roman"/>
        </w:rPr>
        <w:t>hildren’s Movement’ (2002) 6(4)</w:t>
      </w:r>
      <w:r w:rsidRPr="00FC2DF9">
        <w:rPr>
          <w:rFonts w:ascii="Times New Roman" w:hAnsi="Times New Roman" w:cs="Times New Roman"/>
        </w:rPr>
        <w:t xml:space="preserve"> </w:t>
      </w:r>
      <w:r w:rsidRPr="000B3CDA">
        <w:rPr>
          <w:rFonts w:ascii="Times New Roman" w:hAnsi="Times New Roman" w:cs="Times New Roman"/>
        </w:rPr>
        <w:t>Citizenship Studies</w:t>
      </w:r>
      <w:r w:rsidRPr="00FC2DF9">
        <w:rPr>
          <w:rFonts w:ascii="Times New Roman" w:hAnsi="Times New Roman" w:cs="Times New Roman"/>
          <w:i/>
        </w:rPr>
        <w:t xml:space="preserve"> </w:t>
      </w:r>
      <w:r w:rsidRPr="00FC2DF9">
        <w:rPr>
          <w:rFonts w:ascii="Times New Roman" w:hAnsi="Times New Roman" w:cs="Times New Roman"/>
        </w:rPr>
        <w:t>507, 509</w:t>
      </w:r>
      <w:r>
        <w:rPr>
          <w:rFonts w:ascii="Times New Roman" w:hAnsi="Times New Roman" w:cs="Times New Roman"/>
        </w:rPr>
        <w:t>.</w:t>
      </w:r>
    </w:p>
  </w:footnote>
  <w:footnote w:id="38">
    <w:p w14:paraId="7D2393EA" w14:textId="00429E83" w:rsidR="00524DC5" w:rsidRDefault="00524DC5">
      <w:pPr>
        <w:pStyle w:val="FootnoteText"/>
      </w:pPr>
      <w:r>
        <w:rPr>
          <w:rStyle w:val="FootnoteReference"/>
        </w:rPr>
        <w:footnoteRef/>
      </w:r>
      <w:r>
        <w:t xml:space="preserve"> </w:t>
      </w:r>
      <w:r w:rsidRPr="00E30F98">
        <w:rPr>
          <w:rFonts w:ascii="Times New Roman" w:hAnsi="Times New Roman" w:cs="Times New Roman"/>
        </w:rPr>
        <w:t xml:space="preserve">United Nations Committee on the Rights of the Child </w:t>
      </w:r>
      <w:r w:rsidRPr="00E30F98">
        <w:rPr>
          <w:rFonts w:ascii="Times New Roman" w:hAnsi="Times New Roman" w:cs="Times New Roman"/>
          <w:i/>
        </w:rPr>
        <w:t>General Comment No. 10: Children’s Rights in Juvenile Justice, CRC/C/GC/10</w:t>
      </w:r>
      <w:r>
        <w:rPr>
          <w:rFonts w:ascii="Times New Roman" w:hAnsi="Times New Roman" w:cs="Times New Roman"/>
        </w:rPr>
        <w:t xml:space="preserve"> (</w:t>
      </w:r>
      <w:r w:rsidR="000B3CDA">
        <w:rPr>
          <w:rFonts w:ascii="Times New Roman" w:hAnsi="Times New Roman" w:cs="Times New Roman"/>
        </w:rPr>
        <w:t xml:space="preserve">UNCRC </w:t>
      </w:r>
      <w:r>
        <w:rPr>
          <w:rFonts w:ascii="Times New Roman" w:hAnsi="Times New Roman" w:cs="Times New Roman"/>
        </w:rPr>
        <w:t xml:space="preserve">2007) </w:t>
      </w:r>
      <w:r w:rsidRPr="00E30F98">
        <w:rPr>
          <w:rFonts w:ascii="Times New Roman" w:hAnsi="Times New Roman" w:cs="Times New Roman"/>
        </w:rPr>
        <w:t>para 11</w:t>
      </w:r>
      <w:r w:rsidR="009076C2">
        <w:rPr>
          <w:rFonts w:ascii="Times New Roman" w:hAnsi="Times New Roman" w:cs="Times New Roman"/>
        </w:rPr>
        <w:t>.</w:t>
      </w:r>
    </w:p>
  </w:footnote>
  <w:footnote w:id="39">
    <w:p w14:paraId="1F9D7553" w14:textId="3105B077" w:rsidR="00524DC5" w:rsidRDefault="00524DC5" w:rsidP="00524DC5">
      <w:pPr>
        <w:pStyle w:val="FootnoteText"/>
      </w:pPr>
      <w:r>
        <w:rPr>
          <w:rStyle w:val="FootnoteReference"/>
        </w:rPr>
        <w:footnoteRef/>
      </w:r>
      <w:r>
        <w:t xml:space="preserve"> </w:t>
      </w:r>
      <w:r w:rsidRPr="00446C30">
        <w:rPr>
          <w:rFonts w:ascii="Times New Roman" w:eastAsia="Arial Unicode MS" w:hAnsi="Times New Roman" w:cs="Times New Roman"/>
        </w:rPr>
        <w:t xml:space="preserve">United Nations Committee on the Rights of the Child </w:t>
      </w:r>
      <w:r w:rsidRPr="00446C30">
        <w:rPr>
          <w:rFonts w:ascii="Times New Roman" w:eastAsia="Arial Unicode MS" w:hAnsi="Times New Roman" w:cs="Times New Roman"/>
          <w:i/>
          <w:iCs/>
        </w:rPr>
        <w:t>General Comment No. 10: Children</w:t>
      </w:r>
      <w:r w:rsidRPr="00446C30">
        <w:rPr>
          <w:rFonts w:ascii="Times New Roman" w:hAnsi="Times New Roman" w:cs="Times New Roman"/>
          <w:i/>
          <w:iCs/>
        </w:rPr>
        <w:t>’</w:t>
      </w:r>
      <w:r w:rsidRPr="00446C30">
        <w:rPr>
          <w:rFonts w:ascii="Times New Roman" w:eastAsia="Arial Unicode MS" w:hAnsi="Times New Roman" w:cs="Times New Roman"/>
          <w:i/>
          <w:iCs/>
        </w:rPr>
        <w:t xml:space="preserve">s Rights in Juvenile Justice </w:t>
      </w:r>
      <w:r w:rsidRPr="00446C30">
        <w:rPr>
          <w:rFonts w:ascii="TimesNewRoman" w:hAnsi="TimesNewRoman" w:cs="TimesNewRoman"/>
        </w:rPr>
        <w:t>CRC/C/GC/10</w:t>
      </w:r>
      <w:r w:rsidRPr="00446C30">
        <w:rPr>
          <w:rFonts w:ascii="TimesNewRoman,Bold" w:hAnsi="TimesNewRoman,Bold" w:cs="TimesNewRoman,Bold"/>
          <w:b/>
          <w:bCs/>
        </w:rPr>
        <w:t xml:space="preserve"> </w:t>
      </w:r>
      <w:r w:rsidRPr="00446C30">
        <w:rPr>
          <w:rFonts w:ascii="Times New Roman" w:eastAsia="Arial Unicode MS" w:hAnsi="Times New Roman" w:cs="Times New Roman"/>
        </w:rPr>
        <w:t>(</w:t>
      </w:r>
      <w:r w:rsidR="000B3CDA">
        <w:rPr>
          <w:rFonts w:ascii="Times New Roman" w:eastAsia="Arial Unicode MS" w:hAnsi="Times New Roman" w:cs="Times New Roman"/>
        </w:rPr>
        <w:t xml:space="preserve">UNCRC </w:t>
      </w:r>
      <w:r>
        <w:rPr>
          <w:rFonts w:ascii="Times New Roman" w:eastAsia="Arial Unicode MS" w:hAnsi="Times New Roman" w:cs="Times New Roman"/>
        </w:rPr>
        <w:t xml:space="preserve">2007); </w:t>
      </w:r>
      <w:r w:rsidRPr="00814736">
        <w:rPr>
          <w:rFonts w:ascii="Times New Roman" w:hAnsi="Times New Roman" w:cs="Times New Roman"/>
        </w:rPr>
        <w:t>United Nations Committee on the Rights of the Child</w:t>
      </w:r>
      <w:r>
        <w:rPr>
          <w:rFonts w:ascii="Times New Roman" w:hAnsi="Times New Roman" w:cs="Times New Roman"/>
        </w:rPr>
        <w:t xml:space="preserve"> </w:t>
      </w:r>
      <w:r w:rsidRPr="00814736">
        <w:rPr>
          <w:rFonts w:ascii="Times New Roman" w:hAnsi="Times New Roman" w:cs="Times New Roman"/>
          <w:i/>
        </w:rPr>
        <w:t xml:space="preserve">Concluding observations on the fifth periodic report of the United Kingdom of Great Britain and Northern Ireland </w:t>
      </w:r>
      <w:r>
        <w:rPr>
          <w:rFonts w:ascii="Times New Roman" w:hAnsi="Times New Roman" w:cs="Times New Roman"/>
        </w:rPr>
        <w:t>(</w:t>
      </w:r>
      <w:r w:rsidR="000B3CDA">
        <w:rPr>
          <w:rFonts w:ascii="Times New Roman" w:hAnsi="Times New Roman" w:cs="Times New Roman"/>
        </w:rPr>
        <w:t>UNCRC</w:t>
      </w:r>
      <w:r>
        <w:rPr>
          <w:rFonts w:ascii="Times New Roman" w:hAnsi="Times New Roman" w:cs="Times New Roman"/>
        </w:rPr>
        <w:t xml:space="preserve"> 2016).</w:t>
      </w:r>
    </w:p>
  </w:footnote>
  <w:footnote w:id="40">
    <w:p w14:paraId="1998F09C" w14:textId="5BA669B0" w:rsidR="00524DC5" w:rsidRDefault="00524DC5">
      <w:pPr>
        <w:pStyle w:val="FootnoteText"/>
      </w:pPr>
      <w:r>
        <w:rPr>
          <w:rStyle w:val="FootnoteReference"/>
        </w:rPr>
        <w:footnoteRef/>
      </w:r>
      <w:r>
        <w:t xml:space="preserve"> </w:t>
      </w:r>
      <w:r w:rsidRPr="00E30F98">
        <w:rPr>
          <w:rFonts w:ascii="Times New Roman" w:hAnsi="Times New Roman" w:cs="Times New Roman"/>
        </w:rPr>
        <w:t xml:space="preserve">United Nations Committee on the Rights of the Child </w:t>
      </w:r>
      <w:r w:rsidRPr="00E30F98">
        <w:rPr>
          <w:rFonts w:ascii="Times New Roman" w:hAnsi="Times New Roman" w:cs="Times New Roman"/>
          <w:i/>
        </w:rPr>
        <w:t>General Comment No. 10: Children’s Rights in Juvenile Justice, CRC/C/GC/10</w:t>
      </w:r>
      <w:r w:rsidRPr="00E30F98">
        <w:rPr>
          <w:rFonts w:ascii="Times New Roman" w:hAnsi="Times New Roman" w:cs="Times New Roman"/>
        </w:rPr>
        <w:t xml:space="preserve"> </w:t>
      </w:r>
      <w:r w:rsidR="009076C2">
        <w:rPr>
          <w:rFonts w:ascii="Times New Roman" w:hAnsi="Times New Roman" w:cs="Times New Roman"/>
        </w:rPr>
        <w:t>(</w:t>
      </w:r>
      <w:r>
        <w:rPr>
          <w:rFonts w:ascii="Times New Roman" w:hAnsi="Times New Roman" w:cs="Times New Roman"/>
        </w:rPr>
        <w:t>UNCRC 2007)</w:t>
      </w:r>
      <w:r w:rsidRPr="00E30F98">
        <w:rPr>
          <w:rFonts w:ascii="Times New Roman" w:hAnsi="Times New Roman" w:cs="Times New Roman"/>
        </w:rPr>
        <w:t xml:space="preserve"> para. 13</w:t>
      </w:r>
      <w:r w:rsidR="009076C2">
        <w:rPr>
          <w:rFonts w:ascii="Times New Roman" w:hAnsi="Times New Roman" w:cs="Times New Roman"/>
        </w:rPr>
        <w:t>.</w:t>
      </w:r>
    </w:p>
  </w:footnote>
  <w:footnote w:id="41">
    <w:p w14:paraId="0E71B8D0" w14:textId="70A3AC68" w:rsidR="005F5500" w:rsidRDefault="005F5500" w:rsidP="005F5500">
      <w:pPr>
        <w:pStyle w:val="FootnoteText"/>
      </w:pPr>
      <w:r>
        <w:rPr>
          <w:rStyle w:val="FootnoteReference"/>
        </w:rPr>
        <w:footnoteRef/>
      </w:r>
      <w:r>
        <w:t xml:space="preserve"> </w:t>
      </w:r>
      <w:r w:rsidRPr="00FC2DF9">
        <w:rPr>
          <w:rFonts w:ascii="Times New Roman" w:hAnsi="Times New Roman" w:cs="Times New Roman"/>
        </w:rPr>
        <w:t>M</w:t>
      </w:r>
      <w:r w:rsidR="009076C2">
        <w:rPr>
          <w:rFonts w:ascii="Times New Roman" w:hAnsi="Times New Roman" w:cs="Times New Roman"/>
        </w:rPr>
        <w:t>anfred</w:t>
      </w:r>
      <w:r w:rsidRPr="00FC2DF9">
        <w:rPr>
          <w:rFonts w:ascii="Times New Roman" w:hAnsi="Times New Roman" w:cs="Times New Roman"/>
        </w:rPr>
        <w:t xml:space="preserve"> </w:t>
      </w:r>
      <w:proofErr w:type="spellStart"/>
      <w:r w:rsidRPr="00FC2DF9">
        <w:rPr>
          <w:rFonts w:ascii="Times New Roman" w:hAnsi="Times New Roman" w:cs="Times New Roman"/>
        </w:rPr>
        <w:t>Liebel</w:t>
      </w:r>
      <w:proofErr w:type="spellEnd"/>
      <w:r w:rsidRPr="00FC2DF9">
        <w:rPr>
          <w:rFonts w:ascii="Times New Roman" w:hAnsi="Times New Roman" w:cs="Times New Roman"/>
        </w:rPr>
        <w:t xml:space="preserve"> ‘From evolving capacities to evolving capabilities: contextualizing children’s rights’</w:t>
      </w:r>
      <w:r>
        <w:rPr>
          <w:rFonts w:ascii="Times New Roman" w:hAnsi="Times New Roman" w:cs="Times New Roman"/>
        </w:rPr>
        <w:t xml:space="preserve"> in</w:t>
      </w:r>
      <w:r w:rsidRPr="00FC2DF9">
        <w:rPr>
          <w:rFonts w:ascii="Times New Roman" w:hAnsi="Times New Roman" w:cs="Times New Roman"/>
        </w:rPr>
        <w:t xml:space="preserve"> </w:t>
      </w:r>
      <w:r w:rsidRPr="00FC2DF9">
        <w:rPr>
          <w:rFonts w:ascii="Times New Roman" w:eastAsia="Times New Roman" w:hAnsi="Times New Roman" w:cs="Times New Roman"/>
        </w:rPr>
        <w:t>D</w:t>
      </w:r>
      <w:r w:rsidR="009076C2">
        <w:rPr>
          <w:rFonts w:ascii="Times New Roman" w:eastAsia="Times New Roman" w:hAnsi="Times New Roman" w:cs="Times New Roman"/>
        </w:rPr>
        <w:t>aniel</w:t>
      </w:r>
      <w:r w:rsidRPr="00FC2DF9">
        <w:rPr>
          <w:rFonts w:ascii="Times New Roman" w:eastAsia="Times New Roman" w:hAnsi="Times New Roman" w:cs="Times New Roman"/>
        </w:rPr>
        <w:t xml:space="preserve"> </w:t>
      </w:r>
      <w:proofErr w:type="spellStart"/>
      <w:r w:rsidRPr="00FC2DF9">
        <w:rPr>
          <w:rFonts w:ascii="Times New Roman" w:eastAsia="Times New Roman" w:hAnsi="Times New Roman" w:cs="Times New Roman"/>
        </w:rPr>
        <w:t>Stoecklin</w:t>
      </w:r>
      <w:proofErr w:type="spellEnd"/>
      <w:r w:rsidRPr="00FC2DF9">
        <w:rPr>
          <w:rFonts w:ascii="Times New Roman" w:eastAsia="Times New Roman" w:hAnsi="Times New Roman" w:cs="Times New Roman"/>
        </w:rPr>
        <w:t xml:space="preserve"> and </w:t>
      </w:r>
      <w:r>
        <w:rPr>
          <w:rFonts w:ascii="Times New Roman" w:eastAsia="Times New Roman" w:hAnsi="Times New Roman" w:cs="Times New Roman"/>
        </w:rPr>
        <w:t>J</w:t>
      </w:r>
      <w:r w:rsidR="009076C2">
        <w:rPr>
          <w:rFonts w:ascii="Times New Roman" w:eastAsia="Times New Roman" w:hAnsi="Times New Roman" w:cs="Times New Roman"/>
        </w:rPr>
        <w:t>ean-</w:t>
      </w:r>
      <w:r>
        <w:rPr>
          <w:rFonts w:ascii="Times New Roman" w:eastAsia="Times New Roman" w:hAnsi="Times New Roman" w:cs="Times New Roman"/>
        </w:rPr>
        <w:t>M</w:t>
      </w:r>
      <w:r w:rsidR="009076C2">
        <w:rPr>
          <w:rFonts w:ascii="Times New Roman" w:eastAsia="Times New Roman" w:hAnsi="Times New Roman" w:cs="Times New Roman"/>
        </w:rPr>
        <w:t>ichel</w:t>
      </w:r>
      <w:r>
        <w:rPr>
          <w:rFonts w:ascii="Times New Roman" w:eastAsia="Times New Roman" w:hAnsi="Times New Roman" w:cs="Times New Roman"/>
        </w:rPr>
        <w:t xml:space="preserve"> </w:t>
      </w:r>
      <w:proofErr w:type="spellStart"/>
      <w:r w:rsidRPr="00FC2DF9">
        <w:rPr>
          <w:rFonts w:ascii="Times New Roman" w:eastAsia="Times New Roman" w:hAnsi="Times New Roman" w:cs="Times New Roman"/>
        </w:rPr>
        <w:t>Bonvin</w:t>
      </w:r>
      <w:proofErr w:type="spellEnd"/>
      <w:r w:rsidRPr="00FC2DF9">
        <w:rPr>
          <w:rFonts w:ascii="Times New Roman" w:eastAsia="Times New Roman" w:hAnsi="Times New Roman" w:cs="Times New Roman"/>
        </w:rPr>
        <w:t xml:space="preserve"> (eds.) </w:t>
      </w:r>
      <w:r w:rsidRPr="00FC2DF9">
        <w:rPr>
          <w:rFonts w:ascii="Times New Roman" w:eastAsia="Times New Roman" w:hAnsi="Times New Roman" w:cs="Times New Roman"/>
          <w:i/>
        </w:rPr>
        <w:t>Children’s rights and the capability approach: challenges and prospects.</w:t>
      </w:r>
      <w:r w:rsidRPr="00FC2DF9">
        <w:rPr>
          <w:rFonts w:ascii="Times New Roman" w:eastAsia="Times New Roman" w:hAnsi="Times New Roman" w:cs="Times New Roman"/>
        </w:rPr>
        <w:t xml:space="preserve"> (Springer 2014) 67</w:t>
      </w:r>
      <w:r>
        <w:rPr>
          <w:rFonts w:ascii="Times New Roman" w:eastAsia="Times New Roman" w:hAnsi="Times New Roman" w:cs="Times New Roman"/>
        </w:rPr>
        <w:t>.</w:t>
      </w:r>
    </w:p>
  </w:footnote>
  <w:footnote w:id="42">
    <w:p w14:paraId="21E6BBFD" w14:textId="12E1E7D7" w:rsidR="007452A3" w:rsidRDefault="007452A3" w:rsidP="007452A3">
      <w:pPr>
        <w:pStyle w:val="FootnoteText"/>
      </w:pPr>
      <w:r>
        <w:rPr>
          <w:rStyle w:val="FootnoteReference"/>
        </w:rPr>
        <w:footnoteRef/>
      </w:r>
      <w:r>
        <w:t xml:space="preserve"> </w:t>
      </w:r>
      <w:r>
        <w:rPr>
          <w:rFonts w:ascii="Times New Roman" w:hAnsi="Times New Roman" w:cs="Times New Roman"/>
        </w:rPr>
        <w:t>C</w:t>
      </w:r>
      <w:r w:rsidR="009076C2">
        <w:rPr>
          <w:rFonts w:ascii="Times New Roman" w:hAnsi="Times New Roman" w:cs="Times New Roman"/>
        </w:rPr>
        <w:t>hris</w:t>
      </w:r>
      <w:r>
        <w:rPr>
          <w:rFonts w:ascii="Times New Roman" w:hAnsi="Times New Roman" w:cs="Times New Roman"/>
        </w:rPr>
        <w:t xml:space="preserve"> </w:t>
      </w:r>
      <w:r w:rsidRPr="00463A90">
        <w:rPr>
          <w:rFonts w:ascii="Times New Roman" w:hAnsi="Times New Roman" w:cs="Times New Roman"/>
        </w:rPr>
        <w:t xml:space="preserve">Jenks, </w:t>
      </w:r>
      <w:r w:rsidRPr="00463A90">
        <w:rPr>
          <w:rFonts w:ascii="Times New Roman" w:hAnsi="Times New Roman" w:cs="Times New Roman"/>
          <w:i/>
        </w:rPr>
        <w:t>Childhood.</w:t>
      </w:r>
      <w:r w:rsidRPr="00463A90">
        <w:rPr>
          <w:rFonts w:ascii="Times New Roman" w:hAnsi="Times New Roman" w:cs="Times New Roman"/>
        </w:rPr>
        <w:t xml:space="preserve"> </w:t>
      </w:r>
      <w:r>
        <w:rPr>
          <w:rFonts w:ascii="Times New Roman" w:hAnsi="Times New Roman" w:cs="Times New Roman"/>
        </w:rPr>
        <w:t>(Psychology Press 1996).</w:t>
      </w:r>
    </w:p>
  </w:footnote>
  <w:footnote w:id="43">
    <w:p w14:paraId="3B63C820" w14:textId="64252ED8" w:rsidR="007452A3" w:rsidRDefault="007452A3" w:rsidP="007452A3">
      <w:pPr>
        <w:pStyle w:val="FootnoteText"/>
      </w:pPr>
      <w:r>
        <w:rPr>
          <w:rStyle w:val="FootnoteReference"/>
        </w:rPr>
        <w:footnoteRef/>
      </w:r>
      <w:r>
        <w:t xml:space="preserve"> </w:t>
      </w:r>
      <w:r w:rsidRPr="00C22417">
        <w:rPr>
          <w:rFonts w:ascii="Times New Roman" w:hAnsi="Times New Roman" w:cs="Times New Roman"/>
        </w:rPr>
        <w:t>M</w:t>
      </w:r>
      <w:r w:rsidR="009076C2">
        <w:rPr>
          <w:rFonts w:ascii="Times New Roman" w:hAnsi="Times New Roman" w:cs="Times New Roman"/>
        </w:rPr>
        <w:t>arah</w:t>
      </w:r>
      <w:r w:rsidRPr="00C22417">
        <w:rPr>
          <w:rFonts w:ascii="Times New Roman" w:hAnsi="Times New Roman" w:cs="Times New Roman"/>
        </w:rPr>
        <w:t xml:space="preserve"> </w:t>
      </w:r>
      <w:proofErr w:type="spellStart"/>
      <w:r w:rsidRPr="00C22417">
        <w:rPr>
          <w:rFonts w:ascii="Times New Roman" w:hAnsi="Times New Roman" w:cs="Times New Roman"/>
        </w:rPr>
        <w:t>Gubar</w:t>
      </w:r>
      <w:proofErr w:type="spellEnd"/>
      <w:r w:rsidRPr="00C22417">
        <w:rPr>
          <w:rFonts w:ascii="Times New Roman" w:hAnsi="Times New Roman" w:cs="Times New Roman"/>
        </w:rPr>
        <w:t xml:space="preserve">, </w:t>
      </w:r>
      <w:r>
        <w:rPr>
          <w:rFonts w:ascii="Times New Roman" w:hAnsi="Times New Roman" w:cs="Times New Roman"/>
        </w:rPr>
        <w:t>‘</w:t>
      </w:r>
      <w:r w:rsidRPr="00C22417">
        <w:rPr>
          <w:rFonts w:ascii="Times New Roman" w:hAnsi="Times New Roman" w:cs="Times New Roman"/>
        </w:rPr>
        <w:t>Innocence</w:t>
      </w:r>
      <w:r>
        <w:rPr>
          <w:rFonts w:ascii="Times New Roman" w:hAnsi="Times New Roman" w:cs="Times New Roman"/>
        </w:rPr>
        <w:t>’</w:t>
      </w:r>
      <w:r w:rsidRPr="00C22417">
        <w:rPr>
          <w:rFonts w:ascii="Times New Roman" w:hAnsi="Times New Roman" w:cs="Times New Roman"/>
        </w:rPr>
        <w:t xml:space="preserve"> in P</w:t>
      </w:r>
      <w:r w:rsidR="009076C2">
        <w:rPr>
          <w:rFonts w:ascii="Times New Roman" w:hAnsi="Times New Roman" w:cs="Times New Roman"/>
        </w:rPr>
        <w:t>hilip</w:t>
      </w:r>
      <w:r>
        <w:rPr>
          <w:rFonts w:ascii="Times New Roman" w:hAnsi="Times New Roman" w:cs="Times New Roman"/>
        </w:rPr>
        <w:t xml:space="preserve"> </w:t>
      </w:r>
      <w:proofErr w:type="spellStart"/>
      <w:r>
        <w:rPr>
          <w:rFonts w:ascii="Times New Roman" w:hAnsi="Times New Roman" w:cs="Times New Roman"/>
        </w:rPr>
        <w:t>Nel</w:t>
      </w:r>
      <w:proofErr w:type="spellEnd"/>
      <w:r w:rsidR="009076C2">
        <w:rPr>
          <w:rFonts w:ascii="Times New Roman" w:hAnsi="Times New Roman" w:cs="Times New Roman"/>
        </w:rPr>
        <w:t xml:space="preserve"> and</w:t>
      </w:r>
      <w:r>
        <w:rPr>
          <w:rFonts w:ascii="Times New Roman" w:hAnsi="Times New Roman" w:cs="Times New Roman"/>
        </w:rPr>
        <w:t xml:space="preserve"> </w:t>
      </w:r>
      <w:proofErr w:type="spellStart"/>
      <w:r>
        <w:rPr>
          <w:rFonts w:ascii="Times New Roman" w:hAnsi="Times New Roman" w:cs="Times New Roman"/>
        </w:rPr>
        <w:t>L</w:t>
      </w:r>
      <w:r w:rsidR="009076C2">
        <w:rPr>
          <w:rFonts w:ascii="Times New Roman" w:hAnsi="Times New Roman" w:cs="Times New Roman"/>
        </w:rPr>
        <w:t>issa</w:t>
      </w:r>
      <w:proofErr w:type="spellEnd"/>
      <w:r w:rsidRPr="00C22417">
        <w:rPr>
          <w:rFonts w:ascii="Times New Roman" w:hAnsi="Times New Roman" w:cs="Times New Roman"/>
        </w:rPr>
        <w:t xml:space="preserve"> Paul (eds.) </w:t>
      </w:r>
      <w:r w:rsidRPr="00C22417">
        <w:rPr>
          <w:rFonts w:ascii="Times New Roman" w:hAnsi="Times New Roman" w:cs="Times New Roman"/>
          <w:i/>
        </w:rPr>
        <w:t>Keywords for Children’s Literature</w:t>
      </w:r>
      <w:r w:rsidRPr="00C22417">
        <w:rPr>
          <w:rFonts w:ascii="Times New Roman" w:hAnsi="Times New Roman" w:cs="Times New Roman"/>
        </w:rPr>
        <w:t xml:space="preserve"> (</w:t>
      </w:r>
      <w:r>
        <w:rPr>
          <w:rFonts w:ascii="Times New Roman" w:hAnsi="Times New Roman" w:cs="Times New Roman"/>
        </w:rPr>
        <w:t xml:space="preserve">Routledge, 2011) </w:t>
      </w:r>
      <w:r w:rsidRPr="00C22417">
        <w:rPr>
          <w:rFonts w:ascii="Times New Roman" w:hAnsi="Times New Roman" w:cs="Times New Roman"/>
        </w:rPr>
        <w:t>121-128</w:t>
      </w:r>
      <w:r w:rsidR="009076C2">
        <w:rPr>
          <w:rFonts w:ascii="Times New Roman" w:hAnsi="Times New Roman" w:cs="Times New Roman"/>
        </w:rPr>
        <w:t xml:space="preserve">; </w:t>
      </w:r>
      <w:r w:rsidRPr="00C22417">
        <w:rPr>
          <w:rFonts w:ascii="Times New Roman" w:hAnsi="Times New Roman" w:cs="Times New Roman"/>
        </w:rPr>
        <w:t>L</w:t>
      </w:r>
      <w:r w:rsidR="009076C2">
        <w:rPr>
          <w:rFonts w:ascii="Times New Roman" w:hAnsi="Times New Roman" w:cs="Times New Roman"/>
        </w:rPr>
        <w:t>ydia</w:t>
      </w:r>
      <w:r w:rsidRPr="00C22417">
        <w:rPr>
          <w:rFonts w:ascii="Times New Roman" w:hAnsi="Times New Roman" w:cs="Times New Roman"/>
        </w:rPr>
        <w:t xml:space="preserve"> </w:t>
      </w:r>
      <w:proofErr w:type="spellStart"/>
      <w:r w:rsidRPr="00C22417">
        <w:rPr>
          <w:rFonts w:ascii="Times New Roman" w:hAnsi="Times New Roman" w:cs="Times New Roman"/>
        </w:rPr>
        <w:t>Kokkola</w:t>
      </w:r>
      <w:proofErr w:type="spellEnd"/>
      <w:r w:rsidRPr="00C22417">
        <w:rPr>
          <w:rFonts w:ascii="Times New Roman" w:hAnsi="Times New Roman" w:cs="Times New Roman"/>
        </w:rPr>
        <w:t xml:space="preserve">, </w:t>
      </w:r>
      <w:r w:rsidRPr="00C22417">
        <w:rPr>
          <w:rFonts w:ascii="Times New Roman" w:hAnsi="Times New Roman" w:cs="Times New Roman"/>
          <w:i/>
        </w:rPr>
        <w:t>Fictions of adolescent carnality: sexy sinners and delinquent deviants</w:t>
      </w:r>
      <w:r w:rsidRPr="00C22417">
        <w:rPr>
          <w:rFonts w:ascii="Times New Roman" w:hAnsi="Times New Roman" w:cs="Times New Roman"/>
        </w:rPr>
        <w:t xml:space="preserve"> (</w:t>
      </w:r>
      <w:r>
        <w:rPr>
          <w:rFonts w:ascii="Times New Roman" w:hAnsi="Times New Roman" w:cs="Times New Roman"/>
        </w:rPr>
        <w:t xml:space="preserve">John </w:t>
      </w:r>
      <w:proofErr w:type="spellStart"/>
      <w:r>
        <w:rPr>
          <w:rFonts w:ascii="Times New Roman" w:hAnsi="Times New Roman" w:cs="Times New Roman"/>
        </w:rPr>
        <w:t>Benjamins</w:t>
      </w:r>
      <w:proofErr w:type="spellEnd"/>
      <w:r w:rsidRPr="00C22417">
        <w:rPr>
          <w:rFonts w:ascii="Times New Roman" w:hAnsi="Times New Roman" w:cs="Times New Roman"/>
        </w:rPr>
        <w:t xml:space="preserve"> 2013).</w:t>
      </w:r>
    </w:p>
  </w:footnote>
  <w:footnote w:id="44">
    <w:p w14:paraId="58425B68" w14:textId="7ABE137E" w:rsidR="007452A3" w:rsidRDefault="007452A3">
      <w:pPr>
        <w:pStyle w:val="FootnoteText"/>
      </w:pPr>
      <w:r>
        <w:rPr>
          <w:rStyle w:val="FootnoteReference"/>
        </w:rPr>
        <w:footnoteRef/>
      </w:r>
      <w:r>
        <w:t xml:space="preserve"> </w:t>
      </w:r>
      <w:r w:rsidRPr="00C22417">
        <w:rPr>
          <w:rFonts w:ascii="Times New Roman" w:hAnsi="Times New Roman" w:cs="Times New Roman"/>
        </w:rPr>
        <w:t>C</w:t>
      </w:r>
      <w:r w:rsidR="009076C2">
        <w:rPr>
          <w:rFonts w:ascii="Times New Roman" w:hAnsi="Times New Roman" w:cs="Times New Roman"/>
        </w:rPr>
        <w:t>indy</w:t>
      </w:r>
      <w:r w:rsidRPr="00C22417">
        <w:rPr>
          <w:rFonts w:ascii="Times New Roman" w:hAnsi="Times New Roman" w:cs="Times New Roman"/>
        </w:rPr>
        <w:t xml:space="preserve"> </w:t>
      </w:r>
      <w:r w:rsidRPr="00C22417">
        <w:rPr>
          <w:rStyle w:val="nlmstring-name"/>
          <w:rFonts w:ascii="Times New Roman" w:hAnsi="Times New Roman" w:cs="Times New Roman"/>
        </w:rPr>
        <w:t xml:space="preserve">Patton </w:t>
      </w:r>
      <w:r>
        <w:rPr>
          <w:rFonts w:ascii="Times New Roman" w:hAnsi="Times New Roman" w:cs="Times New Roman"/>
        </w:rPr>
        <w:t>‘</w:t>
      </w:r>
      <w:r w:rsidRPr="00C22417">
        <w:rPr>
          <w:rStyle w:val="nlmarticle-title"/>
          <w:rFonts w:ascii="Times New Roman" w:hAnsi="Times New Roman" w:cs="Times New Roman"/>
        </w:rPr>
        <w:t>Between innocence and safety: Epidemiologic and popular constructions of young people’s need for safe sex</w:t>
      </w:r>
      <w:r>
        <w:rPr>
          <w:rStyle w:val="nlmarticle-title"/>
          <w:rFonts w:ascii="Times New Roman" w:hAnsi="Times New Roman" w:cs="Times New Roman"/>
        </w:rPr>
        <w:t xml:space="preserve">’ </w:t>
      </w:r>
      <w:r w:rsidRPr="00C22417">
        <w:rPr>
          <w:rStyle w:val="nlmarticle-title"/>
          <w:rFonts w:ascii="Times New Roman" w:hAnsi="Times New Roman" w:cs="Times New Roman"/>
        </w:rPr>
        <w:t xml:space="preserve">in </w:t>
      </w:r>
      <w:r w:rsidRPr="00C22417">
        <w:rPr>
          <w:rFonts w:ascii="Times New Roman" w:hAnsi="Times New Roman" w:cs="Times New Roman"/>
        </w:rPr>
        <w:t>J</w:t>
      </w:r>
      <w:r w:rsidR="009076C2">
        <w:rPr>
          <w:rFonts w:ascii="Times New Roman" w:hAnsi="Times New Roman" w:cs="Times New Roman"/>
        </w:rPr>
        <w:t>ennifer</w:t>
      </w:r>
      <w:r w:rsidRPr="00C22417">
        <w:rPr>
          <w:rFonts w:ascii="Times New Roman" w:hAnsi="Times New Roman" w:cs="Times New Roman"/>
        </w:rPr>
        <w:t xml:space="preserve"> </w:t>
      </w:r>
      <w:r w:rsidRPr="00C22417">
        <w:rPr>
          <w:rStyle w:val="nlmstring-name"/>
          <w:rFonts w:ascii="Times New Roman" w:hAnsi="Times New Roman" w:cs="Times New Roman"/>
        </w:rPr>
        <w:t>Terry, J</w:t>
      </w:r>
      <w:r w:rsidR="009076C2">
        <w:rPr>
          <w:rStyle w:val="nlmstring-name"/>
          <w:rFonts w:ascii="Times New Roman" w:hAnsi="Times New Roman" w:cs="Times New Roman"/>
        </w:rPr>
        <w:t>acqueline</w:t>
      </w:r>
      <w:r w:rsidRPr="00C22417">
        <w:rPr>
          <w:rStyle w:val="nlmstring-name"/>
          <w:rFonts w:ascii="Times New Roman" w:hAnsi="Times New Roman" w:cs="Times New Roman"/>
        </w:rPr>
        <w:t xml:space="preserve"> </w:t>
      </w:r>
      <w:proofErr w:type="spellStart"/>
      <w:r>
        <w:rPr>
          <w:rStyle w:val="nlmstring-name"/>
          <w:rFonts w:ascii="Times New Roman" w:hAnsi="Times New Roman" w:cs="Times New Roman"/>
        </w:rPr>
        <w:t>Urla</w:t>
      </w:r>
      <w:proofErr w:type="spellEnd"/>
      <w:r>
        <w:rPr>
          <w:rStyle w:val="nlmstring-name"/>
          <w:rFonts w:ascii="Times New Roman" w:hAnsi="Times New Roman" w:cs="Times New Roman"/>
        </w:rPr>
        <w:t>,</w:t>
      </w:r>
      <w:r w:rsidRPr="00C22417">
        <w:rPr>
          <w:rFonts w:ascii="Times New Roman" w:hAnsi="Times New Roman" w:cs="Times New Roman"/>
        </w:rPr>
        <w:t xml:space="preserve"> (</w:t>
      </w:r>
      <w:proofErr w:type="spellStart"/>
      <w:r w:rsidRPr="00C22417">
        <w:rPr>
          <w:rFonts w:ascii="Times New Roman" w:hAnsi="Times New Roman" w:cs="Times New Roman"/>
        </w:rPr>
        <w:t>eds</w:t>
      </w:r>
      <w:proofErr w:type="spellEnd"/>
      <w:r w:rsidRPr="00C22417">
        <w:rPr>
          <w:rFonts w:ascii="Times New Roman" w:hAnsi="Times New Roman" w:cs="Times New Roman"/>
        </w:rPr>
        <w:t xml:space="preserve">) </w:t>
      </w:r>
      <w:r w:rsidRPr="00C22417">
        <w:rPr>
          <w:rFonts w:ascii="Times New Roman" w:hAnsi="Times New Roman" w:cs="Times New Roman"/>
          <w:i/>
        </w:rPr>
        <w:t>Deviant Bodies: Critical Perspectives on Difference in Science and Popular Culture</w:t>
      </w:r>
      <w:r w:rsidRPr="00C22417">
        <w:rPr>
          <w:rFonts w:ascii="Times New Roman" w:hAnsi="Times New Roman" w:cs="Times New Roman"/>
        </w:rPr>
        <w:t xml:space="preserve"> </w:t>
      </w:r>
      <w:r w:rsidRPr="00C22417">
        <w:rPr>
          <w:rStyle w:val="nlmpublisher-loc"/>
          <w:rFonts w:ascii="Times New Roman" w:hAnsi="Times New Roman" w:cs="Times New Roman"/>
        </w:rPr>
        <w:t>(</w:t>
      </w:r>
      <w:r>
        <w:rPr>
          <w:rStyle w:val="nlmpublisher-name"/>
          <w:rFonts w:ascii="Times New Roman" w:hAnsi="Times New Roman" w:cs="Times New Roman"/>
        </w:rPr>
        <w:t xml:space="preserve">Indiana University Press 1995) </w:t>
      </w:r>
      <w:r w:rsidRPr="00C22417">
        <w:rPr>
          <w:rStyle w:val="nlmfpage"/>
          <w:rFonts w:ascii="Times New Roman" w:hAnsi="Times New Roman" w:cs="Times New Roman"/>
        </w:rPr>
        <w:t>338</w:t>
      </w:r>
      <w:r w:rsidRPr="00C22417">
        <w:rPr>
          <w:rFonts w:ascii="Times New Roman" w:hAnsi="Times New Roman" w:cs="Times New Roman"/>
        </w:rPr>
        <w:t>–</w:t>
      </w:r>
      <w:r w:rsidRPr="00C22417">
        <w:rPr>
          <w:rStyle w:val="nlmlpage"/>
          <w:rFonts w:ascii="Times New Roman" w:hAnsi="Times New Roman" w:cs="Times New Roman"/>
        </w:rPr>
        <w:t>347.</w:t>
      </w:r>
    </w:p>
  </w:footnote>
  <w:footnote w:id="45">
    <w:p w14:paraId="79017CEE" w14:textId="1ADEE873" w:rsidR="007452A3" w:rsidRDefault="007452A3">
      <w:pPr>
        <w:pStyle w:val="FootnoteText"/>
      </w:pPr>
      <w:r>
        <w:rPr>
          <w:rStyle w:val="FootnoteReference"/>
        </w:rPr>
        <w:footnoteRef/>
      </w:r>
      <w:r>
        <w:t xml:space="preserve"> </w:t>
      </w:r>
      <w:r w:rsidR="00E13818">
        <w:rPr>
          <w:rFonts w:ascii="Times New Roman" w:hAnsi="Times New Roman" w:cs="Times New Roman"/>
        </w:rPr>
        <w:t>Danielle R Egan and Gail L Hawkes</w:t>
      </w:r>
      <w:r w:rsidRPr="00642E45">
        <w:rPr>
          <w:rStyle w:val="hlfld-contribauthor"/>
          <w:rFonts w:ascii="Times New Roman" w:hAnsi="Times New Roman" w:cs="Times New Roman"/>
          <w:shd w:val="clear" w:color="auto" w:fill="FFFFFF"/>
          <w:lang w:val="en"/>
        </w:rPr>
        <w:t>,</w:t>
      </w:r>
      <w:r w:rsidRPr="00642E45">
        <w:rPr>
          <w:rStyle w:val="ref-overlay2"/>
          <w:rFonts w:ascii="Times New Roman" w:hAnsi="Times New Roman" w:cs="Times New Roman"/>
          <w:lang w:val="en"/>
        </w:rPr>
        <w:t xml:space="preserve"> </w:t>
      </w:r>
      <w:r>
        <w:rPr>
          <w:rStyle w:val="ref-overlay2"/>
          <w:rFonts w:ascii="Times New Roman" w:hAnsi="Times New Roman" w:cs="Times New Roman"/>
          <w:lang w:val="en"/>
        </w:rPr>
        <w:t>‘</w:t>
      </w:r>
      <w:r w:rsidRPr="00642E45">
        <w:rPr>
          <w:rStyle w:val="nlmarticle-title"/>
          <w:rFonts w:ascii="Times New Roman" w:hAnsi="Times New Roman" w:cs="Times New Roman"/>
          <w:shd w:val="clear" w:color="auto" w:fill="FFFFFF"/>
          <w:lang w:val="en"/>
        </w:rPr>
        <w:t xml:space="preserve">Endangered girls and incendiary objects: Unpacking the discourse on </w:t>
      </w:r>
      <w:proofErr w:type="spellStart"/>
      <w:r w:rsidRPr="00642E45">
        <w:rPr>
          <w:rStyle w:val="nlmarticle-title"/>
          <w:rFonts w:ascii="Times New Roman" w:hAnsi="Times New Roman" w:cs="Times New Roman"/>
          <w:shd w:val="clear" w:color="auto" w:fill="FFFFFF"/>
          <w:lang w:val="en"/>
        </w:rPr>
        <w:t>sexualization</w:t>
      </w:r>
      <w:proofErr w:type="spellEnd"/>
      <w:r>
        <w:rPr>
          <w:rStyle w:val="ref-overlay2"/>
          <w:rFonts w:ascii="Times New Roman" w:hAnsi="Times New Roman" w:cs="Times New Roman"/>
          <w:lang w:val="en"/>
        </w:rPr>
        <w:t>’</w:t>
      </w:r>
      <w:r w:rsidRPr="00642E45">
        <w:rPr>
          <w:rStyle w:val="ref-overlay2"/>
          <w:rFonts w:ascii="Times New Roman" w:hAnsi="Times New Roman" w:cs="Times New Roman"/>
          <w:lang w:val="en"/>
        </w:rPr>
        <w:t xml:space="preserve"> </w:t>
      </w:r>
      <w:r>
        <w:rPr>
          <w:rStyle w:val="ref-overlay2"/>
          <w:rFonts w:ascii="Times New Roman" w:hAnsi="Times New Roman" w:cs="Times New Roman"/>
          <w:lang w:val="en"/>
        </w:rPr>
        <w:t>(</w:t>
      </w:r>
      <w:r w:rsidRPr="00642E45">
        <w:rPr>
          <w:rStyle w:val="ref-overlay2"/>
          <w:rFonts w:ascii="Times New Roman" w:hAnsi="Times New Roman" w:cs="Times New Roman"/>
          <w:lang w:val="en"/>
        </w:rPr>
        <w:t>2008</w:t>
      </w:r>
      <w:r>
        <w:rPr>
          <w:rStyle w:val="ref-overlay2"/>
          <w:rFonts w:ascii="Times New Roman" w:hAnsi="Times New Roman" w:cs="Times New Roman"/>
          <w:lang w:val="en"/>
        </w:rPr>
        <w:t>)</w:t>
      </w:r>
      <w:r w:rsidRPr="00642E45">
        <w:rPr>
          <w:rStyle w:val="ref-overlay2"/>
          <w:rFonts w:ascii="Times New Roman" w:hAnsi="Times New Roman" w:cs="Times New Roman"/>
          <w:lang w:val="en"/>
        </w:rPr>
        <w:t xml:space="preserve"> 12 </w:t>
      </w:r>
      <w:r w:rsidRPr="00E13818">
        <w:rPr>
          <w:rStyle w:val="ref-overlay2"/>
          <w:rFonts w:ascii="Times New Roman" w:hAnsi="Times New Roman" w:cs="Times New Roman"/>
          <w:iCs/>
          <w:lang w:val="en"/>
        </w:rPr>
        <w:t>Sexuality and Culture</w:t>
      </w:r>
      <w:r w:rsidRPr="00642E45">
        <w:rPr>
          <w:rStyle w:val="ref-overlay2"/>
          <w:rFonts w:ascii="Times New Roman" w:hAnsi="Times New Roman" w:cs="Times New Roman"/>
          <w:lang w:val="en"/>
        </w:rPr>
        <w:t xml:space="preserve"> </w:t>
      </w:r>
      <w:r w:rsidRPr="00642E45">
        <w:rPr>
          <w:rStyle w:val="nlmfpage"/>
          <w:rFonts w:ascii="Times New Roman" w:hAnsi="Times New Roman" w:cs="Times New Roman"/>
          <w:shd w:val="clear" w:color="auto" w:fill="FFFFFF"/>
          <w:lang w:val="en"/>
        </w:rPr>
        <w:t>291</w:t>
      </w:r>
      <w:r w:rsidRPr="00642E45">
        <w:rPr>
          <w:rStyle w:val="ref-overlay2"/>
          <w:rFonts w:ascii="Times New Roman" w:hAnsi="Times New Roman" w:cs="Times New Roman"/>
          <w:lang w:val="en"/>
        </w:rPr>
        <w:t>.</w:t>
      </w:r>
    </w:p>
  </w:footnote>
  <w:footnote w:id="46">
    <w:p w14:paraId="3C287AF1" w14:textId="42802907" w:rsidR="007452A3" w:rsidRDefault="007452A3">
      <w:pPr>
        <w:pStyle w:val="FootnoteText"/>
      </w:pPr>
      <w:r>
        <w:rPr>
          <w:rStyle w:val="FootnoteReference"/>
        </w:rPr>
        <w:footnoteRef/>
      </w:r>
      <w:r>
        <w:t xml:space="preserve"> </w:t>
      </w:r>
      <w:r w:rsidR="00E13818">
        <w:rPr>
          <w:rFonts w:ascii="Times New Roman" w:hAnsi="Times New Roman" w:cs="Times New Roman"/>
        </w:rPr>
        <w:t>Danielle R.</w:t>
      </w:r>
      <w:r w:rsidRPr="00463A90">
        <w:rPr>
          <w:rFonts w:ascii="Times New Roman" w:hAnsi="Times New Roman" w:cs="Times New Roman"/>
        </w:rPr>
        <w:t xml:space="preserve"> Egan</w:t>
      </w:r>
      <w:r w:rsidR="00E13818">
        <w:rPr>
          <w:rFonts w:ascii="Times New Roman" w:hAnsi="Times New Roman" w:cs="Times New Roman"/>
        </w:rPr>
        <w:t xml:space="preserve"> and</w:t>
      </w:r>
      <w:r w:rsidRPr="00463A90">
        <w:rPr>
          <w:rFonts w:ascii="Times New Roman" w:hAnsi="Times New Roman" w:cs="Times New Roman"/>
        </w:rPr>
        <w:t xml:space="preserve"> G</w:t>
      </w:r>
      <w:r w:rsidR="00E13818">
        <w:rPr>
          <w:rFonts w:ascii="Times New Roman" w:hAnsi="Times New Roman" w:cs="Times New Roman"/>
        </w:rPr>
        <w:t>ail L</w:t>
      </w:r>
      <w:r w:rsidRPr="00463A90">
        <w:rPr>
          <w:rFonts w:ascii="Times New Roman" w:hAnsi="Times New Roman" w:cs="Times New Roman"/>
        </w:rPr>
        <w:t xml:space="preserve"> Hawkes, </w:t>
      </w:r>
      <w:r>
        <w:rPr>
          <w:rFonts w:ascii="Times New Roman" w:hAnsi="Times New Roman" w:cs="Times New Roman"/>
        </w:rPr>
        <w:t>‘</w:t>
      </w:r>
      <w:r w:rsidRPr="00463A90">
        <w:rPr>
          <w:rFonts w:ascii="Times New Roman" w:hAnsi="Times New Roman" w:cs="Times New Roman"/>
        </w:rPr>
        <w:t>The problem with protection: Or, why we need to move towards recognition and the sexual agency of children</w:t>
      </w:r>
      <w:r>
        <w:rPr>
          <w:rFonts w:ascii="Times New Roman" w:hAnsi="Times New Roman" w:cs="Times New Roman"/>
        </w:rPr>
        <w:t>’</w:t>
      </w:r>
      <w:r w:rsidRPr="00463A90">
        <w:rPr>
          <w:rFonts w:ascii="Times New Roman" w:hAnsi="Times New Roman" w:cs="Times New Roman"/>
        </w:rPr>
        <w:t xml:space="preserve"> </w:t>
      </w:r>
      <w:r>
        <w:rPr>
          <w:rFonts w:ascii="Times New Roman" w:hAnsi="Times New Roman" w:cs="Times New Roman"/>
        </w:rPr>
        <w:t>(</w:t>
      </w:r>
      <w:r w:rsidRPr="00463A90">
        <w:rPr>
          <w:rFonts w:ascii="Times New Roman" w:hAnsi="Times New Roman" w:cs="Times New Roman"/>
        </w:rPr>
        <w:t>2009</w:t>
      </w:r>
      <w:r>
        <w:rPr>
          <w:rFonts w:ascii="Times New Roman" w:hAnsi="Times New Roman" w:cs="Times New Roman"/>
        </w:rPr>
        <w:t>)</w:t>
      </w:r>
      <w:r w:rsidRPr="00463A90">
        <w:rPr>
          <w:rFonts w:ascii="Times New Roman" w:hAnsi="Times New Roman" w:cs="Times New Roman"/>
        </w:rPr>
        <w:t xml:space="preserve"> 23 </w:t>
      </w:r>
      <w:r w:rsidRPr="00E13818">
        <w:rPr>
          <w:rFonts w:ascii="Times New Roman" w:hAnsi="Times New Roman" w:cs="Times New Roman"/>
        </w:rPr>
        <w:t>Journal of Media &amp; Cultural Studies</w:t>
      </w:r>
      <w:r w:rsidRPr="00463A90">
        <w:rPr>
          <w:rFonts w:ascii="Times New Roman" w:hAnsi="Times New Roman" w:cs="Times New Roman"/>
        </w:rPr>
        <w:t xml:space="preserve"> 391</w:t>
      </w:r>
      <w:r>
        <w:rPr>
          <w:rFonts w:ascii="Times New Roman" w:hAnsi="Times New Roman" w:cs="Times New Roman"/>
        </w:rPr>
        <w:t>.</w:t>
      </w:r>
    </w:p>
  </w:footnote>
  <w:footnote w:id="47">
    <w:p w14:paraId="51A2C78F" w14:textId="58477B89" w:rsidR="007452A3" w:rsidRDefault="007452A3">
      <w:pPr>
        <w:pStyle w:val="FootnoteText"/>
      </w:pPr>
      <w:r>
        <w:rPr>
          <w:rStyle w:val="FootnoteReference"/>
        </w:rPr>
        <w:footnoteRef/>
      </w:r>
      <w:r>
        <w:t xml:space="preserve"> </w:t>
      </w:r>
      <w:r>
        <w:rPr>
          <w:rFonts w:ascii="Times New Roman" w:hAnsi="Times New Roman" w:cs="Times New Roman"/>
        </w:rPr>
        <w:t>A</w:t>
      </w:r>
      <w:r w:rsidR="00E13818">
        <w:rPr>
          <w:rFonts w:ascii="Times New Roman" w:hAnsi="Times New Roman" w:cs="Times New Roman"/>
        </w:rPr>
        <w:t>llison</w:t>
      </w:r>
      <w:r>
        <w:rPr>
          <w:rFonts w:ascii="Times New Roman" w:hAnsi="Times New Roman" w:cs="Times New Roman"/>
        </w:rPr>
        <w:t xml:space="preserve"> </w:t>
      </w:r>
      <w:r w:rsidRPr="003310BC">
        <w:rPr>
          <w:rFonts w:ascii="Times New Roman" w:hAnsi="Times New Roman" w:cs="Times New Roman"/>
        </w:rPr>
        <w:t>Moore</w:t>
      </w:r>
      <w:r w:rsidR="00E13818">
        <w:rPr>
          <w:rFonts w:ascii="Times New Roman" w:hAnsi="Times New Roman" w:cs="Times New Roman"/>
        </w:rPr>
        <w:t xml:space="preserve"> and </w:t>
      </w:r>
      <w:r>
        <w:rPr>
          <w:rFonts w:ascii="Times New Roman" w:hAnsi="Times New Roman" w:cs="Times New Roman"/>
        </w:rPr>
        <w:t>P</w:t>
      </w:r>
      <w:r w:rsidR="00E13818">
        <w:rPr>
          <w:rFonts w:ascii="Times New Roman" w:hAnsi="Times New Roman" w:cs="Times New Roman"/>
        </w:rPr>
        <w:t>hil</w:t>
      </w:r>
      <w:r>
        <w:rPr>
          <w:rFonts w:ascii="Times New Roman" w:hAnsi="Times New Roman" w:cs="Times New Roman"/>
        </w:rPr>
        <w:t xml:space="preserve"> </w:t>
      </w:r>
      <w:r w:rsidRPr="003310BC">
        <w:rPr>
          <w:rFonts w:ascii="Times New Roman" w:hAnsi="Times New Roman" w:cs="Times New Roman"/>
        </w:rPr>
        <w:t>Prescott,</w:t>
      </w:r>
      <w:r>
        <w:rPr>
          <w:rFonts w:ascii="Times New Roman" w:hAnsi="Times New Roman" w:cs="Times New Roman"/>
        </w:rPr>
        <w:t xml:space="preserve"> ‘</w:t>
      </w:r>
      <w:r w:rsidRPr="003310BC">
        <w:rPr>
          <w:rFonts w:ascii="Times New Roman" w:hAnsi="Times New Roman" w:cs="Times New Roman"/>
        </w:rPr>
        <w:t>Absent but present: a critical analysis of the representation of sexuality in</w:t>
      </w:r>
      <w:r>
        <w:rPr>
          <w:rFonts w:ascii="Times New Roman" w:hAnsi="Times New Roman" w:cs="Times New Roman"/>
        </w:rPr>
        <w:t xml:space="preserve"> recent youth policy in the UK’ (2013) 16</w:t>
      </w:r>
      <w:r w:rsidRPr="003310BC">
        <w:rPr>
          <w:rFonts w:ascii="Times New Roman" w:hAnsi="Times New Roman" w:cs="Times New Roman"/>
        </w:rPr>
        <w:t xml:space="preserve"> </w:t>
      </w:r>
      <w:r w:rsidRPr="00E13818">
        <w:rPr>
          <w:rFonts w:ascii="Times New Roman" w:hAnsi="Times New Roman" w:cs="Times New Roman"/>
        </w:rPr>
        <w:t>Journal of Youth Studies</w:t>
      </w:r>
      <w:r>
        <w:rPr>
          <w:rFonts w:ascii="Times New Roman" w:hAnsi="Times New Roman" w:cs="Times New Roman"/>
        </w:rPr>
        <w:t xml:space="preserve"> 196.</w:t>
      </w:r>
    </w:p>
  </w:footnote>
  <w:footnote w:id="48">
    <w:p w14:paraId="4DBB0BEA" w14:textId="181A6B83" w:rsidR="000F2951" w:rsidRPr="000F2951" w:rsidRDefault="000F2951">
      <w:pPr>
        <w:pStyle w:val="FootnoteText"/>
      </w:pPr>
      <w:r>
        <w:rPr>
          <w:rStyle w:val="FootnoteReference"/>
        </w:rPr>
        <w:footnoteRef/>
      </w:r>
      <w:r>
        <w:t xml:space="preserve"> </w:t>
      </w:r>
      <w:r w:rsidRPr="000F2951">
        <w:rPr>
          <w:rFonts w:ascii="Times New Roman" w:hAnsi="Times New Roman" w:cs="Times New Roman"/>
        </w:rPr>
        <w:t xml:space="preserve">Michel Foucault </w:t>
      </w:r>
      <w:r w:rsidRPr="000F2951">
        <w:rPr>
          <w:rFonts w:ascii="Times New Roman" w:hAnsi="Times New Roman" w:cs="Times New Roman"/>
          <w:i/>
        </w:rPr>
        <w:t xml:space="preserve">The History of Sexuality </w:t>
      </w:r>
      <w:r w:rsidR="004128AC">
        <w:rPr>
          <w:rFonts w:ascii="Times New Roman" w:hAnsi="Times New Roman" w:cs="Times New Roman"/>
        </w:rPr>
        <w:t>(Penguin</w:t>
      </w:r>
      <w:r w:rsidRPr="000F2951">
        <w:rPr>
          <w:rFonts w:ascii="Times New Roman" w:hAnsi="Times New Roman" w:cs="Times New Roman"/>
        </w:rPr>
        <w:t xml:space="preserve"> 1976).</w:t>
      </w:r>
    </w:p>
  </w:footnote>
  <w:footnote w:id="49">
    <w:p w14:paraId="0C0749E9" w14:textId="36C2DFDD" w:rsidR="007452A3" w:rsidRDefault="007452A3">
      <w:pPr>
        <w:pStyle w:val="FootnoteText"/>
      </w:pPr>
      <w:r>
        <w:rPr>
          <w:rStyle w:val="FootnoteReference"/>
        </w:rPr>
        <w:footnoteRef/>
      </w:r>
      <w:r>
        <w:t xml:space="preserve"> </w:t>
      </w:r>
      <w:r w:rsidRPr="003310BC">
        <w:rPr>
          <w:rFonts w:ascii="Times New Roman" w:hAnsi="Times New Roman" w:cs="Times New Roman"/>
        </w:rPr>
        <w:t>M</w:t>
      </w:r>
      <w:r w:rsidR="00E13818">
        <w:rPr>
          <w:rFonts w:ascii="Times New Roman" w:hAnsi="Times New Roman" w:cs="Times New Roman"/>
        </w:rPr>
        <w:t>ark</w:t>
      </w:r>
      <w:r w:rsidRPr="003310BC">
        <w:rPr>
          <w:rFonts w:ascii="Times New Roman" w:hAnsi="Times New Roman" w:cs="Times New Roman"/>
        </w:rPr>
        <w:t xml:space="preserve"> Smith</w:t>
      </w:r>
      <w:r w:rsidR="00E13818">
        <w:rPr>
          <w:rFonts w:ascii="Times New Roman" w:hAnsi="Times New Roman" w:cs="Times New Roman"/>
        </w:rPr>
        <w:t xml:space="preserve"> and</w:t>
      </w:r>
      <w:r w:rsidRPr="003310BC">
        <w:rPr>
          <w:rFonts w:ascii="Times New Roman" w:hAnsi="Times New Roman" w:cs="Times New Roman"/>
        </w:rPr>
        <w:t xml:space="preserve"> J</w:t>
      </w:r>
      <w:r w:rsidR="00E13818">
        <w:rPr>
          <w:rFonts w:ascii="Times New Roman" w:hAnsi="Times New Roman" w:cs="Times New Roman"/>
        </w:rPr>
        <w:t>o</w:t>
      </w:r>
      <w:r w:rsidRPr="003310BC">
        <w:rPr>
          <w:rFonts w:ascii="Times New Roman" w:hAnsi="Times New Roman" w:cs="Times New Roman"/>
        </w:rPr>
        <w:t xml:space="preserve"> </w:t>
      </w:r>
      <w:proofErr w:type="spellStart"/>
      <w:r w:rsidRPr="003310BC">
        <w:rPr>
          <w:rFonts w:ascii="Times New Roman" w:hAnsi="Times New Roman" w:cs="Times New Roman"/>
        </w:rPr>
        <w:t>Woodiwiss</w:t>
      </w:r>
      <w:proofErr w:type="spellEnd"/>
      <w:r>
        <w:rPr>
          <w:rFonts w:ascii="Times New Roman" w:hAnsi="Times New Roman" w:cs="Times New Roman"/>
        </w:rPr>
        <w:t>,</w:t>
      </w:r>
      <w:r w:rsidRPr="003310BC">
        <w:rPr>
          <w:rFonts w:ascii="Times New Roman" w:hAnsi="Times New Roman" w:cs="Times New Roman"/>
        </w:rPr>
        <w:t xml:space="preserve"> </w:t>
      </w:r>
      <w:r>
        <w:rPr>
          <w:rFonts w:ascii="Times New Roman" w:hAnsi="Times New Roman" w:cs="Times New Roman"/>
        </w:rPr>
        <w:t>‘</w:t>
      </w:r>
      <w:r w:rsidRPr="003310BC">
        <w:rPr>
          <w:rFonts w:ascii="Times New Roman" w:hAnsi="Times New Roman" w:cs="Times New Roman"/>
        </w:rPr>
        <w:t>Sexuality, Innocence and Agency in Narratives of Childhood Sexual Abuse: Implications for Social Work</w:t>
      </w:r>
      <w:r>
        <w:rPr>
          <w:rFonts w:ascii="Times New Roman" w:hAnsi="Times New Roman" w:cs="Times New Roman"/>
        </w:rPr>
        <w:t>’ (2016)</w:t>
      </w:r>
      <w:r w:rsidRPr="003310BC">
        <w:rPr>
          <w:rFonts w:ascii="Times New Roman" w:hAnsi="Times New Roman" w:cs="Times New Roman"/>
          <w:color w:val="000000"/>
        </w:rPr>
        <w:t xml:space="preserve"> </w:t>
      </w:r>
      <w:r>
        <w:rPr>
          <w:rFonts w:ascii="Times New Roman" w:hAnsi="Times New Roman" w:cs="Times New Roman"/>
          <w:color w:val="000000"/>
        </w:rPr>
        <w:t xml:space="preserve">46 </w:t>
      </w:r>
      <w:r w:rsidRPr="004128AC">
        <w:rPr>
          <w:rFonts w:ascii="Times New Roman" w:hAnsi="Times New Roman" w:cs="Times New Roman"/>
          <w:lang w:val="en"/>
        </w:rPr>
        <w:t>British Journal of Social Work</w:t>
      </w:r>
      <w:r w:rsidRPr="004128AC">
        <w:rPr>
          <w:rFonts w:ascii="Times New Roman" w:hAnsi="Times New Roman" w:cs="Times New Roman"/>
          <w:i/>
          <w:lang w:val="en"/>
        </w:rPr>
        <w:t xml:space="preserve"> </w:t>
      </w:r>
      <w:r w:rsidRPr="004128AC">
        <w:rPr>
          <w:rFonts w:ascii="Times New Roman" w:hAnsi="Times New Roman" w:cs="Times New Roman"/>
          <w:lang w:val="en"/>
        </w:rPr>
        <w:t>2173.</w:t>
      </w:r>
    </w:p>
  </w:footnote>
  <w:footnote w:id="50">
    <w:p w14:paraId="2F375331" w14:textId="4BE6287B" w:rsidR="007452A3" w:rsidRDefault="007452A3">
      <w:pPr>
        <w:pStyle w:val="FootnoteText"/>
      </w:pPr>
      <w:r>
        <w:rPr>
          <w:rStyle w:val="FootnoteReference"/>
        </w:rPr>
        <w:footnoteRef/>
      </w:r>
      <w:r>
        <w:t xml:space="preserve"> </w:t>
      </w:r>
      <w:r>
        <w:rPr>
          <w:rFonts w:ascii="Times New Roman" w:hAnsi="Times New Roman" w:cs="Times New Roman"/>
        </w:rPr>
        <w:t>N</w:t>
      </w:r>
      <w:r w:rsidR="00E13818">
        <w:rPr>
          <w:rFonts w:ascii="Times New Roman" w:hAnsi="Times New Roman" w:cs="Times New Roman"/>
        </w:rPr>
        <w:t>ancy</w:t>
      </w:r>
      <w:r>
        <w:rPr>
          <w:rFonts w:ascii="Times New Roman" w:hAnsi="Times New Roman" w:cs="Times New Roman"/>
        </w:rPr>
        <w:t xml:space="preserve"> </w:t>
      </w:r>
      <w:proofErr w:type="spellStart"/>
      <w:r w:rsidRPr="003310BC">
        <w:rPr>
          <w:rFonts w:ascii="Times New Roman" w:hAnsi="Times New Roman" w:cs="Times New Roman"/>
        </w:rPr>
        <w:t>Lesko</w:t>
      </w:r>
      <w:proofErr w:type="spellEnd"/>
      <w:r w:rsidRPr="003310BC">
        <w:rPr>
          <w:rFonts w:ascii="Times New Roman" w:hAnsi="Times New Roman" w:cs="Times New Roman"/>
        </w:rPr>
        <w:t xml:space="preserve">, </w:t>
      </w:r>
      <w:r>
        <w:rPr>
          <w:rFonts w:ascii="Times New Roman" w:hAnsi="Times New Roman" w:cs="Times New Roman"/>
        </w:rPr>
        <w:t>‘</w:t>
      </w:r>
      <w:r w:rsidRPr="003310BC">
        <w:rPr>
          <w:rFonts w:ascii="Times New Roman" w:hAnsi="Times New Roman" w:cs="Times New Roman"/>
        </w:rPr>
        <w:t xml:space="preserve">Feeling abstinent? Feeling comprehensive? Touching the </w:t>
      </w:r>
      <w:proofErr w:type="spellStart"/>
      <w:r w:rsidRPr="003310BC">
        <w:rPr>
          <w:rFonts w:ascii="Times New Roman" w:hAnsi="Times New Roman" w:cs="Times New Roman"/>
        </w:rPr>
        <w:t>affects</w:t>
      </w:r>
      <w:proofErr w:type="spellEnd"/>
      <w:r w:rsidRPr="003310BC">
        <w:rPr>
          <w:rFonts w:ascii="Times New Roman" w:hAnsi="Times New Roman" w:cs="Times New Roman"/>
        </w:rPr>
        <w:t xml:space="preserve"> of sexuality curricula</w:t>
      </w:r>
      <w:r>
        <w:rPr>
          <w:rFonts w:ascii="Times New Roman" w:hAnsi="Times New Roman" w:cs="Times New Roman"/>
        </w:rPr>
        <w:t>’</w:t>
      </w:r>
      <w:r w:rsidRPr="003310BC">
        <w:rPr>
          <w:rFonts w:ascii="Times New Roman" w:hAnsi="Times New Roman" w:cs="Times New Roman"/>
        </w:rPr>
        <w:t xml:space="preserve">, </w:t>
      </w:r>
      <w:r>
        <w:rPr>
          <w:rFonts w:ascii="Times New Roman" w:hAnsi="Times New Roman" w:cs="Times New Roman"/>
        </w:rPr>
        <w:t xml:space="preserve">(2010) 10 </w:t>
      </w:r>
      <w:r w:rsidRPr="00E13818">
        <w:rPr>
          <w:rFonts w:ascii="Times New Roman" w:hAnsi="Times New Roman" w:cs="Times New Roman"/>
        </w:rPr>
        <w:t>Sex Education</w:t>
      </w:r>
      <w:r w:rsidRPr="003310BC">
        <w:rPr>
          <w:rFonts w:ascii="Times New Roman" w:hAnsi="Times New Roman" w:cs="Times New Roman"/>
        </w:rPr>
        <w:t xml:space="preserve"> </w:t>
      </w:r>
      <w:r>
        <w:rPr>
          <w:rFonts w:ascii="Times New Roman" w:hAnsi="Times New Roman" w:cs="Times New Roman"/>
        </w:rPr>
        <w:t>281</w:t>
      </w:r>
    </w:p>
  </w:footnote>
  <w:footnote w:id="51">
    <w:p w14:paraId="46DB8C64" w14:textId="656AD48A" w:rsidR="00630D55" w:rsidRPr="00630D55" w:rsidRDefault="00630D55">
      <w:pPr>
        <w:pStyle w:val="FootnoteText"/>
        <w:rPr>
          <w:rFonts w:ascii="Times New Roman" w:hAnsi="Times New Roman" w:cs="Times New Roman"/>
        </w:rPr>
      </w:pPr>
      <w:r>
        <w:rPr>
          <w:rStyle w:val="FootnoteReference"/>
        </w:rPr>
        <w:footnoteRef/>
      </w:r>
      <w:r>
        <w:t xml:space="preserve"> </w:t>
      </w:r>
      <w:r w:rsidRPr="00630D55">
        <w:rPr>
          <w:rFonts w:ascii="Times New Roman" w:hAnsi="Times New Roman" w:cs="Times New Roman"/>
        </w:rPr>
        <w:t xml:space="preserve">John Gardner and Stephen Shute ‘The wrongness of rape’ in Jeremy </w:t>
      </w:r>
      <w:proofErr w:type="spellStart"/>
      <w:r w:rsidRPr="00630D55">
        <w:rPr>
          <w:rFonts w:ascii="Times New Roman" w:hAnsi="Times New Roman" w:cs="Times New Roman"/>
        </w:rPr>
        <w:t>Horder</w:t>
      </w:r>
      <w:proofErr w:type="spellEnd"/>
      <w:r w:rsidRPr="00630D55">
        <w:rPr>
          <w:rFonts w:ascii="Times New Roman" w:hAnsi="Times New Roman" w:cs="Times New Roman"/>
        </w:rPr>
        <w:t xml:space="preserve"> (ed.) </w:t>
      </w:r>
      <w:r w:rsidRPr="00630D55">
        <w:rPr>
          <w:rFonts w:ascii="Times New Roman" w:hAnsi="Times New Roman" w:cs="Times New Roman"/>
          <w:i/>
        </w:rPr>
        <w:t>Oxford Essays on Jurisprudence</w:t>
      </w:r>
      <w:r w:rsidR="004128AC">
        <w:rPr>
          <w:rFonts w:ascii="Times New Roman" w:hAnsi="Times New Roman" w:cs="Times New Roman"/>
        </w:rPr>
        <w:t xml:space="preserve"> (Oxford University Press</w:t>
      </w:r>
      <w:r w:rsidRPr="00630D55">
        <w:rPr>
          <w:rFonts w:ascii="Times New Roman" w:hAnsi="Times New Roman" w:cs="Times New Roman"/>
        </w:rPr>
        <w:t xml:space="preserve"> 2000), 207</w:t>
      </w:r>
    </w:p>
  </w:footnote>
  <w:footnote w:id="52">
    <w:p w14:paraId="34E4607C" w14:textId="77777777" w:rsidR="00885C6C" w:rsidRPr="00231029" w:rsidRDefault="00885C6C" w:rsidP="00885C6C">
      <w:pPr>
        <w:pStyle w:val="FootnoteText"/>
      </w:pPr>
      <w:r>
        <w:rPr>
          <w:rStyle w:val="FootnoteReference"/>
        </w:rPr>
        <w:footnoteRef/>
      </w:r>
      <w:r>
        <w:t xml:space="preserve"> </w:t>
      </w:r>
      <w:proofErr w:type="spellStart"/>
      <w:r>
        <w:rPr>
          <w:rFonts w:ascii="Times New Roman" w:hAnsi="Times New Roman" w:cs="Times New Roman"/>
        </w:rPr>
        <w:t>Mianna</w:t>
      </w:r>
      <w:proofErr w:type="spellEnd"/>
      <w:r>
        <w:rPr>
          <w:rFonts w:ascii="Times New Roman" w:hAnsi="Times New Roman" w:cs="Times New Roman"/>
        </w:rPr>
        <w:t xml:space="preserve"> </w:t>
      </w:r>
      <w:proofErr w:type="spellStart"/>
      <w:r>
        <w:rPr>
          <w:rFonts w:ascii="Times New Roman" w:hAnsi="Times New Roman" w:cs="Times New Roman"/>
        </w:rPr>
        <w:t>Lotz</w:t>
      </w:r>
      <w:proofErr w:type="spellEnd"/>
      <w:r>
        <w:rPr>
          <w:rFonts w:ascii="Times New Roman" w:hAnsi="Times New Roman" w:cs="Times New Roman"/>
        </w:rPr>
        <w:t>,</w:t>
      </w:r>
      <w:r w:rsidRPr="00231029">
        <w:rPr>
          <w:rFonts w:ascii="Times New Roman" w:hAnsi="Times New Roman" w:cs="Times New Roman"/>
        </w:rPr>
        <w:t xml:space="preserve"> ‘Vulnerability and resilience: a critical nexus’</w:t>
      </w:r>
      <w:r>
        <w:rPr>
          <w:rFonts w:ascii="Times New Roman" w:hAnsi="Times New Roman" w:cs="Times New Roman"/>
        </w:rPr>
        <w:t xml:space="preserve"> (2016) 37(1)</w:t>
      </w:r>
      <w:r w:rsidRPr="00231029">
        <w:rPr>
          <w:rFonts w:ascii="Times New Roman" w:hAnsi="Times New Roman" w:cs="Times New Roman"/>
        </w:rPr>
        <w:t xml:space="preserve"> </w:t>
      </w:r>
      <w:r w:rsidRPr="0090458F">
        <w:rPr>
          <w:rFonts w:ascii="Times New Roman" w:hAnsi="Times New Roman" w:cs="Times New Roman"/>
        </w:rPr>
        <w:t>Theoretical Medicine and Bioethics</w:t>
      </w:r>
      <w:r w:rsidRPr="00231029">
        <w:rPr>
          <w:rFonts w:ascii="Times New Roman" w:hAnsi="Times New Roman" w:cs="Times New Roman"/>
        </w:rPr>
        <w:t xml:space="preserve"> </w:t>
      </w:r>
      <w:r>
        <w:rPr>
          <w:rFonts w:ascii="Times New Roman" w:hAnsi="Times New Roman" w:cs="Times New Roman"/>
        </w:rPr>
        <w:t>45.</w:t>
      </w:r>
    </w:p>
  </w:footnote>
  <w:footnote w:id="53">
    <w:p w14:paraId="38563782" w14:textId="3A5F5A3E" w:rsidR="00885C6C" w:rsidRPr="00231029" w:rsidRDefault="00885C6C" w:rsidP="00885C6C">
      <w:pPr>
        <w:pStyle w:val="FootnoteText"/>
      </w:pPr>
      <w:r>
        <w:rPr>
          <w:rStyle w:val="FootnoteReference"/>
        </w:rPr>
        <w:footnoteRef/>
      </w:r>
      <w:r>
        <w:t xml:space="preserve"> </w:t>
      </w:r>
      <w:r>
        <w:rPr>
          <w:rFonts w:ascii="Times New Roman" w:hAnsi="Times New Roman" w:cs="Times New Roman"/>
        </w:rPr>
        <w:t>Catriona M</w:t>
      </w:r>
      <w:r w:rsidRPr="00231029">
        <w:rPr>
          <w:rFonts w:ascii="Times New Roman" w:hAnsi="Times New Roman" w:cs="Times New Roman"/>
        </w:rPr>
        <w:t xml:space="preserve">ackenzie, </w:t>
      </w:r>
      <w:r>
        <w:rPr>
          <w:rFonts w:ascii="Times New Roman" w:hAnsi="Times New Roman" w:cs="Times New Roman"/>
        </w:rPr>
        <w:t>Wendy</w:t>
      </w:r>
      <w:r w:rsidRPr="00231029">
        <w:rPr>
          <w:rFonts w:ascii="Times New Roman" w:hAnsi="Times New Roman" w:cs="Times New Roman"/>
        </w:rPr>
        <w:t xml:space="preserve"> Rogers</w:t>
      </w:r>
      <w:r>
        <w:rPr>
          <w:rFonts w:ascii="Times New Roman" w:hAnsi="Times New Roman" w:cs="Times New Roman"/>
        </w:rPr>
        <w:t xml:space="preserve"> and Susan </w:t>
      </w:r>
      <w:proofErr w:type="spellStart"/>
      <w:r>
        <w:rPr>
          <w:rFonts w:ascii="Times New Roman" w:hAnsi="Times New Roman" w:cs="Times New Roman"/>
        </w:rPr>
        <w:t>Dodds</w:t>
      </w:r>
      <w:proofErr w:type="spellEnd"/>
      <w:r>
        <w:rPr>
          <w:rFonts w:ascii="Times New Roman" w:hAnsi="Times New Roman" w:cs="Times New Roman"/>
        </w:rPr>
        <w:t xml:space="preserve">, </w:t>
      </w:r>
      <w:r w:rsidRPr="00231029">
        <w:rPr>
          <w:rFonts w:ascii="Times New Roman" w:hAnsi="Times New Roman" w:cs="Times New Roman"/>
        </w:rPr>
        <w:t xml:space="preserve">‘Introduction’ in </w:t>
      </w:r>
      <w:r>
        <w:rPr>
          <w:rFonts w:ascii="Times New Roman" w:hAnsi="Times New Roman" w:cs="Times New Roman"/>
        </w:rPr>
        <w:t>Catriona M</w:t>
      </w:r>
      <w:r w:rsidRPr="00231029">
        <w:rPr>
          <w:rFonts w:ascii="Times New Roman" w:hAnsi="Times New Roman" w:cs="Times New Roman"/>
        </w:rPr>
        <w:t xml:space="preserve">ackenzie, </w:t>
      </w:r>
      <w:r>
        <w:rPr>
          <w:rFonts w:ascii="Times New Roman" w:hAnsi="Times New Roman" w:cs="Times New Roman"/>
        </w:rPr>
        <w:t>Wendy</w:t>
      </w:r>
      <w:r w:rsidRPr="00231029">
        <w:rPr>
          <w:rFonts w:ascii="Times New Roman" w:hAnsi="Times New Roman" w:cs="Times New Roman"/>
        </w:rPr>
        <w:t xml:space="preserve"> Rogers</w:t>
      </w:r>
      <w:r>
        <w:rPr>
          <w:rFonts w:ascii="Times New Roman" w:hAnsi="Times New Roman" w:cs="Times New Roman"/>
        </w:rPr>
        <w:t xml:space="preserve"> and Susan </w:t>
      </w:r>
      <w:proofErr w:type="spellStart"/>
      <w:r>
        <w:rPr>
          <w:rFonts w:ascii="Times New Roman" w:hAnsi="Times New Roman" w:cs="Times New Roman"/>
        </w:rPr>
        <w:t>Dodds</w:t>
      </w:r>
      <w:proofErr w:type="spellEnd"/>
      <w:r w:rsidRPr="00231029">
        <w:rPr>
          <w:rFonts w:ascii="Times New Roman" w:hAnsi="Times New Roman" w:cs="Times New Roman"/>
        </w:rPr>
        <w:t xml:space="preserve"> (eds.) </w:t>
      </w:r>
      <w:r w:rsidRPr="00231029">
        <w:rPr>
          <w:rFonts w:ascii="Times New Roman" w:hAnsi="Times New Roman" w:cs="Times New Roman"/>
          <w:i/>
        </w:rPr>
        <w:t>Vulnerability: new essays in ethics and feminist philosophy</w:t>
      </w:r>
      <w:r w:rsidRPr="00231029">
        <w:rPr>
          <w:rFonts w:ascii="Times New Roman" w:hAnsi="Times New Roman" w:cs="Times New Roman"/>
        </w:rPr>
        <w:t xml:space="preserve"> </w:t>
      </w:r>
      <w:r>
        <w:rPr>
          <w:rFonts w:ascii="Times New Roman" w:hAnsi="Times New Roman" w:cs="Times New Roman"/>
        </w:rPr>
        <w:t>(</w:t>
      </w:r>
      <w:r w:rsidRPr="00231029">
        <w:rPr>
          <w:rFonts w:ascii="Times New Roman" w:hAnsi="Times New Roman" w:cs="Times New Roman"/>
        </w:rPr>
        <w:t>Oxford University Press</w:t>
      </w:r>
      <w:r>
        <w:rPr>
          <w:rFonts w:ascii="Times New Roman" w:hAnsi="Times New Roman" w:cs="Times New Roman"/>
        </w:rPr>
        <w:t xml:space="preserve"> 2014). </w:t>
      </w:r>
    </w:p>
  </w:footnote>
  <w:footnote w:id="54">
    <w:p w14:paraId="5E9C547C" w14:textId="2C81EC96" w:rsidR="00885C6C" w:rsidRDefault="00885C6C" w:rsidP="00885C6C">
      <w:pPr>
        <w:pStyle w:val="FootnoteText"/>
      </w:pPr>
      <w:r>
        <w:rPr>
          <w:rStyle w:val="FootnoteReference"/>
        </w:rPr>
        <w:footnoteRef/>
      </w:r>
      <w:r>
        <w:t xml:space="preserve"> </w:t>
      </w:r>
      <w:r>
        <w:rPr>
          <w:rFonts w:ascii="Times New Roman" w:hAnsi="Times New Roman" w:cs="Times New Roman"/>
        </w:rPr>
        <w:t>Joel A</w:t>
      </w:r>
      <w:r w:rsidRPr="00B501E2">
        <w:rPr>
          <w:rFonts w:ascii="Times New Roman" w:hAnsi="Times New Roman" w:cs="Times New Roman"/>
        </w:rPr>
        <w:t xml:space="preserve">nderson, ‘Vulnerability and autonomy entwined’ </w:t>
      </w:r>
      <w:r w:rsidRPr="00231029">
        <w:rPr>
          <w:rFonts w:ascii="Times New Roman" w:hAnsi="Times New Roman" w:cs="Times New Roman"/>
        </w:rPr>
        <w:t xml:space="preserve">in </w:t>
      </w:r>
      <w:r>
        <w:rPr>
          <w:rFonts w:ascii="Times New Roman" w:hAnsi="Times New Roman" w:cs="Times New Roman"/>
        </w:rPr>
        <w:t>Catriona M</w:t>
      </w:r>
      <w:r w:rsidRPr="00231029">
        <w:rPr>
          <w:rFonts w:ascii="Times New Roman" w:hAnsi="Times New Roman" w:cs="Times New Roman"/>
        </w:rPr>
        <w:t xml:space="preserve">ackenzie, </w:t>
      </w:r>
      <w:r>
        <w:rPr>
          <w:rFonts w:ascii="Times New Roman" w:hAnsi="Times New Roman" w:cs="Times New Roman"/>
        </w:rPr>
        <w:t>Wendy</w:t>
      </w:r>
      <w:r w:rsidRPr="00231029">
        <w:rPr>
          <w:rFonts w:ascii="Times New Roman" w:hAnsi="Times New Roman" w:cs="Times New Roman"/>
        </w:rPr>
        <w:t xml:space="preserve"> Rogers</w:t>
      </w:r>
      <w:r>
        <w:rPr>
          <w:rFonts w:ascii="Times New Roman" w:hAnsi="Times New Roman" w:cs="Times New Roman"/>
        </w:rPr>
        <w:t xml:space="preserve"> and Susan </w:t>
      </w:r>
      <w:proofErr w:type="spellStart"/>
      <w:r>
        <w:rPr>
          <w:rFonts w:ascii="Times New Roman" w:hAnsi="Times New Roman" w:cs="Times New Roman"/>
        </w:rPr>
        <w:t>Dodds</w:t>
      </w:r>
      <w:proofErr w:type="spellEnd"/>
      <w:r w:rsidRPr="00231029">
        <w:rPr>
          <w:rFonts w:ascii="Times New Roman" w:hAnsi="Times New Roman" w:cs="Times New Roman"/>
        </w:rPr>
        <w:t xml:space="preserve"> (eds.) </w:t>
      </w:r>
      <w:r w:rsidRPr="00231029">
        <w:rPr>
          <w:rFonts w:ascii="Times New Roman" w:hAnsi="Times New Roman" w:cs="Times New Roman"/>
          <w:i/>
        </w:rPr>
        <w:t>Vulnerability: new essays in ethics and feminist philosophy</w:t>
      </w:r>
      <w:r w:rsidRPr="00231029">
        <w:rPr>
          <w:rFonts w:ascii="Times New Roman" w:hAnsi="Times New Roman" w:cs="Times New Roman"/>
        </w:rPr>
        <w:t xml:space="preserve"> </w:t>
      </w:r>
      <w:r>
        <w:rPr>
          <w:rFonts w:ascii="Times New Roman" w:hAnsi="Times New Roman" w:cs="Times New Roman"/>
        </w:rPr>
        <w:t>(</w:t>
      </w:r>
      <w:r w:rsidRPr="00231029">
        <w:rPr>
          <w:rFonts w:ascii="Times New Roman" w:hAnsi="Times New Roman" w:cs="Times New Roman"/>
        </w:rPr>
        <w:t>Oxford University Press</w:t>
      </w:r>
      <w:r>
        <w:rPr>
          <w:rFonts w:ascii="Times New Roman" w:hAnsi="Times New Roman" w:cs="Times New Roman"/>
        </w:rPr>
        <w:t xml:space="preserve"> 2014).</w:t>
      </w:r>
    </w:p>
  </w:footnote>
  <w:footnote w:id="55">
    <w:p w14:paraId="2E620638" w14:textId="77777777" w:rsidR="00885C6C" w:rsidRPr="00231029" w:rsidRDefault="00885C6C" w:rsidP="00885C6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color w:val="000000"/>
        </w:rPr>
        <w:t>ibid.,</w:t>
      </w:r>
      <w:r w:rsidRPr="00231029">
        <w:rPr>
          <w:rFonts w:ascii="Times New Roman" w:hAnsi="Times New Roman" w:cs="Times New Roman"/>
          <w:color w:val="000000"/>
        </w:rPr>
        <w:t xml:space="preserve"> 144</w:t>
      </w:r>
      <w:r>
        <w:rPr>
          <w:rFonts w:ascii="Times New Roman" w:hAnsi="Times New Roman" w:cs="Times New Roman"/>
          <w:color w:val="000000"/>
        </w:rPr>
        <w:t>.</w:t>
      </w:r>
    </w:p>
  </w:footnote>
  <w:footnote w:id="56">
    <w:p w14:paraId="01955EC6" w14:textId="27CE7578" w:rsidR="00885C6C" w:rsidRDefault="00885C6C" w:rsidP="00885C6C">
      <w:pPr>
        <w:pStyle w:val="FootnoteText"/>
      </w:pPr>
      <w:r>
        <w:rPr>
          <w:rStyle w:val="FootnoteReference"/>
        </w:rPr>
        <w:footnoteRef/>
      </w:r>
      <w:r>
        <w:t xml:space="preserve"> </w:t>
      </w:r>
      <w:r>
        <w:rPr>
          <w:rFonts w:ascii="Times New Roman" w:hAnsi="Times New Roman" w:cs="Times New Roman"/>
        </w:rPr>
        <w:t xml:space="preserve">Diana T Meyers, </w:t>
      </w:r>
      <w:r w:rsidRPr="00B501E2">
        <w:rPr>
          <w:rFonts w:ascii="Times New Roman" w:hAnsi="Times New Roman" w:cs="Times New Roman"/>
          <w:i/>
          <w:iCs/>
        </w:rPr>
        <w:t xml:space="preserve">Self, Society and Personal Choice </w:t>
      </w:r>
      <w:r w:rsidR="004128AC">
        <w:rPr>
          <w:rFonts w:ascii="Times New Roman" w:hAnsi="Times New Roman" w:cs="Times New Roman"/>
        </w:rPr>
        <w:t>(Columbia University Press</w:t>
      </w:r>
      <w:r>
        <w:rPr>
          <w:rFonts w:ascii="Times New Roman" w:hAnsi="Times New Roman" w:cs="Times New Roman"/>
        </w:rPr>
        <w:t xml:space="preserve"> 1989).</w:t>
      </w:r>
    </w:p>
  </w:footnote>
  <w:footnote w:id="57">
    <w:p w14:paraId="5A618FE5" w14:textId="7B3AE310" w:rsidR="00885C6C" w:rsidRDefault="00885C6C" w:rsidP="00885C6C">
      <w:pPr>
        <w:pStyle w:val="FootnoteText"/>
      </w:pPr>
      <w:r>
        <w:rPr>
          <w:rStyle w:val="FootnoteReference"/>
        </w:rPr>
        <w:footnoteRef/>
      </w:r>
      <w:r>
        <w:t xml:space="preserve"> </w:t>
      </w:r>
      <w:r w:rsidRPr="00AF3BE7">
        <w:rPr>
          <w:rFonts w:ascii="Times New Roman" w:hAnsi="Times New Roman" w:cs="Times New Roman"/>
        </w:rPr>
        <w:t xml:space="preserve">Sumi </w:t>
      </w:r>
      <w:proofErr w:type="spellStart"/>
      <w:r w:rsidRPr="00AF3BE7">
        <w:rPr>
          <w:rFonts w:ascii="Times New Roman" w:hAnsi="Times New Roman" w:cs="Times New Roman"/>
        </w:rPr>
        <w:t>Madhok</w:t>
      </w:r>
      <w:proofErr w:type="spellEnd"/>
      <w:r w:rsidRPr="00AF3BE7">
        <w:rPr>
          <w:rFonts w:ascii="Times New Roman" w:hAnsi="Times New Roman" w:cs="Times New Roman"/>
        </w:rPr>
        <w:t xml:space="preserve">, Anne Phillips, </w:t>
      </w:r>
      <w:proofErr w:type="spellStart"/>
      <w:r w:rsidRPr="00AF3BE7">
        <w:rPr>
          <w:rFonts w:ascii="Times New Roman" w:hAnsi="Times New Roman" w:cs="Times New Roman"/>
        </w:rPr>
        <w:t>Kalpana</w:t>
      </w:r>
      <w:proofErr w:type="spellEnd"/>
      <w:r w:rsidRPr="00AF3BE7">
        <w:rPr>
          <w:rFonts w:ascii="Times New Roman" w:hAnsi="Times New Roman" w:cs="Times New Roman"/>
        </w:rPr>
        <w:t xml:space="preserve"> Wilson, and Clare </w:t>
      </w:r>
      <w:proofErr w:type="spellStart"/>
      <w:r w:rsidRPr="00AF3BE7">
        <w:rPr>
          <w:rFonts w:ascii="Times New Roman" w:hAnsi="Times New Roman" w:cs="Times New Roman"/>
        </w:rPr>
        <w:t>Hemmings</w:t>
      </w:r>
      <w:proofErr w:type="spellEnd"/>
      <w:r w:rsidRPr="00AF3BE7">
        <w:rPr>
          <w:rFonts w:ascii="Times New Roman" w:hAnsi="Times New Roman" w:cs="Times New Roman"/>
        </w:rPr>
        <w:t xml:space="preserve">, ‘Introduction’ in Sumi </w:t>
      </w:r>
      <w:proofErr w:type="spellStart"/>
      <w:r w:rsidRPr="00AF3BE7">
        <w:rPr>
          <w:rFonts w:ascii="Times New Roman" w:hAnsi="Times New Roman" w:cs="Times New Roman"/>
        </w:rPr>
        <w:t>Madhok</w:t>
      </w:r>
      <w:proofErr w:type="spellEnd"/>
      <w:r w:rsidRPr="00AF3BE7">
        <w:rPr>
          <w:rFonts w:ascii="Times New Roman" w:hAnsi="Times New Roman" w:cs="Times New Roman"/>
        </w:rPr>
        <w:t xml:space="preserve">, Anne Phillips, </w:t>
      </w:r>
      <w:proofErr w:type="spellStart"/>
      <w:r w:rsidRPr="00AF3BE7">
        <w:rPr>
          <w:rFonts w:ascii="Times New Roman" w:hAnsi="Times New Roman" w:cs="Times New Roman"/>
        </w:rPr>
        <w:t>Kalpana</w:t>
      </w:r>
      <w:proofErr w:type="spellEnd"/>
      <w:r w:rsidRPr="00AF3BE7">
        <w:rPr>
          <w:rFonts w:ascii="Times New Roman" w:hAnsi="Times New Roman" w:cs="Times New Roman"/>
        </w:rPr>
        <w:t xml:space="preserve"> Wilson, and Clare </w:t>
      </w:r>
      <w:proofErr w:type="spellStart"/>
      <w:r w:rsidRPr="00AF3BE7">
        <w:rPr>
          <w:rFonts w:ascii="Times New Roman" w:hAnsi="Times New Roman" w:cs="Times New Roman"/>
        </w:rPr>
        <w:t>Hemmings</w:t>
      </w:r>
      <w:proofErr w:type="spellEnd"/>
      <w:r w:rsidRPr="00AF3BE7">
        <w:rPr>
          <w:rFonts w:ascii="Times New Roman" w:hAnsi="Times New Roman" w:cs="Times New Roman"/>
        </w:rPr>
        <w:t xml:space="preserve"> (eds.) (2013). </w:t>
      </w:r>
      <w:r w:rsidRPr="00AF3BE7">
        <w:rPr>
          <w:rFonts w:ascii="Times New Roman" w:hAnsi="Times New Roman" w:cs="Times New Roman"/>
          <w:i/>
          <w:iCs/>
        </w:rPr>
        <w:t>Gender, Agency and Coercion</w:t>
      </w:r>
      <w:r w:rsidR="004128AC">
        <w:rPr>
          <w:rFonts w:ascii="Times New Roman" w:hAnsi="Times New Roman" w:cs="Times New Roman"/>
        </w:rPr>
        <w:t xml:space="preserve"> (Palgrave Macmillan</w:t>
      </w:r>
      <w:r w:rsidRPr="00AF3BE7">
        <w:rPr>
          <w:rFonts w:ascii="Times New Roman" w:hAnsi="Times New Roman" w:cs="Times New Roman"/>
        </w:rPr>
        <w:t xml:space="preserve"> 2013) 2 </w:t>
      </w:r>
    </w:p>
  </w:footnote>
  <w:footnote w:id="58">
    <w:p w14:paraId="6BDA2659" w14:textId="77777777" w:rsidR="00885C6C" w:rsidRPr="00AF3BE7" w:rsidRDefault="00885C6C" w:rsidP="00885C6C">
      <w:pPr>
        <w:pStyle w:val="FootnoteText"/>
        <w:rPr>
          <w:rFonts w:ascii="Times New Roman" w:hAnsi="Times New Roman" w:cs="Times New Roman"/>
        </w:rPr>
      </w:pPr>
      <w:r>
        <w:rPr>
          <w:rStyle w:val="FootnoteReference"/>
        </w:rPr>
        <w:footnoteRef/>
      </w:r>
      <w:r>
        <w:t xml:space="preserve"> </w:t>
      </w:r>
      <w:r w:rsidRPr="00AF3BE7">
        <w:rPr>
          <w:rFonts w:ascii="Times New Roman" w:hAnsi="Times New Roman" w:cs="Times New Roman"/>
        </w:rPr>
        <w:t>Ibid,. 3</w:t>
      </w:r>
    </w:p>
  </w:footnote>
  <w:footnote w:id="59">
    <w:p w14:paraId="2AFE07B0" w14:textId="6C44336F" w:rsidR="00885C6C" w:rsidRPr="005E30FB" w:rsidRDefault="00885C6C" w:rsidP="00885C6C">
      <w:pPr>
        <w:pStyle w:val="FootnoteText"/>
      </w:pPr>
      <w:r>
        <w:rPr>
          <w:rStyle w:val="FootnoteReference"/>
        </w:rPr>
        <w:footnoteRef/>
      </w:r>
      <w:r>
        <w:t xml:space="preserve"> </w:t>
      </w:r>
      <w:r>
        <w:rPr>
          <w:rFonts w:ascii="Times New Roman" w:hAnsi="Times New Roman" w:cs="Times New Roman"/>
        </w:rPr>
        <w:t xml:space="preserve">Nicola </w:t>
      </w:r>
      <w:proofErr w:type="spellStart"/>
      <w:r w:rsidRPr="005E30FB">
        <w:rPr>
          <w:rFonts w:ascii="Times New Roman" w:hAnsi="Times New Roman" w:cs="Times New Roman"/>
        </w:rPr>
        <w:t>Lacey</w:t>
      </w:r>
      <w:proofErr w:type="spellEnd"/>
      <w:r w:rsidRPr="005E30FB">
        <w:rPr>
          <w:rFonts w:ascii="Times New Roman" w:hAnsi="Times New Roman" w:cs="Times New Roman"/>
        </w:rPr>
        <w:t xml:space="preserve"> </w:t>
      </w:r>
      <w:r w:rsidRPr="005E30FB">
        <w:rPr>
          <w:rFonts w:ascii="Times New Roman" w:hAnsi="Times New Roman" w:cs="Times New Roman"/>
          <w:i/>
        </w:rPr>
        <w:t>Unspeakable subjects feminist essays in legal and social theory</w:t>
      </w:r>
      <w:r>
        <w:rPr>
          <w:rFonts w:ascii="Times New Roman" w:hAnsi="Times New Roman" w:cs="Times New Roman"/>
        </w:rPr>
        <w:t xml:space="preserve"> (</w:t>
      </w:r>
      <w:r w:rsidRPr="005E30FB">
        <w:rPr>
          <w:rFonts w:ascii="Times New Roman" w:hAnsi="Times New Roman" w:cs="Times New Roman"/>
        </w:rPr>
        <w:t>Hart</w:t>
      </w:r>
      <w:r>
        <w:rPr>
          <w:rFonts w:ascii="Times New Roman" w:hAnsi="Times New Roman" w:cs="Times New Roman"/>
        </w:rPr>
        <w:t xml:space="preserve"> 1998), 117.</w:t>
      </w:r>
    </w:p>
  </w:footnote>
  <w:footnote w:id="60">
    <w:p w14:paraId="4339D7A0" w14:textId="6EDC9A79" w:rsidR="00A415EF" w:rsidRPr="00903A16" w:rsidRDefault="00A415EF" w:rsidP="00A415EF">
      <w:pPr>
        <w:pStyle w:val="FootnoteText"/>
        <w:rPr>
          <w:rFonts w:ascii="Times New Roman" w:hAnsi="Times New Roman" w:cs="Times New Roman"/>
        </w:rPr>
      </w:pPr>
      <w:r>
        <w:rPr>
          <w:rStyle w:val="FootnoteReference"/>
        </w:rPr>
        <w:footnoteRef/>
      </w:r>
      <w:r>
        <w:t xml:space="preserve"> </w:t>
      </w:r>
      <w:r w:rsidRPr="00903A16">
        <w:rPr>
          <w:rFonts w:ascii="Times New Roman" w:hAnsi="Times New Roman" w:cs="Times New Roman"/>
        </w:rPr>
        <w:t>Priscilla Alderson ‘</w:t>
      </w:r>
      <w:r>
        <w:rPr>
          <w:rFonts w:ascii="Times New Roman" w:hAnsi="Times New Roman" w:cs="Times New Roman"/>
        </w:rPr>
        <w:t>R</w:t>
      </w:r>
      <w:r w:rsidRPr="00903A16">
        <w:rPr>
          <w:rFonts w:ascii="Times New Roman" w:hAnsi="Times New Roman" w:cs="Times New Roman"/>
        </w:rPr>
        <w:t xml:space="preserve">esearching children’s right to integrity’, in Berry </w:t>
      </w:r>
      <w:proofErr w:type="spellStart"/>
      <w:r w:rsidRPr="00903A16">
        <w:rPr>
          <w:rFonts w:ascii="Times New Roman" w:hAnsi="Times New Roman" w:cs="Times New Roman"/>
        </w:rPr>
        <w:t>Mayall</w:t>
      </w:r>
      <w:proofErr w:type="spellEnd"/>
      <w:r w:rsidRPr="00903A16">
        <w:rPr>
          <w:rFonts w:ascii="Times New Roman" w:hAnsi="Times New Roman" w:cs="Times New Roman"/>
        </w:rPr>
        <w:t xml:space="preserve"> (ed.) </w:t>
      </w:r>
      <w:r w:rsidRPr="00903A16">
        <w:rPr>
          <w:rFonts w:ascii="Times New Roman" w:hAnsi="Times New Roman" w:cs="Times New Roman"/>
          <w:i/>
        </w:rPr>
        <w:t xml:space="preserve">Children’s Childhoods: Observed and Experienced </w:t>
      </w:r>
      <w:r w:rsidRPr="00903A16">
        <w:rPr>
          <w:rFonts w:ascii="Times New Roman" w:hAnsi="Times New Roman" w:cs="Times New Roman"/>
        </w:rPr>
        <w:t>(</w:t>
      </w:r>
      <w:proofErr w:type="spellStart"/>
      <w:r w:rsidRPr="00903A16">
        <w:rPr>
          <w:rFonts w:ascii="Times New Roman" w:hAnsi="Times New Roman" w:cs="Times New Roman"/>
        </w:rPr>
        <w:t>Falmer</w:t>
      </w:r>
      <w:proofErr w:type="spellEnd"/>
      <w:r w:rsidRPr="00903A16">
        <w:rPr>
          <w:rFonts w:ascii="Times New Roman" w:hAnsi="Times New Roman" w:cs="Times New Roman"/>
        </w:rPr>
        <w:t xml:space="preserve">, 1994); </w:t>
      </w:r>
      <w:proofErr w:type="spellStart"/>
      <w:r w:rsidRPr="00903A16">
        <w:rPr>
          <w:rFonts w:ascii="Times New Roman" w:hAnsi="Times New Roman" w:cs="Times New Roman"/>
        </w:rPr>
        <w:t>Priscella</w:t>
      </w:r>
      <w:proofErr w:type="spellEnd"/>
      <w:r w:rsidRPr="00903A16">
        <w:rPr>
          <w:rFonts w:ascii="Times New Roman" w:hAnsi="Times New Roman" w:cs="Times New Roman"/>
        </w:rPr>
        <w:t xml:space="preserve"> Alderson and Jenny Montgomery </w:t>
      </w:r>
      <w:r w:rsidRPr="00903A16">
        <w:rPr>
          <w:rFonts w:ascii="Times New Roman" w:hAnsi="Times New Roman" w:cs="Times New Roman"/>
          <w:i/>
        </w:rPr>
        <w:t xml:space="preserve">Health Care Choices: Making Decisions with Children </w:t>
      </w:r>
      <w:r w:rsidRPr="00903A16">
        <w:rPr>
          <w:rFonts w:ascii="Times New Roman" w:hAnsi="Times New Roman" w:cs="Times New Roman"/>
        </w:rPr>
        <w:t xml:space="preserve">(Institute of Public Policy </w:t>
      </w:r>
      <w:r w:rsidR="004128AC">
        <w:rPr>
          <w:rFonts w:ascii="Times New Roman" w:hAnsi="Times New Roman" w:cs="Times New Roman"/>
        </w:rPr>
        <w:t>Research</w:t>
      </w:r>
      <w:r w:rsidRPr="00903A16">
        <w:rPr>
          <w:rFonts w:ascii="Times New Roman" w:hAnsi="Times New Roman" w:cs="Times New Roman"/>
        </w:rPr>
        <w:t xml:space="preserve"> 1996).</w:t>
      </w:r>
    </w:p>
  </w:footnote>
  <w:footnote w:id="61">
    <w:p w14:paraId="0820FA3E" w14:textId="4350AEB8" w:rsidR="00A415EF" w:rsidRPr="00630D55" w:rsidRDefault="00A415EF" w:rsidP="00A415EF">
      <w:pPr>
        <w:pStyle w:val="FootnoteText"/>
        <w:rPr>
          <w:rFonts w:ascii="Times New Roman" w:hAnsi="Times New Roman" w:cs="Times New Roman"/>
        </w:rPr>
      </w:pPr>
      <w:r>
        <w:rPr>
          <w:rStyle w:val="FootnoteReference"/>
        </w:rPr>
        <w:footnoteRef/>
      </w:r>
      <w:r>
        <w:t xml:space="preserve"> </w:t>
      </w:r>
      <w:r w:rsidRPr="00630D55">
        <w:rPr>
          <w:rFonts w:ascii="Times New Roman" w:hAnsi="Times New Roman" w:cs="Times New Roman"/>
        </w:rPr>
        <w:t xml:space="preserve">Sharon Cowan ‘Freedom and Capacity to make a choice’, in Vanessa E Munro and Carl F </w:t>
      </w:r>
      <w:proofErr w:type="spellStart"/>
      <w:r w:rsidRPr="00630D55">
        <w:rPr>
          <w:rFonts w:ascii="Times New Roman" w:hAnsi="Times New Roman" w:cs="Times New Roman"/>
        </w:rPr>
        <w:t>Stychin</w:t>
      </w:r>
      <w:proofErr w:type="spellEnd"/>
      <w:r w:rsidRPr="00630D55">
        <w:rPr>
          <w:rFonts w:ascii="Times New Roman" w:hAnsi="Times New Roman" w:cs="Times New Roman"/>
        </w:rPr>
        <w:t xml:space="preserve"> </w:t>
      </w:r>
      <w:r w:rsidRPr="00630D55">
        <w:rPr>
          <w:rFonts w:ascii="Times New Roman" w:hAnsi="Times New Roman" w:cs="Times New Roman"/>
          <w:i/>
        </w:rPr>
        <w:t xml:space="preserve">Sexuality and the Law: Feminist </w:t>
      </w:r>
      <w:proofErr w:type="spellStart"/>
      <w:r w:rsidRPr="00630D55">
        <w:rPr>
          <w:rFonts w:ascii="Times New Roman" w:hAnsi="Times New Roman" w:cs="Times New Roman"/>
          <w:i/>
        </w:rPr>
        <w:t>Engagments</w:t>
      </w:r>
      <w:proofErr w:type="spellEnd"/>
      <w:r w:rsidRPr="00630D55">
        <w:rPr>
          <w:rFonts w:ascii="Times New Roman" w:hAnsi="Times New Roman" w:cs="Times New Roman"/>
          <w:i/>
        </w:rPr>
        <w:t xml:space="preserve"> </w:t>
      </w:r>
      <w:r w:rsidR="004128AC">
        <w:rPr>
          <w:rFonts w:ascii="Times New Roman" w:hAnsi="Times New Roman" w:cs="Times New Roman"/>
        </w:rPr>
        <w:t>(Routledge</w:t>
      </w:r>
      <w:r w:rsidRPr="00630D55">
        <w:rPr>
          <w:rFonts w:ascii="Times New Roman" w:hAnsi="Times New Roman" w:cs="Times New Roman"/>
        </w:rPr>
        <w:t xml:space="preserve"> 2007), 52.</w:t>
      </w:r>
    </w:p>
  </w:footnote>
  <w:footnote w:id="62">
    <w:p w14:paraId="6E79BF61" w14:textId="6B3601A7" w:rsidR="00885C6C" w:rsidRPr="004A4B0E" w:rsidRDefault="00885C6C" w:rsidP="00885C6C">
      <w:pPr>
        <w:pStyle w:val="FootnoteText"/>
      </w:pPr>
      <w:r>
        <w:rPr>
          <w:rStyle w:val="FootnoteReference"/>
        </w:rPr>
        <w:footnoteRef/>
      </w:r>
      <w:r>
        <w:t xml:space="preserve"> </w:t>
      </w:r>
      <w:r>
        <w:rPr>
          <w:rFonts w:ascii="Times New Roman" w:hAnsi="Times New Roman" w:cs="Times New Roman"/>
        </w:rPr>
        <w:t>Jenny Pearce</w:t>
      </w:r>
      <w:r w:rsidRPr="00AF3BE7">
        <w:rPr>
          <w:rFonts w:ascii="Times New Roman" w:hAnsi="Times New Roman" w:cs="Times New Roman"/>
        </w:rPr>
        <w:t xml:space="preserve"> </w:t>
      </w:r>
      <w:r w:rsidRPr="00AF3BE7">
        <w:rPr>
          <w:rFonts w:ascii="Times New Roman" w:hAnsi="Times New Roman" w:cs="Times New Roman"/>
          <w:i/>
        </w:rPr>
        <w:t>Young People and Sexual Exploitation: ‘It’s Not Hidden, You Just Aren’t Looking’.</w:t>
      </w:r>
      <w:r w:rsidRPr="00AF3BE7">
        <w:rPr>
          <w:rFonts w:ascii="Times New Roman" w:hAnsi="Times New Roman" w:cs="Times New Roman"/>
        </w:rPr>
        <w:t xml:space="preserve"> </w:t>
      </w:r>
      <w:r>
        <w:rPr>
          <w:rFonts w:ascii="Times New Roman" w:hAnsi="Times New Roman" w:cs="Times New Roman"/>
        </w:rPr>
        <w:t>(</w:t>
      </w:r>
      <w:r w:rsidRPr="00AF3BE7">
        <w:rPr>
          <w:rFonts w:ascii="Times New Roman" w:hAnsi="Times New Roman" w:cs="Times New Roman"/>
        </w:rPr>
        <w:t>Routledge</w:t>
      </w:r>
      <w:r>
        <w:rPr>
          <w:rFonts w:ascii="Times New Roman" w:hAnsi="Times New Roman" w:cs="Times New Roman"/>
        </w:rPr>
        <w:t>, 2009); Jenny Pearce J</w:t>
      </w:r>
      <w:r w:rsidRPr="00AF3BE7">
        <w:rPr>
          <w:rFonts w:ascii="Times New Roman" w:hAnsi="Times New Roman" w:cs="Times New Roman"/>
        </w:rPr>
        <w:t xml:space="preserve"> ‘A Social Model of Abused Consent’, in M</w:t>
      </w:r>
      <w:r>
        <w:rPr>
          <w:rFonts w:ascii="Times New Roman" w:hAnsi="Times New Roman" w:cs="Times New Roman"/>
        </w:rPr>
        <w:t>argaret</w:t>
      </w:r>
      <w:r w:rsidRPr="00AF3BE7">
        <w:rPr>
          <w:rFonts w:ascii="Times New Roman" w:hAnsi="Times New Roman" w:cs="Times New Roman"/>
        </w:rPr>
        <w:t xml:space="preserve"> Melrose and J</w:t>
      </w:r>
      <w:r>
        <w:rPr>
          <w:rFonts w:ascii="Times New Roman" w:hAnsi="Times New Roman" w:cs="Times New Roman"/>
        </w:rPr>
        <w:t>enny</w:t>
      </w:r>
      <w:r w:rsidRPr="00AF3BE7">
        <w:rPr>
          <w:rFonts w:ascii="Times New Roman" w:hAnsi="Times New Roman" w:cs="Times New Roman"/>
        </w:rPr>
        <w:t xml:space="preserve"> Pearce (</w:t>
      </w:r>
      <w:proofErr w:type="spellStart"/>
      <w:r w:rsidRPr="00AF3BE7">
        <w:rPr>
          <w:rFonts w:ascii="Times New Roman" w:hAnsi="Times New Roman" w:cs="Times New Roman"/>
        </w:rPr>
        <w:t>eds</w:t>
      </w:r>
      <w:proofErr w:type="spellEnd"/>
      <w:r w:rsidRPr="00AF3BE7">
        <w:rPr>
          <w:rFonts w:ascii="Times New Roman" w:hAnsi="Times New Roman" w:cs="Times New Roman"/>
        </w:rPr>
        <w:t xml:space="preserve">) </w:t>
      </w:r>
      <w:r w:rsidRPr="00AF3BE7">
        <w:rPr>
          <w:rFonts w:ascii="Times New Roman" w:hAnsi="Times New Roman" w:cs="Times New Roman"/>
          <w:i/>
        </w:rPr>
        <w:t>Critical Perspectives on Child Sexual Exploitation and Related Trafficking</w:t>
      </w:r>
      <w:r w:rsidR="004128AC">
        <w:rPr>
          <w:rFonts w:ascii="Times New Roman" w:hAnsi="Times New Roman" w:cs="Times New Roman"/>
        </w:rPr>
        <w:t xml:space="preserve"> (Palgrave Macmillan</w:t>
      </w:r>
      <w:r>
        <w:rPr>
          <w:rFonts w:ascii="Times New Roman" w:hAnsi="Times New Roman" w:cs="Times New Roman"/>
        </w:rPr>
        <w:t xml:space="preserve"> 2013).</w:t>
      </w:r>
    </w:p>
  </w:footnote>
  <w:footnote w:id="63">
    <w:p w14:paraId="4FAFE147" w14:textId="77777777" w:rsidR="00885C6C" w:rsidRDefault="00885C6C" w:rsidP="00885C6C">
      <w:pPr>
        <w:pStyle w:val="FootnoteText"/>
      </w:pPr>
      <w:r>
        <w:rPr>
          <w:rStyle w:val="FootnoteReference"/>
        </w:rPr>
        <w:footnoteRef/>
      </w:r>
      <w:r>
        <w:t xml:space="preserve"> </w:t>
      </w:r>
      <w:proofErr w:type="spellStart"/>
      <w:r>
        <w:rPr>
          <w:rFonts w:ascii="Times New Roman" w:hAnsi="Times New Roman" w:cs="Times New Roman"/>
        </w:rPr>
        <w:t>Mianna</w:t>
      </w:r>
      <w:proofErr w:type="spellEnd"/>
      <w:r>
        <w:rPr>
          <w:rFonts w:ascii="Times New Roman" w:hAnsi="Times New Roman" w:cs="Times New Roman"/>
        </w:rPr>
        <w:t xml:space="preserve"> </w:t>
      </w:r>
      <w:proofErr w:type="spellStart"/>
      <w:r>
        <w:rPr>
          <w:rFonts w:ascii="Times New Roman" w:hAnsi="Times New Roman" w:cs="Times New Roman"/>
        </w:rPr>
        <w:t>Lotz</w:t>
      </w:r>
      <w:proofErr w:type="spellEnd"/>
      <w:r>
        <w:rPr>
          <w:rFonts w:ascii="Times New Roman" w:hAnsi="Times New Roman" w:cs="Times New Roman"/>
        </w:rPr>
        <w:t>,</w:t>
      </w:r>
      <w:r w:rsidRPr="00231029">
        <w:rPr>
          <w:rFonts w:ascii="Times New Roman" w:hAnsi="Times New Roman" w:cs="Times New Roman"/>
        </w:rPr>
        <w:t xml:space="preserve"> ‘Vulnerability and resilience: a critical nexus’</w:t>
      </w:r>
      <w:r>
        <w:rPr>
          <w:rFonts w:ascii="Times New Roman" w:hAnsi="Times New Roman" w:cs="Times New Roman"/>
        </w:rPr>
        <w:t xml:space="preserve"> (2016) 37(1)</w:t>
      </w:r>
      <w:r w:rsidRPr="00231029">
        <w:rPr>
          <w:rFonts w:ascii="Times New Roman" w:hAnsi="Times New Roman" w:cs="Times New Roman"/>
        </w:rPr>
        <w:t xml:space="preserve"> </w:t>
      </w:r>
      <w:r w:rsidRPr="0090458F">
        <w:rPr>
          <w:rFonts w:ascii="Times New Roman" w:hAnsi="Times New Roman" w:cs="Times New Roman"/>
        </w:rPr>
        <w:t>Theoretical Medicine and Bioethics</w:t>
      </w:r>
      <w:r w:rsidRPr="00231029">
        <w:rPr>
          <w:rFonts w:ascii="Times New Roman" w:hAnsi="Times New Roman" w:cs="Times New Roman"/>
        </w:rPr>
        <w:t xml:space="preserve"> </w:t>
      </w:r>
      <w:r>
        <w:rPr>
          <w:rFonts w:ascii="Times New Roman" w:hAnsi="Times New Roman" w:cs="Times New Roman"/>
        </w:rPr>
        <w:t>45, 57</w:t>
      </w:r>
    </w:p>
  </w:footnote>
  <w:footnote w:id="64">
    <w:p w14:paraId="29623025" w14:textId="5891DF82" w:rsidR="00885C6C" w:rsidRDefault="00885C6C" w:rsidP="00885C6C">
      <w:pPr>
        <w:pStyle w:val="FootnoteText"/>
      </w:pPr>
      <w:r>
        <w:rPr>
          <w:rStyle w:val="FootnoteReference"/>
        </w:rPr>
        <w:footnoteRef/>
      </w:r>
      <w:r>
        <w:t xml:space="preserve"> </w:t>
      </w:r>
      <w:r>
        <w:rPr>
          <w:rFonts w:ascii="Times New Roman" w:hAnsi="Times New Roman" w:cs="Times New Roman"/>
        </w:rPr>
        <w:t>Jenny Pearce J</w:t>
      </w:r>
      <w:r w:rsidRPr="00AF3BE7">
        <w:rPr>
          <w:rFonts w:ascii="Times New Roman" w:hAnsi="Times New Roman" w:cs="Times New Roman"/>
        </w:rPr>
        <w:t xml:space="preserve"> ‘A Social Model of Abused Consent’, in M</w:t>
      </w:r>
      <w:r>
        <w:rPr>
          <w:rFonts w:ascii="Times New Roman" w:hAnsi="Times New Roman" w:cs="Times New Roman"/>
        </w:rPr>
        <w:t>argaret</w:t>
      </w:r>
      <w:r w:rsidRPr="00AF3BE7">
        <w:rPr>
          <w:rFonts w:ascii="Times New Roman" w:hAnsi="Times New Roman" w:cs="Times New Roman"/>
        </w:rPr>
        <w:t xml:space="preserve"> Melrose and J</w:t>
      </w:r>
      <w:r>
        <w:rPr>
          <w:rFonts w:ascii="Times New Roman" w:hAnsi="Times New Roman" w:cs="Times New Roman"/>
        </w:rPr>
        <w:t>enny</w:t>
      </w:r>
      <w:r w:rsidRPr="00AF3BE7">
        <w:rPr>
          <w:rFonts w:ascii="Times New Roman" w:hAnsi="Times New Roman" w:cs="Times New Roman"/>
        </w:rPr>
        <w:t xml:space="preserve"> Pearce (</w:t>
      </w:r>
      <w:proofErr w:type="spellStart"/>
      <w:r w:rsidRPr="00AF3BE7">
        <w:rPr>
          <w:rFonts w:ascii="Times New Roman" w:hAnsi="Times New Roman" w:cs="Times New Roman"/>
        </w:rPr>
        <w:t>eds</w:t>
      </w:r>
      <w:proofErr w:type="spellEnd"/>
      <w:r w:rsidRPr="00AF3BE7">
        <w:rPr>
          <w:rFonts w:ascii="Times New Roman" w:hAnsi="Times New Roman" w:cs="Times New Roman"/>
        </w:rPr>
        <w:t xml:space="preserve">) </w:t>
      </w:r>
      <w:r w:rsidRPr="00AF3BE7">
        <w:rPr>
          <w:rFonts w:ascii="Times New Roman" w:hAnsi="Times New Roman" w:cs="Times New Roman"/>
          <w:i/>
        </w:rPr>
        <w:t>Critical Perspectives on Child Sexual Exploitation and Related Trafficking</w:t>
      </w:r>
      <w:r w:rsidR="004128AC">
        <w:rPr>
          <w:rFonts w:ascii="Times New Roman" w:hAnsi="Times New Roman" w:cs="Times New Roman"/>
        </w:rPr>
        <w:t xml:space="preserve"> (Palgrave Macmillan</w:t>
      </w:r>
      <w:r>
        <w:rPr>
          <w:rFonts w:ascii="Times New Roman" w:hAnsi="Times New Roman" w:cs="Times New Roman"/>
        </w:rPr>
        <w:t xml:space="preserve"> 2013), 53. </w:t>
      </w:r>
    </w:p>
  </w:footnote>
  <w:footnote w:id="65">
    <w:p w14:paraId="739A4760" w14:textId="12478924" w:rsidR="00885C6C" w:rsidRDefault="00885C6C" w:rsidP="00885C6C">
      <w:pPr>
        <w:pStyle w:val="FootnoteText"/>
      </w:pPr>
      <w:r>
        <w:rPr>
          <w:rStyle w:val="FootnoteReference"/>
        </w:rPr>
        <w:footnoteRef/>
      </w:r>
      <w:r>
        <w:t xml:space="preserve"> </w:t>
      </w:r>
      <w:r w:rsidR="00630D55">
        <w:rPr>
          <w:rFonts w:ascii="Times New Roman" w:hAnsi="Times New Roman" w:cs="Times New Roman"/>
        </w:rPr>
        <w:t xml:space="preserve">Jenny Pearce </w:t>
      </w:r>
      <w:r w:rsidRPr="00AF3BE7">
        <w:rPr>
          <w:rFonts w:ascii="Times New Roman" w:hAnsi="Times New Roman" w:cs="Times New Roman"/>
        </w:rPr>
        <w:t>‘A Social Model of Abused Consent’, in M</w:t>
      </w:r>
      <w:r>
        <w:rPr>
          <w:rFonts w:ascii="Times New Roman" w:hAnsi="Times New Roman" w:cs="Times New Roman"/>
        </w:rPr>
        <w:t>argaret</w:t>
      </w:r>
      <w:r w:rsidRPr="00AF3BE7">
        <w:rPr>
          <w:rFonts w:ascii="Times New Roman" w:hAnsi="Times New Roman" w:cs="Times New Roman"/>
        </w:rPr>
        <w:t xml:space="preserve"> Melrose and J</w:t>
      </w:r>
      <w:r>
        <w:rPr>
          <w:rFonts w:ascii="Times New Roman" w:hAnsi="Times New Roman" w:cs="Times New Roman"/>
        </w:rPr>
        <w:t>enny</w:t>
      </w:r>
      <w:r w:rsidRPr="00AF3BE7">
        <w:rPr>
          <w:rFonts w:ascii="Times New Roman" w:hAnsi="Times New Roman" w:cs="Times New Roman"/>
        </w:rPr>
        <w:t xml:space="preserve"> Pearce (</w:t>
      </w:r>
      <w:proofErr w:type="spellStart"/>
      <w:r w:rsidRPr="00AF3BE7">
        <w:rPr>
          <w:rFonts w:ascii="Times New Roman" w:hAnsi="Times New Roman" w:cs="Times New Roman"/>
        </w:rPr>
        <w:t>eds</w:t>
      </w:r>
      <w:proofErr w:type="spellEnd"/>
      <w:r w:rsidRPr="00AF3BE7">
        <w:rPr>
          <w:rFonts w:ascii="Times New Roman" w:hAnsi="Times New Roman" w:cs="Times New Roman"/>
        </w:rPr>
        <w:t xml:space="preserve">) </w:t>
      </w:r>
      <w:r w:rsidRPr="00AF3BE7">
        <w:rPr>
          <w:rFonts w:ascii="Times New Roman" w:hAnsi="Times New Roman" w:cs="Times New Roman"/>
          <w:i/>
        </w:rPr>
        <w:t>Critical Perspectives on Child Sexual Exploitation and Related Trafficking</w:t>
      </w:r>
      <w:r w:rsidR="004128AC">
        <w:rPr>
          <w:rFonts w:ascii="Times New Roman" w:hAnsi="Times New Roman" w:cs="Times New Roman"/>
        </w:rPr>
        <w:t xml:space="preserve"> (Palgrave Macmillan</w:t>
      </w:r>
      <w:r>
        <w:rPr>
          <w:rFonts w:ascii="Times New Roman" w:hAnsi="Times New Roman" w:cs="Times New Roman"/>
        </w:rPr>
        <w:t xml:space="preserve"> 2013), 52-53</w:t>
      </w:r>
      <w:r>
        <w:t xml:space="preserve">. </w:t>
      </w:r>
    </w:p>
  </w:footnote>
  <w:footnote w:id="66">
    <w:p w14:paraId="6037F06C" w14:textId="3C67CB37" w:rsidR="00630D55" w:rsidRPr="00630D55" w:rsidRDefault="00630D55">
      <w:pPr>
        <w:pStyle w:val="FootnoteText"/>
        <w:rPr>
          <w:rFonts w:ascii="Times New Roman" w:hAnsi="Times New Roman" w:cs="Times New Roman"/>
        </w:rPr>
      </w:pPr>
      <w:r>
        <w:rPr>
          <w:rStyle w:val="FootnoteReference"/>
        </w:rPr>
        <w:footnoteRef/>
      </w:r>
      <w:r>
        <w:t xml:space="preserve"> </w:t>
      </w:r>
      <w:r w:rsidRPr="00630D55">
        <w:rPr>
          <w:rFonts w:ascii="Times New Roman" w:hAnsi="Times New Roman" w:cs="Times New Roman"/>
        </w:rPr>
        <w:t xml:space="preserve">Monica Cowart ‘Consent, speech act theory, and legal disputes’ </w:t>
      </w:r>
      <w:r>
        <w:rPr>
          <w:rFonts w:ascii="Times New Roman" w:hAnsi="Times New Roman" w:cs="Times New Roman"/>
        </w:rPr>
        <w:t xml:space="preserve">(2004) 23(5) </w:t>
      </w:r>
      <w:r w:rsidRPr="00630D55">
        <w:rPr>
          <w:rFonts w:ascii="Times New Roman" w:hAnsi="Times New Roman" w:cs="Times New Roman"/>
        </w:rPr>
        <w:t>Law and Philosophy</w:t>
      </w:r>
      <w:r>
        <w:rPr>
          <w:rFonts w:ascii="Times New Roman" w:hAnsi="Times New Roman" w:cs="Times New Roman"/>
        </w:rPr>
        <w:t xml:space="preserve"> 496</w:t>
      </w:r>
    </w:p>
  </w:footnote>
  <w:footnote w:id="67">
    <w:p w14:paraId="5A453A8F" w14:textId="277B7D7F" w:rsidR="000A6D3A" w:rsidRPr="000A6D3A" w:rsidRDefault="000A6D3A" w:rsidP="000A6D3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Vanessa E. Munro ‘</w:t>
      </w:r>
      <w:r w:rsidRPr="000A6D3A">
        <w:rPr>
          <w:rFonts w:ascii="Times New Roman" w:hAnsi="Times New Roman" w:cs="Times New Roman"/>
          <w:sz w:val="20"/>
          <w:szCs w:val="20"/>
        </w:rPr>
        <w:t>Constructing Consent: Legislating Freedom and Legitimating Constraint in the Expression of Sexual Autonomy</w:t>
      </w:r>
      <w:r>
        <w:rPr>
          <w:rFonts w:ascii="Times New Roman" w:hAnsi="Times New Roman" w:cs="Times New Roman"/>
          <w:sz w:val="20"/>
          <w:szCs w:val="20"/>
        </w:rPr>
        <w:t>’ (2008)</w:t>
      </w:r>
      <w:r w:rsidRPr="000A6D3A">
        <w:rPr>
          <w:rFonts w:ascii="Times New Roman" w:hAnsi="Times New Roman" w:cs="Times New Roman"/>
          <w:sz w:val="20"/>
          <w:szCs w:val="20"/>
        </w:rPr>
        <w:t xml:space="preserve"> 41 Akron Law Rev</w:t>
      </w:r>
      <w:r>
        <w:rPr>
          <w:rFonts w:ascii="Times New Roman" w:hAnsi="Times New Roman" w:cs="Times New Roman"/>
          <w:sz w:val="20"/>
          <w:szCs w:val="20"/>
        </w:rPr>
        <w:t>iew</w:t>
      </w:r>
      <w:r w:rsidRPr="000A6D3A">
        <w:rPr>
          <w:rFonts w:ascii="Times New Roman" w:hAnsi="Times New Roman" w:cs="Times New Roman"/>
          <w:sz w:val="20"/>
          <w:szCs w:val="20"/>
        </w:rPr>
        <w:t xml:space="preserve"> 9</w:t>
      </w:r>
      <w:r>
        <w:rPr>
          <w:rFonts w:ascii="Times New Roman" w:hAnsi="Times New Roman" w:cs="Times New Roman"/>
          <w:sz w:val="20"/>
          <w:szCs w:val="20"/>
        </w:rPr>
        <w:t>4</w:t>
      </w:r>
      <w:r w:rsidR="00304F1F">
        <w:rPr>
          <w:rFonts w:ascii="Times New Roman" w:hAnsi="Times New Roman" w:cs="Times New Roman"/>
          <w:sz w:val="20"/>
          <w:szCs w:val="20"/>
        </w:rPr>
        <w:t>1 and 951.</w:t>
      </w:r>
    </w:p>
  </w:footnote>
  <w:footnote w:id="68">
    <w:p w14:paraId="1C34301F" w14:textId="56DD4D4B" w:rsidR="00FC2ED1" w:rsidRPr="00FC2ED1" w:rsidRDefault="00FC2ED1">
      <w:pPr>
        <w:pStyle w:val="FootnoteText"/>
        <w:rPr>
          <w:rFonts w:ascii="Times New Roman" w:hAnsi="Times New Roman" w:cs="Times New Roman"/>
        </w:rPr>
      </w:pPr>
      <w:r>
        <w:rPr>
          <w:rStyle w:val="FootnoteReference"/>
        </w:rPr>
        <w:footnoteRef/>
      </w:r>
      <w:r>
        <w:t xml:space="preserve"> </w:t>
      </w:r>
      <w:r w:rsidRPr="00FC2ED1">
        <w:rPr>
          <w:rFonts w:ascii="Times New Roman" w:hAnsi="Times New Roman" w:cs="Times New Roman"/>
        </w:rPr>
        <w:t xml:space="preserve">Scottish Law Commission </w:t>
      </w:r>
      <w:r w:rsidRPr="00FC2ED1">
        <w:rPr>
          <w:rFonts w:ascii="Times New Roman" w:hAnsi="Times New Roman" w:cs="Times New Roman"/>
          <w:i/>
        </w:rPr>
        <w:t xml:space="preserve">Report on rape and other sexual offences </w:t>
      </w:r>
      <w:r w:rsidR="004128AC">
        <w:rPr>
          <w:rFonts w:ascii="Times New Roman" w:hAnsi="Times New Roman" w:cs="Times New Roman"/>
        </w:rPr>
        <w:t>(The Stationery Office</w:t>
      </w:r>
      <w:r w:rsidRPr="00FC2ED1">
        <w:rPr>
          <w:rFonts w:ascii="Times New Roman" w:hAnsi="Times New Roman" w:cs="Times New Roman"/>
        </w:rPr>
        <w:t xml:space="preserve"> 2007) 1.25</w:t>
      </w:r>
    </w:p>
  </w:footnote>
  <w:footnote w:id="69">
    <w:p w14:paraId="490B9F30" w14:textId="1E0F6227" w:rsidR="007452A3" w:rsidRDefault="007452A3">
      <w:pPr>
        <w:pStyle w:val="FootnoteText"/>
      </w:pPr>
      <w:r>
        <w:rPr>
          <w:rStyle w:val="FootnoteReference"/>
        </w:rPr>
        <w:footnoteRef/>
      </w:r>
      <w:r>
        <w:t xml:space="preserve"> </w:t>
      </w:r>
      <w:r w:rsidRPr="00997991">
        <w:rPr>
          <w:rFonts w:ascii="Times New Roman" w:hAnsi="Times New Roman" w:cs="Times New Roman"/>
        </w:rPr>
        <w:t>L</w:t>
      </w:r>
      <w:r w:rsidR="00C26B69">
        <w:rPr>
          <w:rFonts w:ascii="Times New Roman" w:hAnsi="Times New Roman" w:cs="Times New Roman"/>
        </w:rPr>
        <w:t>aurie</w:t>
      </w:r>
      <w:r>
        <w:rPr>
          <w:rFonts w:ascii="Times New Roman" w:hAnsi="Times New Roman" w:cs="Times New Roman"/>
        </w:rPr>
        <w:t xml:space="preserve"> </w:t>
      </w:r>
      <w:proofErr w:type="spellStart"/>
      <w:r w:rsidRPr="00997991">
        <w:rPr>
          <w:rFonts w:ascii="Times New Roman" w:hAnsi="Times New Roman" w:cs="Times New Roman"/>
        </w:rPr>
        <w:t>Schaffner</w:t>
      </w:r>
      <w:proofErr w:type="spellEnd"/>
      <w:r w:rsidRPr="00997991">
        <w:rPr>
          <w:rFonts w:ascii="Times New Roman" w:hAnsi="Times New Roman" w:cs="Times New Roman"/>
        </w:rPr>
        <w:t xml:space="preserve"> </w:t>
      </w:r>
      <w:r>
        <w:rPr>
          <w:rFonts w:ascii="Times New Roman" w:hAnsi="Times New Roman" w:cs="Times New Roman"/>
        </w:rPr>
        <w:t>‘</w:t>
      </w:r>
      <w:r w:rsidRPr="00997991">
        <w:rPr>
          <w:rFonts w:ascii="Times New Roman" w:hAnsi="Times New Roman" w:cs="Times New Roman"/>
        </w:rPr>
        <w:t>Capacity, consent and the construction of adulthood</w:t>
      </w:r>
      <w:r>
        <w:rPr>
          <w:rFonts w:ascii="Times New Roman" w:hAnsi="Times New Roman" w:cs="Times New Roman"/>
        </w:rPr>
        <w:t>’</w:t>
      </w:r>
      <w:r w:rsidRPr="00997991">
        <w:rPr>
          <w:rFonts w:ascii="Times New Roman" w:hAnsi="Times New Roman" w:cs="Times New Roman"/>
        </w:rPr>
        <w:t xml:space="preserve"> in E</w:t>
      </w:r>
      <w:r w:rsidR="00C26B69">
        <w:rPr>
          <w:rFonts w:ascii="Times New Roman" w:hAnsi="Times New Roman" w:cs="Times New Roman"/>
        </w:rPr>
        <w:t>lizabeth</w:t>
      </w:r>
      <w:r w:rsidRPr="00997991">
        <w:rPr>
          <w:rFonts w:ascii="Times New Roman" w:hAnsi="Times New Roman" w:cs="Times New Roman"/>
        </w:rPr>
        <w:t xml:space="preserve"> Bernstein</w:t>
      </w:r>
      <w:r w:rsidR="00C26B69">
        <w:rPr>
          <w:rFonts w:ascii="Times New Roman" w:hAnsi="Times New Roman" w:cs="Times New Roman"/>
        </w:rPr>
        <w:t xml:space="preserve"> and </w:t>
      </w:r>
      <w:r>
        <w:rPr>
          <w:rFonts w:ascii="Times New Roman" w:hAnsi="Times New Roman" w:cs="Times New Roman"/>
        </w:rPr>
        <w:t>L</w:t>
      </w:r>
      <w:r w:rsidR="00C26B69">
        <w:rPr>
          <w:rFonts w:ascii="Times New Roman" w:hAnsi="Times New Roman" w:cs="Times New Roman"/>
        </w:rPr>
        <w:t>aurie</w:t>
      </w:r>
      <w:r w:rsidRPr="00997991">
        <w:rPr>
          <w:rFonts w:ascii="Times New Roman" w:hAnsi="Times New Roman" w:cs="Times New Roman"/>
        </w:rPr>
        <w:t xml:space="preserve"> </w:t>
      </w:r>
      <w:proofErr w:type="spellStart"/>
      <w:r w:rsidRPr="00997991">
        <w:rPr>
          <w:rFonts w:ascii="Times New Roman" w:hAnsi="Times New Roman" w:cs="Times New Roman"/>
        </w:rPr>
        <w:t>Schnaffer</w:t>
      </w:r>
      <w:proofErr w:type="spellEnd"/>
      <w:r w:rsidRPr="00997991">
        <w:rPr>
          <w:rFonts w:ascii="Times New Roman" w:hAnsi="Times New Roman" w:cs="Times New Roman"/>
        </w:rPr>
        <w:t xml:space="preserve"> (eds</w:t>
      </w:r>
      <w:r>
        <w:rPr>
          <w:rFonts w:ascii="Times New Roman" w:hAnsi="Times New Roman" w:cs="Times New Roman"/>
        </w:rPr>
        <w:t>.</w:t>
      </w:r>
      <w:r w:rsidRPr="00997991">
        <w:rPr>
          <w:rFonts w:ascii="Times New Roman" w:hAnsi="Times New Roman" w:cs="Times New Roman"/>
        </w:rPr>
        <w:t xml:space="preserve">) </w:t>
      </w:r>
      <w:r w:rsidRPr="00997991">
        <w:rPr>
          <w:rFonts w:ascii="Times New Roman" w:hAnsi="Times New Roman" w:cs="Times New Roman"/>
          <w:i/>
        </w:rPr>
        <w:t xml:space="preserve">Regulating </w:t>
      </w:r>
      <w:r>
        <w:rPr>
          <w:rFonts w:ascii="Times New Roman" w:hAnsi="Times New Roman" w:cs="Times New Roman"/>
          <w:i/>
        </w:rPr>
        <w:t>S</w:t>
      </w:r>
      <w:r w:rsidRPr="00997991">
        <w:rPr>
          <w:rFonts w:ascii="Times New Roman" w:hAnsi="Times New Roman" w:cs="Times New Roman"/>
          <w:i/>
        </w:rPr>
        <w:t>ex: the politics of intimacy and identity</w:t>
      </w:r>
      <w:r w:rsidRPr="00997991">
        <w:rPr>
          <w:rFonts w:ascii="Times New Roman" w:hAnsi="Times New Roman" w:cs="Times New Roman"/>
        </w:rPr>
        <w:t xml:space="preserve"> </w:t>
      </w:r>
      <w:r>
        <w:rPr>
          <w:rFonts w:ascii="Times New Roman" w:hAnsi="Times New Roman" w:cs="Times New Roman"/>
        </w:rPr>
        <w:t xml:space="preserve">(Routledge </w:t>
      </w:r>
      <w:r w:rsidRPr="00997991">
        <w:rPr>
          <w:rFonts w:ascii="Times New Roman" w:hAnsi="Times New Roman" w:cs="Times New Roman"/>
        </w:rPr>
        <w:t>2005</w:t>
      </w:r>
      <w:r>
        <w:rPr>
          <w:rFonts w:ascii="Times New Roman" w:hAnsi="Times New Roman" w:cs="Times New Roman"/>
        </w:rPr>
        <w:t xml:space="preserve">) 189-205, 192; </w:t>
      </w:r>
      <w:proofErr w:type="spellStart"/>
      <w:r>
        <w:rPr>
          <w:rFonts w:ascii="Times New Roman" w:hAnsi="Times New Roman" w:cs="Times New Roman"/>
        </w:rPr>
        <w:t>S</w:t>
      </w:r>
      <w:r w:rsidR="00C26B69">
        <w:rPr>
          <w:rFonts w:ascii="Times New Roman" w:hAnsi="Times New Roman" w:cs="Times New Roman"/>
        </w:rPr>
        <w:t>tevi</w:t>
      </w:r>
      <w:proofErr w:type="spellEnd"/>
      <w:r>
        <w:rPr>
          <w:rFonts w:ascii="Times New Roman" w:hAnsi="Times New Roman" w:cs="Times New Roman"/>
        </w:rPr>
        <w:t xml:space="preserve"> </w:t>
      </w:r>
      <w:r w:rsidR="00C26B69">
        <w:rPr>
          <w:rFonts w:ascii="Times New Roman" w:hAnsi="Times New Roman" w:cs="Times New Roman"/>
        </w:rPr>
        <w:t>Jackson and</w:t>
      </w:r>
      <w:r w:rsidRPr="003310BC">
        <w:rPr>
          <w:rFonts w:ascii="Times New Roman" w:hAnsi="Times New Roman" w:cs="Times New Roman"/>
        </w:rPr>
        <w:t xml:space="preserve"> </w:t>
      </w:r>
      <w:r>
        <w:rPr>
          <w:rFonts w:ascii="Times New Roman" w:hAnsi="Times New Roman" w:cs="Times New Roman"/>
        </w:rPr>
        <w:t>S</w:t>
      </w:r>
      <w:r w:rsidR="00C26B69">
        <w:rPr>
          <w:rFonts w:ascii="Times New Roman" w:hAnsi="Times New Roman" w:cs="Times New Roman"/>
        </w:rPr>
        <w:t>ue</w:t>
      </w:r>
      <w:r>
        <w:rPr>
          <w:rFonts w:ascii="Times New Roman" w:hAnsi="Times New Roman" w:cs="Times New Roman"/>
        </w:rPr>
        <w:t xml:space="preserve"> </w:t>
      </w:r>
      <w:r w:rsidRPr="003310BC">
        <w:rPr>
          <w:rFonts w:ascii="Times New Roman" w:hAnsi="Times New Roman" w:cs="Times New Roman"/>
        </w:rPr>
        <w:t xml:space="preserve">Scott, </w:t>
      </w:r>
      <w:r w:rsidRPr="003310BC">
        <w:rPr>
          <w:rFonts w:ascii="Times New Roman" w:hAnsi="Times New Roman" w:cs="Times New Roman"/>
          <w:i/>
        </w:rPr>
        <w:t>Theorizing sexuality</w:t>
      </w:r>
      <w:r>
        <w:rPr>
          <w:rFonts w:ascii="Times New Roman" w:hAnsi="Times New Roman" w:cs="Times New Roman"/>
        </w:rPr>
        <w:t xml:space="preserve"> (Open University Press 2010).</w:t>
      </w:r>
    </w:p>
  </w:footnote>
  <w:footnote w:id="70">
    <w:p w14:paraId="15DCA39F" w14:textId="210307C9" w:rsidR="007452A3" w:rsidRDefault="007452A3">
      <w:pPr>
        <w:pStyle w:val="FootnoteText"/>
      </w:pPr>
      <w:r>
        <w:rPr>
          <w:rStyle w:val="FootnoteReference"/>
        </w:rPr>
        <w:footnoteRef/>
      </w:r>
      <w:r>
        <w:t xml:space="preserve"> </w:t>
      </w:r>
      <w:r w:rsidRPr="00F21BA5">
        <w:rPr>
          <w:rFonts w:ascii="Times New Roman" w:hAnsi="Times New Roman" w:cs="Times New Roman"/>
        </w:rPr>
        <w:t>M</w:t>
      </w:r>
      <w:r w:rsidR="00C26B69">
        <w:rPr>
          <w:rFonts w:ascii="Times New Roman" w:hAnsi="Times New Roman" w:cs="Times New Roman"/>
        </w:rPr>
        <w:t>ichael</w:t>
      </w:r>
      <w:r w:rsidRPr="00F21BA5">
        <w:rPr>
          <w:rFonts w:ascii="Times New Roman" w:hAnsi="Times New Roman" w:cs="Times New Roman"/>
        </w:rPr>
        <w:t xml:space="preserve"> Freeman </w:t>
      </w:r>
      <w:r>
        <w:rPr>
          <w:rFonts w:ascii="Times New Roman" w:hAnsi="Times New Roman" w:cs="Times New Roman"/>
        </w:rPr>
        <w:t>‘</w:t>
      </w:r>
      <w:r w:rsidRPr="00F21BA5">
        <w:rPr>
          <w:rFonts w:ascii="Times New Roman" w:hAnsi="Times New Roman" w:cs="Times New Roman"/>
        </w:rPr>
        <w:t>Taking children’s</w:t>
      </w:r>
      <w:r w:rsidRPr="00171AE0">
        <w:rPr>
          <w:rFonts w:ascii="Times New Roman" w:hAnsi="Times New Roman" w:cs="Times New Roman"/>
        </w:rPr>
        <w:t xml:space="preserve"> rights more seriously</w:t>
      </w:r>
      <w:r>
        <w:rPr>
          <w:rFonts w:ascii="Times New Roman" w:hAnsi="Times New Roman" w:cs="Times New Roman"/>
        </w:rPr>
        <w:t>’</w:t>
      </w:r>
      <w:r w:rsidRPr="00171AE0">
        <w:rPr>
          <w:rFonts w:ascii="Times New Roman" w:hAnsi="Times New Roman" w:cs="Times New Roman"/>
        </w:rPr>
        <w:t xml:space="preserve"> in </w:t>
      </w:r>
      <w:r>
        <w:rPr>
          <w:rFonts w:ascii="Times New Roman" w:hAnsi="Times New Roman" w:cs="Times New Roman"/>
        </w:rPr>
        <w:t>P</w:t>
      </w:r>
      <w:r w:rsidR="00C26B69">
        <w:rPr>
          <w:rFonts w:ascii="Times New Roman" w:hAnsi="Times New Roman" w:cs="Times New Roman"/>
        </w:rPr>
        <w:t>hilip</w:t>
      </w:r>
      <w:r>
        <w:rPr>
          <w:rFonts w:ascii="Times New Roman" w:hAnsi="Times New Roman" w:cs="Times New Roman"/>
        </w:rPr>
        <w:t xml:space="preserve"> </w:t>
      </w:r>
      <w:r w:rsidRPr="00171AE0">
        <w:rPr>
          <w:rFonts w:ascii="Times New Roman" w:hAnsi="Times New Roman" w:cs="Times New Roman"/>
        </w:rPr>
        <w:t xml:space="preserve">Alston, </w:t>
      </w:r>
      <w:r>
        <w:rPr>
          <w:rFonts w:ascii="Times New Roman" w:hAnsi="Times New Roman" w:cs="Times New Roman"/>
        </w:rPr>
        <w:t>S</w:t>
      </w:r>
      <w:r w:rsidR="00C26B69">
        <w:rPr>
          <w:rFonts w:ascii="Times New Roman" w:hAnsi="Times New Roman" w:cs="Times New Roman"/>
        </w:rPr>
        <w:t>tephen</w:t>
      </w:r>
      <w:r>
        <w:rPr>
          <w:rFonts w:ascii="Times New Roman" w:hAnsi="Times New Roman" w:cs="Times New Roman"/>
        </w:rPr>
        <w:t xml:space="preserve"> </w:t>
      </w:r>
      <w:r w:rsidRPr="00171AE0">
        <w:rPr>
          <w:rFonts w:ascii="Times New Roman" w:hAnsi="Times New Roman" w:cs="Times New Roman"/>
        </w:rPr>
        <w:t>Parker</w:t>
      </w:r>
      <w:r w:rsidR="00C26B69">
        <w:rPr>
          <w:rFonts w:ascii="Times New Roman" w:hAnsi="Times New Roman" w:cs="Times New Roman"/>
        </w:rPr>
        <w:t xml:space="preserve"> and</w:t>
      </w:r>
      <w:r w:rsidRPr="00171AE0">
        <w:rPr>
          <w:rFonts w:ascii="Times New Roman" w:hAnsi="Times New Roman" w:cs="Times New Roman"/>
        </w:rPr>
        <w:t xml:space="preserve"> </w:t>
      </w:r>
      <w:r>
        <w:rPr>
          <w:rFonts w:ascii="Times New Roman" w:hAnsi="Times New Roman" w:cs="Times New Roman"/>
        </w:rPr>
        <w:t>J</w:t>
      </w:r>
      <w:r w:rsidR="00C26B69">
        <w:rPr>
          <w:rFonts w:ascii="Times New Roman" w:hAnsi="Times New Roman" w:cs="Times New Roman"/>
        </w:rPr>
        <w:t>ohn</w:t>
      </w:r>
      <w:r>
        <w:rPr>
          <w:rFonts w:ascii="Times New Roman" w:hAnsi="Times New Roman" w:cs="Times New Roman"/>
        </w:rPr>
        <w:t xml:space="preserve"> </w:t>
      </w:r>
      <w:r w:rsidRPr="00171AE0">
        <w:rPr>
          <w:rFonts w:ascii="Times New Roman" w:hAnsi="Times New Roman" w:cs="Times New Roman"/>
        </w:rPr>
        <w:t xml:space="preserve">Seymour (eds.) </w:t>
      </w:r>
      <w:r w:rsidRPr="00171AE0">
        <w:rPr>
          <w:rFonts w:ascii="Times New Roman" w:hAnsi="Times New Roman" w:cs="Times New Roman"/>
          <w:i/>
        </w:rPr>
        <w:t xml:space="preserve">Children’s rights and the law </w:t>
      </w:r>
      <w:r w:rsidRPr="00171AE0">
        <w:rPr>
          <w:rFonts w:ascii="Times New Roman" w:hAnsi="Times New Roman" w:cs="Times New Roman"/>
        </w:rPr>
        <w:t>(Clarendon Press</w:t>
      </w:r>
      <w:r w:rsidR="004128AC">
        <w:rPr>
          <w:rFonts w:ascii="Times New Roman" w:hAnsi="Times New Roman" w:cs="Times New Roman"/>
        </w:rPr>
        <w:t xml:space="preserve"> 1992)</w:t>
      </w:r>
      <w:r>
        <w:rPr>
          <w:rFonts w:ascii="Times New Roman" w:hAnsi="Times New Roman" w:cs="Times New Roman"/>
        </w:rPr>
        <w:t xml:space="preserve"> </w:t>
      </w:r>
      <w:r w:rsidRPr="00171AE0">
        <w:rPr>
          <w:rFonts w:ascii="Times New Roman" w:hAnsi="Times New Roman" w:cs="Times New Roman"/>
        </w:rPr>
        <w:t>54</w:t>
      </w:r>
      <w:r>
        <w:rPr>
          <w:rFonts w:ascii="Times New Roman" w:hAnsi="Times New Roman" w:cs="Times New Roman"/>
        </w:rPr>
        <w:t>.</w:t>
      </w:r>
    </w:p>
  </w:footnote>
  <w:footnote w:id="71">
    <w:p w14:paraId="35FF8D11" w14:textId="7B666AE0" w:rsidR="0028151D" w:rsidRDefault="0028151D">
      <w:pPr>
        <w:pStyle w:val="FootnoteText"/>
      </w:pPr>
      <w:r>
        <w:rPr>
          <w:rStyle w:val="FootnoteReference"/>
        </w:rPr>
        <w:footnoteRef/>
      </w:r>
      <w:r>
        <w:t xml:space="preserve"> </w:t>
      </w:r>
      <w:r>
        <w:rPr>
          <w:rFonts w:ascii="Times New Roman" w:hAnsi="Times New Roman" w:cs="Times New Roman"/>
        </w:rPr>
        <w:t>K</w:t>
      </w:r>
      <w:r w:rsidR="00C26B69">
        <w:rPr>
          <w:rFonts w:ascii="Times New Roman" w:hAnsi="Times New Roman" w:cs="Times New Roman"/>
        </w:rPr>
        <w:t xml:space="preserve">erry </w:t>
      </w:r>
      <w:r>
        <w:rPr>
          <w:rFonts w:ascii="Times New Roman" w:hAnsi="Times New Roman" w:cs="Times New Roman"/>
        </w:rPr>
        <w:t>H Robinson, ‘</w:t>
      </w:r>
      <w:r>
        <w:rPr>
          <w:rFonts w:ascii="Times New Roman" w:hAnsi="Times New Roman" w:cs="Times New Roman"/>
          <w:bCs/>
          <w:kern w:val="36"/>
          <w:lang w:val="en"/>
        </w:rPr>
        <w:t>Difficult citizenship</w:t>
      </w:r>
      <w:r w:rsidRPr="00E3735C">
        <w:rPr>
          <w:rFonts w:ascii="Times New Roman" w:hAnsi="Times New Roman" w:cs="Times New Roman"/>
          <w:bCs/>
          <w:kern w:val="36"/>
          <w:lang w:val="en"/>
        </w:rPr>
        <w:t>: The precarious relationships between childhood, sexuality and access to knowledge</w:t>
      </w:r>
      <w:r>
        <w:rPr>
          <w:rFonts w:ascii="Times New Roman" w:hAnsi="Times New Roman" w:cs="Times New Roman"/>
          <w:bCs/>
          <w:kern w:val="36"/>
          <w:lang w:val="en"/>
        </w:rPr>
        <w:t xml:space="preserve">’ (2012) 3-4 </w:t>
      </w:r>
      <w:r w:rsidRPr="00C26B69">
        <w:rPr>
          <w:rFonts w:ascii="Times New Roman" w:hAnsi="Times New Roman" w:cs="Times New Roman"/>
        </w:rPr>
        <w:t>Sexualities</w:t>
      </w:r>
      <w:r w:rsidRPr="00E3735C">
        <w:rPr>
          <w:rFonts w:ascii="Times New Roman" w:hAnsi="Times New Roman" w:cs="Times New Roman"/>
          <w:i/>
        </w:rPr>
        <w:t xml:space="preserve"> </w:t>
      </w:r>
      <w:r w:rsidRPr="00E3735C">
        <w:rPr>
          <w:rFonts w:ascii="Times New Roman" w:hAnsi="Times New Roman" w:cs="Times New Roman"/>
        </w:rPr>
        <w:t>276</w:t>
      </w:r>
      <w:r>
        <w:rPr>
          <w:rFonts w:ascii="Times New Roman" w:hAnsi="Times New Roman" w:cs="Times New Roman"/>
        </w:rPr>
        <w:t>.</w:t>
      </w:r>
    </w:p>
  </w:footnote>
  <w:footnote w:id="72">
    <w:p w14:paraId="70ED3F47" w14:textId="6B9C35AC" w:rsidR="0028151D" w:rsidRDefault="0028151D">
      <w:pPr>
        <w:pStyle w:val="FootnoteText"/>
      </w:pPr>
      <w:r>
        <w:rPr>
          <w:rStyle w:val="FootnoteReference"/>
        </w:rPr>
        <w:footnoteRef/>
      </w:r>
      <w:r>
        <w:t xml:space="preserve"> </w:t>
      </w:r>
      <w:r w:rsidRPr="00642E45">
        <w:rPr>
          <w:rFonts w:ascii="Times New Roman" w:hAnsi="Times New Roman" w:cs="Times New Roman"/>
        </w:rPr>
        <w:t>A</w:t>
      </w:r>
      <w:r w:rsidR="00C26B69">
        <w:rPr>
          <w:rFonts w:ascii="Times New Roman" w:hAnsi="Times New Roman" w:cs="Times New Roman"/>
        </w:rPr>
        <w:t>llison</w:t>
      </w:r>
      <w:r w:rsidRPr="00642E45">
        <w:rPr>
          <w:rFonts w:ascii="Times New Roman" w:hAnsi="Times New Roman" w:cs="Times New Roman"/>
        </w:rPr>
        <w:t xml:space="preserve"> James </w:t>
      </w:r>
      <w:r>
        <w:rPr>
          <w:rFonts w:ascii="Times New Roman" w:hAnsi="Times New Roman" w:cs="Times New Roman"/>
        </w:rPr>
        <w:t>‘</w:t>
      </w:r>
      <w:r w:rsidRPr="00642E45">
        <w:rPr>
          <w:rFonts w:ascii="Times New Roman" w:hAnsi="Times New Roman" w:cs="Times New Roman"/>
        </w:rPr>
        <w:t xml:space="preserve">To Be (Come) or Not to Be (Come): Understanding </w:t>
      </w:r>
      <w:r>
        <w:rPr>
          <w:rFonts w:ascii="Times New Roman" w:hAnsi="Times New Roman" w:cs="Times New Roman"/>
          <w:bCs/>
        </w:rPr>
        <w:t>Children’</w:t>
      </w:r>
      <w:r w:rsidRPr="00642E45">
        <w:rPr>
          <w:rFonts w:ascii="Times New Roman" w:hAnsi="Times New Roman" w:cs="Times New Roman"/>
          <w:bCs/>
        </w:rPr>
        <w:t>s Citizenship</w:t>
      </w:r>
      <w:r>
        <w:rPr>
          <w:rFonts w:ascii="Times New Roman" w:hAnsi="Times New Roman" w:cs="Times New Roman"/>
          <w:bCs/>
        </w:rPr>
        <w:t>’</w:t>
      </w:r>
      <w:r w:rsidRPr="00642E45">
        <w:rPr>
          <w:rFonts w:ascii="Times New Roman" w:hAnsi="Times New Roman" w:cs="Times New Roman"/>
          <w:bCs/>
        </w:rPr>
        <w:t xml:space="preserve"> </w:t>
      </w:r>
      <w:r>
        <w:rPr>
          <w:rFonts w:ascii="Times New Roman" w:hAnsi="Times New Roman" w:cs="Times New Roman"/>
          <w:bCs/>
        </w:rPr>
        <w:t>(</w:t>
      </w:r>
      <w:r w:rsidRPr="00642E45">
        <w:rPr>
          <w:rFonts w:ascii="Times New Roman" w:hAnsi="Times New Roman" w:cs="Times New Roman"/>
          <w:bCs/>
        </w:rPr>
        <w:t>2011</w:t>
      </w:r>
      <w:r>
        <w:rPr>
          <w:rFonts w:ascii="Times New Roman" w:hAnsi="Times New Roman" w:cs="Times New Roman"/>
          <w:bCs/>
        </w:rPr>
        <w:t>)</w:t>
      </w:r>
      <w:r w:rsidRPr="00642E45">
        <w:rPr>
          <w:rFonts w:ascii="Times New Roman" w:hAnsi="Times New Roman" w:cs="Times New Roman"/>
          <w:bCs/>
        </w:rPr>
        <w:t xml:space="preserve"> 633 </w:t>
      </w:r>
      <w:r w:rsidRPr="00C26B69">
        <w:rPr>
          <w:rFonts w:ascii="Times New Roman" w:hAnsi="Times New Roman" w:cs="Times New Roman"/>
        </w:rPr>
        <w:t>The Annals of The American Academy of Political and Social Science</w:t>
      </w:r>
      <w:r w:rsidRPr="00642E45">
        <w:rPr>
          <w:rFonts w:ascii="Times New Roman" w:hAnsi="Times New Roman" w:cs="Times New Roman"/>
          <w:i/>
        </w:rPr>
        <w:t xml:space="preserve"> </w:t>
      </w:r>
      <w:r w:rsidRPr="00642E45">
        <w:rPr>
          <w:rFonts w:ascii="Times New Roman" w:hAnsi="Times New Roman" w:cs="Times New Roman"/>
        </w:rPr>
        <w:t>167</w:t>
      </w:r>
    </w:p>
  </w:footnote>
  <w:footnote w:id="73">
    <w:p w14:paraId="607D9E8A" w14:textId="64C4C11E" w:rsidR="0028151D" w:rsidRDefault="0028151D">
      <w:pPr>
        <w:pStyle w:val="FootnoteText"/>
      </w:pPr>
      <w:r>
        <w:rPr>
          <w:rStyle w:val="FootnoteReference"/>
        </w:rPr>
        <w:footnoteRef/>
      </w:r>
      <w:r>
        <w:t xml:space="preserve"> </w:t>
      </w:r>
      <w:r>
        <w:rPr>
          <w:rFonts w:ascii="Times New Roman" w:hAnsi="Times New Roman" w:cs="Times New Roman"/>
        </w:rPr>
        <w:t>H</w:t>
      </w:r>
      <w:r w:rsidR="00C26B69">
        <w:rPr>
          <w:rFonts w:ascii="Times New Roman" w:hAnsi="Times New Roman" w:cs="Times New Roman"/>
        </w:rPr>
        <w:t>annah</w:t>
      </w:r>
      <w:r w:rsidRPr="002C333E">
        <w:rPr>
          <w:rFonts w:ascii="Times New Roman" w:hAnsi="Times New Roman" w:cs="Times New Roman"/>
        </w:rPr>
        <w:t xml:space="preserve"> Arendt </w:t>
      </w:r>
      <w:r w:rsidRPr="002C333E">
        <w:rPr>
          <w:rFonts w:ascii="Times New Roman" w:hAnsi="Times New Roman" w:cs="Times New Roman"/>
          <w:i/>
        </w:rPr>
        <w:t xml:space="preserve">The Origins of Totalitarianism </w:t>
      </w:r>
      <w:r w:rsidRPr="002C333E">
        <w:rPr>
          <w:rFonts w:ascii="Times New Roman" w:hAnsi="Times New Roman" w:cs="Times New Roman"/>
        </w:rPr>
        <w:t>(Andre Deutsch 1986)</w:t>
      </w:r>
      <w:r>
        <w:rPr>
          <w:rFonts w:ascii="Times New Roman" w:hAnsi="Times New Roman" w:cs="Times New Roman"/>
        </w:rPr>
        <w:t xml:space="preserve"> 277.</w:t>
      </w:r>
    </w:p>
  </w:footnote>
  <w:footnote w:id="74">
    <w:p w14:paraId="61477D59" w14:textId="2D04675F" w:rsidR="0028151D" w:rsidRDefault="0028151D">
      <w:pPr>
        <w:pStyle w:val="FootnoteText"/>
      </w:pPr>
      <w:r>
        <w:rPr>
          <w:rStyle w:val="FootnoteReference"/>
        </w:rPr>
        <w:footnoteRef/>
      </w:r>
      <w:r>
        <w:t xml:space="preserve"> </w:t>
      </w:r>
      <w:r w:rsidRPr="00642E45">
        <w:rPr>
          <w:rFonts w:ascii="Times New Roman" w:hAnsi="Times New Roman" w:cs="Times New Roman"/>
        </w:rPr>
        <w:t>B</w:t>
      </w:r>
      <w:r w:rsidR="00C26B69">
        <w:rPr>
          <w:rFonts w:ascii="Times New Roman" w:hAnsi="Times New Roman" w:cs="Times New Roman"/>
        </w:rPr>
        <w:t>ren</w:t>
      </w:r>
      <w:r w:rsidRPr="00642E45">
        <w:rPr>
          <w:rFonts w:ascii="Times New Roman" w:hAnsi="Times New Roman" w:cs="Times New Roman"/>
        </w:rPr>
        <w:t xml:space="preserve"> Neale </w:t>
      </w:r>
      <w:r>
        <w:rPr>
          <w:rFonts w:ascii="Times New Roman" w:hAnsi="Times New Roman" w:cs="Times New Roman"/>
        </w:rPr>
        <w:t>‘</w:t>
      </w:r>
      <w:r w:rsidRPr="00642E45">
        <w:rPr>
          <w:rFonts w:ascii="Times New Roman" w:hAnsi="Times New Roman" w:cs="Times New Roman"/>
        </w:rPr>
        <w:t>Introduction: Young Children’s Citizenship</w:t>
      </w:r>
      <w:r>
        <w:rPr>
          <w:rFonts w:ascii="Times New Roman" w:hAnsi="Times New Roman" w:cs="Times New Roman"/>
        </w:rPr>
        <w:t>’</w:t>
      </w:r>
      <w:r w:rsidRPr="00642E45">
        <w:rPr>
          <w:rFonts w:ascii="Times New Roman" w:hAnsi="Times New Roman" w:cs="Times New Roman"/>
        </w:rPr>
        <w:t xml:space="preserve"> in: B</w:t>
      </w:r>
      <w:r w:rsidR="00C26B69">
        <w:rPr>
          <w:rFonts w:ascii="Times New Roman" w:hAnsi="Times New Roman" w:cs="Times New Roman"/>
        </w:rPr>
        <w:t>ren</w:t>
      </w:r>
      <w:r w:rsidR="004128AC">
        <w:rPr>
          <w:rFonts w:ascii="Times New Roman" w:hAnsi="Times New Roman" w:cs="Times New Roman"/>
        </w:rPr>
        <w:t xml:space="preserve"> </w:t>
      </w:r>
      <w:r w:rsidRPr="00642E45">
        <w:rPr>
          <w:rFonts w:ascii="Times New Roman" w:hAnsi="Times New Roman" w:cs="Times New Roman"/>
        </w:rPr>
        <w:t xml:space="preserve">Neale (ed.) </w:t>
      </w:r>
      <w:r w:rsidRPr="00642E45">
        <w:rPr>
          <w:rFonts w:ascii="Times New Roman" w:hAnsi="Times New Roman" w:cs="Times New Roman"/>
          <w:i/>
        </w:rPr>
        <w:t>Young Children’s Citizenship</w:t>
      </w:r>
      <w:r w:rsidRPr="00642E45">
        <w:rPr>
          <w:rFonts w:ascii="Times New Roman" w:hAnsi="Times New Roman" w:cs="Times New Roman"/>
        </w:rPr>
        <w:t xml:space="preserve"> (Joseph Rowntree 2004).</w:t>
      </w:r>
    </w:p>
  </w:footnote>
  <w:footnote w:id="75">
    <w:p w14:paraId="76E7A919" w14:textId="01916097" w:rsidR="0028151D" w:rsidRDefault="0028151D">
      <w:pPr>
        <w:pStyle w:val="FootnoteText"/>
      </w:pPr>
      <w:r>
        <w:rPr>
          <w:rStyle w:val="FootnoteReference"/>
        </w:rPr>
        <w:footnoteRef/>
      </w:r>
      <w:r>
        <w:t xml:space="preserve"> </w:t>
      </w:r>
      <w:r w:rsidRPr="00642E45">
        <w:rPr>
          <w:rFonts w:ascii="Times New Roman" w:hAnsi="Times New Roman" w:cs="Times New Roman"/>
        </w:rPr>
        <w:t>R</w:t>
      </w:r>
      <w:r w:rsidR="002E28C4">
        <w:rPr>
          <w:rFonts w:ascii="Times New Roman" w:hAnsi="Times New Roman" w:cs="Times New Roman"/>
        </w:rPr>
        <w:t>aymond</w:t>
      </w:r>
      <w:r w:rsidRPr="00642E45">
        <w:rPr>
          <w:rFonts w:ascii="Times New Roman" w:hAnsi="Times New Roman" w:cs="Times New Roman"/>
        </w:rPr>
        <w:t xml:space="preserve"> Arthur </w:t>
      </w:r>
      <w:r>
        <w:rPr>
          <w:rFonts w:ascii="Times New Roman" w:hAnsi="Times New Roman" w:cs="Times New Roman"/>
        </w:rPr>
        <w:t>‘</w:t>
      </w:r>
      <w:r w:rsidRPr="00642E45">
        <w:rPr>
          <w:rFonts w:ascii="Times New Roman" w:hAnsi="Times New Roman" w:cs="Times New Roman"/>
        </w:rPr>
        <w:t>Recognising children’s citizenship in the youth justice system</w:t>
      </w:r>
      <w:r>
        <w:rPr>
          <w:rFonts w:ascii="Times New Roman" w:hAnsi="Times New Roman" w:cs="Times New Roman"/>
        </w:rPr>
        <w:t>’</w:t>
      </w:r>
      <w:r w:rsidRPr="00642E45">
        <w:rPr>
          <w:rFonts w:ascii="Times New Roman" w:hAnsi="Times New Roman" w:cs="Times New Roman"/>
        </w:rPr>
        <w:t xml:space="preserve"> </w:t>
      </w:r>
      <w:r>
        <w:rPr>
          <w:rFonts w:ascii="Times New Roman" w:hAnsi="Times New Roman" w:cs="Times New Roman"/>
        </w:rPr>
        <w:t>(</w:t>
      </w:r>
      <w:r w:rsidRPr="00642E45">
        <w:rPr>
          <w:rFonts w:ascii="Times New Roman" w:hAnsi="Times New Roman" w:cs="Times New Roman"/>
        </w:rPr>
        <w:t>2015</w:t>
      </w:r>
      <w:r>
        <w:rPr>
          <w:rFonts w:ascii="Times New Roman" w:hAnsi="Times New Roman" w:cs="Times New Roman"/>
        </w:rPr>
        <w:t>)</w:t>
      </w:r>
      <w:r w:rsidRPr="00642E45">
        <w:rPr>
          <w:rFonts w:ascii="Times New Roman" w:hAnsi="Times New Roman" w:cs="Times New Roman"/>
        </w:rPr>
        <w:t xml:space="preserve"> 37(1)</w:t>
      </w:r>
      <w:r w:rsidRPr="00642E45">
        <w:rPr>
          <w:rFonts w:ascii="Times New Roman" w:hAnsi="Times New Roman" w:cs="Times New Roman"/>
          <w:i/>
        </w:rPr>
        <w:t xml:space="preserve"> </w:t>
      </w:r>
      <w:r w:rsidRPr="002E28C4">
        <w:rPr>
          <w:rFonts w:ascii="Times New Roman" w:hAnsi="Times New Roman" w:cs="Times New Roman"/>
        </w:rPr>
        <w:t>Journal of Social Welfare &amp; Family Law</w:t>
      </w:r>
      <w:r w:rsidRPr="00642E45">
        <w:rPr>
          <w:rFonts w:ascii="Times New Roman" w:hAnsi="Times New Roman" w:cs="Times New Roman"/>
          <w:i/>
        </w:rPr>
        <w:t xml:space="preserve"> </w:t>
      </w:r>
      <w:r w:rsidRPr="00642E45">
        <w:rPr>
          <w:rFonts w:ascii="Times New Roman" w:hAnsi="Times New Roman" w:cs="Times New Roman"/>
        </w:rPr>
        <w:t>21.</w:t>
      </w:r>
    </w:p>
  </w:footnote>
  <w:footnote w:id="76">
    <w:p w14:paraId="574E8E75" w14:textId="34BF4CD5" w:rsidR="0028151D" w:rsidRDefault="0028151D">
      <w:pPr>
        <w:pStyle w:val="FootnoteText"/>
      </w:pPr>
      <w:r>
        <w:rPr>
          <w:rStyle w:val="FootnoteReference"/>
        </w:rPr>
        <w:footnoteRef/>
      </w:r>
      <w:r>
        <w:t xml:space="preserve"> </w:t>
      </w:r>
      <w:r w:rsidRPr="00642E45">
        <w:rPr>
          <w:rFonts w:ascii="Times New Roman" w:hAnsi="Times New Roman" w:cs="Times New Roman"/>
        </w:rPr>
        <w:t>V</w:t>
      </w:r>
      <w:r w:rsidR="002E28C4">
        <w:rPr>
          <w:rFonts w:ascii="Times New Roman" w:hAnsi="Times New Roman" w:cs="Times New Roman"/>
        </w:rPr>
        <w:t>icki</w:t>
      </w:r>
      <w:r w:rsidRPr="00642E45">
        <w:rPr>
          <w:rFonts w:ascii="Times New Roman" w:hAnsi="Times New Roman" w:cs="Times New Roman"/>
        </w:rPr>
        <w:t xml:space="preserve"> </w:t>
      </w:r>
      <w:proofErr w:type="spellStart"/>
      <w:r w:rsidRPr="00642E45">
        <w:rPr>
          <w:rFonts w:ascii="Times New Roman" w:hAnsi="Times New Roman" w:cs="Times New Roman"/>
        </w:rPr>
        <w:t>Coppock</w:t>
      </w:r>
      <w:proofErr w:type="spellEnd"/>
      <w:r w:rsidR="002E28C4">
        <w:rPr>
          <w:rFonts w:ascii="Times New Roman" w:hAnsi="Times New Roman" w:cs="Times New Roman"/>
        </w:rPr>
        <w:t xml:space="preserve"> and</w:t>
      </w:r>
      <w:r w:rsidRPr="00642E45">
        <w:rPr>
          <w:rFonts w:ascii="Times New Roman" w:hAnsi="Times New Roman" w:cs="Times New Roman"/>
        </w:rPr>
        <w:t xml:space="preserve"> L</w:t>
      </w:r>
      <w:r w:rsidR="002E28C4">
        <w:rPr>
          <w:rFonts w:ascii="Times New Roman" w:hAnsi="Times New Roman" w:cs="Times New Roman"/>
        </w:rPr>
        <w:t>ouise</w:t>
      </w:r>
      <w:r w:rsidRPr="00642E45">
        <w:rPr>
          <w:rFonts w:ascii="Times New Roman" w:hAnsi="Times New Roman" w:cs="Times New Roman"/>
        </w:rPr>
        <w:t xml:space="preserve"> Phillips </w:t>
      </w:r>
      <w:r>
        <w:rPr>
          <w:rFonts w:ascii="Times New Roman" w:hAnsi="Times New Roman" w:cs="Times New Roman"/>
        </w:rPr>
        <w:t>‘</w:t>
      </w:r>
      <w:r w:rsidRPr="00642E45">
        <w:rPr>
          <w:rFonts w:ascii="Times New Roman" w:hAnsi="Times New Roman" w:cs="Times New Roman"/>
        </w:rPr>
        <w:t>Actualisation of Children’s Participation Rights</w:t>
      </w:r>
      <w:r>
        <w:rPr>
          <w:rFonts w:ascii="Times New Roman" w:hAnsi="Times New Roman" w:cs="Times New Roman"/>
        </w:rPr>
        <w:t>’</w:t>
      </w:r>
      <w:r w:rsidRPr="00642E45">
        <w:rPr>
          <w:rFonts w:ascii="Times New Roman" w:hAnsi="Times New Roman" w:cs="Times New Roman"/>
        </w:rPr>
        <w:t xml:space="preserve"> </w:t>
      </w:r>
      <w:r>
        <w:rPr>
          <w:rFonts w:ascii="Times New Roman" w:hAnsi="Times New Roman" w:cs="Times New Roman"/>
        </w:rPr>
        <w:t>(</w:t>
      </w:r>
      <w:r w:rsidRPr="00642E45">
        <w:rPr>
          <w:rFonts w:ascii="Times New Roman" w:hAnsi="Times New Roman" w:cs="Times New Roman"/>
        </w:rPr>
        <w:t>2013</w:t>
      </w:r>
      <w:r>
        <w:rPr>
          <w:rFonts w:ascii="Times New Roman" w:hAnsi="Times New Roman" w:cs="Times New Roman"/>
        </w:rPr>
        <w:t>)</w:t>
      </w:r>
      <w:r w:rsidRPr="00642E45">
        <w:rPr>
          <w:rFonts w:ascii="Times New Roman" w:hAnsi="Times New Roman" w:cs="Times New Roman"/>
        </w:rPr>
        <w:t xml:space="preserve"> 3(2) </w:t>
      </w:r>
      <w:r w:rsidRPr="002E28C4">
        <w:rPr>
          <w:rFonts w:ascii="Times New Roman" w:hAnsi="Times New Roman" w:cs="Times New Roman"/>
        </w:rPr>
        <w:t>Global Studies of Childhood</w:t>
      </w:r>
      <w:r w:rsidRPr="00642E45">
        <w:rPr>
          <w:rFonts w:ascii="Times New Roman" w:hAnsi="Times New Roman" w:cs="Times New Roman"/>
        </w:rPr>
        <w:t xml:space="preserve"> 99</w:t>
      </w:r>
      <w:r>
        <w:rPr>
          <w:rFonts w:ascii="Times New Roman" w:hAnsi="Times New Roman" w:cs="Times New Roman"/>
        </w:rPr>
        <w:t>.</w:t>
      </w:r>
    </w:p>
  </w:footnote>
  <w:footnote w:id="77">
    <w:p w14:paraId="31AD20D7" w14:textId="7EF3EBCA" w:rsidR="0028151D" w:rsidRDefault="0028151D">
      <w:pPr>
        <w:pStyle w:val="FootnoteText"/>
      </w:pPr>
      <w:r>
        <w:rPr>
          <w:rStyle w:val="FootnoteReference"/>
        </w:rPr>
        <w:footnoteRef/>
      </w:r>
      <w:r>
        <w:t xml:space="preserve"> </w:t>
      </w:r>
      <w:r w:rsidRPr="00FE4882">
        <w:rPr>
          <w:rFonts w:ascii="Times New Roman" w:hAnsi="Times New Roman" w:cs="Times New Roman"/>
        </w:rPr>
        <w:t>J</w:t>
      </w:r>
      <w:r w:rsidR="002E28C4">
        <w:rPr>
          <w:rFonts w:ascii="Times New Roman" w:hAnsi="Times New Roman" w:cs="Times New Roman"/>
        </w:rPr>
        <w:t>an</w:t>
      </w:r>
      <w:r w:rsidRPr="00FE4882">
        <w:rPr>
          <w:rFonts w:ascii="Times New Roman" w:hAnsi="Times New Roman" w:cs="Times New Roman"/>
        </w:rPr>
        <w:t xml:space="preserve"> </w:t>
      </w:r>
      <w:proofErr w:type="spellStart"/>
      <w:r w:rsidRPr="00FE4882">
        <w:rPr>
          <w:rFonts w:ascii="Times New Roman" w:hAnsi="Times New Roman" w:cs="Times New Roman"/>
        </w:rPr>
        <w:t>Pakulski</w:t>
      </w:r>
      <w:proofErr w:type="spellEnd"/>
      <w:r w:rsidRPr="00FE4882">
        <w:rPr>
          <w:rFonts w:ascii="Times New Roman" w:hAnsi="Times New Roman" w:cs="Times New Roman"/>
        </w:rPr>
        <w:t xml:space="preserve"> </w:t>
      </w:r>
      <w:r>
        <w:rPr>
          <w:rFonts w:ascii="Times New Roman" w:hAnsi="Times New Roman" w:cs="Times New Roman"/>
        </w:rPr>
        <w:t>‘</w:t>
      </w:r>
      <w:r w:rsidRPr="00FE4882">
        <w:rPr>
          <w:rFonts w:ascii="Times New Roman" w:hAnsi="Times New Roman" w:cs="Times New Roman"/>
        </w:rPr>
        <w:t>Cultural Citizenship</w:t>
      </w:r>
      <w:r>
        <w:rPr>
          <w:rFonts w:ascii="Times New Roman" w:hAnsi="Times New Roman" w:cs="Times New Roman"/>
        </w:rPr>
        <w:t>’</w:t>
      </w:r>
      <w:r w:rsidRPr="00FE4882">
        <w:rPr>
          <w:rFonts w:ascii="Times New Roman" w:hAnsi="Times New Roman" w:cs="Times New Roman"/>
        </w:rPr>
        <w:t xml:space="preserve"> </w:t>
      </w:r>
      <w:r>
        <w:rPr>
          <w:rFonts w:ascii="Times New Roman" w:hAnsi="Times New Roman" w:cs="Times New Roman"/>
        </w:rPr>
        <w:t>(</w:t>
      </w:r>
      <w:r w:rsidRPr="00FE4882">
        <w:rPr>
          <w:rFonts w:ascii="Times New Roman" w:hAnsi="Times New Roman" w:cs="Times New Roman"/>
        </w:rPr>
        <w:t>1997</w:t>
      </w:r>
      <w:r>
        <w:rPr>
          <w:rFonts w:ascii="Times New Roman" w:hAnsi="Times New Roman" w:cs="Times New Roman"/>
        </w:rPr>
        <w:t>)</w:t>
      </w:r>
      <w:r w:rsidRPr="00FE4882">
        <w:rPr>
          <w:rFonts w:ascii="Times New Roman" w:hAnsi="Times New Roman" w:cs="Times New Roman"/>
        </w:rPr>
        <w:t xml:space="preserve"> 1 </w:t>
      </w:r>
      <w:r w:rsidRPr="002E28C4">
        <w:rPr>
          <w:rFonts w:ascii="Times New Roman" w:hAnsi="Times New Roman" w:cs="Times New Roman"/>
        </w:rPr>
        <w:t>Citizenship Studies</w:t>
      </w:r>
      <w:r w:rsidRPr="00FE4882">
        <w:rPr>
          <w:rFonts w:ascii="Times New Roman" w:hAnsi="Times New Roman" w:cs="Times New Roman"/>
          <w:i/>
        </w:rPr>
        <w:t xml:space="preserve"> </w:t>
      </w:r>
      <w:r w:rsidRPr="00FE4882">
        <w:rPr>
          <w:rFonts w:ascii="Times New Roman" w:hAnsi="Times New Roman" w:cs="Times New Roman"/>
        </w:rPr>
        <w:t>73-86</w:t>
      </w:r>
      <w:r>
        <w:rPr>
          <w:rFonts w:ascii="Times New Roman" w:hAnsi="Times New Roman" w:cs="Times New Roman"/>
        </w:rPr>
        <w:t>.</w:t>
      </w:r>
    </w:p>
  </w:footnote>
  <w:footnote w:id="78">
    <w:p w14:paraId="51D6BC7D" w14:textId="310C856E" w:rsidR="0028151D" w:rsidRDefault="0028151D" w:rsidP="0028151D">
      <w:pPr>
        <w:pStyle w:val="FootnoteText"/>
      </w:pPr>
      <w:r>
        <w:rPr>
          <w:rStyle w:val="FootnoteReference"/>
        </w:rPr>
        <w:footnoteRef/>
      </w:r>
      <w:r>
        <w:t xml:space="preserve"> </w:t>
      </w:r>
      <w:r w:rsidRPr="005D104D">
        <w:rPr>
          <w:rFonts w:ascii="Times New Roman" w:hAnsi="Times New Roman" w:cs="Times New Roman"/>
        </w:rPr>
        <w:t>For example</w:t>
      </w:r>
      <w:r>
        <w:rPr>
          <w:rFonts w:ascii="Times New Roman" w:hAnsi="Times New Roman" w:cs="Times New Roman"/>
        </w:rPr>
        <w:t xml:space="preserve"> G</w:t>
      </w:r>
      <w:r w:rsidR="002E28C4">
        <w:rPr>
          <w:rFonts w:ascii="Times New Roman" w:hAnsi="Times New Roman" w:cs="Times New Roman"/>
        </w:rPr>
        <w:t>ayle</w:t>
      </w:r>
      <w:r>
        <w:rPr>
          <w:rFonts w:ascii="Times New Roman" w:hAnsi="Times New Roman" w:cs="Times New Roman"/>
        </w:rPr>
        <w:t xml:space="preserve"> Rubin ‘</w:t>
      </w:r>
      <w:r w:rsidRPr="005D104D">
        <w:rPr>
          <w:rFonts w:ascii="Times New Roman" w:hAnsi="Times New Roman" w:cs="Times New Roman"/>
        </w:rPr>
        <w:t>Thinking sex: notes for a radical theory of the politics of sexuality</w:t>
      </w:r>
      <w:r>
        <w:rPr>
          <w:rFonts w:ascii="Times New Roman" w:hAnsi="Times New Roman" w:cs="Times New Roman"/>
        </w:rPr>
        <w:t>’</w:t>
      </w:r>
      <w:r w:rsidRPr="005D104D">
        <w:rPr>
          <w:rFonts w:ascii="Times New Roman" w:hAnsi="Times New Roman" w:cs="Times New Roman"/>
        </w:rPr>
        <w:t xml:space="preserve"> in C</w:t>
      </w:r>
      <w:r w:rsidR="002E28C4">
        <w:rPr>
          <w:rFonts w:ascii="Times New Roman" w:hAnsi="Times New Roman" w:cs="Times New Roman"/>
        </w:rPr>
        <w:t xml:space="preserve">arole </w:t>
      </w:r>
      <w:r w:rsidRPr="005D104D">
        <w:rPr>
          <w:rFonts w:ascii="Times New Roman" w:hAnsi="Times New Roman" w:cs="Times New Roman"/>
        </w:rPr>
        <w:t xml:space="preserve">S. Vance (ed.) </w:t>
      </w:r>
      <w:r w:rsidRPr="005D104D">
        <w:rPr>
          <w:rFonts w:ascii="Times New Roman" w:hAnsi="Times New Roman" w:cs="Times New Roman"/>
          <w:i/>
        </w:rPr>
        <w:t xml:space="preserve">Pleasure and danger: exploring females sexuality </w:t>
      </w:r>
      <w:r w:rsidRPr="005D104D">
        <w:rPr>
          <w:rFonts w:ascii="Times New Roman" w:hAnsi="Times New Roman" w:cs="Times New Roman"/>
        </w:rPr>
        <w:t>(</w:t>
      </w:r>
      <w:r>
        <w:rPr>
          <w:rFonts w:ascii="Times New Roman" w:hAnsi="Times New Roman" w:cs="Times New Roman"/>
        </w:rPr>
        <w:t>Routledge &amp; Kegan Paul 1984);</w:t>
      </w:r>
      <w:r w:rsidRPr="005D104D">
        <w:rPr>
          <w:rFonts w:ascii="Times New Roman" w:hAnsi="Times New Roman" w:cs="Times New Roman"/>
        </w:rPr>
        <w:t xml:space="preserve"> D</w:t>
      </w:r>
      <w:r w:rsidR="002E28C4">
        <w:rPr>
          <w:rFonts w:ascii="Times New Roman" w:hAnsi="Times New Roman" w:cs="Times New Roman"/>
        </w:rPr>
        <w:t>avid</w:t>
      </w:r>
      <w:r w:rsidRPr="005D104D">
        <w:rPr>
          <w:rFonts w:ascii="Times New Roman" w:hAnsi="Times New Roman" w:cs="Times New Roman"/>
        </w:rPr>
        <w:t xml:space="preserve"> Bell</w:t>
      </w:r>
      <w:r w:rsidR="002E28C4">
        <w:rPr>
          <w:rFonts w:ascii="Times New Roman" w:hAnsi="Times New Roman" w:cs="Times New Roman"/>
        </w:rPr>
        <w:t xml:space="preserve"> and</w:t>
      </w:r>
      <w:r w:rsidRPr="005D104D">
        <w:rPr>
          <w:rFonts w:ascii="Times New Roman" w:hAnsi="Times New Roman" w:cs="Times New Roman"/>
        </w:rPr>
        <w:t xml:space="preserve"> J</w:t>
      </w:r>
      <w:r w:rsidR="002E28C4">
        <w:rPr>
          <w:rFonts w:ascii="Times New Roman" w:hAnsi="Times New Roman" w:cs="Times New Roman"/>
        </w:rPr>
        <w:t>on</w:t>
      </w:r>
      <w:r w:rsidRPr="005D104D">
        <w:rPr>
          <w:rFonts w:ascii="Times New Roman" w:hAnsi="Times New Roman" w:cs="Times New Roman"/>
        </w:rPr>
        <w:t xml:space="preserve"> Binnie </w:t>
      </w:r>
      <w:r>
        <w:rPr>
          <w:rFonts w:ascii="Times New Roman" w:hAnsi="Times New Roman" w:cs="Times New Roman"/>
        </w:rPr>
        <w:t>‘</w:t>
      </w:r>
      <w:r w:rsidRPr="005D104D">
        <w:rPr>
          <w:rFonts w:ascii="Times New Roman" w:hAnsi="Times New Roman" w:cs="Times New Roman"/>
        </w:rPr>
        <w:t>Se</w:t>
      </w:r>
      <w:r>
        <w:rPr>
          <w:rFonts w:ascii="Times New Roman" w:hAnsi="Times New Roman" w:cs="Times New Roman"/>
        </w:rPr>
        <w:t>x</w:t>
      </w:r>
      <w:r w:rsidRPr="005D104D">
        <w:rPr>
          <w:rFonts w:ascii="Times New Roman" w:hAnsi="Times New Roman" w:cs="Times New Roman"/>
        </w:rPr>
        <w:t>ual citizenship: marriage, the market and the military</w:t>
      </w:r>
      <w:r>
        <w:rPr>
          <w:rFonts w:ascii="Times New Roman" w:hAnsi="Times New Roman" w:cs="Times New Roman"/>
        </w:rPr>
        <w:t>’</w:t>
      </w:r>
      <w:r w:rsidRPr="005D104D">
        <w:rPr>
          <w:rFonts w:ascii="Times New Roman" w:hAnsi="Times New Roman" w:cs="Times New Roman"/>
        </w:rPr>
        <w:t xml:space="preserve"> in S</w:t>
      </w:r>
      <w:r w:rsidR="002E28C4">
        <w:rPr>
          <w:rFonts w:ascii="Times New Roman" w:hAnsi="Times New Roman" w:cs="Times New Roman"/>
        </w:rPr>
        <w:t>teven</w:t>
      </w:r>
      <w:r w:rsidRPr="005D104D">
        <w:rPr>
          <w:rFonts w:ascii="Times New Roman" w:hAnsi="Times New Roman" w:cs="Times New Roman"/>
        </w:rPr>
        <w:t xml:space="preserve"> Seidman</w:t>
      </w:r>
      <w:r w:rsidR="002E28C4">
        <w:rPr>
          <w:rFonts w:ascii="Times New Roman" w:hAnsi="Times New Roman" w:cs="Times New Roman"/>
        </w:rPr>
        <w:t xml:space="preserve"> and</w:t>
      </w:r>
      <w:r w:rsidRPr="005D104D">
        <w:rPr>
          <w:rFonts w:ascii="Times New Roman" w:hAnsi="Times New Roman" w:cs="Times New Roman"/>
        </w:rPr>
        <w:t xml:space="preserve"> D</w:t>
      </w:r>
      <w:r w:rsidR="002E28C4">
        <w:rPr>
          <w:rFonts w:ascii="Times New Roman" w:hAnsi="Times New Roman" w:cs="Times New Roman"/>
        </w:rPr>
        <w:t>iane</w:t>
      </w:r>
      <w:r w:rsidRPr="005D104D">
        <w:rPr>
          <w:rFonts w:ascii="Times New Roman" w:hAnsi="Times New Roman" w:cs="Times New Roman"/>
        </w:rPr>
        <w:t xml:space="preserve"> Richardson (eds.) </w:t>
      </w:r>
      <w:r w:rsidRPr="005D104D">
        <w:rPr>
          <w:rFonts w:ascii="Times New Roman" w:hAnsi="Times New Roman" w:cs="Times New Roman"/>
          <w:i/>
        </w:rPr>
        <w:t xml:space="preserve">The Handbook of Lesbian and Gay Studies </w:t>
      </w:r>
      <w:r w:rsidRPr="005D104D">
        <w:rPr>
          <w:rFonts w:ascii="Times New Roman" w:hAnsi="Times New Roman" w:cs="Times New Roman"/>
        </w:rPr>
        <w:t xml:space="preserve">(Sage 2002); </w:t>
      </w:r>
      <w:proofErr w:type="spellStart"/>
      <w:r w:rsidRPr="005D104D">
        <w:rPr>
          <w:rFonts w:ascii="Times New Roman" w:hAnsi="Times New Roman" w:cs="Times New Roman"/>
        </w:rPr>
        <w:t>T</w:t>
      </w:r>
      <w:r w:rsidR="002E28C4">
        <w:rPr>
          <w:rFonts w:ascii="Times New Roman" w:hAnsi="Times New Roman" w:cs="Times New Roman"/>
        </w:rPr>
        <w:t>ovi</w:t>
      </w:r>
      <w:proofErr w:type="spellEnd"/>
      <w:r w:rsidRPr="005D104D">
        <w:rPr>
          <w:rFonts w:ascii="Times New Roman" w:hAnsi="Times New Roman" w:cs="Times New Roman"/>
        </w:rPr>
        <w:t xml:space="preserve"> </w:t>
      </w:r>
      <w:proofErr w:type="spellStart"/>
      <w:r w:rsidRPr="005D104D">
        <w:rPr>
          <w:rFonts w:ascii="Times New Roman" w:hAnsi="Times New Roman" w:cs="Times New Roman"/>
        </w:rPr>
        <w:t>Fenster</w:t>
      </w:r>
      <w:proofErr w:type="spellEnd"/>
      <w:r w:rsidRPr="005D104D">
        <w:rPr>
          <w:rFonts w:ascii="Times New Roman" w:hAnsi="Times New Roman" w:cs="Times New Roman"/>
        </w:rPr>
        <w:t xml:space="preserve"> </w:t>
      </w:r>
      <w:r>
        <w:rPr>
          <w:rFonts w:ascii="Times New Roman" w:hAnsi="Times New Roman" w:cs="Times New Roman"/>
        </w:rPr>
        <w:t>‘</w:t>
      </w:r>
      <w:r w:rsidRPr="005D104D">
        <w:rPr>
          <w:rFonts w:ascii="Times New Roman" w:hAnsi="Times New Roman" w:cs="Times New Roman"/>
        </w:rPr>
        <w:t>The right to the gendered city: different formations of belonging in everyday life</w:t>
      </w:r>
      <w:r>
        <w:rPr>
          <w:rFonts w:ascii="Times New Roman" w:hAnsi="Times New Roman" w:cs="Times New Roman"/>
        </w:rPr>
        <w:t>’</w:t>
      </w:r>
      <w:r w:rsidRPr="005D104D">
        <w:rPr>
          <w:rFonts w:ascii="Times New Roman" w:hAnsi="Times New Roman" w:cs="Times New Roman"/>
        </w:rPr>
        <w:t xml:space="preserve"> </w:t>
      </w:r>
      <w:r>
        <w:rPr>
          <w:rFonts w:ascii="Times New Roman" w:hAnsi="Times New Roman" w:cs="Times New Roman"/>
        </w:rPr>
        <w:t>(</w:t>
      </w:r>
      <w:r w:rsidRPr="005D104D">
        <w:rPr>
          <w:rFonts w:ascii="Times New Roman" w:hAnsi="Times New Roman" w:cs="Times New Roman"/>
        </w:rPr>
        <w:t>2005</w:t>
      </w:r>
      <w:r>
        <w:rPr>
          <w:rFonts w:ascii="Times New Roman" w:hAnsi="Times New Roman" w:cs="Times New Roman"/>
        </w:rPr>
        <w:t>)</w:t>
      </w:r>
      <w:r w:rsidRPr="005D104D">
        <w:rPr>
          <w:rFonts w:ascii="Times New Roman" w:hAnsi="Times New Roman" w:cs="Times New Roman"/>
        </w:rPr>
        <w:t xml:space="preserve"> 14(2) </w:t>
      </w:r>
      <w:r w:rsidRPr="002E28C4">
        <w:rPr>
          <w:rFonts w:ascii="Times New Roman" w:hAnsi="Times New Roman" w:cs="Times New Roman"/>
        </w:rPr>
        <w:t>Journal of Gender Studies</w:t>
      </w:r>
      <w:r w:rsidRPr="005D104D">
        <w:rPr>
          <w:rFonts w:ascii="Times New Roman" w:hAnsi="Times New Roman" w:cs="Times New Roman"/>
          <w:i/>
        </w:rPr>
        <w:t xml:space="preserve"> </w:t>
      </w:r>
      <w:r w:rsidRPr="005D104D">
        <w:rPr>
          <w:rFonts w:ascii="Times New Roman" w:hAnsi="Times New Roman" w:cs="Times New Roman"/>
        </w:rPr>
        <w:t>217-231.</w:t>
      </w:r>
    </w:p>
  </w:footnote>
  <w:footnote w:id="79">
    <w:p w14:paraId="1132B176" w14:textId="513E8984" w:rsidR="0028151D" w:rsidRDefault="0028151D">
      <w:pPr>
        <w:pStyle w:val="FootnoteText"/>
      </w:pPr>
      <w:r>
        <w:rPr>
          <w:rStyle w:val="FootnoteReference"/>
        </w:rPr>
        <w:footnoteRef/>
      </w:r>
      <w:r>
        <w:t xml:space="preserve"> </w:t>
      </w:r>
      <w:r w:rsidRPr="005D104D">
        <w:rPr>
          <w:rFonts w:ascii="Times New Roman" w:hAnsi="Times New Roman" w:cs="Times New Roman"/>
        </w:rPr>
        <w:t>N</w:t>
      </w:r>
      <w:r w:rsidR="002E28C4">
        <w:rPr>
          <w:rFonts w:ascii="Times New Roman" w:hAnsi="Times New Roman" w:cs="Times New Roman"/>
        </w:rPr>
        <w:t>oel</w:t>
      </w:r>
      <w:r w:rsidRPr="005D104D">
        <w:rPr>
          <w:rFonts w:ascii="Times New Roman" w:hAnsi="Times New Roman" w:cs="Times New Roman"/>
        </w:rPr>
        <w:t xml:space="preserve"> Smith, R</w:t>
      </w:r>
      <w:r w:rsidR="002E28C4">
        <w:rPr>
          <w:rFonts w:ascii="Times New Roman" w:hAnsi="Times New Roman" w:cs="Times New Roman"/>
        </w:rPr>
        <w:t>uth</w:t>
      </w:r>
      <w:r w:rsidRPr="005D104D">
        <w:rPr>
          <w:rFonts w:ascii="Times New Roman" w:hAnsi="Times New Roman" w:cs="Times New Roman"/>
        </w:rPr>
        <w:t xml:space="preserve"> Lister, S</w:t>
      </w:r>
      <w:r w:rsidR="002E28C4">
        <w:rPr>
          <w:rFonts w:ascii="Times New Roman" w:hAnsi="Times New Roman" w:cs="Times New Roman"/>
        </w:rPr>
        <w:t>ue</w:t>
      </w:r>
      <w:r w:rsidRPr="005D104D">
        <w:rPr>
          <w:rFonts w:ascii="Times New Roman" w:hAnsi="Times New Roman" w:cs="Times New Roman"/>
        </w:rPr>
        <w:t xml:space="preserve"> Middleton</w:t>
      </w:r>
      <w:r w:rsidR="002E28C4">
        <w:rPr>
          <w:rFonts w:ascii="Times New Roman" w:hAnsi="Times New Roman" w:cs="Times New Roman"/>
        </w:rPr>
        <w:t xml:space="preserve"> and</w:t>
      </w:r>
      <w:r w:rsidRPr="005D104D">
        <w:rPr>
          <w:rFonts w:ascii="Times New Roman" w:hAnsi="Times New Roman" w:cs="Times New Roman"/>
        </w:rPr>
        <w:t xml:space="preserve"> L</w:t>
      </w:r>
      <w:r w:rsidR="002E28C4">
        <w:rPr>
          <w:rFonts w:ascii="Times New Roman" w:hAnsi="Times New Roman" w:cs="Times New Roman"/>
        </w:rPr>
        <w:t>ynne</w:t>
      </w:r>
      <w:r>
        <w:rPr>
          <w:rFonts w:ascii="Times New Roman" w:hAnsi="Times New Roman" w:cs="Times New Roman"/>
        </w:rPr>
        <w:t xml:space="preserve"> Cox, ‘</w:t>
      </w:r>
      <w:r w:rsidRPr="005D104D">
        <w:rPr>
          <w:rFonts w:ascii="Times New Roman" w:hAnsi="Times New Roman" w:cs="Times New Roman"/>
        </w:rPr>
        <w:t>Young people as real citizens: towards an inclusionary understanding of citizenship</w:t>
      </w:r>
      <w:r>
        <w:rPr>
          <w:rFonts w:ascii="Times New Roman" w:hAnsi="Times New Roman" w:cs="Times New Roman"/>
        </w:rPr>
        <w:t>’</w:t>
      </w:r>
      <w:r w:rsidRPr="005D104D">
        <w:rPr>
          <w:rFonts w:ascii="Times New Roman" w:hAnsi="Times New Roman" w:cs="Times New Roman"/>
        </w:rPr>
        <w:t xml:space="preserve"> </w:t>
      </w:r>
      <w:r>
        <w:rPr>
          <w:rFonts w:ascii="Times New Roman" w:hAnsi="Times New Roman" w:cs="Times New Roman"/>
        </w:rPr>
        <w:t>(</w:t>
      </w:r>
      <w:r w:rsidRPr="005D104D">
        <w:rPr>
          <w:rFonts w:ascii="Times New Roman" w:hAnsi="Times New Roman" w:cs="Times New Roman"/>
        </w:rPr>
        <w:t>2005</w:t>
      </w:r>
      <w:r>
        <w:rPr>
          <w:rFonts w:ascii="Times New Roman" w:hAnsi="Times New Roman" w:cs="Times New Roman"/>
        </w:rPr>
        <w:t>)</w:t>
      </w:r>
      <w:r w:rsidRPr="005D104D">
        <w:rPr>
          <w:rFonts w:ascii="Times New Roman" w:hAnsi="Times New Roman" w:cs="Times New Roman"/>
        </w:rPr>
        <w:t xml:space="preserve"> 8(4) </w:t>
      </w:r>
      <w:r w:rsidRPr="002E28C4">
        <w:rPr>
          <w:rFonts w:ascii="Times New Roman" w:hAnsi="Times New Roman" w:cs="Times New Roman"/>
        </w:rPr>
        <w:t>Journal of Youth Studies</w:t>
      </w:r>
      <w:r w:rsidRPr="005D104D">
        <w:rPr>
          <w:rFonts w:ascii="Times New Roman" w:hAnsi="Times New Roman" w:cs="Times New Roman"/>
        </w:rPr>
        <w:t xml:space="preserve"> 425.</w:t>
      </w:r>
    </w:p>
  </w:footnote>
  <w:footnote w:id="80">
    <w:p w14:paraId="6E739EFB" w14:textId="1E124504" w:rsidR="00BD5A2E" w:rsidRDefault="00BD5A2E" w:rsidP="00BD5A2E">
      <w:pPr>
        <w:pStyle w:val="FootnoteText"/>
      </w:pPr>
      <w:r>
        <w:rPr>
          <w:rStyle w:val="FootnoteReference"/>
        </w:rPr>
        <w:footnoteRef/>
      </w:r>
      <w:r>
        <w:t xml:space="preserve"> </w:t>
      </w:r>
      <w:r w:rsidRPr="007659C1">
        <w:rPr>
          <w:rFonts w:ascii="Times New Roman" w:hAnsi="Times New Roman" w:cs="Times New Roman"/>
        </w:rPr>
        <w:t>E</w:t>
      </w:r>
      <w:r>
        <w:rPr>
          <w:rFonts w:ascii="Times New Roman" w:hAnsi="Times New Roman" w:cs="Times New Roman"/>
        </w:rPr>
        <w:t>ugene</w:t>
      </w:r>
      <w:r w:rsidRPr="007659C1">
        <w:rPr>
          <w:rFonts w:ascii="Times New Roman" w:hAnsi="Times New Roman" w:cs="Times New Roman"/>
        </w:rPr>
        <w:t xml:space="preserve"> </w:t>
      </w:r>
      <w:proofErr w:type="spellStart"/>
      <w:r w:rsidRPr="007659C1">
        <w:rPr>
          <w:rFonts w:ascii="Times New Roman" w:hAnsi="Times New Roman" w:cs="Times New Roman"/>
        </w:rPr>
        <w:t>Verhellen</w:t>
      </w:r>
      <w:proofErr w:type="spellEnd"/>
      <w:r w:rsidRPr="007659C1">
        <w:rPr>
          <w:rFonts w:ascii="Times New Roman" w:hAnsi="Times New Roman" w:cs="Times New Roman"/>
        </w:rPr>
        <w:t xml:space="preserve"> ‘The Convention on the Rights of the Child. Reflections from a historical, social policy and educational perspective’</w:t>
      </w:r>
      <w:r>
        <w:rPr>
          <w:rFonts w:ascii="Times New Roman" w:hAnsi="Times New Roman" w:cs="Times New Roman"/>
        </w:rPr>
        <w:t xml:space="preserve"> in</w:t>
      </w:r>
      <w:r w:rsidRPr="007659C1">
        <w:rPr>
          <w:rFonts w:ascii="Times New Roman" w:hAnsi="Times New Roman" w:cs="Times New Roman"/>
        </w:rPr>
        <w:t xml:space="preserve"> </w:t>
      </w:r>
      <w:proofErr w:type="spellStart"/>
      <w:r w:rsidRPr="007659C1">
        <w:rPr>
          <w:rFonts w:ascii="Times New Roman" w:hAnsi="Times New Roman" w:cs="Times New Roman"/>
        </w:rPr>
        <w:t>W</w:t>
      </w:r>
      <w:r>
        <w:rPr>
          <w:rFonts w:ascii="Times New Roman" w:hAnsi="Times New Roman" w:cs="Times New Roman"/>
        </w:rPr>
        <w:t>outer</w:t>
      </w:r>
      <w:proofErr w:type="spellEnd"/>
      <w:r w:rsidRPr="007659C1">
        <w:rPr>
          <w:rFonts w:ascii="Times New Roman" w:hAnsi="Times New Roman" w:cs="Times New Roman"/>
        </w:rPr>
        <w:t xml:space="preserve"> </w:t>
      </w:r>
      <w:proofErr w:type="spellStart"/>
      <w:r w:rsidRPr="007659C1">
        <w:rPr>
          <w:rFonts w:ascii="Times New Roman" w:hAnsi="Times New Roman" w:cs="Times New Roman"/>
        </w:rPr>
        <w:t>Vanderhole</w:t>
      </w:r>
      <w:proofErr w:type="spellEnd"/>
      <w:r w:rsidRPr="007659C1">
        <w:rPr>
          <w:rFonts w:ascii="Times New Roman" w:hAnsi="Times New Roman" w:cs="Times New Roman"/>
        </w:rPr>
        <w:t>, E</w:t>
      </w:r>
      <w:r>
        <w:rPr>
          <w:rFonts w:ascii="Times New Roman" w:hAnsi="Times New Roman" w:cs="Times New Roman"/>
        </w:rPr>
        <w:t>llen</w:t>
      </w:r>
      <w:r w:rsidRPr="007659C1">
        <w:rPr>
          <w:rFonts w:ascii="Times New Roman" w:hAnsi="Times New Roman" w:cs="Times New Roman"/>
        </w:rPr>
        <w:t xml:space="preserve"> </w:t>
      </w:r>
      <w:proofErr w:type="spellStart"/>
      <w:r w:rsidRPr="007659C1">
        <w:rPr>
          <w:rFonts w:ascii="Times New Roman" w:hAnsi="Times New Roman" w:cs="Times New Roman"/>
        </w:rPr>
        <w:t>Desmet</w:t>
      </w:r>
      <w:proofErr w:type="spellEnd"/>
      <w:r w:rsidRPr="007659C1">
        <w:rPr>
          <w:rFonts w:ascii="Times New Roman" w:hAnsi="Times New Roman" w:cs="Times New Roman"/>
        </w:rPr>
        <w:t>, D</w:t>
      </w:r>
      <w:r>
        <w:rPr>
          <w:rFonts w:ascii="Times New Roman" w:hAnsi="Times New Roman" w:cs="Times New Roman"/>
        </w:rPr>
        <w:t>idier</w:t>
      </w:r>
      <w:r w:rsidRPr="007659C1">
        <w:rPr>
          <w:rFonts w:ascii="Times New Roman" w:hAnsi="Times New Roman" w:cs="Times New Roman"/>
        </w:rPr>
        <w:t xml:space="preserve"> </w:t>
      </w:r>
      <w:proofErr w:type="spellStart"/>
      <w:r w:rsidRPr="007659C1">
        <w:rPr>
          <w:rFonts w:ascii="Times New Roman" w:hAnsi="Times New Roman" w:cs="Times New Roman"/>
        </w:rPr>
        <w:t>Reynaert</w:t>
      </w:r>
      <w:proofErr w:type="spellEnd"/>
      <w:r w:rsidRPr="007659C1">
        <w:rPr>
          <w:rFonts w:ascii="Times New Roman" w:hAnsi="Times New Roman" w:cs="Times New Roman"/>
        </w:rPr>
        <w:t>, S</w:t>
      </w:r>
      <w:r>
        <w:rPr>
          <w:rFonts w:ascii="Times New Roman" w:hAnsi="Times New Roman" w:cs="Times New Roman"/>
        </w:rPr>
        <w:t>ara</w:t>
      </w:r>
      <w:r w:rsidRPr="007659C1">
        <w:rPr>
          <w:rFonts w:ascii="Times New Roman" w:hAnsi="Times New Roman" w:cs="Times New Roman"/>
        </w:rPr>
        <w:t xml:space="preserve"> </w:t>
      </w:r>
      <w:proofErr w:type="spellStart"/>
      <w:r w:rsidRPr="007659C1">
        <w:rPr>
          <w:rFonts w:ascii="Times New Roman" w:hAnsi="Times New Roman" w:cs="Times New Roman"/>
        </w:rPr>
        <w:t>Lembrechts</w:t>
      </w:r>
      <w:proofErr w:type="spellEnd"/>
      <w:r w:rsidRPr="007659C1">
        <w:rPr>
          <w:rFonts w:ascii="Times New Roman" w:hAnsi="Times New Roman" w:cs="Times New Roman"/>
        </w:rPr>
        <w:t xml:space="preserve"> (eds</w:t>
      </w:r>
      <w:r>
        <w:rPr>
          <w:rFonts w:ascii="Times New Roman" w:hAnsi="Times New Roman" w:cs="Times New Roman"/>
        </w:rPr>
        <w:t>.</w:t>
      </w:r>
      <w:r w:rsidRPr="007659C1">
        <w:rPr>
          <w:rFonts w:ascii="Times New Roman" w:hAnsi="Times New Roman" w:cs="Times New Roman"/>
        </w:rPr>
        <w:t xml:space="preserve">) </w:t>
      </w:r>
      <w:r w:rsidRPr="007659C1">
        <w:rPr>
          <w:rFonts w:ascii="Times New Roman" w:hAnsi="Times New Roman" w:cs="Times New Roman"/>
          <w:i/>
        </w:rPr>
        <w:t>Routledge International Handbook on Children’s Rights Studies</w:t>
      </w:r>
      <w:r w:rsidRPr="007659C1">
        <w:rPr>
          <w:rFonts w:ascii="Times New Roman" w:hAnsi="Times New Roman" w:cs="Times New Roman"/>
        </w:rPr>
        <w:t xml:space="preserve"> (Routledge</w:t>
      </w:r>
      <w:r>
        <w:rPr>
          <w:rFonts w:ascii="Times New Roman" w:hAnsi="Times New Roman" w:cs="Times New Roman"/>
        </w:rPr>
        <w:t xml:space="preserve"> 2015), 43-59, </w:t>
      </w:r>
      <w:r w:rsidRPr="007659C1">
        <w:rPr>
          <w:rFonts w:ascii="Times New Roman" w:hAnsi="Times New Roman" w:cs="Times New Roman"/>
        </w:rPr>
        <w:t>55</w:t>
      </w:r>
    </w:p>
  </w:footnote>
  <w:footnote w:id="81">
    <w:p w14:paraId="5AF5B8B5" w14:textId="0100BC2B" w:rsidR="0028151D" w:rsidRDefault="0028151D">
      <w:pPr>
        <w:pStyle w:val="FootnoteText"/>
      </w:pPr>
      <w:r>
        <w:rPr>
          <w:rStyle w:val="FootnoteReference"/>
        </w:rPr>
        <w:footnoteRef/>
      </w:r>
      <w:r>
        <w:t xml:space="preserve"> </w:t>
      </w:r>
      <w:r w:rsidRPr="00642E45">
        <w:rPr>
          <w:rFonts w:ascii="Times New Roman" w:hAnsi="Times New Roman" w:cs="Times New Roman"/>
        </w:rPr>
        <w:t>K</w:t>
      </w:r>
      <w:r w:rsidR="000C74A4">
        <w:rPr>
          <w:rFonts w:ascii="Times New Roman" w:hAnsi="Times New Roman" w:cs="Times New Roman"/>
        </w:rPr>
        <w:t>en</w:t>
      </w:r>
      <w:r w:rsidRPr="00642E45">
        <w:rPr>
          <w:rFonts w:ascii="Times New Roman" w:hAnsi="Times New Roman" w:cs="Times New Roman"/>
        </w:rPr>
        <w:t xml:space="preserve"> Plummer </w:t>
      </w:r>
      <w:r w:rsidRPr="00642E45">
        <w:rPr>
          <w:rFonts w:ascii="Times New Roman" w:hAnsi="Times New Roman" w:cs="Times New Roman"/>
          <w:i/>
        </w:rPr>
        <w:t xml:space="preserve">Telling sexual stories: power, change and social worlds </w:t>
      </w:r>
      <w:r w:rsidRPr="00642E45">
        <w:rPr>
          <w:rFonts w:ascii="Times New Roman" w:hAnsi="Times New Roman" w:cs="Times New Roman"/>
        </w:rPr>
        <w:t>(Routledge 1995)</w:t>
      </w:r>
      <w:r>
        <w:rPr>
          <w:rFonts w:ascii="Times New Roman" w:hAnsi="Times New Roman" w:cs="Times New Roman"/>
        </w:rPr>
        <w:t xml:space="preserve"> </w:t>
      </w:r>
      <w:r w:rsidRPr="00642E45">
        <w:rPr>
          <w:rFonts w:ascii="Times New Roman" w:hAnsi="Times New Roman" w:cs="Times New Roman"/>
        </w:rPr>
        <w:t>150-151</w:t>
      </w:r>
      <w:r w:rsidR="000C74A4">
        <w:rPr>
          <w:rFonts w:ascii="Times New Roman" w:hAnsi="Times New Roman" w:cs="Times New Roman"/>
        </w:rPr>
        <w:t>.</w:t>
      </w:r>
    </w:p>
  </w:footnote>
  <w:footnote w:id="82">
    <w:p w14:paraId="7BDFF872" w14:textId="50B7F357" w:rsidR="0028151D" w:rsidRPr="002F4BA7" w:rsidRDefault="0028151D" w:rsidP="0028151D">
      <w:pPr>
        <w:pStyle w:val="FootnoteText"/>
        <w:rPr>
          <w:rFonts w:ascii="Times New Roman" w:hAnsi="Times New Roman" w:cs="Times New Roman"/>
        </w:rPr>
      </w:pPr>
      <w:r>
        <w:rPr>
          <w:rStyle w:val="FootnoteReference"/>
        </w:rPr>
        <w:footnoteRef/>
      </w:r>
      <w:r>
        <w:t xml:space="preserve"> </w:t>
      </w:r>
      <w:r w:rsidR="000C74A4" w:rsidRPr="002F4BA7">
        <w:rPr>
          <w:rFonts w:ascii="Times New Roman" w:hAnsi="Times New Roman" w:cs="Times New Roman"/>
        </w:rPr>
        <w:t>i</w:t>
      </w:r>
      <w:r w:rsidRPr="002F4BA7">
        <w:rPr>
          <w:rFonts w:ascii="Times New Roman" w:hAnsi="Times New Roman" w:cs="Times New Roman"/>
        </w:rPr>
        <w:t>bid 146, 152, 177.</w:t>
      </w:r>
    </w:p>
  </w:footnote>
  <w:footnote w:id="83">
    <w:p w14:paraId="539E1752" w14:textId="139A349A" w:rsidR="0028151D" w:rsidRPr="002F4BA7" w:rsidRDefault="0028151D">
      <w:pPr>
        <w:pStyle w:val="FootnoteText"/>
        <w:rPr>
          <w:rFonts w:ascii="Times New Roman" w:hAnsi="Times New Roman" w:cs="Times New Roman"/>
        </w:rPr>
      </w:pPr>
      <w:r w:rsidRPr="002F4BA7">
        <w:rPr>
          <w:rStyle w:val="FootnoteReference"/>
          <w:rFonts w:ascii="Times New Roman" w:hAnsi="Times New Roman" w:cs="Times New Roman"/>
        </w:rPr>
        <w:footnoteRef/>
      </w:r>
      <w:r w:rsidRPr="002F4BA7">
        <w:rPr>
          <w:rFonts w:ascii="Times New Roman" w:hAnsi="Times New Roman" w:cs="Times New Roman"/>
        </w:rPr>
        <w:t xml:space="preserve"> </w:t>
      </w:r>
      <w:r w:rsidR="000C74A4" w:rsidRPr="002F4BA7">
        <w:rPr>
          <w:rFonts w:ascii="Times New Roman" w:hAnsi="Times New Roman" w:cs="Times New Roman"/>
        </w:rPr>
        <w:t>i</w:t>
      </w:r>
      <w:r w:rsidRPr="002F4BA7">
        <w:rPr>
          <w:rFonts w:ascii="Times New Roman" w:hAnsi="Times New Roman" w:cs="Times New Roman"/>
        </w:rPr>
        <w:t>bid 151</w:t>
      </w:r>
    </w:p>
  </w:footnote>
  <w:footnote w:id="84">
    <w:p w14:paraId="2A929936" w14:textId="5EFFD253" w:rsidR="0028151D" w:rsidRPr="002F4BA7" w:rsidRDefault="0028151D">
      <w:pPr>
        <w:pStyle w:val="FootnoteText"/>
        <w:rPr>
          <w:rFonts w:ascii="Times New Roman" w:hAnsi="Times New Roman" w:cs="Times New Roman"/>
        </w:rPr>
      </w:pPr>
      <w:r w:rsidRPr="002F4BA7">
        <w:rPr>
          <w:rStyle w:val="FootnoteReference"/>
          <w:rFonts w:ascii="Times New Roman" w:hAnsi="Times New Roman" w:cs="Times New Roman"/>
        </w:rPr>
        <w:footnoteRef/>
      </w:r>
      <w:r w:rsidRPr="002F4BA7">
        <w:rPr>
          <w:rFonts w:ascii="Times New Roman" w:hAnsi="Times New Roman" w:cs="Times New Roman"/>
        </w:rPr>
        <w:t xml:space="preserve"> </w:t>
      </w:r>
      <w:r w:rsidR="000C74A4" w:rsidRPr="002F4BA7">
        <w:rPr>
          <w:rFonts w:ascii="Times New Roman" w:hAnsi="Times New Roman" w:cs="Times New Roman"/>
        </w:rPr>
        <w:t>i</w:t>
      </w:r>
      <w:r w:rsidRPr="002F4BA7">
        <w:rPr>
          <w:rFonts w:ascii="Times New Roman" w:hAnsi="Times New Roman" w:cs="Times New Roman"/>
        </w:rPr>
        <w:t>bid</w:t>
      </w:r>
    </w:p>
  </w:footnote>
  <w:footnote w:id="85">
    <w:p w14:paraId="3419A950" w14:textId="7A9307C6" w:rsidR="0028151D" w:rsidRDefault="0028151D">
      <w:pPr>
        <w:pStyle w:val="FootnoteText"/>
      </w:pPr>
      <w:r>
        <w:rPr>
          <w:rStyle w:val="FootnoteReference"/>
        </w:rPr>
        <w:footnoteRef/>
      </w:r>
      <w:r>
        <w:t xml:space="preserve"> </w:t>
      </w:r>
      <w:r>
        <w:rPr>
          <w:rFonts w:ascii="Times New Roman" w:hAnsi="Times New Roman" w:cs="Times New Roman"/>
        </w:rPr>
        <w:t>K</w:t>
      </w:r>
      <w:r w:rsidR="000C74A4">
        <w:rPr>
          <w:rFonts w:ascii="Times New Roman" w:hAnsi="Times New Roman" w:cs="Times New Roman"/>
        </w:rPr>
        <w:t>en</w:t>
      </w:r>
      <w:r>
        <w:rPr>
          <w:rFonts w:ascii="Times New Roman" w:hAnsi="Times New Roman" w:cs="Times New Roman"/>
        </w:rPr>
        <w:t xml:space="preserve"> Plu</w:t>
      </w:r>
      <w:r w:rsidRPr="00F317A6">
        <w:rPr>
          <w:rFonts w:ascii="Times New Roman" w:hAnsi="Times New Roman" w:cs="Times New Roman"/>
        </w:rPr>
        <w:t xml:space="preserve">mmer </w:t>
      </w:r>
      <w:r w:rsidRPr="00F317A6">
        <w:rPr>
          <w:rFonts w:ascii="Times New Roman" w:hAnsi="Times New Roman" w:cs="Times New Roman"/>
          <w:i/>
        </w:rPr>
        <w:t xml:space="preserve">Intimate Citizenship. Private Discussions and Public Dialogues </w:t>
      </w:r>
      <w:r>
        <w:rPr>
          <w:rFonts w:ascii="Times New Roman" w:hAnsi="Times New Roman" w:cs="Times New Roman"/>
        </w:rPr>
        <w:t>(University of W</w:t>
      </w:r>
      <w:r w:rsidRPr="00F317A6">
        <w:rPr>
          <w:rFonts w:ascii="Times New Roman" w:hAnsi="Times New Roman" w:cs="Times New Roman"/>
        </w:rPr>
        <w:t>as</w:t>
      </w:r>
      <w:r>
        <w:rPr>
          <w:rFonts w:ascii="Times New Roman" w:hAnsi="Times New Roman" w:cs="Times New Roman"/>
        </w:rPr>
        <w:t>h</w:t>
      </w:r>
      <w:r w:rsidRPr="00F317A6">
        <w:rPr>
          <w:rFonts w:ascii="Times New Roman" w:hAnsi="Times New Roman" w:cs="Times New Roman"/>
        </w:rPr>
        <w:t>ington Press</w:t>
      </w:r>
      <w:r>
        <w:rPr>
          <w:rFonts w:ascii="Times New Roman" w:hAnsi="Times New Roman" w:cs="Times New Roman"/>
        </w:rPr>
        <w:t xml:space="preserve"> 2006</w:t>
      </w:r>
      <w:r w:rsidRPr="00F317A6">
        <w:rPr>
          <w:rFonts w:ascii="Times New Roman" w:hAnsi="Times New Roman" w:cs="Times New Roman"/>
        </w:rPr>
        <w:t xml:space="preserve">) </w:t>
      </w:r>
      <w:r>
        <w:rPr>
          <w:rFonts w:ascii="Times New Roman" w:hAnsi="Times New Roman" w:cs="Times New Roman"/>
        </w:rPr>
        <w:t>7</w:t>
      </w:r>
    </w:p>
  </w:footnote>
  <w:footnote w:id="86">
    <w:p w14:paraId="2D40560D" w14:textId="391E1410" w:rsidR="0028151D" w:rsidRPr="0028151D" w:rsidRDefault="0028151D">
      <w:pPr>
        <w:pStyle w:val="FootnoteText"/>
        <w:rPr>
          <w:rFonts w:ascii="Times New Roman" w:hAnsi="Times New Roman" w:cs="Times New Roman"/>
        </w:rPr>
      </w:pPr>
      <w:r>
        <w:rPr>
          <w:rStyle w:val="FootnoteReference"/>
        </w:rPr>
        <w:footnoteRef/>
      </w:r>
      <w:r>
        <w:t xml:space="preserve"> </w:t>
      </w:r>
      <w:r w:rsidRPr="00D46FBA">
        <w:rPr>
          <w:rFonts w:ascii="Times New Roman" w:hAnsi="Times New Roman" w:cs="Times New Roman"/>
        </w:rPr>
        <w:t>S</w:t>
      </w:r>
      <w:r w:rsidR="002F4BA7">
        <w:rPr>
          <w:rFonts w:ascii="Times New Roman" w:hAnsi="Times New Roman" w:cs="Times New Roman"/>
        </w:rPr>
        <w:t>asha</w:t>
      </w:r>
      <w:r w:rsidRPr="00D46FBA">
        <w:rPr>
          <w:rFonts w:ascii="Times New Roman" w:hAnsi="Times New Roman" w:cs="Times New Roman"/>
        </w:rPr>
        <w:t xml:space="preserve"> </w:t>
      </w:r>
      <w:proofErr w:type="spellStart"/>
      <w:r w:rsidRPr="00D46FBA">
        <w:rPr>
          <w:rFonts w:ascii="Times New Roman" w:hAnsi="Times New Roman" w:cs="Times New Roman"/>
        </w:rPr>
        <w:t>Roseneil</w:t>
      </w:r>
      <w:proofErr w:type="spellEnd"/>
      <w:r w:rsidRPr="00D46FBA">
        <w:rPr>
          <w:rFonts w:ascii="Times New Roman" w:hAnsi="Times New Roman" w:cs="Times New Roman"/>
        </w:rPr>
        <w:t xml:space="preserve"> </w:t>
      </w:r>
      <w:r>
        <w:rPr>
          <w:rFonts w:ascii="Times New Roman" w:hAnsi="Times New Roman" w:cs="Times New Roman"/>
        </w:rPr>
        <w:t>‘</w:t>
      </w:r>
      <w:r w:rsidRPr="00D46FBA">
        <w:rPr>
          <w:rFonts w:ascii="Times New Roman" w:hAnsi="Times New Roman" w:cs="Times New Roman"/>
        </w:rPr>
        <w:t>Intimate citizenship</w:t>
      </w:r>
      <w:r>
        <w:rPr>
          <w:rFonts w:ascii="Times New Roman" w:hAnsi="Times New Roman" w:cs="Times New Roman"/>
        </w:rPr>
        <w:t>’</w:t>
      </w:r>
      <w:r w:rsidRPr="00D46FBA">
        <w:rPr>
          <w:rFonts w:ascii="Times New Roman" w:hAnsi="Times New Roman" w:cs="Times New Roman"/>
        </w:rPr>
        <w:t xml:space="preserve"> </w:t>
      </w:r>
      <w:r>
        <w:rPr>
          <w:rFonts w:ascii="Times New Roman" w:hAnsi="Times New Roman" w:cs="Times New Roman"/>
        </w:rPr>
        <w:t>(</w:t>
      </w:r>
      <w:r w:rsidRPr="00D46FBA">
        <w:rPr>
          <w:rFonts w:ascii="Times New Roman" w:hAnsi="Times New Roman" w:cs="Times New Roman"/>
        </w:rPr>
        <w:t>2010</w:t>
      </w:r>
      <w:r>
        <w:rPr>
          <w:rFonts w:ascii="Times New Roman" w:hAnsi="Times New Roman" w:cs="Times New Roman"/>
        </w:rPr>
        <w:t>)</w:t>
      </w:r>
      <w:r w:rsidRPr="00D46FBA">
        <w:rPr>
          <w:rFonts w:ascii="Times New Roman" w:hAnsi="Times New Roman" w:cs="Times New Roman"/>
        </w:rPr>
        <w:t xml:space="preserve"> 17(1) </w:t>
      </w:r>
      <w:r w:rsidRPr="002F4BA7">
        <w:rPr>
          <w:rFonts w:ascii="Times New Roman" w:hAnsi="Times New Roman" w:cs="Times New Roman"/>
        </w:rPr>
        <w:t>European Journal of Woman’s Studies</w:t>
      </w:r>
      <w:r w:rsidRPr="00D46FBA">
        <w:rPr>
          <w:rFonts w:ascii="Times New Roman" w:hAnsi="Times New Roman" w:cs="Times New Roman"/>
          <w:i/>
        </w:rPr>
        <w:t xml:space="preserve"> </w:t>
      </w:r>
      <w:r w:rsidRPr="00D46FBA">
        <w:rPr>
          <w:rFonts w:ascii="Times New Roman" w:hAnsi="Times New Roman" w:cs="Times New Roman"/>
        </w:rPr>
        <w:t>77; N</w:t>
      </w:r>
      <w:r w:rsidR="002F4BA7">
        <w:rPr>
          <w:rFonts w:ascii="Times New Roman" w:hAnsi="Times New Roman" w:cs="Times New Roman"/>
        </w:rPr>
        <w:t>atalie</w:t>
      </w:r>
      <w:r w:rsidRPr="00D46FBA">
        <w:rPr>
          <w:rFonts w:ascii="Times New Roman" w:hAnsi="Times New Roman" w:cs="Times New Roman"/>
        </w:rPr>
        <w:t xml:space="preserve"> </w:t>
      </w:r>
      <w:proofErr w:type="spellStart"/>
      <w:r w:rsidRPr="00D46FBA">
        <w:rPr>
          <w:rFonts w:ascii="Times New Roman" w:hAnsi="Times New Roman" w:cs="Times New Roman"/>
        </w:rPr>
        <w:t>Oswin</w:t>
      </w:r>
      <w:proofErr w:type="spellEnd"/>
      <w:r w:rsidR="002F4BA7">
        <w:rPr>
          <w:rFonts w:ascii="Times New Roman" w:hAnsi="Times New Roman" w:cs="Times New Roman"/>
        </w:rPr>
        <w:t xml:space="preserve"> and</w:t>
      </w:r>
      <w:r w:rsidRPr="00D46FBA">
        <w:rPr>
          <w:rFonts w:ascii="Times New Roman" w:hAnsi="Times New Roman" w:cs="Times New Roman"/>
        </w:rPr>
        <w:t xml:space="preserve"> E</w:t>
      </w:r>
      <w:r w:rsidR="002F4BA7">
        <w:rPr>
          <w:rFonts w:ascii="Times New Roman" w:hAnsi="Times New Roman" w:cs="Times New Roman"/>
        </w:rPr>
        <w:t>ric</w:t>
      </w:r>
      <w:r w:rsidRPr="00D46FBA">
        <w:rPr>
          <w:rFonts w:ascii="Times New Roman" w:hAnsi="Times New Roman" w:cs="Times New Roman"/>
        </w:rPr>
        <w:t xml:space="preserve"> </w:t>
      </w:r>
      <w:proofErr w:type="spellStart"/>
      <w:r w:rsidRPr="00D46FBA">
        <w:rPr>
          <w:rFonts w:ascii="Times New Roman" w:hAnsi="Times New Roman" w:cs="Times New Roman"/>
        </w:rPr>
        <w:t>Olund</w:t>
      </w:r>
      <w:proofErr w:type="spellEnd"/>
      <w:r w:rsidRPr="00D46FBA">
        <w:rPr>
          <w:rFonts w:ascii="Times New Roman" w:hAnsi="Times New Roman" w:cs="Times New Roman"/>
        </w:rPr>
        <w:t xml:space="preserve"> </w:t>
      </w:r>
      <w:r>
        <w:rPr>
          <w:rFonts w:ascii="Times New Roman" w:hAnsi="Times New Roman" w:cs="Times New Roman"/>
        </w:rPr>
        <w:t>‘</w:t>
      </w:r>
      <w:r w:rsidRPr="00D46FBA">
        <w:rPr>
          <w:rFonts w:ascii="Times New Roman" w:hAnsi="Times New Roman" w:cs="Times New Roman"/>
        </w:rPr>
        <w:t>Governing intimacy</w:t>
      </w:r>
      <w:r>
        <w:rPr>
          <w:rFonts w:ascii="Times New Roman" w:hAnsi="Times New Roman" w:cs="Times New Roman"/>
        </w:rPr>
        <w:t>’</w:t>
      </w:r>
      <w:r w:rsidRPr="00D46FBA">
        <w:rPr>
          <w:rFonts w:ascii="Times New Roman" w:hAnsi="Times New Roman" w:cs="Times New Roman"/>
        </w:rPr>
        <w:t xml:space="preserve"> </w:t>
      </w:r>
      <w:r>
        <w:rPr>
          <w:rFonts w:ascii="Times New Roman" w:hAnsi="Times New Roman" w:cs="Times New Roman"/>
        </w:rPr>
        <w:t>(</w:t>
      </w:r>
      <w:r w:rsidRPr="00D46FBA">
        <w:rPr>
          <w:rFonts w:ascii="Times New Roman" w:hAnsi="Times New Roman" w:cs="Times New Roman"/>
        </w:rPr>
        <w:t>2010</w:t>
      </w:r>
      <w:r>
        <w:rPr>
          <w:rFonts w:ascii="Times New Roman" w:hAnsi="Times New Roman" w:cs="Times New Roman"/>
        </w:rPr>
        <w:t>)</w:t>
      </w:r>
      <w:r w:rsidRPr="00D46FBA">
        <w:rPr>
          <w:rFonts w:ascii="Times New Roman" w:hAnsi="Times New Roman" w:cs="Times New Roman"/>
        </w:rPr>
        <w:t xml:space="preserve"> 28(1) </w:t>
      </w:r>
      <w:r w:rsidRPr="002F4BA7">
        <w:rPr>
          <w:rFonts w:ascii="Times New Roman" w:hAnsi="Times New Roman" w:cs="Times New Roman"/>
        </w:rPr>
        <w:t>Society and Space</w:t>
      </w:r>
      <w:r w:rsidRPr="00D46FBA">
        <w:rPr>
          <w:rFonts w:ascii="Times New Roman" w:hAnsi="Times New Roman" w:cs="Times New Roman"/>
          <w:i/>
        </w:rPr>
        <w:t xml:space="preserve"> </w:t>
      </w:r>
      <w:r>
        <w:rPr>
          <w:rFonts w:ascii="Times New Roman" w:hAnsi="Times New Roman" w:cs="Times New Roman"/>
        </w:rPr>
        <w:t xml:space="preserve">60; </w:t>
      </w:r>
      <w:r w:rsidRPr="00D46FBA">
        <w:rPr>
          <w:rFonts w:ascii="Times New Roman" w:hAnsi="Times New Roman" w:cs="Times New Roman"/>
        </w:rPr>
        <w:t>P</w:t>
      </w:r>
      <w:r w:rsidR="002F4BA7">
        <w:rPr>
          <w:rFonts w:ascii="Times New Roman" w:hAnsi="Times New Roman" w:cs="Times New Roman"/>
        </w:rPr>
        <w:t>hilip</w:t>
      </w:r>
      <w:r w:rsidRPr="00D46FBA">
        <w:rPr>
          <w:rFonts w:ascii="Times New Roman" w:hAnsi="Times New Roman" w:cs="Times New Roman"/>
        </w:rPr>
        <w:t xml:space="preserve"> Hubbard </w:t>
      </w:r>
      <w:r>
        <w:rPr>
          <w:rFonts w:ascii="Times New Roman" w:hAnsi="Times New Roman" w:cs="Times New Roman"/>
        </w:rPr>
        <w:t>‘</w:t>
      </w:r>
      <w:r w:rsidRPr="00D46FBA">
        <w:rPr>
          <w:rFonts w:ascii="Times New Roman" w:hAnsi="Times New Roman" w:cs="Times New Roman"/>
        </w:rPr>
        <w:t xml:space="preserve">Kissing is not a universal right: Sexuality, law and the scales of </w:t>
      </w:r>
      <w:proofErr w:type="spellStart"/>
      <w:r w:rsidRPr="00D46FBA">
        <w:rPr>
          <w:rFonts w:ascii="Times New Roman" w:hAnsi="Times New Roman" w:cs="Times New Roman"/>
        </w:rPr>
        <w:t>citizenhip</w:t>
      </w:r>
      <w:proofErr w:type="spellEnd"/>
      <w:r>
        <w:rPr>
          <w:rFonts w:ascii="Times New Roman" w:hAnsi="Times New Roman" w:cs="Times New Roman"/>
        </w:rPr>
        <w:t>’</w:t>
      </w:r>
      <w:r w:rsidRPr="00D46FBA">
        <w:rPr>
          <w:rFonts w:ascii="Times New Roman" w:hAnsi="Times New Roman" w:cs="Times New Roman"/>
        </w:rPr>
        <w:t xml:space="preserve"> </w:t>
      </w:r>
      <w:r>
        <w:rPr>
          <w:rFonts w:ascii="Times New Roman" w:hAnsi="Times New Roman" w:cs="Times New Roman"/>
        </w:rPr>
        <w:t>(</w:t>
      </w:r>
      <w:r w:rsidRPr="00D46FBA">
        <w:rPr>
          <w:rFonts w:ascii="Times New Roman" w:hAnsi="Times New Roman" w:cs="Times New Roman"/>
        </w:rPr>
        <w:t>2013</w:t>
      </w:r>
      <w:r>
        <w:rPr>
          <w:rFonts w:ascii="Times New Roman" w:hAnsi="Times New Roman" w:cs="Times New Roman"/>
        </w:rPr>
        <w:t>)</w:t>
      </w:r>
      <w:r w:rsidRPr="00D46FBA">
        <w:rPr>
          <w:rFonts w:ascii="Times New Roman" w:hAnsi="Times New Roman" w:cs="Times New Roman"/>
        </w:rPr>
        <w:t xml:space="preserve"> 49 </w:t>
      </w:r>
      <w:proofErr w:type="spellStart"/>
      <w:r w:rsidRPr="002F4BA7">
        <w:rPr>
          <w:rFonts w:ascii="Times New Roman" w:hAnsi="Times New Roman" w:cs="Times New Roman"/>
        </w:rPr>
        <w:t>Geoforum</w:t>
      </w:r>
      <w:proofErr w:type="spellEnd"/>
      <w:r w:rsidRPr="00D46FBA">
        <w:rPr>
          <w:rFonts w:ascii="Times New Roman" w:hAnsi="Times New Roman" w:cs="Times New Roman"/>
          <w:i/>
        </w:rPr>
        <w:t xml:space="preserve"> </w:t>
      </w:r>
      <w:r w:rsidRPr="00D46FBA">
        <w:rPr>
          <w:rFonts w:ascii="Times New Roman" w:hAnsi="Times New Roman" w:cs="Times New Roman"/>
        </w:rPr>
        <w:t>224</w:t>
      </w:r>
      <w:r w:rsidR="002F4BA7">
        <w:rPr>
          <w:rFonts w:ascii="Times New Roman" w:hAnsi="Times New Roman" w:cs="Times New Roman"/>
        </w:rPr>
        <w:t>.</w:t>
      </w:r>
    </w:p>
  </w:footnote>
  <w:footnote w:id="87">
    <w:p w14:paraId="6C038A97" w14:textId="396A1ED1" w:rsidR="00EB62F1" w:rsidRDefault="00EB62F1">
      <w:pPr>
        <w:pStyle w:val="FootnoteText"/>
      </w:pPr>
      <w:r>
        <w:rPr>
          <w:rStyle w:val="FootnoteReference"/>
        </w:rPr>
        <w:footnoteRef/>
      </w:r>
      <w:r>
        <w:t xml:space="preserve"> </w:t>
      </w:r>
      <w:proofErr w:type="spellStart"/>
      <w:r w:rsidRPr="00853EB0">
        <w:rPr>
          <w:rFonts w:ascii="Times New Roman" w:hAnsi="Times New Roman" w:cs="Times New Roman"/>
        </w:rPr>
        <w:t>D</w:t>
      </w:r>
      <w:r w:rsidR="00BC2962">
        <w:rPr>
          <w:rFonts w:ascii="Times New Roman" w:hAnsi="Times New Roman" w:cs="Times New Roman"/>
        </w:rPr>
        <w:t>aiva</w:t>
      </w:r>
      <w:proofErr w:type="spellEnd"/>
      <w:r w:rsidRPr="00853EB0">
        <w:rPr>
          <w:rFonts w:ascii="Times New Roman" w:hAnsi="Times New Roman" w:cs="Times New Roman"/>
        </w:rPr>
        <w:t xml:space="preserve"> </w:t>
      </w:r>
      <w:proofErr w:type="spellStart"/>
      <w:r w:rsidRPr="00853EB0">
        <w:rPr>
          <w:rFonts w:ascii="Times New Roman" w:hAnsi="Times New Roman" w:cs="Times New Roman"/>
        </w:rPr>
        <w:t>Stasiulis</w:t>
      </w:r>
      <w:proofErr w:type="spellEnd"/>
      <w:r w:rsidRPr="00853EB0">
        <w:rPr>
          <w:rFonts w:ascii="Times New Roman" w:hAnsi="Times New Roman" w:cs="Times New Roman"/>
        </w:rPr>
        <w:t xml:space="preserve"> </w:t>
      </w:r>
      <w:r>
        <w:rPr>
          <w:rFonts w:ascii="Times New Roman" w:hAnsi="Times New Roman" w:cs="Times New Roman"/>
        </w:rPr>
        <w:t>‘</w:t>
      </w:r>
      <w:r w:rsidRPr="00853EB0">
        <w:rPr>
          <w:rFonts w:ascii="Times New Roman" w:hAnsi="Times New Roman" w:cs="Times New Roman"/>
        </w:rPr>
        <w:t>The Active Child Citizen: Lessons from Canadian Policy and the Children’s Movement</w:t>
      </w:r>
      <w:r>
        <w:rPr>
          <w:rFonts w:ascii="Times New Roman" w:hAnsi="Times New Roman" w:cs="Times New Roman"/>
        </w:rPr>
        <w:t>’</w:t>
      </w:r>
      <w:r w:rsidRPr="00853EB0">
        <w:rPr>
          <w:rFonts w:ascii="Times New Roman" w:hAnsi="Times New Roman" w:cs="Times New Roman"/>
        </w:rPr>
        <w:t xml:space="preserve"> </w:t>
      </w:r>
      <w:r>
        <w:rPr>
          <w:rFonts w:ascii="Times New Roman" w:hAnsi="Times New Roman" w:cs="Times New Roman"/>
        </w:rPr>
        <w:t>(</w:t>
      </w:r>
      <w:r w:rsidRPr="00853EB0">
        <w:rPr>
          <w:rFonts w:ascii="Times New Roman" w:hAnsi="Times New Roman" w:cs="Times New Roman"/>
        </w:rPr>
        <w:t>2002</w:t>
      </w:r>
      <w:r>
        <w:rPr>
          <w:rFonts w:ascii="Times New Roman" w:hAnsi="Times New Roman" w:cs="Times New Roman"/>
        </w:rPr>
        <w:t>)</w:t>
      </w:r>
      <w:r w:rsidRPr="00853EB0">
        <w:rPr>
          <w:rFonts w:ascii="Times New Roman" w:hAnsi="Times New Roman" w:cs="Times New Roman"/>
        </w:rPr>
        <w:t xml:space="preserve"> 6(4) </w:t>
      </w:r>
      <w:r w:rsidRPr="00BC2962">
        <w:rPr>
          <w:rFonts w:ascii="Times New Roman" w:hAnsi="Times New Roman" w:cs="Times New Roman"/>
        </w:rPr>
        <w:t>Citizenship Studies</w:t>
      </w:r>
      <w:r w:rsidRPr="00853EB0">
        <w:rPr>
          <w:rFonts w:ascii="Times New Roman" w:hAnsi="Times New Roman" w:cs="Times New Roman"/>
          <w:i/>
        </w:rPr>
        <w:t xml:space="preserve"> </w:t>
      </w:r>
      <w:r w:rsidR="00BC2962">
        <w:rPr>
          <w:rFonts w:ascii="Times New Roman" w:hAnsi="Times New Roman" w:cs="Times New Roman"/>
        </w:rPr>
        <w:t>507</w:t>
      </w:r>
      <w:r>
        <w:rPr>
          <w:rFonts w:ascii="Times New Roman" w:hAnsi="Times New Roman" w:cs="Times New Roman"/>
        </w:rPr>
        <w:t>.</w:t>
      </w:r>
    </w:p>
  </w:footnote>
  <w:footnote w:id="88">
    <w:p w14:paraId="3D754588" w14:textId="6732792F" w:rsidR="00EB62F1" w:rsidRDefault="00EB62F1" w:rsidP="008A4E2B">
      <w:pPr>
        <w:pStyle w:val="FootnoteText"/>
      </w:pPr>
      <w:r>
        <w:rPr>
          <w:rStyle w:val="FootnoteReference"/>
        </w:rPr>
        <w:footnoteRef/>
      </w:r>
      <w:r>
        <w:t xml:space="preserve"> </w:t>
      </w:r>
      <w:r w:rsidR="008A4E2B">
        <w:t>(</w:t>
      </w:r>
      <w:r w:rsidR="008A4E2B">
        <w:rPr>
          <w:rFonts w:ascii="Times New Roman" w:hAnsi="Times New Roman" w:cs="Times New Roman"/>
        </w:rPr>
        <w:t>1986) AC 112)</w:t>
      </w:r>
    </w:p>
  </w:footnote>
  <w:footnote w:id="89">
    <w:p w14:paraId="63B74504" w14:textId="1B42173D" w:rsidR="00BD5A2E" w:rsidRDefault="00BD5A2E" w:rsidP="00BD5A2E">
      <w:pPr>
        <w:pStyle w:val="FootnoteText"/>
      </w:pPr>
      <w:r>
        <w:rPr>
          <w:rStyle w:val="FootnoteReference"/>
        </w:rPr>
        <w:footnoteRef/>
      </w:r>
      <w:r>
        <w:t xml:space="preserve"> </w:t>
      </w:r>
      <w:proofErr w:type="spellStart"/>
      <w:r w:rsidRPr="00281DDC">
        <w:rPr>
          <w:rFonts w:ascii="Times New Roman" w:hAnsi="Times New Roman" w:cs="Times New Roman"/>
        </w:rPr>
        <w:t>D</w:t>
      </w:r>
      <w:r>
        <w:rPr>
          <w:rFonts w:ascii="Times New Roman" w:hAnsi="Times New Roman" w:cs="Times New Roman"/>
        </w:rPr>
        <w:t>eevia</w:t>
      </w:r>
      <w:proofErr w:type="spellEnd"/>
      <w:r w:rsidRPr="00281DDC">
        <w:rPr>
          <w:rFonts w:ascii="Times New Roman" w:hAnsi="Times New Roman" w:cs="Times New Roman"/>
        </w:rPr>
        <w:t xml:space="preserve"> </w:t>
      </w:r>
      <w:proofErr w:type="spellStart"/>
      <w:r w:rsidRPr="00281DDC">
        <w:rPr>
          <w:rFonts w:ascii="Times New Roman" w:hAnsi="Times New Roman" w:cs="Times New Roman"/>
        </w:rPr>
        <w:t>Bhana</w:t>
      </w:r>
      <w:proofErr w:type="spellEnd"/>
      <w:r w:rsidRPr="00281DDC">
        <w:rPr>
          <w:rFonts w:ascii="Times New Roman" w:hAnsi="Times New Roman" w:cs="Times New Roman"/>
        </w:rPr>
        <w:t xml:space="preserve"> ‘Sexualities and gender-based research in youth studies’ in A</w:t>
      </w:r>
      <w:r>
        <w:rPr>
          <w:rFonts w:ascii="Times New Roman" w:hAnsi="Times New Roman" w:cs="Times New Roman"/>
        </w:rPr>
        <w:t>ndy</w:t>
      </w:r>
      <w:r w:rsidRPr="00281DDC">
        <w:rPr>
          <w:rFonts w:ascii="Times New Roman" w:hAnsi="Times New Roman" w:cs="Times New Roman"/>
        </w:rPr>
        <w:t xml:space="preserve"> Furlong (ed.) </w:t>
      </w:r>
      <w:r w:rsidRPr="00281DDC">
        <w:rPr>
          <w:rFonts w:ascii="Times New Roman" w:hAnsi="Times New Roman" w:cs="Times New Roman"/>
          <w:i/>
        </w:rPr>
        <w:t>Routledge Handbook of Youth and Young Adulthood</w:t>
      </w:r>
      <w:r w:rsidRPr="00281DDC">
        <w:rPr>
          <w:rFonts w:ascii="Times New Roman" w:hAnsi="Times New Roman" w:cs="Times New Roman"/>
        </w:rPr>
        <w:t xml:space="preserve"> </w:t>
      </w:r>
      <w:r>
        <w:rPr>
          <w:rFonts w:ascii="Times New Roman" w:hAnsi="Times New Roman" w:cs="Times New Roman"/>
        </w:rPr>
        <w:t>(</w:t>
      </w:r>
      <w:r w:rsidRPr="00281DDC">
        <w:rPr>
          <w:rFonts w:ascii="Times New Roman" w:hAnsi="Times New Roman" w:cs="Times New Roman"/>
        </w:rPr>
        <w:t>2</w:t>
      </w:r>
      <w:r w:rsidRPr="00281DDC">
        <w:rPr>
          <w:rFonts w:ascii="Times New Roman" w:hAnsi="Times New Roman" w:cs="Times New Roman"/>
          <w:vertAlign w:val="superscript"/>
        </w:rPr>
        <w:t>nd</w:t>
      </w:r>
      <w:r w:rsidRPr="00281DDC">
        <w:rPr>
          <w:rFonts w:ascii="Times New Roman" w:hAnsi="Times New Roman" w:cs="Times New Roman"/>
        </w:rPr>
        <w:t xml:space="preserve"> ed.,</w:t>
      </w:r>
      <w:r>
        <w:rPr>
          <w:rFonts w:ascii="Times New Roman" w:hAnsi="Times New Roman" w:cs="Times New Roman"/>
        </w:rPr>
        <w:t xml:space="preserve"> </w:t>
      </w:r>
      <w:r w:rsidR="004128AC">
        <w:rPr>
          <w:rFonts w:ascii="Times New Roman" w:hAnsi="Times New Roman" w:cs="Times New Roman"/>
        </w:rPr>
        <w:t>Routledge</w:t>
      </w:r>
      <w:r w:rsidRPr="00281DDC">
        <w:rPr>
          <w:rFonts w:ascii="Times New Roman" w:hAnsi="Times New Roman" w:cs="Times New Roman"/>
        </w:rPr>
        <w:t xml:space="preserve"> 2017) 339-345</w:t>
      </w:r>
      <w:r>
        <w:rPr>
          <w:rFonts w:ascii="Times New Roman" w:hAnsi="Times New Roman" w:cs="Times New Roman"/>
        </w:rPr>
        <w:t>.</w:t>
      </w:r>
    </w:p>
  </w:footnote>
  <w:footnote w:id="90">
    <w:p w14:paraId="08DF9F92" w14:textId="77777777" w:rsidR="00BD5A2E" w:rsidRDefault="00BD5A2E" w:rsidP="00BD5A2E">
      <w:pPr>
        <w:pStyle w:val="FootnoteText"/>
      </w:pPr>
      <w:r>
        <w:rPr>
          <w:rStyle w:val="FootnoteReference"/>
        </w:rPr>
        <w:footnoteRef/>
      </w:r>
      <w:r>
        <w:t xml:space="preserve"> </w:t>
      </w:r>
      <w:r w:rsidRPr="0057176F">
        <w:rPr>
          <w:rFonts w:ascii="Times New Roman" w:hAnsi="Times New Roman" w:cs="Times New Roman"/>
        </w:rPr>
        <w:t>A</w:t>
      </w:r>
      <w:r>
        <w:rPr>
          <w:rFonts w:ascii="Times New Roman" w:hAnsi="Times New Roman" w:cs="Times New Roman"/>
        </w:rPr>
        <w:t>ndres</w:t>
      </w:r>
      <w:r w:rsidRPr="0057176F">
        <w:rPr>
          <w:rFonts w:ascii="Times New Roman" w:hAnsi="Times New Roman" w:cs="Times New Roman"/>
        </w:rPr>
        <w:t xml:space="preserve"> </w:t>
      </w:r>
      <w:proofErr w:type="spellStart"/>
      <w:r w:rsidRPr="0057176F">
        <w:rPr>
          <w:rFonts w:ascii="Times New Roman" w:hAnsi="Times New Roman" w:cs="Times New Roman"/>
        </w:rPr>
        <w:t>Anastassiou</w:t>
      </w:r>
      <w:proofErr w:type="spellEnd"/>
      <w:r w:rsidRPr="0057176F">
        <w:rPr>
          <w:rFonts w:ascii="Times New Roman" w:hAnsi="Times New Roman" w:cs="Times New Roman"/>
        </w:rPr>
        <w:t xml:space="preserve"> </w:t>
      </w:r>
      <w:r>
        <w:rPr>
          <w:rFonts w:ascii="Times New Roman" w:hAnsi="Times New Roman" w:cs="Times New Roman"/>
        </w:rPr>
        <w:t>‘</w:t>
      </w:r>
      <w:r w:rsidRPr="0057176F">
        <w:rPr>
          <w:rFonts w:ascii="Times New Roman" w:hAnsi="Times New Roman" w:cs="Times New Roman"/>
        </w:rPr>
        <w:t xml:space="preserve">Sexting </w:t>
      </w:r>
      <w:r>
        <w:rPr>
          <w:rFonts w:ascii="Times New Roman" w:hAnsi="Times New Roman" w:cs="Times New Roman"/>
        </w:rPr>
        <w:t>an</w:t>
      </w:r>
      <w:r w:rsidRPr="0057176F">
        <w:rPr>
          <w:rFonts w:ascii="Times New Roman" w:hAnsi="Times New Roman" w:cs="Times New Roman"/>
        </w:rPr>
        <w:t>d Young People: A Review of Qualitative Literature</w:t>
      </w:r>
      <w:r>
        <w:rPr>
          <w:rFonts w:ascii="Times New Roman" w:hAnsi="Times New Roman" w:cs="Times New Roman"/>
        </w:rPr>
        <w:t>’</w:t>
      </w:r>
      <w:r w:rsidRPr="0057176F">
        <w:rPr>
          <w:rFonts w:ascii="Times New Roman" w:hAnsi="Times New Roman" w:cs="Times New Roman"/>
        </w:rPr>
        <w:t xml:space="preserve"> </w:t>
      </w:r>
      <w:r>
        <w:rPr>
          <w:rFonts w:ascii="Times New Roman" w:hAnsi="Times New Roman" w:cs="Times New Roman"/>
        </w:rPr>
        <w:t>(</w:t>
      </w:r>
      <w:r w:rsidRPr="0057176F">
        <w:rPr>
          <w:rFonts w:ascii="Times New Roman" w:hAnsi="Times New Roman" w:cs="Times New Roman"/>
        </w:rPr>
        <w:t>2017</w:t>
      </w:r>
      <w:r>
        <w:rPr>
          <w:rFonts w:ascii="Times New Roman" w:hAnsi="Times New Roman" w:cs="Times New Roman"/>
        </w:rPr>
        <w:t>)</w:t>
      </w:r>
      <w:r w:rsidRPr="0057176F">
        <w:rPr>
          <w:rFonts w:ascii="Times New Roman" w:hAnsi="Times New Roman" w:cs="Times New Roman"/>
        </w:rPr>
        <w:t xml:space="preserve"> 22(8) </w:t>
      </w:r>
      <w:r w:rsidRPr="00BC2962">
        <w:rPr>
          <w:rFonts w:ascii="Times New Roman" w:hAnsi="Times New Roman" w:cs="Times New Roman"/>
        </w:rPr>
        <w:t>The Qualitative Report</w:t>
      </w:r>
      <w:r w:rsidRPr="0057176F">
        <w:rPr>
          <w:rFonts w:ascii="Times New Roman" w:hAnsi="Times New Roman" w:cs="Times New Roman"/>
          <w:i/>
        </w:rPr>
        <w:t xml:space="preserve"> </w:t>
      </w:r>
      <w:r>
        <w:rPr>
          <w:rFonts w:ascii="Times New Roman" w:hAnsi="Times New Roman" w:cs="Times New Roman"/>
        </w:rPr>
        <w:t>2231.</w:t>
      </w:r>
    </w:p>
  </w:footnote>
  <w:footnote w:id="91">
    <w:p w14:paraId="72B5E0B2" w14:textId="0043BEF9" w:rsidR="008A4E2B" w:rsidRDefault="008A4E2B">
      <w:pPr>
        <w:pStyle w:val="FootnoteText"/>
      </w:pPr>
      <w:r>
        <w:rPr>
          <w:rStyle w:val="FootnoteReference"/>
        </w:rPr>
        <w:footnoteRef/>
      </w:r>
      <w:r>
        <w:t xml:space="preserve"> </w:t>
      </w:r>
      <w:proofErr w:type="spellStart"/>
      <w:r w:rsidRPr="00FC4F39">
        <w:rPr>
          <w:rFonts w:ascii="Times New Roman" w:hAnsi="Times New Roman" w:cs="Times New Roman"/>
        </w:rPr>
        <w:t>G</w:t>
      </w:r>
      <w:r w:rsidR="002D53CC">
        <w:rPr>
          <w:rFonts w:ascii="Times New Roman" w:hAnsi="Times New Roman" w:cs="Times New Roman"/>
        </w:rPr>
        <w:t>unagxhing</w:t>
      </w:r>
      <w:proofErr w:type="spellEnd"/>
      <w:r w:rsidRPr="00FC4F39">
        <w:rPr>
          <w:rFonts w:ascii="Times New Roman" w:hAnsi="Times New Roman" w:cs="Times New Roman"/>
        </w:rPr>
        <w:t xml:space="preserve"> </w:t>
      </w:r>
      <w:proofErr w:type="spellStart"/>
      <w:r w:rsidRPr="00FC4F39">
        <w:rPr>
          <w:rFonts w:ascii="Times New Roman" w:hAnsi="Times New Roman" w:cs="Times New Roman"/>
        </w:rPr>
        <w:t>Zhi</w:t>
      </w:r>
      <w:proofErr w:type="spellEnd"/>
      <w:r w:rsidRPr="00FC4F39">
        <w:rPr>
          <w:rFonts w:ascii="Times New Roman" w:hAnsi="Times New Roman" w:cs="Times New Roman"/>
        </w:rPr>
        <w:t>, S</w:t>
      </w:r>
      <w:r w:rsidR="002D53CC">
        <w:rPr>
          <w:rFonts w:ascii="Times New Roman" w:hAnsi="Times New Roman" w:cs="Times New Roman"/>
        </w:rPr>
        <w:t>uzan</w:t>
      </w:r>
      <w:r>
        <w:rPr>
          <w:rFonts w:ascii="Times New Roman" w:hAnsi="Times New Roman" w:cs="Times New Roman"/>
        </w:rPr>
        <w:t xml:space="preserve"> </w:t>
      </w:r>
      <w:r w:rsidRPr="00FC4F39">
        <w:rPr>
          <w:rFonts w:ascii="Times New Roman" w:hAnsi="Times New Roman" w:cs="Times New Roman"/>
        </w:rPr>
        <w:t>van der Aa</w:t>
      </w:r>
      <w:r>
        <w:rPr>
          <w:rFonts w:ascii="Times New Roman" w:hAnsi="Times New Roman" w:cs="Times New Roman"/>
        </w:rPr>
        <w:t>,</w:t>
      </w:r>
      <w:r w:rsidRPr="00FC4F39">
        <w:rPr>
          <w:rFonts w:ascii="Times New Roman" w:hAnsi="Times New Roman" w:cs="Times New Roman"/>
        </w:rPr>
        <w:t xml:space="preserve"> </w:t>
      </w:r>
      <w:r>
        <w:rPr>
          <w:rFonts w:ascii="Times New Roman" w:hAnsi="Times New Roman" w:cs="Times New Roman"/>
        </w:rPr>
        <w:t>‘</w:t>
      </w:r>
      <w:r w:rsidRPr="00FC4F39">
        <w:rPr>
          <w:rFonts w:ascii="Times New Roman" w:hAnsi="Times New Roman" w:cs="Times New Roman"/>
        </w:rPr>
        <w:t>Trends of age of consent legislation in Europe: a compara</w:t>
      </w:r>
      <w:r>
        <w:rPr>
          <w:rFonts w:ascii="Times New Roman" w:hAnsi="Times New Roman" w:cs="Times New Roman"/>
        </w:rPr>
        <w:t xml:space="preserve">tive study of 59 jurisdictions </w:t>
      </w:r>
      <w:r w:rsidRPr="00FC4F39">
        <w:rPr>
          <w:rFonts w:ascii="Times New Roman" w:hAnsi="Times New Roman" w:cs="Times New Roman"/>
        </w:rPr>
        <w:t>n the European continent</w:t>
      </w:r>
      <w:r>
        <w:rPr>
          <w:rFonts w:ascii="Times New Roman" w:hAnsi="Times New Roman" w:cs="Times New Roman"/>
        </w:rPr>
        <w:t>’ (2017) 8</w:t>
      </w:r>
      <w:r w:rsidRPr="00FC4F39">
        <w:rPr>
          <w:rFonts w:ascii="Times New Roman" w:hAnsi="Times New Roman" w:cs="Times New Roman"/>
        </w:rPr>
        <w:t xml:space="preserve"> </w:t>
      </w:r>
      <w:r w:rsidRPr="002D53CC">
        <w:rPr>
          <w:rFonts w:ascii="Times New Roman" w:hAnsi="Times New Roman" w:cs="Times New Roman"/>
        </w:rPr>
        <w:t>New Journal of European Criminal Law</w:t>
      </w:r>
      <w:r w:rsidRPr="00FC4F39">
        <w:rPr>
          <w:rFonts w:ascii="Times New Roman" w:hAnsi="Times New Roman" w:cs="Times New Roman"/>
        </w:rPr>
        <w:t xml:space="preserve"> 14</w:t>
      </w:r>
      <w:r w:rsidR="002D53CC">
        <w:rPr>
          <w:rFonts w:ascii="Times New Roman" w:hAnsi="Times New Roman" w:cs="Times New Roman"/>
        </w:rPr>
        <w:t>.</w:t>
      </w:r>
    </w:p>
  </w:footnote>
  <w:footnote w:id="92">
    <w:p w14:paraId="0C7780F3" w14:textId="4731F3EE" w:rsidR="008A4E2B" w:rsidRDefault="008A4E2B">
      <w:pPr>
        <w:pStyle w:val="FootnoteText"/>
      </w:pPr>
      <w:r>
        <w:rPr>
          <w:rStyle w:val="FootnoteReference"/>
        </w:rPr>
        <w:footnoteRef/>
      </w:r>
      <w:r>
        <w:t xml:space="preserve"> </w:t>
      </w:r>
      <w:r>
        <w:rPr>
          <w:rFonts w:ascii="Times New Roman" w:hAnsi="Times New Roman" w:cs="Times New Roman"/>
        </w:rPr>
        <w:t>K</w:t>
      </w:r>
      <w:r w:rsidR="002D53CC">
        <w:rPr>
          <w:rFonts w:ascii="Times New Roman" w:hAnsi="Times New Roman" w:cs="Times New Roman"/>
        </w:rPr>
        <w:t>ate</w:t>
      </w:r>
      <w:r>
        <w:rPr>
          <w:rFonts w:ascii="Times New Roman" w:hAnsi="Times New Roman" w:cs="Times New Roman"/>
        </w:rPr>
        <w:t xml:space="preserve"> </w:t>
      </w:r>
      <w:r w:rsidRPr="002355BC">
        <w:rPr>
          <w:rStyle w:val="nlmstring-name"/>
          <w:rFonts w:ascii="Times New Roman" w:hAnsi="Times New Roman" w:cs="Times New Roman"/>
        </w:rPr>
        <w:t>Albury</w:t>
      </w:r>
      <w:r w:rsidR="002D53CC">
        <w:rPr>
          <w:rStyle w:val="nlmstring-name"/>
          <w:rFonts w:ascii="Times New Roman" w:hAnsi="Times New Roman" w:cs="Times New Roman"/>
        </w:rPr>
        <w:t xml:space="preserve"> and Kate</w:t>
      </w:r>
      <w:r>
        <w:rPr>
          <w:rStyle w:val="nlmstring-name"/>
          <w:rFonts w:ascii="Times New Roman" w:hAnsi="Times New Roman" w:cs="Times New Roman"/>
        </w:rPr>
        <w:t xml:space="preserve"> Crawford,</w:t>
      </w:r>
      <w:r w:rsidRPr="002355BC">
        <w:rPr>
          <w:rFonts w:ascii="Times New Roman" w:hAnsi="Times New Roman" w:cs="Times New Roman"/>
        </w:rPr>
        <w:t xml:space="preserve"> </w:t>
      </w:r>
      <w:r>
        <w:rPr>
          <w:rFonts w:ascii="Times New Roman" w:hAnsi="Times New Roman" w:cs="Times New Roman"/>
        </w:rPr>
        <w:t>‘</w:t>
      </w:r>
      <w:r w:rsidRPr="002355BC">
        <w:rPr>
          <w:rStyle w:val="nlmarticle-title"/>
          <w:rFonts w:ascii="Times New Roman" w:hAnsi="Times New Roman" w:cs="Times New Roman"/>
        </w:rPr>
        <w:t xml:space="preserve">Sexting, consent and young people’s ethics: Beyond </w:t>
      </w:r>
      <w:r>
        <w:rPr>
          <w:rStyle w:val="nlmarticle-title"/>
          <w:rFonts w:ascii="Times New Roman" w:hAnsi="Times New Roman" w:cs="Times New Roman"/>
          <w:iCs/>
        </w:rPr>
        <w:t>Megan’s Story</w:t>
      </w:r>
      <w:r>
        <w:rPr>
          <w:rFonts w:ascii="Times New Roman" w:hAnsi="Times New Roman" w:cs="Times New Roman"/>
        </w:rPr>
        <w:t>’ (2012) 26</w:t>
      </w:r>
      <w:r w:rsidRPr="002355BC">
        <w:rPr>
          <w:rFonts w:ascii="Times New Roman" w:hAnsi="Times New Roman" w:cs="Times New Roman"/>
        </w:rPr>
        <w:t xml:space="preserve"> </w:t>
      </w:r>
      <w:r w:rsidRPr="002D53CC">
        <w:rPr>
          <w:rFonts w:ascii="Times New Roman" w:hAnsi="Times New Roman" w:cs="Times New Roman"/>
        </w:rPr>
        <w:t>Journal of Media and Cultural Studies</w:t>
      </w:r>
      <w:r w:rsidRPr="002355BC">
        <w:rPr>
          <w:rFonts w:ascii="Times New Roman" w:hAnsi="Times New Roman" w:cs="Times New Roman"/>
        </w:rPr>
        <w:t xml:space="preserve"> </w:t>
      </w:r>
      <w:r w:rsidRPr="002355BC">
        <w:rPr>
          <w:rStyle w:val="nlmlpage"/>
          <w:rFonts w:ascii="Times New Roman" w:hAnsi="Times New Roman" w:cs="Times New Roman"/>
        </w:rPr>
        <w:t>471</w:t>
      </w:r>
      <w:r>
        <w:rPr>
          <w:rStyle w:val="nlmlpage"/>
          <w:rFonts w:ascii="Times New Roman" w:hAnsi="Times New Roman" w:cs="Times New Roman"/>
        </w:rPr>
        <w:t>.</w:t>
      </w:r>
    </w:p>
  </w:footnote>
  <w:footnote w:id="93">
    <w:p w14:paraId="6AA417EA" w14:textId="77777777" w:rsidR="0010750A" w:rsidRPr="0010750A" w:rsidRDefault="0010750A" w:rsidP="0010750A">
      <w:pPr>
        <w:pStyle w:val="FootnoteText"/>
        <w:rPr>
          <w:rFonts w:ascii="Times New Roman" w:hAnsi="Times New Roman" w:cs="Times New Roman"/>
        </w:rPr>
      </w:pPr>
      <w:r w:rsidRPr="00463A90">
        <w:rPr>
          <w:rStyle w:val="FootnoteReference"/>
          <w:rFonts w:ascii="Times New Roman" w:hAnsi="Times New Roman" w:cs="Times New Roman"/>
        </w:rPr>
        <w:footnoteRef/>
      </w:r>
      <w:r w:rsidRPr="0010750A">
        <w:rPr>
          <w:rFonts w:ascii="Times New Roman" w:hAnsi="Times New Roman" w:cs="Times New Roman"/>
        </w:rPr>
        <w:t xml:space="preserve"> (2019) UKSC 3</w:t>
      </w:r>
    </w:p>
  </w:footnote>
  <w:footnote w:id="94">
    <w:p w14:paraId="1B2F8EB3" w14:textId="70D17E0E" w:rsidR="008A4E2B" w:rsidRDefault="008A4E2B">
      <w:pPr>
        <w:pStyle w:val="FootnoteText"/>
      </w:pPr>
      <w:r>
        <w:rPr>
          <w:rStyle w:val="FootnoteReference"/>
        </w:rPr>
        <w:footnoteRef/>
      </w:r>
      <w:r>
        <w:t xml:space="preserve"> </w:t>
      </w:r>
      <w:r w:rsidR="002D53CC">
        <w:rPr>
          <w:rFonts w:ascii="Times New Roman" w:hAnsi="Times New Roman" w:cs="Times New Roman"/>
        </w:rPr>
        <w:t xml:space="preserve">Danielle R Egan and Gail </w:t>
      </w:r>
      <w:r>
        <w:rPr>
          <w:rFonts w:ascii="Times New Roman" w:hAnsi="Times New Roman" w:cs="Times New Roman"/>
        </w:rPr>
        <w:t>Hawkes,</w:t>
      </w:r>
      <w:r w:rsidRPr="002355BC">
        <w:rPr>
          <w:rFonts w:ascii="Times New Roman" w:hAnsi="Times New Roman" w:cs="Times New Roman"/>
        </w:rPr>
        <w:t xml:space="preserve"> </w:t>
      </w:r>
      <w:r>
        <w:rPr>
          <w:rFonts w:ascii="Times New Roman" w:hAnsi="Times New Roman" w:cs="Times New Roman"/>
        </w:rPr>
        <w:t>‘</w:t>
      </w:r>
      <w:r w:rsidRPr="002355BC">
        <w:rPr>
          <w:rFonts w:ascii="Times New Roman" w:hAnsi="Times New Roman" w:cs="Times New Roman"/>
        </w:rPr>
        <w:t>The problem with protection: Or, why we need to move towards recognition and the sexual agency of children</w:t>
      </w:r>
      <w:r>
        <w:rPr>
          <w:rFonts w:ascii="Times New Roman" w:hAnsi="Times New Roman" w:cs="Times New Roman"/>
        </w:rPr>
        <w:t xml:space="preserve">’ (2009) 23 </w:t>
      </w:r>
      <w:r w:rsidRPr="002D53CC">
        <w:rPr>
          <w:rFonts w:ascii="Times New Roman" w:hAnsi="Times New Roman" w:cs="Times New Roman"/>
        </w:rPr>
        <w:t>Journal of Media &amp; Cultural Studies</w:t>
      </w:r>
      <w:r w:rsidRPr="002355BC">
        <w:rPr>
          <w:rFonts w:ascii="Times New Roman" w:hAnsi="Times New Roman" w:cs="Times New Roman"/>
        </w:rPr>
        <w:t xml:space="preserve"> 393</w:t>
      </w:r>
      <w:r>
        <w:rPr>
          <w:rFonts w:ascii="Times New Roman" w:hAnsi="Times New Roman" w:cs="Times New Roman"/>
        </w:rPr>
        <w:t>.</w:t>
      </w:r>
    </w:p>
  </w:footnote>
  <w:footnote w:id="95">
    <w:p w14:paraId="3A0910E8" w14:textId="4D3C2D5E" w:rsidR="00350302" w:rsidRDefault="00350302">
      <w:pPr>
        <w:pStyle w:val="FootnoteText"/>
      </w:pPr>
      <w:r>
        <w:rPr>
          <w:rStyle w:val="FootnoteReference"/>
        </w:rPr>
        <w:footnoteRef/>
      </w:r>
      <w:r>
        <w:t xml:space="preserve"> </w:t>
      </w:r>
      <w:r w:rsidRPr="00CE241A">
        <w:rPr>
          <w:rFonts w:ascii="Times New Roman" w:eastAsia="TimesNewRomanPSMT" w:hAnsi="Times New Roman" w:cs="Times New Roman"/>
        </w:rPr>
        <w:t xml:space="preserve">United Nations Committee on the Rights of the Child </w:t>
      </w:r>
      <w:r w:rsidRPr="00CE241A">
        <w:rPr>
          <w:rFonts w:ascii="Times New Roman" w:eastAsia="TimesNewRomanPSMT" w:hAnsi="Times New Roman" w:cs="Times New Roman"/>
          <w:i/>
        </w:rPr>
        <w:t>General Comment 20: The implementation of the rights of the child during adolescence</w:t>
      </w:r>
      <w:r w:rsidR="004128AC">
        <w:rPr>
          <w:rFonts w:ascii="Times New Roman" w:eastAsia="TimesNewRomanPSMT" w:hAnsi="Times New Roman" w:cs="Times New Roman"/>
        </w:rPr>
        <w:t xml:space="preserve"> (UNCRC/C/GC/20</w:t>
      </w:r>
      <w:r w:rsidRPr="00CE241A">
        <w:rPr>
          <w:rFonts w:ascii="Times New Roman" w:eastAsia="TimesNewRomanPSMT" w:hAnsi="Times New Roman" w:cs="Times New Roman"/>
        </w:rPr>
        <w:t xml:space="preserve"> 2016),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7E85" w14:textId="77777777" w:rsidR="00FD6FB5" w:rsidRDefault="00FD6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8011" w14:textId="1D3B25B3" w:rsidR="00FD6FB5" w:rsidRDefault="00FD6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3086" w14:textId="77777777" w:rsidR="00FD6FB5" w:rsidRDefault="00FD6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F53F60"/>
    <w:multiLevelType w:val="hybridMultilevel"/>
    <w:tmpl w:val="A1CA4686"/>
    <w:lvl w:ilvl="0" w:tplc="2DF46FEE">
      <w:start w:val="1"/>
      <w:numFmt w:val="upperRoman"/>
      <w:lvlText w:val="%1&gt;"/>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4A2A78"/>
    <w:multiLevelType w:val="hybridMultilevel"/>
    <w:tmpl w:val="86B2D410"/>
    <w:lvl w:ilvl="0" w:tplc="5BC898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029E2"/>
    <w:multiLevelType w:val="hybridMultilevel"/>
    <w:tmpl w:val="616AA5BE"/>
    <w:lvl w:ilvl="0" w:tplc="724E903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C867EF5"/>
    <w:multiLevelType w:val="hybridMultilevel"/>
    <w:tmpl w:val="522026AA"/>
    <w:lvl w:ilvl="0" w:tplc="DB46AA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13C30"/>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0E6EA9"/>
    <w:multiLevelType w:val="hybridMultilevel"/>
    <w:tmpl w:val="5BCE4DDE"/>
    <w:lvl w:ilvl="0" w:tplc="2AB6EA18">
      <w:start w:val="2"/>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40C72"/>
    <w:multiLevelType w:val="hybridMultilevel"/>
    <w:tmpl w:val="5CFA64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4131"/>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F3283"/>
    <w:multiLevelType w:val="hybridMultilevel"/>
    <w:tmpl w:val="A79EDE9A"/>
    <w:lvl w:ilvl="0" w:tplc="20E09E40">
      <w:start w:val="1"/>
      <w:numFmt w:val="upperRoman"/>
      <w:lvlText w:val="%1."/>
      <w:lvlJc w:val="left"/>
      <w:pPr>
        <w:ind w:left="1797"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 w15:restartNumberingAfterBreak="0">
    <w:nsid w:val="44B815FC"/>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9692E"/>
    <w:multiLevelType w:val="hybridMultilevel"/>
    <w:tmpl w:val="7EA62490"/>
    <w:lvl w:ilvl="0" w:tplc="CC06B65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D2C72"/>
    <w:multiLevelType w:val="hybridMultilevel"/>
    <w:tmpl w:val="B2201F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2365F"/>
    <w:multiLevelType w:val="hybridMultilevel"/>
    <w:tmpl w:val="C9AA1BEC"/>
    <w:lvl w:ilvl="0" w:tplc="AA04CA42">
      <w:start w:val="2"/>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A668C"/>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53F28"/>
    <w:multiLevelType w:val="multilevel"/>
    <w:tmpl w:val="20301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21565"/>
    <w:multiLevelType w:val="hybridMultilevel"/>
    <w:tmpl w:val="6CFC6672"/>
    <w:lvl w:ilvl="0" w:tplc="F934C620">
      <w:start w:val="2"/>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30A94"/>
    <w:multiLevelType w:val="hybridMultilevel"/>
    <w:tmpl w:val="BAAABE76"/>
    <w:lvl w:ilvl="0" w:tplc="A84CFC96">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num>
  <w:num w:numId="5">
    <w:abstractNumId w:val="13"/>
  </w:num>
  <w:num w:numId="6">
    <w:abstractNumId w:val="7"/>
  </w:num>
  <w:num w:numId="7">
    <w:abstractNumId w:val="1"/>
  </w:num>
  <w:num w:numId="8">
    <w:abstractNumId w:val="12"/>
  </w:num>
  <w:num w:numId="9">
    <w:abstractNumId w:val="10"/>
  </w:num>
  <w:num w:numId="10">
    <w:abstractNumId w:val="14"/>
  </w:num>
  <w:num w:numId="11">
    <w:abstractNumId w:val="16"/>
  </w:num>
  <w:num w:numId="12">
    <w:abstractNumId w:val="0"/>
  </w:num>
  <w:num w:numId="13">
    <w:abstractNumId w:val="3"/>
  </w:num>
  <w:num w:numId="14">
    <w:abstractNumId w:val="2"/>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33"/>
    <w:rsid w:val="0002239F"/>
    <w:rsid w:val="00036D3B"/>
    <w:rsid w:val="000511BC"/>
    <w:rsid w:val="00052A13"/>
    <w:rsid w:val="0005434C"/>
    <w:rsid w:val="000571B9"/>
    <w:rsid w:val="000628C8"/>
    <w:rsid w:val="000736FB"/>
    <w:rsid w:val="00085588"/>
    <w:rsid w:val="00093169"/>
    <w:rsid w:val="000A36A2"/>
    <w:rsid w:val="000A6D3A"/>
    <w:rsid w:val="000B29F5"/>
    <w:rsid w:val="000B3CDA"/>
    <w:rsid w:val="000B7BBC"/>
    <w:rsid w:val="000C1924"/>
    <w:rsid w:val="000C74A4"/>
    <w:rsid w:val="000E57A9"/>
    <w:rsid w:val="000F2951"/>
    <w:rsid w:val="0010750A"/>
    <w:rsid w:val="00116B8A"/>
    <w:rsid w:val="00153BD9"/>
    <w:rsid w:val="00162154"/>
    <w:rsid w:val="00171AE0"/>
    <w:rsid w:val="00172B20"/>
    <w:rsid w:val="00195A98"/>
    <w:rsid w:val="001B5F33"/>
    <w:rsid w:val="001B6ECF"/>
    <w:rsid w:val="001D3FED"/>
    <w:rsid w:val="001D4EF0"/>
    <w:rsid w:val="001E407C"/>
    <w:rsid w:val="001E7DA6"/>
    <w:rsid w:val="001F4499"/>
    <w:rsid w:val="0021008E"/>
    <w:rsid w:val="00217291"/>
    <w:rsid w:val="00217991"/>
    <w:rsid w:val="00231029"/>
    <w:rsid w:val="002334C6"/>
    <w:rsid w:val="002355BC"/>
    <w:rsid w:val="002551E5"/>
    <w:rsid w:val="0028151D"/>
    <w:rsid w:val="00281DDC"/>
    <w:rsid w:val="0029328A"/>
    <w:rsid w:val="00293799"/>
    <w:rsid w:val="002B028A"/>
    <w:rsid w:val="002B1700"/>
    <w:rsid w:val="002C333E"/>
    <w:rsid w:val="002D26DC"/>
    <w:rsid w:val="002D53CC"/>
    <w:rsid w:val="002E0826"/>
    <w:rsid w:val="002E28C4"/>
    <w:rsid w:val="002E328F"/>
    <w:rsid w:val="002E383C"/>
    <w:rsid w:val="002F4BA7"/>
    <w:rsid w:val="00304F1F"/>
    <w:rsid w:val="003106FF"/>
    <w:rsid w:val="00314A1F"/>
    <w:rsid w:val="00323476"/>
    <w:rsid w:val="003310BC"/>
    <w:rsid w:val="00350302"/>
    <w:rsid w:val="00361604"/>
    <w:rsid w:val="00365E83"/>
    <w:rsid w:val="00370228"/>
    <w:rsid w:val="00374003"/>
    <w:rsid w:val="00383F6B"/>
    <w:rsid w:val="00396B5E"/>
    <w:rsid w:val="00397A09"/>
    <w:rsid w:val="003A3F47"/>
    <w:rsid w:val="003C470A"/>
    <w:rsid w:val="003C6419"/>
    <w:rsid w:val="003C6AEA"/>
    <w:rsid w:val="003E0C38"/>
    <w:rsid w:val="003E34AE"/>
    <w:rsid w:val="003F2333"/>
    <w:rsid w:val="003F244F"/>
    <w:rsid w:val="003F52CF"/>
    <w:rsid w:val="004128AC"/>
    <w:rsid w:val="004137A6"/>
    <w:rsid w:val="004215BC"/>
    <w:rsid w:val="004249FE"/>
    <w:rsid w:val="00456256"/>
    <w:rsid w:val="00463A90"/>
    <w:rsid w:val="00464A60"/>
    <w:rsid w:val="0046585D"/>
    <w:rsid w:val="00486961"/>
    <w:rsid w:val="00495557"/>
    <w:rsid w:val="004D2956"/>
    <w:rsid w:val="004E5AB4"/>
    <w:rsid w:val="004E65D4"/>
    <w:rsid w:val="004E715B"/>
    <w:rsid w:val="004F34E7"/>
    <w:rsid w:val="0052252C"/>
    <w:rsid w:val="00524DC5"/>
    <w:rsid w:val="0052543A"/>
    <w:rsid w:val="00540400"/>
    <w:rsid w:val="00540BC1"/>
    <w:rsid w:val="0055094F"/>
    <w:rsid w:val="005546E3"/>
    <w:rsid w:val="00560393"/>
    <w:rsid w:val="0056128B"/>
    <w:rsid w:val="005707BC"/>
    <w:rsid w:val="0057176F"/>
    <w:rsid w:val="00580481"/>
    <w:rsid w:val="00584031"/>
    <w:rsid w:val="005849D3"/>
    <w:rsid w:val="005914FB"/>
    <w:rsid w:val="005A4FA3"/>
    <w:rsid w:val="005B6882"/>
    <w:rsid w:val="005C0CE8"/>
    <w:rsid w:val="005C76E5"/>
    <w:rsid w:val="005D05BA"/>
    <w:rsid w:val="005D104D"/>
    <w:rsid w:val="005D2246"/>
    <w:rsid w:val="005D2434"/>
    <w:rsid w:val="005E2032"/>
    <w:rsid w:val="005E27AF"/>
    <w:rsid w:val="005F5500"/>
    <w:rsid w:val="00600CB8"/>
    <w:rsid w:val="00617C00"/>
    <w:rsid w:val="00627C63"/>
    <w:rsid w:val="00630D55"/>
    <w:rsid w:val="00642E05"/>
    <w:rsid w:val="00642E45"/>
    <w:rsid w:val="00643DB9"/>
    <w:rsid w:val="00663BB4"/>
    <w:rsid w:val="0067138D"/>
    <w:rsid w:val="00677603"/>
    <w:rsid w:val="00692E3B"/>
    <w:rsid w:val="006A60AD"/>
    <w:rsid w:val="006B1147"/>
    <w:rsid w:val="006C673D"/>
    <w:rsid w:val="006C75AE"/>
    <w:rsid w:val="006E500B"/>
    <w:rsid w:val="006E695D"/>
    <w:rsid w:val="006F339E"/>
    <w:rsid w:val="007062DC"/>
    <w:rsid w:val="007176F4"/>
    <w:rsid w:val="007328B0"/>
    <w:rsid w:val="007452A3"/>
    <w:rsid w:val="007467B2"/>
    <w:rsid w:val="00763DA5"/>
    <w:rsid w:val="007659C1"/>
    <w:rsid w:val="00791410"/>
    <w:rsid w:val="007918E1"/>
    <w:rsid w:val="00793A37"/>
    <w:rsid w:val="007A1BDD"/>
    <w:rsid w:val="007A3D77"/>
    <w:rsid w:val="007A4332"/>
    <w:rsid w:val="007B7397"/>
    <w:rsid w:val="007C2B00"/>
    <w:rsid w:val="007C50C6"/>
    <w:rsid w:val="007D402A"/>
    <w:rsid w:val="007E36D2"/>
    <w:rsid w:val="007E3A0C"/>
    <w:rsid w:val="007E3CB3"/>
    <w:rsid w:val="007E5514"/>
    <w:rsid w:val="0080586C"/>
    <w:rsid w:val="00811A1E"/>
    <w:rsid w:val="008220D9"/>
    <w:rsid w:val="0084612F"/>
    <w:rsid w:val="00851DF2"/>
    <w:rsid w:val="00853EB0"/>
    <w:rsid w:val="008556CA"/>
    <w:rsid w:val="00882190"/>
    <w:rsid w:val="008850F7"/>
    <w:rsid w:val="00885C6C"/>
    <w:rsid w:val="00887D02"/>
    <w:rsid w:val="00895148"/>
    <w:rsid w:val="008A4E2B"/>
    <w:rsid w:val="008B6A16"/>
    <w:rsid w:val="008C0F41"/>
    <w:rsid w:val="008C5593"/>
    <w:rsid w:val="008D1A8E"/>
    <w:rsid w:val="00900BD9"/>
    <w:rsid w:val="00903A16"/>
    <w:rsid w:val="00903AE4"/>
    <w:rsid w:val="0090458F"/>
    <w:rsid w:val="009076C2"/>
    <w:rsid w:val="0093068F"/>
    <w:rsid w:val="0094104C"/>
    <w:rsid w:val="009532EC"/>
    <w:rsid w:val="00965F6C"/>
    <w:rsid w:val="0098041A"/>
    <w:rsid w:val="00997991"/>
    <w:rsid w:val="009E2285"/>
    <w:rsid w:val="00A23AC5"/>
    <w:rsid w:val="00A31C78"/>
    <w:rsid w:val="00A37B77"/>
    <w:rsid w:val="00A415EF"/>
    <w:rsid w:val="00A605EA"/>
    <w:rsid w:val="00A60CF0"/>
    <w:rsid w:val="00A63019"/>
    <w:rsid w:val="00A87C08"/>
    <w:rsid w:val="00A9237C"/>
    <w:rsid w:val="00AA1D13"/>
    <w:rsid w:val="00AA442F"/>
    <w:rsid w:val="00AB4935"/>
    <w:rsid w:val="00AD2A34"/>
    <w:rsid w:val="00AE308B"/>
    <w:rsid w:val="00AE77E3"/>
    <w:rsid w:val="00B204AE"/>
    <w:rsid w:val="00B22969"/>
    <w:rsid w:val="00B24CBA"/>
    <w:rsid w:val="00B26078"/>
    <w:rsid w:val="00B34107"/>
    <w:rsid w:val="00B542F2"/>
    <w:rsid w:val="00B64301"/>
    <w:rsid w:val="00B72C56"/>
    <w:rsid w:val="00B9085A"/>
    <w:rsid w:val="00B9167A"/>
    <w:rsid w:val="00B95471"/>
    <w:rsid w:val="00BA1A50"/>
    <w:rsid w:val="00BB6477"/>
    <w:rsid w:val="00BC2962"/>
    <w:rsid w:val="00BC2F18"/>
    <w:rsid w:val="00BC5D77"/>
    <w:rsid w:val="00BD5A2E"/>
    <w:rsid w:val="00BD71F6"/>
    <w:rsid w:val="00BD7DCB"/>
    <w:rsid w:val="00BE7CB9"/>
    <w:rsid w:val="00BF498F"/>
    <w:rsid w:val="00BF6B08"/>
    <w:rsid w:val="00BF7BBE"/>
    <w:rsid w:val="00C13701"/>
    <w:rsid w:val="00C13C6F"/>
    <w:rsid w:val="00C22417"/>
    <w:rsid w:val="00C23096"/>
    <w:rsid w:val="00C23291"/>
    <w:rsid w:val="00C26B69"/>
    <w:rsid w:val="00C4381C"/>
    <w:rsid w:val="00C44336"/>
    <w:rsid w:val="00C44BB3"/>
    <w:rsid w:val="00C63BEB"/>
    <w:rsid w:val="00C67E30"/>
    <w:rsid w:val="00C839F7"/>
    <w:rsid w:val="00C85EA9"/>
    <w:rsid w:val="00C93632"/>
    <w:rsid w:val="00C96C44"/>
    <w:rsid w:val="00CA0B94"/>
    <w:rsid w:val="00CB454D"/>
    <w:rsid w:val="00CB54A9"/>
    <w:rsid w:val="00D207CE"/>
    <w:rsid w:val="00D270D5"/>
    <w:rsid w:val="00D34370"/>
    <w:rsid w:val="00D343FB"/>
    <w:rsid w:val="00D35E63"/>
    <w:rsid w:val="00D37187"/>
    <w:rsid w:val="00D4289B"/>
    <w:rsid w:val="00D4432B"/>
    <w:rsid w:val="00D46FBA"/>
    <w:rsid w:val="00D51AAE"/>
    <w:rsid w:val="00D52A57"/>
    <w:rsid w:val="00D54417"/>
    <w:rsid w:val="00D725EE"/>
    <w:rsid w:val="00D75AF0"/>
    <w:rsid w:val="00D837C7"/>
    <w:rsid w:val="00D844D4"/>
    <w:rsid w:val="00D87013"/>
    <w:rsid w:val="00D9000C"/>
    <w:rsid w:val="00DB086E"/>
    <w:rsid w:val="00DB258D"/>
    <w:rsid w:val="00DC1585"/>
    <w:rsid w:val="00DD4FC3"/>
    <w:rsid w:val="00DD7EF7"/>
    <w:rsid w:val="00DE17DE"/>
    <w:rsid w:val="00DE3CC3"/>
    <w:rsid w:val="00DF1C75"/>
    <w:rsid w:val="00DF5200"/>
    <w:rsid w:val="00E00401"/>
    <w:rsid w:val="00E0475A"/>
    <w:rsid w:val="00E0520E"/>
    <w:rsid w:val="00E07B7A"/>
    <w:rsid w:val="00E13818"/>
    <w:rsid w:val="00E30F98"/>
    <w:rsid w:val="00E35F75"/>
    <w:rsid w:val="00E3735C"/>
    <w:rsid w:val="00E452A0"/>
    <w:rsid w:val="00E468FF"/>
    <w:rsid w:val="00E70641"/>
    <w:rsid w:val="00E77CE6"/>
    <w:rsid w:val="00EA0FEC"/>
    <w:rsid w:val="00EA4C9D"/>
    <w:rsid w:val="00EB62F1"/>
    <w:rsid w:val="00EE321E"/>
    <w:rsid w:val="00EF5FFA"/>
    <w:rsid w:val="00F16509"/>
    <w:rsid w:val="00F21BA5"/>
    <w:rsid w:val="00F22E0D"/>
    <w:rsid w:val="00F317A6"/>
    <w:rsid w:val="00F329B7"/>
    <w:rsid w:val="00F347A5"/>
    <w:rsid w:val="00F45BD8"/>
    <w:rsid w:val="00F67164"/>
    <w:rsid w:val="00F74A1D"/>
    <w:rsid w:val="00FA3334"/>
    <w:rsid w:val="00FA3F57"/>
    <w:rsid w:val="00FC2ED1"/>
    <w:rsid w:val="00FC4F39"/>
    <w:rsid w:val="00FD6D29"/>
    <w:rsid w:val="00FD6FB5"/>
    <w:rsid w:val="00FE4882"/>
    <w:rsid w:val="00FF4B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B585F"/>
  <w15:docId w15:val="{ABD6C5EA-F5E8-46C0-864A-88DD7B2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2154"/>
    <w:pPr>
      <w:spacing w:after="0" w:line="240" w:lineRule="auto"/>
    </w:pPr>
    <w:rPr>
      <w:sz w:val="20"/>
      <w:szCs w:val="20"/>
    </w:rPr>
  </w:style>
  <w:style w:type="character" w:customStyle="1" w:styleId="FootnoteTextChar">
    <w:name w:val="Footnote Text Char"/>
    <w:basedOn w:val="DefaultParagraphFont"/>
    <w:link w:val="FootnoteText"/>
    <w:uiPriority w:val="99"/>
    <w:rsid w:val="00162154"/>
    <w:rPr>
      <w:sz w:val="20"/>
      <w:szCs w:val="20"/>
    </w:rPr>
  </w:style>
  <w:style w:type="character" w:styleId="FootnoteReference">
    <w:name w:val="footnote reference"/>
    <w:basedOn w:val="DefaultParagraphFont"/>
    <w:uiPriority w:val="99"/>
    <w:unhideWhenUsed/>
    <w:rsid w:val="00162154"/>
    <w:rPr>
      <w:vertAlign w:val="superscript"/>
    </w:rPr>
  </w:style>
  <w:style w:type="character" w:styleId="Hyperlink">
    <w:name w:val="Hyperlink"/>
    <w:basedOn w:val="DefaultParagraphFont"/>
    <w:uiPriority w:val="99"/>
    <w:unhideWhenUsed/>
    <w:rsid w:val="00162154"/>
    <w:rPr>
      <w:color w:val="0000FF" w:themeColor="hyperlink"/>
      <w:u w:val="single"/>
    </w:rPr>
  </w:style>
  <w:style w:type="character" w:customStyle="1" w:styleId="nlmyear">
    <w:name w:val="nlm_year"/>
    <w:basedOn w:val="DefaultParagraphFont"/>
    <w:rsid w:val="00560393"/>
  </w:style>
  <w:style w:type="character" w:customStyle="1" w:styleId="nlmpublisher-loc">
    <w:name w:val="nlm_publisher-loc"/>
    <w:basedOn w:val="DefaultParagraphFont"/>
    <w:rsid w:val="00560393"/>
  </w:style>
  <w:style w:type="character" w:customStyle="1" w:styleId="nlmpublisher-name">
    <w:name w:val="nlm_publisher-name"/>
    <w:basedOn w:val="DefaultParagraphFont"/>
    <w:rsid w:val="00560393"/>
  </w:style>
  <w:style w:type="character" w:customStyle="1" w:styleId="nlmstring-name">
    <w:name w:val="nlm_string-name"/>
    <w:basedOn w:val="DefaultParagraphFont"/>
    <w:rsid w:val="00560393"/>
  </w:style>
  <w:style w:type="character" w:customStyle="1" w:styleId="nlmarticle-title">
    <w:name w:val="nlm_article-title"/>
    <w:basedOn w:val="DefaultParagraphFont"/>
    <w:rsid w:val="00560393"/>
  </w:style>
  <w:style w:type="character" w:customStyle="1" w:styleId="nlmfpage">
    <w:name w:val="nlm_fpage"/>
    <w:basedOn w:val="DefaultParagraphFont"/>
    <w:rsid w:val="00560393"/>
  </w:style>
  <w:style w:type="character" w:customStyle="1" w:styleId="nlmlpage">
    <w:name w:val="nlm_lpage"/>
    <w:basedOn w:val="DefaultParagraphFont"/>
    <w:rsid w:val="00560393"/>
  </w:style>
  <w:style w:type="paragraph" w:styleId="Header">
    <w:name w:val="header"/>
    <w:basedOn w:val="Normal"/>
    <w:link w:val="HeaderChar"/>
    <w:uiPriority w:val="99"/>
    <w:unhideWhenUsed/>
    <w:rsid w:val="00B3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07"/>
  </w:style>
  <w:style w:type="paragraph" w:styleId="Footer">
    <w:name w:val="footer"/>
    <w:basedOn w:val="Normal"/>
    <w:link w:val="FooterChar"/>
    <w:uiPriority w:val="99"/>
    <w:unhideWhenUsed/>
    <w:rsid w:val="00B3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07"/>
  </w:style>
  <w:style w:type="character" w:customStyle="1" w:styleId="glossarylink">
    <w:name w:val="glossarylink"/>
    <w:basedOn w:val="DefaultParagraphFont"/>
    <w:rsid w:val="00B34107"/>
  </w:style>
  <w:style w:type="paragraph" w:styleId="NormalWeb">
    <w:name w:val="Normal (Web)"/>
    <w:basedOn w:val="Normal"/>
    <w:uiPriority w:val="99"/>
    <w:unhideWhenUsed/>
    <w:rsid w:val="00B34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overlay2">
    <w:name w:val="ref-overlay2"/>
    <w:basedOn w:val="DefaultParagraphFont"/>
    <w:rsid w:val="00DD4FC3"/>
    <w:rPr>
      <w:shd w:val="clear" w:color="auto" w:fill="FFFFFF"/>
    </w:rPr>
  </w:style>
  <w:style w:type="character" w:customStyle="1" w:styleId="hlfld-contribauthor">
    <w:name w:val="hlfld-contribauthor"/>
    <w:basedOn w:val="DefaultParagraphFont"/>
    <w:rsid w:val="00DD4FC3"/>
  </w:style>
  <w:style w:type="character" w:customStyle="1" w:styleId="nlmgiven-names">
    <w:name w:val="nlm_given-names"/>
    <w:basedOn w:val="DefaultParagraphFont"/>
    <w:rsid w:val="00DD4FC3"/>
  </w:style>
  <w:style w:type="character" w:customStyle="1" w:styleId="slug-doi">
    <w:name w:val="slug-doi"/>
    <w:basedOn w:val="DefaultParagraphFont"/>
    <w:rsid w:val="008C0F41"/>
  </w:style>
  <w:style w:type="paragraph" w:styleId="ListParagraph">
    <w:name w:val="List Paragraph"/>
    <w:basedOn w:val="Normal"/>
    <w:uiPriority w:val="34"/>
    <w:qFormat/>
    <w:rsid w:val="00C85EA9"/>
    <w:pPr>
      <w:ind w:left="720"/>
      <w:contextualSpacing/>
    </w:pPr>
  </w:style>
  <w:style w:type="character" w:customStyle="1" w:styleId="tgc">
    <w:name w:val="_tgc"/>
    <w:basedOn w:val="DefaultParagraphFont"/>
    <w:rsid w:val="00763DA5"/>
  </w:style>
  <w:style w:type="character" w:customStyle="1" w:styleId="A15">
    <w:name w:val="A15"/>
    <w:uiPriority w:val="99"/>
    <w:rsid w:val="00C23096"/>
    <w:rPr>
      <w:rFonts w:cs="Frutiger LT Std 55 Roman"/>
      <w:color w:val="000000"/>
      <w:sz w:val="15"/>
      <w:szCs w:val="15"/>
      <w:u w:val="single"/>
    </w:rPr>
  </w:style>
  <w:style w:type="paragraph" w:styleId="BalloonText">
    <w:name w:val="Balloon Text"/>
    <w:basedOn w:val="Normal"/>
    <w:link w:val="BalloonTextChar"/>
    <w:uiPriority w:val="99"/>
    <w:semiHidden/>
    <w:unhideWhenUsed/>
    <w:rsid w:val="00F21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A5"/>
    <w:rPr>
      <w:rFonts w:ascii="Segoe UI" w:hAnsi="Segoe UI" w:cs="Segoe UI"/>
      <w:sz w:val="18"/>
      <w:szCs w:val="18"/>
    </w:rPr>
  </w:style>
  <w:style w:type="paragraph" w:styleId="BodyText">
    <w:name w:val="Body Text"/>
    <w:basedOn w:val="Normal"/>
    <w:link w:val="BodyTextChar"/>
    <w:rsid w:val="00663BB4"/>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3BB4"/>
    <w:rPr>
      <w:rFonts w:ascii="Times New Roman" w:eastAsia="Times New Roman" w:hAnsi="Times New Roman" w:cs="Times New Roman"/>
      <w:sz w:val="24"/>
      <w:szCs w:val="24"/>
    </w:rPr>
  </w:style>
  <w:style w:type="character" w:customStyle="1" w:styleId="cit-title">
    <w:name w:val="cit-title"/>
    <w:basedOn w:val="DefaultParagraphFont"/>
    <w:rsid w:val="00F67164"/>
  </w:style>
  <w:style w:type="paragraph" w:styleId="EndnoteText">
    <w:name w:val="endnote text"/>
    <w:basedOn w:val="Normal"/>
    <w:link w:val="EndnoteTextChar"/>
    <w:uiPriority w:val="99"/>
    <w:semiHidden/>
    <w:unhideWhenUsed/>
    <w:rsid w:val="009532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32EC"/>
    <w:rPr>
      <w:sz w:val="20"/>
      <w:szCs w:val="20"/>
    </w:rPr>
  </w:style>
  <w:style w:type="character" w:styleId="EndnoteReference">
    <w:name w:val="endnote reference"/>
    <w:basedOn w:val="DefaultParagraphFont"/>
    <w:uiPriority w:val="99"/>
    <w:semiHidden/>
    <w:unhideWhenUsed/>
    <w:rsid w:val="009532EC"/>
    <w:rPr>
      <w:vertAlign w:val="superscript"/>
    </w:rPr>
  </w:style>
  <w:style w:type="character" w:styleId="CommentReference">
    <w:name w:val="annotation reference"/>
    <w:basedOn w:val="DefaultParagraphFont"/>
    <w:uiPriority w:val="99"/>
    <w:semiHidden/>
    <w:unhideWhenUsed/>
    <w:rsid w:val="00AA442F"/>
    <w:rPr>
      <w:sz w:val="16"/>
      <w:szCs w:val="16"/>
    </w:rPr>
  </w:style>
  <w:style w:type="paragraph" w:styleId="CommentText">
    <w:name w:val="annotation text"/>
    <w:basedOn w:val="Normal"/>
    <w:link w:val="CommentTextChar"/>
    <w:uiPriority w:val="99"/>
    <w:semiHidden/>
    <w:unhideWhenUsed/>
    <w:rsid w:val="00AA442F"/>
    <w:pPr>
      <w:spacing w:line="240" w:lineRule="auto"/>
    </w:pPr>
    <w:rPr>
      <w:sz w:val="20"/>
      <w:szCs w:val="20"/>
    </w:rPr>
  </w:style>
  <w:style w:type="character" w:customStyle="1" w:styleId="CommentTextChar">
    <w:name w:val="Comment Text Char"/>
    <w:basedOn w:val="DefaultParagraphFont"/>
    <w:link w:val="CommentText"/>
    <w:uiPriority w:val="99"/>
    <w:semiHidden/>
    <w:rsid w:val="00AA442F"/>
    <w:rPr>
      <w:sz w:val="20"/>
      <w:szCs w:val="20"/>
    </w:rPr>
  </w:style>
  <w:style w:type="paragraph" w:styleId="CommentSubject">
    <w:name w:val="annotation subject"/>
    <w:basedOn w:val="CommentText"/>
    <w:next w:val="CommentText"/>
    <w:link w:val="CommentSubjectChar"/>
    <w:uiPriority w:val="99"/>
    <w:semiHidden/>
    <w:unhideWhenUsed/>
    <w:rsid w:val="00AA442F"/>
    <w:rPr>
      <w:b/>
      <w:bCs/>
    </w:rPr>
  </w:style>
  <w:style w:type="character" w:customStyle="1" w:styleId="CommentSubjectChar">
    <w:name w:val="Comment Subject Char"/>
    <w:basedOn w:val="CommentTextChar"/>
    <w:link w:val="CommentSubject"/>
    <w:uiPriority w:val="99"/>
    <w:semiHidden/>
    <w:rsid w:val="00AA442F"/>
    <w:rPr>
      <w:b/>
      <w:bCs/>
      <w:sz w:val="20"/>
      <w:szCs w:val="20"/>
    </w:rPr>
  </w:style>
  <w:style w:type="paragraph" w:customStyle="1" w:styleId="Default">
    <w:name w:val="Default"/>
    <w:rsid w:val="008821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09874/6_2939_SP_NCA_Sexting_In_Schools_FINAL_Update_Jan17.pdf" TargetMode="External"/><Relationship Id="rId13" Type="http://schemas.openxmlformats.org/officeDocument/2006/relationships/hyperlink" Target="http://www.bailii.org/ew/cases/EWCA/Civ/2017/32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ournals.sagepub.com/doi/full/10.1177/136346071348728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ew/cases/EWCA/Civ/2017/32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vonandsomerset.police.uk/advice/crime-prevention-advice/keeping-yourself-safe-online/sext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uploads/system/uploads/attachment_data/file/677928/JC-criminal-records-respons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B7E0-6D43-4B5B-A2CA-87E4492C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7287</Words>
  <Characters>41541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Arthur</dc:creator>
  <cp:keywords/>
  <dc:description/>
  <cp:lastModifiedBy>Paul Burns</cp:lastModifiedBy>
  <cp:revision>3</cp:revision>
  <cp:lastPrinted>2018-02-13T09:49:00Z</cp:lastPrinted>
  <dcterms:created xsi:type="dcterms:W3CDTF">2019-04-03T10:42:00Z</dcterms:created>
  <dcterms:modified xsi:type="dcterms:W3CDTF">2019-04-03T13:35:00Z</dcterms:modified>
</cp:coreProperties>
</file>