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65" w:lineRule="auto" w:before="78"/>
        <w:ind w:left="261" w:right="333" w:firstLine="0"/>
        <w:jc w:val="center"/>
        <w:rPr>
          <w:b/>
          <w:sz w:val="28"/>
        </w:rPr>
      </w:pPr>
      <w:r>
        <w:rPr>
          <w:b/>
          <w:sz w:val="28"/>
        </w:rPr>
        <w:t>Bacterial cellulose coated ST-cut quartz surface acoustic wave humidity sensor with high sensitivity, fast response and recovery</w:t>
      </w:r>
    </w:p>
    <w:p>
      <w:pPr>
        <w:pStyle w:val="BodyText"/>
        <w:ind w:left="0"/>
        <w:rPr>
          <w:b/>
          <w:sz w:val="30"/>
        </w:rPr>
      </w:pPr>
    </w:p>
    <w:p>
      <w:pPr>
        <w:pStyle w:val="BodyText"/>
        <w:spacing w:before="4"/>
        <w:ind w:left="0"/>
        <w:rPr>
          <w:b/>
        </w:rPr>
      </w:pPr>
    </w:p>
    <w:p>
      <w:pPr>
        <w:pStyle w:val="BodyText"/>
        <w:spacing w:before="1"/>
        <w:ind w:left="256" w:right="333"/>
        <w:jc w:val="center"/>
      </w:pPr>
      <w:r>
        <w:rPr/>
        <w:t>J L Wang</w:t>
      </w:r>
      <w:r>
        <w:rPr>
          <w:position w:val="9"/>
          <w:sz w:val="16"/>
        </w:rPr>
        <w:t>a</w:t>
      </w:r>
      <w:r>
        <w:rPr/>
        <w:t>, Y J Guo</w:t>
      </w:r>
      <w:r>
        <w:rPr>
          <w:position w:val="9"/>
          <w:sz w:val="16"/>
        </w:rPr>
        <w:t>a,</w:t>
      </w:r>
      <w:r>
        <w:rPr/>
        <w:t>*, D J Li</w:t>
      </w:r>
      <w:r>
        <w:rPr>
          <w:position w:val="9"/>
          <w:sz w:val="16"/>
        </w:rPr>
        <w:t>a</w:t>
      </w:r>
      <w:r>
        <w:rPr/>
        <w:t>, G D Long</w:t>
      </w:r>
      <w:r>
        <w:rPr>
          <w:position w:val="9"/>
          <w:sz w:val="16"/>
        </w:rPr>
        <w:t>a</w:t>
      </w:r>
      <w:r>
        <w:rPr/>
        <w:t>, Q B Tang</w:t>
      </w:r>
      <w:r>
        <w:rPr>
          <w:position w:val="9"/>
          <w:sz w:val="16"/>
        </w:rPr>
        <w:t>a</w:t>
      </w:r>
      <w:r>
        <w:rPr/>
        <w:t>, X T Zu</w:t>
      </w:r>
      <w:r>
        <w:rPr>
          <w:position w:val="9"/>
          <w:sz w:val="16"/>
        </w:rPr>
        <w:t>b</w:t>
      </w:r>
      <w:r>
        <w:rPr/>
        <w:t>, J Y Ma</w:t>
      </w:r>
      <w:r>
        <w:rPr>
          <w:position w:val="9"/>
          <w:sz w:val="16"/>
        </w:rPr>
        <w:t>c</w:t>
      </w:r>
      <w:r>
        <w:rPr/>
        <w:t>, B Du</w:t>
      </w:r>
      <w:r>
        <w:rPr>
          <w:position w:val="9"/>
          <w:sz w:val="16"/>
        </w:rPr>
        <w:t>c</w:t>
      </w:r>
      <w:r>
        <w:rPr/>
        <w:t>,</w:t>
      </w:r>
    </w:p>
    <w:p>
      <w:pPr>
        <w:pStyle w:val="BodyText"/>
        <w:spacing w:before="10"/>
        <w:ind w:left="0"/>
        <w:rPr>
          <w:sz w:val="28"/>
        </w:rPr>
      </w:pPr>
    </w:p>
    <w:p>
      <w:pPr>
        <w:pStyle w:val="BodyText"/>
        <w:ind w:left="255" w:right="333"/>
        <w:jc w:val="center"/>
      </w:pPr>
      <w:r>
        <w:rPr/>
        <w:t>Y L Tang</w:t>
      </w:r>
      <w:r>
        <w:rPr>
          <w:position w:val="9"/>
          <w:sz w:val="16"/>
        </w:rPr>
        <w:t>d,</w:t>
      </w:r>
      <w:r>
        <w:rPr/>
        <w:t>*, H. Torun</w:t>
      </w:r>
      <w:r>
        <w:rPr>
          <w:position w:val="9"/>
          <w:sz w:val="16"/>
        </w:rPr>
        <w:t>e</w:t>
      </w:r>
      <w:r>
        <w:rPr/>
        <w:t>, Y Q Fu</w:t>
      </w:r>
      <w:r>
        <w:rPr>
          <w:position w:val="9"/>
          <w:sz w:val="16"/>
        </w:rPr>
        <w:t>e,</w:t>
      </w:r>
      <w:r>
        <w:rPr/>
        <w:t>*</w:t>
      </w:r>
    </w:p>
    <w:p>
      <w:pPr>
        <w:pStyle w:val="BodyText"/>
        <w:ind w:left="0"/>
        <w:rPr>
          <w:sz w:val="29"/>
        </w:rPr>
      </w:pPr>
    </w:p>
    <w:p>
      <w:pPr>
        <w:pStyle w:val="BodyText"/>
        <w:ind w:left="251" w:right="333"/>
        <w:jc w:val="center"/>
      </w:pPr>
      <w:r>
        <w:rPr>
          <w:position w:val="9"/>
          <w:sz w:val="16"/>
        </w:rPr>
        <w:t>a </w:t>
      </w:r>
      <w:r>
        <w:rPr/>
        <w:t>School of Physics, University of Electronic Science and Technology of China,</w:t>
      </w:r>
    </w:p>
    <w:p>
      <w:pPr>
        <w:pStyle w:val="BodyText"/>
        <w:spacing w:before="3"/>
        <w:ind w:left="0"/>
        <w:rPr>
          <w:sz w:val="30"/>
        </w:rPr>
      </w:pPr>
    </w:p>
    <w:p>
      <w:pPr>
        <w:pStyle w:val="BodyText"/>
        <w:ind w:left="257" w:right="333"/>
        <w:jc w:val="center"/>
      </w:pPr>
      <w:r>
        <w:rPr/>
        <w:t>Chengdu, 610054, P. R. China</w:t>
      </w:r>
    </w:p>
    <w:p>
      <w:pPr>
        <w:pStyle w:val="BodyText"/>
        <w:spacing w:before="11"/>
        <w:ind w:left="0"/>
        <w:rPr>
          <w:sz w:val="28"/>
        </w:rPr>
      </w:pPr>
    </w:p>
    <w:p>
      <w:pPr>
        <w:pStyle w:val="BodyText"/>
        <w:spacing w:line="542" w:lineRule="auto"/>
        <w:ind w:left="1446" w:right="1525"/>
        <w:jc w:val="center"/>
      </w:pPr>
      <w:r>
        <w:rPr>
          <w:position w:val="9"/>
          <w:sz w:val="16"/>
        </w:rPr>
        <w:t>b </w:t>
      </w:r>
      <w:r>
        <w:rPr/>
        <w:t>Institute of Fundamental and Frontier Sciences, University of Electronic Science and Technology of China, Chengdu, 610054, P. R. China</w:t>
      </w:r>
    </w:p>
    <w:p>
      <w:pPr>
        <w:pStyle w:val="BodyText"/>
        <w:spacing w:line="277" w:lineRule="exact"/>
        <w:ind w:left="253" w:right="333"/>
        <w:jc w:val="center"/>
      </w:pPr>
      <w:r>
        <w:rPr>
          <w:position w:val="9"/>
          <w:sz w:val="16"/>
        </w:rPr>
        <w:t>c </w:t>
      </w:r>
      <w:r>
        <w:rPr/>
        <w:t>Sichuan Institute of Piezoelectric and Acousto-Optic Technology, Chongqing,</w:t>
      </w:r>
    </w:p>
    <w:p>
      <w:pPr>
        <w:pStyle w:val="BodyText"/>
        <w:spacing w:before="3"/>
        <w:ind w:left="0"/>
        <w:rPr>
          <w:sz w:val="30"/>
        </w:rPr>
      </w:pPr>
    </w:p>
    <w:p>
      <w:pPr>
        <w:pStyle w:val="BodyText"/>
        <w:ind w:left="257" w:right="333"/>
        <w:jc w:val="center"/>
      </w:pPr>
      <w:r>
        <w:rPr/>
        <w:t>400060, P. R. China</w:t>
      </w:r>
    </w:p>
    <w:p>
      <w:pPr>
        <w:pStyle w:val="BodyText"/>
        <w:spacing w:before="11"/>
        <w:ind w:left="0"/>
        <w:rPr>
          <w:sz w:val="28"/>
        </w:rPr>
      </w:pPr>
    </w:p>
    <w:p>
      <w:pPr>
        <w:pStyle w:val="BodyText"/>
        <w:ind w:left="246" w:right="333"/>
        <w:jc w:val="center"/>
      </w:pPr>
      <w:r>
        <w:rPr>
          <w:position w:val="9"/>
          <w:sz w:val="16"/>
        </w:rPr>
        <w:t>d </w:t>
      </w:r>
      <w:r>
        <w:rPr/>
        <w:t>School of Physical Science and Technology, Southwest Jiaotong University,</w:t>
      </w:r>
    </w:p>
    <w:p>
      <w:pPr>
        <w:pStyle w:val="BodyText"/>
        <w:spacing w:before="3"/>
        <w:ind w:left="0"/>
        <w:rPr>
          <w:sz w:val="30"/>
        </w:rPr>
      </w:pPr>
    </w:p>
    <w:p>
      <w:pPr>
        <w:pStyle w:val="BodyText"/>
        <w:ind w:left="257" w:right="333"/>
        <w:jc w:val="center"/>
      </w:pPr>
      <w:r>
        <w:rPr/>
        <w:t>Chengdu, 610031, P. R. China</w:t>
      </w:r>
    </w:p>
    <w:p>
      <w:pPr>
        <w:pStyle w:val="BodyText"/>
        <w:spacing w:before="11"/>
        <w:ind w:left="0"/>
        <w:rPr>
          <w:sz w:val="28"/>
        </w:rPr>
      </w:pPr>
    </w:p>
    <w:p>
      <w:pPr>
        <w:pStyle w:val="BodyText"/>
        <w:spacing w:line="542" w:lineRule="auto"/>
        <w:ind w:left="258" w:right="333"/>
        <w:jc w:val="center"/>
      </w:pPr>
      <w:r>
        <w:rPr>
          <w:position w:val="9"/>
          <w:sz w:val="16"/>
        </w:rPr>
        <w:t>e </w:t>
      </w:r>
      <w:r>
        <w:rPr/>
        <w:t>Faculty of Engineering &amp; Environment, University of Northumbria, Newcastle upon Tyne, NE1 8ST, UK</w:t>
      </w:r>
    </w:p>
    <w:p>
      <w:pPr>
        <w:pStyle w:val="BodyText"/>
        <w:ind w:left="0"/>
        <w:rPr>
          <w:sz w:val="26"/>
        </w:rPr>
      </w:pPr>
    </w:p>
    <w:p>
      <w:pPr>
        <w:pStyle w:val="BodyText"/>
        <w:spacing w:before="6"/>
        <w:ind w:left="0"/>
        <w:rPr>
          <w:sz w:val="28"/>
        </w:rPr>
      </w:pPr>
    </w:p>
    <w:p>
      <w:pPr>
        <w:pStyle w:val="Heading1"/>
        <w:spacing w:before="1"/>
        <w:ind w:left="100"/>
        <w:rPr>
          <w:b w:val="0"/>
        </w:rPr>
      </w:pPr>
      <w:r>
        <w:rPr/>
        <w:t>Abstract</w:t>
      </w:r>
      <w:r>
        <w:rPr>
          <w:b w:val="0"/>
        </w:rPr>
        <w:t>:</w:t>
      </w:r>
    </w:p>
    <w:p>
      <w:pPr>
        <w:pStyle w:val="BodyText"/>
        <w:ind w:left="0"/>
        <w:rPr>
          <w:sz w:val="30"/>
        </w:rPr>
      </w:pPr>
    </w:p>
    <w:p>
      <w:pPr>
        <w:pStyle w:val="BodyText"/>
        <w:spacing w:line="542" w:lineRule="auto"/>
        <w:ind w:right="174" w:firstLine="420"/>
        <w:jc w:val="both"/>
      </w:pPr>
      <w:r>
        <w:rPr/>
        <w:t>A Love mode surface acoustic wave </w:t>
      </w:r>
      <w:r>
        <w:rPr>
          <w:spacing w:val="-4"/>
        </w:rPr>
        <w:t>(SAW) </w:t>
      </w:r>
      <w:r>
        <w:rPr/>
        <w:t>humidity sensor based on bacterial cellulose (BC) coated </w:t>
      </w:r>
      <w:r>
        <w:rPr>
          <w:spacing w:val="-4"/>
        </w:rPr>
        <w:t>ST-cut </w:t>
      </w:r>
      <w:r>
        <w:rPr/>
        <w:t>quartz was developed in this </w:t>
      </w:r>
      <w:r>
        <w:rPr>
          <w:spacing w:val="-4"/>
        </w:rPr>
        <w:t>study. </w:t>
      </w:r>
      <w:r>
        <w:rPr/>
        <w:t>The BC film is composed of ultrafine interwoven fibers to form a highly porous network, and its surface contains a large amount of hydroxyl groups, which significantly improve the adsorption capability of </w:t>
      </w:r>
      <w:r>
        <w:rPr>
          <w:spacing w:val="-7"/>
        </w:rPr>
        <w:t>SAW </w:t>
      </w:r>
      <w:r>
        <w:rPr/>
        <w:t>sensing layer for water molecules. This</w:t>
      </w:r>
      <w:r>
        <w:rPr>
          <w:spacing w:val="25"/>
        </w:rPr>
        <w:t> </w:t>
      </w:r>
      <w:r>
        <w:rPr/>
        <w:t>results</w:t>
      </w:r>
      <w:r>
        <w:rPr>
          <w:spacing w:val="25"/>
        </w:rPr>
        <w:t> </w:t>
      </w:r>
      <w:r>
        <w:rPr/>
        <w:t>in</w:t>
      </w:r>
      <w:r>
        <w:rPr>
          <w:spacing w:val="22"/>
        </w:rPr>
        <w:t> </w:t>
      </w:r>
      <w:r>
        <w:rPr/>
        <w:t>significant</w:t>
      </w:r>
      <w:r>
        <w:rPr>
          <w:spacing w:val="25"/>
        </w:rPr>
        <w:t> </w:t>
      </w:r>
      <w:r>
        <w:rPr/>
        <w:t>mass</w:t>
      </w:r>
      <w:r>
        <w:rPr>
          <w:spacing w:val="25"/>
        </w:rPr>
        <w:t> </w:t>
      </w:r>
      <w:r>
        <w:rPr/>
        <w:t>loading</w:t>
      </w:r>
      <w:r>
        <w:rPr>
          <w:spacing w:val="23"/>
        </w:rPr>
        <w:t> </w:t>
      </w:r>
      <w:r>
        <w:rPr/>
        <w:t>effects</w:t>
      </w:r>
      <w:r>
        <w:rPr>
          <w:spacing w:val="25"/>
        </w:rPr>
        <w:t> </w:t>
      </w:r>
      <w:r>
        <w:rPr/>
        <w:t>and</w:t>
      </w:r>
      <w:r>
        <w:rPr>
          <w:spacing w:val="25"/>
        </w:rPr>
        <w:t> </w:t>
      </w:r>
      <w:r>
        <w:rPr/>
        <w:t>enhanced</w:t>
      </w:r>
      <w:r>
        <w:rPr>
          <w:spacing w:val="25"/>
        </w:rPr>
        <w:t> </w:t>
      </w:r>
      <w:r>
        <w:rPr/>
        <w:t>responsivity</w:t>
      </w:r>
      <w:r>
        <w:rPr>
          <w:spacing w:val="23"/>
        </w:rPr>
        <w:t> </w:t>
      </w:r>
      <w:r>
        <w:rPr/>
        <w:t>of</w:t>
      </w:r>
      <w:r>
        <w:rPr>
          <w:spacing w:val="23"/>
        </w:rPr>
        <w:t> </w:t>
      </w:r>
      <w:r>
        <w:rPr/>
        <w:t>the</w:t>
      </w:r>
      <w:r>
        <w:rPr>
          <w:spacing w:val="23"/>
        </w:rPr>
        <w:t> </w:t>
      </w:r>
      <w:r>
        <w:rPr>
          <w:spacing w:val="-7"/>
        </w:rPr>
        <w:t>SAW</w:t>
      </w:r>
      <w:r>
        <w:rPr>
          <w:spacing w:val="21"/>
        </w:rPr>
        <w:t> </w:t>
      </w:r>
      <w:r>
        <w:rPr>
          <w:spacing w:val="-3"/>
        </w:rPr>
        <w:t>sensor.</w:t>
      </w:r>
      <w:r>
        <w:rPr>
          <w:spacing w:val="25"/>
        </w:rPr>
        <w:t> </w:t>
      </w:r>
      <w:r>
        <w:rPr/>
        <w:t>The</w:t>
      </w:r>
    </w:p>
    <w:p>
      <w:pPr>
        <w:spacing w:after="0" w:line="542" w:lineRule="auto"/>
        <w:jc w:val="both"/>
        <w:sectPr>
          <w:type w:val="continuous"/>
          <w:pgSz w:w="11910" w:h="16840"/>
          <w:pgMar w:top="1500" w:bottom="280" w:left="980" w:right="900"/>
        </w:sectPr>
      </w:pPr>
    </w:p>
    <w:p>
      <w:pPr>
        <w:pStyle w:val="BodyText"/>
        <w:spacing w:line="537" w:lineRule="auto" w:before="76"/>
        <w:ind w:right="173"/>
        <w:jc w:val="both"/>
      </w:pPr>
      <w:r>
        <w:rPr/>
        <w:t>resonant frequency of the sensor changes linearly with RH at lower relative humidity (RH) values (e.g., RH</w:t>
      </w:r>
      <w:r>
        <w:rPr>
          <w:rFonts w:ascii="Symbol" w:hAnsi="Symbol"/>
        </w:rPr>
        <w:t></w:t>
      </w:r>
      <w:r>
        <w:rPr/>
        <w:t>30%), but when RH</w:t>
      </w:r>
      <w:r>
        <w:rPr>
          <w:rFonts w:ascii="Symbol" w:hAnsi="Symbol"/>
        </w:rPr>
        <w:t></w:t>
      </w:r>
      <w:r>
        <w:rPr/>
        <w:t>80%, an exponential increase in frequency shift as a function of RH is obtained due to the enhanced mass loading effect. A frequency shift of 89.8 kHz was measured using a sensor with a BC film with a thickness of 148 nm thick when the RH was increased from 30% to 93%. The frequency of the sensor can be fully shifted back to the original reading when the RH was returned back to 30%, with the response and recovery times of 12 s and 5 s, respectively. The </w:t>
      </w:r>
      <w:r>
        <w:rPr>
          <w:spacing w:val="-7"/>
        </w:rPr>
        <w:t>SAW </w:t>
      </w:r>
      <w:r>
        <w:rPr/>
        <w:t>sensor also exhibits good short-term repeatability and long-term stability for humidity sensing.</w:t>
      </w:r>
    </w:p>
    <w:p>
      <w:pPr>
        <w:pStyle w:val="BodyText"/>
        <w:ind w:left="0"/>
        <w:rPr>
          <w:sz w:val="26"/>
        </w:rPr>
      </w:pPr>
    </w:p>
    <w:p>
      <w:pPr>
        <w:pStyle w:val="BodyText"/>
        <w:ind w:left="0"/>
        <w:rPr>
          <w:sz w:val="29"/>
        </w:rPr>
      </w:pPr>
    </w:p>
    <w:p>
      <w:pPr>
        <w:pStyle w:val="BodyText"/>
        <w:spacing w:before="1"/>
        <w:jc w:val="both"/>
      </w:pPr>
      <w:r>
        <w:rPr>
          <w:b/>
        </w:rPr>
        <w:t>Keywords</w:t>
      </w:r>
      <w:r>
        <w:rPr/>
        <w:t>: Bacterial cellulose (BC); SAW sensor; Humidity; Fast response and recovery.</w:t>
      </w:r>
    </w:p>
    <w:p>
      <w:pPr>
        <w:pStyle w:val="BodyText"/>
        <w:ind w:left="0"/>
        <w:rPr>
          <w:sz w:val="26"/>
        </w:rPr>
      </w:pPr>
    </w:p>
    <w:p>
      <w:pPr>
        <w:pStyle w:val="BodyText"/>
        <w:ind w:left="0"/>
        <w:rPr>
          <w:sz w:val="26"/>
        </w:rPr>
      </w:pPr>
    </w:p>
    <w:p>
      <w:pPr>
        <w:pStyle w:val="BodyText"/>
        <w:spacing w:before="4"/>
        <w:ind w:left="0"/>
        <w:rPr>
          <w:sz w:val="32"/>
        </w:rPr>
      </w:pPr>
    </w:p>
    <w:p>
      <w:pPr>
        <w:pStyle w:val="BodyText"/>
        <w:jc w:val="both"/>
      </w:pPr>
      <w:r>
        <w:rPr/>
        <w:t>*Corresponding authors and E-mail addresses:</w:t>
      </w:r>
    </w:p>
    <w:p>
      <w:pPr>
        <w:pStyle w:val="BodyText"/>
        <w:spacing w:before="3"/>
        <w:ind w:left="0"/>
        <w:rPr>
          <w:sz w:val="30"/>
        </w:rPr>
      </w:pPr>
    </w:p>
    <w:p>
      <w:pPr>
        <w:pStyle w:val="BodyText"/>
        <w:jc w:val="both"/>
      </w:pPr>
      <w:r>
        <w:rPr/>
        <w:t>Prof. Yuanjun Guo (</w:t>
      </w:r>
      <w:hyperlink r:id="rId5">
        <w:r>
          <w:rPr>
            <w:u w:val="single"/>
          </w:rPr>
          <w:t>guoyuanjun@uestc.edu.cn</w:t>
        </w:r>
      </w:hyperlink>
      <w:r>
        <w:rPr/>
        <w:t>); associate Prof. Yongliang Tang</w:t>
      </w:r>
    </w:p>
    <w:p>
      <w:pPr>
        <w:pStyle w:val="BodyText"/>
        <w:spacing w:before="5"/>
        <w:ind w:left="0"/>
        <w:rPr>
          <w:sz w:val="22"/>
        </w:rPr>
      </w:pPr>
    </w:p>
    <w:p>
      <w:pPr>
        <w:pStyle w:val="BodyText"/>
        <w:spacing w:before="90"/>
      </w:pPr>
      <w:r>
        <w:rPr/>
        <w:t>(</w:t>
      </w:r>
      <w:hyperlink r:id="rId6">
        <w:r>
          <w:rPr>
            <w:u w:val="single"/>
          </w:rPr>
          <w:t>tyl@swjtu.edu.cn</w:t>
        </w:r>
      </w:hyperlink>
      <w:r>
        <w:rPr/>
        <w:t>); Prof. Richard Yongqing Fu </w:t>
      </w:r>
      <w:r>
        <w:rPr>
          <w:u w:val="single"/>
        </w:rPr>
        <w:t>(richard.fu@northumbria.ac.uk)</w:t>
      </w:r>
      <w:r>
        <w:rPr/>
        <w:t>.</w:t>
      </w: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17"/>
        </w:rPr>
      </w:pPr>
    </w:p>
    <w:p>
      <w:pPr>
        <w:pStyle w:val="Heading1"/>
        <w:numPr>
          <w:ilvl w:val="0"/>
          <w:numId w:val="1"/>
        </w:numPr>
        <w:tabs>
          <w:tab w:pos="348" w:val="left" w:leader="none"/>
        </w:tabs>
        <w:spacing w:line="240" w:lineRule="auto" w:before="90" w:after="0"/>
        <w:ind w:left="347" w:right="0" w:hanging="247"/>
        <w:jc w:val="left"/>
      </w:pPr>
      <w:r>
        <w:rPr/>
        <w:t>Introduction</w:t>
      </w:r>
    </w:p>
    <w:p>
      <w:pPr>
        <w:pStyle w:val="BodyText"/>
        <w:spacing w:before="9"/>
        <w:ind w:left="0"/>
        <w:rPr>
          <w:b/>
          <w:sz w:val="29"/>
        </w:rPr>
      </w:pPr>
    </w:p>
    <w:p>
      <w:pPr>
        <w:pStyle w:val="BodyText"/>
        <w:spacing w:line="542" w:lineRule="auto" w:before="1"/>
        <w:ind w:right="174" w:firstLine="420"/>
        <w:jc w:val="both"/>
      </w:pPr>
      <w:r>
        <w:rPr/>
        <w:t>Precise and quantitative monitoring of humidity is critical for various industries including manufacturing, agricultural production, environmental testing and aerospace technology, which demand humidity sensors with high precision, fast response, and good stability [1-4]. In recent years, humidity sensors based on various transduction principles have been developed, mainly including resistive, capacitive, ultrasonic, and surface acoustic wave (SAW) sensors [5-8]. The SAW humidity sensor has advantages of high precision, small size and good stability. Meanwhile, it is suitable for</w:t>
      </w:r>
    </w:p>
    <w:p>
      <w:pPr>
        <w:spacing w:after="0" w:line="542" w:lineRule="auto"/>
        <w:jc w:val="both"/>
        <w:sectPr>
          <w:pgSz w:w="11910" w:h="16840"/>
          <w:pgMar w:top="1520" w:bottom="280" w:left="980" w:right="900"/>
        </w:sectPr>
      </w:pPr>
    </w:p>
    <w:p>
      <w:pPr>
        <w:pStyle w:val="BodyText"/>
        <w:spacing w:line="542" w:lineRule="auto" w:before="76"/>
      </w:pPr>
      <w:r>
        <w:rPr/>
        <w:t>wireless operation, which is especially important for the detection of humidity in harsh environments [9].</w:t>
      </w:r>
    </w:p>
    <w:p>
      <w:pPr>
        <w:pStyle w:val="BodyText"/>
        <w:spacing w:line="540" w:lineRule="auto" w:before="1"/>
        <w:ind w:right="171" w:firstLine="420"/>
        <w:jc w:val="both"/>
      </w:pPr>
      <w:r>
        <w:rPr>
          <w:spacing w:val="-7"/>
        </w:rPr>
        <w:t>SAW </w:t>
      </w:r>
      <w:r>
        <w:rPr/>
        <w:t>devices fabricated on different piezoelectric substrates have been reported for humidity sensing. For example, Le et al. [10] demonstrated a </w:t>
      </w:r>
      <w:r>
        <w:rPr>
          <w:spacing w:val="-7"/>
        </w:rPr>
        <w:t>SAW </w:t>
      </w:r>
      <w:r>
        <w:rPr/>
        <w:t>humidity sensor on an AlN/Si substrate and </w:t>
      </w:r>
      <w:r>
        <w:rPr>
          <w:position w:val="2"/>
        </w:rPr>
        <w:t>Liu et al. </w:t>
      </w:r>
      <w:r>
        <w:rPr>
          <w:spacing w:val="-3"/>
          <w:position w:val="2"/>
        </w:rPr>
        <w:t>[11] </w:t>
      </w:r>
      <w:r>
        <w:rPr>
          <w:position w:val="2"/>
        </w:rPr>
        <w:t>reported a </w:t>
      </w:r>
      <w:r>
        <w:rPr>
          <w:spacing w:val="-7"/>
          <w:position w:val="2"/>
        </w:rPr>
        <w:t>SAW </w:t>
      </w:r>
      <w:r>
        <w:rPr>
          <w:position w:val="2"/>
        </w:rPr>
        <w:t>humidity sensor on a LiNbO</w:t>
      </w:r>
      <w:r>
        <w:rPr>
          <w:position w:val="2"/>
          <w:vertAlign w:val="subscript"/>
        </w:rPr>
        <w:t>3</w:t>
      </w:r>
      <w:r>
        <w:rPr>
          <w:position w:val="2"/>
          <w:vertAlign w:val="baseline"/>
        </w:rPr>
        <w:t> substrate. However, these sensors are </w:t>
      </w:r>
      <w:r>
        <w:rPr>
          <w:vertAlign w:val="baseline"/>
        </w:rPr>
        <w:t>highly temperature dependent and have a low thermal </w:t>
      </w:r>
      <w:r>
        <w:rPr>
          <w:spacing w:val="-3"/>
          <w:vertAlign w:val="baseline"/>
        </w:rPr>
        <w:t>stability. </w:t>
      </w:r>
      <w:r>
        <w:rPr>
          <w:vertAlign w:val="baseline"/>
        </w:rPr>
        <w:t>Temperature coefficient of frequency (TCF) determines the frequency stability with temperature, and lower TCF values are required for improved performance of the </w:t>
      </w:r>
      <w:r>
        <w:rPr>
          <w:spacing w:val="-7"/>
          <w:vertAlign w:val="baseline"/>
        </w:rPr>
        <w:t>SAW </w:t>
      </w:r>
      <w:r>
        <w:rPr>
          <w:vertAlign w:val="baseline"/>
        </w:rPr>
        <w:t>sensors. Otherwise, variations in temperature may result in significant frequency shifts, which will interfere with the those due to the changes in </w:t>
      </w:r>
      <w:r>
        <w:rPr>
          <w:spacing w:val="-3"/>
          <w:vertAlign w:val="baseline"/>
        </w:rPr>
        <w:t>humidity. </w:t>
      </w:r>
      <w:r>
        <w:rPr>
          <w:vertAlign w:val="baseline"/>
        </w:rPr>
        <w:t>Among different candidates for the </w:t>
      </w:r>
      <w:r>
        <w:rPr>
          <w:spacing w:val="-7"/>
          <w:vertAlign w:val="baseline"/>
        </w:rPr>
        <w:t>SAW </w:t>
      </w:r>
      <w:r>
        <w:rPr>
          <w:vertAlign w:val="baseline"/>
        </w:rPr>
        <w:t>substrates, the </w:t>
      </w:r>
      <w:r>
        <w:rPr>
          <w:spacing w:val="-4"/>
          <w:vertAlign w:val="baseline"/>
        </w:rPr>
        <w:t>ST-cut </w:t>
      </w:r>
      <w:r>
        <w:rPr>
          <w:vertAlign w:val="baseline"/>
        </w:rPr>
        <w:t>quartz is ideal for humidity sensing owing to its nearly zero </w:t>
      </w:r>
      <w:r>
        <w:rPr>
          <w:spacing w:val="-6"/>
          <w:vertAlign w:val="baseline"/>
        </w:rPr>
        <w:t>TCF. </w:t>
      </w:r>
      <w:r>
        <w:rPr>
          <w:vertAlign w:val="baseline"/>
        </w:rPr>
        <w:t>For example, </w:t>
      </w:r>
      <w:r>
        <w:rPr>
          <w:spacing w:val="-5"/>
          <w:vertAlign w:val="baseline"/>
        </w:rPr>
        <w:t>Tang </w:t>
      </w:r>
      <w:r>
        <w:rPr>
          <w:vertAlign w:val="baseline"/>
        </w:rPr>
        <w:t>et al. [12] reported a </w:t>
      </w:r>
      <w:r>
        <w:rPr>
          <w:spacing w:val="-7"/>
          <w:vertAlign w:val="baseline"/>
        </w:rPr>
        <w:t>SAW </w:t>
      </w:r>
      <w:r>
        <w:rPr>
          <w:vertAlign w:val="baseline"/>
        </w:rPr>
        <w:t>humidity sensor on the </w:t>
      </w:r>
      <w:r>
        <w:rPr>
          <w:spacing w:val="-4"/>
          <w:vertAlign w:val="baseline"/>
        </w:rPr>
        <w:t>ST-cut </w:t>
      </w:r>
      <w:r>
        <w:rPr>
          <w:vertAlign w:val="baseline"/>
        </w:rPr>
        <w:t>quartz substrate, exhibiting both good thermal stability and sensitivity.</w:t>
      </w:r>
    </w:p>
    <w:p>
      <w:pPr>
        <w:pStyle w:val="BodyText"/>
        <w:spacing w:line="542" w:lineRule="auto" w:before="11"/>
        <w:ind w:right="173" w:firstLine="420"/>
        <w:jc w:val="both"/>
      </w:pPr>
      <w:r>
        <w:rPr/>
        <w:t>Bacterial cellulose (BC) is one of the emerging functional nanomaterials with important applications in biotechnology and materials science [13-16]. It is a filamentous and fibrous by-product secreted by microorganisms such as acetobacters and agrobacteria [17,18]. Synthesis rate of BC is generally much higher than that of photo-synthesis of cellulose in plants, thus BC has advantages of being low cost and environmentally friendly [19]. By adjusting the conditions of the growth culture or metabolic pathways of microorganisms, it is possible to synthesize BCs with specific morphologies, thereby modifying functional properties of BC-based nanomaterials for the targeted applications [20]. BC has excellent water retention capabilities as its surface contains a large number of hydrophilic groups, which can absorb water molecules. In addition, BC films have excellent thermal stability and relatively higher Young's moduli compared to those of polymers</w:t>
      </w:r>
    </w:p>
    <w:p>
      <w:pPr>
        <w:spacing w:after="0" w:line="542" w:lineRule="auto"/>
        <w:jc w:val="both"/>
        <w:sectPr>
          <w:pgSz w:w="11910" w:h="16840"/>
          <w:pgMar w:top="1520" w:bottom="280" w:left="980" w:right="900"/>
        </w:sectPr>
      </w:pPr>
    </w:p>
    <w:p>
      <w:pPr>
        <w:pStyle w:val="BodyText"/>
        <w:spacing w:line="542" w:lineRule="auto" w:before="76"/>
      </w:pPr>
      <w:r>
        <w:rPr/>
        <w:t>[21,22]. For example, Hu et al. [23] developed a BC humidity sensor based on a quartz crystal microbalance.</w:t>
      </w:r>
    </w:p>
    <w:p>
      <w:pPr>
        <w:pStyle w:val="BodyText"/>
        <w:spacing w:line="542" w:lineRule="auto" w:before="1"/>
        <w:ind w:right="176" w:firstLine="420"/>
        <w:jc w:val="both"/>
      </w:pPr>
      <w:r>
        <w:rPr/>
        <w:t>A major research for SAW humidity sensor is the development of new sensing layer materials with improved sensitivity and selectivity [24,25]. Various materials, such as polymers, metals, and metal oxides have been reported as coating layers on SAW sensors for the detection of humidity and gasses [9,26]. Yet, a BC sensing layer has never been reported in SAW sensor as far as we know. In this paper, a SAW humidity sensor based on BC coated ST-cut quartz substrate is developed, which shows a significant mass loading effect and significantly enhanced performance.</w:t>
      </w:r>
    </w:p>
    <w:p>
      <w:pPr>
        <w:pStyle w:val="BodyText"/>
        <w:ind w:left="0"/>
        <w:rPr>
          <w:sz w:val="26"/>
        </w:rPr>
      </w:pPr>
    </w:p>
    <w:p>
      <w:pPr>
        <w:pStyle w:val="BodyText"/>
        <w:spacing w:before="10"/>
        <w:ind w:left="0"/>
        <w:rPr>
          <w:sz w:val="28"/>
        </w:rPr>
      </w:pPr>
    </w:p>
    <w:p>
      <w:pPr>
        <w:pStyle w:val="Heading1"/>
        <w:numPr>
          <w:ilvl w:val="0"/>
          <w:numId w:val="1"/>
        </w:numPr>
        <w:tabs>
          <w:tab w:pos="520" w:val="left" w:leader="none"/>
          <w:tab w:pos="521" w:val="left" w:leader="none"/>
        </w:tabs>
        <w:spacing w:line="240" w:lineRule="auto" w:before="0" w:after="0"/>
        <w:ind w:left="520" w:right="0" w:hanging="420"/>
        <w:jc w:val="left"/>
      </w:pPr>
      <w:r>
        <w:rPr/>
        <w:t>Experimental</w:t>
      </w:r>
      <w:r>
        <w:rPr>
          <w:spacing w:val="-1"/>
        </w:rPr>
        <w:t> </w:t>
      </w:r>
      <w:r>
        <w:rPr/>
        <w:t>details</w:t>
      </w:r>
    </w:p>
    <w:p>
      <w:pPr>
        <w:pStyle w:val="BodyText"/>
        <w:spacing w:before="3"/>
        <w:ind w:left="0"/>
        <w:rPr>
          <w:b/>
          <w:sz w:val="30"/>
        </w:rPr>
      </w:pPr>
    </w:p>
    <w:p>
      <w:pPr>
        <w:pStyle w:val="ListParagraph"/>
        <w:numPr>
          <w:ilvl w:val="1"/>
          <w:numId w:val="1"/>
        </w:numPr>
        <w:tabs>
          <w:tab w:pos="460" w:val="left" w:leader="none"/>
        </w:tabs>
        <w:spacing w:line="240" w:lineRule="auto" w:before="0" w:after="0"/>
        <w:ind w:left="460" w:right="0" w:hanging="360"/>
        <w:jc w:val="left"/>
        <w:rPr>
          <w:b/>
          <w:sz w:val="24"/>
        </w:rPr>
      </w:pPr>
      <w:r>
        <w:rPr>
          <w:b/>
          <w:spacing w:val="-9"/>
          <w:sz w:val="24"/>
        </w:rPr>
        <w:t>SAW </w:t>
      </w:r>
      <w:r>
        <w:rPr>
          <w:b/>
          <w:sz w:val="24"/>
        </w:rPr>
        <w:t>resonator and BC sensing</w:t>
      </w:r>
      <w:r>
        <w:rPr>
          <w:b/>
          <w:spacing w:val="-1"/>
          <w:sz w:val="24"/>
        </w:rPr>
        <w:t> </w:t>
      </w:r>
      <w:r>
        <w:rPr>
          <w:b/>
          <w:sz w:val="24"/>
        </w:rPr>
        <w:t>layer</w:t>
      </w:r>
    </w:p>
    <w:p>
      <w:pPr>
        <w:pStyle w:val="BodyText"/>
        <w:spacing w:before="6"/>
        <w:ind w:left="0"/>
        <w:rPr>
          <w:b/>
          <w:sz w:val="28"/>
        </w:rPr>
      </w:pPr>
    </w:p>
    <w:p>
      <w:pPr>
        <w:pStyle w:val="BodyText"/>
        <w:spacing w:line="540" w:lineRule="auto"/>
        <w:ind w:right="128" w:firstLine="420"/>
      </w:pPr>
      <w:r>
        <w:rPr>
          <w:spacing w:val="-7"/>
        </w:rPr>
        <w:t>SAW </w:t>
      </w:r>
      <w:r>
        <w:rPr/>
        <w:t>resonator based humidity sensors, as shown in Fig. 1(a), were fabricated on </w:t>
      </w:r>
      <w:r>
        <w:rPr>
          <w:spacing w:val="-4"/>
        </w:rPr>
        <w:t>ST-cut </w:t>
      </w:r>
      <w:r>
        <w:rPr/>
        <w:t>(42</w:t>
      </w:r>
      <w:r>
        <w:rPr>
          <w:position w:val="9"/>
          <w:sz w:val="16"/>
        </w:rPr>
        <w:t>o</w:t>
      </w:r>
      <w:r>
        <w:rPr/>
        <w:t>75’) quartz substrate (12 mm </w:t>
      </w:r>
      <w:r>
        <w:rPr>
          <w:rFonts w:ascii="Arial" w:hAnsi="Arial"/>
        </w:rPr>
        <w:t>× </w:t>
      </w:r>
      <w:r>
        <w:rPr/>
        <w:t>3 mm </w:t>
      </w:r>
      <w:r>
        <w:rPr>
          <w:rFonts w:ascii="Arial" w:hAnsi="Arial"/>
        </w:rPr>
        <w:t>× </w:t>
      </w:r>
      <w:r>
        <w:rPr/>
        <w:t>0.5 mm) and consists of periodic aluminum interdigital transducers </w:t>
      </w:r>
      <w:r>
        <w:rPr>
          <w:spacing w:val="-4"/>
        </w:rPr>
        <w:t>(IDTs, </w:t>
      </w:r>
      <w:r>
        <w:rPr/>
        <w:t>30 pairs), reflective gratings (100 pairs), and a sensing layer coated between the </w:t>
      </w:r>
      <w:r>
        <w:rPr>
          <w:spacing w:val="-5"/>
        </w:rPr>
        <w:t>IDTs. </w:t>
      </w:r>
      <w:r>
        <w:rPr/>
        <w:t>The </w:t>
      </w:r>
      <w:r>
        <w:rPr>
          <w:spacing w:val="-6"/>
        </w:rPr>
        <w:t>IDTs </w:t>
      </w:r>
      <w:r>
        <w:rPr/>
        <w:t>have a finger width of 4 µm and an aperture of 3 mm. The center frequency of the </w:t>
      </w:r>
      <w:r>
        <w:rPr>
          <w:position w:val="2"/>
        </w:rPr>
        <w:t>designed </w:t>
      </w:r>
      <w:r>
        <w:rPr>
          <w:spacing w:val="-7"/>
          <w:position w:val="2"/>
        </w:rPr>
        <w:t>SAW </w:t>
      </w:r>
      <w:r>
        <w:rPr>
          <w:position w:val="2"/>
        </w:rPr>
        <w:t>resonator is 200 MHz. The transmission spectrum (S</w:t>
      </w:r>
      <w:r>
        <w:rPr>
          <w:position w:val="2"/>
          <w:vertAlign w:val="subscript"/>
        </w:rPr>
        <w:t>21</w:t>
      </w:r>
      <w:r>
        <w:rPr>
          <w:position w:val="2"/>
          <w:vertAlign w:val="baseline"/>
        </w:rPr>
        <w:t>) of the </w:t>
      </w:r>
      <w:r>
        <w:rPr>
          <w:spacing w:val="-7"/>
          <w:position w:val="2"/>
          <w:vertAlign w:val="baseline"/>
        </w:rPr>
        <w:t>SAW </w:t>
      </w:r>
      <w:r>
        <w:rPr>
          <w:position w:val="2"/>
          <w:vertAlign w:val="baseline"/>
        </w:rPr>
        <w:t>resonator, </w:t>
      </w:r>
      <w:r>
        <w:rPr>
          <w:vertAlign w:val="baseline"/>
        </w:rPr>
        <w:t>measured between the ports of </w:t>
      </w:r>
      <w:r>
        <w:rPr>
          <w:spacing w:val="-5"/>
          <w:vertAlign w:val="baseline"/>
        </w:rPr>
        <w:t>IDTs, </w:t>
      </w:r>
      <w:r>
        <w:rPr>
          <w:vertAlign w:val="baseline"/>
        </w:rPr>
        <w:t>is shown in Fig. 1(b), revealing a low insertion loss of -8.486 dB.</w:t>
      </w:r>
    </w:p>
    <w:p>
      <w:pPr>
        <w:pStyle w:val="BodyText"/>
        <w:spacing w:line="537" w:lineRule="auto" w:before="1"/>
        <w:ind w:right="175" w:firstLine="420"/>
        <w:jc w:val="both"/>
      </w:pPr>
      <w:r>
        <w:rPr/>
        <w:t>The sensing layer of the SAW device is prepared from the cultured BC using a sol-gel and spin coating method. Acetobacter xylinum was placed in a medium containing 2% glucose and 2% corn syrup. The oxygen-enriched air was introduced into the solution. The pH value of the medium was adjusted to 5.5, and the temperature was controlled at 28</w:t>
      </w:r>
      <w:r>
        <w:rPr>
          <w:position w:val="9"/>
          <w:sz w:val="16"/>
        </w:rPr>
        <w:t>o</w:t>
      </w:r>
      <w:r>
        <w:rPr/>
        <w:t>C. The BC crude product was extracted</w:t>
      </w:r>
    </w:p>
    <w:p>
      <w:pPr>
        <w:spacing w:after="0" w:line="537" w:lineRule="auto"/>
        <w:jc w:val="both"/>
        <w:sectPr>
          <w:pgSz w:w="11910" w:h="16840"/>
          <w:pgMar w:top="1520" w:bottom="280" w:left="980" w:right="900"/>
        </w:sectPr>
      </w:pPr>
    </w:p>
    <w:p>
      <w:pPr>
        <w:pStyle w:val="BodyText"/>
        <w:spacing w:line="537" w:lineRule="auto" w:before="76"/>
        <w:ind w:right="175"/>
        <w:jc w:val="both"/>
      </w:pPr>
      <w:r>
        <w:rPr/>
        <w:t>after a static culture duration of 8 days. After washed with distilled </w:t>
      </w:r>
      <w:r>
        <w:rPr>
          <w:spacing w:val="-3"/>
        </w:rPr>
        <w:t>water, </w:t>
      </w:r>
      <w:r>
        <w:rPr/>
        <w:t>0.1 mol/L NaOH was added inside the above solution and the solution was kept at 80</w:t>
      </w:r>
      <w:r>
        <w:rPr>
          <w:position w:val="9"/>
          <w:sz w:val="16"/>
        </w:rPr>
        <w:t>o</w:t>
      </w:r>
      <w:r>
        <w:rPr/>
        <w:t>C for 30 minutes to obtain a purified content of 0.65 wt.% BC. The BC with a volume of 46.2 ml and 0.65 wt.% was diluted in 150 ml of deionized water at room temperature of 25</w:t>
      </w:r>
      <w:r>
        <w:rPr>
          <w:position w:val="9"/>
          <w:sz w:val="16"/>
        </w:rPr>
        <w:t>o</w:t>
      </w:r>
      <w:r>
        <w:rPr/>
        <w:t>C. The mixture was mechanically stirred for 2 hrs and aged for 24 hrs to prepare a BC hydrogel with a BC content of 2‰. The prepared BC hydrogel was spin-coated onto the </w:t>
      </w:r>
      <w:r>
        <w:rPr>
          <w:spacing w:val="-7"/>
        </w:rPr>
        <w:t>SAW </w:t>
      </w:r>
      <w:r>
        <w:rPr/>
        <w:t>device at 6000 rpm for 30 seconds, and dried at 60</w:t>
      </w:r>
      <w:r>
        <w:rPr>
          <w:position w:val="9"/>
          <w:sz w:val="16"/>
        </w:rPr>
        <w:t>o</w:t>
      </w:r>
      <w:r>
        <w:rPr/>
        <w:t>C for 8 minutes to obtain a uniform BC film. BC films with different thicknesses were prepared by multiple spin coating processes (e.g., one </w:t>
      </w:r>
      <w:r>
        <w:rPr>
          <w:spacing w:val="-3"/>
        </w:rPr>
        <w:t>layer, </w:t>
      </w:r>
      <w:r>
        <w:rPr/>
        <w:t>three layers, five layers, and seven layers, with the corresponding device names of Layer-1, Layer-3, Layer-5, and Layer-7). </w:t>
      </w:r>
      <w:r>
        <w:rPr>
          <w:spacing w:val="-3"/>
        </w:rPr>
        <w:t>Finally, </w:t>
      </w:r>
      <w:r>
        <w:rPr/>
        <w:t>the </w:t>
      </w:r>
      <w:r>
        <w:rPr>
          <w:spacing w:val="-6"/>
        </w:rPr>
        <w:t>SAW </w:t>
      </w:r>
      <w:r>
        <w:rPr/>
        <w:t>resonator coated with a BC film was connected to an oscillator circuit to constitute a </w:t>
      </w:r>
      <w:r>
        <w:rPr>
          <w:spacing w:val="-7"/>
        </w:rPr>
        <w:t>SAW </w:t>
      </w:r>
      <w:r>
        <w:rPr>
          <w:spacing w:val="-3"/>
        </w:rPr>
        <w:t>sensor.</w:t>
      </w:r>
    </w:p>
    <w:p>
      <w:pPr>
        <w:pStyle w:val="BodyText"/>
        <w:ind w:left="0"/>
        <w:rPr>
          <w:sz w:val="26"/>
        </w:rPr>
      </w:pPr>
    </w:p>
    <w:p>
      <w:pPr>
        <w:pStyle w:val="BodyText"/>
        <w:spacing w:before="9"/>
        <w:ind w:left="0"/>
        <w:rPr>
          <w:sz w:val="29"/>
        </w:rPr>
      </w:pPr>
    </w:p>
    <w:p>
      <w:pPr>
        <w:pStyle w:val="Heading1"/>
        <w:numPr>
          <w:ilvl w:val="1"/>
          <w:numId w:val="1"/>
        </w:numPr>
        <w:tabs>
          <w:tab w:pos="460" w:val="left" w:leader="none"/>
        </w:tabs>
        <w:spacing w:line="240" w:lineRule="auto" w:before="1" w:after="0"/>
        <w:ind w:left="460" w:right="0" w:hanging="360"/>
        <w:jc w:val="left"/>
      </w:pPr>
      <w:r>
        <w:rPr/>
        <w:t>Characterization and humidity</w:t>
      </w:r>
      <w:r>
        <w:rPr>
          <w:spacing w:val="-1"/>
        </w:rPr>
        <w:t> </w:t>
      </w:r>
      <w:r>
        <w:rPr/>
        <w:t>sensing</w:t>
      </w:r>
    </w:p>
    <w:p>
      <w:pPr>
        <w:pStyle w:val="BodyText"/>
        <w:spacing w:before="9"/>
        <w:ind w:left="0"/>
        <w:rPr>
          <w:b/>
          <w:sz w:val="29"/>
        </w:rPr>
      </w:pPr>
    </w:p>
    <w:p>
      <w:pPr>
        <w:pStyle w:val="BodyText"/>
        <w:spacing w:line="542" w:lineRule="auto"/>
        <w:ind w:right="173" w:firstLine="420"/>
        <w:jc w:val="both"/>
      </w:pPr>
      <w:r>
        <w:rPr/>
        <w:t>Surface morphology of the BC was characterized using a field emission scanning electron microscope (FE-SEM, FEI Inspect F50). Surface functional groups of the BC were characterized using Fourier transform infrared spectroscopy (FTIR, Nicolet IS 10, ThermoFisher Scientific). The specific surface area and porosity of the BC was measured using a Brunauer-Emmett-Teller surface and a nitrogen adsorption analyzer (Micromeritics ASAP 2020). The electrical conductivity of the BC-based sensing membrane was measured using a four-point probe and a digital source meter (Keithley 2400, Tektronix). A vector network analyzer (Hewlett-Packard 8714C) was used to obtain the electrical parameters of the SAW device. Temperature and humidity of the testing chamber were measured using a hygrothermometer (LH-331BL).</w:t>
      </w:r>
    </w:p>
    <w:p>
      <w:pPr>
        <w:pStyle w:val="BodyText"/>
        <w:spacing w:before="4"/>
        <w:ind w:left="520"/>
      </w:pPr>
      <w:r>
        <w:rPr/>
        <w:t>Figure 2 shows experimental setup for the humidity sensing. Temperature and relative humidity</w:t>
      </w:r>
    </w:p>
    <w:p>
      <w:pPr>
        <w:spacing w:after="0"/>
        <w:sectPr>
          <w:pgSz w:w="11910" w:h="16840"/>
          <w:pgMar w:top="1520" w:bottom="280" w:left="980" w:right="900"/>
        </w:sectPr>
      </w:pPr>
    </w:p>
    <w:p>
      <w:pPr>
        <w:pStyle w:val="BodyText"/>
        <w:spacing w:line="542" w:lineRule="auto" w:before="81"/>
        <w:ind w:right="174"/>
        <w:jc w:val="both"/>
      </w:pPr>
      <w:r>
        <w:rPr/>
        <w:t>(RH) of the experimental environment were controlled to be 25</w:t>
      </w:r>
      <w:r>
        <w:rPr>
          <w:position w:val="9"/>
          <w:sz w:val="16"/>
        </w:rPr>
        <w:t>o</w:t>
      </w:r>
      <w:r>
        <w:rPr/>
        <w:t>C and 30%, respectively. Five different saturated salt solutions were filled into five testing chambers with a fixed volume of 20 L to control the RH according to the international standard for RH control [27]. Experiments were performed by rapidly inserting the BC SAW humidity sensor into the closed chambers with different RH values, and by quickly taking the sensor out from the chamber. A frequency counter (Agilent 53210A) was used to measure the SAW frequency. For each RH value, the sensor was repeatedly tested for three times, and the averaged reading was obtained.</w:t>
      </w:r>
    </w:p>
    <w:p>
      <w:pPr>
        <w:pStyle w:val="BodyText"/>
        <w:ind w:left="0"/>
        <w:rPr>
          <w:sz w:val="26"/>
        </w:rPr>
      </w:pPr>
    </w:p>
    <w:p>
      <w:pPr>
        <w:pStyle w:val="BodyText"/>
        <w:spacing w:before="10"/>
        <w:ind w:left="0"/>
        <w:rPr>
          <w:sz w:val="28"/>
        </w:rPr>
      </w:pPr>
    </w:p>
    <w:p>
      <w:pPr>
        <w:pStyle w:val="Heading1"/>
        <w:numPr>
          <w:ilvl w:val="0"/>
          <w:numId w:val="1"/>
        </w:numPr>
        <w:tabs>
          <w:tab w:pos="520" w:val="left" w:leader="none"/>
          <w:tab w:pos="521" w:val="left" w:leader="none"/>
        </w:tabs>
        <w:spacing w:line="240" w:lineRule="auto" w:before="0" w:after="0"/>
        <w:ind w:left="520" w:right="0" w:hanging="420"/>
        <w:jc w:val="left"/>
      </w:pPr>
      <w:r>
        <w:rPr/>
        <w:t>Results and</w:t>
      </w:r>
      <w:r>
        <w:rPr>
          <w:spacing w:val="-1"/>
        </w:rPr>
        <w:t> </w:t>
      </w:r>
      <w:r>
        <w:rPr/>
        <w:t>discussions</w:t>
      </w:r>
    </w:p>
    <w:p>
      <w:pPr>
        <w:pStyle w:val="BodyText"/>
        <w:spacing w:before="3"/>
        <w:ind w:left="0"/>
        <w:rPr>
          <w:b/>
          <w:sz w:val="30"/>
        </w:rPr>
      </w:pPr>
    </w:p>
    <w:p>
      <w:pPr>
        <w:pStyle w:val="ListParagraph"/>
        <w:numPr>
          <w:ilvl w:val="1"/>
          <w:numId w:val="1"/>
        </w:numPr>
        <w:tabs>
          <w:tab w:pos="460" w:val="left" w:leader="none"/>
        </w:tabs>
        <w:spacing w:line="240" w:lineRule="auto" w:before="0" w:after="0"/>
        <w:ind w:left="460" w:right="0" w:hanging="360"/>
        <w:jc w:val="left"/>
        <w:rPr>
          <w:b/>
          <w:sz w:val="24"/>
        </w:rPr>
      </w:pPr>
      <w:r>
        <w:rPr>
          <w:b/>
          <w:sz w:val="24"/>
        </w:rPr>
        <w:t>Characterization of BC</w:t>
      </w:r>
      <w:r>
        <w:rPr>
          <w:b/>
          <w:spacing w:val="0"/>
          <w:sz w:val="24"/>
        </w:rPr>
        <w:t> </w:t>
      </w:r>
      <w:r>
        <w:rPr>
          <w:b/>
          <w:sz w:val="24"/>
        </w:rPr>
        <w:t>films</w:t>
      </w:r>
    </w:p>
    <w:p>
      <w:pPr>
        <w:pStyle w:val="BodyText"/>
        <w:spacing w:before="10"/>
        <w:ind w:left="0"/>
        <w:rPr>
          <w:b/>
          <w:sz w:val="29"/>
        </w:rPr>
      </w:pPr>
    </w:p>
    <w:p>
      <w:pPr>
        <w:pStyle w:val="BodyText"/>
        <w:spacing w:line="542" w:lineRule="auto"/>
        <w:ind w:right="175" w:firstLine="420"/>
        <w:jc w:val="both"/>
      </w:pPr>
      <w:r>
        <w:rPr/>
        <w:t>Fig. 3 shows the SEM images of the deposited BC films, which reveal ultra-fine reticular fiber structures comprised of interwoven ribbons with diameters of 40-60 nm. The measured thicknesses of the Layer-1, Layer-3, Layer-5, and Layer-7 BC films are about 61, 84, 112, 148 nm, respectively. Large numbers of nanopores are present within the cellulose ribbons of the</w:t>
      </w:r>
      <w:r>
        <w:rPr>
          <w:spacing w:val="-9"/>
        </w:rPr>
        <w:t> </w:t>
      </w:r>
      <w:r>
        <w:rPr/>
        <w:t>film.</w:t>
      </w:r>
    </w:p>
    <w:p>
      <w:pPr>
        <w:pStyle w:val="BodyText"/>
        <w:spacing w:line="537" w:lineRule="auto" w:before="2"/>
        <w:ind w:right="174" w:firstLine="420"/>
        <w:jc w:val="both"/>
      </w:pPr>
      <w:r>
        <w:rPr/>
        <w:t>Fig. 4(a) shows the analysis results of functional groups of the BC materials using FTIR. The peaks at 3332 cm</w:t>
      </w:r>
      <w:r>
        <w:rPr>
          <w:position w:val="9"/>
          <w:sz w:val="16"/>
        </w:rPr>
        <w:t>-1 </w:t>
      </w:r>
      <w:r>
        <w:rPr/>
        <w:t>and 1314 cm</w:t>
      </w:r>
      <w:r>
        <w:rPr>
          <w:position w:val="9"/>
          <w:sz w:val="16"/>
        </w:rPr>
        <w:t>-1 </w:t>
      </w:r>
      <w:r>
        <w:rPr/>
        <w:t>are related to the tensile vibration modes of O-H and C-OH bonds, respectively. The peaks at 2896, 1590, and 1029 cm</w:t>
      </w:r>
      <w:r>
        <w:rPr>
          <w:position w:val="9"/>
          <w:sz w:val="16"/>
        </w:rPr>
        <w:t>-1 </w:t>
      </w:r>
      <w:r>
        <w:rPr/>
        <w:t>are due to C-H antisymmetric stretching vibration, H-C-H deformation vibration and C-N stretching vibration, respectively. Among these, only those of O-H and C-OH bonds strongly influence the humidity sensing capability as reported in Ref. [28]. Analysis results clearly show that the surface of the BC contains a large amount of hydroxyl groups. The BET analysis results of the BC materials are shown in Fig. 4(b). The specific surface area of BC was measured to be 103 m</w:t>
      </w:r>
      <w:r>
        <w:rPr>
          <w:position w:val="9"/>
          <w:sz w:val="16"/>
        </w:rPr>
        <w:t>2</w:t>
      </w:r>
      <w:r>
        <w:rPr/>
        <w:t>/g with average pore diameter of 35.4 nm and the</w:t>
      </w:r>
    </w:p>
    <w:p>
      <w:pPr>
        <w:spacing w:after="0" w:line="537" w:lineRule="auto"/>
        <w:jc w:val="both"/>
        <w:sectPr>
          <w:pgSz w:w="11910" w:h="16840"/>
          <w:pgMar w:top="1500" w:bottom="280" w:left="980" w:right="900"/>
        </w:sectPr>
      </w:pPr>
    </w:p>
    <w:p>
      <w:pPr>
        <w:pStyle w:val="BodyText"/>
        <w:spacing w:before="76"/>
      </w:pPr>
      <w:r>
        <w:rPr/>
        <w:t>meso-porosity of 63.1%.</w:t>
      </w:r>
    </w:p>
    <w:p>
      <w:pPr>
        <w:pStyle w:val="BodyText"/>
        <w:spacing w:before="3"/>
        <w:ind w:left="0"/>
        <w:rPr>
          <w:sz w:val="30"/>
        </w:rPr>
      </w:pPr>
    </w:p>
    <w:p>
      <w:pPr>
        <w:pStyle w:val="BodyText"/>
        <w:spacing w:line="542" w:lineRule="auto"/>
        <w:ind w:right="173" w:firstLine="420"/>
        <w:jc w:val="both"/>
      </w:pPr>
      <w:r>
        <w:rPr/>
        <w:t>Based on these analysis, Fig. 5 depicts a conceptual drawing for the response of these BC membranes when exposed to water molecules. Water molecules easily penetrate these three-dimensional network structures of the BC film with a large number of pores. A large number of hydroxyl groups on the surface of the BC strongly enhance the adsorption water molecules, and then form hydrogen bonds, thus providing a good water retention capacity.</w:t>
      </w:r>
    </w:p>
    <w:p>
      <w:pPr>
        <w:pStyle w:val="BodyText"/>
        <w:ind w:left="0"/>
        <w:rPr>
          <w:sz w:val="26"/>
        </w:rPr>
      </w:pPr>
    </w:p>
    <w:p>
      <w:pPr>
        <w:pStyle w:val="BodyText"/>
        <w:spacing w:before="10"/>
        <w:ind w:left="0"/>
        <w:rPr>
          <w:sz w:val="28"/>
        </w:rPr>
      </w:pPr>
    </w:p>
    <w:p>
      <w:pPr>
        <w:pStyle w:val="Heading1"/>
        <w:numPr>
          <w:ilvl w:val="1"/>
          <w:numId w:val="1"/>
        </w:numPr>
        <w:tabs>
          <w:tab w:pos="460" w:val="left" w:leader="none"/>
        </w:tabs>
        <w:spacing w:line="240" w:lineRule="auto" w:before="0" w:after="0"/>
        <w:ind w:left="460" w:right="0" w:hanging="360"/>
        <w:jc w:val="left"/>
      </w:pPr>
      <w:r>
        <w:rPr/>
        <w:t>Sensing measurement results and</w:t>
      </w:r>
      <w:r>
        <w:rPr>
          <w:spacing w:val="-2"/>
        </w:rPr>
        <w:t> </w:t>
      </w:r>
      <w:r>
        <w:rPr/>
        <w:t>mechanisms</w:t>
      </w:r>
    </w:p>
    <w:p>
      <w:pPr>
        <w:pStyle w:val="BodyText"/>
        <w:spacing w:before="10"/>
        <w:ind w:left="0"/>
        <w:rPr>
          <w:b/>
          <w:sz w:val="29"/>
        </w:rPr>
      </w:pPr>
    </w:p>
    <w:p>
      <w:pPr>
        <w:pStyle w:val="BodyText"/>
        <w:spacing w:line="542" w:lineRule="auto"/>
        <w:ind w:right="176" w:firstLine="420"/>
        <w:jc w:val="both"/>
      </w:pPr>
      <w:r>
        <w:rPr/>
        <w:t>The measured shift in resonant frequency of the </w:t>
      </w:r>
      <w:r>
        <w:rPr>
          <w:spacing w:val="-6"/>
        </w:rPr>
        <w:t>SAW </w:t>
      </w:r>
      <w:r>
        <w:rPr/>
        <w:t>devices is mainly due to the changes in wave propagation </w:t>
      </w:r>
      <w:r>
        <w:rPr>
          <w:spacing w:val="-3"/>
        </w:rPr>
        <w:t>velocity, </w:t>
      </w:r>
      <w:r>
        <w:rPr/>
        <w:t>which is strongly influenced by the environmental factors such as humidity and temperature. The working mechanisms of a </w:t>
      </w:r>
      <w:r>
        <w:rPr>
          <w:spacing w:val="-7"/>
        </w:rPr>
        <w:t>SAW </w:t>
      </w:r>
      <w:r>
        <w:rPr/>
        <w:t>device generally include mass loading effect, electrical loading effect and viscoelastic loading effect [29-31]. During the experiments, we precisely controlled the temperature and atmospheric pressure, and only changed the RH value. The adsorption of water molecules in the BC layer does not make it significantly stiffer or softer, therefore, the viscoelastic loading is not</w:t>
      </w:r>
      <w:r>
        <w:rPr>
          <w:spacing w:val="-7"/>
        </w:rPr>
        <w:t> </w:t>
      </w:r>
      <w:r>
        <w:rPr/>
        <w:t>significant.</w:t>
      </w:r>
    </w:p>
    <w:p>
      <w:pPr>
        <w:pStyle w:val="BodyText"/>
        <w:spacing w:line="542" w:lineRule="auto" w:before="3"/>
        <w:ind w:right="175" w:firstLine="420"/>
        <w:jc w:val="both"/>
      </w:pPr>
      <w:r>
        <w:rPr/>
        <w:t>Electrical loading effect of a film refers to the phenomenon that the change in the conductivity of the film causes a change in the SAW velocity and thus the resonant frequency. The relationship </w:t>
      </w:r>
      <w:r>
        <w:rPr>
          <w:position w:val="2"/>
        </w:rPr>
        <w:t>between the change in the resonant frequency (</w:t>
      </w:r>
      <w:r>
        <w:rPr>
          <w:i/>
          <w:position w:val="2"/>
        </w:rPr>
        <w:t>Δf</w:t>
      </w:r>
      <w:r>
        <w:rPr>
          <w:position w:val="2"/>
        </w:rPr>
        <w:t>) and the conductivity of the film surface (</w:t>
      </w:r>
      <w:r>
        <w:rPr>
          <w:i/>
          <w:position w:val="2"/>
        </w:rPr>
        <w:t>σ</w:t>
      </w:r>
      <w:r>
        <w:rPr>
          <w:i/>
          <w:sz w:val="16"/>
        </w:rPr>
        <w:t>s</w:t>
      </w:r>
      <w:r>
        <w:rPr>
          <w:position w:val="2"/>
        </w:rPr>
        <w:t>) can be </w:t>
      </w:r>
      <w:r>
        <w:rPr/>
        <w:t>described as [32]:</w:t>
      </w:r>
    </w:p>
    <w:p>
      <w:pPr>
        <w:pStyle w:val="BodyText"/>
        <w:tabs>
          <w:tab w:pos="7159" w:val="left" w:leader="none"/>
        </w:tabs>
        <w:spacing w:line="247" w:lineRule="exact"/>
        <w:ind w:left="5939"/>
        <w:rPr>
          <w:rFonts w:ascii="Symbol" w:hAnsi="Symbol"/>
        </w:rPr>
      </w:pPr>
      <w:r>
        <w:rPr>
          <w:rFonts w:ascii="Symbol" w:hAnsi="Symbol"/>
        </w:rPr>
        <w:t></w:t>
      </w:r>
      <w:r>
        <w:rPr/>
        <w:tab/>
      </w:r>
      <w:r>
        <w:rPr>
          <w:rFonts w:ascii="Symbol" w:hAnsi="Symbol"/>
        </w:rPr>
        <w:t></w:t>
      </w:r>
    </w:p>
    <w:p>
      <w:pPr>
        <w:pStyle w:val="BodyText"/>
        <w:tabs>
          <w:tab w:pos="7159" w:val="left" w:leader="none"/>
        </w:tabs>
        <w:spacing w:line="162" w:lineRule="exact"/>
        <w:ind w:left="5939"/>
        <w:rPr>
          <w:rFonts w:ascii="Symbol" w:hAnsi="Symbol"/>
        </w:rPr>
      </w:pPr>
      <w:r>
        <w:rPr>
          <w:rFonts w:ascii="Symbol" w:hAnsi="Symbol"/>
        </w:rPr>
        <w:t></w:t>
      </w:r>
      <w:r>
        <w:rPr/>
        <w:tab/>
      </w:r>
      <w:r>
        <w:rPr>
          <w:rFonts w:ascii="Symbol" w:hAnsi="Symbol"/>
        </w:rPr>
        <w:t></w:t>
      </w:r>
    </w:p>
    <w:p>
      <w:pPr>
        <w:tabs>
          <w:tab w:pos="4509" w:val="left" w:leader="none"/>
          <w:tab w:pos="5148" w:val="left" w:leader="none"/>
          <w:tab w:pos="6536" w:val="left" w:leader="none"/>
          <w:tab w:pos="7159" w:val="left" w:leader="none"/>
        </w:tabs>
        <w:spacing w:line="193" w:lineRule="exact" w:before="2"/>
        <w:ind w:left="2549" w:right="0" w:firstLine="0"/>
        <w:jc w:val="left"/>
        <w:rPr>
          <w:rFonts w:ascii="Symbol" w:hAnsi="Symbol"/>
          <w:sz w:val="24"/>
        </w:rPr>
      </w:pPr>
      <w:r>
        <w:rPr/>
        <w:pict>
          <v:shapetype id="_x0000_t202" o:spt="202" coordsize="21600,21600" path="m,l,21600r21600,l21600,xe">
            <v:stroke joinstyle="miter"/>
            <v:path gradientshapeok="t" o:connecttype="rect"/>
          </v:shapetype>
          <v:shape style="position:absolute;margin-left:252.654099pt;margin-top:11.030844pt;width:58.5pt;height:14.75pt;mso-position-horizontal-relative:page;mso-position-vertical-relative:paragraph;z-index:-18064" type="#_x0000_t202" filled="false" stroked="false">
            <v:textbox inset="0,0,0,0">
              <w:txbxContent>
                <w:p>
                  <w:pPr>
                    <w:pStyle w:val="BodyText"/>
                    <w:tabs>
                      <w:tab w:pos="1075" w:val="left" w:leader="none"/>
                    </w:tabs>
                    <w:ind w:left="0"/>
                    <w:rPr>
                      <w:rFonts w:ascii="Symbol" w:hAnsi="Symbol"/>
                    </w:rPr>
                  </w:pPr>
                  <w:r>
                    <w:rPr>
                      <w:rFonts w:ascii="Symbol" w:hAnsi="Symbol"/>
                    </w:rPr>
                    <w:t></w:t>
                  </w:r>
                  <w:r>
                    <w:rPr/>
                    <w:tab/>
                  </w:r>
                  <w:r>
                    <w:rPr>
                      <w:rFonts w:ascii="Symbol" w:hAnsi="Symbol"/>
                    </w:rPr>
                    <w:t></w:t>
                  </w:r>
                </w:p>
              </w:txbxContent>
            </v:textbox>
            <w10:wrap type="none"/>
          </v:shape>
        </w:pict>
      </w:r>
      <w:r>
        <w:rPr>
          <w:rFonts w:ascii="Symbol" w:hAnsi="Symbol"/>
          <w:position w:val="1"/>
          <w:sz w:val="24"/>
        </w:rPr>
        <w:t></w:t>
      </w:r>
      <w:r>
        <w:rPr>
          <w:i/>
          <w:position w:val="1"/>
          <w:sz w:val="24"/>
        </w:rPr>
        <w:t>f  </w:t>
      </w:r>
      <w:r>
        <w:rPr>
          <w:rFonts w:ascii="Symbol" w:hAnsi="Symbol"/>
          <w:position w:val="-13"/>
          <w:sz w:val="24"/>
        </w:rPr>
        <w:t></w:t>
      </w:r>
      <w:r>
        <w:rPr>
          <w:position w:val="-13"/>
          <w:sz w:val="24"/>
        </w:rPr>
        <w:t> </w:t>
      </w:r>
      <w:r>
        <w:rPr>
          <w:rFonts w:ascii="Symbol" w:hAnsi="Symbol"/>
          <w:position w:val="1"/>
          <w:sz w:val="24"/>
        </w:rPr>
        <w:t></w:t>
      </w:r>
      <w:r>
        <w:rPr>
          <w:i/>
          <w:position w:val="1"/>
          <w:sz w:val="24"/>
        </w:rPr>
        <w:t>v </w:t>
      </w:r>
      <w:r>
        <w:rPr>
          <w:rFonts w:ascii="Symbol" w:hAnsi="Symbol"/>
          <w:position w:val="-13"/>
          <w:sz w:val="24"/>
        </w:rPr>
        <w:t></w:t>
      </w:r>
      <w:r>
        <w:rPr>
          <w:position w:val="-13"/>
          <w:sz w:val="24"/>
        </w:rPr>
        <w:t> </w:t>
      </w:r>
      <w:r>
        <w:rPr>
          <w:rFonts w:ascii="Symbol" w:hAnsi="Symbol"/>
          <w:position w:val="-13"/>
          <w:sz w:val="24"/>
        </w:rPr>
        <w:t></w:t>
      </w:r>
      <w:r>
        <w:rPr>
          <w:position w:val="-13"/>
          <w:sz w:val="24"/>
        </w:rPr>
        <w:t> </w:t>
      </w:r>
      <w:r>
        <w:rPr>
          <w:i/>
          <w:position w:val="1"/>
          <w:sz w:val="24"/>
        </w:rPr>
        <w:t>k</w:t>
      </w:r>
      <w:r>
        <w:rPr>
          <w:i/>
          <w:spacing w:val="-10"/>
          <w:position w:val="1"/>
          <w:sz w:val="24"/>
        </w:rPr>
        <w:t> </w:t>
      </w:r>
      <w:r>
        <w:rPr>
          <w:position w:val="12"/>
          <w:sz w:val="14"/>
        </w:rPr>
        <w:t>2</w:t>
      </w:r>
      <w:r>
        <w:rPr>
          <w:spacing w:val="32"/>
          <w:position w:val="12"/>
          <w:sz w:val="14"/>
        </w:rPr>
        <w:t> </w:t>
      </w:r>
      <w:r>
        <w:rPr>
          <w:rFonts w:ascii="Symbol" w:hAnsi="Symbol"/>
          <w:position w:val="3"/>
          <w:sz w:val="24"/>
        </w:rPr>
        <w:t></w:t>
      </w:r>
      <w:r>
        <w:rPr>
          <w:position w:val="3"/>
          <w:sz w:val="24"/>
        </w:rPr>
        <w:tab/>
      </w:r>
      <w:r>
        <w:rPr>
          <w:rFonts w:ascii="Symbol" w:hAnsi="Symbol"/>
          <w:i/>
          <w:position w:val="2"/>
          <w:sz w:val="25"/>
        </w:rPr>
        <w:t></w:t>
      </w:r>
      <w:r>
        <w:rPr>
          <w:i/>
          <w:spacing w:val="-20"/>
          <w:position w:val="2"/>
          <w:sz w:val="25"/>
        </w:rPr>
        <w:t> </w:t>
      </w:r>
      <w:r>
        <w:rPr>
          <w:position w:val="12"/>
          <w:sz w:val="14"/>
        </w:rPr>
        <w:t>2</w:t>
        <w:tab/>
      </w:r>
      <w:r>
        <w:rPr>
          <w:rFonts w:ascii="Symbol" w:hAnsi="Symbol"/>
          <w:position w:val="3"/>
          <w:sz w:val="24"/>
        </w:rPr>
        <w:t></w:t>
      </w:r>
      <w:r>
        <w:rPr>
          <w:spacing w:val="-8"/>
          <w:position w:val="3"/>
          <w:sz w:val="24"/>
        </w:rPr>
        <w:t> </w:t>
      </w:r>
      <w:r>
        <w:rPr>
          <w:rFonts w:ascii="Symbol" w:hAnsi="Symbol"/>
          <w:position w:val="-13"/>
          <w:sz w:val="24"/>
        </w:rPr>
        <w:t></w:t>
      </w:r>
      <w:r>
        <w:rPr>
          <w:spacing w:val="-6"/>
          <w:position w:val="-13"/>
          <w:sz w:val="24"/>
        </w:rPr>
        <w:t> </w:t>
      </w:r>
      <w:r>
        <w:rPr>
          <w:rFonts w:ascii="Symbol" w:hAnsi="Symbol"/>
          <w:position w:val="-13"/>
          <w:sz w:val="24"/>
        </w:rPr>
        <w:t></w:t>
      </w:r>
      <w:r>
        <w:rPr>
          <w:spacing w:val="-10"/>
          <w:position w:val="-13"/>
          <w:sz w:val="24"/>
        </w:rPr>
        <w:t> </w:t>
      </w:r>
      <w:r>
        <w:rPr>
          <w:i/>
          <w:position w:val="1"/>
          <w:sz w:val="24"/>
        </w:rPr>
        <w:t>k</w:t>
      </w:r>
      <w:r>
        <w:rPr>
          <w:i/>
          <w:spacing w:val="-34"/>
          <w:position w:val="1"/>
          <w:sz w:val="24"/>
        </w:rPr>
        <w:t> </w:t>
      </w:r>
      <w:r>
        <w:rPr>
          <w:position w:val="12"/>
          <w:sz w:val="14"/>
        </w:rPr>
        <w:t>2</w:t>
      </w:r>
      <w:r>
        <w:rPr>
          <w:spacing w:val="32"/>
          <w:position w:val="12"/>
          <w:sz w:val="14"/>
        </w:rPr>
        <w:t> </w:t>
      </w:r>
      <w:r>
        <w:rPr>
          <w:rFonts w:ascii="Symbol" w:hAnsi="Symbol"/>
          <w:sz w:val="24"/>
        </w:rPr>
        <w:t></w:t>
      </w:r>
      <w:r>
        <w:rPr>
          <w:sz w:val="24"/>
        </w:rPr>
        <w:tab/>
      </w:r>
      <w:r>
        <w:rPr>
          <w:position w:val="1"/>
          <w:sz w:val="24"/>
        </w:rPr>
        <w:t>1</w:t>
        <w:tab/>
      </w:r>
      <w:r>
        <w:rPr>
          <w:rFonts w:ascii="Symbol" w:hAnsi="Symbol"/>
          <w:sz w:val="24"/>
        </w:rPr>
        <w:t></w:t>
      </w:r>
    </w:p>
    <w:p>
      <w:pPr>
        <w:pStyle w:val="BodyText"/>
        <w:ind w:left="0"/>
        <w:rPr>
          <w:rFonts w:ascii="Symbol" w:hAnsi="Symbol"/>
          <w:sz w:val="9"/>
        </w:rPr>
      </w:pPr>
      <w:r>
        <w:rPr/>
        <w:pict>
          <v:line style="position:absolute;mso-position-horizontal-relative:page;mso-position-vertical-relative:paragraph;z-index:0;mso-wrap-distance-left:0;mso-wrap-distance-right:0" from="175.707947pt,7.787467pt" to="190.368166pt,7.787467pt" stroked="true" strokeweight=".59453pt" strokecolor="#000000">
            <v:stroke dashstyle="solid"/>
            <w10:wrap type="topAndBottom"/>
          </v:line>
        </w:pict>
      </w:r>
      <w:r>
        <w:rPr/>
        <w:pict>
          <v:line style="position:absolute;mso-position-horizontal-relative:page;mso-position-vertical-relative:paragraph;z-index:1048;mso-wrap-distance-left:0;mso-wrap-distance-right:0" from="203.155365pt,7.787467pt" to="217.265876pt,7.787467pt" stroked="true" strokeweight=".59453pt" strokecolor="#000000">
            <v:stroke dashstyle="solid"/>
            <w10:wrap type="topAndBottom"/>
          </v:line>
        </w:pict>
      </w:r>
      <w:r>
        <w:rPr/>
        <w:pict>
          <v:line style="position:absolute;mso-position-horizontal-relative:page;mso-position-vertical-relative:paragraph;z-index:1072;mso-wrap-distance-left:0;mso-wrap-distance-right:0" from="238.31871pt,7.787467pt" to="250.956003pt,7.787467pt" stroked="true" strokeweight=".59453pt" strokecolor="#000000">
            <v:stroke dashstyle="solid"/>
            <w10:wrap type="topAndBottom"/>
          </v:line>
        </w:pict>
      </w:r>
      <w:r>
        <w:rPr/>
        <w:pict>
          <v:line style="position:absolute;mso-position-horizontal-relative:page;mso-position-vertical-relative:paragraph;z-index:1096;mso-wrap-distance-left:0;mso-wrap-distance-right:0" from="331.646179pt,7.787467pt" to="344.259485pt,7.787467pt" stroked="true" strokeweight=".59453pt" strokecolor="#000000">
            <v:stroke dashstyle="solid"/>
            <w10:wrap type="topAndBottom"/>
          </v:line>
        </w:pict>
      </w:r>
      <w:r>
        <w:rPr/>
        <w:pict>
          <v:line style="position:absolute;mso-position-horizontal-relative:page;mso-position-vertical-relative:paragraph;z-index:1120;mso-wrap-distance-left:0;mso-wrap-distance-right:0" from="352.405151pt,7.787467pt" to="405.247105pt,7.787467pt" stroked="true" strokeweight=".59453pt" strokecolor="#000000">
            <v:stroke dashstyle="solid"/>
            <w10:wrap type="topAndBottom"/>
          </v:line>
        </w:pict>
      </w:r>
    </w:p>
    <w:p>
      <w:pPr>
        <w:spacing w:after="0"/>
        <w:rPr>
          <w:rFonts w:ascii="Symbol" w:hAnsi="Symbol"/>
          <w:sz w:val="9"/>
        </w:rPr>
        <w:sectPr>
          <w:pgSz w:w="11910" w:h="16840"/>
          <w:pgMar w:top="1520" w:bottom="280" w:left="980" w:right="900"/>
        </w:sectPr>
      </w:pPr>
    </w:p>
    <w:p>
      <w:pPr>
        <w:tabs>
          <w:tab w:pos="480" w:val="left" w:leader="none"/>
          <w:tab w:pos="911" w:val="left" w:leader="none"/>
        </w:tabs>
        <w:spacing w:line="154" w:lineRule="exact" w:before="0"/>
        <w:ind w:left="0" w:right="0" w:firstLine="0"/>
        <w:jc w:val="right"/>
        <w:rPr>
          <w:i/>
          <w:sz w:val="14"/>
        </w:rPr>
      </w:pPr>
      <w:r>
        <w:rPr>
          <w:i/>
          <w:w w:val="100"/>
          <w:sz w:val="14"/>
          <w:u w:val="single"/>
        </w:rPr>
        <w:t> </w:t>
      </w:r>
      <w:r>
        <w:rPr>
          <w:i/>
          <w:sz w:val="14"/>
          <w:u w:val="single"/>
        </w:rPr>
        <w:tab/>
      </w:r>
      <w:r>
        <w:rPr>
          <w:i/>
          <w:spacing w:val="-1"/>
          <w:sz w:val="14"/>
          <w:u w:val="single"/>
        </w:rPr>
        <w:t>s</w:t>
        <w:tab/>
      </w:r>
    </w:p>
    <w:p>
      <w:pPr>
        <w:tabs>
          <w:tab w:pos="505" w:val="left" w:leader="none"/>
          <w:tab w:pos="1235" w:val="left" w:leader="none"/>
        </w:tabs>
        <w:spacing w:line="72" w:lineRule="exact" w:before="0"/>
        <w:ind w:left="0" w:right="31" w:firstLine="0"/>
        <w:jc w:val="right"/>
        <w:rPr>
          <w:sz w:val="14"/>
        </w:rPr>
      </w:pPr>
      <w:r>
        <w:rPr/>
        <w:pict>
          <v:shape style="position:absolute;margin-left:367.257263pt;margin-top:23.721542pt;width:4.7pt;height:14.75pt;mso-position-horizontal-relative:page;mso-position-vertical-relative:paragraph;z-index:-18040" type="#_x0000_t202" filled="false" stroked="false">
            <v:textbox inset="0,0,0,0">
              <w:txbxContent>
                <w:p>
                  <w:pPr>
                    <w:pStyle w:val="BodyText"/>
                    <w:ind w:left="0"/>
                    <w:rPr>
                      <w:rFonts w:ascii="Symbol" w:hAnsi="Symbol"/>
                    </w:rPr>
                  </w:pPr>
                  <w:r>
                    <w:rPr>
                      <w:rFonts w:ascii="Symbol" w:hAnsi="Symbol"/>
                      <w:w w:val="101"/>
                    </w:rPr>
                    <w:t></w:t>
                  </w:r>
                </w:p>
              </w:txbxContent>
            </v:textbox>
            <w10:wrap type="none"/>
          </v:shape>
        </w:pict>
      </w:r>
      <w:r>
        <w:rPr/>
        <w:pict>
          <v:shape style="position:absolute;margin-left:376.732239pt;margin-top:19.834501pt;width:7.35pt;height:15.6pt;mso-position-horizontal-relative:page;mso-position-vertical-relative:paragraph;z-index:-18016" type="#_x0000_t202" filled="false" stroked="false">
            <v:textbox inset="0,0,0,0">
              <w:txbxContent>
                <w:p>
                  <w:pPr>
                    <w:spacing w:before="4"/>
                    <w:ind w:left="0" w:right="0" w:firstLine="0"/>
                    <w:jc w:val="left"/>
                    <w:rPr>
                      <w:rFonts w:ascii="Symbol" w:hAnsi="Symbol"/>
                      <w:i/>
                      <w:sz w:val="25"/>
                    </w:rPr>
                  </w:pPr>
                  <w:r>
                    <w:rPr>
                      <w:rFonts w:ascii="Symbol" w:hAnsi="Symbol"/>
                      <w:i/>
                      <w:w w:val="97"/>
                      <w:sz w:val="25"/>
                    </w:rPr>
                    <w:t></w:t>
                  </w:r>
                </w:p>
              </w:txbxContent>
            </v:textbox>
            <w10:wrap type="none"/>
          </v:shape>
        </w:pict>
      </w:r>
      <w:r>
        <w:rPr/>
        <w:pict>
          <v:shape style="position:absolute;margin-left:345.958588pt;margin-top:24.638567pt;width:4.7pt;height:14.75pt;mso-position-horizontal-relative:page;mso-position-vertical-relative:paragraph;z-index:-17992" type="#_x0000_t202" filled="false" stroked="false">
            <v:textbox inset="0,0,0,0">
              <w:txbxContent>
                <w:p>
                  <w:pPr>
                    <w:pStyle w:val="BodyText"/>
                    <w:ind w:left="0"/>
                    <w:rPr>
                      <w:rFonts w:ascii="Symbol" w:hAnsi="Symbol"/>
                    </w:rPr>
                  </w:pPr>
                  <w:r>
                    <w:rPr>
                      <w:rFonts w:ascii="Symbol" w:hAnsi="Symbol"/>
                      <w:w w:val="101"/>
                    </w:rPr>
                    <w:t></w:t>
                  </w:r>
                </w:p>
              </w:txbxContent>
            </v:textbox>
            <w10:wrap type="none"/>
          </v:shape>
        </w:pict>
      </w:r>
      <w:r>
        <w:rPr/>
        <w:pict>
          <v:shape style="position:absolute;margin-left:407.002045pt;margin-top:24.638567pt;width:4.7pt;height:14.75pt;mso-position-horizontal-relative:page;mso-position-vertical-relative:paragraph;z-index:-17968" type="#_x0000_t202" filled="false" stroked="false">
            <v:textbox inset="0,0,0,0">
              <w:txbxContent>
                <w:p>
                  <w:pPr>
                    <w:pStyle w:val="BodyText"/>
                    <w:ind w:left="0"/>
                    <w:rPr>
                      <w:rFonts w:ascii="Symbol" w:hAnsi="Symbol"/>
                    </w:rPr>
                  </w:pPr>
                  <w:r>
                    <w:rPr>
                      <w:rFonts w:ascii="Symbol" w:hAnsi="Symbol"/>
                      <w:w w:val="101"/>
                    </w:rPr>
                    <w:t></w:t>
                  </w:r>
                </w:p>
              </w:txbxContent>
            </v:textbox>
            <w10:wrap type="none"/>
          </v:shape>
        </w:pict>
      </w:r>
      <w:r>
        <w:rPr>
          <w:i/>
          <w:sz w:val="24"/>
        </w:rPr>
        <w:t>f</w:t>
        <w:tab/>
        <w:t>v</w:t>
        <w:tab/>
      </w:r>
      <w:r>
        <w:rPr>
          <w:sz w:val="24"/>
        </w:rPr>
        <w:t>2 </w:t>
      </w:r>
      <w:r>
        <w:rPr>
          <w:rFonts w:ascii="Symbol" w:hAnsi="Symbol"/>
          <w:position w:val="-5"/>
          <w:sz w:val="24"/>
        </w:rPr>
        <w:t></w:t>
      </w:r>
      <w:r>
        <w:rPr>
          <w:position w:val="-5"/>
          <w:sz w:val="24"/>
        </w:rPr>
        <w:t> </w:t>
      </w:r>
      <w:r>
        <w:rPr>
          <w:rFonts w:ascii="Symbol" w:hAnsi="Symbol"/>
          <w:i/>
          <w:sz w:val="25"/>
        </w:rPr>
        <w:t></w:t>
      </w:r>
      <w:r>
        <w:rPr>
          <w:i/>
          <w:sz w:val="25"/>
        </w:rPr>
        <w:t> </w:t>
      </w:r>
      <w:r>
        <w:rPr>
          <w:position w:val="11"/>
          <w:sz w:val="14"/>
        </w:rPr>
        <w:t>2  </w:t>
      </w:r>
      <w:r>
        <w:rPr>
          <w:rFonts w:ascii="Symbol" w:hAnsi="Symbol"/>
          <w:sz w:val="24"/>
        </w:rPr>
        <w:t></w:t>
      </w:r>
      <w:r>
        <w:rPr>
          <w:spacing w:val="-35"/>
          <w:sz w:val="24"/>
        </w:rPr>
        <w:t> </w:t>
      </w:r>
      <w:r>
        <w:rPr>
          <w:i/>
          <w:spacing w:val="5"/>
          <w:sz w:val="24"/>
        </w:rPr>
        <w:t>v</w:t>
      </w:r>
      <w:r>
        <w:rPr>
          <w:spacing w:val="5"/>
          <w:position w:val="11"/>
          <w:sz w:val="14"/>
        </w:rPr>
        <w:t>2</w:t>
      </w:r>
      <w:r>
        <w:rPr>
          <w:i/>
          <w:spacing w:val="5"/>
          <w:sz w:val="24"/>
        </w:rPr>
        <w:t>c</w:t>
      </w:r>
      <w:r>
        <w:rPr>
          <w:spacing w:val="5"/>
          <w:position w:val="11"/>
          <w:sz w:val="14"/>
        </w:rPr>
        <w:t>2</w:t>
      </w:r>
    </w:p>
    <w:p>
      <w:pPr>
        <w:tabs>
          <w:tab w:pos="1211" w:val="left" w:leader="none"/>
          <w:tab w:pos="1767" w:val="left" w:leader="none"/>
        </w:tabs>
        <w:spacing w:line="158" w:lineRule="exact" w:before="67"/>
        <w:ind w:left="567" w:right="0" w:firstLine="0"/>
        <w:jc w:val="left"/>
        <w:rPr>
          <w:rFonts w:ascii="Symbol" w:hAnsi="Symbol"/>
          <w:sz w:val="24"/>
        </w:rPr>
      </w:pPr>
      <w:r>
        <w:rPr/>
        <w:br w:type="column"/>
      </w:r>
      <w:r>
        <w:rPr>
          <w:position w:val="-9"/>
          <w:sz w:val="24"/>
        </w:rPr>
        <w:t>2</w:t>
      </w:r>
      <w:r>
        <w:rPr>
          <w:spacing w:val="35"/>
          <w:position w:val="-9"/>
          <w:sz w:val="24"/>
        </w:rPr>
        <w:t> </w:t>
      </w:r>
      <w:r>
        <w:rPr>
          <w:rFonts w:ascii="Symbol" w:hAnsi="Symbol"/>
          <w:sz w:val="24"/>
        </w:rPr>
        <w:t></w:t>
      </w:r>
      <w:r>
        <w:rPr>
          <w:sz w:val="24"/>
        </w:rPr>
        <w:tab/>
      </w:r>
      <w:r>
        <w:rPr>
          <w:rFonts w:ascii="Symbol" w:hAnsi="Symbol"/>
          <w:position w:val="-14"/>
          <w:sz w:val="24"/>
        </w:rPr>
        <w:t></w:t>
      </w:r>
      <w:r>
        <w:rPr>
          <w:position w:val="-14"/>
          <w:sz w:val="24"/>
        </w:rPr>
        <w:tab/>
      </w:r>
      <w:r>
        <w:rPr>
          <w:rFonts w:ascii="Symbol" w:hAnsi="Symbol"/>
          <w:spacing w:val="1"/>
          <w:position w:val="-14"/>
          <w:sz w:val="24"/>
        </w:rPr>
        <w:t></w:t>
      </w:r>
      <w:r>
        <w:rPr>
          <w:spacing w:val="1"/>
          <w:position w:val="2"/>
          <w:sz w:val="14"/>
        </w:rPr>
        <w:t>2</w:t>
      </w:r>
      <w:r>
        <w:rPr>
          <w:spacing w:val="37"/>
          <w:position w:val="2"/>
          <w:sz w:val="14"/>
        </w:rPr>
        <w:t> </w:t>
      </w:r>
      <w:r>
        <w:rPr>
          <w:rFonts w:ascii="Symbol" w:hAnsi="Symbol"/>
          <w:sz w:val="24"/>
        </w:rPr>
        <w:t></w:t>
      </w:r>
    </w:p>
    <w:p>
      <w:pPr>
        <w:spacing w:line="226" w:lineRule="exact" w:before="0"/>
        <w:ind w:left="0" w:right="174" w:firstLine="0"/>
        <w:jc w:val="right"/>
        <w:rPr>
          <w:sz w:val="24"/>
        </w:rPr>
      </w:pPr>
      <w:r>
        <w:rPr/>
        <w:br w:type="column"/>
      </w:r>
      <w:r>
        <w:rPr>
          <w:sz w:val="24"/>
        </w:rPr>
        <w:t>(1)</w:t>
      </w:r>
    </w:p>
    <w:p>
      <w:pPr>
        <w:spacing w:after="0" w:line="226" w:lineRule="exact"/>
        <w:jc w:val="right"/>
        <w:rPr>
          <w:sz w:val="24"/>
        </w:rPr>
        <w:sectPr>
          <w:type w:val="continuous"/>
          <w:pgSz w:w="11910" w:h="16840"/>
          <w:pgMar w:top="1500" w:bottom="280" w:left="980" w:right="900"/>
          <w:cols w:num="3" w:equalWidth="0">
            <w:col w:w="5115" w:space="40"/>
            <w:col w:w="2100" w:space="39"/>
            <w:col w:w="2736"/>
          </w:cols>
        </w:sectPr>
      </w:pPr>
    </w:p>
    <w:p>
      <w:pPr>
        <w:tabs>
          <w:tab w:pos="3229" w:val="left" w:leader="none"/>
          <w:tab w:pos="4371" w:val="left" w:leader="none"/>
        </w:tabs>
        <w:spacing w:line="159" w:lineRule="exact" w:before="110"/>
        <w:ind w:left="2697" w:right="0" w:firstLine="0"/>
        <w:jc w:val="left"/>
        <w:rPr>
          <w:i/>
          <w:sz w:val="14"/>
        </w:rPr>
      </w:pPr>
      <w:r>
        <w:rPr>
          <w:sz w:val="14"/>
        </w:rPr>
        <w:t>0</w:t>
        <w:tab/>
        <w:t>0</w:t>
        <w:tab/>
      </w:r>
      <w:r>
        <w:rPr>
          <w:i/>
          <w:sz w:val="14"/>
        </w:rPr>
        <w:t>s</w:t>
      </w:r>
    </w:p>
    <w:p>
      <w:pPr>
        <w:tabs>
          <w:tab w:pos="1472" w:val="left" w:leader="none"/>
        </w:tabs>
        <w:spacing w:line="21" w:lineRule="auto" w:before="32"/>
        <w:ind w:left="331" w:right="0" w:firstLine="0"/>
        <w:jc w:val="left"/>
        <w:rPr>
          <w:rFonts w:ascii="Symbol" w:hAnsi="Symbol"/>
          <w:sz w:val="24"/>
        </w:rPr>
      </w:pPr>
      <w:r>
        <w:rPr/>
        <w:br w:type="column"/>
      </w:r>
      <w:r>
        <w:rPr>
          <w:sz w:val="14"/>
        </w:rPr>
        <w:t>0  </w:t>
      </w:r>
      <w:r>
        <w:rPr>
          <w:spacing w:val="25"/>
          <w:sz w:val="14"/>
        </w:rPr>
        <w:t> </w:t>
      </w:r>
      <w:r>
        <w:rPr>
          <w:i/>
          <w:sz w:val="14"/>
        </w:rPr>
        <w:t>s </w:t>
      </w:r>
      <w:r>
        <w:rPr>
          <w:i/>
          <w:spacing w:val="25"/>
          <w:sz w:val="14"/>
        </w:rPr>
        <w:t> </w:t>
      </w:r>
      <w:r>
        <w:rPr>
          <w:rFonts w:ascii="Symbol" w:hAnsi="Symbol"/>
          <w:sz w:val="24"/>
        </w:rPr>
        <w:t></w:t>
      </w:r>
      <w:r>
        <w:rPr>
          <w:sz w:val="24"/>
        </w:rPr>
        <w:tab/>
      </w:r>
      <w:r>
        <w:rPr>
          <w:rFonts w:ascii="Symbol" w:hAnsi="Symbol"/>
          <w:position w:val="-6"/>
          <w:sz w:val="24"/>
        </w:rPr>
        <w:t></w:t>
      </w:r>
      <w:r>
        <w:rPr>
          <w:position w:val="-6"/>
          <w:sz w:val="24"/>
        </w:rPr>
        <w:t> </w:t>
      </w:r>
      <w:r>
        <w:rPr>
          <w:spacing w:val="7"/>
          <w:position w:val="-14"/>
          <w:sz w:val="24"/>
        </w:rPr>
        <w:t>1</w:t>
      </w:r>
      <w:r>
        <w:rPr>
          <w:rFonts w:ascii="Symbol" w:hAnsi="Symbol"/>
          <w:spacing w:val="7"/>
          <w:position w:val="-14"/>
          <w:sz w:val="24"/>
        </w:rPr>
        <w:t></w:t>
      </w:r>
      <w:r>
        <w:rPr>
          <w:spacing w:val="7"/>
          <w:position w:val="-14"/>
          <w:sz w:val="24"/>
        </w:rPr>
        <w:t> </w:t>
      </w:r>
      <w:r>
        <w:rPr>
          <w:rFonts w:ascii="Symbol" w:hAnsi="Symbol"/>
          <w:position w:val="-20"/>
          <w:sz w:val="24"/>
        </w:rPr>
        <w:t></w:t>
      </w:r>
      <w:r>
        <w:rPr>
          <w:position w:val="-20"/>
          <w:sz w:val="24"/>
        </w:rPr>
        <w:t> </w:t>
      </w:r>
      <w:r>
        <w:rPr>
          <w:i/>
          <w:sz w:val="24"/>
        </w:rPr>
        <w:t>v</w:t>
      </w:r>
      <w:r>
        <w:rPr>
          <w:position w:val="-5"/>
          <w:sz w:val="14"/>
        </w:rPr>
        <w:t>0</w:t>
      </w:r>
      <w:r>
        <w:rPr>
          <w:i/>
          <w:sz w:val="24"/>
        </w:rPr>
        <w:t>c</w:t>
      </w:r>
      <w:r>
        <w:rPr>
          <w:i/>
          <w:position w:val="-5"/>
          <w:sz w:val="14"/>
        </w:rPr>
        <w:t>s </w:t>
      </w:r>
      <w:r>
        <w:rPr>
          <w:rFonts w:ascii="Symbol" w:hAnsi="Symbol"/>
          <w:position w:val="-20"/>
          <w:sz w:val="24"/>
        </w:rPr>
        <w:t></w:t>
      </w:r>
      <w:r>
        <w:rPr>
          <w:spacing w:val="7"/>
          <w:position w:val="-20"/>
          <w:sz w:val="24"/>
        </w:rPr>
        <w:t> </w:t>
      </w:r>
      <w:r>
        <w:rPr>
          <w:rFonts w:ascii="Symbol" w:hAnsi="Symbol"/>
          <w:position w:val="-6"/>
          <w:sz w:val="24"/>
        </w:rPr>
        <w:t></w:t>
      </w:r>
    </w:p>
    <w:p>
      <w:pPr>
        <w:pStyle w:val="BodyText"/>
        <w:spacing w:before="2"/>
        <w:ind w:left="0"/>
        <w:rPr>
          <w:rFonts w:ascii="Symbol" w:hAnsi="Symbol"/>
          <w:sz w:val="5"/>
        </w:rPr>
      </w:pPr>
    </w:p>
    <w:p>
      <w:pPr>
        <w:pStyle w:val="BodyText"/>
        <w:spacing w:line="20" w:lineRule="exact"/>
        <w:ind w:left="2025"/>
        <w:rPr>
          <w:rFonts w:ascii="Symbol" w:hAnsi="Symbol"/>
          <w:sz w:val="2"/>
        </w:rPr>
      </w:pPr>
      <w:r>
        <w:rPr>
          <w:rFonts w:ascii="Symbol" w:hAnsi="Symbol"/>
          <w:sz w:val="2"/>
        </w:rPr>
        <w:pict>
          <v:group style="width:19.6pt;height:.3pt;mso-position-horizontal-relative:char;mso-position-vertical-relative:line" coordorigin="0,0" coordsize="392,6">
            <v:line style="position:absolute" from="0,3" to="392,3" stroked="true" strokeweight=".27249pt" strokecolor="#000000">
              <v:stroke dashstyle="solid"/>
            </v:line>
          </v:group>
        </w:pict>
      </w:r>
      <w:r>
        <w:rPr>
          <w:rFonts w:ascii="Symbol" w:hAnsi="Symbol"/>
          <w:sz w:val="2"/>
        </w:rPr>
      </w:r>
    </w:p>
    <w:p>
      <w:pPr>
        <w:spacing w:after="0" w:line="20" w:lineRule="exact"/>
        <w:rPr>
          <w:rFonts w:ascii="Symbol" w:hAnsi="Symbol"/>
          <w:sz w:val="2"/>
        </w:rPr>
        <w:sectPr>
          <w:type w:val="continuous"/>
          <w:pgSz w:w="11910" w:h="16840"/>
          <w:pgMar w:top="1500" w:bottom="280" w:left="980" w:right="900"/>
          <w:cols w:num="2" w:equalWidth="0">
            <w:col w:w="4427" w:space="40"/>
            <w:col w:w="5563"/>
          </w:cols>
        </w:sectPr>
      </w:pPr>
    </w:p>
    <w:p>
      <w:pPr>
        <w:tabs>
          <w:tab w:pos="6728" w:val="left" w:leader="none"/>
        </w:tabs>
        <w:spacing w:before="0"/>
        <w:ind w:left="5939" w:right="0" w:firstLine="0"/>
        <w:jc w:val="left"/>
        <w:rPr>
          <w:rFonts w:ascii="Symbol" w:hAnsi="Symbol"/>
          <w:sz w:val="24"/>
        </w:rPr>
      </w:pPr>
      <w:r>
        <w:rPr>
          <w:rFonts w:ascii="Symbol" w:hAnsi="Symbol"/>
          <w:sz w:val="24"/>
        </w:rPr>
        <w:t></w:t>
      </w:r>
      <w:r>
        <w:rPr>
          <w:sz w:val="24"/>
        </w:rPr>
        <w:tab/>
      </w:r>
      <w:r>
        <w:rPr>
          <w:i/>
          <w:position w:val="-12"/>
          <w:sz w:val="14"/>
        </w:rPr>
        <w:t>s </w:t>
      </w:r>
      <w:r>
        <w:rPr>
          <w:rFonts w:ascii="Symbol" w:hAnsi="Symbol"/>
          <w:position w:val="-12"/>
          <w:sz w:val="24"/>
        </w:rPr>
        <w:t></w:t>
      </w:r>
      <w:r>
        <w:rPr>
          <w:spacing w:val="22"/>
          <w:position w:val="-12"/>
          <w:sz w:val="24"/>
        </w:rPr>
        <w:t> </w:t>
      </w:r>
      <w:r>
        <w:rPr>
          <w:rFonts w:ascii="Symbol" w:hAnsi="Symbol"/>
          <w:sz w:val="24"/>
        </w:rPr>
        <w:t></w:t>
      </w:r>
    </w:p>
    <w:p>
      <w:pPr>
        <w:spacing w:after="0"/>
        <w:jc w:val="left"/>
        <w:rPr>
          <w:rFonts w:ascii="Symbol" w:hAnsi="Symbol"/>
          <w:sz w:val="24"/>
        </w:rPr>
        <w:sectPr>
          <w:type w:val="continuous"/>
          <w:pgSz w:w="11910" w:h="16840"/>
          <w:pgMar w:top="1500" w:bottom="280" w:left="980" w:right="900"/>
        </w:sectPr>
      </w:pPr>
    </w:p>
    <w:p>
      <w:pPr>
        <w:pStyle w:val="BodyText"/>
        <w:spacing w:line="525" w:lineRule="auto" w:before="95"/>
        <w:ind w:right="178"/>
        <w:jc w:val="both"/>
      </w:pPr>
      <w:r>
        <w:rPr>
          <w:position w:val="2"/>
        </w:rPr>
        <w:t>where </w:t>
      </w:r>
      <w:r>
        <w:rPr>
          <w:i/>
          <w:position w:val="2"/>
        </w:rPr>
        <w:t>f</w:t>
      </w:r>
      <w:r>
        <w:rPr>
          <w:i/>
          <w:position w:val="2"/>
          <w:vertAlign w:val="subscript"/>
        </w:rPr>
        <w:t>0</w:t>
      </w:r>
      <w:r>
        <w:rPr>
          <w:position w:val="2"/>
          <w:vertAlign w:val="baseline"/>
        </w:rPr>
        <w:t>=200 MHz is the natural resonant frequency of the SAW device; </w:t>
      </w:r>
      <w:r>
        <w:rPr>
          <w:i/>
          <w:position w:val="2"/>
          <w:vertAlign w:val="baseline"/>
        </w:rPr>
        <w:t>k</w:t>
      </w:r>
      <w:r>
        <w:rPr>
          <w:i/>
          <w:position w:val="2"/>
          <w:vertAlign w:val="superscript"/>
        </w:rPr>
        <w:t>2</w:t>
      </w:r>
      <w:r>
        <w:rPr>
          <w:position w:val="2"/>
          <w:vertAlign w:val="baseline"/>
        </w:rPr>
        <w:t>=0.11% is the electromechanical coupling coefficient of the quartz crystal; </w:t>
      </w:r>
      <w:r>
        <w:rPr>
          <w:i/>
          <w:position w:val="2"/>
          <w:vertAlign w:val="baseline"/>
        </w:rPr>
        <w:t>v</w:t>
      </w:r>
      <w:r>
        <w:rPr>
          <w:i/>
          <w:position w:val="2"/>
          <w:vertAlign w:val="subscript"/>
        </w:rPr>
        <w:t>0</w:t>
      </w:r>
      <w:r>
        <w:rPr>
          <w:position w:val="2"/>
          <w:vertAlign w:val="baseline"/>
        </w:rPr>
        <w:t>=3158 m/s is the undisturbed surface wave velocity of the quartz crystal; </w:t>
      </w:r>
      <w:r>
        <w:rPr>
          <w:i/>
          <w:position w:val="2"/>
          <w:vertAlign w:val="baseline"/>
        </w:rPr>
        <w:t>c</w:t>
      </w:r>
      <w:r>
        <w:rPr>
          <w:i/>
          <w:position w:val="2"/>
          <w:vertAlign w:val="subscript"/>
        </w:rPr>
        <w:t>s</w:t>
      </w:r>
      <w:r>
        <w:rPr>
          <w:position w:val="2"/>
          <w:vertAlign w:val="baseline"/>
        </w:rPr>
        <w:t>=0.5 pF/cm is the sum of dielectric constants of substrate and </w:t>
      </w:r>
      <w:r>
        <w:rPr>
          <w:vertAlign w:val="baseline"/>
        </w:rPr>
        <w:t>environment.</w:t>
      </w:r>
    </w:p>
    <w:p>
      <w:pPr>
        <w:pStyle w:val="BodyText"/>
        <w:spacing w:line="518" w:lineRule="auto" w:before="19"/>
        <w:ind w:right="173" w:firstLine="420"/>
        <w:jc w:val="both"/>
      </w:pPr>
      <w:r>
        <w:rPr>
          <w:position w:val="2"/>
        </w:rPr>
        <w:t>Fig. 6(a) shows the acousto-electrical parameters (</w:t>
      </w:r>
      <w:r>
        <w:rPr>
          <w:i/>
          <w:position w:val="2"/>
        </w:rPr>
        <w:t>ξ=σ</w:t>
      </w:r>
      <w:r>
        <w:rPr>
          <w:i/>
          <w:sz w:val="16"/>
        </w:rPr>
        <w:t>s </w:t>
      </w:r>
      <w:r>
        <w:rPr>
          <w:i/>
          <w:position w:val="2"/>
        </w:rPr>
        <w:t>/(v</w:t>
      </w:r>
      <w:r>
        <w:rPr>
          <w:i/>
          <w:position w:val="2"/>
          <w:vertAlign w:val="subscript"/>
        </w:rPr>
        <w:t>0</w:t>
      </w:r>
      <w:r>
        <w:rPr>
          <w:i/>
          <w:position w:val="2"/>
          <w:vertAlign w:val="baseline"/>
        </w:rPr>
        <w:t>·c</w:t>
      </w:r>
      <w:r>
        <w:rPr>
          <w:i/>
          <w:position w:val="2"/>
          <w:vertAlign w:val="subscript"/>
        </w:rPr>
        <w:t>s</w:t>
      </w:r>
      <w:r>
        <w:rPr>
          <w:position w:val="2"/>
          <w:vertAlign w:val="baseline"/>
        </w:rPr>
        <w:t>) of the SAW sensing layer as a </w:t>
      </w:r>
      <w:r>
        <w:rPr>
          <w:vertAlign w:val="baseline"/>
        </w:rPr>
        <w:t>function of the center frequency. The BC film is insulating. The conductivity values of the film measured by the four-probe method in 30% RH and 93% RH are 8.5</w:t>
      </w:r>
      <w:r>
        <w:rPr>
          <w:rFonts w:ascii="SimSun" w:hAnsi="SimSun"/>
          <w:vertAlign w:val="baseline"/>
        </w:rPr>
        <w:t>×</w:t>
      </w:r>
      <w:r>
        <w:rPr>
          <w:vertAlign w:val="baseline"/>
        </w:rPr>
        <w:t>10</w:t>
      </w:r>
      <w:r>
        <w:rPr>
          <w:position w:val="9"/>
          <w:sz w:val="16"/>
          <w:vertAlign w:val="baseline"/>
        </w:rPr>
        <w:t>-11 </w:t>
      </w:r>
      <w:r>
        <w:rPr>
          <w:vertAlign w:val="baseline"/>
        </w:rPr>
        <w:t>and 5.2</w:t>
      </w:r>
      <w:r>
        <w:rPr>
          <w:rFonts w:ascii="SimSun" w:hAnsi="SimSun"/>
          <w:vertAlign w:val="baseline"/>
        </w:rPr>
        <w:t>×</w:t>
      </w:r>
      <w:r>
        <w:rPr>
          <w:vertAlign w:val="baseline"/>
        </w:rPr>
        <w:t>10</w:t>
      </w:r>
      <w:r>
        <w:rPr>
          <w:position w:val="9"/>
          <w:sz w:val="16"/>
          <w:vertAlign w:val="baseline"/>
        </w:rPr>
        <w:t>-10 </w:t>
      </w:r>
      <w:r>
        <w:rPr>
          <w:vertAlign w:val="baseline"/>
        </w:rPr>
        <w:t>Sm</w:t>
      </w:r>
      <w:r>
        <w:rPr>
          <w:position w:val="9"/>
          <w:sz w:val="16"/>
          <w:vertAlign w:val="baseline"/>
        </w:rPr>
        <w:t>-1</w:t>
      </w:r>
      <w:r>
        <w:rPr>
          <w:vertAlign w:val="baseline"/>
        </w:rPr>
        <w:t>, respectively. As it is well-known, sensitivity of electrical loading effect of the film depends on the</w:t>
      </w:r>
    </w:p>
    <w:p>
      <w:pPr>
        <w:pStyle w:val="BodyText"/>
        <w:spacing w:line="540" w:lineRule="auto" w:before="25"/>
        <w:ind w:right="174"/>
        <w:jc w:val="both"/>
      </w:pPr>
      <w:r>
        <w:rPr/>
        <w:t>slope of the test point in Fig. 6. Only when the </w:t>
      </w:r>
      <w:r>
        <w:rPr>
          <w:i/>
        </w:rPr>
        <w:t>ξ </w:t>
      </w:r>
      <w:r>
        <w:rPr/>
        <w:t>value of the test point is at large slope (high sensitivity) region of 0.1-10, the electrical loading of the film will have a significant effect. Since the conductivity of the BC is extremely low, the frequency shift caused by the acoustoelectric effect was calculated to be only ~1.16 Hz when the RH value was changed from 30% to 93%. The resistance </w:t>
      </w:r>
      <w:r>
        <w:rPr>
          <w:position w:val="2"/>
        </w:rPr>
        <w:t>value of R</w:t>
      </w:r>
      <w:r>
        <w:rPr>
          <w:position w:val="2"/>
          <w:vertAlign w:val="subscript"/>
        </w:rPr>
        <w:t>0</w:t>
      </w:r>
      <w:r>
        <w:rPr>
          <w:position w:val="2"/>
          <w:vertAlign w:val="baseline"/>
        </w:rPr>
        <w:t> at 30% RH shown in Fig. 6(b) is comparable to that at 93% RH, which further verifies </w:t>
      </w:r>
      <w:r>
        <w:rPr>
          <w:vertAlign w:val="baseline"/>
        </w:rPr>
        <w:t>that there is no significant change in the resistance value of the sensing film. Therefore, the significant change in the resonant frequency of the SAW device as a response to RH change is not caused by the electrical loading effect.</w:t>
      </w:r>
    </w:p>
    <w:p>
      <w:pPr>
        <w:pStyle w:val="BodyText"/>
        <w:spacing w:line="542" w:lineRule="auto" w:before="5"/>
        <w:ind w:right="177" w:firstLine="420"/>
        <w:jc w:val="both"/>
      </w:pPr>
      <w:r>
        <w:rPr/>
        <w:t>Therefore, the mass loading effect due to the adsorption of water molecules into the BC film might be the main reason for the significant changes in the resonant frequencies of the SAW humidity sensor. The relationship between the change in the center frequency (</w:t>
      </w:r>
      <w:r>
        <w:rPr>
          <w:i/>
        </w:rPr>
        <w:t>Δf</w:t>
      </w:r>
      <w:r>
        <w:rPr/>
        <w:t>) and the change in the mass of the sensing film (</w:t>
      </w:r>
      <w:r>
        <w:rPr>
          <w:i/>
        </w:rPr>
        <w:t>Δm</w:t>
      </w:r>
      <w:r>
        <w:rPr/>
        <w:t>) can be described as follows [33]:</w:t>
      </w:r>
    </w:p>
    <w:p>
      <w:pPr>
        <w:tabs>
          <w:tab w:pos="8766" w:val="left" w:leader="none"/>
        </w:tabs>
        <w:spacing w:before="1"/>
        <w:ind w:left="3782" w:right="0" w:firstLine="0"/>
        <w:jc w:val="left"/>
        <w:rPr>
          <w:sz w:val="24"/>
        </w:rPr>
      </w:pPr>
      <w:r>
        <w:rPr>
          <w:i/>
          <w:position w:val="2"/>
          <w:sz w:val="24"/>
        </w:rPr>
        <w:t>Δf=(κ</w:t>
      </w:r>
      <w:r>
        <w:rPr>
          <w:i/>
          <w:sz w:val="16"/>
        </w:rPr>
        <w:t>1</w:t>
      </w:r>
      <w:r>
        <w:rPr>
          <w:i/>
          <w:position w:val="2"/>
          <w:sz w:val="24"/>
        </w:rPr>
        <w:t>+κ</w:t>
      </w:r>
      <w:r>
        <w:rPr>
          <w:i/>
          <w:sz w:val="16"/>
        </w:rPr>
        <w:t>2</w:t>
      </w:r>
      <w:r>
        <w:rPr>
          <w:i/>
          <w:position w:val="2"/>
          <w:sz w:val="24"/>
        </w:rPr>
        <w:t>)f</w:t>
      </w:r>
      <w:r>
        <w:rPr>
          <w:i/>
          <w:position w:val="2"/>
          <w:sz w:val="24"/>
          <w:vertAlign w:val="subscript"/>
        </w:rPr>
        <w:t>0</w:t>
      </w:r>
      <w:r>
        <w:rPr>
          <w:i/>
          <w:position w:val="2"/>
          <w:sz w:val="24"/>
          <w:vertAlign w:val="superscript"/>
        </w:rPr>
        <w:t>2</w:t>
      </w:r>
      <w:r>
        <w:rPr>
          <w:i/>
          <w:position w:val="2"/>
          <w:sz w:val="24"/>
          <w:vertAlign w:val="baseline"/>
        </w:rPr>
        <w:t>Δm</w:t>
        <w:tab/>
      </w:r>
      <w:r>
        <w:rPr>
          <w:position w:val="2"/>
          <w:sz w:val="24"/>
          <w:vertAlign w:val="baseline"/>
        </w:rPr>
        <w:t>(2)</w:t>
      </w:r>
    </w:p>
    <w:p>
      <w:pPr>
        <w:pStyle w:val="BodyText"/>
        <w:spacing w:before="6"/>
        <w:ind w:left="0"/>
        <w:rPr>
          <w:sz w:val="28"/>
        </w:rPr>
      </w:pPr>
    </w:p>
    <w:p>
      <w:pPr>
        <w:pStyle w:val="BodyText"/>
        <w:jc w:val="both"/>
      </w:pPr>
      <w:r>
        <w:rPr>
          <w:position w:val="2"/>
        </w:rPr>
        <w:t>where </w:t>
      </w:r>
      <w:r>
        <w:rPr>
          <w:i/>
          <w:position w:val="2"/>
        </w:rPr>
        <w:t>f</w:t>
      </w:r>
      <w:r>
        <w:rPr>
          <w:i/>
          <w:position w:val="2"/>
          <w:vertAlign w:val="subscript"/>
        </w:rPr>
        <w:t>0</w:t>
      </w:r>
      <w:r>
        <w:rPr>
          <w:i/>
          <w:position w:val="2"/>
          <w:vertAlign w:val="baseline"/>
        </w:rPr>
        <w:t> </w:t>
      </w:r>
      <w:r>
        <w:rPr>
          <w:position w:val="2"/>
          <w:vertAlign w:val="baseline"/>
        </w:rPr>
        <w:t>is the center frequency of the SAW sensor, which is ~200 MHz in this study, </w:t>
      </w:r>
      <w:r>
        <w:rPr>
          <w:i/>
          <w:position w:val="2"/>
          <w:vertAlign w:val="baseline"/>
        </w:rPr>
        <w:t>κ</w:t>
      </w:r>
      <w:r>
        <w:rPr>
          <w:i/>
          <w:sz w:val="16"/>
          <w:vertAlign w:val="baseline"/>
        </w:rPr>
        <w:t>1</w:t>
      </w:r>
      <w:r>
        <w:rPr>
          <w:position w:val="2"/>
          <w:vertAlign w:val="baseline"/>
        </w:rPr>
        <w:t>=-8.7×10</w:t>
      </w:r>
      <w:r>
        <w:rPr>
          <w:position w:val="2"/>
          <w:vertAlign w:val="superscript"/>
        </w:rPr>
        <w:t>-8</w:t>
      </w:r>
    </w:p>
    <w:p>
      <w:pPr>
        <w:spacing w:after="0"/>
        <w:jc w:val="both"/>
        <w:sectPr>
          <w:pgSz w:w="11910" w:h="16840"/>
          <w:pgMar w:top="1500" w:bottom="280" w:left="980" w:right="900"/>
        </w:sectPr>
      </w:pPr>
    </w:p>
    <w:p>
      <w:pPr>
        <w:pStyle w:val="BodyText"/>
        <w:spacing w:line="532" w:lineRule="auto" w:before="95"/>
        <w:ind w:right="175"/>
        <w:jc w:val="both"/>
      </w:pPr>
      <w:r>
        <w:rPr>
          <w:position w:val="2"/>
        </w:rPr>
        <w:t>m</w:t>
      </w:r>
      <w:r>
        <w:rPr>
          <w:position w:val="2"/>
          <w:vertAlign w:val="superscript"/>
        </w:rPr>
        <w:t>2</w:t>
      </w:r>
      <w:r>
        <w:rPr>
          <w:position w:val="2"/>
          <w:vertAlign w:val="baseline"/>
        </w:rPr>
        <w:t>skg</w:t>
      </w:r>
      <w:r>
        <w:rPr>
          <w:position w:val="2"/>
          <w:vertAlign w:val="superscript"/>
        </w:rPr>
        <w:t>-1</w:t>
      </w:r>
      <w:r>
        <w:rPr>
          <w:position w:val="2"/>
          <w:vertAlign w:val="baseline"/>
        </w:rPr>
        <w:t> and </w:t>
      </w:r>
      <w:r>
        <w:rPr>
          <w:i/>
          <w:position w:val="2"/>
          <w:vertAlign w:val="baseline"/>
        </w:rPr>
        <w:t>κ</w:t>
      </w:r>
      <w:r>
        <w:rPr>
          <w:i/>
          <w:sz w:val="16"/>
          <w:vertAlign w:val="baseline"/>
        </w:rPr>
        <w:t>2</w:t>
      </w:r>
      <w:r>
        <w:rPr>
          <w:position w:val="2"/>
          <w:vertAlign w:val="baseline"/>
        </w:rPr>
        <w:t>=-3.9×10</w:t>
      </w:r>
      <w:r>
        <w:rPr>
          <w:position w:val="2"/>
          <w:vertAlign w:val="superscript"/>
        </w:rPr>
        <w:t>-8</w:t>
      </w:r>
      <w:r>
        <w:rPr>
          <w:position w:val="2"/>
          <w:vertAlign w:val="baseline"/>
        </w:rPr>
        <w:t> m</w:t>
      </w:r>
      <w:r>
        <w:rPr>
          <w:position w:val="2"/>
          <w:vertAlign w:val="superscript"/>
        </w:rPr>
        <w:t>2</w:t>
      </w:r>
      <w:r>
        <w:rPr>
          <w:position w:val="2"/>
          <w:vertAlign w:val="baseline"/>
        </w:rPr>
        <w:t>skg</w:t>
      </w:r>
      <w:r>
        <w:rPr>
          <w:position w:val="2"/>
          <w:vertAlign w:val="superscript"/>
        </w:rPr>
        <w:t>-1</w:t>
      </w:r>
      <w:r>
        <w:rPr>
          <w:position w:val="2"/>
          <w:vertAlign w:val="baseline"/>
        </w:rPr>
        <w:t> are the matrix constants of the ST-cut quartz. Since both the values of </w:t>
      </w:r>
      <w:r>
        <w:rPr>
          <w:i/>
          <w:position w:val="2"/>
          <w:vertAlign w:val="baseline"/>
        </w:rPr>
        <w:t>κ</w:t>
      </w:r>
      <w:r>
        <w:rPr>
          <w:i/>
          <w:sz w:val="16"/>
          <w:vertAlign w:val="baseline"/>
        </w:rPr>
        <w:t>1 </w:t>
      </w:r>
      <w:r>
        <w:rPr>
          <w:position w:val="2"/>
          <w:vertAlign w:val="baseline"/>
        </w:rPr>
        <w:t>and </w:t>
      </w:r>
      <w:r>
        <w:rPr>
          <w:i/>
          <w:position w:val="2"/>
          <w:vertAlign w:val="baseline"/>
        </w:rPr>
        <w:t>κ</w:t>
      </w:r>
      <w:r>
        <w:rPr>
          <w:i/>
          <w:sz w:val="16"/>
          <w:vertAlign w:val="baseline"/>
        </w:rPr>
        <w:t>2 </w:t>
      </w:r>
      <w:r>
        <w:rPr>
          <w:position w:val="2"/>
          <w:vertAlign w:val="baseline"/>
        </w:rPr>
        <w:t>are negative, the increased mass loading of the BC film due to the adsorption of water </w:t>
      </w:r>
      <w:r>
        <w:rPr>
          <w:vertAlign w:val="baseline"/>
        </w:rPr>
        <w:t>molecules results in a negative frequency shift.</w:t>
      </w:r>
    </w:p>
    <w:p>
      <w:pPr>
        <w:pStyle w:val="BodyText"/>
        <w:spacing w:line="542" w:lineRule="auto" w:before="12"/>
        <w:ind w:right="172" w:firstLine="480"/>
        <w:jc w:val="both"/>
      </w:pPr>
      <w:r>
        <w:rPr/>
        <w:t>Fig. 7(a) shows the resonant frequency shifts of the SAW devices with different thicknesses of the BC layer when the RH is increased from 30% to 93%. Results show that all the SAW sensors exhibit negative frequency shifts as the humidity is increased. However, the frequency shift without the BC film was measured to be ~2.3 kHz, which is much lower than that of the sensor coated with the BC film. The frequency shift increases significantly with the thickness of the BC film (Fig. 7b). For the SAW resonators coated with 1 layer, 3 layers, 5 layers, and 7 layers of the BC, the insertion loss values were measured to be -16.3 dB, -19.4 dB, -24.2 dB, -28.7 dB, respectively. When the number of layers of BC exceeds 7 layers, the insertion loss of the resonator exceeds -30 dB, and the quality of the vibration signal becomes very poor. Therefore, the SAW sensor coated with 7 layers of the BC was used in the further studies as it has the largest frequency shift.</w:t>
      </w:r>
    </w:p>
    <w:p>
      <w:pPr>
        <w:pStyle w:val="BodyText"/>
        <w:spacing w:line="542" w:lineRule="auto" w:before="4"/>
        <w:ind w:right="175" w:firstLine="480"/>
        <w:jc w:val="both"/>
      </w:pPr>
      <w:r>
        <w:rPr/>
        <w:t>Fig. 8(a) shows the average values of dynamic responses of 7-layer BC </w:t>
      </w:r>
      <w:r>
        <w:rPr>
          <w:spacing w:val="-7"/>
        </w:rPr>
        <w:t>SAW </w:t>
      </w:r>
      <w:r>
        <w:rPr/>
        <w:t>sensors (obtained from three same batch of devices) at different RH levels. When the RH was increased from 30% to 43%, 56%, 68%, 84%, and 93%, the average frequency shifts of the sensors were recorded as 10.0, 22.7, 36.2, 58.8, and 89.8 kHz, respectively. In addition, when the RH was changed back to 30% after each test, the resonant frequency was quickly recovered to its initial</w:t>
      </w:r>
      <w:r>
        <w:rPr>
          <w:spacing w:val="-7"/>
        </w:rPr>
        <w:t> </w:t>
      </w:r>
      <w:r>
        <w:rPr/>
        <w:t>value.</w:t>
      </w:r>
    </w:p>
    <w:p>
      <w:pPr>
        <w:pStyle w:val="BodyText"/>
        <w:spacing w:line="542" w:lineRule="auto" w:before="2"/>
        <w:ind w:right="175" w:firstLine="480"/>
        <w:jc w:val="both"/>
      </w:pPr>
      <w:r>
        <w:rPr/>
        <w:t>Fig. 8(b) shows the frequency shift as a function of RH for three groups of 7-layer BC SAW sensors, fabricated in the same batch process. The frequency shift increases nonlinearly with the RH with repeatable results observed among different devices. When the RH is higher than 80%, significant changes in frequency shift were obtained. This may be attributed to the fact that</w:t>
      </w:r>
    </w:p>
    <w:p>
      <w:pPr>
        <w:spacing w:after="0" w:line="542" w:lineRule="auto"/>
        <w:jc w:val="both"/>
        <w:sectPr>
          <w:pgSz w:w="11910" w:h="16840"/>
          <w:pgMar w:top="1500" w:bottom="280" w:left="980" w:right="900"/>
        </w:sectPr>
      </w:pPr>
    </w:p>
    <w:p>
      <w:pPr>
        <w:pStyle w:val="BodyText"/>
        <w:spacing w:line="542" w:lineRule="auto" w:before="76"/>
      </w:pPr>
      <w:r>
        <w:rPr/>
        <w:t>significant water condensation occurs at higher RH values, which leads to significant mass loading effects as widely reported in literature [34].</w:t>
      </w:r>
    </w:p>
    <w:p>
      <w:pPr>
        <w:pStyle w:val="BodyText"/>
        <w:spacing w:line="540" w:lineRule="auto" w:before="1"/>
        <w:ind w:right="172" w:firstLine="480"/>
        <w:jc w:val="both"/>
      </w:pPr>
      <w:r>
        <w:rPr/>
        <w:t>The detection performance of seven-layer BC </w:t>
      </w:r>
      <w:r>
        <w:rPr>
          <w:spacing w:val="-6"/>
        </w:rPr>
        <w:t>SAW </w:t>
      </w:r>
      <w:r>
        <w:rPr/>
        <w:t>humidity sensor was further studied in the low RH range (5% - 25% RH) because of its importance for food and pharmaceutical manufacturing. </w:t>
      </w:r>
      <w:r>
        <w:rPr>
          <w:position w:val="2"/>
        </w:rPr>
        <w:t>In this </w:t>
      </w:r>
      <w:r>
        <w:rPr>
          <w:spacing w:val="-4"/>
          <w:position w:val="2"/>
        </w:rPr>
        <w:t>study, </w:t>
      </w:r>
      <w:r>
        <w:rPr>
          <w:position w:val="2"/>
        </w:rPr>
        <w:t>the low humidity environment was realized by introducing dry N</w:t>
      </w:r>
      <w:r>
        <w:rPr>
          <w:position w:val="2"/>
          <w:vertAlign w:val="subscript"/>
        </w:rPr>
        <w:t>2</w:t>
      </w:r>
      <w:r>
        <w:rPr>
          <w:position w:val="2"/>
          <w:vertAlign w:val="baseline"/>
        </w:rPr>
        <w:t> into the enclosed </w:t>
      </w:r>
      <w:r>
        <w:rPr>
          <w:spacing w:val="-3"/>
          <w:vertAlign w:val="baseline"/>
        </w:rPr>
        <w:t>chamber. </w:t>
      </w:r>
      <w:r>
        <w:rPr>
          <w:vertAlign w:val="baseline"/>
        </w:rPr>
        <w:t>As shown in Fig. 8 (c), the frequency shift of the sensor has a good linear relationship with the RH value when the value is below 25%. This further proves that the frequency shift of the sensor at a lower RH value is due to only the mass loading effect caused by water molecules adsorbed on the BC film. Whereas at higher RH levels, the frequency shift is not only due to the mass loading effect, but also due to the additive effect of water</w:t>
      </w:r>
      <w:r>
        <w:rPr>
          <w:spacing w:val="-1"/>
          <w:vertAlign w:val="baseline"/>
        </w:rPr>
        <w:t> </w:t>
      </w:r>
      <w:r>
        <w:rPr>
          <w:vertAlign w:val="baseline"/>
        </w:rPr>
        <w:t>condensation.</w:t>
      </w:r>
    </w:p>
    <w:p>
      <w:pPr>
        <w:pStyle w:val="BodyText"/>
        <w:ind w:left="0"/>
        <w:rPr>
          <w:sz w:val="26"/>
        </w:rPr>
      </w:pPr>
    </w:p>
    <w:p>
      <w:pPr>
        <w:pStyle w:val="BodyText"/>
        <w:spacing w:before="1"/>
        <w:ind w:left="0"/>
        <w:rPr>
          <w:sz w:val="29"/>
        </w:rPr>
      </w:pPr>
    </w:p>
    <w:p>
      <w:pPr>
        <w:pStyle w:val="Heading1"/>
        <w:numPr>
          <w:ilvl w:val="1"/>
          <w:numId w:val="1"/>
        </w:numPr>
        <w:tabs>
          <w:tab w:pos="460" w:val="left" w:leader="none"/>
        </w:tabs>
        <w:spacing w:line="240" w:lineRule="auto" w:before="0" w:after="0"/>
        <w:ind w:left="460" w:right="0" w:hanging="360"/>
        <w:jc w:val="left"/>
      </w:pPr>
      <w:r>
        <w:rPr/>
        <w:t>Performances of BC </w:t>
      </w:r>
      <w:r>
        <w:rPr>
          <w:spacing w:val="-9"/>
        </w:rPr>
        <w:t>SAW </w:t>
      </w:r>
      <w:r>
        <w:rPr/>
        <w:t>humidity</w:t>
      </w:r>
      <w:r>
        <w:rPr>
          <w:spacing w:val="3"/>
        </w:rPr>
        <w:t> </w:t>
      </w:r>
      <w:r>
        <w:rPr/>
        <w:t>sensor</w:t>
      </w:r>
    </w:p>
    <w:p>
      <w:pPr>
        <w:pStyle w:val="BodyText"/>
        <w:spacing w:before="10"/>
        <w:ind w:left="0"/>
        <w:rPr>
          <w:b/>
          <w:sz w:val="29"/>
        </w:rPr>
      </w:pPr>
    </w:p>
    <w:p>
      <w:pPr>
        <w:pStyle w:val="BodyText"/>
        <w:spacing w:line="542" w:lineRule="auto"/>
        <w:ind w:right="176" w:firstLine="420"/>
        <w:jc w:val="both"/>
      </w:pPr>
      <w:r>
        <w:rPr/>
        <w:t>Fast response and recovery are critical in practical humidity sensing applications. The dynamic frequency shifts of the 7-layer BC </w:t>
      </w:r>
      <w:r>
        <w:rPr>
          <w:spacing w:val="-7"/>
        </w:rPr>
        <w:t>SAW </w:t>
      </w:r>
      <w:r>
        <w:rPr/>
        <w:t>device obtained during the response and recovery processes are shown in Figs. 9(a) and 9(b), respectively. A gradual increase in the response time was observed with increasing RH levels, because not only water molecules are adsorbed on the surface of the BC film at higher humidity levels, but also significant condensation of water molecules occurs. It is relatively difficult to release the condensed water molecules, thus causing the increased response and recovery times. For the humidity sensor in this work, the durations to reach 90% of the response levels were measured to be 3 s, 5 s, 7 s, 8 s, and 12 s when the RH values were increased from 30% to 43%, 56%, 68%, 84%, and 93%, respectively. When the humidity was returned to 30%, the durations</w:t>
      </w:r>
      <w:r>
        <w:rPr>
          <w:spacing w:val="15"/>
        </w:rPr>
        <w:t> </w:t>
      </w:r>
      <w:r>
        <w:rPr/>
        <w:t>for</w:t>
      </w:r>
      <w:r>
        <w:rPr>
          <w:spacing w:val="15"/>
        </w:rPr>
        <w:t> </w:t>
      </w:r>
      <w:r>
        <w:rPr/>
        <w:t>the</w:t>
      </w:r>
      <w:r>
        <w:rPr>
          <w:spacing w:val="15"/>
        </w:rPr>
        <w:t> </w:t>
      </w:r>
      <w:r>
        <w:rPr/>
        <w:t>frequency</w:t>
      </w:r>
      <w:r>
        <w:rPr>
          <w:spacing w:val="12"/>
        </w:rPr>
        <w:t> </w:t>
      </w:r>
      <w:r>
        <w:rPr/>
        <w:t>signals</w:t>
      </w:r>
      <w:r>
        <w:rPr>
          <w:spacing w:val="15"/>
        </w:rPr>
        <w:t> </w:t>
      </w:r>
      <w:r>
        <w:rPr/>
        <w:t>to</w:t>
      </w:r>
      <w:r>
        <w:rPr>
          <w:spacing w:val="15"/>
        </w:rPr>
        <w:t> </w:t>
      </w:r>
      <w:r>
        <w:rPr/>
        <w:t>return</w:t>
      </w:r>
      <w:r>
        <w:rPr>
          <w:spacing w:val="15"/>
        </w:rPr>
        <w:t> </w:t>
      </w:r>
      <w:r>
        <w:rPr/>
        <w:t>back</w:t>
      </w:r>
      <w:r>
        <w:rPr>
          <w:spacing w:val="16"/>
        </w:rPr>
        <w:t> </w:t>
      </w:r>
      <w:r>
        <w:rPr/>
        <w:t>to</w:t>
      </w:r>
      <w:r>
        <w:rPr>
          <w:spacing w:val="15"/>
        </w:rPr>
        <w:t> </w:t>
      </w:r>
      <w:r>
        <w:rPr/>
        <w:t>10%</w:t>
      </w:r>
      <w:r>
        <w:rPr>
          <w:spacing w:val="13"/>
        </w:rPr>
        <w:t> </w:t>
      </w:r>
      <w:r>
        <w:rPr/>
        <w:t>of</w:t>
      </w:r>
      <w:r>
        <w:rPr>
          <w:spacing w:val="16"/>
        </w:rPr>
        <w:t> </w:t>
      </w:r>
      <w:r>
        <w:rPr/>
        <w:t>their</w:t>
      </w:r>
      <w:r>
        <w:rPr>
          <w:spacing w:val="13"/>
        </w:rPr>
        <w:t> </w:t>
      </w:r>
      <w:r>
        <w:rPr/>
        <w:t>original</w:t>
      </w:r>
      <w:r>
        <w:rPr>
          <w:spacing w:val="16"/>
        </w:rPr>
        <w:t> </w:t>
      </w:r>
      <w:r>
        <w:rPr/>
        <w:t>values</w:t>
      </w:r>
      <w:r>
        <w:rPr>
          <w:spacing w:val="15"/>
        </w:rPr>
        <w:t> </w:t>
      </w:r>
      <w:r>
        <w:rPr/>
        <w:t>were</w:t>
      </w:r>
      <w:r>
        <w:rPr>
          <w:spacing w:val="13"/>
        </w:rPr>
        <w:t> </w:t>
      </w:r>
      <w:r>
        <w:rPr/>
        <w:t>measured</w:t>
      </w:r>
      <w:r>
        <w:rPr>
          <w:spacing w:val="15"/>
        </w:rPr>
        <w:t> </w:t>
      </w:r>
      <w:r>
        <w:rPr/>
        <w:t>to</w:t>
      </w:r>
    </w:p>
    <w:p>
      <w:pPr>
        <w:spacing w:after="0" w:line="542" w:lineRule="auto"/>
        <w:jc w:val="both"/>
        <w:sectPr>
          <w:pgSz w:w="11910" w:h="16840"/>
          <w:pgMar w:top="1520" w:bottom="280" w:left="980" w:right="900"/>
        </w:sectPr>
      </w:pPr>
    </w:p>
    <w:p>
      <w:pPr>
        <w:pStyle w:val="BodyText"/>
        <w:spacing w:before="76"/>
      </w:pPr>
      <w:r>
        <w:rPr/>
        <w:t>be 3 s, 3 s, 4 s, 4 s, 5 s, respectively.</w:t>
      </w:r>
    </w:p>
    <w:p>
      <w:pPr>
        <w:pStyle w:val="BodyText"/>
        <w:spacing w:before="3"/>
        <w:ind w:left="0"/>
        <w:rPr>
          <w:sz w:val="30"/>
        </w:rPr>
      </w:pPr>
    </w:p>
    <w:p>
      <w:pPr>
        <w:pStyle w:val="BodyText"/>
        <w:spacing w:line="542" w:lineRule="auto"/>
        <w:ind w:right="171" w:firstLine="420"/>
        <w:jc w:val="both"/>
      </w:pPr>
      <w:r>
        <w:rPr/>
        <w:t>In order to compare with the performance of other sensors reported in the literature, we detected the humidity sensing with RH values increased from 10% to 93% and then restored to 10% afterwards. The response time was found to increase only by one second and the recovery time increased by only two seconds.Table 1 lists the response and recovery times of the BC based SAW sensor with those of the humidity sensors reported in the literature. Among the reported SAW humidity sensors, the recovery time of our sensor is significantly shorter than the others reported in literature. Moreover, compared with the performance of different types of humidity sensors available in the commercial market, the response time and recovery time of our sensors are shorter or comparable as listed in Table 2 [35].</w:t>
      </w:r>
    </w:p>
    <w:p>
      <w:pPr>
        <w:pStyle w:val="BodyText"/>
        <w:spacing w:line="537" w:lineRule="auto" w:before="4"/>
        <w:ind w:right="175" w:firstLine="420"/>
        <w:jc w:val="both"/>
      </w:pPr>
      <w:r>
        <w:rPr/>
        <w:t>In the environment with an RH value of 30%, temperature sensitivity of the humidity sensor was characterized within a temperature range from 25 to 60</w:t>
      </w:r>
      <w:r>
        <w:rPr>
          <w:position w:val="9"/>
          <w:sz w:val="16"/>
        </w:rPr>
        <w:t>o</w:t>
      </w:r>
      <w:r>
        <w:rPr/>
        <w:t>C. Fig. 10 shows a slight decrease in resonant frequency of the sensor with temperature, with a very good linearity. TCF is often used to describe the effect of temperature changes on sensor response, and the TCF is defined</w:t>
      </w:r>
      <w:r>
        <w:rPr>
          <w:spacing w:val="-10"/>
        </w:rPr>
        <w:t> </w:t>
      </w:r>
      <w:r>
        <w:rPr/>
        <w:t>as</w:t>
      </w:r>
    </w:p>
    <w:p>
      <w:pPr>
        <w:spacing w:after="0" w:line="537" w:lineRule="auto"/>
        <w:jc w:val="both"/>
        <w:sectPr>
          <w:pgSz w:w="11910" w:h="16840"/>
          <w:pgMar w:top="1520" w:bottom="280" w:left="980" w:right="900"/>
        </w:sectPr>
      </w:pPr>
    </w:p>
    <w:p>
      <w:pPr>
        <w:spacing w:before="101"/>
        <w:ind w:left="0" w:right="0" w:firstLine="0"/>
        <w:jc w:val="right"/>
        <w:rPr>
          <w:rFonts w:ascii="Symbol" w:hAnsi="Symbol"/>
          <w:sz w:val="24"/>
        </w:rPr>
      </w:pPr>
      <w:r>
        <w:rPr>
          <w:i/>
          <w:sz w:val="24"/>
        </w:rPr>
        <w:t>TCF </w:t>
      </w:r>
      <w:r>
        <w:rPr>
          <w:rFonts w:ascii="Symbol" w:hAnsi="Symbol"/>
          <w:sz w:val="24"/>
        </w:rPr>
        <w:t></w:t>
      </w:r>
    </w:p>
    <w:p>
      <w:pPr>
        <w:spacing w:line="242" w:lineRule="exact" w:before="0"/>
        <w:ind w:left="21" w:right="0" w:firstLine="0"/>
        <w:jc w:val="center"/>
        <w:rPr>
          <w:i/>
          <w:sz w:val="24"/>
        </w:rPr>
      </w:pPr>
      <w:r>
        <w:rPr/>
        <w:br w:type="column"/>
      </w:r>
      <w:r>
        <w:rPr>
          <w:i/>
          <w:sz w:val="24"/>
        </w:rPr>
        <w:t>Δf</w:t>
      </w:r>
    </w:p>
    <w:p>
      <w:pPr>
        <w:spacing w:before="48"/>
        <w:ind w:left="78" w:right="0" w:firstLine="0"/>
        <w:jc w:val="center"/>
        <w:rPr>
          <w:i/>
          <w:sz w:val="24"/>
        </w:rPr>
      </w:pPr>
      <w:r>
        <w:rPr/>
        <w:pict>
          <v:line style="position:absolute;mso-position-horizontal-relative:page;mso-position-vertical-relative:paragraph;z-index:1288" from="319.974701pt,2.006151pt" to="357.256948pt,2.006151pt" stroked="true" strokeweight=".488317pt" strokecolor="#000000">
            <v:stroke dashstyle="solid"/>
            <w10:wrap type="none"/>
          </v:line>
        </w:pict>
      </w:r>
      <w:r>
        <w:rPr>
          <w:i/>
          <w:sz w:val="24"/>
        </w:rPr>
        <w:t>f</w:t>
      </w:r>
      <w:r>
        <w:rPr>
          <w:position w:val="-5"/>
          <w:sz w:val="14"/>
        </w:rPr>
        <w:t>0 </w:t>
      </w:r>
      <w:r>
        <w:rPr>
          <w:rFonts w:ascii="Symbol" w:hAnsi="Symbol"/>
          <w:sz w:val="24"/>
        </w:rPr>
        <w:t></w:t>
      </w:r>
      <w:r>
        <w:rPr>
          <w:sz w:val="24"/>
        </w:rPr>
        <w:t> </w:t>
      </w:r>
      <w:r>
        <w:rPr>
          <w:i/>
          <w:sz w:val="24"/>
        </w:rPr>
        <w:t>ΔT</w:t>
      </w:r>
    </w:p>
    <w:p>
      <w:pPr>
        <w:spacing w:before="120"/>
        <w:ind w:left="0" w:right="176" w:firstLine="0"/>
        <w:jc w:val="right"/>
        <w:rPr>
          <w:sz w:val="24"/>
        </w:rPr>
      </w:pPr>
      <w:r>
        <w:rPr/>
        <w:br w:type="column"/>
      </w:r>
      <w:r>
        <w:rPr>
          <w:sz w:val="24"/>
        </w:rPr>
        <w:t>(3)</w:t>
      </w:r>
    </w:p>
    <w:p>
      <w:pPr>
        <w:spacing w:after="0"/>
        <w:jc w:val="right"/>
        <w:rPr>
          <w:sz w:val="24"/>
        </w:rPr>
        <w:sectPr>
          <w:type w:val="continuous"/>
          <w:pgSz w:w="11910" w:h="16840"/>
          <w:pgMar w:top="1500" w:bottom="280" w:left="980" w:right="900"/>
          <w:cols w:num="3" w:equalWidth="0">
            <w:col w:w="5363" w:space="40"/>
            <w:col w:w="720" w:space="39"/>
            <w:col w:w="3868"/>
          </w:cols>
        </w:sectPr>
      </w:pPr>
    </w:p>
    <w:p>
      <w:pPr>
        <w:pStyle w:val="BodyText"/>
        <w:spacing w:before="1"/>
        <w:ind w:left="0"/>
        <w:rPr>
          <w:sz w:val="20"/>
        </w:rPr>
      </w:pPr>
    </w:p>
    <w:p>
      <w:pPr>
        <w:pStyle w:val="BodyText"/>
        <w:spacing w:line="472" w:lineRule="auto" w:before="67"/>
        <w:ind w:right="171"/>
        <w:jc w:val="both"/>
      </w:pPr>
      <w:r>
        <w:rPr>
          <w:position w:val="2"/>
        </w:rPr>
        <w:t>where </w:t>
      </w:r>
      <w:r>
        <w:rPr>
          <w:i/>
          <w:position w:val="2"/>
        </w:rPr>
        <w:t>f</w:t>
      </w:r>
      <w:r>
        <w:rPr>
          <w:i/>
          <w:position w:val="2"/>
          <w:vertAlign w:val="subscript"/>
        </w:rPr>
        <w:t>0</w:t>
      </w:r>
      <w:r>
        <w:rPr>
          <w:i/>
          <w:position w:val="2"/>
          <w:vertAlign w:val="baseline"/>
        </w:rPr>
        <w:t> </w:t>
      </w:r>
      <w:r>
        <w:rPr>
          <w:position w:val="2"/>
          <w:vertAlign w:val="baseline"/>
        </w:rPr>
        <w:t>is 200 MHz in this </w:t>
      </w:r>
      <w:r>
        <w:rPr>
          <w:spacing w:val="-4"/>
          <w:position w:val="2"/>
          <w:vertAlign w:val="baseline"/>
        </w:rPr>
        <w:t>study,</w:t>
      </w:r>
      <w:r>
        <w:rPr>
          <w:spacing w:val="51"/>
          <w:position w:val="2"/>
          <w:vertAlign w:val="baseline"/>
        </w:rPr>
        <w:t> </w:t>
      </w:r>
      <w:r>
        <w:rPr>
          <w:rFonts w:ascii="SimSun" w:hAnsi="SimSun"/>
          <w:i/>
          <w:spacing w:val="3"/>
          <w:position w:val="2"/>
          <w:sz w:val="25"/>
          <w:vertAlign w:val="baseline"/>
        </w:rPr>
        <w:t>Δ</w:t>
      </w:r>
      <w:r>
        <w:rPr>
          <w:i/>
          <w:spacing w:val="3"/>
          <w:position w:val="2"/>
          <w:vertAlign w:val="baseline"/>
        </w:rPr>
        <w:t>f </w:t>
      </w:r>
      <w:r>
        <w:rPr>
          <w:position w:val="2"/>
          <w:vertAlign w:val="baseline"/>
        </w:rPr>
        <w:t>and </w:t>
      </w:r>
      <w:r>
        <w:rPr>
          <w:rFonts w:ascii="SimSun" w:hAnsi="SimSun"/>
          <w:i/>
          <w:spacing w:val="3"/>
          <w:position w:val="2"/>
          <w:sz w:val="25"/>
          <w:vertAlign w:val="baseline"/>
        </w:rPr>
        <w:t>Δ</w:t>
      </w:r>
      <w:r>
        <w:rPr>
          <w:i/>
          <w:spacing w:val="3"/>
          <w:position w:val="2"/>
          <w:vertAlign w:val="baseline"/>
        </w:rPr>
        <w:t>T </w:t>
      </w:r>
      <w:r>
        <w:rPr>
          <w:position w:val="2"/>
          <w:vertAlign w:val="baseline"/>
        </w:rPr>
        <w:t>are the changes of resonant frequency and </w:t>
      </w:r>
      <w:r>
        <w:rPr>
          <w:vertAlign w:val="baseline"/>
        </w:rPr>
        <w:t>temperature. A very small TCF value of -0.12 ppm/</w:t>
      </w:r>
      <w:r>
        <w:rPr>
          <w:position w:val="9"/>
          <w:sz w:val="16"/>
          <w:vertAlign w:val="baseline"/>
        </w:rPr>
        <w:t>o</w:t>
      </w:r>
      <w:r>
        <w:rPr>
          <w:vertAlign w:val="baseline"/>
        </w:rPr>
        <w:t>C was extracted for the 7-layer BC </w:t>
      </w:r>
      <w:r>
        <w:rPr>
          <w:spacing w:val="-6"/>
          <w:vertAlign w:val="baseline"/>
        </w:rPr>
        <w:t>SAW</w:t>
      </w:r>
    </w:p>
    <w:p>
      <w:pPr>
        <w:pStyle w:val="BodyText"/>
        <w:spacing w:line="542" w:lineRule="auto" w:before="81"/>
        <w:ind w:right="175"/>
        <w:jc w:val="both"/>
      </w:pPr>
      <w:r>
        <w:rPr/>
        <w:t>humidity sensor based on the results presented in Fig 10, indicating the insensitivity of the sensor to the minor changes in temperature. Compared to the other SAW devices listed in Table 3, the BC humidity sensor has significant advantages in terms of thermal stability.</w:t>
      </w:r>
    </w:p>
    <w:p>
      <w:pPr>
        <w:pStyle w:val="BodyText"/>
        <w:spacing w:line="542" w:lineRule="auto" w:before="1"/>
        <w:ind w:firstLine="420"/>
      </w:pPr>
      <w:r>
        <w:rPr/>
        <w:t>In order to study, the selectivity, we further tested the frequency shift of the BC SAW humidity </w:t>
      </w:r>
      <w:r>
        <w:rPr>
          <w:position w:val="2"/>
        </w:rPr>
        <w:t>sensor at two humidity levels of 43% RH and 93% RH by introducing different gases such as NH</w:t>
      </w:r>
      <w:r>
        <w:rPr>
          <w:position w:val="2"/>
          <w:vertAlign w:val="subscript"/>
        </w:rPr>
        <w:t>3</w:t>
      </w:r>
      <w:r>
        <w:rPr>
          <w:position w:val="2"/>
          <w:vertAlign w:val="baseline"/>
        </w:rPr>
        <w:t>,</w:t>
      </w:r>
    </w:p>
    <w:p>
      <w:pPr>
        <w:spacing w:after="0" w:line="542" w:lineRule="auto"/>
        <w:sectPr>
          <w:type w:val="continuous"/>
          <w:pgSz w:w="11910" w:h="16840"/>
          <w:pgMar w:top="1500" w:bottom="280" w:left="980" w:right="900"/>
        </w:sectPr>
      </w:pPr>
    </w:p>
    <w:p>
      <w:pPr>
        <w:pStyle w:val="BodyText"/>
        <w:spacing w:line="540" w:lineRule="auto" w:before="75"/>
        <w:ind w:right="174"/>
        <w:jc w:val="both"/>
      </w:pPr>
      <w:r>
        <w:rPr>
          <w:position w:val="2"/>
        </w:rPr>
        <w:t>H</w:t>
      </w:r>
      <w:r>
        <w:rPr>
          <w:position w:val="2"/>
          <w:vertAlign w:val="subscript"/>
        </w:rPr>
        <w:t>2</w:t>
      </w:r>
      <w:r>
        <w:rPr>
          <w:position w:val="2"/>
          <w:vertAlign w:val="baseline"/>
        </w:rPr>
        <w:t>, CO, HCl and C</w:t>
      </w:r>
      <w:r>
        <w:rPr>
          <w:position w:val="2"/>
          <w:vertAlign w:val="subscript"/>
        </w:rPr>
        <w:t>2</w:t>
      </w:r>
      <w:r>
        <w:rPr>
          <w:position w:val="2"/>
          <w:vertAlign w:val="baseline"/>
        </w:rPr>
        <w:t>H</w:t>
      </w:r>
      <w:r>
        <w:rPr>
          <w:position w:val="2"/>
          <w:vertAlign w:val="subscript"/>
        </w:rPr>
        <w:t>5</w:t>
      </w:r>
      <w:r>
        <w:rPr>
          <w:position w:val="2"/>
          <w:vertAlign w:val="baseline"/>
        </w:rPr>
        <w:t>OH. Results showed that when these testing gas concentration was 500 ppm, </w:t>
      </w:r>
      <w:r>
        <w:rPr>
          <w:vertAlign w:val="baseline"/>
        </w:rPr>
        <w:t>the frequency shift of the BC SAW humidity sensor due to adding the other types of gases are insignificant compared with those due to the humidity changes, as shown in Fig. 11. This indicates that the influences of introduction of other types of gases does not show significant influence on the humidity sensing. However, it should be noted that this SAW humidity sensor has a slightly higher responses to ammonia at a very high humidity level, although at a low humidity level, the ammonia response is not significantly different from other gases. The response to ammonia at a higher humidity level can be attributed to the adsorption of ammonia gas at a high humidity level on the surface of the BC where water molecules are condensed to form a moisture layer. Strong adsorption </w:t>
      </w:r>
      <w:r>
        <w:rPr>
          <w:position w:val="2"/>
          <w:vertAlign w:val="baseline"/>
        </w:rPr>
        <w:t>of NH</w:t>
      </w:r>
      <w:r>
        <w:rPr>
          <w:position w:val="2"/>
          <w:vertAlign w:val="subscript"/>
        </w:rPr>
        <w:t>3</w:t>
      </w:r>
      <w:r>
        <w:rPr>
          <w:position w:val="2"/>
          <w:vertAlign w:val="baseline"/>
        </w:rPr>
        <w:t> in moisture or water layer has been widely reported [36].</w:t>
      </w:r>
    </w:p>
    <w:p>
      <w:pPr>
        <w:pStyle w:val="BodyText"/>
        <w:spacing w:line="542" w:lineRule="auto"/>
        <w:ind w:right="113" w:firstLine="420"/>
        <w:jc w:val="both"/>
      </w:pPr>
      <w:r>
        <w:rPr/>
        <w:t>The repeatability of the Layer-7 BC </w:t>
      </w:r>
      <w:r>
        <w:rPr>
          <w:spacing w:val="-7"/>
        </w:rPr>
        <w:t>SAW </w:t>
      </w:r>
      <w:r>
        <w:rPr/>
        <w:t>humidity sensor was further studied by cycling the RH value between 30% to 93% and then repeated for five cycles. The results are shown in Fig. 12(a).  The variation in the frequency shift was less than 5% during the measurement cycles, indicating a good short-term repeatability. The sensor was also tested repeatedly for its long-term stability by keeping it in a chamber with 30%, 43%, 56%, 68%, 84%, and 93% RH for one-month intervals. As shown in Fig. 12(b), the BC </w:t>
      </w:r>
      <w:r>
        <w:rPr>
          <w:spacing w:val="-7"/>
        </w:rPr>
        <w:t>SAW </w:t>
      </w:r>
      <w:r>
        <w:rPr/>
        <w:t>humidity sensor exhibited a fluctuation value less than 2% at a lower RH of 43%. Even at a high RH of 93%, the fluctuation in resonant frequency was less than 5%. These experiments revealed that the BC </w:t>
      </w:r>
      <w:r>
        <w:rPr>
          <w:spacing w:val="-7"/>
        </w:rPr>
        <w:t>SAW </w:t>
      </w:r>
      <w:r>
        <w:rPr/>
        <w:t>humidity sensor has a good long-term </w:t>
      </w:r>
      <w:r>
        <w:rPr>
          <w:spacing w:val="-3"/>
        </w:rPr>
        <w:t>stability.</w:t>
      </w:r>
    </w:p>
    <w:p>
      <w:pPr>
        <w:pStyle w:val="BodyText"/>
        <w:ind w:left="0"/>
        <w:rPr>
          <w:sz w:val="26"/>
        </w:rPr>
      </w:pPr>
    </w:p>
    <w:p>
      <w:pPr>
        <w:pStyle w:val="BodyText"/>
        <w:spacing w:before="3"/>
        <w:ind w:left="0"/>
        <w:rPr>
          <w:sz w:val="28"/>
        </w:rPr>
      </w:pPr>
    </w:p>
    <w:p>
      <w:pPr>
        <w:pStyle w:val="Heading1"/>
        <w:numPr>
          <w:ilvl w:val="0"/>
          <w:numId w:val="1"/>
        </w:numPr>
        <w:tabs>
          <w:tab w:pos="520" w:val="left" w:leader="none"/>
          <w:tab w:pos="521" w:val="left" w:leader="none"/>
        </w:tabs>
        <w:spacing w:line="240" w:lineRule="auto" w:before="0" w:after="0"/>
        <w:ind w:left="520" w:right="0" w:hanging="420"/>
        <w:jc w:val="left"/>
      </w:pPr>
      <w:r>
        <w:rPr/>
        <w:t>Conclusions</w:t>
      </w:r>
    </w:p>
    <w:p>
      <w:pPr>
        <w:pStyle w:val="BodyText"/>
        <w:spacing w:before="10"/>
        <w:ind w:left="0"/>
        <w:rPr>
          <w:b/>
          <w:sz w:val="29"/>
        </w:rPr>
      </w:pPr>
    </w:p>
    <w:p>
      <w:pPr>
        <w:pStyle w:val="BodyText"/>
        <w:spacing w:line="542" w:lineRule="auto" w:before="1"/>
        <w:ind w:right="174" w:firstLine="540"/>
      </w:pPr>
      <w:r>
        <w:rPr/>
        <w:t>We fabricated BC SAW humidity sensors on ST-cut quartz substrates in this study. The three-dimensional network structure of the BC film and large numbers of pores contribute to the</w:t>
      </w:r>
    </w:p>
    <w:p>
      <w:pPr>
        <w:spacing w:after="0" w:line="542" w:lineRule="auto"/>
        <w:sectPr>
          <w:pgSz w:w="11910" w:h="16840"/>
          <w:pgMar w:top="1520" w:bottom="280" w:left="980" w:right="900"/>
        </w:sectPr>
      </w:pPr>
    </w:p>
    <w:p>
      <w:pPr>
        <w:pStyle w:val="BodyText"/>
        <w:spacing w:line="542" w:lineRule="auto" w:before="76"/>
        <w:ind w:right="172"/>
        <w:jc w:val="both"/>
      </w:pPr>
      <w:r>
        <w:rPr/>
        <w:t>water adsorption within the membrane. The hydrogen bonding of the surface functional group hydroxyl groups with water molecules enables the BC membrane to effectively adsorb water molecules. This study reveals the mass loading effect as the fundamental mechanism for the frequency shift of </w:t>
      </w:r>
      <w:r>
        <w:rPr>
          <w:spacing w:val="-7"/>
        </w:rPr>
        <w:t>SAW </w:t>
      </w:r>
      <w:r>
        <w:rPr/>
        <w:t>sensors as compared to the acoustoelectric effects. The frequency shift of the sensor at a low RH value of less than 30% exhibits a better linear relationship with </w:t>
      </w:r>
      <w:r>
        <w:rPr>
          <w:spacing w:val="-3"/>
        </w:rPr>
        <w:t>humidity. </w:t>
      </w:r>
      <w:r>
        <w:rPr/>
        <w:t>Whereas the frequency shift of the BC film increases exponentially with increasing humidity when the RH value exceeds 80%. In addition, a thicker BC layer has more hydrophilic hydroxyl groups, providing more adsorption sites for water molecules. However, excessive increase in the layer thickness also causes an increase in insertion loss, thus deteriorating the frequency signal. The </w:t>
      </w:r>
      <w:r>
        <w:rPr>
          <w:spacing w:val="-6"/>
        </w:rPr>
        <w:t>SAW </w:t>
      </w:r>
      <w:r>
        <w:rPr/>
        <w:t>humidity sensor coated with a BC layer on a quartz substrate has achieved with fast response and recovery performance, as well as thermal stability, good short-term and long-term</w:t>
      </w:r>
      <w:r>
        <w:rPr>
          <w:spacing w:val="-25"/>
        </w:rPr>
        <w:t> </w:t>
      </w:r>
      <w:r>
        <w:rPr/>
        <w:t>repeatability.</w:t>
      </w:r>
    </w:p>
    <w:p>
      <w:pPr>
        <w:pStyle w:val="BodyText"/>
        <w:ind w:left="0"/>
        <w:rPr>
          <w:sz w:val="26"/>
        </w:rPr>
      </w:pPr>
    </w:p>
    <w:p>
      <w:pPr>
        <w:pStyle w:val="BodyText"/>
        <w:ind w:left="0"/>
        <w:rPr>
          <w:sz w:val="29"/>
        </w:rPr>
      </w:pPr>
    </w:p>
    <w:p>
      <w:pPr>
        <w:pStyle w:val="Heading1"/>
        <w:spacing w:before="1"/>
        <w:ind w:left="100"/>
      </w:pPr>
      <w:r>
        <w:rPr/>
        <w:t>Acknowledgments</w:t>
      </w:r>
    </w:p>
    <w:p>
      <w:pPr>
        <w:pStyle w:val="BodyText"/>
        <w:spacing w:before="9"/>
        <w:ind w:left="0"/>
        <w:rPr>
          <w:b/>
          <w:sz w:val="29"/>
        </w:rPr>
      </w:pPr>
    </w:p>
    <w:p>
      <w:pPr>
        <w:pStyle w:val="BodyText"/>
        <w:spacing w:line="542" w:lineRule="auto"/>
        <w:ind w:right="176" w:firstLine="420"/>
        <w:jc w:val="both"/>
      </w:pPr>
      <w:r>
        <w:rPr/>
        <w:t>This study was supported financially by the Fundamental Research Funds for the Central Universities (A03018023801119), Engineering Physics and Science Research Council of UK (EPSRC EP/P018998/1) and UK Fluidic Network-Special Interest Group of Acoustofluidics, and Newton Mobility Grant (IE161019) through Royal Society and NFSC, and Royal Academy of Engineering: Research Exchange between UK and China.</w:t>
      </w:r>
    </w:p>
    <w:p>
      <w:pPr>
        <w:pStyle w:val="BodyText"/>
        <w:ind w:left="0"/>
        <w:rPr>
          <w:sz w:val="26"/>
        </w:rPr>
      </w:pPr>
    </w:p>
    <w:p>
      <w:pPr>
        <w:pStyle w:val="BodyText"/>
        <w:ind w:left="0"/>
        <w:rPr>
          <w:sz w:val="22"/>
        </w:rPr>
      </w:pPr>
    </w:p>
    <w:p>
      <w:pPr>
        <w:pStyle w:val="Heading1"/>
        <w:ind w:left="100"/>
      </w:pPr>
      <w:r>
        <w:rPr/>
        <w:t>References</w:t>
      </w:r>
    </w:p>
    <w:p>
      <w:pPr>
        <w:pStyle w:val="ListParagraph"/>
        <w:numPr>
          <w:ilvl w:val="0"/>
          <w:numId w:val="2"/>
        </w:numPr>
        <w:tabs>
          <w:tab w:pos="483" w:val="left" w:leader="none"/>
        </w:tabs>
        <w:spacing w:line="408" w:lineRule="auto" w:before="187" w:after="0"/>
        <w:ind w:left="100" w:right="175" w:firstLine="0"/>
        <w:jc w:val="both"/>
        <w:rPr>
          <w:sz w:val="24"/>
        </w:rPr>
      </w:pPr>
      <w:r>
        <w:rPr>
          <w:sz w:val="24"/>
        </w:rPr>
        <w:t>I.E. Kuznetsova, </w:t>
      </w:r>
      <w:r>
        <w:rPr>
          <w:spacing w:val="-8"/>
          <w:sz w:val="24"/>
        </w:rPr>
        <w:t>V.I. </w:t>
      </w:r>
      <w:r>
        <w:rPr>
          <w:sz w:val="24"/>
        </w:rPr>
        <w:t>Anisimkin, </w:t>
      </w:r>
      <w:r>
        <w:rPr>
          <w:spacing w:val="-16"/>
          <w:sz w:val="24"/>
        </w:rPr>
        <w:t>V.V. </w:t>
      </w:r>
      <w:r>
        <w:rPr>
          <w:sz w:val="24"/>
        </w:rPr>
        <w:t>Kolesov, </w:t>
      </w:r>
      <w:r>
        <w:rPr>
          <w:spacing w:val="-16"/>
          <w:sz w:val="24"/>
        </w:rPr>
        <w:t>V.V. </w:t>
      </w:r>
      <w:r>
        <w:rPr>
          <w:sz w:val="24"/>
        </w:rPr>
        <w:t>Kashin, </w:t>
      </w:r>
      <w:r>
        <w:rPr>
          <w:spacing w:val="-8"/>
          <w:sz w:val="24"/>
        </w:rPr>
        <w:t>V.A. </w:t>
      </w:r>
      <w:r>
        <w:rPr>
          <w:sz w:val="24"/>
        </w:rPr>
        <w:t>Osipenko, </w:t>
      </w:r>
      <w:r>
        <w:rPr>
          <w:spacing w:val="-7"/>
          <w:sz w:val="24"/>
        </w:rPr>
        <w:t>S.P. </w:t>
      </w:r>
      <w:r>
        <w:rPr>
          <w:sz w:val="24"/>
        </w:rPr>
        <w:t>Gubin, </w:t>
      </w:r>
      <w:r>
        <w:rPr>
          <w:spacing w:val="-8"/>
          <w:sz w:val="24"/>
        </w:rPr>
        <w:t>S.V. </w:t>
      </w:r>
      <w:r>
        <w:rPr>
          <w:spacing w:val="-3"/>
          <w:sz w:val="24"/>
        </w:rPr>
        <w:t>Tkachev, </w:t>
      </w:r>
      <w:r>
        <w:rPr>
          <w:sz w:val="24"/>
        </w:rPr>
        <w:t>E. </w:t>
      </w:r>
      <w:r>
        <w:rPr>
          <w:spacing w:val="-5"/>
          <w:sz w:val="24"/>
        </w:rPr>
        <w:t>Verona, </w:t>
      </w:r>
      <w:r>
        <w:rPr>
          <w:sz w:val="24"/>
        </w:rPr>
        <w:t>S. Sun, A.S. Kuznetsova, Sezawa wave acoustic humidity sensor based on graphene</w:t>
      </w:r>
      <w:r>
        <w:rPr>
          <w:spacing w:val="40"/>
          <w:sz w:val="24"/>
        </w:rPr>
        <w:t> </w:t>
      </w:r>
      <w:r>
        <w:rPr>
          <w:sz w:val="24"/>
        </w:rPr>
        <w:t>oxide</w:t>
      </w:r>
      <w:r>
        <w:rPr>
          <w:spacing w:val="40"/>
          <w:sz w:val="24"/>
        </w:rPr>
        <w:t> </w:t>
      </w:r>
      <w:r>
        <w:rPr>
          <w:sz w:val="24"/>
        </w:rPr>
        <w:t>sensitive</w:t>
      </w:r>
      <w:r>
        <w:rPr>
          <w:spacing w:val="40"/>
          <w:sz w:val="24"/>
        </w:rPr>
        <w:t> </w:t>
      </w:r>
      <w:r>
        <w:rPr>
          <w:sz w:val="24"/>
        </w:rPr>
        <w:t>film</w:t>
      </w:r>
      <w:r>
        <w:rPr>
          <w:spacing w:val="42"/>
          <w:sz w:val="24"/>
        </w:rPr>
        <w:t> </w:t>
      </w:r>
      <w:r>
        <w:rPr>
          <w:sz w:val="24"/>
        </w:rPr>
        <w:t>with</w:t>
      </w:r>
      <w:r>
        <w:rPr>
          <w:spacing w:val="41"/>
          <w:sz w:val="24"/>
        </w:rPr>
        <w:t> </w:t>
      </w:r>
      <w:r>
        <w:rPr>
          <w:sz w:val="24"/>
        </w:rPr>
        <w:t>enhanced</w:t>
      </w:r>
      <w:r>
        <w:rPr>
          <w:spacing w:val="41"/>
          <w:sz w:val="24"/>
        </w:rPr>
        <w:t> </w:t>
      </w:r>
      <w:r>
        <w:rPr>
          <w:sz w:val="24"/>
        </w:rPr>
        <w:t>sensitivity,</w:t>
      </w:r>
      <w:r>
        <w:rPr>
          <w:spacing w:val="46"/>
          <w:sz w:val="24"/>
        </w:rPr>
        <w:t> </w:t>
      </w:r>
      <w:r>
        <w:rPr>
          <w:sz w:val="24"/>
        </w:rPr>
        <w:t>Sens.</w:t>
      </w:r>
      <w:r>
        <w:rPr>
          <w:spacing w:val="41"/>
          <w:sz w:val="24"/>
        </w:rPr>
        <w:t> </w:t>
      </w:r>
      <w:r>
        <w:rPr>
          <w:sz w:val="24"/>
        </w:rPr>
        <w:t>Actuators</w:t>
      </w:r>
      <w:r>
        <w:rPr>
          <w:spacing w:val="40"/>
          <w:sz w:val="24"/>
        </w:rPr>
        <w:t> </w:t>
      </w:r>
      <w:r>
        <w:rPr>
          <w:sz w:val="24"/>
        </w:rPr>
        <w:t>B</w:t>
      </w:r>
      <w:r>
        <w:rPr>
          <w:spacing w:val="41"/>
          <w:sz w:val="24"/>
        </w:rPr>
        <w:t> </w:t>
      </w:r>
      <w:r>
        <w:rPr>
          <w:sz w:val="24"/>
        </w:rPr>
        <w:t>272</w:t>
      </w:r>
      <w:r>
        <w:rPr>
          <w:spacing w:val="41"/>
          <w:sz w:val="24"/>
        </w:rPr>
        <w:t> </w:t>
      </w:r>
      <w:r>
        <w:rPr>
          <w:sz w:val="24"/>
        </w:rPr>
        <w:t>(2018)</w:t>
      </w:r>
      <w:r>
        <w:rPr>
          <w:spacing w:val="40"/>
          <w:sz w:val="24"/>
        </w:rPr>
        <w:t> </w:t>
      </w:r>
      <w:r>
        <w:rPr>
          <w:sz w:val="24"/>
        </w:rPr>
        <w:t>236-242.</w:t>
      </w:r>
    </w:p>
    <w:p>
      <w:pPr>
        <w:spacing w:after="0" w:line="408" w:lineRule="auto"/>
        <w:jc w:val="both"/>
        <w:rPr>
          <w:sz w:val="24"/>
        </w:rPr>
        <w:sectPr>
          <w:pgSz w:w="11910" w:h="16840"/>
          <w:pgMar w:top="1520" w:bottom="280" w:left="980" w:right="900"/>
        </w:sectPr>
      </w:pPr>
    </w:p>
    <w:p>
      <w:pPr>
        <w:pStyle w:val="BodyText"/>
        <w:spacing w:before="77"/>
        <w:jc w:val="both"/>
      </w:pPr>
      <w:r>
        <w:rPr/>
        <w:t>https://doi.org/10.1016/j.snb.2018.05.158.</w:t>
      </w:r>
    </w:p>
    <w:p>
      <w:pPr>
        <w:pStyle w:val="ListParagraph"/>
        <w:numPr>
          <w:ilvl w:val="0"/>
          <w:numId w:val="2"/>
        </w:numPr>
        <w:tabs>
          <w:tab w:pos="471" w:val="left" w:leader="none"/>
        </w:tabs>
        <w:spacing w:line="408" w:lineRule="auto" w:before="192" w:after="0"/>
        <w:ind w:left="100" w:right="175" w:firstLine="0"/>
        <w:jc w:val="both"/>
        <w:rPr>
          <w:sz w:val="24"/>
        </w:rPr>
      </w:pPr>
      <w:r>
        <w:rPr>
          <w:sz w:val="24"/>
        </w:rPr>
        <w:t>C.R. Zamarreño, M. Hernaez, I. Del </w:t>
      </w:r>
      <w:r>
        <w:rPr>
          <w:spacing w:val="-4"/>
          <w:sz w:val="24"/>
        </w:rPr>
        <w:t>Villar, </w:t>
      </w:r>
      <w:r>
        <w:rPr>
          <w:sz w:val="24"/>
        </w:rPr>
        <w:t>I.R. Matias, </w:t>
      </w:r>
      <w:r>
        <w:rPr>
          <w:spacing w:val="-5"/>
          <w:sz w:val="24"/>
        </w:rPr>
        <w:t>F.J. </w:t>
      </w:r>
      <w:r>
        <w:rPr>
          <w:sz w:val="24"/>
        </w:rPr>
        <w:t>Arregui, Tunable humidity sensor based on ITO-coated optical </w:t>
      </w:r>
      <w:r>
        <w:rPr>
          <w:spacing w:val="-3"/>
          <w:sz w:val="24"/>
        </w:rPr>
        <w:t>fiber, </w:t>
      </w:r>
      <w:r>
        <w:rPr>
          <w:sz w:val="24"/>
        </w:rPr>
        <w:t>Sens. Actuators B 146 (2010) 414-417. https://doi.org/10.1016/j.snb.2010.02.029.</w:t>
      </w:r>
    </w:p>
    <w:p>
      <w:pPr>
        <w:pStyle w:val="ListParagraph"/>
        <w:numPr>
          <w:ilvl w:val="0"/>
          <w:numId w:val="2"/>
        </w:numPr>
        <w:tabs>
          <w:tab w:pos="480" w:val="left" w:leader="none"/>
        </w:tabs>
        <w:spacing w:line="408" w:lineRule="auto" w:before="0" w:after="0"/>
        <w:ind w:left="100" w:right="175" w:firstLine="0"/>
        <w:jc w:val="both"/>
        <w:rPr>
          <w:sz w:val="24"/>
        </w:rPr>
      </w:pPr>
      <w:r>
        <w:rPr>
          <w:sz w:val="24"/>
        </w:rPr>
        <w:t>D. Lu, </w:t>
      </w:r>
      <w:r>
        <w:rPr>
          <w:spacing w:val="-16"/>
          <w:sz w:val="24"/>
        </w:rPr>
        <w:t>Y. </w:t>
      </w:r>
      <w:r>
        <w:rPr>
          <w:sz w:val="24"/>
        </w:rPr>
        <w:t>Zheng, A. Penirschke, R. </w:t>
      </w:r>
      <w:r>
        <w:rPr>
          <w:spacing w:val="-3"/>
          <w:sz w:val="24"/>
        </w:rPr>
        <w:t>Jakoby, </w:t>
      </w:r>
      <w:r>
        <w:rPr>
          <w:sz w:val="24"/>
        </w:rPr>
        <w:t>Humidity sensors based on photolithographically patterned </w:t>
      </w:r>
      <w:r>
        <w:rPr>
          <w:spacing w:val="-11"/>
          <w:sz w:val="24"/>
        </w:rPr>
        <w:t>PVA </w:t>
      </w:r>
      <w:r>
        <w:rPr>
          <w:sz w:val="24"/>
        </w:rPr>
        <w:t>films deposited on </w:t>
      </w:r>
      <w:r>
        <w:rPr>
          <w:spacing w:val="-7"/>
          <w:sz w:val="24"/>
        </w:rPr>
        <w:t>SAW </w:t>
      </w:r>
      <w:r>
        <w:rPr>
          <w:sz w:val="24"/>
        </w:rPr>
        <w:t>resonators, IEEE Sens. J. 16 (2016) 13-14. https://doi.org/10.1109/JSEN.2015.2468082.</w:t>
      </w:r>
    </w:p>
    <w:p>
      <w:pPr>
        <w:pStyle w:val="ListParagraph"/>
        <w:numPr>
          <w:ilvl w:val="0"/>
          <w:numId w:val="2"/>
        </w:numPr>
        <w:tabs>
          <w:tab w:pos="456" w:val="left" w:leader="none"/>
          <w:tab w:pos="8746" w:val="left" w:leader="none"/>
        </w:tabs>
        <w:spacing w:line="408" w:lineRule="auto" w:before="0" w:after="0"/>
        <w:ind w:left="100" w:right="175" w:firstLine="0"/>
        <w:jc w:val="both"/>
        <w:rPr>
          <w:sz w:val="24"/>
        </w:rPr>
      </w:pPr>
      <w:r>
        <w:rPr>
          <w:sz w:val="24"/>
        </w:rPr>
        <w:t>X.L. He, D.J. Li, J. Zhou, </w:t>
      </w:r>
      <w:r>
        <w:rPr>
          <w:spacing w:val="-6"/>
          <w:sz w:val="24"/>
        </w:rPr>
        <w:t>W.B. </w:t>
      </w:r>
      <w:r>
        <w:rPr>
          <w:spacing w:val="-5"/>
          <w:sz w:val="24"/>
        </w:rPr>
        <w:t>Wang, </w:t>
      </w:r>
      <w:r>
        <w:rPr>
          <w:spacing w:val="-12"/>
          <w:sz w:val="24"/>
        </w:rPr>
        <w:t>W.P. </w:t>
      </w:r>
      <w:r>
        <w:rPr>
          <w:sz w:val="24"/>
        </w:rPr>
        <w:t>Xuan, S.R. Dong, H. Jin, J.K. Luo, High sensitivity humidity sensors using flexible surface acoustic wave devices made on nanocrystalline ZnO/polyimide       substrates,       J.       </w:t>
      </w:r>
      <w:r>
        <w:rPr>
          <w:spacing w:val="-3"/>
          <w:sz w:val="24"/>
        </w:rPr>
        <w:t>Mater.        </w:t>
      </w:r>
      <w:r>
        <w:rPr>
          <w:sz w:val="24"/>
        </w:rPr>
        <w:t>Chem.       </w:t>
      </w:r>
      <w:r>
        <w:rPr>
          <w:i/>
          <w:sz w:val="24"/>
        </w:rPr>
        <w:t>C     </w:t>
      </w:r>
      <w:r>
        <w:rPr>
          <w:i/>
          <w:spacing w:val="55"/>
          <w:sz w:val="24"/>
        </w:rPr>
        <w:t> </w:t>
      </w:r>
      <w:r>
        <w:rPr>
          <w:sz w:val="24"/>
        </w:rPr>
        <w:t>1      </w:t>
      </w:r>
      <w:r>
        <w:rPr>
          <w:spacing w:val="5"/>
          <w:sz w:val="24"/>
        </w:rPr>
        <w:t> </w:t>
      </w:r>
      <w:r>
        <w:rPr>
          <w:sz w:val="24"/>
        </w:rPr>
        <w:t>(2013)</w:t>
        <w:tab/>
        <w:t>6210-6215. </w:t>
      </w:r>
      <w:hyperlink r:id="rId7">
        <w:r>
          <w:rPr>
            <w:sz w:val="24"/>
          </w:rPr>
          <w:t>https://doi.org/10.1039/C3TC31126K.</w:t>
        </w:r>
      </w:hyperlink>
    </w:p>
    <w:p>
      <w:pPr>
        <w:pStyle w:val="ListParagraph"/>
        <w:numPr>
          <w:ilvl w:val="0"/>
          <w:numId w:val="2"/>
        </w:numPr>
        <w:tabs>
          <w:tab w:pos="456" w:val="left" w:leader="none"/>
        </w:tabs>
        <w:spacing w:line="408" w:lineRule="auto" w:before="0" w:after="0"/>
        <w:ind w:left="100" w:right="176" w:firstLine="0"/>
        <w:jc w:val="both"/>
        <w:rPr>
          <w:sz w:val="24"/>
        </w:rPr>
      </w:pPr>
      <w:r>
        <w:rPr>
          <w:spacing w:val="-16"/>
          <w:sz w:val="24"/>
        </w:rPr>
        <w:t>Y. </w:t>
      </w:r>
      <w:r>
        <w:rPr>
          <w:sz w:val="24"/>
        </w:rPr>
        <w:t>Komazaki, S. Uemura, Stretchable, Printable, and Tunable PDMS-CaCl2 Microcomposite for Capacitive Humidity Sensors on Textiles, Sens. Actuators B 297 (2019) 126711. https://doi.org/10.1016/j.snb.2019.126711.</w:t>
      </w:r>
    </w:p>
    <w:p>
      <w:pPr>
        <w:pStyle w:val="ListParagraph"/>
        <w:numPr>
          <w:ilvl w:val="0"/>
          <w:numId w:val="2"/>
        </w:numPr>
        <w:tabs>
          <w:tab w:pos="449" w:val="left" w:leader="none"/>
        </w:tabs>
        <w:spacing w:line="398" w:lineRule="auto" w:before="0" w:after="0"/>
        <w:ind w:left="100" w:right="178" w:firstLine="0"/>
        <w:jc w:val="both"/>
        <w:rPr>
          <w:sz w:val="24"/>
        </w:rPr>
      </w:pPr>
      <w:r>
        <w:rPr>
          <w:spacing w:val="-3"/>
          <w:sz w:val="24"/>
        </w:rPr>
        <w:t>L. </w:t>
      </w:r>
      <w:r>
        <w:rPr>
          <w:sz w:val="24"/>
        </w:rPr>
        <w:t>Luo, M. </w:t>
      </w:r>
      <w:r>
        <w:rPr>
          <w:spacing w:val="-6"/>
          <w:sz w:val="24"/>
        </w:rPr>
        <w:t>Yuan, </w:t>
      </w:r>
      <w:r>
        <w:rPr>
          <w:sz w:val="24"/>
        </w:rPr>
        <w:t>H. Sun, </w:t>
      </w:r>
      <w:r>
        <w:rPr>
          <w:spacing w:val="-9"/>
          <w:sz w:val="24"/>
        </w:rPr>
        <w:t>T. </w:t>
      </w:r>
      <w:r>
        <w:rPr>
          <w:sz w:val="24"/>
        </w:rPr>
        <w:t>Peng, </w:t>
      </w:r>
      <w:r>
        <w:rPr>
          <w:spacing w:val="-9"/>
          <w:sz w:val="24"/>
        </w:rPr>
        <w:t>T. </w:t>
      </w:r>
      <w:r>
        <w:rPr>
          <w:sz w:val="24"/>
        </w:rPr>
        <w:t>Xie, Q. Chen, J. Chen, Effect of calcination temperature on</w:t>
      </w:r>
      <w:r>
        <w:rPr>
          <w:position w:val="2"/>
          <w:sz w:val="24"/>
        </w:rPr>
        <w:t> the humidity sensitivity of TiO</w:t>
      </w:r>
      <w:r>
        <w:rPr>
          <w:position w:val="2"/>
          <w:sz w:val="24"/>
          <w:vertAlign w:val="subscript"/>
        </w:rPr>
        <w:t>2</w:t>
      </w:r>
      <w:r>
        <w:rPr>
          <w:position w:val="2"/>
          <w:sz w:val="24"/>
          <w:vertAlign w:val="baseline"/>
        </w:rPr>
        <w:t>/graphene oxide nanocomposites, </w:t>
      </w:r>
      <w:r>
        <w:rPr>
          <w:spacing w:val="-3"/>
          <w:position w:val="2"/>
          <w:sz w:val="24"/>
          <w:vertAlign w:val="baseline"/>
        </w:rPr>
        <w:t>Mater. </w:t>
      </w:r>
      <w:r>
        <w:rPr>
          <w:position w:val="2"/>
          <w:sz w:val="24"/>
          <w:vertAlign w:val="baseline"/>
        </w:rPr>
        <w:t>Sci. Semicond. Process. 89</w:t>
      </w:r>
      <w:r>
        <w:rPr>
          <w:sz w:val="24"/>
          <w:vertAlign w:val="baseline"/>
        </w:rPr>
        <w:t> (2019) 186-193.</w:t>
      </w:r>
      <w:r>
        <w:rPr>
          <w:spacing w:val="-2"/>
          <w:sz w:val="24"/>
          <w:vertAlign w:val="baseline"/>
        </w:rPr>
        <w:t> </w:t>
      </w:r>
      <w:r>
        <w:rPr>
          <w:sz w:val="24"/>
          <w:vertAlign w:val="baseline"/>
        </w:rPr>
        <w:t>https://doi.org/10.1016/j.mssp.2018.09.019.</w:t>
      </w:r>
    </w:p>
    <w:p>
      <w:pPr>
        <w:pStyle w:val="ListParagraph"/>
        <w:numPr>
          <w:ilvl w:val="0"/>
          <w:numId w:val="2"/>
        </w:numPr>
        <w:tabs>
          <w:tab w:pos="483" w:val="left" w:leader="none"/>
        </w:tabs>
        <w:spacing w:line="408" w:lineRule="auto" w:before="0" w:after="0"/>
        <w:ind w:left="100" w:right="175" w:firstLine="0"/>
        <w:jc w:val="both"/>
        <w:rPr>
          <w:sz w:val="24"/>
        </w:rPr>
      </w:pPr>
      <w:r>
        <w:rPr>
          <w:sz w:val="24"/>
        </w:rPr>
        <w:t>S. Kano, K. Kim, M. Fujii, Fast-response and flexible nanocrystal-based humidity sensor for monitoring human respiration and water evaporation on skin, ACS Sens. 2 (2017) 828-833. https://doi.org/10.1021/acssensors.7b00199.</w:t>
      </w:r>
    </w:p>
    <w:p>
      <w:pPr>
        <w:pStyle w:val="ListParagraph"/>
        <w:numPr>
          <w:ilvl w:val="0"/>
          <w:numId w:val="2"/>
        </w:numPr>
        <w:tabs>
          <w:tab w:pos="451" w:val="left" w:leader="none"/>
        </w:tabs>
        <w:spacing w:line="408" w:lineRule="auto" w:before="0" w:after="0"/>
        <w:ind w:left="100" w:right="174" w:firstLine="0"/>
        <w:jc w:val="both"/>
        <w:rPr>
          <w:sz w:val="24"/>
        </w:rPr>
      </w:pPr>
      <w:r>
        <w:rPr>
          <w:sz w:val="24"/>
        </w:rPr>
        <w:t>R. Rimeika, D. Ciplys, </w:t>
      </w:r>
      <w:r>
        <w:rPr>
          <w:spacing w:val="-16"/>
          <w:sz w:val="24"/>
        </w:rPr>
        <w:t>V. </w:t>
      </w:r>
      <w:r>
        <w:rPr>
          <w:sz w:val="24"/>
        </w:rPr>
        <w:t>Poderys, R. Rotomskis, M.S. </w:t>
      </w:r>
      <w:r>
        <w:rPr>
          <w:spacing w:val="-3"/>
          <w:sz w:val="24"/>
        </w:rPr>
        <w:t>Shur, </w:t>
      </w:r>
      <w:r>
        <w:rPr>
          <w:sz w:val="24"/>
        </w:rPr>
        <w:t>Fast-response and low-loss surface acoustic wave humidity sensor based on bovine serum albumin-gold nanoclusters film, Sens. Actuators B 239 (2017) 352-357.</w:t>
      </w:r>
      <w:r>
        <w:rPr>
          <w:spacing w:val="-3"/>
          <w:sz w:val="24"/>
        </w:rPr>
        <w:t> </w:t>
      </w:r>
      <w:r>
        <w:rPr>
          <w:sz w:val="24"/>
        </w:rPr>
        <w:t>https://doi.org/10.1016/j.snb.2016.07.161.</w:t>
      </w:r>
    </w:p>
    <w:p>
      <w:pPr>
        <w:pStyle w:val="ListParagraph"/>
        <w:numPr>
          <w:ilvl w:val="0"/>
          <w:numId w:val="2"/>
        </w:numPr>
        <w:tabs>
          <w:tab w:pos="442" w:val="left" w:leader="none"/>
        </w:tabs>
        <w:spacing w:line="408" w:lineRule="auto" w:before="0" w:after="0"/>
        <w:ind w:left="100" w:right="175" w:firstLine="0"/>
        <w:jc w:val="both"/>
        <w:rPr>
          <w:sz w:val="24"/>
        </w:rPr>
      </w:pPr>
      <w:r>
        <w:rPr>
          <w:sz w:val="24"/>
        </w:rPr>
        <w:t>J. Devkota, </w:t>
      </w:r>
      <w:r>
        <w:rPr>
          <w:spacing w:val="-8"/>
          <w:sz w:val="24"/>
        </w:rPr>
        <w:t>P.R. </w:t>
      </w:r>
      <w:r>
        <w:rPr>
          <w:sz w:val="24"/>
        </w:rPr>
        <w:t>Ohodnicki, </w:t>
      </w:r>
      <w:r>
        <w:rPr>
          <w:spacing w:val="-6"/>
          <w:sz w:val="24"/>
        </w:rPr>
        <w:t>D.W. </w:t>
      </w:r>
      <w:r>
        <w:rPr>
          <w:sz w:val="24"/>
        </w:rPr>
        <w:t>Greve, </w:t>
      </w:r>
      <w:r>
        <w:rPr>
          <w:spacing w:val="-8"/>
          <w:sz w:val="24"/>
        </w:rPr>
        <w:t>SAW </w:t>
      </w:r>
      <w:r>
        <w:rPr>
          <w:sz w:val="24"/>
        </w:rPr>
        <w:t>sensors for chemical vapors and gases, Sensors 17 (2017) 801.</w:t>
      </w:r>
      <w:r>
        <w:rPr>
          <w:spacing w:val="-3"/>
          <w:sz w:val="24"/>
        </w:rPr>
        <w:t> </w:t>
      </w:r>
      <w:r>
        <w:rPr>
          <w:sz w:val="24"/>
        </w:rPr>
        <w:t>https://doi.org/10.3390/s17040801.</w:t>
      </w:r>
    </w:p>
    <w:p>
      <w:pPr>
        <w:pStyle w:val="ListParagraph"/>
        <w:numPr>
          <w:ilvl w:val="0"/>
          <w:numId w:val="2"/>
        </w:numPr>
        <w:tabs>
          <w:tab w:pos="612" w:val="left" w:leader="none"/>
        </w:tabs>
        <w:spacing w:line="408" w:lineRule="auto" w:before="0" w:after="0"/>
        <w:ind w:left="100" w:right="185" w:firstLine="0"/>
        <w:jc w:val="both"/>
        <w:rPr>
          <w:sz w:val="24"/>
        </w:rPr>
      </w:pPr>
      <w:r>
        <w:rPr>
          <w:sz w:val="24"/>
        </w:rPr>
        <w:t>X.H. Le, </w:t>
      </w:r>
      <w:r>
        <w:rPr>
          <w:spacing w:val="-8"/>
          <w:sz w:val="24"/>
        </w:rPr>
        <w:t>X.Y. </w:t>
      </w:r>
      <w:r>
        <w:rPr>
          <w:spacing w:val="-5"/>
          <w:sz w:val="24"/>
        </w:rPr>
        <w:t>Wang, J.T. </w:t>
      </w:r>
      <w:r>
        <w:rPr>
          <w:sz w:val="24"/>
        </w:rPr>
        <w:t>Pang, </w:t>
      </w:r>
      <w:r>
        <w:rPr>
          <w:spacing w:val="-8"/>
          <w:sz w:val="24"/>
        </w:rPr>
        <w:t>Y.J. </w:t>
      </w:r>
      <w:r>
        <w:rPr>
          <w:sz w:val="24"/>
        </w:rPr>
        <w:t>Liu, B. Fang, Z. Xu, C. Gao, </w:t>
      </w:r>
      <w:r>
        <w:rPr>
          <w:spacing w:val="-16"/>
          <w:sz w:val="24"/>
        </w:rPr>
        <w:t>Y. </w:t>
      </w:r>
      <w:r>
        <w:rPr>
          <w:sz w:val="24"/>
        </w:rPr>
        <w:t>Xu, J. Xie, A high performance humidity sensor based on surface acoustic wave and graphene oxide on AlN/Si layered structure, Sens. Actuators B 255 (2018) 2454-2461.</w:t>
      </w:r>
      <w:r>
        <w:rPr>
          <w:spacing w:val="-19"/>
          <w:sz w:val="24"/>
        </w:rPr>
        <w:t> </w:t>
      </w:r>
      <w:r>
        <w:rPr>
          <w:sz w:val="24"/>
        </w:rPr>
        <w:t>https://doi.org/10.1016/j.snb.2017.09.038.</w:t>
      </w:r>
    </w:p>
    <w:p>
      <w:pPr>
        <w:pStyle w:val="ListParagraph"/>
        <w:numPr>
          <w:ilvl w:val="0"/>
          <w:numId w:val="2"/>
        </w:numPr>
        <w:tabs>
          <w:tab w:pos="576" w:val="left" w:leader="none"/>
        </w:tabs>
        <w:spacing w:line="405" w:lineRule="auto" w:before="0" w:after="0"/>
        <w:ind w:left="100" w:right="182" w:firstLine="0"/>
        <w:jc w:val="both"/>
        <w:rPr>
          <w:sz w:val="24"/>
        </w:rPr>
      </w:pPr>
      <w:r>
        <w:rPr>
          <w:spacing w:val="-16"/>
          <w:sz w:val="24"/>
        </w:rPr>
        <w:t>Y. </w:t>
      </w:r>
      <w:r>
        <w:rPr>
          <w:sz w:val="24"/>
        </w:rPr>
        <w:t>Liu, H. Huang, L.L. </w:t>
      </w:r>
      <w:r>
        <w:rPr>
          <w:spacing w:val="-5"/>
          <w:sz w:val="24"/>
        </w:rPr>
        <w:t>Wang, </w:t>
      </w:r>
      <w:r>
        <w:rPr>
          <w:spacing w:val="-7"/>
          <w:sz w:val="24"/>
        </w:rPr>
        <w:t>D.P. </w:t>
      </w:r>
      <w:r>
        <w:rPr>
          <w:sz w:val="24"/>
        </w:rPr>
        <w:t>Cai, B. Liu, D.D. </w:t>
      </w:r>
      <w:r>
        <w:rPr>
          <w:spacing w:val="-5"/>
          <w:sz w:val="24"/>
        </w:rPr>
        <w:t>Wang, </w:t>
      </w:r>
      <w:r>
        <w:rPr>
          <w:sz w:val="24"/>
        </w:rPr>
        <w:t>Q.H. Li, </w:t>
      </w:r>
      <w:r>
        <w:rPr>
          <w:spacing w:val="-5"/>
          <w:sz w:val="24"/>
        </w:rPr>
        <w:t>T.H. Wang, </w:t>
      </w:r>
      <w:r>
        <w:rPr>
          <w:sz w:val="24"/>
        </w:rPr>
        <w:t>Electrospun</w:t>
      </w:r>
      <w:r>
        <w:rPr>
          <w:position w:val="2"/>
          <w:sz w:val="24"/>
        </w:rPr>
        <w:t> CeO</w:t>
      </w:r>
      <w:r>
        <w:rPr>
          <w:position w:val="2"/>
          <w:sz w:val="24"/>
          <w:vertAlign w:val="subscript"/>
        </w:rPr>
        <w:t>2</w:t>
      </w:r>
      <w:r>
        <w:rPr>
          <w:position w:val="2"/>
          <w:sz w:val="24"/>
          <w:vertAlign w:val="baseline"/>
        </w:rPr>
        <w:t> nanoparticles/PVP nanofibers based high-frequency surface acoustic wave</w:t>
      </w:r>
      <w:r>
        <w:rPr>
          <w:spacing w:val="26"/>
          <w:position w:val="2"/>
          <w:sz w:val="24"/>
          <w:vertAlign w:val="baseline"/>
        </w:rPr>
        <w:t> </w:t>
      </w:r>
      <w:r>
        <w:rPr>
          <w:position w:val="2"/>
          <w:sz w:val="24"/>
          <w:vertAlign w:val="baseline"/>
        </w:rPr>
        <w:t>humidity sensor,</w:t>
      </w:r>
    </w:p>
    <w:p>
      <w:pPr>
        <w:spacing w:after="0" w:line="405" w:lineRule="auto"/>
        <w:jc w:val="both"/>
        <w:rPr>
          <w:sz w:val="24"/>
        </w:rPr>
        <w:sectPr>
          <w:pgSz w:w="11910" w:h="16840"/>
          <w:pgMar w:top="1440" w:bottom="280" w:left="980" w:right="900"/>
        </w:sectPr>
      </w:pPr>
    </w:p>
    <w:p>
      <w:pPr>
        <w:pStyle w:val="BodyText"/>
        <w:spacing w:before="77"/>
        <w:jc w:val="both"/>
      </w:pPr>
      <w:r>
        <w:rPr/>
        <w:t>Sens. Actuators B 223 (2016) 730-737. https://doi.org/10.1016/j.snb.2015.09.148.</w:t>
      </w:r>
    </w:p>
    <w:p>
      <w:pPr>
        <w:pStyle w:val="ListParagraph"/>
        <w:numPr>
          <w:ilvl w:val="0"/>
          <w:numId w:val="2"/>
        </w:numPr>
        <w:tabs>
          <w:tab w:pos="567" w:val="left" w:leader="none"/>
        </w:tabs>
        <w:spacing w:line="398" w:lineRule="auto" w:before="192" w:after="0"/>
        <w:ind w:left="100" w:right="175" w:firstLine="0"/>
        <w:jc w:val="both"/>
        <w:rPr>
          <w:sz w:val="24"/>
        </w:rPr>
      </w:pPr>
      <w:r>
        <w:rPr>
          <w:spacing w:val="-10"/>
          <w:sz w:val="24"/>
        </w:rPr>
        <w:t>Y.L. </w:t>
      </w:r>
      <w:r>
        <w:rPr>
          <w:spacing w:val="-4"/>
          <w:sz w:val="24"/>
        </w:rPr>
        <w:t>Tang, </w:t>
      </w:r>
      <w:r>
        <w:rPr>
          <w:sz w:val="24"/>
        </w:rPr>
        <w:t>Z.J. Li, </w:t>
      </w:r>
      <w:r>
        <w:rPr>
          <w:spacing w:val="-8"/>
          <w:sz w:val="24"/>
        </w:rPr>
        <w:t>J.Y. </w:t>
      </w:r>
      <w:r>
        <w:rPr>
          <w:sz w:val="24"/>
        </w:rPr>
        <w:t>Ma, L. </w:t>
      </w:r>
      <w:r>
        <w:rPr>
          <w:spacing w:val="-5"/>
          <w:sz w:val="24"/>
        </w:rPr>
        <w:t>Wang, </w:t>
      </w:r>
      <w:r>
        <w:rPr>
          <w:sz w:val="24"/>
        </w:rPr>
        <w:t>J. </w:t>
      </w:r>
      <w:r>
        <w:rPr>
          <w:spacing w:val="-6"/>
          <w:sz w:val="24"/>
        </w:rPr>
        <w:t>Yang, </w:t>
      </w:r>
      <w:r>
        <w:rPr>
          <w:sz w:val="24"/>
        </w:rPr>
        <w:t>B. Du, Q.K. </w:t>
      </w:r>
      <w:r>
        <w:rPr>
          <w:spacing w:val="-9"/>
          <w:sz w:val="24"/>
        </w:rPr>
        <w:t>Yu, </w:t>
      </w:r>
      <w:r>
        <w:rPr>
          <w:spacing w:val="-5"/>
          <w:sz w:val="24"/>
        </w:rPr>
        <w:t>X.T. </w:t>
      </w:r>
      <w:r>
        <w:rPr>
          <w:sz w:val="24"/>
        </w:rPr>
        <w:t>Zu, Highly sensitive surface</w:t>
      </w:r>
      <w:r>
        <w:rPr>
          <w:position w:val="2"/>
          <w:sz w:val="24"/>
        </w:rPr>
        <w:t> acoustic wave </w:t>
      </w:r>
      <w:r>
        <w:rPr>
          <w:spacing w:val="-4"/>
          <w:position w:val="2"/>
          <w:sz w:val="24"/>
        </w:rPr>
        <w:t>(SAW) </w:t>
      </w:r>
      <w:r>
        <w:rPr>
          <w:position w:val="2"/>
          <w:sz w:val="24"/>
        </w:rPr>
        <w:t>humidity sensors based on sol-gel SiO</w:t>
      </w:r>
      <w:r>
        <w:rPr>
          <w:position w:val="2"/>
          <w:sz w:val="24"/>
          <w:vertAlign w:val="subscript"/>
        </w:rPr>
        <w:t>2</w:t>
      </w:r>
      <w:r>
        <w:rPr>
          <w:position w:val="2"/>
          <w:sz w:val="24"/>
          <w:vertAlign w:val="baseline"/>
        </w:rPr>
        <w:t> films: Investigations on the sensing</w:t>
      </w:r>
      <w:r>
        <w:rPr>
          <w:sz w:val="24"/>
          <w:vertAlign w:val="baseline"/>
        </w:rPr>
        <w:t> property and mechanism, Sens. Actuators B 215 (2015)</w:t>
      </w:r>
      <w:r>
        <w:rPr>
          <w:spacing w:val="58"/>
          <w:sz w:val="24"/>
          <w:vertAlign w:val="baseline"/>
        </w:rPr>
        <w:t> </w:t>
      </w:r>
      <w:r>
        <w:rPr>
          <w:sz w:val="24"/>
          <w:vertAlign w:val="baseline"/>
        </w:rPr>
        <w:t>283-291.</w:t>
      </w:r>
    </w:p>
    <w:p>
      <w:pPr>
        <w:pStyle w:val="BodyText"/>
        <w:spacing w:before="9"/>
        <w:jc w:val="both"/>
      </w:pPr>
      <w:r>
        <w:rPr/>
        <w:t>https://doi.org/10.1016/j.snb.2015.03.069.</w:t>
      </w:r>
    </w:p>
    <w:p>
      <w:pPr>
        <w:pStyle w:val="ListParagraph"/>
        <w:numPr>
          <w:ilvl w:val="0"/>
          <w:numId w:val="2"/>
        </w:numPr>
        <w:tabs>
          <w:tab w:pos="624" w:val="left" w:leader="none"/>
        </w:tabs>
        <w:spacing w:line="408" w:lineRule="auto" w:before="193" w:after="0"/>
        <w:ind w:left="100" w:right="179" w:firstLine="0"/>
        <w:jc w:val="both"/>
        <w:rPr>
          <w:sz w:val="24"/>
        </w:rPr>
      </w:pPr>
      <w:r>
        <w:rPr>
          <w:spacing w:val="-5"/>
          <w:sz w:val="24"/>
        </w:rPr>
        <w:t>X.T. </w:t>
      </w:r>
      <w:r>
        <w:rPr>
          <w:sz w:val="24"/>
        </w:rPr>
        <w:t>Ma, </w:t>
      </w:r>
      <w:r>
        <w:rPr>
          <w:spacing w:val="-16"/>
          <w:sz w:val="24"/>
        </w:rPr>
        <w:t>Y. </w:t>
      </w:r>
      <w:r>
        <w:rPr>
          <w:sz w:val="24"/>
        </w:rPr>
        <w:t>Lou, X.B. Chen, Z. Shi, </w:t>
      </w:r>
      <w:r>
        <w:rPr>
          <w:spacing w:val="-16"/>
          <w:sz w:val="24"/>
        </w:rPr>
        <w:t>Y. </w:t>
      </w:r>
      <w:r>
        <w:rPr>
          <w:sz w:val="24"/>
        </w:rPr>
        <w:t>Xu, Multifunctional flexible composite aerogels constructed through in-situ growth of metal-organic framework nanoparticles on bacterial cellulose, Chem. Eng. J. 356 (2019) 227-235.</w:t>
      </w:r>
      <w:r>
        <w:rPr>
          <w:spacing w:val="-3"/>
          <w:sz w:val="24"/>
        </w:rPr>
        <w:t> </w:t>
      </w:r>
      <w:r>
        <w:rPr>
          <w:sz w:val="24"/>
        </w:rPr>
        <w:t>https://doi.org/10.1016/j.cej.2018.09.034.</w:t>
      </w:r>
    </w:p>
    <w:p>
      <w:pPr>
        <w:pStyle w:val="ListParagraph"/>
        <w:numPr>
          <w:ilvl w:val="0"/>
          <w:numId w:val="2"/>
        </w:numPr>
        <w:tabs>
          <w:tab w:pos="600" w:val="left" w:leader="none"/>
          <w:tab w:pos="1789" w:val="left" w:leader="none"/>
          <w:tab w:pos="2718" w:val="left" w:leader="none"/>
          <w:tab w:pos="3543" w:val="left" w:leader="none"/>
          <w:tab w:pos="4682" w:val="left" w:leader="none"/>
          <w:tab w:pos="6415" w:val="left" w:leader="none"/>
          <w:tab w:pos="7445" w:val="left" w:leader="none"/>
          <w:tab w:pos="8756" w:val="left" w:leader="none"/>
        </w:tabs>
        <w:spacing w:line="408" w:lineRule="auto" w:before="0" w:after="0"/>
        <w:ind w:left="100" w:right="173" w:firstLine="0"/>
        <w:jc w:val="both"/>
        <w:rPr>
          <w:sz w:val="24"/>
        </w:rPr>
      </w:pPr>
      <w:r>
        <w:rPr>
          <w:sz w:val="24"/>
        </w:rPr>
        <w:t>S. Sheykhnazari, </w:t>
      </w:r>
      <w:r>
        <w:rPr>
          <w:spacing w:val="-9"/>
          <w:sz w:val="24"/>
        </w:rPr>
        <w:t>T. </w:t>
      </w:r>
      <w:r>
        <w:rPr>
          <w:spacing w:val="-3"/>
          <w:sz w:val="24"/>
        </w:rPr>
        <w:t>Tabarsa, </w:t>
      </w:r>
      <w:r>
        <w:rPr>
          <w:sz w:val="24"/>
        </w:rPr>
        <w:t>M. Mashkour, A. Khazaeian, A. Ghanbari, Multilayer bacterial cellulose/resole nanocomposites: Relationship between structural and electro-thermo-mechanical properties,</w:t>
        <w:tab/>
        <w:t>In.</w:t>
        <w:tab/>
        <w:t>J.</w:t>
        <w:tab/>
        <w:t>Biol.</w:t>
        <w:tab/>
        <w:t>Macromol.</w:t>
        <w:tab/>
        <w:t>120</w:t>
        <w:tab/>
        <w:t>(2018)</w:t>
        <w:tab/>
      </w:r>
      <w:r>
        <w:rPr>
          <w:spacing w:val="-1"/>
          <w:sz w:val="24"/>
        </w:rPr>
        <w:t>2115-2122. </w:t>
      </w:r>
      <w:r>
        <w:rPr>
          <w:sz w:val="24"/>
        </w:rPr>
        <w:t>https://doi.org/10.1016/j.ijbiomac.2018.09.047.</w:t>
      </w:r>
    </w:p>
    <w:p>
      <w:pPr>
        <w:pStyle w:val="ListParagraph"/>
        <w:numPr>
          <w:ilvl w:val="0"/>
          <w:numId w:val="2"/>
        </w:numPr>
        <w:tabs>
          <w:tab w:pos="564" w:val="left" w:leader="none"/>
        </w:tabs>
        <w:spacing w:line="408" w:lineRule="auto" w:before="0" w:after="0"/>
        <w:ind w:left="100" w:right="179" w:firstLine="0"/>
        <w:jc w:val="both"/>
        <w:rPr>
          <w:sz w:val="24"/>
        </w:rPr>
      </w:pPr>
      <w:r>
        <w:rPr>
          <w:sz w:val="24"/>
        </w:rPr>
        <w:t>A. Dobashi, J. Maruyama, </w:t>
      </w:r>
      <w:r>
        <w:rPr>
          <w:spacing w:val="-8"/>
          <w:sz w:val="24"/>
        </w:rPr>
        <w:t>Y.H. </w:t>
      </w:r>
      <w:r>
        <w:rPr>
          <w:sz w:val="24"/>
        </w:rPr>
        <w:t>Shen, M. Nandi, H. Uyama, Activated carbon monoliths derived from bacterial cellulose/polyacrylonitrile composite as new generation electrode materials in EDLC, </w:t>
      </w:r>
      <w:r>
        <w:rPr>
          <w:spacing w:val="-3"/>
          <w:sz w:val="24"/>
        </w:rPr>
        <w:t>Carbohydr. </w:t>
      </w:r>
      <w:r>
        <w:rPr>
          <w:sz w:val="24"/>
        </w:rPr>
        <w:t>Polym. 200 (2018) 381-390.</w:t>
      </w:r>
      <w:r>
        <w:rPr>
          <w:spacing w:val="5"/>
          <w:sz w:val="24"/>
        </w:rPr>
        <w:t> </w:t>
      </w:r>
      <w:r>
        <w:rPr>
          <w:sz w:val="24"/>
        </w:rPr>
        <w:t>https://doi.org/10.1016/j.carbpol.2018.08.016.</w:t>
      </w:r>
    </w:p>
    <w:p>
      <w:pPr>
        <w:pStyle w:val="ListParagraph"/>
        <w:numPr>
          <w:ilvl w:val="0"/>
          <w:numId w:val="2"/>
        </w:numPr>
        <w:tabs>
          <w:tab w:pos="691" w:val="left" w:leader="none"/>
        </w:tabs>
        <w:spacing w:line="408" w:lineRule="auto" w:before="0" w:after="0"/>
        <w:ind w:left="100" w:right="161" w:firstLine="0"/>
        <w:jc w:val="both"/>
        <w:rPr>
          <w:sz w:val="24"/>
        </w:rPr>
      </w:pPr>
      <w:r>
        <w:rPr>
          <w:sz w:val="24"/>
        </w:rPr>
        <w:t>R.S. Tabatabaee, H. Golmohammadi, S.H. Ahmadi, Easy diagnosis of jaundice: A smartphone-based nanosensor bioplatform using photoluminescent bacterial nanopaper for point-of-care diagnosis of hyperbilirubinemia, ACS Sens. 4 (2019)</w:t>
      </w:r>
      <w:r>
        <w:rPr>
          <w:spacing w:val="56"/>
          <w:sz w:val="24"/>
        </w:rPr>
        <w:t> </w:t>
      </w:r>
      <w:r>
        <w:rPr>
          <w:sz w:val="24"/>
        </w:rPr>
        <w:t>1063-1071.</w:t>
      </w:r>
    </w:p>
    <w:p>
      <w:pPr>
        <w:pStyle w:val="BodyText"/>
        <w:spacing w:line="272" w:lineRule="exact"/>
        <w:jc w:val="both"/>
      </w:pPr>
      <w:r>
        <w:rPr/>
        <w:t>https://doi.org/10.1021/acssensors.9b00275.</w:t>
      </w:r>
    </w:p>
    <w:p>
      <w:pPr>
        <w:pStyle w:val="ListParagraph"/>
        <w:numPr>
          <w:ilvl w:val="0"/>
          <w:numId w:val="2"/>
        </w:numPr>
        <w:tabs>
          <w:tab w:pos="619" w:val="left" w:leader="none"/>
        </w:tabs>
        <w:spacing w:line="408" w:lineRule="auto" w:before="181" w:after="0"/>
        <w:ind w:left="100" w:right="176" w:firstLine="0"/>
        <w:jc w:val="both"/>
        <w:rPr>
          <w:sz w:val="24"/>
        </w:rPr>
      </w:pPr>
      <w:r>
        <w:rPr>
          <w:sz w:val="24"/>
        </w:rPr>
        <w:t>N. </w:t>
      </w:r>
      <w:r>
        <w:rPr>
          <w:spacing w:val="-3"/>
          <w:sz w:val="24"/>
        </w:rPr>
        <w:t>Tonouchi, </w:t>
      </w:r>
      <w:r>
        <w:rPr>
          <w:spacing w:val="-9"/>
          <w:sz w:val="24"/>
        </w:rPr>
        <w:t>T. </w:t>
      </w:r>
      <w:r>
        <w:rPr>
          <w:spacing w:val="-3"/>
          <w:sz w:val="24"/>
        </w:rPr>
        <w:t>Tsuchida, </w:t>
      </w:r>
      <w:r>
        <w:rPr>
          <w:spacing w:val="-11"/>
          <w:sz w:val="24"/>
        </w:rPr>
        <w:t>F. </w:t>
      </w:r>
      <w:r>
        <w:rPr>
          <w:spacing w:val="-3"/>
          <w:sz w:val="24"/>
        </w:rPr>
        <w:t>Yoshinaga, </w:t>
      </w:r>
      <w:r>
        <w:rPr>
          <w:spacing w:val="-9"/>
          <w:sz w:val="24"/>
        </w:rPr>
        <w:t>T. </w:t>
      </w:r>
      <w:r>
        <w:rPr>
          <w:sz w:val="24"/>
        </w:rPr>
        <w:t>Beppu, S. Horinouchi, Characterization of the biosynthetic pathway of cellulose from glucose and fructose in acetobacter xylinum, Biosci. Biotechnol. Biochem. 60 (1996) 1377-1379. https://doi.org/10.1271/bbb.60.1377.</w:t>
      </w:r>
    </w:p>
    <w:p>
      <w:pPr>
        <w:pStyle w:val="ListParagraph"/>
        <w:numPr>
          <w:ilvl w:val="0"/>
          <w:numId w:val="2"/>
        </w:numPr>
        <w:tabs>
          <w:tab w:pos="631" w:val="left" w:leader="none"/>
        </w:tabs>
        <w:spacing w:line="408" w:lineRule="auto" w:before="0" w:after="0"/>
        <w:ind w:left="100" w:right="175" w:firstLine="0"/>
        <w:jc w:val="both"/>
        <w:rPr>
          <w:sz w:val="24"/>
        </w:rPr>
      </w:pPr>
      <w:r>
        <w:rPr>
          <w:sz w:val="24"/>
        </w:rPr>
        <w:t>K. </w:t>
      </w:r>
      <w:r>
        <w:rPr>
          <w:spacing w:val="-3"/>
          <w:sz w:val="24"/>
        </w:rPr>
        <w:t>Zaar, </w:t>
      </w:r>
      <w:r>
        <w:rPr>
          <w:sz w:val="24"/>
        </w:rPr>
        <w:t>Visualization of pores (export sites) correlated with cellulose production in the envelope of the gram-negative bacterium acetobacter xylinum, J. Cell Biol. 80 (1979) 773-777. https://doi.org/10.1083/jcb.80.3.773.</w:t>
      </w:r>
    </w:p>
    <w:p>
      <w:pPr>
        <w:pStyle w:val="ListParagraph"/>
        <w:numPr>
          <w:ilvl w:val="0"/>
          <w:numId w:val="2"/>
        </w:numPr>
        <w:tabs>
          <w:tab w:pos="579" w:val="left" w:leader="none"/>
        </w:tabs>
        <w:spacing w:line="408" w:lineRule="auto" w:before="0" w:after="0"/>
        <w:ind w:left="100" w:right="177" w:firstLine="0"/>
        <w:jc w:val="both"/>
        <w:rPr>
          <w:sz w:val="24"/>
        </w:rPr>
      </w:pPr>
      <w:r>
        <w:rPr>
          <w:sz w:val="24"/>
        </w:rPr>
        <w:t>R. Jonas, </w:t>
      </w:r>
      <w:r>
        <w:rPr>
          <w:spacing w:val="-7"/>
          <w:sz w:val="24"/>
        </w:rPr>
        <w:t>L.F. </w:t>
      </w:r>
      <w:r>
        <w:rPr>
          <w:sz w:val="24"/>
        </w:rPr>
        <w:t>Farah, Production and application of microbial cellulose, Polym. Degrad. Stabil. 59 (1998) 101-106.</w:t>
      </w:r>
      <w:r>
        <w:rPr>
          <w:spacing w:val="-2"/>
          <w:sz w:val="24"/>
        </w:rPr>
        <w:t> </w:t>
      </w:r>
      <w:r>
        <w:rPr>
          <w:sz w:val="24"/>
        </w:rPr>
        <w:t>https://doi.org/10.1016/S0141-3910(97)00197-3.</w:t>
      </w:r>
    </w:p>
    <w:p>
      <w:pPr>
        <w:pStyle w:val="ListParagraph"/>
        <w:numPr>
          <w:ilvl w:val="0"/>
          <w:numId w:val="2"/>
        </w:numPr>
        <w:tabs>
          <w:tab w:pos="567" w:val="left" w:leader="none"/>
        </w:tabs>
        <w:spacing w:line="408" w:lineRule="auto" w:before="0" w:after="0"/>
        <w:ind w:left="100" w:right="175" w:firstLine="0"/>
        <w:jc w:val="both"/>
        <w:rPr>
          <w:sz w:val="24"/>
        </w:rPr>
      </w:pPr>
      <w:r>
        <w:rPr>
          <w:spacing w:val="-9"/>
          <w:sz w:val="24"/>
        </w:rPr>
        <w:t>T. </w:t>
      </w:r>
      <w:r>
        <w:rPr>
          <w:sz w:val="24"/>
        </w:rPr>
        <w:t>Naritomi, </w:t>
      </w:r>
      <w:r>
        <w:rPr>
          <w:spacing w:val="-9"/>
          <w:sz w:val="24"/>
        </w:rPr>
        <w:t>T. </w:t>
      </w:r>
      <w:r>
        <w:rPr>
          <w:sz w:val="24"/>
        </w:rPr>
        <w:t>Kouda, H. </w:t>
      </w:r>
      <w:r>
        <w:rPr>
          <w:spacing w:val="-6"/>
          <w:sz w:val="24"/>
        </w:rPr>
        <w:t>Yano, </w:t>
      </w:r>
      <w:r>
        <w:rPr>
          <w:spacing w:val="-11"/>
          <w:sz w:val="24"/>
        </w:rPr>
        <w:t>F. </w:t>
      </w:r>
      <w:r>
        <w:rPr>
          <w:spacing w:val="-3"/>
          <w:sz w:val="24"/>
        </w:rPr>
        <w:t>Yoshinaga, </w:t>
      </w:r>
      <w:r>
        <w:rPr>
          <w:sz w:val="24"/>
        </w:rPr>
        <w:t>Effect of lactate on bacterial cellulose production from fructose in continuous culture, J. Ferment. Bioeng. 85 (1998)</w:t>
      </w:r>
      <w:r>
        <w:rPr>
          <w:spacing w:val="23"/>
          <w:sz w:val="24"/>
        </w:rPr>
        <w:t> </w:t>
      </w:r>
      <w:r>
        <w:rPr>
          <w:sz w:val="24"/>
        </w:rPr>
        <w:t>89-95.</w:t>
      </w:r>
    </w:p>
    <w:p>
      <w:pPr>
        <w:pStyle w:val="BodyText"/>
        <w:spacing w:line="274" w:lineRule="exact"/>
        <w:jc w:val="both"/>
      </w:pPr>
      <w:r>
        <w:rPr/>
        <w:t>https://doi.org/10.1016/S0922-338X(97)80360-1.</w:t>
      </w:r>
    </w:p>
    <w:p>
      <w:pPr>
        <w:spacing w:after="0" w:line="274" w:lineRule="exact"/>
        <w:jc w:val="both"/>
        <w:sectPr>
          <w:pgSz w:w="11910" w:h="16840"/>
          <w:pgMar w:top="1440" w:bottom="280" w:left="980" w:right="900"/>
        </w:sectPr>
      </w:pPr>
    </w:p>
    <w:p>
      <w:pPr>
        <w:pStyle w:val="ListParagraph"/>
        <w:numPr>
          <w:ilvl w:val="0"/>
          <w:numId w:val="2"/>
        </w:numPr>
        <w:tabs>
          <w:tab w:pos="617" w:val="left" w:leader="none"/>
        </w:tabs>
        <w:spacing w:line="408" w:lineRule="auto" w:before="77" w:after="0"/>
        <w:ind w:left="100" w:right="175" w:firstLine="0"/>
        <w:jc w:val="both"/>
        <w:rPr>
          <w:sz w:val="24"/>
        </w:rPr>
      </w:pPr>
      <w:r>
        <w:rPr>
          <w:sz w:val="24"/>
        </w:rPr>
        <w:t>D. Klemm, D. Schumann, U. Udhardt, S. Marsch, Bacterial synthesized cellulose-artificial blood vessels for </w:t>
      </w:r>
      <w:r>
        <w:rPr>
          <w:spacing w:val="-3"/>
          <w:sz w:val="24"/>
        </w:rPr>
        <w:t>microsurgery,</w:t>
      </w:r>
      <w:r>
        <w:rPr>
          <w:spacing w:val="53"/>
          <w:sz w:val="24"/>
        </w:rPr>
        <w:t> </w:t>
      </w:r>
      <w:r>
        <w:rPr>
          <w:sz w:val="24"/>
        </w:rPr>
        <w:t>Prog. Polym. Sci. 26 (2001) 1561-1603. https://doi.org/10.1016/S0079-6700(01)00021-1.</w:t>
      </w:r>
    </w:p>
    <w:p>
      <w:pPr>
        <w:pStyle w:val="ListParagraph"/>
        <w:numPr>
          <w:ilvl w:val="0"/>
          <w:numId w:val="2"/>
        </w:numPr>
        <w:tabs>
          <w:tab w:pos="579" w:val="left" w:leader="none"/>
        </w:tabs>
        <w:spacing w:line="408" w:lineRule="auto" w:before="0" w:after="0"/>
        <w:ind w:left="100" w:right="174" w:firstLine="0"/>
        <w:jc w:val="both"/>
        <w:rPr>
          <w:sz w:val="24"/>
        </w:rPr>
      </w:pPr>
      <w:r>
        <w:rPr>
          <w:sz w:val="24"/>
        </w:rPr>
        <w:t>A. Svensson, E. Nicklasson, </w:t>
      </w:r>
      <w:r>
        <w:rPr>
          <w:spacing w:val="-9"/>
          <w:sz w:val="24"/>
        </w:rPr>
        <w:t>T. </w:t>
      </w:r>
      <w:r>
        <w:rPr>
          <w:sz w:val="24"/>
        </w:rPr>
        <w:t>Harrah, B. Panilaitis, D.L. Kaplan, M. Brittberg, </w:t>
      </w:r>
      <w:r>
        <w:rPr>
          <w:spacing w:val="-13"/>
          <w:sz w:val="24"/>
        </w:rPr>
        <w:t>P. </w:t>
      </w:r>
      <w:r>
        <w:rPr>
          <w:sz w:val="24"/>
        </w:rPr>
        <w:t>Gatenholm, Bacterial cellulose as a potential scaffold for tissue engineering of cartilage, Biomaterials 26 (2005) 419-</w:t>
      </w:r>
      <w:hyperlink r:id="rId8">
        <w:r>
          <w:rPr>
            <w:sz w:val="24"/>
          </w:rPr>
          <w:t>431.</w:t>
        </w:r>
        <w:r>
          <w:rPr>
            <w:spacing w:val="-1"/>
            <w:sz w:val="24"/>
          </w:rPr>
          <w:t> </w:t>
        </w:r>
        <w:r>
          <w:rPr>
            <w:sz w:val="24"/>
          </w:rPr>
          <w:t>https://doi.org/10.1016/j.biomaterials.2004.02.049.</w:t>
        </w:r>
      </w:hyperlink>
    </w:p>
    <w:p>
      <w:pPr>
        <w:pStyle w:val="ListParagraph"/>
        <w:numPr>
          <w:ilvl w:val="0"/>
          <w:numId w:val="2"/>
        </w:numPr>
        <w:tabs>
          <w:tab w:pos="600" w:val="left" w:leader="none"/>
        </w:tabs>
        <w:spacing w:line="408" w:lineRule="auto" w:before="0" w:after="0"/>
        <w:ind w:left="100" w:right="176" w:firstLine="0"/>
        <w:jc w:val="both"/>
        <w:rPr>
          <w:sz w:val="24"/>
        </w:rPr>
      </w:pPr>
      <w:r>
        <w:rPr>
          <w:spacing w:val="-11"/>
          <w:sz w:val="24"/>
        </w:rPr>
        <w:t>W. </w:t>
      </w:r>
      <w:r>
        <w:rPr>
          <w:sz w:val="24"/>
        </w:rPr>
        <w:t>Hu, S. Chen, B. Zhou, </w:t>
      </w:r>
      <w:r>
        <w:rPr>
          <w:spacing w:val="-3"/>
          <w:sz w:val="24"/>
        </w:rPr>
        <w:t>L. </w:t>
      </w:r>
      <w:r>
        <w:rPr>
          <w:sz w:val="24"/>
        </w:rPr>
        <w:t>Liu, B. Ding, H. </w:t>
      </w:r>
      <w:r>
        <w:rPr>
          <w:spacing w:val="-5"/>
          <w:sz w:val="24"/>
        </w:rPr>
        <w:t>Wang, </w:t>
      </w:r>
      <w:r>
        <w:rPr>
          <w:sz w:val="24"/>
        </w:rPr>
        <w:t>Highly stable and sensitive humidity sensors based on quartz crystal microbalance coated with bacterial cellulose membrane, Sens. Actuators B 159 (2011) 301-306.</w:t>
      </w:r>
      <w:r>
        <w:rPr>
          <w:spacing w:val="-4"/>
          <w:sz w:val="24"/>
        </w:rPr>
        <w:t> </w:t>
      </w:r>
      <w:r>
        <w:rPr>
          <w:sz w:val="24"/>
        </w:rPr>
        <w:t>https://doi.org/10.1016/j.snb.2011.07.014.</w:t>
      </w:r>
    </w:p>
    <w:p>
      <w:pPr>
        <w:pStyle w:val="ListParagraph"/>
        <w:numPr>
          <w:ilvl w:val="0"/>
          <w:numId w:val="2"/>
        </w:numPr>
        <w:tabs>
          <w:tab w:pos="610" w:val="left" w:leader="none"/>
        </w:tabs>
        <w:spacing w:line="408" w:lineRule="auto" w:before="0" w:after="0"/>
        <w:ind w:left="100" w:right="175" w:firstLine="0"/>
        <w:jc w:val="both"/>
        <w:rPr>
          <w:sz w:val="24"/>
        </w:rPr>
      </w:pPr>
      <w:r>
        <w:rPr>
          <w:spacing w:val="-8"/>
          <w:sz w:val="24"/>
        </w:rPr>
        <w:t>Y.Q. </w:t>
      </w:r>
      <w:r>
        <w:rPr>
          <w:sz w:val="24"/>
        </w:rPr>
        <w:t>Fu, J.K. Luo, </w:t>
      </w:r>
      <w:r>
        <w:rPr>
          <w:spacing w:val="-5"/>
          <w:sz w:val="24"/>
        </w:rPr>
        <w:t>N.T. </w:t>
      </w:r>
      <w:r>
        <w:rPr>
          <w:sz w:val="24"/>
        </w:rPr>
        <w:t>Nguyen, A.J. </w:t>
      </w:r>
      <w:r>
        <w:rPr>
          <w:spacing w:val="-3"/>
          <w:sz w:val="24"/>
        </w:rPr>
        <w:t>Walton, </w:t>
      </w:r>
      <w:r>
        <w:rPr>
          <w:sz w:val="24"/>
        </w:rPr>
        <w:t>A.J. Flewitt, X.T Zu, </w:t>
      </w:r>
      <w:r>
        <w:rPr>
          <w:spacing w:val="-16"/>
          <w:sz w:val="24"/>
        </w:rPr>
        <w:t>Y. </w:t>
      </w:r>
      <w:r>
        <w:rPr>
          <w:sz w:val="24"/>
        </w:rPr>
        <w:t>Li, </w:t>
      </w:r>
      <w:r>
        <w:rPr>
          <w:spacing w:val="-15"/>
          <w:sz w:val="24"/>
        </w:rPr>
        <w:t>G. </w:t>
      </w:r>
      <w:r>
        <w:rPr>
          <w:sz w:val="24"/>
        </w:rPr>
        <w:t>McHale, A. Matthews. E. Iborra H. Du, </w:t>
      </w:r>
      <w:r>
        <w:rPr>
          <w:spacing w:val="-7"/>
          <w:sz w:val="24"/>
        </w:rPr>
        <w:t>W.I. </w:t>
      </w:r>
      <w:r>
        <w:rPr>
          <w:sz w:val="24"/>
        </w:rPr>
        <w:t>Milne, Advances in piezoelectric thin films for acoustic biosensors, acoustofluidics and lab-on-chip applications, Progress in Mater Sci. 89 (2017) 31-91. https://doi.org/10.1016/j.pmatsci.2017.04.006.</w:t>
      </w:r>
    </w:p>
    <w:p>
      <w:pPr>
        <w:pStyle w:val="ListParagraph"/>
        <w:numPr>
          <w:ilvl w:val="0"/>
          <w:numId w:val="2"/>
        </w:numPr>
        <w:tabs>
          <w:tab w:pos="591" w:val="left" w:leader="none"/>
        </w:tabs>
        <w:spacing w:line="408" w:lineRule="auto" w:before="0" w:after="0"/>
        <w:ind w:left="100" w:right="173" w:firstLine="0"/>
        <w:jc w:val="both"/>
        <w:rPr>
          <w:sz w:val="24"/>
        </w:rPr>
      </w:pPr>
      <w:r>
        <w:rPr>
          <w:sz w:val="24"/>
        </w:rPr>
        <w:t>B. Liu, X. Chen, H. Cai, M. Mohammad, X. Tian, L. </w:t>
      </w:r>
      <w:r>
        <w:rPr>
          <w:spacing w:val="-5"/>
          <w:sz w:val="24"/>
        </w:rPr>
        <w:t>Tao, </w:t>
      </w:r>
      <w:r>
        <w:rPr>
          <w:spacing w:val="-16"/>
          <w:sz w:val="24"/>
        </w:rPr>
        <w:t>Y. </w:t>
      </w:r>
      <w:r>
        <w:rPr>
          <w:spacing w:val="-6"/>
          <w:sz w:val="24"/>
        </w:rPr>
        <w:t>Yang, </w:t>
      </w:r>
      <w:r>
        <w:rPr>
          <w:spacing w:val="-9"/>
          <w:sz w:val="24"/>
        </w:rPr>
        <w:t>T. </w:t>
      </w:r>
      <w:r>
        <w:rPr>
          <w:sz w:val="24"/>
        </w:rPr>
        <w:t>Ren, Surface acoustic wave devices for sensor applications, J. Semicond 2 (2016) 1-9. https://doi.org/10.1088/1674-4926/37/2/021001.</w:t>
      </w:r>
    </w:p>
    <w:p>
      <w:pPr>
        <w:pStyle w:val="ListParagraph"/>
        <w:numPr>
          <w:ilvl w:val="0"/>
          <w:numId w:val="2"/>
        </w:numPr>
        <w:tabs>
          <w:tab w:pos="562" w:val="left" w:leader="none"/>
        </w:tabs>
        <w:spacing w:line="408" w:lineRule="auto" w:before="0" w:after="0"/>
        <w:ind w:left="100" w:right="172" w:firstLine="0"/>
        <w:jc w:val="both"/>
        <w:rPr>
          <w:sz w:val="24"/>
        </w:rPr>
      </w:pPr>
      <w:r>
        <w:rPr>
          <w:sz w:val="24"/>
        </w:rPr>
        <w:t>A. Afzal, N. Iqbal, A. Mujahid, R. Schirhagl. Advanced vapor recognition materials for</w:t>
      </w:r>
      <w:r>
        <w:rPr>
          <w:spacing w:val="-33"/>
          <w:sz w:val="24"/>
        </w:rPr>
        <w:t> </w:t>
      </w:r>
      <w:r>
        <w:rPr>
          <w:sz w:val="24"/>
        </w:rPr>
        <w:t>selective and fast responsive surface acoustic wave sensors: A </w:t>
      </w:r>
      <w:r>
        <w:rPr>
          <w:spacing w:val="-3"/>
          <w:sz w:val="24"/>
        </w:rPr>
        <w:t>review, </w:t>
      </w:r>
      <w:r>
        <w:rPr>
          <w:sz w:val="24"/>
        </w:rPr>
        <w:t>Anal. Chim. Acta 787 (2013) 36-49. https://doi.org/10.1016/j.aca.2013.05.005.</w:t>
      </w:r>
    </w:p>
    <w:p>
      <w:pPr>
        <w:pStyle w:val="ListParagraph"/>
        <w:numPr>
          <w:ilvl w:val="0"/>
          <w:numId w:val="2"/>
        </w:numPr>
        <w:tabs>
          <w:tab w:pos="591" w:val="left" w:leader="none"/>
          <w:tab w:pos="3237" w:val="left" w:leader="none"/>
          <w:tab w:pos="6012" w:val="left" w:leader="none"/>
          <w:tab w:pos="9848" w:val="right" w:leader="none"/>
        </w:tabs>
        <w:spacing w:line="408" w:lineRule="auto" w:before="0" w:after="0"/>
        <w:ind w:left="100" w:right="175" w:firstLine="0"/>
        <w:jc w:val="both"/>
        <w:rPr>
          <w:sz w:val="24"/>
        </w:rPr>
      </w:pPr>
      <w:r>
        <w:rPr>
          <w:spacing w:val="-3"/>
          <w:sz w:val="24"/>
        </w:rPr>
        <w:t>L. </w:t>
      </w:r>
      <w:r>
        <w:rPr>
          <w:sz w:val="24"/>
        </w:rPr>
        <w:t>Greenspan, Humidity fixed points of binary saturated aqueous solutions, J. Res. Natl. </w:t>
      </w:r>
      <w:r>
        <w:rPr>
          <w:spacing w:val="-4"/>
          <w:sz w:val="24"/>
        </w:rPr>
        <w:t>Bur. </w:t>
      </w:r>
      <w:r>
        <w:rPr>
          <w:sz w:val="24"/>
        </w:rPr>
        <w:t>Stand.</w:t>
        <w:tab/>
        <w:t>81</w:t>
        <w:tab/>
        <w:t>(1977)</w:t>
        <w:tab/>
        <w:t>89–96.</w:t>
      </w:r>
    </w:p>
    <w:p>
      <w:pPr>
        <w:pStyle w:val="BodyText"/>
        <w:spacing w:line="274" w:lineRule="exact"/>
        <w:jc w:val="both"/>
      </w:pPr>
      <w:r>
        <w:rPr/>
        <w:t>https://pdfs.semanticscholar.org/9a90/c8e8fb71c152ae3bacf9904e6c761cdf9de7.pdf.</w:t>
      </w:r>
    </w:p>
    <w:p>
      <w:pPr>
        <w:pStyle w:val="ListParagraph"/>
        <w:numPr>
          <w:ilvl w:val="0"/>
          <w:numId w:val="2"/>
        </w:numPr>
        <w:tabs>
          <w:tab w:pos="571" w:val="left" w:leader="none"/>
        </w:tabs>
        <w:spacing w:line="408" w:lineRule="auto" w:before="171" w:after="0"/>
        <w:ind w:left="100" w:right="183" w:firstLine="0"/>
        <w:jc w:val="both"/>
        <w:rPr>
          <w:sz w:val="24"/>
        </w:rPr>
      </w:pPr>
      <w:r>
        <w:rPr>
          <w:sz w:val="24"/>
        </w:rPr>
        <w:t>C. Eaborn, The sadtler handbook of infrared spectra: edited by </w:t>
      </w:r>
      <w:r>
        <w:rPr>
          <w:spacing w:val="-11"/>
          <w:sz w:val="24"/>
        </w:rPr>
        <w:t>W.W. </w:t>
      </w:r>
      <w:r>
        <w:rPr>
          <w:sz w:val="24"/>
        </w:rPr>
        <w:t>Simons, Heyden and Son, Ltd, London, J. Organomet. Chem. 171 (1979) 44.</w:t>
      </w:r>
      <w:r>
        <w:rPr>
          <w:spacing w:val="-19"/>
          <w:sz w:val="24"/>
        </w:rPr>
        <w:t> </w:t>
      </w:r>
      <w:r>
        <w:rPr>
          <w:sz w:val="24"/>
        </w:rPr>
        <w:t>https://doi.org/10.1016/S0022-328X(00)81552-1.</w:t>
      </w:r>
    </w:p>
    <w:p>
      <w:pPr>
        <w:pStyle w:val="ListParagraph"/>
        <w:numPr>
          <w:ilvl w:val="0"/>
          <w:numId w:val="2"/>
        </w:numPr>
        <w:tabs>
          <w:tab w:pos="600" w:val="left" w:leader="none"/>
        </w:tabs>
        <w:spacing w:line="408" w:lineRule="auto" w:before="0" w:after="0"/>
        <w:ind w:left="100" w:right="182" w:firstLine="0"/>
        <w:jc w:val="both"/>
        <w:rPr>
          <w:sz w:val="24"/>
        </w:rPr>
      </w:pPr>
      <w:r>
        <w:rPr>
          <w:sz w:val="24"/>
        </w:rPr>
        <w:t>S. Okuda, </w:t>
      </w:r>
      <w:r>
        <w:rPr>
          <w:spacing w:val="-9"/>
          <w:sz w:val="24"/>
        </w:rPr>
        <w:t>T. </w:t>
      </w:r>
      <w:r>
        <w:rPr>
          <w:sz w:val="24"/>
        </w:rPr>
        <w:t>Ono, </w:t>
      </w:r>
      <w:r>
        <w:rPr>
          <w:spacing w:val="-16"/>
          <w:sz w:val="24"/>
        </w:rPr>
        <w:t>Y. </w:t>
      </w:r>
      <w:r>
        <w:rPr>
          <w:sz w:val="24"/>
        </w:rPr>
        <w:t>Kanai, </w:t>
      </w:r>
      <w:r>
        <w:rPr>
          <w:spacing w:val="-9"/>
          <w:sz w:val="24"/>
        </w:rPr>
        <w:t>T. </w:t>
      </w:r>
      <w:r>
        <w:rPr>
          <w:sz w:val="24"/>
        </w:rPr>
        <w:t>Ikuta, M. Shimatani, S. Ogawa, K. Maehashi, K. Inoue, K. Matsumoto, Graphene surface acoustic wave sensor for simultaneous detection of charge and mass, ACS Sens. 3 (2018) 200-204.</w:t>
      </w:r>
      <w:r>
        <w:rPr>
          <w:spacing w:val="-2"/>
          <w:sz w:val="24"/>
        </w:rPr>
        <w:t> </w:t>
      </w:r>
      <w:r>
        <w:rPr>
          <w:sz w:val="24"/>
        </w:rPr>
        <w:t>https://doi.org/10.1021/acssensors.7b00851.</w:t>
      </w:r>
    </w:p>
    <w:p>
      <w:pPr>
        <w:pStyle w:val="ListParagraph"/>
        <w:numPr>
          <w:ilvl w:val="0"/>
          <w:numId w:val="2"/>
        </w:numPr>
        <w:tabs>
          <w:tab w:pos="627" w:val="left" w:leader="none"/>
        </w:tabs>
        <w:spacing w:line="408" w:lineRule="auto" w:before="0" w:after="0"/>
        <w:ind w:left="100" w:right="175" w:firstLine="0"/>
        <w:jc w:val="both"/>
        <w:rPr>
          <w:sz w:val="24"/>
        </w:rPr>
      </w:pPr>
      <w:r>
        <w:rPr>
          <w:sz w:val="24"/>
        </w:rPr>
        <w:t>A. Müller, </w:t>
      </w:r>
      <w:r>
        <w:rPr>
          <w:spacing w:val="-15"/>
          <w:sz w:val="24"/>
        </w:rPr>
        <w:t>G. </w:t>
      </w:r>
      <w:r>
        <w:rPr>
          <w:sz w:val="24"/>
        </w:rPr>
        <w:t>Konstantinidis, </w:t>
      </w:r>
      <w:r>
        <w:rPr>
          <w:spacing w:val="-16"/>
          <w:sz w:val="24"/>
        </w:rPr>
        <w:t>V. </w:t>
      </w:r>
      <w:r>
        <w:rPr>
          <w:sz w:val="24"/>
        </w:rPr>
        <w:t>Buiculescu, A.Dinescu, A. Stavrinidis, A. Stefanescu, </w:t>
      </w:r>
      <w:r>
        <w:rPr>
          <w:spacing w:val="-15"/>
          <w:sz w:val="24"/>
        </w:rPr>
        <w:t>G. </w:t>
      </w:r>
      <w:r>
        <w:rPr>
          <w:sz w:val="24"/>
        </w:rPr>
        <w:t>Stavrinidis, </w:t>
      </w:r>
      <w:r>
        <w:rPr>
          <w:spacing w:val="-3"/>
          <w:sz w:val="24"/>
        </w:rPr>
        <w:t>I. </w:t>
      </w:r>
      <w:r>
        <w:rPr>
          <w:sz w:val="24"/>
        </w:rPr>
        <w:t>Giangu, A. Cismaru, A. Modoveanu, GaN/Si based single </w:t>
      </w:r>
      <w:r>
        <w:rPr>
          <w:spacing w:val="-6"/>
          <w:sz w:val="24"/>
        </w:rPr>
        <w:t>SAW </w:t>
      </w:r>
      <w:r>
        <w:rPr>
          <w:sz w:val="24"/>
        </w:rPr>
        <w:t>resonator temperature sensor</w:t>
      </w:r>
      <w:r>
        <w:rPr>
          <w:spacing w:val="5"/>
          <w:sz w:val="24"/>
        </w:rPr>
        <w:t> </w:t>
      </w:r>
      <w:r>
        <w:rPr>
          <w:sz w:val="24"/>
        </w:rPr>
        <w:t>operating</w:t>
      </w:r>
      <w:r>
        <w:rPr>
          <w:spacing w:val="3"/>
          <w:sz w:val="24"/>
        </w:rPr>
        <w:t> </w:t>
      </w:r>
      <w:r>
        <w:rPr>
          <w:sz w:val="24"/>
        </w:rPr>
        <w:t>in</w:t>
      </w:r>
      <w:r>
        <w:rPr>
          <w:spacing w:val="6"/>
          <w:sz w:val="24"/>
        </w:rPr>
        <w:t> </w:t>
      </w:r>
      <w:r>
        <w:rPr>
          <w:sz w:val="24"/>
        </w:rPr>
        <w:t>the</w:t>
      </w:r>
      <w:r>
        <w:rPr>
          <w:spacing w:val="5"/>
          <w:sz w:val="24"/>
        </w:rPr>
        <w:t> </w:t>
      </w:r>
      <w:r>
        <w:rPr>
          <w:sz w:val="24"/>
        </w:rPr>
        <w:t>GHz</w:t>
      </w:r>
      <w:r>
        <w:rPr>
          <w:spacing w:val="7"/>
          <w:sz w:val="24"/>
        </w:rPr>
        <w:t> </w:t>
      </w:r>
      <w:r>
        <w:rPr>
          <w:sz w:val="24"/>
        </w:rPr>
        <w:t>frequency</w:t>
      </w:r>
      <w:r>
        <w:rPr>
          <w:spacing w:val="1"/>
          <w:sz w:val="24"/>
        </w:rPr>
        <w:t> </w:t>
      </w:r>
      <w:r>
        <w:rPr>
          <w:sz w:val="24"/>
        </w:rPr>
        <w:t>range,</w:t>
      </w:r>
      <w:r>
        <w:rPr>
          <w:spacing w:val="10"/>
          <w:sz w:val="24"/>
        </w:rPr>
        <w:t> </w:t>
      </w:r>
      <w:r>
        <w:rPr>
          <w:sz w:val="24"/>
        </w:rPr>
        <w:t>Sens.</w:t>
      </w:r>
      <w:r>
        <w:rPr>
          <w:spacing w:val="6"/>
          <w:sz w:val="24"/>
        </w:rPr>
        <w:t> </w:t>
      </w:r>
      <w:r>
        <w:rPr>
          <w:sz w:val="24"/>
        </w:rPr>
        <w:t>Actuators</w:t>
      </w:r>
      <w:r>
        <w:rPr>
          <w:spacing w:val="10"/>
          <w:sz w:val="24"/>
        </w:rPr>
        <w:t> </w:t>
      </w:r>
      <w:r>
        <w:rPr>
          <w:sz w:val="24"/>
        </w:rPr>
        <w:t>A</w:t>
      </w:r>
      <w:r>
        <w:rPr>
          <w:spacing w:val="7"/>
          <w:sz w:val="24"/>
        </w:rPr>
        <w:t> </w:t>
      </w:r>
      <w:r>
        <w:rPr>
          <w:sz w:val="24"/>
        </w:rPr>
        <w:t>209</w:t>
      </w:r>
      <w:r>
        <w:rPr>
          <w:spacing w:val="6"/>
          <w:sz w:val="24"/>
        </w:rPr>
        <w:t> </w:t>
      </w:r>
      <w:r>
        <w:rPr>
          <w:sz w:val="24"/>
        </w:rPr>
        <w:t>(2014)</w:t>
      </w:r>
      <w:r>
        <w:rPr>
          <w:spacing w:val="6"/>
          <w:sz w:val="24"/>
        </w:rPr>
        <w:t> </w:t>
      </w:r>
      <w:r>
        <w:rPr>
          <w:sz w:val="24"/>
        </w:rPr>
        <w:t>115-123.</w:t>
      </w:r>
    </w:p>
    <w:p>
      <w:pPr>
        <w:spacing w:after="0" w:line="408" w:lineRule="auto"/>
        <w:jc w:val="both"/>
        <w:rPr>
          <w:sz w:val="24"/>
        </w:rPr>
        <w:sectPr>
          <w:pgSz w:w="11910" w:h="16840"/>
          <w:pgMar w:top="1440" w:bottom="280" w:left="980" w:right="900"/>
        </w:sectPr>
      </w:pPr>
    </w:p>
    <w:p>
      <w:pPr>
        <w:pStyle w:val="BodyText"/>
        <w:spacing w:before="77"/>
        <w:jc w:val="both"/>
      </w:pPr>
      <w:r>
        <w:rPr/>
        <w:t>https://doi.org/10.1016/j.sna.2014.01.028.</w:t>
      </w:r>
    </w:p>
    <w:p>
      <w:pPr>
        <w:pStyle w:val="ListParagraph"/>
        <w:numPr>
          <w:ilvl w:val="0"/>
          <w:numId w:val="2"/>
        </w:numPr>
        <w:tabs>
          <w:tab w:pos="579" w:val="left" w:leader="none"/>
        </w:tabs>
        <w:spacing w:line="408" w:lineRule="auto" w:before="192" w:after="0"/>
        <w:ind w:left="100" w:right="176" w:firstLine="0"/>
        <w:jc w:val="both"/>
        <w:rPr>
          <w:sz w:val="24"/>
        </w:rPr>
      </w:pPr>
      <w:r>
        <w:rPr>
          <w:spacing w:val="-9"/>
          <w:sz w:val="24"/>
        </w:rPr>
        <w:t>V.B. </w:t>
      </w:r>
      <w:r>
        <w:rPr>
          <w:sz w:val="24"/>
        </w:rPr>
        <w:t>Raj, </w:t>
      </w:r>
      <w:r>
        <w:rPr>
          <w:spacing w:val="-5"/>
          <w:sz w:val="24"/>
        </w:rPr>
        <w:t>A.T. </w:t>
      </w:r>
      <w:r>
        <w:rPr>
          <w:sz w:val="24"/>
        </w:rPr>
        <w:t>Nimal, </w:t>
      </w:r>
      <w:r>
        <w:rPr>
          <w:spacing w:val="-16"/>
          <w:sz w:val="24"/>
        </w:rPr>
        <w:t>Y. </w:t>
      </w:r>
      <w:r>
        <w:rPr>
          <w:sz w:val="24"/>
        </w:rPr>
        <w:t>Parmar, M.U. Sharma, </w:t>
      </w:r>
      <w:r>
        <w:rPr>
          <w:spacing w:val="-16"/>
          <w:sz w:val="24"/>
        </w:rPr>
        <w:t>V. </w:t>
      </w:r>
      <w:r>
        <w:rPr>
          <w:sz w:val="24"/>
        </w:rPr>
        <w:t>Gupta, Investigations on the origin of mass and elastic loading in the time varying distinct response of ZnO </w:t>
      </w:r>
      <w:r>
        <w:rPr>
          <w:spacing w:val="-6"/>
          <w:sz w:val="24"/>
        </w:rPr>
        <w:t>SAW </w:t>
      </w:r>
      <w:r>
        <w:rPr>
          <w:sz w:val="24"/>
        </w:rPr>
        <w:t>ammonia sensor, Sens. Actuators B 166 (2012) 576-585.</w:t>
      </w:r>
      <w:r>
        <w:rPr>
          <w:spacing w:val="-3"/>
          <w:sz w:val="24"/>
        </w:rPr>
        <w:t> </w:t>
      </w:r>
      <w:r>
        <w:rPr>
          <w:sz w:val="24"/>
        </w:rPr>
        <w:t>https://doi.org/10.1016/j.snb.2012.03.013.</w:t>
      </w:r>
    </w:p>
    <w:p>
      <w:pPr>
        <w:pStyle w:val="ListParagraph"/>
        <w:numPr>
          <w:ilvl w:val="0"/>
          <w:numId w:val="2"/>
        </w:numPr>
        <w:tabs>
          <w:tab w:pos="579" w:val="left" w:leader="none"/>
        </w:tabs>
        <w:spacing w:line="408" w:lineRule="auto" w:before="0" w:after="0"/>
        <w:ind w:left="100" w:right="175" w:firstLine="0"/>
        <w:jc w:val="both"/>
        <w:rPr>
          <w:sz w:val="24"/>
        </w:rPr>
      </w:pPr>
      <w:r>
        <w:rPr>
          <w:spacing w:val="-12"/>
          <w:sz w:val="24"/>
        </w:rPr>
        <w:t>W.P. </w:t>
      </w:r>
      <w:r>
        <w:rPr>
          <w:sz w:val="24"/>
        </w:rPr>
        <w:t>Jakubik, Surface acoustic wave-based gas sensors, Thin Solid Films 520 (2011) 986-993. https://doi.org/10.1016/j.tsf.2011.04.174.</w:t>
      </w:r>
    </w:p>
    <w:p>
      <w:pPr>
        <w:pStyle w:val="ListParagraph"/>
        <w:numPr>
          <w:ilvl w:val="0"/>
          <w:numId w:val="2"/>
        </w:numPr>
        <w:tabs>
          <w:tab w:pos="595" w:val="left" w:leader="none"/>
        </w:tabs>
        <w:spacing w:line="408" w:lineRule="auto" w:before="0" w:after="0"/>
        <w:ind w:left="100" w:right="175" w:firstLine="0"/>
        <w:jc w:val="both"/>
        <w:rPr>
          <w:sz w:val="24"/>
        </w:rPr>
      </w:pPr>
      <w:r>
        <w:rPr>
          <w:sz w:val="24"/>
        </w:rPr>
        <w:t>J.D.N. Cheeke, Z. </w:t>
      </w:r>
      <w:r>
        <w:rPr>
          <w:spacing w:val="-5"/>
          <w:sz w:val="24"/>
        </w:rPr>
        <w:t>Wang, </w:t>
      </w:r>
      <w:r>
        <w:rPr>
          <w:sz w:val="24"/>
        </w:rPr>
        <w:t>Acoustic wave gas sensors, Sens. Actuators B 59 (1999) 146-153. https://doi.org/10.1016/s0925-4005(99)00212-9.</w:t>
      </w:r>
    </w:p>
    <w:p>
      <w:pPr>
        <w:pStyle w:val="ListParagraph"/>
        <w:numPr>
          <w:ilvl w:val="0"/>
          <w:numId w:val="2"/>
        </w:numPr>
        <w:tabs>
          <w:tab w:pos="605" w:val="left" w:leader="none"/>
        </w:tabs>
        <w:spacing w:line="408" w:lineRule="auto" w:before="0" w:after="0"/>
        <w:ind w:left="100" w:right="175" w:firstLine="0"/>
        <w:jc w:val="both"/>
        <w:rPr>
          <w:sz w:val="24"/>
        </w:rPr>
      </w:pPr>
      <w:r>
        <w:rPr>
          <w:sz w:val="24"/>
        </w:rPr>
        <w:t>J. </w:t>
      </w:r>
      <w:r>
        <w:rPr>
          <w:spacing w:val="-3"/>
          <w:sz w:val="24"/>
        </w:rPr>
        <w:t>Weremczuk, </w:t>
      </w:r>
      <w:r>
        <w:rPr>
          <w:sz w:val="24"/>
        </w:rPr>
        <w:t>R. Iwaszko, R. Jachowicz, The method of water molecules counting during condensation process in the dew point detector, Sens. Actuators B 175 (2012) 137-141. </w:t>
      </w:r>
      <w:hyperlink r:id="rId9">
        <w:r>
          <w:rPr>
            <w:sz w:val="24"/>
          </w:rPr>
          <w:t>https://doi.org/10.1016/j.snb.2012.01.014.</w:t>
        </w:r>
      </w:hyperlink>
    </w:p>
    <w:p>
      <w:pPr>
        <w:pStyle w:val="ListParagraph"/>
        <w:numPr>
          <w:ilvl w:val="0"/>
          <w:numId w:val="2"/>
        </w:numPr>
        <w:tabs>
          <w:tab w:pos="571" w:val="left" w:leader="none"/>
        </w:tabs>
        <w:spacing w:line="408" w:lineRule="auto" w:before="0" w:after="0"/>
        <w:ind w:left="100" w:right="173" w:firstLine="0"/>
        <w:jc w:val="both"/>
        <w:rPr>
          <w:sz w:val="24"/>
        </w:rPr>
      </w:pPr>
      <w:r>
        <w:rPr>
          <w:sz w:val="24"/>
        </w:rPr>
        <w:t>S.A. Kolpakov, </w:t>
      </w:r>
      <w:r>
        <w:rPr>
          <w:spacing w:val="-5"/>
          <w:sz w:val="24"/>
        </w:rPr>
        <w:t>N.T. </w:t>
      </w:r>
      <w:r>
        <w:rPr>
          <w:sz w:val="24"/>
        </w:rPr>
        <w:t>Gordon, C. Mou, K. Zhou, </w:t>
      </w:r>
      <w:r>
        <w:rPr>
          <w:spacing w:val="-4"/>
          <w:sz w:val="24"/>
        </w:rPr>
        <w:t>Toward </w:t>
      </w:r>
      <w:r>
        <w:rPr>
          <w:sz w:val="24"/>
        </w:rPr>
        <w:t>a new generation of photonic humidity sensors, Sensors 14 (2014) 3986-4013.</w:t>
      </w:r>
      <w:r>
        <w:rPr>
          <w:spacing w:val="57"/>
          <w:sz w:val="24"/>
        </w:rPr>
        <w:t> </w:t>
      </w:r>
      <w:r>
        <w:rPr>
          <w:sz w:val="24"/>
        </w:rPr>
        <w:t>https://doi.org/10.3390/s140303986.</w:t>
      </w:r>
    </w:p>
    <w:p>
      <w:pPr>
        <w:pStyle w:val="ListParagraph"/>
        <w:numPr>
          <w:ilvl w:val="0"/>
          <w:numId w:val="2"/>
        </w:numPr>
        <w:tabs>
          <w:tab w:pos="583" w:val="left" w:leader="none"/>
        </w:tabs>
        <w:spacing w:line="398" w:lineRule="auto" w:before="0" w:after="0"/>
        <w:ind w:left="100" w:right="180" w:firstLine="0"/>
        <w:jc w:val="both"/>
        <w:rPr>
          <w:sz w:val="24"/>
        </w:rPr>
      </w:pPr>
      <w:r>
        <w:rPr>
          <w:spacing w:val="-16"/>
          <w:sz w:val="24"/>
        </w:rPr>
        <w:t>Y. </w:t>
      </w:r>
      <w:r>
        <w:rPr>
          <w:sz w:val="24"/>
        </w:rPr>
        <w:t>Liu, H. Huang, L.L. </w:t>
      </w:r>
      <w:r>
        <w:rPr>
          <w:spacing w:val="-5"/>
          <w:sz w:val="24"/>
        </w:rPr>
        <w:t>Wang, </w:t>
      </w:r>
      <w:r>
        <w:rPr>
          <w:spacing w:val="-7"/>
          <w:sz w:val="24"/>
        </w:rPr>
        <w:t>D.P. </w:t>
      </w:r>
      <w:r>
        <w:rPr>
          <w:sz w:val="24"/>
        </w:rPr>
        <w:t>Cai, B. Liu, D.D. </w:t>
      </w:r>
      <w:r>
        <w:rPr>
          <w:spacing w:val="-5"/>
          <w:sz w:val="24"/>
        </w:rPr>
        <w:t>Wang, </w:t>
      </w:r>
      <w:r>
        <w:rPr>
          <w:sz w:val="24"/>
        </w:rPr>
        <w:t>Q.H. Li, </w:t>
      </w:r>
      <w:r>
        <w:rPr>
          <w:spacing w:val="-5"/>
          <w:sz w:val="24"/>
        </w:rPr>
        <w:t>T.H. Wang, </w:t>
      </w:r>
      <w:r>
        <w:rPr>
          <w:sz w:val="24"/>
        </w:rPr>
        <w:t>Electrospun</w:t>
      </w:r>
      <w:r>
        <w:rPr>
          <w:position w:val="2"/>
          <w:sz w:val="24"/>
        </w:rPr>
        <w:t> CeO</w:t>
      </w:r>
      <w:r>
        <w:rPr>
          <w:position w:val="2"/>
          <w:sz w:val="24"/>
          <w:vertAlign w:val="subscript"/>
        </w:rPr>
        <w:t>2</w:t>
      </w:r>
      <w:r>
        <w:rPr>
          <w:position w:val="2"/>
          <w:sz w:val="24"/>
          <w:vertAlign w:val="baseline"/>
        </w:rPr>
        <w:t> nanoparticles/PVP nanofibers based high-frequency surface acoustic wave humidity sensor,</w:t>
      </w:r>
      <w:r>
        <w:rPr>
          <w:sz w:val="24"/>
          <w:vertAlign w:val="baseline"/>
        </w:rPr>
        <w:t> Sens. Actuators B 223 (2016) 730-</w:t>
      </w:r>
      <w:hyperlink r:id="rId10">
        <w:r>
          <w:rPr>
            <w:sz w:val="24"/>
            <w:vertAlign w:val="baseline"/>
          </w:rPr>
          <w:t>737.</w:t>
        </w:r>
        <w:r>
          <w:rPr>
            <w:spacing w:val="-18"/>
            <w:sz w:val="24"/>
            <w:vertAlign w:val="baseline"/>
          </w:rPr>
          <w:t> </w:t>
        </w:r>
        <w:r>
          <w:rPr>
            <w:sz w:val="24"/>
            <w:vertAlign w:val="baseline"/>
          </w:rPr>
          <w:t>https://doi.org/10.1016/j.snb.2015.09.148.</w:t>
        </w:r>
      </w:hyperlink>
    </w:p>
    <w:p>
      <w:pPr>
        <w:pStyle w:val="ListParagraph"/>
        <w:numPr>
          <w:ilvl w:val="0"/>
          <w:numId w:val="2"/>
        </w:numPr>
        <w:tabs>
          <w:tab w:pos="576" w:val="left" w:leader="none"/>
        </w:tabs>
        <w:spacing w:line="408" w:lineRule="auto" w:before="0" w:after="0"/>
        <w:ind w:left="100" w:right="186" w:firstLine="0"/>
        <w:jc w:val="both"/>
        <w:rPr>
          <w:sz w:val="24"/>
        </w:rPr>
      </w:pPr>
      <w:r>
        <w:rPr>
          <w:sz w:val="24"/>
        </w:rPr>
        <w:t>X. </w:t>
      </w:r>
      <w:r>
        <w:rPr>
          <w:spacing w:val="-3"/>
          <w:sz w:val="24"/>
        </w:rPr>
        <w:t>Le, </w:t>
      </w:r>
      <w:r>
        <w:rPr>
          <w:spacing w:val="-16"/>
          <w:sz w:val="24"/>
        </w:rPr>
        <w:t>Y. </w:t>
      </w:r>
      <w:r>
        <w:rPr>
          <w:sz w:val="24"/>
        </w:rPr>
        <w:t>Liu, L. Peng, J. Pang, Z. Xu, C. Gao, J. Xie, Surface acoustic wave humidity sensors based on uniform and thickness controllable graphene oxide thin films formed by surface tension, Microsyst. Nanoeng. 5 (2019) 1-10.</w:t>
      </w:r>
      <w:r>
        <w:rPr>
          <w:spacing w:val="-3"/>
          <w:sz w:val="24"/>
        </w:rPr>
        <w:t> </w:t>
      </w:r>
      <w:r>
        <w:rPr>
          <w:sz w:val="24"/>
        </w:rPr>
        <w:t>https://doi.org/10.1038/s41378-019-0075-0.</w:t>
      </w:r>
    </w:p>
    <w:p>
      <w:pPr>
        <w:pStyle w:val="ListParagraph"/>
        <w:numPr>
          <w:ilvl w:val="0"/>
          <w:numId w:val="2"/>
        </w:numPr>
        <w:tabs>
          <w:tab w:pos="569" w:val="left" w:leader="none"/>
        </w:tabs>
        <w:spacing w:line="408" w:lineRule="auto" w:before="0" w:after="0"/>
        <w:ind w:left="100" w:right="177" w:firstLine="0"/>
        <w:jc w:val="both"/>
        <w:rPr>
          <w:sz w:val="24"/>
        </w:rPr>
      </w:pPr>
      <w:r>
        <w:rPr>
          <w:spacing w:val="-11"/>
          <w:sz w:val="24"/>
        </w:rPr>
        <w:t>W. </w:t>
      </w:r>
      <w:r>
        <w:rPr>
          <w:sz w:val="24"/>
        </w:rPr>
        <w:t>Xuan, M. He, N. Meng, X. He, </w:t>
      </w:r>
      <w:r>
        <w:rPr>
          <w:spacing w:val="-11"/>
          <w:sz w:val="24"/>
        </w:rPr>
        <w:t>W. </w:t>
      </w:r>
      <w:r>
        <w:rPr>
          <w:spacing w:val="-5"/>
          <w:sz w:val="24"/>
        </w:rPr>
        <w:t>Wang, </w:t>
      </w:r>
      <w:r>
        <w:rPr>
          <w:sz w:val="24"/>
        </w:rPr>
        <w:t>J. Chen, </w:t>
      </w:r>
      <w:r>
        <w:rPr>
          <w:spacing w:val="-9"/>
          <w:sz w:val="24"/>
        </w:rPr>
        <w:t>T. </w:t>
      </w:r>
      <w:r>
        <w:rPr>
          <w:sz w:val="24"/>
        </w:rPr>
        <w:t>Shi, </w:t>
      </w:r>
      <w:r>
        <w:rPr>
          <w:spacing w:val="-9"/>
          <w:sz w:val="24"/>
        </w:rPr>
        <w:t>T. </w:t>
      </w:r>
      <w:r>
        <w:rPr>
          <w:sz w:val="24"/>
        </w:rPr>
        <w:t>Hasan, Z. Xu, </w:t>
      </w:r>
      <w:r>
        <w:rPr>
          <w:spacing w:val="-16"/>
          <w:sz w:val="24"/>
        </w:rPr>
        <w:t>Y. </w:t>
      </w:r>
      <w:r>
        <w:rPr>
          <w:sz w:val="24"/>
        </w:rPr>
        <w:t>Xu, J.K. Luo, Fast response and high sensitivity ZnO/glass surface acoustic wave humidity sensors using graphene oxide sensing </w:t>
      </w:r>
      <w:r>
        <w:rPr>
          <w:spacing w:val="-3"/>
          <w:sz w:val="24"/>
        </w:rPr>
        <w:t>layer, </w:t>
      </w:r>
      <w:r>
        <w:rPr>
          <w:sz w:val="24"/>
        </w:rPr>
        <w:t>Sci. Rep. 4 (2014) 1-9.</w:t>
      </w:r>
      <w:r>
        <w:rPr>
          <w:spacing w:val="1"/>
          <w:sz w:val="24"/>
        </w:rPr>
        <w:t> </w:t>
      </w:r>
      <w:r>
        <w:rPr>
          <w:sz w:val="24"/>
        </w:rPr>
        <w:t>https://doi.org/10.1038/srep07206.</w:t>
      </w:r>
    </w:p>
    <w:p>
      <w:pPr>
        <w:pStyle w:val="ListParagraph"/>
        <w:numPr>
          <w:ilvl w:val="0"/>
          <w:numId w:val="2"/>
        </w:numPr>
        <w:tabs>
          <w:tab w:pos="579" w:val="left" w:leader="none"/>
        </w:tabs>
        <w:spacing w:line="408" w:lineRule="auto" w:before="0" w:after="0"/>
        <w:ind w:left="100" w:right="178" w:firstLine="0"/>
        <w:jc w:val="both"/>
        <w:rPr>
          <w:sz w:val="24"/>
        </w:rPr>
      </w:pPr>
      <w:r>
        <w:rPr>
          <w:sz w:val="24"/>
        </w:rPr>
        <w:t>S. Lei, C. Deng, </w:t>
      </w:r>
      <w:r>
        <w:rPr>
          <w:spacing w:val="-16"/>
          <w:sz w:val="24"/>
        </w:rPr>
        <w:t>Y. </w:t>
      </w:r>
      <w:r>
        <w:rPr>
          <w:sz w:val="24"/>
        </w:rPr>
        <w:t>Chen, </w:t>
      </w:r>
      <w:r>
        <w:rPr>
          <w:spacing w:val="-16"/>
          <w:sz w:val="24"/>
        </w:rPr>
        <w:t>Y. </w:t>
      </w:r>
      <w:r>
        <w:rPr>
          <w:sz w:val="24"/>
        </w:rPr>
        <w:t>Li, A novel serial high frequency surface acoustic wave humidity sensor, Sens. Actuators A 167 (2011) 231-236.</w:t>
      </w:r>
      <w:r>
        <w:rPr>
          <w:spacing w:val="-40"/>
          <w:sz w:val="24"/>
        </w:rPr>
        <w:t> </w:t>
      </w:r>
      <w:r>
        <w:rPr>
          <w:sz w:val="24"/>
        </w:rPr>
        <w:t>https://doi.org/10.1016/j.sna.2011.01.020.</w:t>
      </w:r>
    </w:p>
    <w:p>
      <w:pPr>
        <w:pStyle w:val="ListParagraph"/>
        <w:numPr>
          <w:ilvl w:val="0"/>
          <w:numId w:val="2"/>
        </w:numPr>
        <w:tabs>
          <w:tab w:pos="598" w:val="left" w:leader="none"/>
          <w:tab w:pos="2099" w:val="left" w:leader="none"/>
          <w:tab w:pos="3032" w:val="left" w:leader="none"/>
          <w:tab w:pos="4918" w:val="left" w:leader="none"/>
          <w:tab w:pos="6632" w:val="left" w:leader="none"/>
          <w:tab w:pos="7652" w:val="left" w:leader="none"/>
          <w:tab w:pos="9071" w:val="left" w:leader="none"/>
        </w:tabs>
        <w:spacing w:line="400" w:lineRule="auto" w:before="0" w:after="0"/>
        <w:ind w:left="100" w:right="173" w:firstLine="0"/>
        <w:jc w:val="both"/>
        <w:rPr>
          <w:sz w:val="24"/>
        </w:rPr>
      </w:pPr>
      <w:r>
        <w:rPr>
          <w:spacing w:val="-9"/>
          <w:sz w:val="24"/>
        </w:rPr>
        <w:t>X.Y. </w:t>
      </w:r>
      <w:r>
        <w:rPr>
          <w:sz w:val="24"/>
        </w:rPr>
        <w:t>Du, M.E. Swanwick, </w:t>
      </w:r>
      <w:r>
        <w:rPr>
          <w:spacing w:val="-8"/>
          <w:sz w:val="24"/>
        </w:rPr>
        <w:t>Y.Q. </w:t>
      </w:r>
      <w:r>
        <w:rPr>
          <w:sz w:val="24"/>
        </w:rPr>
        <w:t>Fu, J.K. Luo, A.J. Flewitt, D.S. Lee, S. Maeng, </w:t>
      </w:r>
      <w:r>
        <w:rPr>
          <w:spacing w:val="-7"/>
          <w:sz w:val="24"/>
        </w:rPr>
        <w:t>W.I. </w:t>
      </w:r>
      <w:r>
        <w:rPr>
          <w:sz w:val="24"/>
        </w:rPr>
        <w:t>Milne,</w:t>
      </w:r>
      <w:r>
        <w:rPr>
          <w:position w:val="2"/>
          <w:sz w:val="24"/>
        </w:rPr>
        <w:t> Surface acoustic wave induced streaming and pumping in 128</w:t>
      </w:r>
      <w:r>
        <w:rPr>
          <w:position w:val="2"/>
          <w:sz w:val="24"/>
          <w:vertAlign w:val="superscript"/>
        </w:rPr>
        <w:t>o</w:t>
      </w:r>
      <w:r>
        <w:rPr>
          <w:position w:val="2"/>
          <w:sz w:val="24"/>
          <w:vertAlign w:val="baseline"/>
        </w:rPr>
        <w:t> </w:t>
      </w:r>
      <w:r>
        <w:rPr>
          <w:spacing w:val="-6"/>
          <w:position w:val="2"/>
          <w:sz w:val="24"/>
          <w:vertAlign w:val="baseline"/>
        </w:rPr>
        <w:t>Y-cut </w:t>
      </w:r>
      <w:r>
        <w:rPr>
          <w:position w:val="2"/>
          <w:sz w:val="24"/>
          <w:vertAlign w:val="baseline"/>
        </w:rPr>
        <w:t>LiNbO</w:t>
      </w:r>
      <w:r>
        <w:rPr>
          <w:position w:val="2"/>
          <w:sz w:val="24"/>
          <w:vertAlign w:val="subscript"/>
        </w:rPr>
        <w:t>3</w:t>
      </w:r>
      <w:r>
        <w:rPr>
          <w:position w:val="2"/>
          <w:sz w:val="24"/>
          <w:vertAlign w:val="baseline"/>
        </w:rPr>
        <w:t> for microfluidic</w:t>
      </w:r>
      <w:r>
        <w:rPr>
          <w:sz w:val="24"/>
          <w:vertAlign w:val="baseline"/>
        </w:rPr>
        <w:t> applications,</w:t>
        <w:tab/>
        <w:t>J.</w:t>
        <w:tab/>
        <w:t>Micromech</w:t>
        <w:tab/>
        <w:t>Microeng</w:t>
        <w:tab/>
        <w:t>19</w:t>
        <w:tab/>
        <w:t>(2009)</w:t>
        <w:tab/>
        <w:t>035016. https://doi.org/10.1088/0960-1317/19/3/035016.</w:t>
      </w:r>
    </w:p>
    <w:p>
      <w:pPr>
        <w:pStyle w:val="ListParagraph"/>
        <w:numPr>
          <w:ilvl w:val="0"/>
          <w:numId w:val="2"/>
        </w:numPr>
        <w:tabs>
          <w:tab w:pos="569" w:val="left" w:leader="none"/>
        </w:tabs>
        <w:spacing w:line="408" w:lineRule="auto" w:before="0" w:after="0"/>
        <w:ind w:left="100" w:right="173" w:firstLine="0"/>
        <w:jc w:val="both"/>
        <w:rPr>
          <w:sz w:val="24"/>
        </w:rPr>
      </w:pPr>
      <w:r>
        <w:rPr>
          <w:spacing w:val="-8"/>
          <w:sz w:val="24"/>
        </w:rPr>
        <w:t>S.V. </w:t>
      </w:r>
      <w:r>
        <w:rPr>
          <w:spacing w:val="-3"/>
          <w:sz w:val="24"/>
        </w:rPr>
        <w:t>Biryukov, </w:t>
      </w:r>
      <w:r>
        <w:rPr>
          <w:sz w:val="24"/>
        </w:rPr>
        <w:t>H. Schmidt, M. </w:t>
      </w:r>
      <w:r>
        <w:rPr>
          <w:spacing w:val="-3"/>
          <w:sz w:val="24"/>
        </w:rPr>
        <w:t>Weihnacht, </w:t>
      </w:r>
      <w:r>
        <w:rPr>
          <w:sz w:val="24"/>
        </w:rPr>
        <w:t>Gyroscopic effect for </w:t>
      </w:r>
      <w:r>
        <w:rPr>
          <w:spacing w:val="-6"/>
          <w:sz w:val="24"/>
        </w:rPr>
        <w:t>SAW </w:t>
      </w:r>
      <w:r>
        <w:rPr>
          <w:sz w:val="24"/>
        </w:rPr>
        <w:t>in common piezoelectric crystals,</w:t>
      </w:r>
      <w:r>
        <w:rPr>
          <w:spacing w:val="20"/>
          <w:sz w:val="24"/>
        </w:rPr>
        <w:t> </w:t>
      </w:r>
      <w:r>
        <w:rPr>
          <w:sz w:val="24"/>
        </w:rPr>
        <w:t>2009</w:t>
      </w:r>
      <w:r>
        <w:rPr>
          <w:spacing w:val="20"/>
          <w:sz w:val="24"/>
        </w:rPr>
        <w:t> </w:t>
      </w:r>
      <w:r>
        <w:rPr>
          <w:sz w:val="24"/>
        </w:rPr>
        <w:t>IEEE</w:t>
      </w:r>
      <w:r>
        <w:rPr>
          <w:spacing w:val="22"/>
          <w:sz w:val="24"/>
        </w:rPr>
        <w:t> </w:t>
      </w:r>
      <w:r>
        <w:rPr>
          <w:sz w:val="24"/>
        </w:rPr>
        <w:t>International</w:t>
      </w:r>
      <w:r>
        <w:rPr>
          <w:spacing w:val="18"/>
          <w:sz w:val="24"/>
        </w:rPr>
        <w:t> </w:t>
      </w:r>
      <w:r>
        <w:rPr>
          <w:sz w:val="24"/>
        </w:rPr>
        <w:t>Ultrasonics</w:t>
      </w:r>
      <w:r>
        <w:rPr>
          <w:spacing w:val="18"/>
          <w:sz w:val="24"/>
        </w:rPr>
        <w:t> </w:t>
      </w:r>
      <w:r>
        <w:rPr>
          <w:sz w:val="24"/>
        </w:rPr>
        <w:t>Symposium,</w:t>
      </w:r>
      <w:r>
        <w:rPr>
          <w:spacing w:val="18"/>
          <w:sz w:val="24"/>
        </w:rPr>
        <w:t> </w:t>
      </w:r>
      <w:r>
        <w:rPr>
          <w:sz w:val="24"/>
        </w:rPr>
        <w:t>20-23</w:t>
      </w:r>
      <w:r>
        <w:rPr>
          <w:spacing w:val="18"/>
          <w:sz w:val="24"/>
        </w:rPr>
        <w:t> </w:t>
      </w:r>
      <w:r>
        <w:rPr>
          <w:sz w:val="24"/>
        </w:rPr>
        <w:t>(2009)</w:t>
      </w:r>
      <w:r>
        <w:rPr>
          <w:spacing w:val="17"/>
          <w:sz w:val="24"/>
        </w:rPr>
        <w:t> </w:t>
      </w:r>
      <w:r>
        <w:rPr>
          <w:sz w:val="24"/>
        </w:rPr>
        <w:t>2133–2136.</w:t>
      </w:r>
    </w:p>
    <w:p>
      <w:pPr>
        <w:spacing w:after="0" w:line="408" w:lineRule="auto"/>
        <w:jc w:val="both"/>
        <w:rPr>
          <w:sz w:val="24"/>
        </w:rPr>
        <w:sectPr>
          <w:pgSz w:w="11910" w:h="16840"/>
          <w:pgMar w:top="1440" w:bottom="280" w:left="980" w:right="900"/>
        </w:sectPr>
      </w:pPr>
    </w:p>
    <w:p>
      <w:pPr>
        <w:pStyle w:val="BodyText"/>
        <w:spacing w:before="77"/>
      </w:pPr>
      <w:r>
        <w:rPr/>
        <w:t>https://doi.org/10.1109/ULTSYM.2009.5441457.</w:t>
      </w:r>
    </w:p>
    <w:p>
      <w:pPr>
        <w:pStyle w:val="ListParagraph"/>
        <w:numPr>
          <w:ilvl w:val="0"/>
          <w:numId w:val="2"/>
        </w:numPr>
        <w:tabs>
          <w:tab w:pos="593" w:val="left" w:leader="none"/>
        </w:tabs>
        <w:spacing w:line="408" w:lineRule="auto" w:before="192" w:after="0"/>
        <w:ind w:left="100" w:right="178" w:firstLine="0"/>
        <w:jc w:val="left"/>
        <w:rPr>
          <w:sz w:val="24"/>
        </w:rPr>
      </w:pPr>
      <w:r>
        <w:rPr>
          <w:spacing w:val="-3"/>
          <w:sz w:val="24"/>
        </w:rPr>
        <w:t>I. </w:t>
      </w:r>
      <w:r>
        <w:rPr>
          <w:sz w:val="24"/>
        </w:rPr>
        <w:t>Ben Salah, M.H. Ben Ghozlen, Rayleigh waves in piezoelectric material, Phys. Procedia 2 (2009) 1377–1383.</w:t>
      </w:r>
      <w:r>
        <w:rPr>
          <w:spacing w:val="-2"/>
          <w:sz w:val="24"/>
        </w:rPr>
        <w:t> </w:t>
      </w:r>
      <w:r>
        <w:rPr>
          <w:sz w:val="24"/>
        </w:rPr>
        <w:t>https://doi.org/10.1016/j.phpro.2009.11.105.</w:t>
      </w:r>
    </w:p>
    <w:p>
      <w:pPr>
        <w:spacing w:after="0" w:line="408" w:lineRule="auto"/>
        <w:jc w:val="left"/>
        <w:rPr>
          <w:sz w:val="24"/>
        </w:rPr>
        <w:sectPr>
          <w:pgSz w:w="11910" w:h="16840"/>
          <w:pgMar w:top="1440" w:bottom="280" w:left="980" w:right="900"/>
        </w:sectPr>
      </w:pPr>
    </w:p>
    <w:p>
      <w:pPr>
        <w:pStyle w:val="Heading1"/>
        <w:spacing w:before="65"/>
        <w:ind w:left="100"/>
        <w:jc w:val="both"/>
      </w:pPr>
      <w:r>
        <w:rPr/>
        <w:t>Biographies</w:t>
      </w:r>
    </w:p>
    <w:p>
      <w:pPr>
        <w:pStyle w:val="BodyText"/>
        <w:ind w:left="0"/>
        <w:rPr>
          <w:b/>
          <w:sz w:val="30"/>
        </w:rPr>
      </w:pPr>
    </w:p>
    <w:p>
      <w:pPr>
        <w:pStyle w:val="BodyText"/>
        <w:spacing w:line="271" w:lineRule="auto"/>
        <w:ind w:right="180"/>
        <w:jc w:val="both"/>
      </w:pPr>
      <w:r>
        <w:rPr>
          <w:b/>
        </w:rPr>
        <w:t>Jing-Long </w:t>
      </w:r>
      <w:r>
        <w:rPr>
          <w:b/>
          <w:spacing w:val="-4"/>
        </w:rPr>
        <w:t>Wang </w:t>
      </w:r>
      <w:r>
        <w:rPr/>
        <w:t>graduated from the College of Electrical Information Engineering of Anhui University of Science and Technology in 2017 with a bachelor's degree. He is a graduate student in School of Physical at University of Electronic Science and Technology of China. His current interests include sensor research on nanomaterials and functional films and surface acoustic wave devices.</w:t>
      </w:r>
    </w:p>
    <w:p>
      <w:pPr>
        <w:pStyle w:val="BodyText"/>
        <w:spacing w:before="3"/>
        <w:ind w:left="0"/>
        <w:rPr>
          <w:sz w:val="27"/>
        </w:rPr>
      </w:pPr>
    </w:p>
    <w:p>
      <w:pPr>
        <w:pStyle w:val="BodyText"/>
        <w:spacing w:line="271" w:lineRule="auto"/>
        <w:ind w:right="176"/>
        <w:jc w:val="both"/>
      </w:pPr>
      <w:r>
        <w:rPr>
          <w:b/>
        </w:rPr>
        <w:t>Yuan-Jun Guo </w:t>
      </w:r>
      <w:r>
        <w:rPr/>
        <w:t>received his Ph.D. from Shanghai Institute of Optics and Fine Mechanics, Chinese Academy of Sciences in 2006. From December 2016, he became a Professor in School of Physical, University of Electronic Science and Technology of China. His current research interests focus on sensing devices using acoustic wave technology, microfluidics and interaction between laser and solid material.</w:t>
      </w:r>
    </w:p>
    <w:p>
      <w:pPr>
        <w:pStyle w:val="BodyText"/>
        <w:spacing w:before="2"/>
        <w:ind w:left="0"/>
        <w:rPr>
          <w:sz w:val="27"/>
        </w:rPr>
      </w:pPr>
    </w:p>
    <w:p>
      <w:pPr>
        <w:pStyle w:val="BodyText"/>
        <w:spacing w:line="271" w:lineRule="auto" w:before="1"/>
        <w:ind w:right="1698"/>
      </w:pPr>
      <w:r>
        <w:rPr>
          <w:b/>
        </w:rPr>
        <w:t>Deng-Ji Li </w:t>
      </w:r>
      <w:r>
        <w:rPr/>
        <w:t>obtained his B.S. degree in School of Physic, Wuhan University. He is a postgraduate student in Institute of Fundamental and Frontier Sciences at University of Electronic Science and Technology of China. His current research interests focus on sensing devices using acoustic wave technology applications of nanomaterials and novel functional materials.</w:t>
      </w:r>
    </w:p>
    <w:p>
      <w:pPr>
        <w:pStyle w:val="BodyText"/>
        <w:spacing w:before="2"/>
        <w:ind w:left="0"/>
        <w:rPr>
          <w:sz w:val="27"/>
        </w:rPr>
      </w:pPr>
    </w:p>
    <w:p>
      <w:pPr>
        <w:pStyle w:val="BodyText"/>
        <w:spacing w:line="271" w:lineRule="auto"/>
        <w:ind w:right="174"/>
        <w:jc w:val="both"/>
      </w:pPr>
      <w:r>
        <w:rPr>
          <w:b/>
        </w:rPr>
        <w:t>Gong-Di Long </w:t>
      </w:r>
      <w:r>
        <w:rPr/>
        <w:t>obtained his B.S. degree in School of photoelectric technology, Chengdu University of Information Technology in 2016. He is a Master Degree Candidate in School of Physical at University of Electronic Science and Technology of China. His current research interests focus on sensing devices using acoustic wave technology, preparation and research of magnetic materials.</w:t>
      </w:r>
    </w:p>
    <w:p>
      <w:pPr>
        <w:pStyle w:val="BodyText"/>
        <w:spacing w:before="2"/>
        <w:ind w:left="0"/>
        <w:rPr>
          <w:sz w:val="27"/>
        </w:rPr>
      </w:pPr>
    </w:p>
    <w:p>
      <w:pPr>
        <w:pStyle w:val="BodyText"/>
        <w:spacing w:line="271" w:lineRule="auto"/>
        <w:ind w:right="182"/>
        <w:jc w:val="both"/>
      </w:pPr>
      <w:r>
        <w:rPr>
          <w:b/>
        </w:rPr>
        <w:t>Qing-Bo </w:t>
      </w:r>
      <w:r>
        <w:rPr>
          <w:b/>
          <w:spacing w:val="-6"/>
        </w:rPr>
        <w:t>Tang </w:t>
      </w:r>
      <w:r>
        <w:rPr/>
        <w:t>obtained his B.S. degree in School of Computer and Information, China Three Gorges University in 2016. He is a Master Degree Candidate in School of Physical at University of Electronic Science and Technology of China. His current research interests focus on sensing devices using acoustic wave technology, microfluidics and interaction between laser and solid</w:t>
      </w:r>
      <w:r>
        <w:rPr>
          <w:spacing w:val="-14"/>
        </w:rPr>
        <w:t> </w:t>
      </w:r>
      <w:r>
        <w:rPr/>
        <w:t>material.</w:t>
      </w:r>
    </w:p>
    <w:p>
      <w:pPr>
        <w:pStyle w:val="BodyText"/>
        <w:spacing w:before="2"/>
        <w:ind w:left="0"/>
        <w:rPr>
          <w:sz w:val="27"/>
        </w:rPr>
      </w:pPr>
    </w:p>
    <w:p>
      <w:pPr>
        <w:pStyle w:val="BodyText"/>
        <w:spacing w:line="271" w:lineRule="auto"/>
        <w:ind w:right="174"/>
        <w:jc w:val="both"/>
      </w:pPr>
      <w:r>
        <w:rPr>
          <w:b/>
          <w:spacing w:val="-3"/>
        </w:rPr>
        <w:t>Xiao-Tao </w:t>
      </w:r>
      <w:r>
        <w:rPr>
          <w:b/>
        </w:rPr>
        <w:t>Zu </w:t>
      </w:r>
      <w:r>
        <w:rPr/>
        <w:t>received his Ph.D. degree from Sichuan University in 2002. He is a Professor in Institute of Fundamental and Frontier Sciences at University of Electronic Science and Technology of China. His research interests include photoelectric materials, smart materials, composite nanomaterials and their industrial</w:t>
      </w:r>
      <w:r>
        <w:rPr>
          <w:spacing w:val="-1"/>
        </w:rPr>
        <w:t> </w:t>
      </w:r>
      <w:r>
        <w:rPr/>
        <w:t>applications.</w:t>
      </w:r>
    </w:p>
    <w:p>
      <w:pPr>
        <w:pStyle w:val="BodyText"/>
        <w:spacing w:before="3"/>
        <w:ind w:left="0"/>
        <w:rPr>
          <w:sz w:val="27"/>
        </w:rPr>
      </w:pPr>
    </w:p>
    <w:p>
      <w:pPr>
        <w:pStyle w:val="BodyText"/>
        <w:spacing w:line="271" w:lineRule="auto"/>
        <w:ind w:right="179"/>
        <w:jc w:val="both"/>
      </w:pPr>
      <w:r>
        <w:rPr>
          <w:b/>
          <w:spacing w:val="-2"/>
        </w:rPr>
        <w:t>Jin-Yi </w:t>
      </w:r>
      <w:r>
        <w:rPr>
          <w:b/>
        </w:rPr>
        <w:t>Ma </w:t>
      </w:r>
      <w:r>
        <w:rPr/>
        <w:t>received his Ph.D. degree from Tianjin University in 2003. He is a senior research fellow in Sichuan Institute of Piezoelectric and Acousto-optic </w:t>
      </w:r>
      <w:r>
        <w:rPr>
          <w:spacing w:val="-4"/>
        </w:rPr>
        <w:t>Technology.</w:t>
      </w:r>
      <w:r>
        <w:rPr>
          <w:spacing w:val="51"/>
        </w:rPr>
        <w:t> </w:t>
      </w:r>
      <w:r>
        <w:rPr/>
        <w:t>His research area is on piezoelectric materials and industrial applications of the acoustic-optical device.</w:t>
      </w:r>
    </w:p>
    <w:p>
      <w:pPr>
        <w:pStyle w:val="BodyText"/>
        <w:spacing w:before="2"/>
        <w:ind w:left="0"/>
        <w:rPr>
          <w:sz w:val="27"/>
        </w:rPr>
      </w:pPr>
    </w:p>
    <w:p>
      <w:pPr>
        <w:pStyle w:val="BodyText"/>
        <w:spacing w:line="271" w:lineRule="auto"/>
        <w:ind w:right="177"/>
        <w:jc w:val="both"/>
      </w:pPr>
      <w:r>
        <w:rPr>
          <w:b/>
        </w:rPr>
        <w:t>Bo Du </w:t>
      </w:r>
      <w:r>
        <w:rPr/>
        <w:t>received his M.S. degree from University of Electronic Science and Technology of China in 2010. He is a senior engineer in Sichuan Institute of Piezoelectric and Acousto-optic </w:t>
      </w:r>
      <w:r>
        <w:rPr>
          <w:spacing w:val="-4"/>
        </w:rPr>
        <w:t>Technology. </w:t>
      </w:r>
      <w:r>
        <w:rPr/>
        <w:t>His research area is on piezoelectric materials and piezoelectric sensors.</w:t>
      </w:r>
    </w:p>
    <w:p>
      <w:pPr>
        <w:pStyle w:val="BodyText"/>
        <w:spacing w:before="2"/>
        <w:ind w:left="0"/>
        <w:rPr>
          <w:sz w:val="27"/>
        </w:rPr>
      </w:pPr>
    </w:p>
    <w:p>
      <w:pPr>
        <w:pStyle w:val="BodyText"/>
        <w:spacing w:before="1"/>
        <w:jc w:val="both"/>
      </w:pPr>
      <w:r>
        <w:rPr>
          <w:b/>
        </w:rPr>
        <w:t>Yong-Liang Tang </w:t>
      </w:r>
      <w:r>
        <w:rPr/>
        <w:t>obtained his PH.D. degree from University of Electronic Science and Technology</w:t>
      </w:r>
    </w:p>
    <w:p>
      <w:pPr>
        <w:spacing w:after="0"/>
        <w:jc w:val="both"/>
        <w:sectPr>
          <w:pgSz w:w="11910" w:h="16840"/>
          <w:pgMar w:top="1380" w:bottom="280" w:left="980" w:right="900"/>
        </w:sectPr>
      </w:pPr>
    </w:p>
    <w:p>
      <w:pPr>
        <w:pStyle w:val="BodyText"/>
        <w:spacing w:line="271" w:lineRule="auto" w:before="60"/>
        <w:ind w:right="181"/>
        <w:jc w:val="both"/>
      </w:pPr>
      <w:r>
        <w:rPr/>
        <w:t>of China in 2017. He is now an associate Professor in School of Physical Science and Technology at Southwest Jiaotong University. His present interests include applications of nanomaterials and functional thin films for sensors and surface acoustic wave (SAW) devices.</w:t>
      </w:r>
    </w:p>
    <w:p>
      <w:pPr>
        <w:pStyle w:val="BodyText"/>
        <w:spacing w:before="4"/>
        <w:ind w:left="0"/>
        <w:rPr>
          <w:sz w:val="27"/>
        </w:rPr>
      </w:pPr>
    </w:p>
    <w:p>
      <w:pPr>
        <w:pStyle w:val="BodyText"/>
        <w:spacing w:line="271" w:lineRule="auto"/>
        <w:ind w:right="175"/>
        <w:jc w:val="both"/>
      </w:pPr>
      <w:r>
        <w:rPr>
          <w:b/>
        </w:rPr>
        <w:t>Hamdi </w:t>
      </w:r>
      <w:r>
        <w:rPr>
          <w:b/>
          <w:spacing w:val="-5"/>
        </w:rPr>
        <w:t>Torun </w:t>
      </w:r>
      <w:r>
        <w:rPr/>
        <w:t>(HT), joined the UNN in 2017 as a Vice-Chancellor Senior </w:t>
      </w:r>
      <w:r>
        <w:rPr>
          <w:spacing w:val="-3"/>
        </w:rPr>
        <w:t>Fellow. Previously, </w:t>
      </w:r>
      <w:r>
        <w:rPr/>
        <w:t>he was an associate professor at Bogazici University, </w:t>
      </w:r>
      <w:r>
        <w:rPr>
          <w:spacing w:val="-5"/>
        </w:rPr>
        <w:t>Turkey. </w:t>
      </w:r>
      <w:r>
        <w:rPr/>
        <w:t>He is a co-founder of GlakoLens, a biomedical spinoff </w:t>
      </w:r>
      <w:r>
        <w:rPr>
          <w:spacing w:val="-3"/>
        </w:rPr>
        <w:t>company. </w:t>
      </w:r>
      <w:r>
        <w:rPr/>
        <w:t>He received Technology </w:t>
      </w:r>
      <w:r>
        <w:rPr>
          <w:spacing w:val="-5"/>
        </w:rPr>
        <w:t>Award </w:t>
      </w:r>
      <w:r>
        <w:rPr/>
        <w:t>from Elginkan Foundation, Turkey in 2016, </w:t>
      </w:r>
      <w:r>
        <w:rPr>
          <w:spacing w:val="-5"/>
        </w:rPr>
        <w:t>Young </w:t>
      </w:r>
      <w:r>
        <w:rPr/>
        <w:t>Scientist </w:t>
      </w:r>
      <w:r>
        <w:rPr>
          <w:spacing w:val="-5"/>
        </w:rPr>
        <w:t>Award </w:t>
      </w:r>
      <w:r>
        <w:rPr/>
        <w:t>from The Science </w:t>
      </w:r>
      <w:r>
        <w:rPr>
          <w:spacing w:val="-3"/>
        </w:rPr>
        <w:t>Academy, </w:t>
      </w:r>
      <w:r>
        <w:rPr/>
        <w:t>Turkey in 2016, Innovator Under 35 </w:t>
      </w:r>
      <w:r>
        <w:rPr>
          <w:spacing w:val="-5"/>
        </w:rPr>
        <w:t>Award </w:t>
      </w:r>
      <w:r>
        <w:rPr/>
        <w:t>from MIT </w:t>
      </w:r>
      <w:r>
        <w:rPr>
          <w:spacing w:val="-5"/>
        </w:rPr>
        <w:t>Tech </w:t>
      </w:r>
      <w:r>
        <w:rPr/>
        <w:t>Review in 2014, and Marie Curie Fellowship (MC-IRG Grant) in 2011. His expertise is in development of integrated microsystems especially for sensing applications. His research experience includes metamaterial-based biosensors for molecular detection, for glucose detection, and for wireless strain sensing, theoretical understanding of metamaterial structures, novel terahertz devices.</w:t>
      </w:r>
    </w:p>
    <w:p>
      <w:pPr>
        <w:pStyle w:val="BodyText"/>
        <w:spacing w:before="4"/>
        <w:ind w:left="0"/>
        <w:rPr>
          <w:sz w:val="27"/>
        </w:rPr>
      </w:pPr>
    </w:p>
    <w:p>
      <w:pPr>
        <w:pStyle w:val="BodyText"/>
        <w:spacing w:line="271" w:lineRule="auto"/>
        <w:ind w:right="176"/>
        <w:jc w:val="both"/>
        <w:rPr>
          <w:i/>
        </w:rPr>
      </w:pPr>
      <w:r>
        <w:rPr>
          <w:b/>
        </w:rPr>
        <w:t>Richard </w:t>
      </w:r>
      <w:r>
        <w:rPr>
          <w:b/>
          <w:spacing w:val="-3"/>
        </w:rPr>
        <w:t>(YongQing) </w:t>
      </w:r>
      <w:r>
        <w:rPr>
          <w:b/>
        </w:rPr>
        <w:t>Fu </w:t>
      </w:r>
      <w:r>
        <w:rPr/>
        <w:t>is a professor in the Faculty of Engineering and Environment, University  of Northumbria at Newcastle, UK. He obtained his PhD degree from Nanyang Technological University, Singapore, and then worked as a Research Fellow in Singapore-Massachusetts Institute of Technology Alliance, and a Research Associate in University of Cambridge. </w:t>
      </w:r>
      <w:r>
        <w:rPr>
          <w:spacing w:val="3"/>
        </w:rPr>
        <w:t>He </w:t>
      </w:r>
      <w:r>
        <w:rPr/>
        <w:t>was a lecturer in Heriot-Watt University, Edinburgh, UK, and then a Reader in Thin Film Centre in University of</w:t>
      </w:r>
      <w:r>
        <w:rPr>
          <w:spacing w:val="-38"/>
        </w:rPr>
        <w:t> </w:t>
      </w:r>
      <w:r>
        <w:rPr>
          <w:spacing w:val="-5"/>
        </w:rPr>
        <w:t>West </w:t>
      </w:r>
      <w:r>
        <w:rPr/>
        <w:t>of Scotland, </w:t>
      </w:r>
      <w:r>
        <w:rPr>
          <w:spacing w:val="-3"/>
        </w:rPr>
        <w:t>Glasgow, </w:t>
      </w:r>
      <w:r>
        <w:rPr/>
        <w:t>UK, before moving to Newcastle, UK. He has extensive experience in smart thin film/materials, biomedical microdevices, energy materials, lab-on-chip, micromechanics, MEMS, nanotechnology, sensors and microfluidics. He published over 360 science citation index (SCI) journal papers and his current SCI H-index is 45 with over 8500 citations. He is associate editor/editorial board members for seven international journals including </w:t>
      </w:r>
      <w:r>
        <w:rPr>
          <w:i/>
        </w:rPr>
        <w:t>Scientific Report, Nanosci. </w:t>
      </w:r>
      <w:r>
        <w:rPr>
          <w:i/>
        </w:rPr>
        <w:t>Nanotech.</w:t>
      </w:r>
      <w:r>
        <w:rPr>
          <w:i/>
          <w:spacing w:val="-1"/>
        </w:rPr>
        <w:t> </w:t>
      </w:r>
      <w:r>
        <w:rPr>
          <w:i/>
        </w:rPr>
        <w:t>Lett.</w:t>
      </w:r>
    </w:p>
    <w:p>
      <w:pPr>
        <w:spacing w:after="0" w:line="271" w:lineRule="auto"/>
        <w:jc w:val="both"/>
        <w:sectPr>
          <w:pgSz w:w="11910" w:h="16840"/>
          <w:pgMar w:top="1380" w:bottom="280" w:left="980" w:right="900"/>
        </w:sectPr>
      </w:pPr>
    </w:p>
    <w:p>
      <w:pPr>
        <w:pStyle w:val="BodyText"/>
        <w:spacing w:before="62"/>
        <w:ind w:left="311"/>
      </w:pPr>
      <w:r>
        <w:rPr>
          <w:b/>
        </w:rPr>
        <w:t>Table 1. </w:t>
      </w:r>
      <w:r>
        <w:rPr/>
        <w:t>Comparisons of response time and recovery time of different humidity sensors.</w:t>
      </w:r>
    </w:p>
    <w:p>
      <w:pPr>
        <w:pStyle w:val="BodyText"/>
        <w:ind w:left="0"/>
        <w:rPr>
          <w:sz w:val="20"/>
        </w:rPr>
      </w:pPr>
    </w:p>
    <w:p>
      <w:pPr>
        <w:pStyle w:val="BodyText"/>
        <w:ind w:left="0"/>
        <w:rPr>
          <w:sz w:val="16"/>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0"/>
        <w:gridCol w:w="1911"/>
        <w:gridCol w:w="2304"/>
        <w:gridCol w:w="1457"/>
        <w:gridCol w:w="1366"/>
        <w:gridCol w:w="1255"/>
      </w:tblGrid>
      <w:tr>
        <w:trPr>
          <w:trHeight w:val="311" w:hRule="atLeast"/>
        </w:trPr>
        <w:tc>
          <w:tcPr>
            <w:tcW w:w="1440" w:type="dxa"/>
            <w:tcBorders>
              <w:top w:val="single" w:sz="4" w:space="0" w:color="000000"/>
              <w:bottom w:val="single" w:sz="4" w:space="0" w:color="000000"/>
            </w:tcBorders>
          </w:tcPr>
          <w:p>
            <w:pPr>
              <w:pStyle w:val="TableParagraph"/>
              <w:spacing w:before="39"/>
              <w:ind w:left="226" w:right="271"/>
              <w:rPr>
                <w:b/>
                <w:sz w:val="21"/>
              </w:rPr>
            </w:pPr>
            <w:r>
              <w:rPr>
                <w:b/>
                <w:sz w:val="21"/>
              </w:rPr>
              <w:t>Sensor</w:t>
            </w:r>
          </w:p>
        </w:tc>
        <w:tc>
          <w:tcPr>
            <w:tcW w:w="1911" w:type="dxa"/>
            <w:tcBorders>
              <w:top w:val="single" w:sz="4" w:space="0" w:color="000000"/>
              <w:bottom w:val="single" w:sz="4" w:space="0" w:color="000000"/>
            </w:tcBorders>
          </w:tcPr>
          <w:p>
            <w:pPr>
              <w:pStyle w:val="TableParagraph"/>
              <w:spacing w:before="39"/>
              <w:ind w:left="268" w:right="204"/>
              <w:rPr>
                <w:b/>
                <w:sz w:val="21"/>
              </w:rPr>
            </w:pPr>
            <w:r>
              <w:rPr>
                <w:b/>
                <w:sz w:val="21"/>
              </w:rPr>
              <w:t>Structure</w:t>
            </w:r>
          </w:p>
        </w:tc>
        <w:tc>
          <w:tcPr>
            <w:tcW w:w="2304" w:type="dxa"/>
            <w:tcBorders>
              <w:top w:val="single" w:sz="4" w:space="0" w:color="000000"/>
              <w:bottom w:val="single" w:sz="4" w:space="0" w:color="000000"/>
            </w:tcBorders>
          </w:tcPr>
          <w:p>
            <w:pPr>
              <w:pStyle w:val="TableParagraph"/>
              <w:spacing w:before="39"/>
              <w:ind w:left="393"/>
              <w:jc w:val="left"/>
              <w:rPr>
                <w:b/>
                <w:sz w:val="21"/>
              </w:rPr>
            </w:pPr>
            <w:r>
              <w:rPr>
                <w:b/>
                <w:sz w:val="21"/>
              </w:rPr>
              <w:t>Sensing material</w:t>
            </w:r>
          </w:p>
        </w:tc>
        <w:tc>
          <w:tcPr>
            <w:tcW w:w="1457" w:type="dxa"/>
            <w:tcBorders>
              <w:top w:val="single" w:sz="4" w:space="0" w:color="000000"/>
              <w:bottom w:val="single" w:sz="4" w:space="0" w:color="000000"/>
            </w:tcBorders>
          </w:tcPr>
          <w:p>
            <w:pPr>
              <w:pStyle w:val="TableParagraph"/>
              <w:spacing w:before="39"/>
              <w:ind w:left="249"/>
              <w:jc w:val="left"/>
              <w:rPr>
                <w:b/>
                <w:sz w:val="21"/>
              </w:rPr>
            </w:pPr>
            <w:r>
              <w:rPr>
                <w:b/>
                <w:sz w:val="21"/>
              </w:rPr>
              <w:t>RH range</w:t>
            </w:r>
          </w:p>
        </w:tc>
        <w:tc>
          <w:tcPr>
            <w:tcW w:w="1366" w:type="dxa"/>
            <w:tcBorders>
              <w:top w:val="single" w:sz="4" w:space="0" w:color="000000"/>
              <w:bottom w:val="single" w:sz="4" w:space="0" w:color="000000"/>
            </w:tcBorders>
          </w:tcPr>
          <w:p>
            <w:pPr>
              <w:pStyle w:val="TableParagraph"/>
              <w:spacing w:before="38"/>
              <w:ind w:left="311" w:right="195"/>
              <w:rPr>
                <w:b/>
                <w:sz w:val="21"/>
              </w:rPr>
            </w:pPr>
            <w:r>
              <w:rPr>
                <w:b/>
                <w:position w:val="2"/>
                <w:sz w:val="21"/>
              </w:rPr>
              <w:t>t</w:t>
            </w:r>
            <w:r>
              <w:rPr>
                <w:b/>
                <w:sz w:val="14"/>
              </w:rPr>
              <w:t>res</w:t>
            </w:r>
            <w:r>
              <w:rPr>
                <w:b/>
                <w:position w:val="2"/>
                <w:sz w:val="21"/>
              </w:rPr>
              <w:t>/t</w:t>
            </w:r>
            <w:r>
              <w:rPr>
                <w:b/>
                <w:sz w:val="14"/>
              </w:rPr>
              <w:t>rec </w:t>
            </w:r>
            <w:r>
              <w:rPr>
                <w:b/>
                <w:position w:val="2"/>
                <w:sz w:val="21"/>
              </w:rPr>
              <w:t>(s)</w:t>
            </w:r>
          </w:p>
        </w:tc>
        <w:tc>
          <w:tcPr>
            <w:tcW w:w="1255" w:type="dxa"/>
            <w:tcBorders>
              <w:top w:val="single" w:sz="4" w:space="0" w:color="000000"/>
              <w:bottom w:val="single" w:sz="4" w:space="0" w:color="000000"/>
            </w:tcBorders>
          </w:tcPr>
          <w:p>
            <w:pPr>
              <w:pStyle w:val="TableParagraph"/>
              <w:spacing w:before="39"/>
              <w:ind w:left="188" w:right="129"/>
              <w:rPr>
                <w:b/>
                <w:sz w:val="21"/>
              </w:rPr>
            </w:pPr>
            <w:r>
              <w:rPr>
                <w:b/>
                <w:sz w:val="21"/>
              </w:rPr>
              <w:t>Reference</w:t>
            </w:r>
          </w:p>
        </w:tc>
      </w:tr>
      <w:tr>
        <w:trPr>
          <w:trHeight w:val="631" w:hRule="atLeast"/>
        </w:trPr>
        <w:tc>
          <w:tcPr>
            <w:tcW w:w="1440" w:type="dxa"/>
            <w:tcBorders>
              <w:top w:val="single" w:sz="4" w:space="0" w:color="000000"/>
            </w:tcBorders>
          </w:tcPr>
          <w:p>
            <w:pPr>
              <w:pStyle w:val="TableParagraph"/>
              <w:spacing w:before="36"/>
              <w:ind w:left="224" w:right="274"/>
              <w:rPr>
                <w:sz w:val="21"/>
              </w:rPr>
            </w:pPr>
            <w:r>
              <w:rPr>
                <w:sz w:val="21"/>
              </w:rPr>
              <w:t>Capacitive</w:t>
            </w:r>
          </w:p>
        </w:tc>
        <w:tc>
          <w:tcPr>
            <w:tcW w:w="1911" w:type="dxa"/>
            <w:tcBorders>
              <w:top w:val="single" w:sz="4" w:space="0" w:color="000000"/>
            </w:tcBorders>
          </w:tcPr>
          <w:p>
            <w:pPr>
              <w:pStyle w:val="TableParagraph"/>
              <w:spacing w:before="36"/>
              <w:ind w:left="268" w:right="209"/>
              <w:rPr>
                <w:sz w:val="21"/>
              </w:rPr>
            </w:pPr>
            <w:r>
              <w:rPr>
                <w:sz w:val="21"/>
              </w:rPr>
              <w:t>Textile substrate</w:t>
            </w:r>
          </w:p>
        </w:tc>
        <w:tc>
          <w:tcPr>
            <w:tcW w:w="2304" w:type="dxa"/>
            <w:tcBorders>
              <w:top w:val="single" w:sz="4" w:space="0" w:color="000000"/>
            </w:tcBorders>
          </w:tcPr>
          <w:p>
            <w:pPr>
              <w:pStyle w:val="TableParagraph"/>
              <w:spacing w:before="36"/>
              <w:ind w:left="215" w:right="228"/>
              <w:rPr>
                <w:sz w:val="21"/>
              </w:rPr>
            </w:pPr>
            <w:r>
              <w:rPr>
                <w:sz w:val="21"/>
              </w:rPr>
              <w:t>polydimethylsiloxane</w:t>
            </w:r>
          </w:p>
          <w:p>
            <w:pPr>
              <w:pStyle w:val="TableParagraph"/>
              <w:spacing w:before="70"/>
              <w:ind w:left="215" w:right="227"/>
              <w:rPr>
                <w:sz w:val="21"/>
              </w:rPr>
            </w:pPr>
            <w:r>
              <w:rPr>
                <w:position w:val="2"/>
                <w:sz w:val="21"/>
              </w:rPr>
              <w:t>and CaCl</w:t>
            </w:r>
            <w:r>
              <w:rPr>
                <w:position w:val="2"/>
                <w:sz w:val="21"/>
                <w:vertAlign w:val="subscript"/>
              </w:rPr>
              <w:t>2</w:t>
            </w:r>
          </w:p>
        </w:tc>
        <w:tc>
          <w:tcPr>
            <w:tcW w:w="1457" w:type="dxa"/>
            <w:tcBorders>
              <w:top w:val="single" w:sz="4" w:space="0" w:color="000000"/>
            </w:tcBorders>
          </w:tcPr>
          <w:p>
            <w:pPr>
              <w:pStyle w:val="TableParagraph"/>
              <w:spacing w:before="36"/>
              <w:ind w:left="269"/>
              <w:jc w:val="left"/>
              <w:rPr>
                <w:sz w:val="21"/>
              </w:rPr>
            </w:pPr>
            <w:r>
              <w:rPr>
                <w:sz w:val="21"/>
              </w:rPr>
              <w:t>30%-60%</w:t>
            </w:r>
          </w:p>
        </w:tc>
        <w:tc>
          <w:tcPr>
            <w:tcW w:w="1366" w:type="dxa"/>
            <w:tcBorders>
              <w:top w:val="single" w:sz="4" w:space="0" w:color="000000"/>
            </w:tcBorders>
          </w:tcPr>
          <w:p>
            <w:pPr>
              <w:pStyle w:val="TableParagraph"/>
              <w:spacing w:before="36"/>
              <w:ind w:left="311" w:right="195"/>
              <w:rPr>
                <w:sz w:val="21"/>
              </w:rPr>
            </w:pPr>
            <w:r>
              <w:rPr>
                <w:sz w:val="21"/>
              </w:rPr>
              <w:t>120/-</w:t>
            </w:r>
          </w:p>
        </w:tc>
        <w:tc>
          <w:tcPr>
            <w:tcW w:w="1255" w:type="dxa"/>
            <w:tcBorders>
              <w:top w:val="single" w:sz="4" w:space="0" w:color="000000"/>
            </w:tcBorders>
          </w:tcPr>
          <w:p>
            <w:pPr>
              <w:pStyle w:val="TableParagraph"/>
              <w:spacing w:before="36"/>
              <w:ind w:left="186" w:right="129"/>
              <w:rPr>
                <w:sz w:val="21"/>
              </w:rPr>
            </w:pPr>
            <w:r>
              <w:rPr>
                <w:sz w:val="21"/>
              </w:rPr>
              <w:t>[5]</w:t>
            </w:r>
          </w:p>
        </w:tc>
      </w:tr>
      <w:tr>
        <w:trPr>
          <w:trHeight w:val="622" w:hRule="atLeast"/>
        </w:trPr>
        <w:tc>
          <w:tcPr>
            <w:tcW w:w="1440" w:type="dxa"/>
          </w:tcPr>
          <w:p>
            <w:pPr>
              <w:pStyle w:val="TableParagraph"/>
              <w:spacing w:before="29"/>
              <w:ind w:left="226" w:right="274"/>
              <w:rPr>
                <w:sz w:val="21"/>
              </w:rPr>
            </w:pPr>
            <w:r>
              <w:rPr>
                <w:sz w:val="21"/>
              </w:rPr>
              <w:t>Resistance</w:t>
            </w:r>
          </w:p>
        </w:tc>
        <w:tc>
          <w:tcPr>
            <w:tcW w:w="1911" w:type="dxa"/>
          </w:tcPr>
          <w:p>
            <w:pPr>
              <w:pStyle w:val="TableParagraph"/>
              <w:spacing w:before="29"/>
              <w:ind w:left="268" w:right="206"/>
              <w:rPr>
                <w:sz w:val="21"/>
              </w:rPr>
            </w:pPr>
            <w:r>
              <w:rPr>
                <w:sz w:val="21"/>
              </w:rPr>
              <w:t>Ag-Pd electrode</w:t>
            </w:r>
          </w:p>
        </w:tc>
        <w:tc>
          <w:tcPr>
            <w:tcW w:w="2304" w:type="dxa"/>
          </w:tcPr>
          <w:p>
            <w:pPr>
              <w:pStyle w:val="TableParagraph"/>
              <w:spacing w:line="292" w:lineRule="exact" w:before="11"/>
              <w:ind w:left="467" w:right="263" w:hanging="200"/>
              <w:jc w:val="left"/>
              <w:rPr>
                <w:sz w:val="21"/>
              </w:rPr>
            </w:pPr>
            <w:r>
              <w:rPr>
                <w:position w:val="2"/>
                <w:sz w:val="21"/>
              </w:rPr>
              <w:t>TiO</w:t>
            </w:r>
            <w:r>
              <w:rPr>
                <w:position w:val="2"/>
                <w:sz w:val="21"/>
                <w:vertAlign w:val="subscript"/>
              </w:rPr>
              <w:t>2</w:t>
            </w:r>
            <w:r>
              <w:rPr>
                <w:position w:val="2"/>
                <w:sz w:val="21"/>
                <w:vertAlign w:val="baseline"/>
              </w:rPr>
              <w:t>/graphene oxide </w:t>
            </w:r>
            <w:r>
              <w:rPr>
                <w:sz w:val="21"/>
                <w:vertAlign w:val="baseline"/>
              </w:rPr>
              <w:t>nanocomposites</w:t>
            </w:r>
          </w:p>
        </w:tc>
        <w:tc>
          <w:tcPr>
            <w:tcW w:w="1457" w:type="dxa"/>
          </w:tcPr>
          <w:p>
            <w:pPr>
              <w:pStyle w:val="TableParagraph"/>
              <w:spacing w:before="29"/>
              <w:ind w:left="273"/>
              <w:jc w:val="left"/>
              <w:rPr>
                <w:sz w:val="21"/>
              </w:rPr>
            </w:pPr>
            <w:r>
              <w:rPr>
                <w:sz w:val="21"/>
              </w:rPr>
              <w:t>11%-93%</w:t>
            </w:r>
          </w:p>
        </w:tc>
        <w:tc>
          <w:tcPr>
            <w:tcW w:w="1366" w:type="dxa"/>
          </w:tcPr>
          <w:p>
            <w:pPr>
              <w:pStyle w:val="TableParagraph"/>
              <w:spacing w:before="29"/>
              <w:ind w:left="311" w:right="193"/>
              <w:rPr>
                <w:sz w:val="21"/>
              </w:rPr>
            </w:pPr>
            <w:r>
              <w:rPr>
                <w:sz w:val="21"/>
              </w:rPr>
              <w:t>129/59</w:t>
            </w:r>
          </w:p>
        </w:tc>
        <w:tc>
          <w:tcPr>
            <w:tcW w:w="1255" w:type="dxa"/>
          </w:tcPr>
          <w:p>
            <w:pPr>
              <w:pStyle w:val="TableParagraph"/>
              <w:spacing w:before="29"/>
              <w:ind w:left="186" w:right="129"/>
              <w:rPr>
                <w:sz w:val="21"/>
              </w:rPr>
            </w:pPr>
            <w:r>
              <w:rPr>
                <w:sz w:val="21"/>
              </w:rPr>
              <w:t>[6]</w:t>
            </w:r>
          </w:p>
        </w:tc>
      </w:tr>
      <w:tr>
        <w:trPr>
          <w:trHeight w:val="623" w:hRule="atLeast"/>
        </w:trPr>
        <w:tc>
          <w:tcPr>
            <w:tcW w:w="1440" w:type="dxa"/>
          </w:tcPr>
          <w:p>
            <w:pPr>
              <w:pStyle w:val="TableParagraph"/>
              <w:spacing w:before="31"/>
              <w:ind w:left="226" w:right="271"/>
              <w:rPr>
                <w:sz w:val="21"/>
              </w:rPr>
            </w:pPr>
            <w:r>
              <w:rPr>
                <w:sz w:val="21"/>
              </w:rPr>
              <w:t>SAW</w:t>
            </w:r>
          </w:p>
        </w:tc>
        <w:tc>
          <w:tcPr>
            <w:tcW w:w="1911" w:type="dxa"/>
          </w:tcPr>
          <w:p>
            <w:pPr>
              <w:pStyle w:val="TableParagraph"/>
              <w:spacing w:before="31"/>
              <w:ind w:left="268" w:right="207"/>
              <w:rPr>
                <w:sz w:val="21"/>
              </w:rPr>
            </w:pPr>
            <w:r>
              <w:rPr>
                <w:sz w:val="21"/>
              </w:rPr>
              <w:t>AlN</w:t>
            </w:r>
          </w:p>
        </w:tc>
        <w:tc>
          <w:tcPr>
            <w:tcW w:w="2304" w:type="dxa"/>
          </w:tcPr>
          <w:p>
            <w:pPr>
              <w:pStyle w:val="TableParagraph"/>
              <w:spacing w:before="31"/>
              <w:ind w:left="215" w:right="227"/>
              <w:rPr>
                <w:sz w:val="21"/>
              </w:rPr>
            </w:pPr>
            <w:r>
              <w:rPr>
                <w:sz w:val="21"/>
              </w:rPr>
              <w:t>Graphene oxide (210</w:t>
            </w:r>
          </w:p>
          <w:p>
            <w:pPr>
              <w:pStyle w:val="TableParagraph"/>
              <w:spacing w:before="70"/>
              <w:ind w:left="213" w:right="228"/>
              <w:rPr>
                <w:sz w:val="21"/>
              </w:rPr>
            </w:pPr>
            <w:r>
              <w:rPr>
                <w:sz w:val="21"/>
              </w:rPr>
              <w:t>nm)</w:t>
            </w:r>
          </w:p>
        </w:tc>
        <w:tc>
          <w:tcPr>
            <w:tcW w:w="1457" w:type="dxa"/>
          </w:tcPr>
          <w:p>
            <w:pPr>
              <w:pStyle w:val="TableParagraph"/>
              <w:spacing w:before="31"/>
              <w:ind w:left="269"/>
              <w:jc w:val="left"/>
              <w:rPr>
                <w:sz w:val="21"/>
              </w:rPr>
            </w:pPr>
            <w:r>
              <w:rPr>
                <w:sz w:val="21"/>
              </w:rPr>
              <w:t>15%-80%</w:t>
            </w:r>
          </w:p>
        </w:tc>
        <w:tc>
          <w:tcPr>
            <w:tcW w:w="1366" w:type="dxa"/>
          </w:tcPr>
          <w:p>
            <w:pPr>
              <w:pStyle w:val="TableParagraph"/>
              <w:spacing w:before="31"/>
              <w:ind w:left="311" w:right="193"/>
              <w:rPr>
                <w:sz w:val="21"/>
              </w:rPr>
            </w:pPr>
            <w:r>
              <w:rPr>
                <w:sz w:val="21"/>
              </w:rPr>
              <w:t>10/9</w:t>
            </w:r>
          </w:p>
        </w:tc>
        <w:tc>
          <w:tcPr>
            <w:tcW w:w="1255" w:type="dxa"/>
          </w:tcPr>
          <w:p>
            <w:pPr>
              <w:pStyle w:val="TableParagraph"/>
              <w:spacing w:before="31"/>
              <w:ind w:left="186" w:right="129"/>
              <w:rPr>
                <w:sz w:val="21"/>
              </w:rPr>
            </w:pPr>
            <w:r>
              <w:rPr>
                <w:sz w:val="21"/>
              </w:rPr>
              <w:t>[37]</w:t>
            </w:r>
          </w:p>
        </w:tc>
      </w:tr>
      <w:tr>
        <w:trPr>
          <w:trHeight w:val="624" w:hRule="atLeast"/>
        </w:trPr>
        <w:tc>
          <w:tcPr>
            <w:tcW w:w="1440" w:type="dxa"/>
          </w:tcPr>
          <w:p>
            <w:pPr>
              <w:pStyle w:val="TableParagraph"/>
              <w:spacing w:before="31"/>
              <w:ind w:left="226" w:right="271"/>
              <w:rPr>
                <w:sz w:val="21"/>
              </w:rPr>
            </w:pPr>
            <w:r>
              <w:rPr>
                <w:sz w:val="21"/>
              </w:rPr>
              <w:t>QCM</w:t>
            </w:r>
          </w:p>
        </w:tc>
        <w:tc>
          <w:tcPr>
            <w:tcW w:w="1911" w:type="dxa"/>
          </w:tcPr>
          <w:p>
            <w:pPr>
              <w:pStyle w:val="TableParagraph"/>
              <w:spacing w:before="31"/>
              <w:ind w:left="395"/>
              <w:jc w:val="left"/>
              <w:rPr>
                <w:sz w:val="21"/>
              </w:rPr>
            </w:pPr>
            <w:r>
              <w:rPr>
                <w:sz w:val="21"/>
              </w:rPr>
              <w:t>Quartz crystal</w:t>
            </w:r>
          </w:p>
          <w:p>
            <w:pPr>
              <w:pStyle w:val="TableParagraph"/>
              <w:spacing w:before="71"/>
              <w:ind w:left="419"/>
              <w:jc w:val="left"/>
              <w:rPr>
                <w:sz w:val="21"/>
              </w:rPr>
            </w:pPr>
            <w:r>
              <w:rPr>
                <w:sz w:val="21"/>
              </w:rPr>
              <w:t>microbalance</w:t>
            </w:r>
          </w:p>
        </w:tc>
        <w:tc>
          <w:tcPr>
            <w:tcW w:w="2304" w:type="dxa"/>
          </w:tcPr>
          <w:p>
            <w:pPr>
              <w:pStyle w:val="TableParagraph"/>
              <w:spacing w:before="31"/>
              <w:ind w:left="364"/>
              <w:jc w:val="left"/>
              <w:rPr>
                <w:sz w:val="21"/>
              </w:rPr>
            </w:pPr>
            <w:r>
              <w:rPr>
                <w:sz w:val="21"/>
              </w:rPr>
              <w:t>Bacterial cellulose</w:t>
            </w:r>
          </w:p>
        </w:tc>
        <w:tc>
          <w:tcPr>
            <w:tcW w:w="1457" w:type="dxa"/>
          </w:tcPr>
          <w:p>
            <w:pPr>
              <w:pStyle w:val="TableParagraph"/>
              <w:spacing w:before="31"/>
              <w:ind w:left="269"/>
              <w:jc w:val="left"/>
              <w:rPr>
                <w:sz w:val="21"/>
              </w:rPr>
            </w:pPr>
            <w:r>
              <w:rPr>
                <w:sz w:val="21"/>
              </w:rPr>
              <w:t>60%-97%</w:t>
            </w:r>
          </w:p>
        </w:tc>
        <w:tc>
          <w:tcPr>
            <w:tcW w:w="1366" w:type="dxa"/>
          </w:tcPr>
          <w:p>
            <w:pPr>
              <w:pStyle w:val="TableParagraph"/>
              <w:spacing w:before="31"/>
              <w:ind w:left="311" w:right="193"/>
              <w:rPr>
                <w:sz w:val="21"/>
              </w:rPr>
            </w:pPr>
            <w:r>
              <w:rPr>
                <w:sz w:val="21"/>
              </w:rPr>
              <w:t>102/57</w:t>
            </w:r>
          </w:p>
        </w:tc>
        <w:tc>
          <w:tcPr>
            <w:tcW w:w="1255" w:type="dxa"/>
          </w:tcPr>
          <w:p>
            <w:pPr>
              <w:pStyle w:val="TableParagraph"/>
              <w:spacing w:before="31"/>
              <w:ind w:left="186" w:right="129"/>
              <w:rPr>
                <w:sz w:val="21"/>
              </w:rPr>
            </w:pPr>
            <w:r>
              <w:rPr>
                <w:sz w:val="21"/>
              </w:rPr>
              <w:t>[23]</w:t>
            </w:r>
          </w:p>
        </w:tc>
      </w:tr>
      <w:tr>
        <w:trPr>
          <w:trHeight w:val="306" w:hRule="atLeast"/>
        </w:trPr>
        <w:tc>
          <w:tcPr>
            <w:tcW w:w="1440" w:type="dxa"/>
            <w:tcBorders>
              <w:bottom w:val="single" w:sz="4" w:space="0" w:color="000000"/>
            </w:tcBorders>
          </w:tcPr>
          <w:p>
            <w:pPr>
              <w:pStyle w:val="TableParagraph"/>
              <w:spacing w:before="31"/>
              <w:ind w:left="226" w:right="271"/>
              <w:rPr>
                <w:sz w:val="21"/>
              </w:rPr>
            </w:pPr>
            <w:r>
              <w:rPr>
                <w:sz w:val="21"/>
              </w:rPr>
              <w:t>SAW</w:t>
            </w:r>
          </w:p>
        </w:tc>
        <w:tc>
          <w:tcPr>
            <w:tcW w:w="1911" w:type="dxa"/>
            <w:tcBorders>
              <w:bottom w:val="single" w:sz="4" w:space="0" w:color="000000"/>
            </w:tcBorders>
          </w:tcPr>
          <w:p>
            <w:pPr>
              <w:pStyle w:val="TableParagraph"/>
              <w:spacing w:before="31"/>
              <w:ind w:left="268" w:right="209"/>
              <w:rPr>
                <w:sz w:val="21"/>
              </w:rPr>
            </w:pPr>
            <w:r>
              <w:rPr>
                <w:sz w:val="21"/>
              </w:rPr>
              <w:t>ST-cut quartz</w:t>
            </w:r>
          </w:p>
        </w:tc>
        <w:tc>
          <w:tcPr>
            <w:tcW w:w="2304" w:type="dxa"/>
            <w:tcBorders>
              <w:bottom w:val="single" w:sz="4" w:space="0" w:color="000000"/>
            </w:tcBorders>
          </w:tcPr>
          <w:p>
            <w:pPr>
              <w:pStyle w:val="TableParagraph"/>
              <w:spacing w:before="31"/>
              <w:ind w:left="364"/>
              <w:jc w:val="left"/>
              <w:rPr>
                <w:sz w:val="21"/>
              </w:rPr>
            </w:pPr>
            <w:r>
              <w:rPr>
                <w:sz w:val="21"/>
              </w:rPr>
              <w:t>Bacterial cellulose</w:t>
            </w:r>
          </w:p>
        </w:tc>
        <w:tc>
          <w:tcPr>
            <w:tcW w:w="1457" w:type="dxa"/>
            <w:tcBorders>
              <w:bottom w:val="single" w:sz="4" w:space="0" w:color="000000"/>
            </w:tcBorders>
          </w:tcPr>
          <w:p>
            <w:pPr>
              <w:pStyle w:val="TableParagraph"/>
              <w:spacing w:before="31"/>
              <w:ind w:left="269"/>
              <w:jc w:val="left"/>
              <w:rPr>
                <w:sz w:val="21"/>
              </w:rPr>
            </w:pPr>
            <w:r>
              <w:rPr>
                <w:sz w:val="21"/>
              </w:rPr>
              <w:t>10%-93%</w:t>
            </w:r>
          </w:p>
        </w:tc>
        <w:tc>
          <w:tcPr>
            <w:tcW w:w="1366" w:type="dxa"/>
            <w:tcBorders>
              <w:bottom w:val="single" w:sz="4" w:space="0" w:color="000000"/>
            </w:tcBorders>
          </w:tcPr>
          <w:p>
            <w:pPr>
              <w:pStyle w:val="TableParagraph"/>
              <w:spacing w:before="31"/>
              <w:ind w:left="311" w:right="194"/>
              <w:rPr>
                <w:sz w:val="21"/>
              </w:rPr>
            </w:pPr>
            <w:r>
              <w:rPr>
                <w:sz w:val="21"/>
              </w:rPr>
              <w:t>13/7</w:t>
            </w:r>
          </w:p>
        </w:tc>
        <w:tc>
          <w:tcPr>
            <w:tcW w:w="1255" w:type="dxa"/>
            <w:tcBorders>
              <w:bottom w:val="single" w:sz="4" w:space="0" w:color="000000"/>
            </w:tcBorders>
          </w:tcPr>
          <w:p>
            <w:pPr>
              <w:pStyle w:val="TableParagraph"/>
              <w:spacing w:before="31"/>
              <w:ind w:left="186" w:right="129"/>
              <w:rPr>
                <w:sz w:val="21"/>
              </w:rPr>
            </w:pPr>
            <w:r>
              <w:rPr>
                <w:sz w:val="21"/>
              </w:rPr>
              <w:t>This work</w:t>
            </w:r>
          </w:p>
        </w:tc>
      </w:tr>
    </w:tbl>
    <w:p>
      <w:pPr>
        <w:pStyle w:val="BodyText"/>
        <w:spacing w:before="10"/>
        <w:ind w:left="0"/>
        <w:rPr>
          <w:sz w:val="28"/>
        </w:rPr>
      </w:pPr>
    </w:p>
    <w:p>
      <w:pPr>
        <w:pStyle w:val="BodyText"/>
        <w:spacing w:line="268" w:lineRule="auto"/>
      </w:pPr>
      <w:r>
        <w:rPr>
          <w:b/>
        </w:rPr>
        <w:t>Table 2. </w:t>
      </w:r>
      <w:r>
        <w:rPr/>
        <w:t>Performance comparisons of the newly developed SAW sensor with typical commercial humidity sensors.</w:t>
      </w:r>
    </w:p>
    <w:tbl>
      <w:tblPr>
        <w:tblW w:w="0" w:type="auto"/>
        <w:jc w:val="left"/>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2"/>
        <w:gridCol w:w="1660"/>
        <w:gridCol w:w="2261"/>
        <w:gridCol w:w="2182"/>
      </w:tblGrid>
      <w:tr>
        <w:trPr>
          <w:trHeight w:val="311" w:hRule="atLeast"/>
        </w:trPr>
        <w:tc>
          <w:tcPr>
            <w:tcW w:w="2182" w:type="dxa"/>
            <w:tcBorders>
              <w:top w:val="single" w:sz="4" w:space="0" w:color="000000"/>
              <w:bottom w:val="single" w:sz="4" w:space="0" w:color="000000"/>
            </w:tcBorders>
          </w:tcPr>
          <w:p>
            <w:pPr>
              <w:pStyle w:val="TableParagraph"/>
              <w:spacing w:before="8"/>
              <w:ind w:left="124" w:right="192"/>
              <w:rPr>
                <w:b/>
                <w:sz w:val="24"/>
              </w:rPr>
            </w:pPr>
            <w:r>
              <w:rPr>
                <w:b/>
                <w:sz w:val="24"/>
              </w:rPr>
              <w:t>Sensors</w:t>
            </w:r>
          </w:p>
        </w:tc>
        <w:tc>
          <w:tcPr>
            <w:tcW w:w="1660" w:type="dxa"/>
            <w:tcBorders>
              <w:top w:val="single" w:sz="4" w:space="0" w:color="000000"/>
              <w:bottom w:val="single" w:sz="4" w:space="0" w:color="000000"/>
            </w:tcBorders>
          </w:tcPr>
          <w:p>
            <w:pPr>
              <w:pStyle w:val="TableParagraph"/>
              <w:spacing w:before="8"/>
              <w:ind w:left="322" w:right="269"/>
              <w:rPr>
                <w:b/>
                <w:sz w:val="24"/>
              </w:rPr>
            </w:pPr>
            <w:r>
              <w:rPr>
                <w:b/>
                <w:sz w:val="24"/>
              </w:rPr>
              <w:t>Principle</w:t>
            </w:r>
          </w:p>
        </w:tc>
        <w:tc>
          <w:tcPr>
            <w:tcW w:w="2261" w:type="dxa"/>
            <w:tcBorders>
              <w:top w:val="single" w:sz="4" w:space="0" w:color="000000"/>
              <w:bottom w:val="single" w:sz="4" w:space="0" w:color="000000"/>
            </w:tcBorders>
          </w:tcPr>
          <w:p>
            <w:pPr>
              <w:pStyle w:val="TableParagraph"/>
              <w:spacing w:before="8"/>
              <w:ind w:left="267" w:right="166"/>
              <w:rPr>
                <w:b/>
                <w:sz w:val="24"/>
              </w:rPr>
            </w:pPr>
            <w:r>
              <w:rPr>
                <w:b/>
                <w:sz w:val="24"/>
              </w:rPr>
              <w:t>Response time (s)</w:t>
            </w:r>
          </w:p>
        </w:tc>
        <w:tc>
          <w:tcPr>
            <w:tcW w:w="2182" w:type="dxa"/>
            <w:tcBorders>
              <w:top w:val="single" w:sz="4" w:space="0" w:color="000000"/>
              <w:bottom w:val="single" w:sz="4" w:space="0" w:color="000000"/>
            </w:tcBorders>
          </w:tcPr>
          <w:p>
            <w:pPr>
              <w:pStyle w:val="TableParagraph"/>
              <w:spacing w:before="8"/>
              <w:ind w:left="164" w:right="192"/>
              <w:rPr>
                <w:b/>
                <w:sz w:val="24"/>
              </w:rPr>
            </w:pPr>
            <w:r>
              <w:rPr>
                <w:b/>
                <w:sz w:val="24"/>
              </w:rPr>
              <w:t>Recovery time (s)</w:t>
            </w:r>
          </w:p>
        </w:tc>
      </w:tr>
      <w:tr>
        <w:trPr>
          <w:trHeight w:val="319" w:hRule="atLeast"/>
        </w:trPr>
        <w:tc>
          <w:tcPr>
            <w:tcW w:w="2182" w:type="dxa"/>
            <w:tcBorders>
              <w:top w:val="single" w:sz="4" w:space="0" w:color="000000"/>
            </w:tcBorders>
          </w:tcPr>
          <w:p>
            <w:pPr>
              <w:pStyle w:val="TableParagraph"/>
              <w:spacing w:before="6"/>
              <w:ind w:left="124" w:right="192"/>
              <w:rPr>
                <w:sz w:val="24"/>
              </w:rPr>
            </w:pPr>
            <w:r>
              <w:rPr>
                <w:sz w:val="24"/>
              </w:rPr>
              <w:t>SHT15 Polymer</w:t>
            </w:r>
          </w:p>
        </w:tc>
        <w:tc>
          <w:tcPr>
            <w:tcW w:w="1660" w:type="dxa"/>
            <w:tcBorders>
              <w:top w:val="single" w:sz="4" w:space="0" w:color="000000"/>
            </w:tcBorders>
          </w:tcPr>
          <w:p>
            <w:pPr>
              <w:pStyle w:val="TableParagraph"/>
              <w:spacing w:before="6"/>
              <w:ind w:left="322" w:right="271"/>
              <w:rPr>
                <w:sz w:val="24"/>
              </w:rPr>
            </w:pPr>
            <w:r>
              <w:rPr>
                <w:sz w:val="24"/>
              </w:rPr>
              <w:t>Capacitive</w:t>
            </w:r>
          </w:p>
        </w:tc>
        <w:tc>
          <w:tcPr>
            <w:tcW w:w="2261" w:type="dxa"/>
            <w:tcBorders>
              <w:top w:val="single" w:sz="4" w:space="0" w:color="000000"/>
            </w:tcBorders>
          </w:tcPr>
          <w:p>
            <w:pPr>
              <w:pStyle w:val="TableParagraph"/>
              <w:spacing w:before="6"/>
              <w:ind w:left="103"/>
              <w:rPr>
                <w:sz w:val="24"/>
              </w:rPr>
            </w:pPr>
            <w:r>
              <w:rPr>
                <w:sz w:val="24"/>
              </w:rPr>
              <w:t>8</w:t>
            </w:r>
          </w:p>
        </w:tc>
        <w:tc>
          <w:tcPr>
            <w:tcW w:w="2182" w:type="dxa"/>
            <w:tcBorders>
              <w:top w:val="single" w:sz="4" w:space="0" w:color="000000"/>
            </w:tcBorders>
          </w:tcPr>
          <w:p>
            <w:pPr>
              <w:pStyle w:val="TableParagraph"/>
              <w:spacing w:before="6"/>
              <w:ind w:right="26"/>
              <w:rPr>
                <w:sz w:val="24"/>
              </w:rPr>
            </w:pPr>
            <w:r>
              <w:rPr>
                <w:sz w:val="24"/>
              </w:rPr>
              <w:t>8</w:t>
            </w:r>
          </w:p>
        </w:tc>
      </w:tr>
      <w:tr>
        <w:trPr>
          <w:trHeight w:val="312" w:hRule="atLeast"/>
        </w:trPr>
        <w:tc>
          <w:tcPr>
            <w:tcW w:w="2182" w:type="dxa"/>
          </w:tcPr>
          <w:p>
            <w:pPr>
              <w:pStyle w:val="TableParagraph"/>
              <w:spacing w:line="275" w:lineRule="exact"/>
              <w:ind w:left="122" w:right="192"/>
              <w:rPr>
                <w:sz w:val="24"/>
              </w:rPr>
            </w:pPr>
            <w:r>
              <w:rPr>
                <w:sz w:val="24"/>
              </w:rPr>
              <w:t>DHT11</w:t>
            </w:r>
          </w:p>
        </w:tc>
        <w:tc>
          <w:tcPr>
            <w:tcW w:w="1660" w:type="dxa"/>
          </w:tcPr>
          <w:p>
            <w:pPr>
              <w:pStyle w:val="TableParagraph"/>
              <w:spacing w:line="275" w:lineRule="exact"/>
              <w:ind w:left="322" w:right="271"/>
              <w:rPr>
                <w:sz w:val="24"/>
              </w:rPr>
            </w:pPr>
            <w:r>
              <w:rPr>
                <w:sz w:val="24"/>
              </w:rPr>
              <w:t>Resistance</w:t>
            </w:r>
          </w:p>
        </w:tc>
        <w:tc>
          <w:tcPr>
            <w:tcW w:w="2261" w:type="dxa"/>
          </w:tcPr>
          <w:p>
            <w:pPr>
              <w:pStyle w:val="TableParagraph"/>
              <w:spacing w:line="275" w:lineRule="exact"/>
              <w:ind w:left="267" w:right="164"/>
              <w:rPr>
                <w:sz w:val="24"/>
              </w:rPr>
            </w:pPr>
            <w:r>
              <w:rPr>
                <w:sz w:val="24"/>
              </w:rPr>
              <w:t>10</w:t>
            </w:r>
          </w:p>
        </w:tc>
        <w:tc>
          <w:tcPr>
            <w:tcW w:w="2182" w:type="dxa"/>
          </w:tcPr>
          <w:p>
            <w:pPr>
              <w:pStyle w:val="TableParagraph"/>
              <w:spacing w:line="275" w:lineRule="exact"/>
              <w:ind w:left="164" w:right="190"/>
              <w:rPr>
                <w:sz w:val="24"/>
              </w:rPr>
            </w:pPr>
            <w:r>
              <w:rPr>
                <w:sz w:val="24"/>
              </w:rPr>
              <w:t>10</w:t>
            </w:r>
          </w:p>
        </w:tc>
      </w:tr>
      <w:tr>
        <w:trPr>
          <w:trHeight w:val="311" w:hRule="atLeast"/>
        </w:trPr>
        <w:tc>
          <w:tcPr>
            <w:tcW w:w="2182" w:type="dxa"/>
          </w:tcPr>
          <w:p>
            <w:pPr>
              <w:pStyle w:val="TableParagraph"/>
              <w:spacing w:line="275" w:lineRule="exact"/>
              <w:ind w:left="125" w:right="192"/>
              <w:rPr>
                <w:sz w:val="24"/>
              </w:rPr>
            </w:pPr>
            <w:r>
              <w:rPr>
                <w:sz w:val="24"/>
              </w:rPr>
              <w:t>HMT330</w:t>
            </w:r>
          </w:p>
        </w:tc>
        <w:tc>
          <w:tcPr>
            <w:tcW w:w="1660" w:type="dxa"/>
          </w:tcPr>
          <w:p>
            <w:pPr>
              <w:pStyle w:val="TableParagraph"/>
              <w:spacing w:line="275" w:lineRule="exact"/>
              <w:ind w:left="322" w:right="268"/>
              <w:rPr>
                <w:sz w:val="24"/>
              </w:rPr>
            </w:pPr>
            <w:r>
              <w:rPr>
                <w:sz w:val="24"/>
              </w:rPr>
              <w:t>Electronic</w:t>
            </w:r>
          </w:p>
        </w:tc>
        <w:tc>
          <w:tcPr>
            <w:tcW w:w="2261" w:type="dxa"/>
          </w:tcPr>
          <w:p>
            <w:pPr>
              <w:pStyle w:val="TableParagraph"/>
              <w:spacing w:line="275" w:lineRule="exact"/>
              <w:ind w:left="267" w:right="164"/>
              <w:rPr>
                <w:sz w:val="24"/>
              </w:rPr>
            </w:pPr>
            <w:r>
              <w:rPr>
                <w:sz w:val="24"/>
              </w:rPr>
              <w:t>20</w:t>
            </w:r>
          </w:p>
        </w:tc>
        <w:tc>
          <w:tcPr>
            <w:tcW w:w="2182" w:type="dxa"/>
          </w:tcPr>
          <w:p>
            <w:pPr>
              <w:pStyle w:val="TableParagraph"/>
              <w:spacing w:line="275" w:lineRule="exact"/>
              <w:ind w:left="164" w:right="190"/>
              <w:rPr>
                <w:sz w:val="24"/>
              </w:rPr>
            </w:pPr>
            <w:r>
              <w:rPr>
                <w:sz w:val="24"/>
              </w:rPr>
              <w:t>50</w:t>
            </w:r>
          </w:p>
        </w:tc>
      </w:tr>
      <w:tr>
        <w:trPr>
          <w:trHeight w:val="306" w:hRule="atLeast"/>
        </w:trPr>
        <w:tc>
          <w:tcPr>
            <w:tcW w:w="2182" w:type="dxa"/>
            <w:tcBorders>
              <w:bottom w:val="single" w:sz="4" w:space="0" w:color="000000"/>
            </w:tcBorders>
          </w:tcPr>
          <w:p>
            <w:pPr>
              <w:pStyle w:val="TableParagraph"/>
              <w:spacing w:line="275" w:lineRule="exact"/>
              <w:ind w:left="124" w:right="192"/>
              <w:rPr>
                <w:sz w:val="24"/>
              </w:rPr>
            </w:pPr>
            <w:r>
              <w:rPr>
                <w:sz w:val="24"/>
              </w:rPr>
              <w:t>This work</w:t>
            </w:r>
          </w:p>
        </w:tc>
        <w:tc>
          <w:tcPr>
            <w:tcW w:w="1660" w:type="dxa"/>
            <w:tcBorders>
              <w:bottom w:val="single" w:sz="4" w:space="0" w:color="000000"/>
            </w:tcBorders>
          </w:tcPr>
          <w:p>
            <w:pPr>
              <w:pStyle w:val="TableParagraph"/>
              <w:spacing w:line="275" w:lineRule="exact"/>
              <w:ind w:left="322" w:right="268"/>
              <w:rPr>
                <w:sz w:val="24"/>
              </w:rPr>
            </w:pPr>
            <w:r>
              <w:rPr>
                <w:sz w:val="24"/>
              </w:rPr>
              <w:t>SAW</w:t>
            </w:r>
          </w:p>
        </w:tc>
        <w:tc>
          <w:tcPr>
            <w:tcW w:w="2261" w:type="dxa"/>
            <w:tcBorders>
              <w:bottom w:val="single" w:sz="4" w:space="0" w:color="000000"/>
            </w:tcBorders>
          </w:tcPr>
          <w:p>
            <w:pPr>
              <w:pStyle w:val="TableParagraph"/>
              <w:spacing w:line="275" w:lineRule="exact"/>
              <w:ind w:left="267" w:right="164"/>
              <w:rPr>
                <w:sz w:val="24"/>
              </w:rPr>
            </w:pPr>
            <w:r>
              <w:rPr>
                <w:sz w:val="24"/>
              </w:rPr>
              <w:t>12</w:t>
            </w:r>
          </w:p>
        </w:tc>
        <w:tc>
          <w:tcPr>
            <w:tcW w:w="2182" w:type="dxa"/>
            <w:tcBorders>
              <w:bottom w:val="single" w:sz="4" w:space="0" w:color="000000"/>
            </w:tcBorders>
          </w:tcPr>
          <w:p>
            <w:pPr>
              <w:pStyle w:val="TableParagraph"/>
              <w:spacing w:line="275" w:lineRule="exact"/>
              <w:ind w:right="26"/>
              <w:rPr>
                <w:sz w:val="24"/>
              </w:rPr>
            </w:pPr>
            <w:r>
              <w:rPr>
                <w:sz w:val="24"/>
              </w:rPr>
              <w:t>5</w:t>
            </w:r>
          </w:p>
        </w:tc>
      </w:tr>
    </w:tbl>
    <w:p>
      <w:pPr>
        <w:spacing w:before="23"/>
        <w:ind w:left="222" w:right="0" w:firstLine="0"/>
        <w:jc w:val="left"/>
        <w:rPr>
          <w:sz w:val="21"/>
        </w:rPr>
      </w:pPr>
      <w:r>
        <w:rPr>
          <w:sz w:val="21"/>
        </w:rPr>
        <w:t>*The mainstream humidity sensor data on the market shown above were obtained from reference [35].</w:t>
      </w:r>
    </w:p>
    <w:p>
      <w:pPr>
        <w:pStyle w:val="BodyText"/>
        <w:spacing w:before="10"/>
        <w:ind w:left="0"/>
        <w:rPr>
          <w:sz w:val="31"/>
        </w:rPr>
      </w:pPr>
    </w:p>
    <w:p>
      <w:pPr>
        <w:pStyle w:val="BodyText"/>
        <w:spacing w:after="58"/>
      </w:pPr>
      <w:r>
        <w:rPr>
          <w:b/>
        </w:rPr>
        <w:t>Table 3. </w:t>
      </w:r>
      <w:r>
        <w:rPr/>
        <w:t>Compari</w:t>
      </w:r>
      <w:r>
        <w:rPr>
          <w:u w:val="single"/>
        </w:rPr>
        <w:t>son of TCF values for SAW devices with different substrate mater</w:t>
      </w:r>
      <w:r>
        <w:rPr/>
        <w:t>ial.</w:t>
      </w:r>
    </w:p>
    <w:tbl>
      <w:tblPr>
        <w:tblW w:w="0" w:type="auto"/>
        <w:jc w:val="left"/>
        <w:tblInd w:w="1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229"/>
        <w:gridCol w:w="1933"/>
        <w:gridCol w:w="1892"/>
      </w:tblGrid>
      <w:tr>
        <w:trPr>
          <w:trHeight w:val="278" w:hRule="atLeast"/>
        </w:trPr>
        <w:tc>
          <w:tcPr>
            <w:tcW w:w="230" w:type="dxa"/>
            <w:tcBorders>
              <w:bottom w:val="single" w:sz="4" w:space="0" w:color="000000"/>
            </w:tcBorders>
          </w:tcPr>
          <w:p>
            <w:pPr>
              <w:pStyle w:val="TableParagraph"/>
              <w:jc w:val="left"/>
              <w:rPr>
                <w:sz w:val="20"/>
              </w:rPr>
            </w:pPr>
          </w:p>
        </w:tc>
        <w:tc>
          <w:tcPr>
            <w:tcW w:w="2229" w:type="dxa"/>
            <w:tcBorders>
              <w:bottom w:val="single" w:sz="4" w:space="0" w:color="000000"/>
            </w:tcBorders>
          </w:tcPr>
          <w:p>
            <w:pPr>
              <w:pStyle w:val="TableParagraph"/>
              <w:spacing w:line="258" w:lineRule="exact"/>
              <w:jc w:val="left"/>
              <w:rPr>
                <w:b/>
                <w:sz w:val="24"/>
              </w:rPr>
            </w:pPr>
            <w:r>
              <w:rPr>
                <w:b/>
                <w:sz w:val="24"/>
              </w:rPr>
              <w:t>Substrate material</w:t>
            </w:r>
          </w:p>
        </w:tc>
        <w:tc>
          <w:tcPr>
            <w:tcW w:w="1933" w:type="dxa"/>
            <w:tcBorders>
              <w:bottom w:val="single" w:sz="4" w:space="0" w:color="000000"/>
            </w:tcBorders>
          </w:tcPr>
          <w:p>
            <w:pPr>
              <w:pStyle w:val="TableParagraph"/>
              <w:spacing w:line="258" w:lineRule="exact"/>
              <w:ind w:left="211" w:right="372"/>
              <w:rPr>
                <w:b/>
                <w:sz w:val="21"/>
              </w:rPr>
            </w:pPr>
            <w:r>
              <w:rPr>
                <w:b/>
                <w:sz w:val="24"/>
              </w:rPr>
              <w:t>TCF</w:t>
            </w:r>
            <w:r>
              <w:rPr>
                <w:b/>
                <w:sz w:val="21"/>
              </w:rPr>
              <w:t>(ppm/</w:t>
            </w:r>
            <w:r>
              <w:rPr>
                <w:b/>
                <w:position w:val="7"/>
                <w:sz w:val="14"/>
              </w:rPr>
              <w:t>o</w:t>
            </w:r>
            <w:r>
              <w:rPr>
                <w:b/>
                <w:sz w:val="21"/>
              </w:rPr>
              <w:t>C)</w:t>
            </w:r>
          </w:p>
        </w:tc>
        <w:tc>
          <w:tcPr>
            <w:tcW w:w="1892" w:type="dxa"/>
            <w:tcBorders>
              <w:bottom w:val="single" w:sz="4" w:space="0" w:color="000000"/>
            </w:tcBorders>
          </w:tcPr>
          <w:p>
            <w:pPr>
              <w:pStyle w:val="TableParagraph"/>
              <w:spacing w:line="258" w:lineRule="exact"/>
              <w:ind w:left="376" w:right="450"/>
              <w:rPr>
                <w:b/>
                <w:sz w:val="24"/>
              </w:rPr>
            </w:pPr>
            <w:r>
              <w:rPr>
                <w:b/>
                <w:sz w:val="24"/>
              </w:rPr>
              <w:t>Reference</w:t>
            </w:r>
          </w:p>
        </w:tc>
      </w:tr>
      <w:tr>
        <w:trPr>
          <w:trHeight w:val="318" w:hRule="atLeast"/>
        </w:trPr>
        <w:tc>
          <w:tcPr>
            <w:tcW w:w="230" w:type="dxa"/>
            <w:tcBorders>
              <w:top w:val="single" w:sz="4" w:space="0" w:color="000000"/>
            </w:tcBorders>
          </w:tcPr>
          <w:p>
            <w:pPr>
              <w:pStyle w:val="TableParagraph"/>
              <w:jc w:val="left"/>
              <w:rPr>
                <w:sz w:val="22"/>
              </w:rPr>
            </w:pPr>
          </w:p>
        </w:tc>
        <w:tc>
          <w:tcPr>
            <w:tcW w:w="2229" w:type="dxa"/>
            <w:tcBorders>
              <w:top w:val="single" w:sz="4" w:space="0" w:color="000000"/>
            </w:tcBorders>
          </w:tcPr>
          <w:p>
            <w:pPr>
              <w:pStyle w:val="TableParagraph"/>
              <w:spacing w:line="281" w:lineRule="exact" w:before="17"/>
              <w:ind w:left="182"/>
              <w:jc w:val="left"/>
              <w:rPr>
                <w:sz w:val="24"/>
              </w:rPr>
            </w:pPr>
            <w:r>
              <w:rPr>
                <w:position w:val="2"/>
                <w:sz w:val="24"/>
              </w:rPr>
              <w:t>128</w:t>
            </w:r>
            <w:r>
              <w:rPr>
                <w:position w:val="2"/>
                <w:sz w:val="24"/>
                <w:vertAlign w:val="superscript"/>
              </w:rPr>
              <w:t>o</w:t>
            </w:r>
            <w:r>
              <w:rPr>
                <w:position w:val="2"/>
                <w:sz w:val="24"/>
                <w:vertAlign w:val="baseline"/>
              </w:rPr>
              <w:t> Y-cut LiNbO</w:t>
            </w:r>
            <w:r>
              <w:rPr>
                <w:position w:val="2"/>
                <w:sz w:val="24"/>
                <w:vertAlign w:val="subscript"/>
              </w:rPr>
              <w:t>3</w:t>
            </w:r>
          </w:p>
        </w:tc>
        <w:tc>
          <w:tcPr>
            <w:tcW w:w="1933" w:type="dxa"/>
            <w:tcBorders>
              <w:top w:val="single" w:sz="4" w:space="0" w:color="000000"/>
            </w:tcBorders>
          </w:tcPr>
          <w:p>
            <w:pPr>
              <w:pStyle w:val="TableParagraph"/>
              <w:spacing w:before="18"/>
              <w:ind w:left="208" w:right="372"/>
              <w:rPr>
                <w:sz w:val="24"/>
              </w:rPr>
            </w:pPr>
            <w:r>
              <w:rPr>
                <w:sz w:val="24"/>
              </w:rPr>
              <w:t>-75</w:t>
            </w:r>
          </w:p>
        </w:tc>
        <w:tc>
          <w:tcPr>
            <w:tcW w:w="1892" w:type="dxa"/>
            <w:tcBorders>
              <w:top w:val="single" w:sz="4" w:space="0" w:color="000000"/>
            </w:tcBorders>
          </w:tcPr>
          <w:p>
            <w:pPr>
              <w:pStyle w:val="TableParagraph"/>
              <w:spacing w:before="18"/>
              <w:ind w:left="376" w:right="450"/>
              <w:rPr>
                <w:sz w:val="24"/>
              </w:rPr>
            </w:pPr>
            <w:r>
              <w:rPr>
                <w:sz w:val="24"/>
              </w:rPr>
              <w:t>[40]</w:t>
            </w:r>
          </w:p>
        </w:tc>
      </w:tr>
      <w:tr>
        <w:trPr>
          <w:trHeight w:val="310" w:hRule="atLeast"/>
        </w:trPr>
        <w:tc>
          <w:tcPr>
            <w:tcW w:w="230" w:type="dxa"/>
          </w:tcPr>
          <w:p>
            <w:pPr>
              <w:pStyle w:val="TableParagraph"/>
              <w:jc w:val="left"/>
              <w:rPr>
                <w:sz w:val="22"/>
              </w:rPr>
            </w:pPr>
          </w:p>
        </w:tc>
        <w:tc>
          <w:tcPr>
            <w:tcW w:w="2229" w:type="dxa"/>
          </w:tcPr>
          <w:p>
            <w:pPr>
              <w:pStyle w:val="TableParagraph"/>
              <w:spacing w:before="12"/>
              <w:ind w:left="728" w:right="767"/>
              <w:rPr>
                <w:sz w:val="24"/>
              </w:rPr>
            </w:pPr>
            <w:r>
              <w:rPr>
                <w:sz w:val="24"/>
              </w:rPr>
              <w:t>AIN/Si</w:t>
            </w:r>
          </w:p>
        </w:tc>
        <w:tc>
          <w:tcPr>
            <w:tcW w:w="1933" w:type="dxa"/>
          </w:tcPr>
          <w:p>
            <w:pPr>
              <w:pStyle w:val="TableParagraph"/>
              <w:spacing w:before="12"/>
              <w:ind w:left="211" w:right="371"/>
              <w:rPr>
                <w:sz w:val="24"/>
              </w:rPr>
            </w:pPr>
            <w:r>
              <w:rPr>
                <w:sz w:val="24"/>
              </w:rPr>
              <w:t>-22.1</w:t>
            </w:r>
          </w:p>
        </w:tc>
        <w:tc>
          <w:tcPr>
            <w:tcW w:w="1892" w:type="dxa"/>
          </w:tcPr>
          <w:p>
            <w:pPr>
              <w:pStyle w:val="TableParagraph"/>
              <w:spacing w:before="12"/>
              <w:ind w:left="376" w:right="450"/>
              <w:rPr>
                <w:sz w:val="24"/>
              </w:rPr>
            </w:pPr>
            <w:r>
              <w:rPr>
                <w:sz w:val="24"/>
              </w:rPr>
              <w:t>[10]</w:t>
            </w:r>
          </w:p>
        </w:tc>
      </w:tr>
      <w:tr>
        <w:trPr>
          <w:trHeight w:val="313" w:hRule="atLeast"/>
        </w:trPr>
        <w:tc>
          <w:tcPr>
            <w:tcW w:w="230" w:type="dxa"/>
          </w:tcPr>
          <w:p>
            <w:pPr>
              <w:pStyle w:val="TableParagraph"/>
              <w:jc w:val="left"/>
              <w:rPr>
                <w:sz w:val="22"/>
              </w:rPr>
            </w:pPr>
          </w:p>
        </w:tc>
        <w:tc>
          <w:tcPr>
            <w:tcW w:w="2229" w:type="dxa"/>
          </w:tcPr>
          <w:p>
            <w:pPr>
              <w:pStyle w:val="TableParagraph"/>
              <w:spacing w:line="281" w:lineRule="exact" w:before="12"/>
              <w:ind w:left="327"/>
              <w:jc w:val="left"/>
              <w:rPr>
                <w:sz w:val="24"/>
              </w:rPr>
            </w:pPr>
            <w:r>
              <w:rPr>
                <w:position w:val="2"/>
                <w:sz w:val="24"/>
              </w:rPr>
              <w:t>X-112Y LiTaO</w:t>
            </w:r>
            <w:r>
              <w:rPr>
                <w:position w:val="2"/>
                <w:sz w:val="24"/>
                <w:vertAlign w:val="subscript"/>
              </w:rPr>
              <w:t>3</w:t>
            </w:r>
          </w:p>
        </w:tc>
        <w:tc>
          <w:tcPr>
            <w:tcW w:w="1933" w:type="dxa"/>
          </w:tcPr>
          <w:p>
            <w:pPr>
              <w:pStyle w:val="TableParagraph"/>
              <w:spacing w:before="13"/>
              <w:ind w:left="208" w:right="372"/>
              <w:rPr>
                <w:sz w:val="24"/>
              </w:rPr>
            </w:pPr>
            <w:r>
              <w:rPr>
                <w:sz w:val="24"/>
              </w:rPr>
              <w:t>-18</w:t>
            </w:r>
          </w:p>
        </w:tc>
        <w:tc>
          <w:tcPr>
            <w:tcW w:w="1892" w:type="dxa"/>
          </w:tcPr>
          <w:p>
            <w:pPr>
              <w:pStyle w:val="TableParagraph"/>
              <w:spacing w:before="13"/>
              <w:ind w:left="376" w:right="450"/>
              <w:rPr>
                <w:sz w:val="24"/>
              </w:rPr>
            </w:pPr>
            <w:r>
              <w:rPr>
                <w:sz w:val="24"/>
              </w:rPr>
              <w:t>[41]</w:t>
            </w:r>
          </w:p>
        </w:tc>
      </w:tr>
      <w:tr>
        <w:trPr>
          <w:trHeight w:val="300" w:hRule="atLeast"/>
        </w:trPr>
        <w:tc>
          <w:tcPr>
            <w:tcW w:w="230" w:type="dxa"/>
          </w:tcPr>
          <w:p>
            <w:pPr>
              <w:pStyle w:val="TableParagraph"/>
              <w:jc w:val="left"/>
              <w:rPr>
                <w:sz w:val="22"/>
              </w:rPr>
            </w:pPr>
          </w:p>
        </w:tc>
        <w:tc>
          <w:tcPr>
            <w:tcW w:w="2229" w:type="dxa"/>
          </w:tcPr>
          <w:p>
            <w:pPr>
              <w:pStyle w:val="TableParagraph"/>
              <w:spacing w:line="269" w:lineRule="exact" w:before="12"/>
              <w:ind w:left="727" w:right="767"/>
              <w:rPr>
                <w:sz w:val="24"/>
              </w:rPr>
            </w:pPr>
            <w:r>
              <w:rPr>
                <w:sz w:val="24"/>
              </w:rPr>
              <w:t>ZnO</w:t>
            </w:r>
          </w:p>
        </w:tc>
        <w:tc>
          <w:tcPr>
            <w:tcW w:w="1933" w:type="dxa"/>
          </w:tcPr>
          <w:p>
            <w:pPr>
              <w:pStyle w:val="TableParagraph"/>
              <w:spacing w:line="269" w:lineRule="exact" w:before="12"/>
              <w:ind w:left="208" w:right="372"/>
              <w:rPr>
                <w:sz w:val="24"/>
              </w:rPr>
            </w:pPr>
            <w:r>
              <w:rPr>
                <w:sz w:val="24"/>
              </w:rPr>
              <w:t>-15</w:t>
            </w:r>
          </w:p>
        </w:tc>
        <w:tc>
          <w:tcPr>
            <w:tcW w:w="1892" w:type="dxa"/>
          </w:tcPr>
          <w:p>
            <w:pPr>
              <w:pStyle w:val="TableParagraph"/>
              <w:spacing w:line="269" w:lineRule="exact" w:before="12"/>
              <w:ind w:left="376" w:right="450"/>
              <w:rPr>
                <w:sz w:val="24"/>
              </w:rPr>
            </w:pPr>
            <w:r>
              <w:rPr>
                <w:sz w:val="24"/>
              </w:rPr>
              <w:t>[42]</w:t>
            </w:r>
          </w:p>
        </w:tc>
      </w:tr>
      <w:tr>
        <w:trPr>
          <w:trHeight w:val="316" w:hRule="atLeast"/>
        </w:trPr>
        <w:tc>
          <w:tcPr>
            <w:tcW w:w="230" w:type="dxa"/>
          </w:tcPr>
          <w:p>
            <w:pPr>
              <w:pStyle w:val="TableParagraph"/>
              <w:jc w:val="left"/>
              <w:rPr>
                <w:sz w:val="22"/>
              </w:rPr>
            </w:pPr>
          </w:p>
        </w:tc>
        <w:tc>
          <w:tcPr>
            <w:tcW w:w="2229" w:type="dxa"/>
            <w:tcBorders>
              <w:bottom w:val="single" w:sz="4" w:space="0" w:color="000000"/>
            </w:tcBorders>
          </w:tcPr>
          <w:p>
            <w:pPr>
              <w:pStyle w:val="TableParagraph"/>
              <w:spacing w:line="289" w:lineRule="exact" w:before="8"/>
              <w:ind w:left="437"/>
              <w:jc w:val="left"/>
              <w:rPr>
                <w:sz w:val="24"/>
              </w:rPr>
            </w:pPr>
            <w:r>
              <w:rPr>
                <w:sz w:val="24"/>
              </w:rPr>
              <w:t>42</w:t>
            </w:r>
            <w:r>
              <w:rPr>
                <w:position w:val="9"/>
                <w:sz w:val="16"/>
              </w:rPr>
              <w:t>o</w:t>
            </w:r>
            <w:r>
              <w:rPr>
                <w:sz w:val="24"/>
              </w:rPr>
              <w:t>75’ ST-cut</w:t>
            </w:r>
          </w:p>
        </w:tc>
        <w:tc>
          <w:tcPr>
            <w:tcW w:w="1933" w:type="dxa"/>
            <w:tcBorders>
              <w:bottom w:val="single" w:sz="4" w:space="0" w:color="000000"/>
            </w:tcBorders>
          </w:tcPr>
          <w:p>
            <w:pPr>
              <w:pStyle w:val="TableParagraph"/>
              <w:spacing w:line="273" w:lineRule="exact" w:before="23"/>
              <w:ind w:left="211" w:right="371"/>
              <w:rPr>
                <w:sz w:val="24"/>
              </w:rPr>
            </w:pPr>
            <w:r>
              <w:rPr>
                <w:sz w:val="24"/>
              </w:rPr>
              <w:t>-0.12</w:t>
            </w:r>
          </w:p>
        </w:tc>
        <w:tc>
          <w:tcPr>
            <w:tcW w:w="1892" w:type="dxa"/>
            <w:tcBorders>
              <w:bottom w:val="single" w:sz="4" w:space="0" w:color="000000"/>
            </w:tcBorders>
          </w:tcPr>
          <w:p>
            <w:pPr>
              <w:pStyle w:val="TableParagraph"/>
              <w:spacing w:line="273" w:lineRule="exact" w:before="23"/>
              <w:ind w:left="376" w:right="448"/>
              <w:rPr>
                <w:sz w:val="24"/>
              </w:rPr>
            </w:pPr>
            <w:r>
              <w:rPr>
                <w:sz w:val="24"/>
              </w:rPr>
              <w:t>This work</w:t>
            </w:r>
          </w:p>
        </w:tc>
      </w:tr>
    </w:tbl>
    <w:p>
      <w:pPr>
        <w:spacing w:after="0" w:line="273" w:lineRule="exact"/>
        <w:rPr>
          <w:sz w:val="24"/>
        </w:rPr>
        <w:sectPr>
          <w:pgSz w:w="11910" w:h="16840"/>
          <w:pgMar w:top="1380" w:bottom="280" w:left="980" w:right="900"/>
        </w:sectPr>
      </w:pPr>
    </w:p>
    <w:p>
      <w:pPr>
        <w:pStyle w:val="BodyText"/>
        <w:spacing w:before="2"/>
        <w:ind w:left="0"/>
        <w:rPr>
          <w:sz w:val="6"/>
        </w:rPr>
      </w:pPr>
    </w:p>
    <w:p>
      <w:pPr>
        <w:pStyle w:val="BodyText"/>
        <w:ind w:left="929"/>
        <w:rPr>
          <w:sz w:val="20"/>
        </w:rPr>
      </w:pPr>
      <w:r>
        <w:rPr>
          <w:sz w:val="20"/>
        </w:rPr>
        <w:drawing>
          <wp:inline distT="0" distB="0" distL="0" distR="0">
            <wp:extent cx="5096047" cy="178936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1" cstate="print"/>
                    <a:stretch>
                      <a:fillRect/>
                    </a:stretch>
                  </pic:blipFill>
                  <pic:spPr>
                    <a:xfrm>
                      <a:off x="0" y="0"/>
                      <a:ext cx="5096047" cy="1789366"/>
                    </a:xfrm>
                    <a:prstGeom prst="rect">
                      <a:avLst/>
                    </a:prstGeom>
                  </pic:spPr>
                </pic:pic>
              </a:graphicData>
            </a:graphic>
          </wp:inline>
        </w:drawing>
      </w:r>
      <w:r>
        <w:rPr>
          <w:sz w:val="20"/>
        </w:rPr>
      </w:r>
    </w:p>
    <w:p>
      <w:pPr>
        <w:pStyle w:val="BodyText"/>
        <w:spacing w:before="8"/>
        <w:ind w:left="0"/>
        <w:rPr>
          <w:sz w:val="27"/>
        </w:rPr>
      </w:pPr>
    </w:p>
    <w:p>
      <w:pPr>
        <w:pStyle w:val="Heading1"/>
        <w:spacing w:before="90"/>
        <w:ind w:left="257" w:right="333"/>
        <w:jc w:val="center"/>
      </w:pPr>
      <w:r>
        <w:rPr/>
        <w:t>(a)</w:t>
      </w:r>
    </w:p>
    <w:p>
      <w:pPr>
        <w:pStyle w:val="BodyText"/>
        <w:ind w:left="0"/>
        <w:rPr>
          <w:b/>
          <w:sz w:val="20"/>
        </w:rPr>
      </w:pPr>
    </w:p>
    <w:p>
      <w:pPr>
        <w:pStyle w:val="BodyText"/>
        <w:ind w:left="0"/>
        <w:rPr>
          <w:b/>
          <w:sz w:val="20"/>
        </w:rPr>
      </w:pPr>
    </w:p>
    <w:p>
      <w:pPr>
        <w:pStyle w:val="BodyText"/>
        <w:ind w:left="0"/>
        <w:rPr>
          <w:b/>
          <w:sz w:val="18"/>
        </w:rPr>
      </w:pPr>
      <w:r>
        <w:rPr/>
        <w:drawing>
          <wp:anchor distT="0" distB="0" distL="0" distR="0" allowOverlap="1" layoutInCell="1" locked="0" behindDoc="0" simplePos="0" relativeHeight="1312">
            <wp:simplePos x="0" y="0"/>
            <wp:positionH relativeFrom="page">
              <wp:posOffset>1694437</wp:posOffset>
            </wp:positionH>
            <wp:positionV relativeFrom="paragraph">
              <wp:posOffset>156333</wp:posOffset>
            </wp:positionV>
            <wp:extent cx="4196803" cy="3474720"/>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2" cstate="print"/>
                    <a:stretch>
                      <a:fillRect/>
                    </a:stretch>
                  </pic:blipFill>
                  <pic:spPr>
                    <a:xfrm>
                      <a:off x="0" y="0"/>
                      <a:ext cx="4196803" cy="3474720"/>
                    </a:xfrm>
                    <a:prstGeom prst="rect">
                      <a:avLst/>
                    </a:prstGeom>
                  </pic:spPr>
                </pic:pic>
              </a:graphicData>
            </a:graphic>
          </wp:anchor>
        </w:drawing>
      </w:r>
    </w:p>
    <w:p>
      <w:pPr>
        <w:spacing w:before="70"/>
        <w:ind w:left="4827" w:right="0" w:firstLine="0"/>
        <w:jc w:val="left"/>
        <w:rPr>
          <w:b/>
          <w:sz w:val="24"/>
        </w:rPr>
      </w:pPr>
      <w:r>
        <w:rPr>
          <w:b/>
          <w:sz w:val="24"/>
        </w:rPr>
        <w:t>(b)</w:t>
      </w:r>
    </w:p>
    <w:p>
      <w:pPr>
        <w:pStyle w:val="BodyText"/>
        <w:spacing w:before="3"/>
        <w:ind w:left="0"/>
        <w:rPr>
          <w:b/>
          <w:sz w:val="30"/>
        </w:rPr>
      </w:pPr>
    </w:p>
    <w:p>
      <w:pPr>
        <w:tabs>
          <w:tab w:pos="1873" w:val="left" w:leader="none"/>
        </w:tabs>
        <w:spacing w:line="271" w:lineRule="auto" w:before="0"/>
        <w:ind w:left="820" w:right="1273" w:firstLine="239"/>
        <w:jc w:val="left"/>
        <w:rPr>
          <w:b/>
          <w:sz w:val="24"/>
        </w:rPr>
      </w:pPr>
      <w:r>
        <w:rPr>
          <w:b/>
          <w:sz w:val="24"/>
        </w:rPr>
        <w:t>Fig.1.</w:t>
        <w:tab/>
        <w:t>(a) Schematic illustration of </w:t>
      </w:r>
      <w:r>
        <w:rPr>
          <w:b/>
          <w:spacing w:val="-9"/>
          <w:sz w:val="24"/>
        </w:rPr>
        <w:t>SAW </w:t>
      </w:r>
      <w:r>
        <w:rPr>
          <w:b/>
          <w:sz w:val="24"/>
        </w:rPr>
        <w:t>sensor based on an </w:t>
      </w:r>
      <w:r>
        <w:rPr>
          <w:b/>
          <w:spacing w:val="-3"/>
          <w:sz w:val="24"/>
        </w:rPr>
        <w:t>ST-cut </w:t>
      </w:r>
      <w:r>
        <w:rPr>
          <w:b/>
          <w:sz w:val="24"/>
        </w:rPr>
        <w:t>quartz substrate; (b) S-parameter detection diagram of </w:t>
      </w:r>
      <w:r>
        <w:rPr>
          <w:b/>
          <w:spacing w:val="-9"/>
          <w:sz w:val="24"/>
        </w:rPr>
        <w:t>SAW</w:t>
      </w:r>
      <w:r>
        <w:rPr>
          <w:b/>
          <w:spacing w:val="-14"/>
          <w:sz w:val="24"/>
        </w:rPr>
        <w:t> </w:t>
      </w:r>
      <w:r>
        <w:rPr>
          <w:b/>
          <w:spacing w:val="-4"/>
          <w:sz w:val="24"/>
        </w:rPr>
        <w:t>resonator.</w:t>
      </w:r>
    </w:p>
    <w:p>
      <w:pPr>
        <w:spacing w:after="0" w:line="271" w:lineRule="auto"/>
        <w:jc w:val="left"/>
        <w:rPr>
          <w:sz w:val="24"/>
        </w:rPr>
        <w:sectPr>
          <w:pgSz w:w="11910" w:h="16840"/>
          <w:pgMar w:top="1580" w:bottom="280" w:left="980" w:right="900"/>
        </w:sectPr>
      </w:pPr>
    </w:p>
    <w:p>
      <w:pPr>
        <w:pStyle w:val="BodyText"/>
        <w:ind w:left="1310"/>
        <w:rPr>
          <w:sz w:val="20"/>
        </w:rPr>
      </w:pPr>
      <w:r>
        <w:rPr>
          <w:sz w:val="20"/>
        </w:rPr>
        <w:drawing>
          <wp:inline distT="0" distB="0" distL="0" distR="0">
            <wp:extent cx="4968442" cy="2880360"/>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3" cstate="print"/>
                    <a:stretch>
                      <a:fillRect/>
                    </a:stretch>
                  </pic:blipFill>
                  <pic:spPr>
                    <a:xfrm>
                      <a:off x="0" y="0"/>
                      <a:ext cx="4968442" cy="2880360"/>
                    </a:xfrm>
                    <a:prstGeom prst="rect">
                      <a:avLst/>
                    </a:prstGeom>
                  </pic:spPr>
                </pic:pic>
              </a:graphicData>
            </a:graphic>
          </wp:inline>
        </w:drawing>
      </w:r>
      <w:r>
        <w:rPr>
          <w:sz w:val="20"/>
        </w:rPr>
      </w:r>
    </w:p>
    <w:p>
      <w:pPr>
        <w:pStyle w:val="BodyText"/>
        <w:ind w:left="0"/>
        <w:rPr>
          <w:b/>
          <w:sz w:val="20"/>
        </w:rPr>
      </w:pPr>
    </w:p>
    <w:p>
      <w:pPr>
        <w:tabs>
          <w:tab w:pos="1871" w:val="left" w:leader="none"/>
        </w:tabs>
        <w:spacing w:line="271" w:lineRule="auto" w:before="211"/>
        <w:ind w:left="820" w:right="1421" w:firstLine="239"/>
        <w:jc w:val="left"/>
        <w:rPr>
          <w:b/>
          <w:sz w:val="24"/>
        </w:rPr>
      </w:pPr>
      <w:r>
        <w:rPr>
          <w:b/>
          <w:sz w:val="24"/>
        </w:rPr>
        <w:t>Fig.2.</w:t>
        <w:tab/>
        <w:t>Experimental set-up for </w:t>
      </w:r>
      <w:r>
        <w:rPr>
          <w:b/>
          <w:spacing w:val="-9"/>
          <w:sz w:val="24"/>
        </w:rPr>
        <w:t>SAW </w:t>
      </w:r>
      <w:r>
        <w:rPr>
          <w:b/>
          <w:sz w:val="24"/>
        </w:rPr>
        <w:t>humidity sensing and illustration of humidity control method using the saturated salt</w:t>
      </w:r>
      <w:r>
        <w:rPr>
          <w:b/>
          <w:spacing w:val="-1"/>
          <w:sz w:val="24"/>
        </w:rPr>
        <w:t> </w:t>
      </w:r>
      <w:r>
        <w:rPr>
          <w:b/>
          <w:sz w:val="24"/>
        </w:rPr>
        <w:t>solution.</w:t>
      </w:r>
    </w:p>
    <w:p>
      <w:pPr>
        <w:spacing w:after="0" w:line="271" w:lineRule="auto"/>
        <w:jc w:val="left"/>
        <w:rPr>
          <w:sz w:val="24"/>
        </w:rPr>
        <w:sectPr>
          <w:pgSz w:w="11910" w:h="16840"/>
          <w:pgMar w:top="1460" w:bottom="280" w:left="980" w:right="900"/>
        </w:sectPr>
      </w:pPr>
    </w:p>
    <w:p>
      <w:pPr>
        <w:pStyle w:val="BodyText"/>
        <w:ind w:left="820"/>
        <w:rPr>
          <w:sz w:val="20"/>
        </w:rPr>
      </w:pPr>
      <w:r>
        <w:rPr>
          <w:sz w:val="20"/>
        </w:rPr>
        <w:drawing>
          <wp:inline distT="0" distB="0" distL="0" distR="0">
            <wp:extent cx="5248209" cy="2883407"/>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4" cstate="print"/>
                    <a:stretch>
                      <a:fillRect/>
                    </a:stretch>
                  </pic:blipFill>
                  <pic:spPr>
                    <a:xfrm>
                      <a:off x="0" y="0"/>
                      <a:ext cx="5248209" cy="2883407"/>
                    </a:xfrm>
                    <a:prstGeom prst="rect">
                      <a:avLst/>
                    </a:prstGeom>
                  </pic:spPr>
                </pic:pic>
              </a:graphicData>
            </a:graphic>
          </wp:inline>
        </w:drawing>
      </w:r>
      <w:r>
        <w:rPr>
          <w:sz w:val="20"/>
        </w:rPr>
      </w:r>
    </w:p>
    <w:p>
      <w:pPr>
        <w:pStyle w:val="BodyText"/>
        <w:spacing w:before="4"/>
        <w:ind w:left="0"/>
        <w:rPr>
          <w:b/>
          <w:sz w:val="28"/>
        </w:rPr>
      </w:pPr>
    </w:p>
    <w:p>
      <w:pPr>
        <w:spacing w:line="271" w:lineRule="auto" w:before="90"/>
        <w:ind w:left="820" w:right="891" w:firstLine="239"/>
        <w:jc w:val="both"/>
        <w:rPr>
          <w:b/>
          <w:sz w:val="24"/>
        </w:rPr>
      </w:pPr>
      <w:r>
        <w:rPr>
          <w:b/>
          <w:sz w:val="24"/>
        </w:rPr>
        <w:t>Fig.3. SEM images of surface and cross-section morphologies of the BC films coated with different layers, (a) 1 layer; (b) 3 layers; (c) 5 layers; (d) 7 layers (scale bars on the large image are 3 µm,  the scale bars of the upper right image is 1 µm), (e) and (f) </w:t>
      </w:r>
      <w:r>
        <w:rPr>
          <w:b/>
          <w:spacing w:val="-3"/>
          <w:sz w:val="24"/>
        </w:rPr>
        <w:t>are </w:t>
      </w:r>
      <w:r>
        <w:rPr>
          <w:b/>
          <w:sz w:val="24"/>
        </w:rPr>
        <w:t>enlarged surface and cross-section views of the 7 layer film (scale bars are 500</w:t>
      </w:r>
      <w:r>
        <w:rPr>
          <w:b/>
          <w:spacing w:val="-3"/>
          <w:sz w:val="24"/>
        </w:rPr>
        <w:t> </w:t>
      </w:r>
      <w:r>
        <w:rPr>
          <w:b/>
          <w:sz w:val="24"/>
        </w:rPr>
        <w:t>nm).</w:t>
      </w:r>
    </w:p>
    <w:p>
      <w:pPr>
        <w:spacing w:after="0" w:line="271" w:lineRule="auto"/>
        <w:jc w:val="both"/>
        <w:rPr>
          <w:sz w:val="24"/>
        </w:rPr>
        <w:sectPr>
          <w:pgSz w:w="11910" w:h="16840"/>
          <w:pgMar w:top="1480" w:bottom="280" w:left="980" w:right="900"/>
        </w:sectPr>
      </w:pPr>
    </w:p>
    <w:p>
      <w:pPr>
        <w:pStyle w:val="BodyText"/>
        <w:ind w:left="1832"/>
        <w:rPr>
          <w:sz w:val="20"/>
        </w:rPr>
      </w:pPr>
      <w:r>
        <w:rPr>
          <w:sz w:val="20"/>
        </w:rPr>
        <w:drawing>
          <wp:inline distT="0" distB="0" distL="0" distR="0">
            <wp:extent cx="4043124" cy="3529584"/>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5" cstate="print"/>
                    <a:stretch>
                      <a:fillRect/>
                    </a:stretch>
                  </pic:blipFill>
                  <pic:spPr>
                    <a:xfrm>
                      <a:off x="0" y="0"/>
                      <a:ext cx="4043124" cy="3529584"/>
                    </a:xfrm>
                    <a:prstGeom prst="rect">
                      <a:avLst/>
                    </a:prstGeom>
                  </pic:spPr>
                </pic:pic>
              </a:graphicData>
            </a:graphic>
          </wp:inline>
        </w:drawing>
      </w:r>
      <w:r>
        <w:rPr>
          <w:sz w:val="20"/>
        </w:rPr>
      </w:r>
    </w:p>
    <w:p>
      <w:pPr>
        <w:spacing w:before="42"/>
        <w:ind w:left="4834" w:right="0" w:firstLine="0"/>
        <w:jc w:val="left"/>
        <w:rPr>
          <w:b/>
          <w:sz w:val="24"/>
        </w:rPr>
      </w:pPr>
      <w:r>
        <w:rPr/>
        <w:drawing>
          <wp:anchor distT="0" distB="0" distL="0" distR="0" allowOverlap="1" layoutInCell="1" locked="0" behindDoc="0" simplePos="0" relativeHeight="1336">
            <wp:simplePos x="0" y="0"/>
            <wp:positionH relativeFrom="page">
              <wp:posOffset>1645293</wp:posOffset>
            </wp:positionH>
            <wp:positionV relativeFrom="paragraph">
              <wp:posOffset>218352</wp:posOffset>
            </wp:positionV>
            <wp:extent cx="4296171" cy="3152775"/>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4296171" cy="3152775"/>
                    </a:xfrm>
                    <a:prstGeom prst="rect">
                      <a:avLst/>
                    </a:prstGeom>
                  </pic:spPr>
                </pic:pic>
              </a:graphicData>
            </a:graphic>
          </wp:anchor>
        </w:drawing>
      </w:r>
      <w:r>
        <w:rPr>
          <w:b/>
          <w:sz w:val="24"/>
        </w:rPr>
        <w:t>(a)</w:t>
      </w:r>
    </w:p>
    <w:p>
      <w:pPr>
        <w:spacing w:before="9"/>
        <w:ind w:left="4827" w:right="0" w:firstLine="0"/>
        <w:jc w:val="left"/>
        <w:rPr>
          <w:b/>
          <w:sz w:val="24"/>
        </w:rPr>
      </w:pPr>
      <w:r>
        <w:rPr>
          <w:b/>
          <w:sz w:val="24"/>
        </w:rPr>
        <w:t>(b)</w:t>
      </w:r>
    </w:p>
    <w:p>
      <w:pPr>
        <w:tabs>
          <w:tab w:pos="1873" w:val="left" w:leader="none"/>
        </w:tabs>
        <w:spacing w:line="271" w:lineRule="auto" w:before="36"/>
        <w:ind w:left="820" w:right="930" w:firstLine="239"/>
        <w:jc w:val="left"/>
        <w:rPr>
          <w:b/>
          <w:sz w:val="24"/>
        </w:rPr>
      </w:pPr>
      <w:r>
        <w:rPr>
          <w:b/>
          <w:sz w:val="24"/>
        </w:rPr>
        <w:t>Fig.4.</w:t>
        <w:tab/>
        <w:t>(a) FTIR spectra of BC materials showing that the surface group has only hydroxyl groups; (b) pore size distribution map of BC material; (c) a</w:t>
      </w:r>
      <w:r>
        <w:rPr>
          <w:b/>
          <w:spacing w:val="-28"/>
          <w:sz w:val="24"/>
        </w:rPr>
        <w:t> </w:t>
      </w:r>
      <w:r>
        <w:rPr>
          <w:b/>
          <w:sz w:val="24"/>
        </w:rPr>
        <w:t>partial enlarged view of</w:t>
      </w:r>
      <w:r>
        <w:rPr>
          <w:b/>
          <w:spacing w:val="0"/>
          <w:sz w:val="24"/>
        </w:rPr>
        <w:t> </w:t>
      </w:r>
      <w:r>
        <w:rPr>
          <w:b/>
          <w:sz w:val="24"/>
        </w:rPr>
        <w:t>(b).</w:t>
      </w:r>
    </w:p>
    <w:p>
      <w:pPr>
        <w:spacing w:after="0" w:line="271" w:lineRule="auto"/>
        <w:jc w:val="left"/>
        <w:rPr>
          <w:sz w:val="24"/>
        </w:rPr>
        <w:sectPr>
          <w:pgSz w:w="11910" w:h="16840"/>
          <w:pgMar w:top="1460" w:bottom="280" w:left="980" w:right="900"/>
        </w:sectPr>
      </w:pPr>
    </w:p>
    <w:p>
      <w:pPr>
        <w:pStyle w:val="BodyText"/>
        <w:ind w:left="822"/>
        <w:rPr>
          <w:sz w:val="20"/>
        </w:rPr>
      </w:pPr>
      <w:r>
        <w:rPr>
          <w:sz w:val="20"/>
        </w:rPr>
        <w:drawing>
          <wp:inline distT="0" distB="0" distL="0" distR="0">
            <wp:extent cx="5251899" cy="3119818"/>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7" cstate="print"/>
                    <a:stretch>
                      <a:fillRect/>
                    </a:stretch>
                  </pic:blipFill>
                  <pic:spPr>
                    <a:xfrm>
                      <a:off x="0" y="0"/>
                      <a:ext cx="5251899" cy="3119818"/>
                    </a:xfrm>
                    <a:prstGeom prst="rect">
                      <a:avLst/>
                    </a:prstGeom>
                  </pic:spPr>
                </pic:pic>
              </a:graphicData>
            </a:graphic>
          </wp:inline>
        </w:drawing>
      </w:r>
      <w:r>
        <w:rPr>
          <w:sz w:val="20"/>
        </w:rPr>
      </w:r>
    </w:p>
    <w:p>
      <w:pPr>
        <w:pStyle w:val="BodyText"/>
        <w:spacing w:before="9"/>
        <w:ind w:left="0"/>
        <w:rPr>
          <w:b/>
        </w:rPr>
      </w:pPr>
    </w:p>
    <w:p>
      <w:pPr>
        <w:tabs>
          <w:tab w:pos="2173" w:val="left" w:leader="none"/>
        </w:tabs>
        <w:spacing w:line="271" w:lineRule="auto" w:before="90"/>
        <w:ind w:left="820" w:right="1035" w:firstLine="482"/>
        <w:jc w:val="left"/>
        <w:rPr>
          <w:b/>
          <w:sz w:val="24"/>
        </w:rPr>
      </w:pPr>
      <w:r>
        <w:rPr>
          <w:b/>
          <w:sz w:val="24"/>
        </w:rPr>
        <w:t>Fig.</w:t>
      </w:r>
      <w:r>
        <w:rPr>
          <w:b/>
          <w:spacing w:val="-1"/>
          <w:sz w:val="24"/>
        </w:rPr>
        <w:t> </w:t>
      </w:r>
      <w:r>
        <w:rPr>
          <w:b/>
          <w:sz w:val="24"/>
        </w:rPr>
        <w:t>5.</w:t>
        <w:tab/>
        <w:t>Schematic illustrations of adsorption of water molecules on the BC layer of the </w:t>
      </w:r>
      <w:r>
        <w:rPr>
          <w:b/>
          <w:spacing w:val="-9"/>
          <w:sz w:val="24"/>
        </w:rPr>
        <w:t>SAW</w:t>
      </w:r>
      <w:r>
        <w:rPr>
          <w:b/>
          <w:spacing w:val="-13"/>
          <w:sz w:val="24"/>
        </w:rPr>
        <w:t> </w:t>
      </w:r>
      <w:r>
        <w:rPr>
          <w:b/>
          <w:sz w:val="24"/>
        </w:rPr>
        <w:t>device.</w:t>
      </w:r>
    </w:p>
    <w:p>
      <w:pPr>
        <w:spacing w:after="0" w:line="271" w:lineRule="auto"/>
        <w:jc w:val="left"/>
        <w:rPr>
          <w:sz w:val="24"/>
        </w:rPr>
        <w:sectPr>
          <w:pgSz w:w="11910" w:h="16840"/>
          <w:pgMar w:top="1460" w:bottom="280" w:left="980" w:right="900"/>
        </w:sectPr>
      </w:pPr>
    </w:p>
    <w:p>
      <w:pPr>
        <w:pStyle w:val="BodyText"/>
        <w:ind w:left="1626"/>
        <w:rPr>
          <w:sz w:val="20"/>
        </w:rPr>
      </w:pPr>
      <w:r>
        <w:rPr>
          <w:sz w:val="20"/>
        </w:rPr>
        <w:drawing>
          <wp:inline distT="0" distB="0" distL="0" distR="0">
            <wp:extent cx="4264823" cy="3195828"/>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8" cstate="print"/>
                    <a:stretch>
                      <a:fillRect/>
                    </a:stretch>
                  </pic:blipFill>
                  <pic:spPr>
                    <a:xfrm>
                      <a:off x="0" y="0"/>
                      <a:ext cx="4264823" cy="3195828"/>
                    </a:xfrm>
                    <a:prstGeom prst="rect">
                      <a:avLst/>
                    </a:prstGeom>
                  </pic:spPr>
                </pic:pic>
              </a:graphicData>
            </a:graphic>
          </wp:inline>
        </w:drawing>
      </w:r>
      <w:r>
        <w:rPr>
          <w:sz w:val="20"/>
        </w:rPr>
      </w:r>
    </w:p>
    <w:p>
      <w:pPr>
        <w:spacing w:before="156"/>
        <w:ind w:left="4834" w:right="0" w:firstLine="0"/>
        <w:jc w:val="left"/>
        <w:rPr>
          <w:b/>
          <w:sz w:val="24"/>
        </w:rPr>
      </w:pPr>
      <w:r>
        <w:rPr/>
        <w:drawing>
          <wp:anchor distT="0" distB="0" distL="0" distR="0" allowOverlap="1" layoutInCell="1" locked="0" behindDoc="0" simplePos="0" relativeHeight="1360">
            <wp:simplePos x="0" y="0"/>
            <wp:positionH relativeFrom="page">
              <wp:posOffset>1629284</wp:posOffset>
            </wp:positionH>
            <wp:positionV relativeFrom="paragraph">
              <wp:posOffset>318682</wp:posOffset>
            </wp:positionV>
            <wp:extent cx="4340211" cy="3493008"/>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9" cstate="print"/>
                    <a:stretch>
                      <a:fillRect/>
                    </a:stretch>
                  </pic:blipFill>
                  <pic:spPr>
                    <a:xfrm>
                      <a:off x="0" y="0"/>
                      <a:ext cx="4340211" cy="3493008"/>
                    </a:xfrm>
                    <a:prstGeom prst="rect">
                      <a:avLst/>
                    </a:prstGeom>
                  </pic:spPr>
                </pic:pic>
              </a:graphicData>
            </a:graphic>
          </wp:anchor>
        </w:drawing>
      </w:r>
      <w:r>
        <w:rPr>
          <w:b/>
          <w:sz w:val="24"/>
        </w:rPr>
        <w:t>(a)</w:t>
      </w:r>
    </w:p>
    <w:p>
      <w:pPr>
        <w:spacing w:before="53"/>
        <w:ind w:left="4827" w:right="0" w:firstLine="0"/>
        <w:jc w:val="left"/>
        <w:rPr>
          <w:b/>
          <w:sz w:val="24"/>
        </w:rPr>
      </w:pPr>
      <w:r>
        <w:rPr>
          <w:b/>
          <w:sz w:val="24"/>
        </w:rPr>
        <w:t>(b)</w:t>
      </w:r>
    </w:p>
    <w:p>
      <w:pPr>
        <w:spacing w:line="266" w:lineRule="auto" w:before="36"/>
        <w:ind w:left="820" w:right="930" w:firstLine="482"/>
        <w:jc w:val="left"/>
        <w:rPr>
          <w:b/>
          <w:sz w:val="24"/>
        </w:rPr>
      </w:pPr>
      <w:r>
        <w:rPr>
          <w:b/>
          <w:sz w:val="24"/>
        </w:rPr>
        <w:t>Fig. 6. (a) Plot of frequency changes of SAW sensor versus acoustoelectric </w:t>
      </w:r>
      <w:r>
        <w:rPr>
          <w:b/>
          <w:position w:val="1"/>
          <w:sz w:val="24"/>
        </w:rPr>
        <w:t>parameter ξ=σ</w:t>
      </w:r>
      <w:r>
        <w:rPr>
          <w:b/>
          <w:sz w:val="16"/>
        </w:rPr>
        <w:t>s</w:t>
      </w:r>
      <w:r>
        <w:rPr>
          <w:b/>
          <w:position w:val="1"/>
          <w:sz w:val="24"/>
        </w:rPr>
        <w:t>/(v</w:t>
      </w:r>
      <w:r>
        <w:rPr>
          <w:b/>
          <w:position w:val="1"/>
          <w:sz w:val="24"/>
          <w:vertAlign w:val="subscript"/>
        </w:rPr>
        <w:t>0</w:t>
      </w:r>
      <w:r>
        <w:rPr>
          <w:b/>
          <w:position w:val="1"/>
          <w:sz w:val="24"/>
          <w:vertAlign w:val="baseline"/>
        </w:rPr>
        <w:t>C</w:t>
      </w:r>
      <w:r>
        <w:rPr>
          <w:b/>
          <w:position w:val="1"/>
          <w:sz w:val="24"/>
          <w:vertAlign w:val="subscript"/>
        </w:rPr>
        <w:t>s</w:t>
      </w:r>
      <w:r>
        <w:rPr>
          <w:b/>
          <w:position w:val="1"/>
          <w:sz w:val="24"/>
          <w:vertAlign w:val="baseline"/>
        </w:rPr>
        <w:t>); (b) Resistance responses of BC sensing film (R=R</w:t>
      </w:r>
      <w:r>
        <w:rPr>
          <w:b/>
          <w:position w:val="1"/>
          <w:sz w:val="24"/>
          <w:vertAlign w:val="subscript"/>
        </w:rPr>
        <w:t>h</w:t>
      </w:r>
      <w:r>
        <w:rPr>
          <w:b/>
          <w:position w:val="1"/>
          <w:sz w:val="24"/>
          <w:vertAlign w:val="baseline"/>
        </w:rPr>
        <w:t>/R</w:t>
      </w:r>
      <w:r>
        <w:rPr>
          <w:b/>
          <w:position w:val="1"/>
          <w:sz w:val="24"/>
          <w:vertAlign w:val="subscript"/>
        </w:rPr>
        <w:t>0</w:t>
      </w:r>
      <w:r>
        <w:rPr>
          <w:b/>
          <w:position w:val="1"/>
          <w:sz w:val="24"/>
          <w:vertAlign w:val="baseline"/>
        </w:rPr>
        <w:t>) </w:t>
      </w:r>
      <w:r>
        <w:rPr>
          <w:b/>
          <w:sz w:val="24"/>
          <w:vertAlign w:val="baseline"/>
        </w:rPr>
        <w:t>when humidity is changed between 30% and 93% RH.</w:t>
      </w:r>
    </w:p>
    <w:p>
      <w:pPr>
        <w:spacing w:after="0" w:line="266" w:lineRule="auto"/>
        <w:jc w:val="left"/>
        <w:rPr>
          <w:sz w:val="24"/>
        </w:rPr>
        <w:sectPr>
          <w:pgSz w:w="11910" w:h="16840"/>
          <w:pgMar w:top="1560" w:bottom="280" w:left="980" w:right="900"/>
        </w:sectPr>
      </w:pPr>
    </w:p>
    <w:p>
      <w:pPr>
        <w:pStyle w:val="BodyText"/>
        <w:ind w:left="1540"/>
        <w:rPr>
          <w:sz w:val="20"/>
        </w:rPr>
      </w:pPr>
      <w:r>
        <w:rPr>
          <w:sz w:val="20"/>
        </w:rPr>
        <w:drawing>
          <wp:inline distT="0" distB="0" distL="0" distR="0">
            <wp:extent cx="4406818" cy="3177540"/>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0" cstate="print"/>
                    <a:stretch>
                      <a:fillRect/>
                    </a:stretch>
                  </pic:blipFill>
                  <pic:spPr>
                    <a:xfrm>
                      <a:off x="0" y="0"/>
                      <a:ext cx="4406818" cy="3177540"/>
                    </a:xfrm>
                    <a:prstGeom prst="rect">
                      <a:avLst/>
                    </a:prstGeom>
                  </pic:spPr>
                </pic:pic>
              </a:graphicData>
            </a:graphic>
          </wp:inline>
        </w:drawing>
      </w:r>
      <w:r>
        <w:rPr>
          <w:sz w:val="20"/>
        </w:rPr>
      </w:r>
    </w:p>
    <w:p>
      <w:pPr>
        <w:pStyle w:val="BodyText"/>
        <w:spacing w:before="6"/>
        <w:ind w:left="0"/>
        <w:rPr>
          <w:b/>
          <w:sz w:val="6"/>
        </w:rPr>
      </w:pPr>
    </w:p>
    <w:p>
      <w:pPr>
        <w:spacing w:before="90"/>
        <w:ind w:left="4834" w:right="0" w:firstLine="0"/>
        <w:jc w:val="left"/>
        <w:rPr>
          <w:b/>
          <w:sz w:val="24"/>
        </w:rPr>
      </w:pPr>
      <w:r>
        <w:rPr/>
        <w:drawing>
          <wp:anchor distT="0" distB="0" distL="0" distR="0" allowOverlap="1" layoutInCell="1" locked="0" behindDoc="0" simplePos="0" relativeHeight="1384">
            <wp:simplePos x="0" y="0"/>
            <wp:positionH relativeFrom="page">
              <wp:posOffset>1484643</wp:posOffset>
            </wp:positionH>
            <wp:positionV relativeFrom="paragraph">
              <wp:posOffset>294552</wp:posOffset>
            </wp:positionV>
            <wp:extent cx="4633305" cy="3456431"/>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1" cstate="print"/>
                    <a:stretch>
                      <a:fillRect/>
                    </a:stretch>
                  </pic:blipFill>
                  <pic:spPr>
                    <a:xfrm>
                      <a:off x="0" y="0"/>
                      <a:ext cx="4633305" cy="3456431"/>
                    </a:xfrm>
                    <a:prstGeom prst="rect">
                      <a:avLst/>
                    </a:prstGeom>
                  </pic:spPr>
                </pic:pic>
              </a:graphicData>
            </a:graphic>
          </wp:anchor>
        </w:drawing>
      </w:r>
      <w:r>
        <w:rPr>
          <w:b/>
          <w:sz w:val="24"/>
        </w:rPr>
        <w:t>(a)</w:t>
      </w:r>
    </w:p>
    <w:p>
      <w:pPr>
        <w:spacing w:before="83"/>
        <w:ind w:left="4827" w:right="0" w:firstLine="0"/>
        <w:jc w:val="left"/>
        <w:rPr>
          <w:b/>
          <w:sz w:val="24"/>
        </w:rPr>
      </w:pPr>
      <w:r>
        <w:rPr>
          <w:b/>
          <w:sz w:val="24"/>
        </w:rPr>
        <w:t>(b)</w:t>
      </w:r>
    </w:p>
    <w:p>
      <w:pPr>
        <w:tabs>
          <w:tab w:pos="1196" w:val="left" w:leader="none"/>
        </w:tabs>
        <w:spacing w:line="271" w:lineRule="auto" w:before="36"/>
        <w:ind w:left="143" w:right="415" w:firstLine="240"/>
        <w:jc w:val="left"/>
        <w:rPr>
          <w:b/>
          <w:sz w:val="24"/>
        </w:rPr>
      </w:pPr>
      <w:r>
        <w:rPr>
          <w:b/>
          <w:sz w:val="24"/>
        </w:rPr>
        <w:t>Fig.7.</w:t>
        <w:tab/>
        <w:t>(a) Frequency shift of </w:t>
      </w:r>
      <w:r>
        <w:rPr>
          <w:b/>
          <w:spacing w:val="-9"/>
          <w:sz w:val="24"/>
        </w:rPr>
        <w:t>SAW </w:t>
      </w:r>
      <w:r>
        <w:rPr>
          <w:b/>
          <w:sz w:val="24"/>
        </w:rPr>
        <w:t>device with the BC layers with different thicknesses when relative humidity is increased from 30% to 93%; (b) frequency shift of the </w:t>
      </w:r>
      <w:r>
        <w:rPr>
          <w:b/>
          <w:spacing w:val="-9"/>
          <w:sz w:val="24"/>
        </w:rPr>
        <w:t>SAW</w:t>
      </w:r>
      <w:r>
        <w:rPr>
          <w:b/>
          <w:spacing w:val="-39"/>
          <w:sz w:val="24"/>
        </w:rPr>
        <w:t> </w:t>
      </w:r>
      <w:r>
        <w:rPr>
          <w:b/>
          <w:sz w:val="24"/>
        </w:rPr>
        <w:t>device as a function of the thickness of</w:t>
      </w:r>
      <w:r>
        <w:rPr>
          <w:b/>
          <w:spacing w:val="-1"/>
          <w:sz w:val="24"/>
        </w:rPr>
        <w:t> </w:t>
      </w:r>
      <w:r>
        <w:rPr>
          <w:b/>
          <w:sz w:val="24"/>
        </w:rPr>
        <w:t>BC.</w:t>
      </w:r>
    </w:p>
    <w:p>
      <w:pPr>
        <w:spacing w:after="0" w:line="271" w:lineRule="auto"/>
        <w:jc w:val="left"/>
        <w:rPr>
          <w:sz w:val="24"/>
        </w:rPr>
        <w:sectPr>
          <w:pgSz w:w="11910" w:h="16840"/>
          <w:pgMar w:top="1580" w:bottom="280" w:left="980" w:right="900"/>
        </w:sectPr>
      </w:pPr>
    </w:p>
    <w:p>
      <w:pPr>
        <w:pStyle w:val="BodyText"/>
        <w:ind w:left="1170"/>
        <w:rPr>
          <w:sz w:val="20"/>
        </w:rPr>
      </w:pPr>
      <w:r>
        <w:rPr>
          <w:sz w:val="20"/>
        </w:rPr>
        <w:drawing>
          <wp:inline distT="0" distB="0" distL="0" distR="0">
            <wp:extent cx="5046860" cy="3310128"/>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2" cstate="print"/>
                    <a:stretch>
                      <a:fillRect/>
                    </a:stretch>
                  </pic:blipFill>
                  <pic:spPr>
                    <a:xfrm>
                      <a:off x="0" y="0"/>
                      <a:ext cx="5046860" cy="3310128"/>
                    </a:xfrm>
                    <a:prstGeom prst="rect">
                      <a:avLst/>
                    </a:prstGeom>
                  </pic:spPr>
                </pic:pic>
              </a:graphicData>
            </a:graphic>
          </wp:inline>
        </w:drawing>
      </w:r>
      <w:r>
        <w:rPr>
          <w:sz w:val="20"/>
        </w:rPr>
      </w:r>
    </w:p>
    <w:p>
      <w:pPr>
        <w:spacing w:before="76"/>
        <w:ind w:left="257" w:right="333" w:firstLine="0"/>
        <w:jc w:val="center"/>
        <w:rPr>
          <w:b/>
          <w:sz w:val="24"/>
        </w:rPr>
      </w:pPr>
      <w:r>
        <w:rPr/>
        <w:drawing>
          <wp:anchor distT="0" distB="0" distL="0" distR="0" allowOverlap="1" layoutInCell="1" locked="0" behindDoc="0" simplePos="0" relativeHeight="1408">
            <wp:simplePos x="0" y="0"/>
            <wp:positionH relativeFrom="page">
              <wp:posOffset>1566425</wp:posOffset>
            </wp:positionH>
            <wp:positionV relativeFrom="paragraph">
              <wp:posOffset>260262</wp:posOffset>
            </wp:positionV>
            <wp:extent cx="4440447" cy="3506724"/>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3" cstate="print"/>
                    <a:stretch>
                      <a:fillRect/>
                    </a:stretch>
                  </pic:blipFill>
                  <pic:spPr>
                    <a:xfrm>
                      <a:off x="0" y="0"/>
                      <a:ext cx="4440447" cy="3506724"/>
                    </a:xfrm>
                    <a:prstGeom prst="rect">
                      <a:avLst/>
                    </a:prstGeom>
                  </pic:spPr>
                </pic:pic>
              </a:graphicData>
            </a:graphic>
          </wp:anchor>
        </w:drawing>
      </w:r>
      <w:r>
        <w:rPr>
          <w:b/>
          <w:sz w:val="24"/>
        </w:rPr>
        <w:t>(a)</w:t>
      </w:r>
    </w:p>
    <w:p>
      <w:pPr>
        <w:spacing w:before="43"/>
        <w:ind w:left="257" w:right="333" w:firstLine="0"/>
        <w:jc w:val="center"/>
        <w:rPr>
          <w:b/>
          <w:sz w:val="24"/>
        </w:rPr>
      </w:pPr>
      <w:r>
        <w:rPr>
          <w:b/>
          <w:sz w:val="24"/>
        </w:rPr>
        <w:t>(b)</w:t>
      </w:r>
    </w:p>
    <w:p>
      <w:pPr>
        <w:spacing w:after="0"/>
        <w:jc w:val="center"/>
        <w:rPr>
          <w:sz w:val="24"/>
        </w:rPr>
        <w:sectPr>
          <w:pgSz w:w="11910" w:h="16840"/>
          <w:pgMar w:top="1460" w:bottom="280" w:left="980" w:right="900"/>
        </w:sectPr>
      </w:pPr>
    </w:p>
    <w:p>
      <w:pPr>
        <w:pStyle w:val="BodyText"/>
        <w:ind w:left="1609"/>
        <w:rPr>
          <w:sz w:val="20"/>
        </w:rPr>
      </w:pPr>
      <w:r>
        <w:rPr>
          <w:sz w:val="20"/>
        </w:rPr>
        <w:drawing>
          <wp:inline distT="0" distB="0" distL="0" distR="0">
            <wp:extent cx="4365811" cy="3547872"/>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4" cstate="print"/>
                    <a:stretch>
                      <a:fillRect/>
                    </a:stretch>
                  </pic:blipFill>
                  <pic:spPr>
                    <a:xfrm>
                      <a:off x="0" y="0"/>
                      <a:ext cx="4365811" cy="3547872"/>
                    </a:xfrm>
                    <a:prstGeom prst="rect">
                      <a:avLst/>
                    </a:prstGeom>
                  </pic:spPr>
                </pic:pic>
              </a:graphicData>
            </a:graphic>
          </wp:inline>
        </w:drawing>
      </w:r>
      <w:r>
        <w:rPr>
          <w:sz w:val="20"/>
        </w:rPr>
      </w:r>
    </w:p>
    <w:p>
      <w:pPr>
        <w:spacing w:before="33"/>
        <w:ind w:left="4841" w:right="0" w:firstLine="0"/>
        <w:jc w:val="left"/>
        <w:rPr>
          <w:b/>
          <w:sz w:val="24"/>
        </w:rPr>
      </w:pPr>
      <w:r>
        <w:rPr>
          <w:b/>
          <w:sz w:val="24"/>
        </w:rPr>
        <w:t>(c)</w:t>
      </w:r>
    </w:p>
    <w:p>
      <w:pPr>
        <w:tabs>
          <w:tab w:pos="1933" w:val="left" w:leader="none"/>
        </w:tabs>
        <w:spacing w:line="271" w:lineRule="auto" w:before="36"/>
        <w:ind w:left="820" w:right="1256" w:firstLine="239"/>
        <w:jc w:val="left"/>
        <w:rPr>
          <w:b/>
          <w:sz w:val="24"/>
        </w:rPr>
      </w:pPr>
      <w:r>
        <w:rPr>
          <w:b/>
          <w:sz w:val="24"/>
        </w:rPr>
        <w:t>Fig.</w:t>
      </w:r>
      <w:r>
        <w:rPr>
          <w:b/>
          <w:spacing w:val="-1"/>
          <w:sz w:val="24"/>
        </w:rPr>
        <w:t> </w:t>
      </w:r>
      <w:r>
        <w:rPr>
          <w:b/>
          <w:sz w:val="24"/>
        </w:rPr>
        <w:t>8.</w:t>
        <w:tab/>
        <w:t>(a) Dynamic response of the 7-Layer BC </w:t>
      </w:r>
      <w:r>
        <w:rPr>
          <w:b/>
          <w:spacing w:val="-9"/>
          <w:sz w:val="24"/>
        </w:rPr>
        <w:t>SAW </w:t>
      </w:r>
      <w:r>
        <w:rPr>
          <w:b/>
          <w:sz w:val="24"/>
        </w:rPr>
        <w:t>sensor at different relative humidity values; (b) frequency shift of three sensors with the same configurations as a function of RH value; (c) sensing performance of the </w:t>
      </w:r>
      <w:r>
        <w:rPr>
          <w:b/>
          <w:spacing w:val="-9"/>
          <w:sz w:val="24"/>
        </w:rPr>
        <w:t>SAW </w:t>
      </w:r>
      <w:r>
        <w:rPr>
          <w:b/>
          <w:sz w:val="24"/>
        </w:rPr>
        <w:t>sensor in low humidity range</w:t>
      </w:r>
      <w:r>
        <w:rPr>
          <w:b/>
          <w:spacing w:val="-8"/>
          <w:sz w:val="24"/>
        </w:rPr>
        <w:t> </w:t>
      </w:r>
      <w:r>
        <w:rPr>
          <w:b/>
          <w:sz w:val="24"/>
        </w:rPr>
        <w:t>(5%-25%RH).</w:t>
      </w:r>
    </w:p>
    <w:p>
      <w:pPr>
        <w:spacing w:after="0" w:line="271" w:lineRule="auto"/>
        <w:jc w:val="left"/>
        <w:rPr>
          <w:sz w:val="24"/>
        </w:rPr>
        <w:sectPr>
          <w:pgSz w:w="11910" w:h="16840"/>
          <w:pgMar w:top="1440" w:bottom="280" w:left="980" w:right="900"/>
        </w:sectPr>
      </w:pPr>
    </w:p>
    <w:p>
      <w:pPr>
        <w:pStyle w:val="BodyText"/>
        <w:ind w:left="1569"/>
        <w:rPr>
          <w:sz w:val="20"/>
        </w:rPr>
      </w:pPr>
      <w:r>
        <w:rPr>
          <w:sz w:val="20"/>
        </w:rPr>
        <w:drawing>
          <wp:inline distT="0" distB="0" distL="0" distR="0">
            <wp:extent cx="4394510" cy="3259836"/>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5" cstate="print"/>
                    <a:stretch>
                      <a:fillRect/>
                    </a:stretch>
                  </pic:blipFill>
                  <pic:spPr>
                    <a:xfrm>
                      <a:off x="0" y="0"/>
                      <a:ext cx="4394510" cy="3259836"/>
                    </a:xfrm>
                    <a:prstGeom prst="rect">
                      <a:avLst/>
                    </a:prstGeom>
                  </pic:spPr>
                </pic:pic>
              </a:graphicData>
            </a:graphic>
          </wp:inline>
        </w:drawing>
      </w:r>
      <w:r>
        <w:rPr>
          <w:sz w:val="20"/>
        </w:rPr>
      </w:r>
    </w:p>
    <w:p>
      <w:pPr>
        <w:spacing w:before="115"/>
        <w:ind w:left="4834" w:right="0" w:firstLine="0"/>
        <w:jc w:val="left"/>
        <w:rPr>
          <w:b/>
          <w:sz w:val="24"/>
        </w:rPr>
      </w:pPr>
      <w:r>
        <w:rPr/>
        <w:drawing>
          <wp:anchor distT="0" distB="0" distL="0" distR="0" allowOverlap="1" layoutInCell="1" locked="0" behindDoc="0" simplePos="0" relativeHeight="1432">
            <wp:simplePos x="0" y="0"/>
            <wp:positionH relativeFrom="page">
              <wp:posOffset>1618628</wp:posOffset>
            </wp:positionH>
            <wp:positionV relativeFrom="paragraph">
              <wp:posOffset>313602</wp:posOffset>
            </wp:positionV>
            <wp:extent cx="4365338" cy="3054096"/>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6" cstate="print"/>
                    <a:stretch>
                      <a:fillRect/>
                    </a:stretch>
                  </pic:blipFill>
                  <pic:spPr>
                    <a:xfrm>
                      <a:off x="0" y="0"/>
                      <a:ext cx="4365338" cy="3054096"/>
                    </a:xfrm>
                    <a:prstGeom prst="rect">
                      <a:avLst/>
                    </a:prstGeom>
                  </pic:spPr>
                </pic:pic>
              </a:graphicData>
            </a:graphic>
          </wp:anchor>
        </w:drawing>
      </w:r>
      <w:r>
        <w:rPr>
          <w:b/>
          <w:sz w:val="24"/>
        </w:rPr>
        <w:t>(a)</w:t>
      </w:r>
    </w:p>
    <w:p>
      <w:pPr>
        <w:spacing w:before="87"/>
        <w:ind w:left="4827" w:right="0" w:firstLine="0"/>
        <w:jc w:val="left"/>
        <w:rPr>
          <w:b/>
          <w:sz w:val="24"/>
        </w:rPr>
      </w:pPr>
      <w:r>
        <w:rPr>
          <w:b/>
          <w:sz w:val="24"/>
        </w:rPr>
        <w:t>(b)</w:t>
      </w:r>
    </w:p>
    <w:p>
      <w:pPr>
        <w:spacing w:line="271" w:lineRule="auto" w:before="36"/>
        <w:ind w:left="820" w:right="891" w:firstLine="239"/>
        <w:jc w:val="both"/>
        <w:rPr>
          <w:b/>
          <w:sz w:val="24"/>
        </w:rPr>
      </w:pPr>
      <w:r>
        <w:rPr>
          <w:b/>
          <w:sz w:val="24"/>
        </w:rPr>
        <w:t>Fig. 9. (a) Freqeuncy shifts vs Time taken by the Layer-7 BC humidity SAW sensor when the RH value is increased from 30% to 43%, 56%, 68%, 84%, and 93% to reach 90% response; (b) Changes of the resonant signals as a function of time when the RH values was changed from the specific value to 30%.</w:t>
      </w:r>
    </w:p>
    <w:p>
      <w:pPr>
        <w:spacing w:after="0" w:line="271" w:lineRule="auto"/>
        <w:jc w:val="both"/>
        <w:rPr>
          <w:sz w:val="24"/>
        </w:rPr>
        <w:sectPr>
          <w:pgSz w:w="11910" w:h="16840"/>
          <w:pgMar w:top="1500" w:bottom="280" w:left="980" w:right="900"/>
        </w:sectPr>
      </w:pPr>
    </w:p>
    <w:p>
      <w:pPr>
        <w:pStyle w:val="BodyText"/>
        <w:spacing w:before="5"/>
        <w:ind w:left="0"/>
        <w:rPr>
          <w:b/>
          <w:sz w:val="19"/>
        </w:rPr>
      </w:pPr>
    </w:p>
    <w:p>
      <w:pPr>
        <w:pStyle w:val="BodyText"/>
        <w:ind w:left="1621"/>
        <w:rPr>
          <w:sz w:val="20"/>
        </w:rPr>
      </w:pPr>
      <w:r>
        <w:rPr>
          <w:sz w:val="20"/>
        </w:rPr>
        <w:drawing>
          <wp:inline distT="0" distB="0" distL="0" distR="0">
            <wp:extent cx="4287332" cy="3474720"/>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7" cstate="print"/>
                    <a:stretch>
                      <a:fillRect/>
                    </a:stretch>
                  </pic:blipFill>
                  <pic:spPr>
                    <a:xfrm>
                      <a:off x="0" y="0"/>
                      <a:ext cx="4287332" cy="3474720"/>
                    </a:xfrm>
                    <a:prstGeom prst="rect">
                      <a:avLst/>
                    </a:prstGeom>
                  </pic:spPr>
                </pic:pic>
              </a:graphicData>
            </a:graphic>
          </wp:inline>
        </w:drawing>
      </w:r>
      <w:r>
        <w:rPr>
          <w:sz w:val="20"/>
        </w:rPr>
      </w:r>
    </w:p>
    <w:p>
      <w:pPr>
        <w:tabs>
          <w:tab w:pos="2051" w:val="left" w:leader="none"/>
        </w:tabs>
        <w:spacing w:line="271" w:lineRule="auto" w:before="98"/>
        <w:ind w:left="820" w:right="1201" w:firstLine="239"/>
        <w:jc w:val="left"/>
        <w:rPr>
          <w:b/>
          <w:sz w:val="24"/>
        </w:rPr>
      </w:pPr>
      <w:r>
        <w:rPr>
          <w:b/>
          <w:sz w:val="24"/>
        </w:rPr>
        <w:t>Fig.</w:t>
      </w:r>
      <w:r>
        <w:rPr>
          <w:b/>
          <w:spacing w:val="-1"/>
          <w:sz w:val="24"/>
        </w:rPr>
        <w:t> </w:t>
      </w:r>
      <w:r>
        <w:rPr>
          <w:b/>
          <w:sz w:val="24"/>
        </w:rPr>
        <w:t>10.</w:t>
        <w:tab/>
      </w:r>
      <w:r>
        <w:rPr>
          <w:b/>
          <w:spacing w:val="-3"/>
          <w:sz w:val="24"/>
        </w:rPr>
        <w:t>Variations </w:t>
      </w:r>
      <w:r>
        <w:rPr>
          <w:b/>
          <w:sz w:val="24"/>
        </w:rPr>
        <w:t>of the resonant frequencies of the Layer-7 BC humidity sensor versus environment</w:t>
      </w:r>
      <w:r>
        <w:rPr>
          <w:b/>
          <w:spacing w:val="-7"/>
          <w:sz w:val="24"/>
        </w:rPr>
        <w:t> </w:t>
      </w:r>
      <w:r>
        <w:rPr>
          <w:b/>
          <w:sz w:val="24"/>
        </w:rPr>
        <w:t>temperatures.</w:t>
      </w:r>
    </w:p>
    <w:p>
      <w:pPr>
        <w:spacing w:after="0" w:line="271" w:lineRule="auto"/>
        <w:jc w:val="left"/>
        <w:rPr>
          <w:sz w:val="24"/>
        </w:rPr>
        <w:sectPr>
          <w:pgSz w:w="11910" w:h="16840"/>
          <w:pgMar w:top="1580" w:bottom="280" w:left="980" w:right="900"/>
        </w:sectPr>
      </w:pPr>
    </w:p>
    <w:p>
      <w:pPr>
        <w:pStyle w:val="BodyText"/>
        <w:ind w:left="993"/>
        <w:rPr>
          <w:sz w:val="20"/>
        </w:rPr>
      </w:pPr>
      <w:r>
        <w:rPr>
          <w:sz w:val="20"/>
        </w:rPr>
        <w:drawing>
          <wp:inline distT="0" distB="0" distL="0" distR="0">
            <wp:extent cx="5100169" cy="3438144"/>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8" cstate="print"/>
                    <a:stretch>
                      <a:fillRect/>
                    </a:stretch>
                  </pic:blipFill>
                  <pic:spPr>
                    <a:xfrm>
                      <a:off x="0" y="0"/>
                      <a:ext cx="5100169" cy="3438144"/>
                    </a:xfrm>
                    <a:prstGeom prst="rect">
                      <a:avLst/>
                    </a:prstGeom>
                  </pic:spPr>
                </pic:pic>
              </a:graphicData>
            </a:graphic>
          </wp:inline>
        </w:drawing>
      </w:r>
      <w:r>
        <w:rPr>
          <w:sz w:val="20"/>
        </w:rPr>
      </w:r>
    </w:p>
    <w:p>
      <w:pPr>
        <w:pStyle w:val="BodyText"/>
        <w:spacing w:before="8"/>
        <w:ind w:left="0"/>
        <w:rPr>
          <w:b/>
          <w:sz w:val="16"/>
        </w:rPr>
      </w:pPr>
    </w:p>
    <w:p>
      <w:pPr>
        <w:tabs>
          <w:tab w:pos="1798" w:val="left" w:leader="none"/>
        </w:tabs>
        <w:spacing w:line="542" w:lineRule="auto" w:before="90"/>
        <w:ind w:left="820" w:right="1274" w:firstLine="0"/>
        <w:jc w:val="left"/>
        <w:rPr>
          <w:b/>
          <w:sz w:val="24"/>
        </w:rPr>
      </w:pPr>
      <w:r>
        <w:rPr>
          <w:b/>
          <w:sz w:val="24"/>
        </w:rPr>
        <w:t>Fig.</w:t>
      </w:r>
      <w:r>
        <w:rPr>
          <w:b/>
          <w:spacing w:val="-1"/>
          <w:sz w:val="24"/>
        </w:rPr>
        <w:t> </w:t>
      </w:r>
      <w:r>
        <w:rPr>
          <w:b/>
          <w:spacing w:val="-5"/>
          <w:sz w:val="24"/>
        </w:rPr>
        <w:t>11.</w:t>
        <w:tab/>
      </w:r>
      <w:r>
        <w:rPr>
          <w:b/>
          <w:sz w:val="24"/>
        </w:rPr>
        <w:t>Effect of different types of gases on sensor humidity detection</w:t>
      </w:r>
      <w:r>
        <w:rPr>
          <w:b/>
          <w:spacing w:val="-24"/>
          <w:sz w:val="24"/>
        </w:rPr>
        <w:t> </w:t>
      </w:r>
      <w:r>
        <w:rPr>
          <w:b/>
          <w:sz w:val="24"/>
        </w:rPr>
        <w:t>under conditions of 43% RH and high humidity 93%</w:t>
      </w:r>
      <w:r>
        <w:rPr>
          <w:b/>
          <w:spacing w:val="-1"/>
          <w:sz w:val="24"/>
        </w:rPr>
        <w:t> </w:t>
      </w:r>
      <w:r>
        <w:rPr>
          <w:b/>
          <w:sz w:val="24"/>
        </w:rPr>
        <w:t>RH.</w:t>
      </w:r>
    </w:p>
    <w:p>
      <w:pPr>
        <w:spacing w:after="0" w:line="542" w:lineRule="auto"/>
        <w:jc w:val="left"/>
        <w:rPr>
          <w:sz w:val="24"/>
        </w:rPr>
        <w:sectPr>
          <w:pgSz w:w="11910" w:h="16840"/>
          <w:pgMar w:top="1520" w:bottom="280" w:left="980" w:right="900"/>
        </w:sectPr>
      </w:pPr>
    </w:p>
    <w:p>
      <w:pPr>
        <w:pStyle w:val="BodyText"/>
        <w:ind w:left="1427"/>
        <w:rPr>
          <w:sz w:val="20"/>
        </w:rPr>
      </w:pPr>
      <w:r>
        <w:rPr>
          <w:sz w:val="20"/>
        </w:rPr>
        <w:drawing>
          <wp:inline distT="0" distB="0" distL="0" distR="0">
            <wp:extent cx="4631011" cy="3310128"/>
            <wp:effectExtent l="0" t="0" r="0" b="0"/>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29" cstate="print"/>
                    <a:stretch>
                      <a:fillRect/>
                    </a:stretch>
                  </pic:blipFill>
                  <pic:spPr>
                    <a:xfrm>
                      <a:off x="0" y="0"/>
                      <a:ext cx="4631011" cy="3310128"/>
                    </a:xfrm>
                    <a:prstGeom prst="rect">
                      <a:avLst/>
                    </a:prstGeom>
                  </pic:spPr>
                </pic:pic>
              </a:graphicData>
            </a:graphic>
          </wp:inline>
        </w:drawing>
      </w:r>
      <w:r>
        <w:rPr>
          <w:sz w:val="20"/>
        </w:rPr>
      </w:r>
    </w:p>
    <w:p>
      <w:pPr>
        <w:spacing w:before="76"/>
        <w:ind w:left="4834" w:right="0" w:firstLine="0"/>
        <w:jc w:val="left"/>
        <w:rPr>
          <w:b/>
          <w:sz w:val="24"/>
        </w:rPr>
      </w:pPr>
      <w:r>
        <w:rPr/>
        <w:drawing>
          <wp:anchor distT="0" distB="0" distL="0" distR="0" allowOverlap="1" layoutInCell="1" locked="0" behindDoc="0" simplePos="0" relativeHeight="1456">
            <wp:simplePos x="0" y="0"/>
            <wp:positionH relativeFrom="page">
              <wp:posOffset>1718837</wp:posOffset>
            </wp:positionH>
            <wp:positionV relativeFrom="paragraph">
              <wp:posOffset>296457</wp:posOffset>
            </wp:positionV>
            <wp:extent cx="4159925" cy="3040380"/>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30" cstate="print"/>
                    <a:stretch>
                      <a:fillRect/>
                    </a:stretch>
                  </pic:blipFill>
                  <pic:spPr>
                    <a:xfrm>
                      <a:off x="0" y="0"/>
                      <a:ext cx="4159925" cy="3040380"/>
                    </a:xfrm>
                    <a:prstGeom prst="rect">
                      <a:avLst/>
                    </a:prstGeom>
                  </pic:spPr>
                </pic:pic>
              </a:graphicData>
            </a:graphic>
          </wp:anchor>
        </w:drawing>
      </w:r>
      <w:r>
        <w:rPr>
          <w:b/>
          <w:sz w:val="24"/>
        </w:rPr>
        <w:t>(a)</w:t>
      </w:r>
    </w:p>
    <w:p>
      <w:pPr>
        <w:spacing w:before="97"/>
        <w:ind w:left="4827" w:right="0" w:firstLine="0"/>
        <w:jc w:val="left"/>
        <w:rPr>
          <w:b/>
          <w:sz w:val="24"/>
        </w:rPr>
      </w:pPr>
      <w:r>
        <w:rPr>
          <w:b/>
          <w:sz w:val="24"/>
        </w:rPr>
        <w:t>(b)</w:t>
      </w:r>
    </w:p>
    <w:p>
      <w:pPr>
        <w:spacing w:line="271" w:lineRule="auto" w:before="36"/>
        <w:ind w:left="820" w:right="1063" w:firstLine="239"/>
        <w:jc w:val="both"/>
        <w:rPr>
          <w:b/>
          <w:sz w:val="24"/>
        </w:rPr>
      </w:pPr>
      <w:r>
        <w:rPr>
          <w:b/>
          <w:sz w:val="24"/>
        </w:rPr>
        <w:t>Fig. 12. (a) Frequency shifts of </w:t>
      </w:r>
      <w:r>
        <w:rPr>
          <w:b/>
          <w:spacing w:val="-9"/>
          <w:sz w:val="24"/>
        </w:rPr>
        <w:t>SAW </w:t>
      </w:r>
      <w:r>
        <w:rPr>
          <w:b/>
          <w:sz w:val="24"/>
        </w:rPr>
        <w:t>humidity sensors based on Layer-7 BC film for five humidity cycling tests with the RH values changed between 30% to 93%; (b) the resonant frequency of the </w:t>
      </w:r>
      <w:r>
        <w:rPr>
          <w:b/>
          <w:spacing w:val="-9"/>
          <w:sz w:val="24"/>
        </w:rPr>
        <w:t>SAW </w:t>
      </w:r>
      <w:r>
        <w:rPr>
          <w:b/>
          <w:sz w:val="24"/>
        </w:rPr>
        <w:t>humidity sensors tested within one month at different RH values.</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2"/>
        <w:ind w:left="0"/>
        <w:rPr>
          <w:b/>
          <w:sz w:val="26"/>
        </w:rPr>
      </w:pPr>
    </w:p>
    <w:p>
      <w:pPr>
        <w:spacing w:before="92"/>
        <w:ind w:left="261" w:right="333" w:firstLine="0"/>
        <w:jc w:val="center"/>
        <w:rPr>
          <w:sz w:val="18"/>
        </w:rPr>
      </w:pPr>
      <w:r>
        <w:rPr>
          <w:sz w:val="18"/>
        </w:rPr>
        <w:t>34</w:t>
      </w:r>
    </w:p>
    <w:sectPr>
      <w:pgSz w:w="11910" w:h="16840"/>
      <w:pgMar w:top="1460" w:bottom="280" w:left="98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imSun">
    <w:altName w:val="SimSun"/>
    <w:charset w:val="0"/>
    <w:family w:val="auto"/>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00" w:hanging="383"/>
        <w:jc w:val="left"/>
      </w:pPr>
      <w:rPr>
        <w:rFonts w:hint="default" w:ascii="Times New Roman" w:hAnsi="Times New Roman" w:eastAsia="Times New Roman" w:cs="Times New Roman"/>
        <w:spacing w:val="-32"/>
        <w:w w:val="99"/>
        <w:sz w:val="24"/>
        <w:szCs w:val="24"/>
        <w:lang w:val="en-gb" w:eastAsia="en-gb" w:bidi="en-gb"/>
      </w:rPr>
    </w:lvl>
    <w:lvl w:ilvl="1">
      <w:start w:val="0"/>
      <w:numFmt w:val="bullet"/>
      <w:lvlText w:val="•"/>
      <w:lvlJc w:val="left"/>
      <w:pPr>
        <w:ind w:left="1092" w:hanging="383"/>
      </w:pPr>
      <w:rPr>
        <w:rFonts w:hint="default"/>
        <w:lang w:val="en-gb" w:eastAsia="en-gb" w:bidi="en-gb"/>
      </w:rPr>
    </w:lvl>
    <w:lvl w:ilvl="2">
      <w:start w:val="0"/>
      <w:numFmt w:val="bullet"/>
      <w:lvlText w:val="•"/>
      <w:lvlJc w:val="left"/>
      <w:pPr>
        <w:ind w:left="2085" w:hanging="383"/>
      </w:pPr>
      <w:rPr>
        <w:rFonts w:hint="default"/>
        <w:lang w:val="en-gb" w:eastAsia="en-gb" w:bidi="en-gb"/>
      </w:rPr>
    </w:lvl>
    <w:lvl w:ilvl="3">
      <w:start w:val="0"/>
      <w:numFmt w:val="bullet"/>
      <w:lvlText w:val="•"/>
      <w:lvlJc w:val="left"/>
      <w:pPr>
        <w:ind w:left="3077" w:hanging="383"/>
      </w:pPr>
      <w:rPr>
        <w:rFonts w:hint="default"/>
        <w:lang w:val="en-gb" w:eastAsia="en-gb" w:bidi="en-gb"/>
      </w:rPr>
    </w:lvl>
    <w:lvl w:ilvl="4">
      <w:start w:val="0"/>
      <w:numFmt w:val="bullet"/>
      <w:lvlText w:val="•"/>
      <w:lvlJc w:val="left"/>
      <w:pPr>
        <w:ind w:left="4070" w:hanging="383"/>
      </w:pPr>
      <w:rPr>
        <w:rFonts w:hint="default"/>
        <w:lang w:val="en-gb" w:eastAsia="en-gb" w:bidi="en-gb"/>
      </w:rPr>
    </w:lvl>
    <w:lvl w:ilvl="5">
      <w:start w:val="0"/>
      <w:numFmt w:val="bullet"/>
      <w:lvlText w:val="•"/>
      <w:lvlJc w:val="left"/>
      <w:pPr>
        <w:ind w:left="5063" w:hanging="383"/>
      </w:pPr>
      <w:rPr>
        <w:rFonts w:hint="default"/>
        <w:lang w:val="en-gb" w:eastAsia="en-gb" w:bidi="en-gb"/>
      </w:rPr>
    </w:lvl>
    <w:lvl w:ilvl="6">
      <w:start w:val="0"/>
      <w:numFmt w:val="bullet"/>
      <w:lvlText w:val="•"/>
      <w:lvlJc w:val="left"/>
      <w:pPr>
        <w:ind w:left="6055" w:hanging="383"/>
      </w:pPr>
      <w:rPr>
        <w:rFonts w:hint="default"/>
        <w:lang w:val="en-gb" w:eastAsia="en-gb" w:bidi="en-gb"/>
      </w:rPr>
    </w:lvl>
    <w:lvl w:ilvl="7">
      <w:start w:val="0"/>
      <w:numFmt w:val="bullet"/>
      <w:lvlText w:val="•"/>
      <w:lvlJc w:val="left"/>
      <w:pPr>
        <w:ind w:left="7048" w:hanging="383"/>
      </w:pPr>
      <w:rPr>
        <w:rFonts w:hint="default"/>
        <w:lang w:val="en-gb" w:eastAsia="en-gb" w:bidi="en-gb"/>
      </w:rPr>
    </w:lvl>
    <w:lvl w:ilvl="8">
      <w:start w:val="0"/>
      <w:numFmt w:val="bullet"/>
      <w:lvlText w:val="•"/>
      <w:lvlJc w:val="left"/>
      <w:pPr>
        <w:ind w:left="8041" w:hanging="383"/>
      </w:pPr>
      <w:rPr>
        <w:rFonts w:hint="default"/>
        <w:lang w:val="en-gb" w:eastAsia="en-gb" w:bidi="en-gb"/>
      </w:rPr>
    </w:lvl>
  </w:abstractNum>
  <w:abstractNum w:abstractNumId="0">
    <w:multiLevelType w:val="hybridMultilevel"/>
    <w:lvl w:ilvl="0">
      <w:start w:val="1"/>
      <w:numFmt w:val="decimal"/>
      <w:lvlText w:val="%1."/>
      <w:lvlJc w:val="left"/>
      <w:pPr>
        <w:ind w:left="347" w:hanging="248"/>
        <w:jc w:val="left"/>
      </w:pPr>
      <w:rPr>
        <w:rFonts w:hint="default" w:ascii="Times New Roman" w:hAnsi="Times New Roman" w:eastAsia="Times New Roman" w:cs="Times New Roman"/>
        <w:b/>
        <w:bCs/>
        <w:w w:val="100"/>
        <w:sz w:val="24"/>
        <w:szCs w:val="24"/>
        <w:lang w:val="en-gb" w:eastAsia="en-gb" w:bidi="en-gb"/>
      </w:rPr>
    </w:lvl>
    <w:lvl w:ilvl="1">
      <w:start w:val="1"/>
      <w:numFmt w:val="decimal"/>
      <w:lvlText w:val="%1.%2"/>
      <w:lvlJc w:val="left"/>
      <w:pPr>
        <w:ind w:left="460" w:hanging="360"/>
        <w:jc w:val="left"/>
      </w:pPr>
      <w:rPr>
        <w:rFonts w:hint="default" w:ascii="Times New Roman" w:hAnsi="Times New Roman" w:eastAsia="Times New Roman" w:cs="Times New Roman"/>
        <w:b/>
        <w:bCs/>
        <w:spacing w:val="-27"/>
        <w:w w:val="99"/>
        <w:sz w:val="24"/>
        <w:szCs w:val="24"/>
        <w:lang w:val="en-gb" w:eastAsia="en-gb" w:bidi="en-gb"/>
      </w:rPr>
    </w:lvl>
    <w:lvl w:ilvl="2">
      <w:start w:val="0"/>
      <w:numFmt w:val="bullet"/>
      <w:lvlText w:val="•"/>
      <w:lvlJc w:val="left"/>
      <w:pPr>
        <w:ind w:left="3220" w:hanging="360"/>
      </w:pPr>
      <w:rPr>
        <w:rFonts w:hint="default"/>
        <w:lang w:val="en-gb" w:eastAsia="en-gb" w:bidi="en-gb"/>
      </w:rPr>
    </w:lvl>
    <w:lvl w:ilvl="3">
      <w:start w:val="0"/>
      <w:numFmt w:val="bullet"/>
      <w:lvlText w:val="•"/>
      <w:lvlJc w:val="left"/>
      <w:pPr>
        <w:ind w:left="3370" w:hanging="360"/>
      </w:pPr>
      <w:rPr>
        <w:rFonts w:hint="default"/>
        <w:lang w:val="en-gb" w:eastAsia="en-gb" w:bidi="en-gb"/>
      </w:rPr>
    </w:lvl>
    <w:lvl w:ilvl="4">
      <w:start w:val="0"/>
      <w:numFmt w:val="bullet"/>
      <w:lvlText w:val="•"/>
      <w:lvlJc w:val="left"/>
      <w:pPr>
        <w:ind w:left="3521" w:hanging="360"/>
      </w:pPr>
      <w:rPr>
        <w:rFonts w:hint="default"/>
        <w:lang w:val="en-gb" w:eastAsia="en-gb" w:bidi="en-gb"/>
      </w:rPr>
    </w:lvl>
    <w:lvl w:ilvl="5">
      <w:start w:val="0"/>
      <w:numFmt w:val="bullet"/>
      <w:lvlText w:val="•"/>
      <w:lvlJc w:val="left"/>
      <w:pPr>
        <w:ind w:left="3672" w:hanging="360"/>
      </w:pPr>
      <w:rPr>
        <w:rFonts w:hint="default"/>
        <w:lang w:val="en-gb" w:eastAsia="en-gb" w:bidi="en-gb"/>
      </w:rPr>
    </w:lvl>
    <w:lvl w:ilvl="6">
      <w:start w:val="0"/>
      <w:numFmt w:val="bullet"/>
      <w:lvlText w:val="•"/>
      <w:lvlJc w:val="left"/>
      <w:pPr>
        <w:ind w:left="3823" w:hanging="360"/>
      </w:pPr>
      <w:rPr>
        <w:rFonts w:hint="default"/>
        <w:lang w:val="en-gb" w:eastAsia="en-gb" w:bidi="en-gb"/>
      </w:rPr>
    </w:lvl>
    <w:lvl w:ilvl="7">
      <w:start w:val="0"/>
      <w:numFmt w:val="bullet"/>
      <w:lvlText w:val="•"/>
      <w:lvlJc w:val="left"/>
      <w:pPr>
        <w:ind w:left="3973" w:hanging="360"/>
      </w:pPr>
      <w:rPr>
        <w:rFonts w:hint="default"/>
        <w:lang w:val="en-gb" w:eastAsia="en-gb" w:bidi="en-gb"/>
      </w:rPr>
    </w:lvl>
    <w:lvl w:ilvl="8">
      <w:start w:val="0"/>
      <w:numFmt w:val="bullet"/>
      <w:lvlText w:val="•"/>
      <w:lvlJc w:val="left"/>
      <w:pPr>
        <w:ind w:left="4124" w:hanging="360"/>
      </w:pPr>
      <w:rPr>
        <w:rFonts w:hint="default"/>
        <w:lang w:val="en-gb" w:eastAsia="en-gb" w:bidi="en-gb"/>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gb" w:eastAsia="en-gb" w:bidi="en-gb"/>
    </w:rPr>
  </w:style>
  <w:style w:styleId="BodyText" w:type="paragraph">
    <w:name w:val="Body Text"/>
    <w:basedOn w:val="Normal"/>
    <w:uiPriority w:val="1"/>
    <w:qFormat/>
    <w:pPr>
      <w:ind w:left="100"/>
    </w:pPr>
    <w:rPr>
      <w:rFonts w:ascii="Times New Roman" w:hAnsi="Times New Roman" w:eastAsia="Times New Roman" w:cs="Times New Roman"/>
      <w:sz w:val="24"/>
      <w:szCs w:val="24"/>
      <w:lang w:val="en-gb" w:eastAsia="en-gb" w:bidi="en-gb"/>
    </w:rPr>
  </w:style>
  <w:style w:styleId="Heading1" w:type="paragraph">
    <w:name w:val="Heading 1"/>
    <w:basedOn w:val="Normal"/>
    <w:uiPriority w:val="1"/>
    <w:qFormat/>
    <w:pPr>
      <w:ind w:left="820"/>
      <w:outlineLvl w:val="1"/>
    </w:pPr>
    <w:rPr>
      <w:rFonts w:ascii="Times New Roman" w:hAnsi="Times New Roman" w:eastAsia="Times New Roman" w:cs="Times New Roman"/>
      <w:b/>
      <w:bCs/>
      <w:sz w:val="24"/>
      <w:szCs w:val="24"/>
      <w:lang w:val="en-gb" w:eastAsia="en-gb" w:bidi="en-gb"/>
    </w:rPr>
  </w:style>
  <w:style w:styleId="ListParagraph" w:type="paragraph">
    <w:name w:val="List Paragraph"/>
    <w:basedOn w:val="Normal"/>
    <w:uiPriority w:val="1"/>
    <w:qFormat/>
    <w:pPr>
      <w:ind w:left="100" w:right="175"/>
      <w:jc w:val="both"/>
    </w:pPr>
    <w:rPr>
      <w:rFonts w:ascii="Times New Roman" w:hAnsi="Times New Roman" w:eastAsia="Times New Roman" w:cs="Times New Roman"/>
      <w:lang w:val="en-gb" w:eastAsia="en-gb" w:bidi="en-gb"/>
    </w:rPr>
  </w:style>
  <w:style w:styleId="TableParagraph" w:type="paragraph">
    <w:name w:val="Table Paragraph"/>
    <w:basedOn w:val="Normal"/>
    <w:uiPriority w:val="1"/>
    <w:qFormat/>
    <w:pPr>
      <w:jc w:val="center"/>
    </w:pPr>
    <w:rPr>
      <w:rFonts w:ascii="Times New Roman" w:hAnsi="Times New Roman" w:eastAsia="Times New Roman" w:cs="Times New Roman"/>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guoyuanjun@uestc.edu.cn" TargetMode="External"/><Relationship Id="rId6" Type="http://schemas.openxmlformats.org/officeDocument/2006/relationships/hyperlink" Target="mailto:tyl@swjtu.edu.cn" TargetMode="External"/><Relationship Id="rId7" Type="http://schemas.openxmlformats.org/officeDocument/2006/relationships/hyperlink" Target="https://doi.org/10.1039/C3TC31126K" TargetMode="External"/><Relationship Id="rId8" Type="http://schemas.openxmlformats.org/officeDocument/2006/relationships/hyperlink" Target="https://doi.org/10.1016/j.biomaterials.2004.02.049" TargetMode="External"/><Relationship Id="rId9" Type="http://schemas.openxmlformats.org/officeDocument/2006/relationships/hyperlink" Target="https://doi.org/10.1016/j.snb.2012.01.014" TargetMode="External"/><Relationship Id="rId10" Type="http://schemas.openxmlformats.org/officeDocument/2006/relationships/hyperlink" Target="https://doi.org/10.1016/j.snb.2015.09.148"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99355</dc:creator>
  <dcterms:created xsi:type="dcterms:W3CDTF">2020-02-13T12:50:21Z</dcterms:created>
  <dcterms:modified xsi:type="dcterms:W3CDTF">2020-02-13T12:50:21Z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Microsoft® Word 2016</vt:lpwstr>
  </property>
  <property fmtid="{D5CDD505-2E9C-101B-9397-08002B2CF9AE}" pid="4" name="LastSaved">
    <vt:filetime>2020-02-13T00:00:00Z</vt:filetime>
  </property>
</Properties>
</file>