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"/>
          <w:b/>
          <w:color w:val="000000"/>
          <w:sz w:val="28"/>
          <w:szCs w:val="28"/>
        </w:rPr>
      </w:pPr>
      <w:proofErr w:type="gramStart"/>
      <w:r w:rsidRPr="00C4448B">
        <w:rPr>
          <w:rFonts w:ascii="Gill Sans MT" w:hAnsi="Gill Sans MT" w:cs="CenturyGothic"/>
          <w:b/>
          <w:color w:val="000000"/>
          <w:sz w:val="28"/>
          <w:szCs w:val="28"/>
        </w:rPr>
        <w:t>Methodological immaturity in childhood research?</w:t>
      </w:r>
      <w:proofErr w:type="gramEnd"/>
      <w:r w:rsidRPr="00C4448B">
        <w:rPr>
          <w:rFonts w:ascii="Gill Sans MT" w:hAnsi="Gill Sans MT" w:cs="CenturyGothic"/>
          <w:b/>
          <w:color w:val="000000"/>
          <w:sz w:val="28"/>
          <w:szCs w:val="28"/>
        </w:rPr>
        <w:t xml:space="preserve"> </w:t>
      </w:r>
      <w:proofErr w:type="gramStart"/>
      <w:r w:rsidRPr="00C4448B">
        <w:rPr>
          <w:rFonts w:ascii="Gill Sans MT" w:hAnsi="Gill Sans MT" w:cs="CenturyGothic"/>
          <w:b/>
          <w:color w:val="000000"/>
          <w:sz w:val="28"/>
          <w:szCs w:val="28"/>
        </w:rPr>
        <w:t>Thinking through ‘participatory methods’.</w:t>
      </w:r>
      <w:proofErr w:type="gramEnd"/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Lesley-Anne Gallacher and Michael Gallagher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Bold"/>
          <w:b/>
          <w:bCs/>
          <w:color w:val="000000"/>
          <w:sz w:val="24"/>
          <w:szCs w:val="24"/>
        </w:rPr>
      </w:pPr>
      <w:r>
        <w:rPr>
          <w:rFonts w:ascii="Gill Sans MT" w:hAnsi="Gill Sans MT" w:cs="Cochin-Bold"/>
          <w:b/>
          <w:bCs/>
          <w:color w:val="000000"/>
          <w:sz w:val="24"/>
          <w:szCs w:val="24"/>
        </w:rPr>
        <w:t>Abstract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Much of the recent literature on social research with children advocates the use of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participatory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techniques. This article attempts to rethink such techniques in several ways.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authors argue that participatory approaches, in their insistence that children should take part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research,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may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in fact involve children in processes that aim to regulate them. Using examples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drawn from their own work, the authors question whether participatory methods are necessary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for children to exercise agency in research encounters. They conclude by suggesting that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researchers working with children might benefit from an attitude of methodological immaturity.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This article arose out of a shared concern about the increasing dominance of ‘participatory’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approaches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to research involving children, and the uncritical ways in which they are often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deployed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in such research. This concern has at times made us both feel somewhat ‘out of place’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as (ostensibly) ‘children’s geographers’ working within the broader field of childhood studies.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this field, participatory research methods are almost universally lauded – and it is easy to see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why. Against the backdrop of the objectification of children by traditional and psychological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social research, participatory approaches appear emancipatory and democratic, respecting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children’s agency as individuals in their own right. Furthermore, participatory approaches seem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to have an epistemological advantage over more traditional approaches; they promise to access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 perspectives of the children being researched, rather than the perspectives of the adult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researchers. On the surface at least, these features are very attractive. However, we want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argue that this attractiveness may obscure the problems of these approaches. In the interests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increasing our understanding of such approaches, we want to examine some of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these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problems.In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so doing, we hope to build on critiques of participatory methods within development studies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(such as Cooke and Kothari, 2001) and human geography (e.g.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Kesby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2000; Pain, 2004).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After considering what participatory methods are, and how they have come to be employed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childhood research, we can begin to question whether ‘participatory methods’ can deliver all that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they promise. We do so by examining the ontological and epistemological assumptions on which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they are premised. We use the notion of ‘active participation’ to unpick concepts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‘empowerment’, ‘intentionality’ and ‘agency’ that are embedded in the broadly Cartesian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subjectivity that underpins ‘participatory methods’. Following from this, we start to think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beyond ‘participation’, using some brief empirical examples from our own research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problematize the power relationships in research encounters. This allows us to set out what we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believe to be a more useful model of emergent subjectivity, from which we can advocate a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position of methodological immaturity in research, which admits to vulnerability and fallibility.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 doing so, we are not offering any advice on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technique</w:t>
      </w:r>
      <w:r w:rsidRPr="00C4448B">
        <w:rPr>
          <w:rFonts w:ascii="Gill Sans MT" w:hAnsi="Gill Sans MT" w:cs="Cochin"/>
          <w:color w:val="000000"/>
          <w:sz w:val="24"/>
          <w:szCs w:val="24"/>
        </w:rPr>
        <w:t>. Rather we seek to offer a broad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methodological reflection on the usefulness of ‘participation’ as a framework for research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involving children.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lastRenderedPageBreak/>
        <w:t>What are ‘participatory’ methods, and why do we need them?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The current enthusiasm for participatory methods can be traced back to the early 1990s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‘paradigm shift’ in the social study of childhood (see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</w:t>
      </w:r>
      <w:r>
        <w:rPr>
          <w:rFonts w:ascii="Gill Sans MT" w:hAnsi="Gill Sans MT" w:cs="Cochin"/>
          <w:color w:val="000000"/>
          <w:sz w:val="24"/>
          <w:szCs w:val="24"/>
        </w:rPr>
        <w:t xml:space="preserve">d James, 1990). While we do not </w:t>
      </w:r>
      <w:r w:rsidRPr="00C4448B">
        <w:rPr>
          <w:rFonts w:ascii="Gill Sans MT" w:hAnsi="Gill Sans MT" w:cs="Cochin"/>
          <w:color w:val="000000"/>
          <w:sz w:val="24"/>
          <w:szCs w:val="24"/>
        </w:rPr>
        <w:t>want to dwell on a set of arguments that have been discussed and repeated across the literatur</w:t>
      </w:r>
      <w:r>
        <w:rPr>
          <w:rFonts w:ascii="Gill Sans MT" w:hAnsi="Gill Sans MT" w:cs="Cochin"/>
          <w:color w:val="000000"/>
          <w:sz w:val="24"/>
          <w:szCs w:val="24"/>
        </w:rPr>
        <w:t xml:space="preserve">e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 the intervening years (e.g. Holloway and Valentine, 2000; James et al., 1998;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Mayall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2002),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 brief contextual remarks are necessary here. The movement that is usually referred to as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 ‘new social studies of childhood’ was a reaction against some of the assumptions that had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come to dominate child research, and which subordinated childhood to adulthood. Children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were largely understood as incompetent and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developing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‘becoming-adults’. In comparison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adults, they were found wanting (Lee, 2001). In contrast, the so-called ‘paradigm shift’ sought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reposition children as competent social actors in their own right. As such, the movement has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rallied round the claim that children should be studied as ‘social actors, as beings in their own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right rather than pre-adult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becomings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’ (Holloway and Valentine, 2000: 5).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Consequently, current childhood research is broadly underpinn</w:t>
      </w:r>
      <w:r>
        <w:rPr>
          <w:rFonts w:ascii="Gill Sans MT" w:hAnsi="Gill Sans MT" w:cs="Cochin"/>
          <w:color w:val="000000"/>
          <w:sz w:val="24"/>
          <w:szCs w:val="24"/>
        </w:rPr>
        <w:t xml:space="preserve">ed by two key imperatives: that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children should be studied for and in themselves, not simply as a means of understanding </w:t>
      </w:r>
      <w:r>
        <w:rPr>
          <w:rFonts w:ascii="Gill Sans MT" w:hAnsi="Gill Sans MT" w:cs="Cochin"/>
          <w:color w:val="000000"/>
          <w:sz w:val="24"/>
          <w:szCs w:val="24"/>
        </w:rPr>
        <w:t xml:space="preserve">the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adult world, or of addressing its concerns; and that researchers should be attentive to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peculiarities and specificities of individual childhoods as geographically, historically and socially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situated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2005). In this way, it is not sufficient to carry out research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on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or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about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childhood;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childhood researchers must research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for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and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with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 (e.g. Cairns, 2001; Christensen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2002; Clark and Moss, 2001;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Mayall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2002; Punch, 2002). It is no longer enough to simply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reposition children as the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subjects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– rather than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objects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– of research; children should be engaged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participants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 the research process, if not as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researchers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 themselves (Cairns, 2001;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Kellett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et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al., 2004).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Roger Hart (1997) describes children’s participation as a metapho</w:t>
      </w:r>
      <w:r>
        <w:rPr>
          <w:rFonts w:ascii="Gill Sans MT" w:hAnsi="Gill Sans MT" w:cs="Cochin"/>
          <w:color w:val="000000"/>
          <w:sz w:val="24"/>
          <w:szCs w:val="24"/>
        </w:rPr>
        <w:t xml:space="preserve">rical ‘ladder’ that climbs from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 participation, through various stages of ‘tokenism’ and semi-part</w:t>
      </w:r>
      <w:r>
        <w:rPr>
          <w:rFonts w:ascii="Gill Sans MT" w:hAnsi="Gill Sans MT" w:cs="Cochin"/>
          <w:color w:val="000000"/>
          <w:sz w:val="24"/>
          <w:szCs w:val="24"/>
        </w:rPr>
        <w:t xml:space="preserve">icipation, to an ideal state of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‘full’ participation. Applied to research, this metaphor might be s</w:t>
      </w:r>
      <w:r>
        <w:rPr>
          <w:rFonts w:ascii="Gill Sans MT" w:hAnsi="Gill Sans MT" w:cs="Cochin"/>
          <w:color w:val="000000"/>
          <w:sz w:val="24"/>
          <w:szCs w:val="24"/>
        </w:rPr>
        <w:t xml:space="preserve">aid to produce a methodological </w:t>
      </w:r>
      <w:r w:rsidRPr="00C4448B">
        <w:rPr>
          <w:rFonts w:ascii="Gill Sans MT" w:hAnsi="Gill Sans MT" w:cs="Cochin"/>
          <w:color w:val="000000"/>
          <w:sz w:val="24"/>
          <w:szCs w:val="24"/>
        </w:rPr>
        <w:t>hierarchy in which ‘good’ – or perhaps ‘best’ – practice will be situated on the top-most rung (full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participation), above less ‘participatory’ projects (Sinclair, 2004). An unintended, and somewhat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ironic, consequence of this is that discourses of ‘participation’ risk becoming tyrannous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 involving children (for a similar critique of the development studies literature, see also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Cooke and Kothari, 2001). Of course, discourses of ‘participation’ are not unique to childhood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research; they are caught up in wider societal debates surrounding rights and citizenship. In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childhood literature, this is often couched in terms of the 1989 United Nations Convention on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 Rights of the Child (e.g. Alderson, 1995).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On the surface, at least, this is all very appealing, and we do n</w:t>
      </w:r>
      <w:r>
        <w:rPr>
          <w:rFonts w:ascii="Gill Sans MT" w:hAnsi="Gill Sans MT" w:cs="Cochin"/>
          <w:color w:val="000000"/>
          <w:sz w:val="24"/>
          <w:szCs w:val="24"/>
        </w:rPr>
        <w:t xml:space="preserve">ot doubt the good intentions of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those advocating ‘participation’. However, it is important not </w:t>
      </w:r>
      <w:r>
        <w:rPr>
          <w:rFonts w:ascii="Gill Sans MT" w:hAnsi="Gill Sans MT" w:cs="Cochin"/>
          <w:color w:val="000000"/>
          <w:sz w:val="24"/>
          <w:szCs w:val="24"/>
        </w:rPr>
        <w:t xml:space="preserve">to be distracted by the ethical </w:t>
      </w:r>
      <w:r w:rsidRPr="00C4448B">
        <w:rPr>
          <w:rFonts w:ascii="Gill Sans MT" w:hAnsi="Gill Sans MT" w:cs="Cochin"/>
          <w:color w:val="000000"/>
          <w:sz w:val="24"/>
          <w:szCs w:val="24"/>
        </w:rPr>
        <w:t>allure of ‘empowerment’, ‘agency’ or ‘self-determination’. With th</w:t>
      </w:r>
      <w:r>
        <w:rPr>
          <w:rFonts w:ascii="Gill Sans MT" w:hAnsi="Gill Sans MT" w:cs="Cochin"/>
          <w:color w:val="000000"/>
          <w:sz w:val="24"/>
          <w:szCs w:val="24"/>
        </w:rPr>
        <w:t xml:space="preserve">is in mind, we want to begin to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unpick the foundations of ‘participatory methods’, to tease out some of the epistemological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ontological assumptions on which they rest.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The epistemology and ontology of participatory methods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In the literature, the ethical and political arguments about children’s rights to participate in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research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are often allied to claims about the epistemological advan</w:t>
      </w:r>
      <w:r>
        <w:rPr>
          <w:rFonts w:ascii="Gill Sans MT" w:hAnsi="Gill Sans MT" w:cs="Cochin"/>
          <w:color w:val="000000"/>
          <w:sz w:val="24"/>
          <w:szCs w:val="24"/>
        </w:rPr>
        <w:t xml:space="preserve">tages of participatory methods.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Caitlin Cahill (2004) has argued that participator y methods generate ‘better’ knowledge than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other techniques, while Mike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Kesby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maintains that participatory methods can ‘access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valorise previously neglected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knowledges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provide more nuanced understandings of complex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social phenomena’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Kesby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2000: 423). Participatory methods are thus seen as producing more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‘authentic’ knowledge about children’s subjective realities (Grover, 2004).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Such arguments could be summarized in the oft-repeated claim that children are ‘experts’ in their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own lives (e.g. Burke, 2005; Lancaster and Broadbent, 2003). The premise here is that identity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produces knowledge. According to this logic, people with a certain identity are best placed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produce knowledge about others with a similar identity: children are better placed to know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about childhood than adults. For example, Alison Clark and Peter Moss (2001) claim that 3-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4-year-olds might provide better insights into the experience of babies at nursery than adult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researchers. Taken to its ultimate conclusion, this premise leads to the belief that each person is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best placed to know him- or herself; after all, even children of the same age, ethnicity, gender,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ability, sexuality and nationality may be very different from one another. An epistemology of this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kind assumes that people are transparently knowable to themselves, and privileges their ‘voices’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as the most authentic source of knowledge about themselves and their lives.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This epistemology of self-knowledge implies a discrete and identifiable knowing subject – a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Cartesian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cogito </w:t>
      </w:r>
      <w:r w:rsidRPr="00C4448B">
        <w:rPr>
          <w:rFonts w:ascii="Gill Sans MT" w:hAnsi="Gill Sans MT" w:cs="Cochin"/>
          <w:color w:val="000000"/>
          <w:sz w:val="24"/>
          <w:szCs w:val="24"/>
        </w:rPr>
        <w:t>(Foucault, 1989).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Against the image of children as developing, changing and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unstable, the new social studies attempts to rethink children as ‘</w:t>
      </w:r>
      <w:r>
        <w:rPr>
          <w:rFonts w:ascii="Gill Sans MT" w:hAnsi="Gill Sans MT" w:cs="Cochin"/>
          <w:color w:val="000000"/>
          <w:sz w:val="24"/>
          <w:szCs w:val="24"/>
        </w:rPr>
        <w:t>beings’ rather than ‘</w:t>
      </w:r>
      <w:proofErr w:type="spellStart"/>
      <w:r>
        <w:rPr>
          <w:rFonts w:ascii="Gill Sans MT" w:hAnsi="Gill Sans MT" w:cs="Cochin"/>
          <w:color w:val="000000"/>
          <w:sz w:val="24"/>
          <w:szCs w:val="24"/>
        </w:rPr>
        <w:t>becomings</w:t>
      </w:r>
      <w:proofErr w:type="spellEnd"/>
      <w:r>
        <w:rPr>
          <w:rFonts w:ascii="Gill Sans MT" w:hAnsi="Gill Sans MT" w:cs="Cochin"/>
          <w:color w:val="000000"/>
          <w:sz w:val="24"/>
          <w:szCs w:val="24"/>
        </w:rPr>
        <w:t xml:space="preserve">’ </w:t>
      </w:r>
      <w:r w:rsidRPr="00C4448B">
        <w:rPr>
          <w:rFonts w:ascii="Gill Sans MT" w:hAnsi="Gill Sans MT" w:cs="Cochin"/>
          <w:color w:val="000000"/>
          <w:sz w:val="24"/>
          <w:szCs w:val="24"/>
        </w:rPr>
        <w:t>who should be taken seriously in the present tense, rather than engaged simply as future adults</w:t>
      </w:r>
      <w:r>
        <w:rPr>
          <w:rFonts w:ascii="Gill Sans MT" w:hAnsi="Gill Sans MT" w:cs="Cochin"/>
          <w:color w:val="000000"/>
          <w:sz w:val="24"/>
          <w:szCs w:val="24"/>
        </w:rPr>
        <w:t>-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in-the-making (e.g. Holloway and Valentine, 2000; James et al., 1998;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James, 1990).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 more straightforward terms, children are understood as autonomous individuals who are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sovereign over themselves. According to this model, children’s more or less stable and coherent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identities give them access to self-knowledge. And as coherent, knowing, autonomous beings,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 are imbued with agency. In this context, agency can be understood as the ability of an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identifiable being to knowingly and deliberately use its willpower to achieve predetermined aims.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We return in due course to this ontology of children as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agentic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Cartesian beings. For now, we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want to explore the relationship between this conception of agency and the troublesome notion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of empowerment through participation.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‘Participation’, ‘agency’ and ‘empowerment’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While it is generally agreed that ‘participation’ is a positive attr</w:t>
      </w:r>
      <w:r>
        <w:rPr>
          <w:rFonts w:ascii="Gill Sans MT" w:hAnsi="Gill Sans MT" w:cs="Cochin"/>
          <w:color w:val="000000"/>
          <w:sz w:val="24"/>
          <w:szCs w:val="24"/>
        </w:rPr>
        <w:t xml:space="preserve">ibute of research, in 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studies there has been limited methodological reflection upon what the term actually means. It is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often claimed that ‘participatory’ methods ‘empower’ children to create knowledge and/or change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 circumstances in which they live (e.g. Cahill, 2004). This is in contrast to a less favourable,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more traditional,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model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in which adults create knowledge about children, thereby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‘disempowering’ them, and preventing them from engaging actively as human agents. It seems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us that this claim is premised on several problematic assumptions.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Most strikingly, it assumes that children require to be ‘empowered’ </w:t>
      </w:r>
      <w:r>
        <w:rPr>
          <w:rFonts w:ascii="Gill Sans MT" w:hAnsi="Gill Sans MT" w:cs="Cochin"/>
          <w:color w:val="000000"/>
          <w:sz w:val="24"/>
          <w:szCs w:val="24"/>
        </w:rPr>
        <w:t xml:space="preserve">by adults if they are to act in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the world. Thomas and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(1998: 338) explain how they ‘develop[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ed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] a range of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participatory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techniques designed specifically to allow children to participate on their own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terms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’. This implies that the children’s involvement in their research was dependent upon these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adult-devised techniques. This stands in direct contradiction to the wealth of work in childhood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studies that has sought to draw attention to the ways in which children actively shape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organize the world around them – often independently of adults, and sometimes in spite of them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(e.g. Jones, 2000; Smith and Barker, 2000). The children in our own research have been far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from docile (Gallacher, 2002, 2005; Gallagher, 2001, 2005, 2006). As such, we cannot help but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consider the impetus towards ‘empowerment’ in ‘participatory’ childhood research somewhat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ironic. The very notion of ‘empowerment’ implies that, without aid and encouragement from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adult-designed ‘participatory methods’, children cannot fully exercise their ‘agency’ in research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encounters. In this way, advocates of ‘participatory methods’ risk perpetuating the very model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that they purport to oppose.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Part of the problem here is the notion that power is a commodity to be acquired, exchanged,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shared and relinquished at will. Michel Foucault’s work questioned this economic model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power, suggesting that power may be more usefully conceived of as something exercised through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small-scale, everyday forms of persuasion, actions that affect other actions (Foucault, 1989; see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also Gallagher, 2008). Conceived of as such, power exists only in action. The problem is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compounded by the idea that, as a commodity, power can be transmitted by a set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predetermined techniques. By contrast, the recognition that research participants can, and do,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act places them beyond the control of the researcher and his or her techniques. This is to admit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that research participants might act in all sorts of unexpected ways, and that no amount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meticulously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preplanned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carefully applied technique will alter this. Indeed, to seek to do so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would be contrary to the spirit in which ‘participatory methods’ are offered.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This brings us to yet another problem with the technical rationality of ‘empowerment’: the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equation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of participation in research with ‘agency’. The assumption here is that the use of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participatory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techniques will enable children to exercise their ‘agency’ by taking part in the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construction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of knowledge about themselves. We hav</w:t>
      </w:r>
      <w:r>
        <w:rPr>
          <w:rFonts w:ascii="Gill Sans MT" w:hAnsi="Gill Sans MT" w:cs="Cochin"/>
          <w:color w:val="000000"/>
          <w:sz w:val="24"/>
          <w:szCs w:val="24"/>
        </w:rPr>
        <w:t>e already discussed some of the p</w:t>
      </w:r>
      <w:r w:rsidRPr="00C4448B">
        <w:rPr>
          <w:rFonts w:ascii="Gill Sans MT" w:hAnsi="Gill Sans MT" w:cs="Cochin"/>
          <w:color w:val="000000"/>
          <w:sz w:val="24"/>
          <w:szCs w:val="24"/>
        </w:rPr>
        <w:t>roblems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 this notion of agency as an attribute possessed by intentional subjects. However, two issues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merit further discussion. First, knowledge is not innocent of power. Once again Foucault’s work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on the close relationship between knowledge and power is instructive here (1977, 1978).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order to be effective, governmental power depends upon knowledge of the population being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governed. We want to suggest that current enthusiasm for practical, ‘policy-relevant’ social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 on children is closely connected to adult anxieties about young people: how to improve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them, make them more employable, more productive and healthier; how to encourage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regulate their moral conduct and to participate in democratic politics. That is, it is concerned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 the production of ideal future citizens (Rose, 1999).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If this is the case, then to encourage children to participate in creating knowledge about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themselves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is also to encourage them to take part in the processes used to regulate them.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course, there need not be anything sinister or totalitarian about this. In most cases, it no doubt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springs from a genuine concern for the well-being of a population and, accordingly, for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 whose fate will determine the future well-being of that population. Nonetheless, such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governmental anxieties represent an adult perspective in which children are seen as either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dangerous or in danger (Jenks, 1996). Either way, they are in need of regulation, guidance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assistance. In this sense, regardless of how much emphasis is placed on children’s daily lives, this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perspective still engages with children as adults-in-the-making. Again, this is antithetical to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stance taken by most advocates of participatory methods.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Second, most research involving children depends on children taking part in the construction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knowledge about themselves in some way. This might be filling in a questionnaire, speaking to an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interviewer, contributing to a group discussion, helping to make a video, taking photographs or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any number of other things. Advocates of participatory techniques might argue that the kinds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participation afforded by these techniques are in some way superior to the kinds of participation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facilitated by, say, survey methods. To help make sense of this, we want to examine the curious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distinction made by some authors between ‘active’ and ‘passive’ participation (Grover, 2004;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Sinclair, 2004). ‘Passive participation’ is an intriguing, almost oxymoronic, concept, clearly in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need of further explanation. It seems somewhat elusive – at least within a framework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Cartesian subjectivity. We return to this at the end of our article, but for now we want to explore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concept of ‘active participation’. Samantha Punch explains that ‘active’ participatory methods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are those through which children ‘[b]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ecome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actively involved rather than passively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responding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’ (Punch, 2002: 337). In this sense, ‘active participation’ implies both an intentionality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(a conscious will) and a performativity (doing something). We explore the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performative</w:t>
      </w:r>
      <w:proofErr w:type="spellEnd"/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implications of ‘active’ participation in the next section, but first we want to question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intentionality embedded within Punch’s statement.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‘Active participation’, intentionality and pedagogy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Active participation is intentional: to do more than ‘passively respond’, a participant has to make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 conscious, informed decision to take part in a project or activity. However, it is difficult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imagine how this could be inferred from a child’s behaviour.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Achild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might actively decide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participate in what appears to be a passive way. For example, a child may sit in the corner,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appear bored and contribute little or nothing to a group discussion; yet, they may have made the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conscious decision to do so, and may even believe this to be ‘participating’. Similarly, children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may participate in what appears to be an active way out of habit rather than on the basis of a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deliberate decision. This is a particularly important consideration given that generally children’s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experiences at school ‘[are] of compulsion, requirement, or the teacher’s “request” that children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participate’ (David et al., 2001: 351). The same might be said of much of children’s experience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outside school where they are often persuaded and required to participate in various activities by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their peers, parent(s) or other adults.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It is worth noting that this is not a criticism of ‘participatory methods’ per se, but of the claims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that are made about them. Participatory methods do not straightforwardly equate with ‘freedom’.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Indeed,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Owain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Jones (2001) has argued that childhood research may present an irresolvable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‘colonization’ of childhood by adults. In some ways, research might be understood as a process of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socialization through which children are taught to conform to adult norms and to value ‘adult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cultures’ over their own. This is the exact thing that proponents of participatory methods wish to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avoid. Indeed, to a large degree, the development of participatory methods has been caught up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 the governance of childhood through the processes of education. Many of the recent texts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about research involving young children (such as Clark and Moss, 2001; Lancaster and</w:t>
      </w:r>
      <w:r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Broadbent, 2003) have been specifically written for an audience of early childhood educators.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For example, while Clark and Moss (2001) have stressed the need to study the ‘lived lives’ of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young children in nurseries, rather than focus on them only as learners, they explicitly set out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their ‘mosaic approach’ in curricular terms.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There is considerable slippage between pedagogy and research in this approach. Indeed,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following the approach taken by preschool educators in Reggio Emilia, Italy (see Edwards et al.,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1998), Clark and Moss envisage that ‘listening to young children’ will become embedded in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curriculum, so that early educational practices will become a process of ‘pedagogical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documentation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’ within a wider ‘pedagogy of listening’. This is emblematic of the current trend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towards ‘reflective practice’ in education more generally. For example, Glenda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MacNaughton</w:t>
      </w:r>
      <w:proofErr w:type="spell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(2003) contends that good practice should be based in continuous cycles of ‘action research’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through which educators reflect upon and improve their everyday teaching practices. Likewise,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many of the research techniques advocated as ‘empowering’ and ‘participatory’ mirror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pedagogic approaches used in schools and preschool in various ways. Activities such as role play,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brainstorming and group discussion are used extensively in schools to address the personal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social development aspects of the curriculum (e.g. Mosley, 1996). Other methods, such as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drawing, writing stories and completing worksheets, are sometimes explicitly chosen because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they are familiar to children in that they form a large part of their daily school work (e.g. Punch,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2002). In doing so, researchers are expressly taking advantage of children’s schooled docility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towards such activities. This is somewhat at odds with claims that such activities promote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children’s participation on the basis of active, informed decisions.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‘Active participation’, embodiment and performativity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As well as being intentional, ‘active participation’ involves action. That is, participatory methods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require children to actively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do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something; they should be ‘“handling things” rather than “just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talking”’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2000: 140). In this sense, all research could be said to be ‘participatory’: task</w:t>
      </w:r>
      <w:r w:rsidR="00FF5700">
        <w:rPr>
          <w:rFonts w:ascii="Gill Sans MT" w:hAnsi="Gill Sans MT" w:cs="Cochin"/>
          <w:color w:val="000000"/>
          <w:sz w:val="24"/>
          <w:szCs w:val="24"/>
        </w:rPr>
        <w:t>-</w:t>
      </w:r>
      <w:r w:rsidRPr="00C4448B">
        <w:rPr>
          <w:rFonts w:ascii="Gill Sans MT" w:hAnsi="Gill Sans MT" w:cs="Cochin"/>
          <w:color w:val="000000"/>
          <w:sz w:val="24"/>
          <w:szCs w:val="24"/>
        </w:rPr>
        <w:t>based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action-oriented research practices simply require different styles of engagement than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others. As such, we are unconvinced by claims that ‘participatory methods’ present ‘an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alternative to ethnographic methods’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2000: 138). Indeed, despite her claim to have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selected participatory techniques on this basis, Claire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O’Kane’s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research was broadly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ethnographic, proceeding largely through a series of individual interviews and focus groups,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albeit augmented by various activities that served to stimulate discussion. In this sense,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‘participatory’ approaches can be said to extend and enhance, rather than replace, ethnographic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approaches: they attempt to engage with children’s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embodied,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performative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lives. In this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vein, Paul Willis and Mats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Trondman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(2000) have argued that ethnographies should be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concerned with heterogeneous entanglements of practice and discourse in the more-than-textual,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multi-sensual worlds that they study.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For example, Cheryl Greenfield (2004) used child-directed photography to discover what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preschool children in her class valued in their outdoor play area. However, the data she used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her paper came not from the photographs alone, but from the discussions she had with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 while collaboratively scrapbooking them. Reflecting upon this, Greenfield noted: ‘The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success of research with young children lies in the watching, listening, reflecting and engaging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conversation; seeking to enter the child’s world in just a small way’ (2004: 4). In other words,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success lies in the ethnography, but only in so far as ethnography is understood as more than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straightforward ‘interview, focus group, participant observation’ package. Greenfield’s research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can thus be seen as part of a wider movement to unfold children’s everyday experiences by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‘listening’ to their many ‘voices’.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Also working with preschool children, Clark and Moss (2001) have argued that researchers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should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attempt to engage the myriad symbolic languages through which children represent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communicate their experiences. They advocate a ‘mosaic’ of techniques combining the </w:t>
      </w: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visual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 the verbal. Others have sought to engage more senses, engaging with children in various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embodied and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performative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ways (see also Lancaster and Broadbent’s [2003] pack on activities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for ‘listening’ to young children). Such activities have the potential to engage the ‘more-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thanrepresentational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Lorimer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2005) or ‘non-representational’ (Thrift, 1996) aspects of everyday life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that have been the subject of much recent methodological discussion within cultural geography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and the wider cultural studies (see also Dewsbury et al., 2002;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Massumi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2002).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Beyond participation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It seems to us, then, that emphasizing ‘participation’ may actually serve to reduce the possibilities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within a research encounter. Participation means taking part, which necessitates some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predefined activity in which the participants can take part. However, children may – and, at least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 our experience, often do – act in ways beyond the limits prescribed by ‘participatory’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techniques. By way of illustration, take child-directed photography, which has become a popular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method of involving children in research (e.g. Barker and Weller, 2003; Burke, 2005; Greenfield,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2004; Leavitt et al., 1998; Young and Barratt, 2001). Children may do a range of things with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cameras: take pictures of things they find interesting; take pictures of what they think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researcher wants to see; take pictures of their friends; explain to the researcher why they are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taking each picture; take lots of pictures but say nothing about them, even when asked; ask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researcher to take pictures for them; give the camera to someone else; take no pictures; they may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even break the camera deliberately. All of these would be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doing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something, but not all of them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could be described as ‘participation’.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Indeed, requiring that children participate might actually constrain the possibilities for them to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act. For example, Catherine Burke (2005) claims to have engaged children as researchers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through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the use of self-directed photography in her study of the play spaces of primary school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children. Yet clear boundaries were set upon what counted as participation: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FF570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The children were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instructed </w:t>
      </w:r>
      <w:r w:rsidRPr="00C4448B">
        <w:rPr>
          <w:rFonts w:ascii="Gill Sans MT" w:hAnsi="Gill Sans MT" w:cs="Cochin"/>
          <w:color w:val="000000"/>
          <w:sz w:val="24"/>
          <w:szCs w:val="24"/>
        </w:rPr>
        <w:t>to keep ownership of the camera and to record the site of their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play each day. . . . The young researchers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had to adhere to a distinct agenda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. . . . The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requirement</w:t>
      </w:r>
      <w:r w:rsidR="00FF5700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to focus on spaces and places was explained. (Burke, 2005: 31; emphasis added)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Burke reports that this agenda was devised through discussions between the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adult 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r</w:t>
      </w:r>
      <w:r w:rsidRPr="00C4448B">
        <w:rPr>
          <w:rFonts w:ascii="Gill Sans MT" w:hAnsi="Gill Sans MT" w:cs="Cochin"/>
          <w:color w:val="000000"/>
          <w:sz w:val="24"/>
          <w:szCs w:val="24"/>
        </w:rPr>
        <w:t>esearchers</w:t>
      </w:r>
      <w:proofErr w:type="gram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the children, presumably resulting in a consensus. However, the very notion of having 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agenda to which everyone would adhere, arrived at through discussion between all parties, 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itself a participatory norm based on (adult) democratic ideals. In the face of such ideals, there 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 danger that certain kinds of action – taking photographs of people or animals, giving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camera to someone else, or breaking it – are understood as ‘non-participation’, and thus as forms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of deviance rather than as legitimate ways of engaging in research. Indeed, Burke records how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she strove to keep children ‘on-task’ during subsequent discussion of the photographs, in one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case telling a child: ‘Well, you’re going to have to. . . . Come on, choose a photograph’, as she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digressed from the exercise (Burke, 2005: 34). The rhetoric of participation therefore risks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setting up norms of appropriate engagement by implying that children should ‘participate’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certain ways and not in others. There is nothing necessarily wrong with this as a didactic way of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deriving specific data from children, but it seems incompatible with Burke’s claims to have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‘empowered’ children as ‘researchers’.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In our own research projects, by contrast, some of the most fascinating insights have emerged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from children acting in unexpected ways: appropriating, resisting or manipulating our research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techniques for their own purposes. Taking a broadly ethnographic approach, our respective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projects were able to view such forms of action as potential data, rather than viewing them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negatively as instances of non-compliance. In the following section, we explore this in more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detail, drawing on some examples from our own experiences. We show how our projects were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shaped by the actions of the children involved in various ways, many of which fell outside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narrow scope of participation we had anticipated as novices entering the field.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Participation, appropriation and manipulation?</w:t>
      </w:r>
      <w:proofErr w:type="gramEnd"/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Our individual research projects have much in common: they we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re both ethnographic studies of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institutional environments for children, undertaken as students. Lesley’s research became her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undergraduate dissertation (Gallacher, 2002), while Mike’s more substantial project informed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both his master’s dissertation (Gallagher, 2001) and his doctoral thesis (Gallagher, 2005).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Lesley’s research explored the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sociospatial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relations of the ‘late-toddler’ room of a private day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nursery, in which children broadly in the age range of 2 to 3 years old were cared for. Mike’s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 looked at space and power in a Scottish state primary school, following a class from late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primary two (6 to 7 years old) to the middle of primary four (8 to 9 years old).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During Mike’s fieldwork, some of the children with whom he was working began to express 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interest in the notepad that he was using to make jottings. Mike hadn’t anticipated this but, like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Corsaro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Molinari (2000), he allowed them to read what he had written, and to write in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pad if they asked to do so. Mostly they wrote messages to Mike or insults about other children.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However, as his fieldwork progressed, the children became increasingly assertive about the pad,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sometimes taking it from him and refusing to return it, leaving him unable to record his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observations. In response, Mike tried to reassert control over the pad, leading to small power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struggles. These became connected to wider games of power within the classroom.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Lesley also encountered similar appropriations of her notepad. Th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e toddlers involved in Lesley’s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project could not yet read or write – indeed, many of them had li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ttle spoken language – but they </w:t>
      </w:r>
      <w:r w:rsidRPr="00C4448B">
        <w:rPr>
          <w:rFonts w:ascii="Gill Sans MT" w:hAnsi="Gill Sans MT" w:cs="Cochin"/>
          <w:color w:val="000000"/>
          <w:sz w:val="24"/>
          <w:szCs w:val="24"/>
        </w:rPr>
        <w:t>were fascinated by her notebook nevertheless. Many of the children were keen to look at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notebook, and to use Lesley’s pen to draw in it, often right on top of Lesley’s attempts at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notetaking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 Sometimes this artwork obscured the notes so much as to render them unreadable.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The children would also touch the notebook with paint-covered hands, leaving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painty</w:t>
      </w:r>
      <w:proofErr w:type="spell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fingerprints all over the notebook that stuck the pages together once the paint had dried,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they would accidentally – possibly purposefully – rip the pages as 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they looked through the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notebook.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The children in our projects not only appropriated our research tools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; they often appropriated us </w:t>
      </w:r>
      <w:r w:rsidRPr="00C4448B">
        <w:rPr>
          <w:rFonts w:ascii="Gill Sans MT" w:hAnsi="Gill Sans MT" w:cs="Cochin"/>
          <w:color w:val="000000"/>
          <w:sz w:val="24"/>
          <w:szCs w:val="24"/>
        </w:rPr>
        <w:t>too. Children would find all kinds of inventive ways to turn our presence in their classrooms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play areas to their advantage. We found ourselves used as play-things, props, or even stooges to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children’s activities. Early in his master’s research, Mike found himself cajoled into spending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playtimes and lunchtimes playing games with the children in the school playground. He would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have much preferred to stay in the quiet safety of the classroom particularly as the children took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advantage of his lack of physical fitness – Mike is asthmatic – to have him running after them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most of the time.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The children would also use us as a means to gain advantage over other children, or to get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around the school/nursery rules in various ways. In the nursery Lesley studied, the staff often sat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down on the floor with the children during story and song times. The nursery staff would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sometimes sit children on their laps during these times, both to offer reassurance and to keep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‘misbehaviour’ in check. Lesley would sit down on the carpet with the group during these times,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her lap became subject to ‘ownership’ struggles. Lesley would find herself sitting with her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legs crossed in front of her – ‘in a basket’ – with three children sitting on her lap, sometimes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more. The children spontaneously organized the use of Lesley among themselves, giving her very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little say in the matter.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In these examples, it is not clear to us that the children were consciously and intentionally taking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part in our respective projects, participating according to the model of agency outlined earlier.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However, they were clearly making use of us in various ways. In turn, we were able to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appropriate their activities as data for our own research. We could not have anticipated being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appropriated in these ways, and yet these incidents gave us rich insights into children’s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behaviour, their ways of exercising power and negotiating social relationships within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institutional spaces. Following de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Certeau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(1988), this process of mutual appropriation can be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seen not as the outcome of predetermined, prescriptive techniques, but as a spontaneous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unpredictable process of tactics, counter-tactics and ‘making do’.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Rethinking subjectivity: becoming and emergence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Understanding the engagement between children and researchers as an open</w:t>
      </w:r>
      <w:r w:rsidR="00FF5700">
        <w:rPr>
          <w:rFonts w:ascii="Gill Sans MT" w:hAnsi="Gill Sans MT" w:cs="Cochin"/>
          <w:color w:val="000000"/>
          <w:sz w:val="24"/>
          <w:szCs w:val="24"/>
        </w:rPr>
        <w:t>-</w:t>
      </w:r>
      <w:r w:rsidRPr="00C4448B">
        <w:rPr>
          <w:rFonts w:ascii="Gill Sans MT" w:hAnsi="Gill Sans MT" w:cs="Cochin"/>
          <w:color w:val="000000"/>
          <w:sz w:val="24"/>
          <w:szCs w:val="24"/>
        </w:rPr>
        <w:t>ended,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unpredictable process enables us to rethink the broadly Cartesian model of subjectivity,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introduced earlier in this article, in terms of becoming and emergence. Within the Cartesian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model, ‘agency’ and ‘intentionality’ are attributed to coherent, autonomous and identifiable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subjects – beings in their own right. This understanding of subjectivity underpins ‘new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paradigm’ childhood research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James, 1990). As a concept, ‘becoming’ has been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something of a casualty of the rejection of linear, predetermined and future-oriented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‘developmental’ frameworks within this movement. Indeed, the very notion of becoming has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been almost vilified. However, this conceptual move is increasingly problematic, particularly as it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seems to give childhood research a considerable ‘lag’ behind conceptual movements in the wider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humanities and social sciences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2005). The static and coherent model of subjectivity-as</w:t>
      </w:r>
      <w:r w:rsidR="00FF5700">
        <w:rPr>
          <w:rFonts w:ascii="Gill Sans MT" w:hAnsi="Gill Sans MT" w:cs="Cochin"/>
          <w:color w:val="000000"/>
          <w:sz w:val="24"/>
          <w:szCs w:val="24"/>
        </w:rPr>
        <w:t>-</w:t>
      </w:r>
      <w:r w:rsidRPr="00C4448B">
        <w:rPr>
          <w:rFonts w:ascii="Gill Sans MT" w:hAnsi="Gill Sans MT" w:cs="Cochin"/>
          <w:color w:val="000000"/>
          <w:sz w:val="24"/>
          <w:szCs w:val="24"/>
        </w:rPr>
        <w:t>being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makes it difficult to think through children’s insistent and strikingly apparent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changeability. Yet becoming need not be tied, as in traditional developmental psychology, to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normative sequence of stages. We think that it is possible to reject predetermination without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simultaneously ruling out change. To conceive of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process without predetermination</w:t>
      </w:r>
      <w:r w:rsidR="00FF5700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is to engage children in the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present continuous </w:t>
      </w:r>
      <w:r w:rsidRPr="00C4448B">
        <w:rPr>
          <w:rFonts w:ascii="Gill Sans MT" w:hAnsi="Gill Sans MT" w:cs="Cochin"/>
          <w:color w:val="000000"/>
          <w:sz w:val="24"/>
          <w:szCs w:val="24"/>
        </w:rPr>
        <w:t>tense. This, however, requires something of 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ontological shift.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We, therefore, propose an emergent, constitutionally unfinished, ‘almost-not-quite’ ontology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(following Thrift, 1996). Rather than seeing actions as produced by the conscious intentions of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pre-existing subjects, we would suggest the reverse: that subjectivity is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performatively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produced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through the continuous unfolding of action. As Nietzsche argued, ‘there is no “being” behind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deed . . . “the doer” is invented as an afterthought’ (1994: 28). This allows us to think in terms of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 minimal and emergent subjectivity in becoming. To think in terms of ‘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becomings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’ is to reject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understandings of humans – adults and children – as singular, autonomous agents: identifiable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subjects imbued with agency. In this vein, John Wylie (2006) has argued for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heteronymic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emergent subject, such that the self is not simply multiple, but also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depersonalized. This might initially seem to be a strange claim. </w:t>
      </w: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 xml:space="preserve">However, Gilles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Felix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Guattari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(1994) conceive of an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immanent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field of relations between impersonal forces from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which subjects continually emerge in the course of events. The subject emerges in a continuous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process of personalizing these forces, which are enacted and assembled in the course of events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(Dewsbury et al., 2002). It is on this basis that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can claim that ‘[s]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ubjectification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isn’t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anything to do with a “person”: it’s a specific collective individuation relating to an event’ (1995: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99).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However, while events are impersonal, they are not asocial. On the contrary, the immanent field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of emergence is open-endedly social, but this sociality is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ontogenetic</w:t>
      </w:r>
      <w:r w:rsidRPr="00C4448B">
        <w:rPr>
          <w:rFonts w:ascii="Gill Sans MT" w:hAnsi="Gill Sans MT" w:cs="Cochin"/>
          <w:color w:val="000000"/>
          <w:sz w:val="24"/>
          <w:szCs w:val="24"/>
        </w:rPr>
        <w:t>. That is, it is social in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manner that is prior to the separating out of individuals and identifiable subjects. As Brian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Massumi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argues, this is ‘“pure” sociality . . . interaction-in the-making . . . relation’ (2002: 9).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These ideas are useful because they enable the world to be conceived in terms of difference,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rather than identity.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(1994) has argued that, in proceeding through judgement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analogy, ‘representational thought’ can think nothing other than stasis and identity. Instead, 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endeavours to think of the world as in process, always-already underway. For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‘difference’ is nothing more than the becoming-otherwise of the world. Thinking of difference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this way is to view the world not as a collection of autonomous, self-contained subjects possessed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of both agency and knowledge, but as a plethora of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events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– actions and interactions from which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both subjects and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knowledges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emerge.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In this way, knowledge is thoroughly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relational.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Relatio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nal epistemologies are now well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established in the feminist literature (in particular, see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Haraway</w:t>
      </w:r>
      <w:proofErr w:type="spell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, 1991), where </w:t>
      </w:r>
      <w:proofErr w:type="spellStart"/>
      <w:r w:rsidR="00FF5700">
        <w:rPr>
          <w:rFonts w:ascii="Gill Sans MT" w:hAnsi="Gill Sans MT" w:cs="Cochin"/>
          <w:color w:val="000000"/>
          <w:sz w:val="24"/>
          <w:szCs w:val="24"/>
        </w:rPr>
        <w:t>relationality</w:t>
      </w:r>
      <w:proofErr w:type="spell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is </w:t>
      </w:r>
      <w:r w:rsidRPr="00C4448B">
        <w:rPr>
          <w:rFonts w:ascii="Gill Sans MT" w:hAnsi="Gill Sans MT" w:cs="Cochin"/>
          <w:color w:val="000000"/>
          <w:sz w:val="24"/>
          <w:szCs w:val="24"/>
        </w:rPr>
        <w:t>more often mobilized in terms of narrative co-construction within 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thnographic studies (e.g. Ellis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Berger, 2003). Some aspects of this type of epistemology are also beginning to filter into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childhood studies literature, with Jacqui Cousins (1999) and Berry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Mayall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(2000) both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advocating a conversational approach to research involving children. In this respect, Penny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Lancaster and Vanessa Broadbent (2003) argue that children should be approached as experts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their own lives, but not the only experts. We would go further and abandon the very notion of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‘expertise’. As emergent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becomings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– always-unfinished subjects-in-the-making – humans cannot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claim to be experts: to be fully knowing, competent and rational. In the final section of our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article, we examine what this might mean for researchers and their methodologies.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Immaturity and vulnerability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We have now moved from notions of ‘participation’, ‘agency’ and ‘intention’ to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a</w:t>
      </w:r>
      <w:r w:rsidR="00FF5700">
        <w:rPr>
          <w:rFonts w:ascii="Gill Sans MT" w:hAnsi="Gill Sans MT" w:cs="Cochin"/>
          <w:color w:val="000000"/>
          <w:sz w:val="24"/>
          <w:szCs w:val="24"/>
        </w:rPr>
        <w:t>n ontology</w:t>
      </w:r>
      <w:proofErr w:type="gramEnd"/>
      <w:r w:rsidR="00FF5700">
        <w:rPr>
          <w:rFonts w:ascii="Gill Sans MT" w:hAnsi="Gill Sans MT" w:cs="Cochin"/>
          <w:color w:val="000000"/>
          <w:sz w:val="24"/>
          <w:szCs w:val="24"/>
        </w:rPr>
        <w:t xml:space="preserve"> of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‘emergence’, ‘becoming’ and ‘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inexpertise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’. It strikes us that this is less a question of methods or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techniques than of attitude. Thus, we want to offer suggestions for a particular attitude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research: an attitude of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methodological immaturity</w:t>
      </w:r>
      <w:r w:rsidRPr="00C4448B">
        <w:rPr>
          <w:rFonts w:ascii="Gill Sans MT" w:hAnsi="Gill Sans MT" w:cs="Cochin"/>
          <w:color w:val="000000"/>
          <w:sz w:val="24"/>
          <w:szCs w:val="24"/>
        </w:rPr>
        <w:t>. In this, we are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following both Nick Lee (2001)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John Horton (2001) in seeking a critical rehabilitation of the concept of ‘immaturity’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childhood research. Like ‘becoming’, ‘immaturity’ has been largely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sidelined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in ‘new paradigm’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childhood research, viewed as an unhelpful product of the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hierarchization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of the adult–child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binary. Yet, within the ontological framework suggested earlier, the distinction between maturity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and immaturity becomes as irrelevant as that between being and becoming. If all being 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becoming, then ‘we’ are all constitutionally immature – and this is not to be seen negatively,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something lacking, but rather in terms of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potential</w:t>
      </w:r>
      <w:r w:rsidRPr="00C4448B">
        <w:rPr>
          <w:rFonts w:ascii="Gill Sans MT" w:hAnsi="Gill Sans MT" w:cs="Cochin"/>
          <w:color w:val="000000"/>
          <w:sz w:val="24"/>
          <w:szCs w:val="24"/>
        </w:rPr>
        <w:t>. In emphasizing (inter)dependence,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incompetence, incompleteness and vulnerability, the concept of immaturity begins to (re)position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social research – and life more generally – as a necessarily complex, incomplete and messy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process. It asks for a little humility: ‘we’ are all </w:t>
      </w: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fallible: imperfect and naive, learning and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changing; ‘immature’ rather than fully formed, rational, competent and autonomous agents.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Such an attitude has some potential to undermine dualistic noti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ons of powerful researchers and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vulnerable participants, competent adults and incompetent children. As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Corsaro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Molinari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(2000) point out, adults are often ignorant novices in children’s environments. In contrast to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dominant image of the academic as expert, the very status of the researcher as seeking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knowledge suggests a position of incompleteness and immaturity. If researchers were fully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mature, they would know all the answers; and if they knew all the answers, there would be no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need for research. It seems to us that, if research is to achieve anything, it should proceed from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position of ignorance. For us, research is fundamentally a process of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muddling through</w:t>
      </w:r>
      <w:r w:rsidRPr="00C4448B">
        <w:rPr>
          <w:rFonts w:ascii="Gill Sans MT" w:hAnsi="Gill Sans MT" w:cs="Cochin"/>
          <w:color w:val="000000"/>
          <w:sz w:val="24"/>
          <w:szCs w:val="24"/>
        </w:rPr>
        <w:t>, sometimes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feeling lost and out of place, asking stupid questions, being corrected and having our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preconceptions destroyed. In this way, we cannot deny our incompetence and vulnerabilities: our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immaturity. And we do not want to.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It is not quite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so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simple as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choosing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or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cultivating </w:t>
      </w:r>
      <w:r w:rsidRPr="00C4448B">
        <w:rPr>
          <w:rFonts w:ascii="Gill Sans MT" w:hAnsi="Gill Sans MT" w:cs="Cochin"/>
          <w:color w:val="000000"/>
          <w:sz w:val="24"/>
          <w:szCs w:val="24"/>
        </w:rPr>
        <w:t>immaturity or vulnerability, however. Paul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Harrison (2008) argues that it is difficult to apprehend vulnerability other than as a failing,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weakness, or a misfortune – a contingency that should be solved, overcome and eliminated.</w:t>
      </w: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Inside a Cartesian framework of intentional, auto-affective subjectivity, it is difficult to view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passivity and exposure of vulnerability in any other way. This enables us to return to thinking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about what ‘passive participation’ might mean. The emphasis in the childhood literature is upon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promoting ‘active participation’, but we think that abandoning all ‘passive participation’ in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favour of only that which is insistently and obviously active could be counterproductive.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Harrison argues that dominant ‘western’ traditions of thought urge us towards action. However,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to be vulnerable is to be passive, susceptible and exposed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– it is to </w:t>
      </w:r>
      <w:r w:rsidRPr="00C4448B">
        <w:rPr>
          <w:rFonts w:ascii="Gill Sans MT" w:hAnsi="Gill Sans MT" w:cs="Cochin"/>
          <w:color w:val="000000"/>
          <w:sz w:val="24"/>
          <w:szCs w:val="24"/>
        </w:rPr>
        <w:t>be without guarantee: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FF5700">
      <w:pPr>
        <w:autoSpaceDE w:val="0"/>
        <w:autoSpaceDN w:val="0"/>
        <w:adjustRightInd w:val="0"/>
        <w:spacing w:after="0" w:line="240" w:lineRule="auto"/>
        <w:ind w:left="720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Vulnerability cannot be willed, chosen, cultivated or honed 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and neither, therefore, does it </w:t>
      </w:r>
      <w:r w:rsidRPr="00C4448B">
        <w:rPr>
          <w:rFonts w:ascii="Gill Sans MT" w:hAnsi="Gill Sans MT" w:cs="Cochin"/>
          <w:color w:val="000000"/>
          <w:sz w:val="24"/>
          <w:szCs w:val="24"/>
        </w:rPr>
        <w:t>necessarily or even primarily denote a weakness or a misfortune, rather it describes the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inherent and contingent susceptibility of corporeal life to 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he unchosen and the unforeseen, </w:t>
      </w:r>
      <w:r w:rsidRPr="00C4448B">
        <w:rPr>
          <w:rFonts w:ascii="Gill Sans MT" w:hAnsi="Gill Sans MT" w:cs="Cochin"/>
          <w:color w:val="000000"/>
          <w:sz w:val="24"/>
          <w:szCs w:val="24"/>
        </w:rPr>
        <w:t>its inherent openness to what exceeds its abilities to conta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in and absorb. (Harrison, 2008: </w:t>
      </w:r>
      <w:r w:rsidRPr="00C4448B">
        <w:rPr>
          <w:rFonts w:ascii="Gill Sans MT" w:hAnsi="Gill Sans MT" w:cs="Cochin"/>
          <w:color w:val="000000"/>
          <w:sz w:val="24"/>
          <w:szCs w:val="24"/>
        </w:rPr>
        <w:t>427)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In this sense, the strange phrase ‘passive participation’ may help to remind us of our immaturity,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vulnerability and fallibility.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To think of an emergent subjectivity is to emphasize process over p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roduct; it is to think in terms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of continual means without end (see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Agamben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2000). These means cannot be reduced to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codified rules and techniques. We therefore join Derek McCormack (2003) in arguing for 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apprehension of the world not as a series of sites from which we can extract meaning, but as a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field of practices and processes through which we might engage with potential and think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differently. In attending to the transformative potential of events, ‘we’ might shift our ethical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burden from individual subjects towards events. In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Deleuze’s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terms, such an ethics demands that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we become worthy of events in all their singularity, rather than seeking to close them off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1995). We might then begin to think of research as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experimentation</w:t>
      </w:r>
      <w:r w:rsidRPr="00C4448B">
        <w:rPr>
          <w:rFonts w:ascii="Gill Sans MT" w:hAnsi="Gill Sans MT" w:cs="Cochin"/>
          <w:color w:val="000000"/>
          <w:sz w:val="24"/>
          <w:szCs w:val="24"/>
        </w:rPr>
        <w:t>. Researchers are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not simply reporting a world that exists ‘out-there’, but are creating and experimenting with an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emergent one. Brian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Massumi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(2002: 19) refers to the unpredictability of such experimentation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as ‘creative contagion’: we cannot rely on the </w:t>
      </w: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>application of a technique; instead we must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innovate, adapt, improvise and invent. It seems to us that this immature attitude of creative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experimentation might be in keeping with the general tone, if not the letter, of the current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interest in ‘participatory methods’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within childhood studies.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Conclusion: an immature methodology</w:t>
      </w:r>
    </w:p>
    <w:p w:rsidR="00FF5700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Perhaps, despite its title, this has not been an article about me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thods. We are not interested in </w:t>
      </w:r>
      <w:r w:rsidRPr="00C4448B">
        <w:rPr>
          <w:rFonts w:ascii="Gill Sans MT" w:hAnsi="Gill Sans MT" w:cs="Cochin"/>
          <w:color w:val="000000"/>
          <w:sz w:val="24"/>
          <w:szCs w:val="24"/>
        </w:rPr>
        <w:t>advising on or refining specific techniques. Our ai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m here has been to open up some </w:t>
      </w:r>
      <w:r w:rsidRPr="00C4448B">
        <w:rPr>
          <w:rFonts w:ascii="Gill Sans MT" w:hAnsi="Gill Sans MT" w:cs="Cochin"/>
          <w:color w:val="000000"/>
          <w:sz w:val="24"/>
          <w:szCs w:val="24"/>
        </w:rPr>
        <w:t>methodological discussion. We are concerned that participatory methods are in danger of being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seen as a ‘fool-proof’ technology that – when applied carefully and conscientiously – will enable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research involving children to achieve ethical and epistemological validity. Yet, participatory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methods are no less problematic, or ethically ambiguous, than any other research method. In this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article, we have not been arguing against participatory methods as such – we have no particular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issue with researchers asking children to draw, dance or build – we are simply concerned that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such methods are not used naively.</w:t>
      </w:r>
    </w:p>
    <w:p w:rsidR="00FF5700" w:rsidRPr="00C4448B" w:rsidRDefault="00FF5700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We do not believe that participatory techniques are inherently any better, or worse, than any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other research method. They are not objectively ‘right’: an epistemological and ethical panacea.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For us, what matters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is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not so much the methods used, but the ways and the spirit in which they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are used: the methodological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attitude </w:t>
      </w:r>
      <w:r w:rsidRPr="00C4448B">
        <w:rPr>
          <w:rFonts w:ascii="Gill Sans MT" w:hAnsi="Gill Sans MT" w:cs="Cochin"/>
          <w:color w:val="000000"/>
          <w:sz w:val="24"/>
          <w:szCs w:val="24"/>
        </w:rPr>
        <w:t>taken. Good research practice cannot be reduced to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ingenious techniques, planned in advance and carefully applied. Research is inherently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unpredictable: the best laid plans are liable to go awry. Methodological immaturity privileges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open-ended process over predefined technique. It does not aim to discover or uncover a 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pre-existing </w:t>
      </w:r>
      <w:r w:rsidRPr="00C4448B">
        <w:rPr>
          <w:rFonts w:ascii="Gill Sans MT" w:hAnsi="Gill Sans MT" w:cs="Cochin"/>
          <w:color w:val="000000"/>
          <w:sz w:val="24"/>
          <w:szCs w:val="24"/>
        </w:rPr>
        <w:t>world, offering instead experimentation, innovation and ‘making do’. While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‘participation’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may seem laudable, it cannot, and does not, deliver all that it promises – perhaps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simply because, in the face of the persistent unpredictability of the social world, it tries to offer</w:t>
      </w:r>
      <w:r w:rsidR="00FF5700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some kind of guarantee.</w:t>
      </w:r>
    </w:p>
    <w:p w:rsidR="00E130D2" w:rsidRDefault="00E130D2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enturyGothic-Bold"/>
          <w:b/>
          <w:bCs/>
          <w:color w:val="000000"/>
          <w:sz w:val="24"/>
          <w:szCs w:val="24"/>
        </w:rPr>
      </w:pPr>
      <w:r w:rsidRPr="00C4448B">
        <w:rPr>
          <w:rFonts w:ascii="Gill Sans MT" w:hAnsi="Gill Sans MT" w:cs="CenturyGothic-Bold"/>
          <w:b/>
          <w:bCs/>
          <w:color w:val="000000"/>
          <w:sz w:val="24"/>
          <w:szCs w:val="24"/>
        </w:rPr>
        <w:t>References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Agamben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G. (2000)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Means without End: Notes on Politics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trans. V.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Binetti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C.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Casarino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Minneapolis, MN: University of Minnesota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Alderson, P. (1995)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Listening to Children: Children, Ethics and Social Research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. Ilford: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Barnados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Barker, J. and S. Weller (2003) ‘“Is it Fun?” Developing Child-Centred Research Methods’,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International Journal of Sociology and Social Policy </w:t>
      </w:r>
      <w:r w:rsidRPr="00C4448B">
        <w:rPr>
          <w:rFonts w:ascii="Gill Sans MT" w:hAnsi="Gill Sans MT" w:cs="Cochin"/>
          <w:color w:val="000000"/>
          <w:sz w:val="24"/>
          <w:szCs w:val="24"/>
        </w:rPr>
        <w:t>23(1): 33–58.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Burke, C. (2005) ‘“Play in Focus”: Children Researching Their Own Spaces and Places for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Play’,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Children, Youth, Environments </w:t>
      </w:r>
      <w:r w:rsidRPr="00C4448B">
        <w:rPr>
          <w:rFonts w:ascii="Gill Sans MT" w:hAnsi="Gill Sans MT" w:cs="Cochin"/>
          <w:color w:val="000000"/>
          <w:sz w:val="24"/>
          <w:szCs w:val="24"/>
        </w:rPr>
        <w:t>15(1): 27–53.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Cahill, C. (2004) ‘Defying Gravity? Raising Consciousness through Collective Research’,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Children’s Geographies </w:t>
      </w:r>
      <w:r w:rsidRPr="00C4448B">
        <w:rPr>
          <w:rFonts w:ascii="Gill Sans MT" w:hAnsi="Gill Sans MT" w:cs="Cochin"/>
          <w:color w:val="000000"/>
          <w:sz w:val="24"/>
          <w:szCs w:val="24"/>
        </w:rPr>
        <w:t>2(2): 273–86.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Cairns, L. (2001) ‘Investing in Children: Learning How to Promo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te the Rights of all Children’,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 and Society </w:t>
      </w:r>
      <w:r w:rsidRPr="00C4448B">
        <w:rPr>
          <w:rFonts w:ascii="Gill Sans MT" w:hAnsi="Gill Sans MT" w:cs="Cochin"/>
          <w:color w:val="000000"/>
          <w:sz w:val="24"/>
          <w:szCs w:val="24"/>
        </w:rPr>
        <w:t>15: 347–60.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Christensen, P. and A.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(2002) ‘Working with Ethical Symmetry in Social Research with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Children’,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9(4): 477–97.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Clark, A. and P. Moss (2001)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Listening to Young Children: The Mosaic Approach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National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Children’s Bureau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Cooke, B. and U. Kothari (2001) ‘The Case for Participation as Tyranny’, in B. Cooke and U.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Kothari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Participation: the New Tyranny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?,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pp. 1–15. London: Zed Books.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Corsaro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W.A. and L. Molinari (2000) ‘Entering and Observing in Children’s Worlds: A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Reflection on a Longitudinal Ethnography of Early Education in Italy’, in P. Christensen and A.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James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Research with Children: Perspectives and Practices</w:t>
      </w:r>
      <w:r w:rsidRPr="00C4448B">
        <w:rPr>
          <w:rFonts w:ascii="Gill Sans MT" w:hAnsi="Gill Sans MT" w:cs="Cochin"/>
          <w:color w:val="000000"/>
          <w:sz w:val="24"/>
          <w:szCs w:val="24"/>
        </w:rPr>
        <w:t>, pp. 179–200.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lastRenderedPageBreak/>
        <w:t xml:space="preserve">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Falmer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Cousins, J. (1999)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Listening to Four Year Olds: How They Can Help Us to Plan Their Education and</w:t>
      </w:r>
      <w:r w:rsidR="00E130D2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Care. </w:t>
      </w:r>
      <w:r w:rsidRPr="00C4448B">
        <w:rPr>
          <w:rFonts w:ascii="Gill Sans MT" w:hAnsi="Gill Sans MT" w:cs="Cochin"/>
          <w:color w:val="000000"/>
          <w:sz w:val="24"/>
          <w:szCs w:val="24"/>
        </w:rPr>
        <w:t>London: The Early Years Network.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David, M., R. Edwards and P.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Alldred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(2001) ‘Children and S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chool-Based Research: “Informed </w:t>
      </w:r>
      <w:r w:rsidRPr="00C4448B">
        <w:rPr>
          <w:rFonts w:ascii="Gill Sans MT" w:hAnsi="Gill Sans MT" w:cs="Cochin"/>
          <w:color w:val="000000"/>
          <w:sz w:val="24"/>
          <w:szCs w:val="24"/>
        </w:rPr>
        <w:t>Consent” or “Educated Consent”?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’,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British Educational Research Journal </w:t>
      </w:r>
      <w:r w:rsidRPr="00C4448B">
        <w:rPr>
          <w:rFonts w:ascii="Gill Sans MT" w:hAnsi="Gill Sans MT" w:cs="Cochin"/>
          <w:color w:val="000000"/>
          <w:sz w:val="24"/>
          <w:szCs w:val="24"/>
        </w:rPr>
        <w:t>27(1): 347–65.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De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Certeau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M. (1988)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Practice of Everyday Life</w:t>
      </w:r>
      <w:r w:rsidRPr="00C4448B">
        <w:rPr>
          <w:rFonts w:ascii="Gill Sans MT" w:hAnsi="Gill Sans MT" w:cs="Cochin"/>
          <w:color w:val="000000"/>
          <w:sz w:val="24"/>
          <w:szCs w:val="24"/>
        </w:rPr>
        <w:t>. Berkeley, CA: University of California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G. (1994)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Difference and Repetition</w:t>
      </w:r>
      <w:r w:rsidRPr="00C4448B">
        <w:rPr>
          <w:rFonts w:ascii="Gill Sans MT" w:hAnsi="Gill Sans MT" w:cs="Cochin"/>
          <w:color w:val="000000"/>
          <w:sz w:val="24"/>
          <w:szCs w:val="24"/>
        </w:rPr>
        <w:t>, trans. P. Patton.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London: Continuum.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G. (1995)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Negotiations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trans. M.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Joughin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New York: Colombia University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Deleuze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G. and F.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Guattari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(1994)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What is Philosophy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?</w:t>
      </w:r>
      <w:r w:rsidRPr="00C4448B">
        <w:rPr>
          <w:rFonts w:ascii="Gill Sans MT" w:hAnsi="Gill Sans MT" w:cs="Cochin"/>
          <w:color w:val="000000"/>
          <w:sz w:val="24"/>
          <w:szCs w:val="24"/>
        </w:rPr>
        <w:t>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trans. H. Tomlinson and G.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Burchill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London: Verso.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Dewsbury, J.-D., P. Harrison, M. Rose and J. Wylie (2002) ‘Introduction: Enacting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Geographies’, </w:t>
      </w:r>
      <w:proofErr w:type="spell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Geoforum</w:t>
      </w:r>
      <w:proofErr w:type="spell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33: 437–40.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Edwards, C., L.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Gandini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G. Forman (1998)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Hundred Languages of Children: The Reggio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Emilia Approach – Advanced Reflections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2nd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edn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. 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Ablex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Ellis, C. and L. Berger (2003) ‘Their Story/My Story/Our Story’, in J.F.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Gubrium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J.A.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Holstein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Postmodern Interviewing</w:t>
      </w:r>
      <w:r w:rsidRPr="00C4448B">
        <w:rPr>
          <w:rFonts w:ascii="Gill Sans MT" w:hAnsi="Gill Sans MT" w:cs="Cochin"/>
          <w:color w:val="000000"/>
          <w:sz w:val="24"/>
          <w:szCs w:val="24"/>
        </w:rPr>
        <w:t>, pp. 157–83. London: Sage.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Foucault, M. (1977)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Discipline and Punish: The Birth of the Prison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Allen Lane.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Foucault, M. (1978)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History of Sexuality, Volume 1: An Introduction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Hammondsworth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: Penguin.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Foucault, M. (1989)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Order of Things: An Archaeology of the Human Sciences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Gallacher, L.-A.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(2002) ‘“The Terrible Twos”: A Social Geography of Childcare’, unpublished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MA(</w:t>
      </w:r>
      <w:proofErr w:type="spellStart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Hons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) dissertation, University of Glasgow.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Gallacher, L.-A.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(2005) ‘“The Terrible Twos”: Gaining Control in the Nursery?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’,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Children’s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Geographies </w:t>
      </w:r>
      <w:r w:rsidRPr="00C4448B">
        <w:rPr>
          <w:rFonts w:ascii="Gill Sans MT" w:hAnsi="Gill Sans MT" w:cs="Cochin"/>
          <w:color w:val="000000"/>
          <w:sz w:val="24"/>
          <w:szCs w:val="24"/>
        </w:rPr>
        <w:t>3(2): 243–64.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Gallagher, M. (2001) ‘“This Classroom’s Like a Kitchen – Wherever You Stand, it’s the Wrong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Place!” Spaces of Learning and Inclusion in Primary School’, unpublished MSc dissertation,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University of Edinburgh.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Gallagher, M. (2005) ‘Producing the Schooled Subject: Techniques of Power in a Primary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School’, unpublished PhD thesis, The University of Edinburgh.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Gallagher, M. (2006) ‘Spaces of Participation and Inclusion?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’,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in E.K.M.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Tisdall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J.M. Davis,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M. Hill and A.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) Children, Young People and Social Inclusion: Participation for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What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?,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pp. 159–78. Bristol: Policy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Gallagher, M. (2008) ‘“Power is not an Evil”: Rethinking Power in Participatory Methods’,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Children’s Geographies </w:t>
      </w:r>
      <w:r w:rsidRPr="00C4448B">
        <w:rPr>
          <w:rFonts w:ascii="Gill Sans MT" w:hAnsi="Gill Sans MT" w:cs="Cochin"/>
          <w:color w:val="000000"/>
          <w:sz w:val="24"/>
          <w:szCs w:val="24"/>
        </w:rPr>
        <w:t>6(2): 137–50.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Greenfield, C. (2004) ‘Transcript: “Can Run, Play on Bikes, Jump on the Zoom Slide, and Play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on the Swings”; Exploring the Value of Outdoor Play’,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Australian Journal of Early 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29(2):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1–5.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Grover, S. (2004) ‘Why Won’t They Listen To Us? On Giving Power and Voice to Children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Participating in Social Research’,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11(1): 81–93.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Haraway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D. (1991)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Simians, cyborgs, and women: the reinvention of nature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Harrison, P. (2008) ‘Corporeal Remains: Vulnerability, Proximity, and Living-On after the End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of the World’,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Environment and Planning A </w:t>
      </w:r>
      <w:r w:rsidRPr="00C4448B">
        <w:rPr>
          <w:rFonts w:ascii="Gill Sans MT" w:hAnsi="Gill Sans MT" w:cs="Cochin"/>
          <w:color w:val="000000"/>
          <w:sz w:val="24"/>
          <w:szCs w:val="24"/>
        </w:rPr>
        <w:t>40: 423–45.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Hart, R. (1997)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Children’s Participation: The Theory and Practice of Involving Young Citizens in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Community Development and Environmental Care</w:t>
      </w:r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Earthscan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Holloway, S.L. and G. Valentine (2000) ‘Children’s Geographies and the New Social Studies of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Childhood’, in S.L. Holloway and G. Valentine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Children’s Geographies: Playing, Living,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lastRenderedPageBreak/>
        <w:t>Learning</w:t>
      </w:r>
      <w:r w:rsidRPr="00C4448B">
        <w:rPr>
          <w:rFonts w:ascii="Gill Sans MT" w:hAnsi="Gill Sans MT" w:cs="Cochin"/>
          <w:color w:val="000000"/>
          <w:sz w:val="24"/>
          <w:szCs w:val="24"/>
        </w:rPr>
        <w:t>, pp. 1–26. 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Horton, J. (2001) ‘“Do You Get Some Funny Looks When You Tell People What You Do?’’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Muddling through some Angsts and Ethics of (Being a Male) Researching with Children’,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Ethics,</w:t>
      </w:r>
      <w:r w:rsidR="00E130D2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Place and Environment </w:t>
      </w:r>
      <w:r w:rsidRPr="00C4448B">
        <w:rPr>
          <w:rFonts w:ascii="Gill Sans MT" w:hAnsi="Gill Sans MT" w:cs="Cochin"/>
          <w:color w:val="000000"/>
          <w:sz w:val="24"/>
          <w:szCs w:val="24"/>
        </w:rPr>
        <w:t>4(2): 159–66.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James, A., C. Jenks and A.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(1998)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Theorising Childhood</w:t>
      </w:r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Cambridge: Polity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Jenks, C. (1996)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Childhood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Jones, O. (2000) ‘Melting Geography: Purity, Disorder, Childhood and Space’, in S.L.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Holloway and G. Valentine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Children’s Geographies: Playing, Living, Learning</w:t>
      </w:r>
      <w:r w:rsidRPr="00C4448B">
        <w:rPr>
          <w:rFonts w:ascii="Gill Sans MT" w:hAnsi="Gill Sans MT" w:cs="Cochin"/>
          <w:color w:val="000000"/>
          <w:sz w:val="24"/>
          <w:szCs w:val="24"/>
        </w:rPr>
        <w:t>, pp. 29–47.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Jones, O. (2001) ‘“Before the Dark of Reason”: Some Ethical and Epistemological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Considerations on the Otherness of Children’,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Ethics, Place and Environment </w:t>
      </w:r>
      <w:r w:rsidRPr="00C4448B">
        <w:rPr>
          <w:rFonts w:ascii="Gill Sans MT" w:hAnsi="Gill Sans MT" w:cs="Cochin"/>
          <w:color w:val="000000"/>
          <w:sz w:val="24"/>
          <w:szCs w:val="24"/>
        </w:rPr>
        <w:t>4(2): 173–8.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Kellett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M., R. Forrest, N. Dent and S. Ward (2004)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‘ “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Just Teach us the Skills Please, We’ll Do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the Rest”: Empowering Ten-Year-Olds as Researchers’,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 and Society </w:t>
      </w:r>
      <w:r w:rsidRPr="00C4448B">
        <w:rPr>
          <w:rFonts w:ascii="Gill Sans MT" w:hAnsi="Gill Sans MT" w:cs="Cochin"/>
          <w:color w:val="000000"/>
          <w:sz w:val="24"/>
          <w:szCs w:val="24"/>
        </w:rPr>
        <w:t>18: 329–43.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Kesby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M. (2000) ‘Participatory Diagramming: Deploying Qualitative Methods Through an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Action Research Methodology’,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Area </w:t>
      </w:r>
      <w:r w:rsidRPr="00C4448B">
        <w:rPr>
          <w:rFonts w:ascii="Gill Sans MT" w:hAnsi="Gill Sans MT" w:cs="Cochin"/>
          <w:color w:val="000000"/>
          <w:sz w:val="24"/>
          <w:szCs w:val="24"/>
        </w:rPr>
        <w:t>32(4): 423–35.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Lancaster, Y.P. and V. Broadbent (2003)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Listening to Young Children</w:t>
      </w:r>
      <w:r w:rsidRPr="00C4448B">
        <w:rPr>
          <w:rFonts w:ascii="Gill Sans MT" w:hAnsi="Gill Sans MT" w:cs="Cochin"/>
          <w:color w:val="000000"/>
          <w:sz w:val="24"/>
          <w:szCs w:val="24"/>
        </w:rPr>
        <w:t>. Maidenhead: Open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University Press.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Leavitt, J., T.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Lingafelter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and C.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Morello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(1998) ‘Through their Eyes: Young Girls Look at their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Los Angeles Neighbourhood’, in R.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Ainley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(ed.)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New Frontiers of Space, Bodies and Gender</w:t>
      </w:r>
      <w:r w:rsidRPr="00C4448B">
        <w:rPr>
          <w:rFonts w:ascii="Gill Sans MT" w:hAnsi="Gill Sans MT" w:cs="Cochin"/>
          <w:color w:val="000000"/>
          <w:sz w:val="24"/>
          <w:szCs w:val="24"/>
        </w:rPr>
        <w:t>, pp. 76–87. London: Routledge.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Lee, N. (2001)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Childhood and Society: Growing up in an Age of Uncertainty</w:t>
      </w:r>
      <w:r w:rsidRPr="00C4448B">
        <w:rPr>
          <w:rFonts w:ascii="Gill Sans MT" w:hAnsi="Gill Sans MT" w:cs="Cochin"/>
          <w:color w:val="000000"/>
          <w:sz w:val="24"/>
          <w:szCs w:val="24"/>
        </w:rPr>
        <w:t>. Buckingham: Open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University Press.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Lorimer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H. (2005) ‘Cultural Geography: The Busyness of Being “More-than-Representational’’’,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Progress in Human Geography </w:t>
      </w:r>
      <w:r w:rsidRPr="00C4448B">
        <w:rPr>
          <w:rFonts w:ascii="Gill Sans MT" w:hAnsi="Gill Sans MT" w:cs="Cochin"/>
          <w:color w:val="000000"/>
          <w:sz w:val="24"/>
          <w:szCs w:val="24"/>
        </w:rPr>
        <w:t>29(1): 83–94.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MacNaughton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G. (2003)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Shaping Early Childhood: Learners, Curriculum and Contexts</w:t>
      </w:r>
      <w:r w:rsidRPr="00C4448B">
        <w:rPr>
          <w:rFonts w:ascii="Gill Sans MT" w:hAnsi="Gill Sans MT" w:cs="Cochin"/>
          <w:color w:val="000000"/>
          <w:sz w:val="24"/>
          <w:szCs w:val="24"/>
        </w:rPr>
        <w:t>. Buckingham: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Open University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Malaguzzi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L. (1993) ‘For an Education Based on Relationships’,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Young Children </w:t>
      </w:r>
      <w:r w:rsidRPr="00C4448B">
        <w:rPr>
          <w:rFonts w:ascii="Gill Sans MT" w:hAnsi="Gill Sans MT" w:cs="Cochin"/>
          <w:color w:val="000000"/>
          <w:sz w:val="24"/>
          <w:szCs w:val="24"/>
        </w:rPr>
        <w:t>November: 9–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13.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Massumi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B. (2002)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Parables for the Virtual: Movement, Affect, Sensation</w:t>
      </w:r>
      <w:r w:rsidRPr="00C4448B">
        <w:rPr>
          <w:rFonts w:ascii="Gill Sans MT" w:hAnsi="Gill Sans MT" w:cs="Cochin"/>
          <w:color w:val="000000"/>
          <w:sz w:val="24"/>
          <w:szCs w:val="24"/>
        </w:rPr>
        <w:t>. London: Duke University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Mayall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B. (2000) ‘Conversations with Children: Working with Generational Tensions’, in P.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Christensen and A. James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Research with Children: Perspectives and Practices, </w:t>
      </w:r>
      <w:r w:rsidRPr="00C4448B">
        <w:rPr>
          <w:rFonts w:ascii="Gill Sans MT" w:hAnsi="Gill Sans MT" w:cs="Cochin"/>
          <w:color w:val="000000"/>
          <w:sz w:val="24"/>
          <w:szCs w:val="24"/>
        </w:rPr>
        <w:t>pp. 120–35.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Falmer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Mayall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B. (2002)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Towards a Sociology for Childhood: Thinking from Children’s Lives</w:t>
      </w:r>
      <w:r w:rsidRPr="00C4448B">
        <w:rPr>
          <w:rFonts w:ascii="Gill Sans MT" w:hAnsi="Gill Sans MT" w:cs="Cochin"/>
          <w:color w:val="000000"/>
          <w:sz w:val="24"/>
          <w:szCs w:val="24"/>
        </w:rPr>
        <w:t>. Buckingham: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Open University Press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McCormack, D.P. (2003) ‘An Event of Geographical Ethics in Spaces of Affect’,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Transactions of</w:t>
      </w:r>
      <w:r w:rsidR="00E130D2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the Institute of British Geographers </w:t>
      </w:r>
      <w:r w:rsidRPr="00C4448B">
        <w:rPr>
          <w:rFonts w:ascii="Gill Sans MT" w:hAnsi="Gill Sans MT" w:cs="Cochin"/>
          <w:color w:val="000000"/>
          <w:sz w:val="24"/>
          <w:szCs w:val="24"/>
        </w:rPr>
        <w:t>28(4): 488–507.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Mosley, J. (1996)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Quality Circle Time in the Primary Classroom: Your Essential Guide to Enhancing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Self-Esteem, Self-Discipline and Positive Relationships</w:t>
      </w:r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Wisbech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: LDA.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Nietzsche, F. (1994)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On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the genealogy of morals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trans. C.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Diethe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 Cambridge: Cambridge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University Press.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C. (2000) ‘The Development of Participatory Techniques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Facilitiating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Children’s Views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about the Decisions which Affect </w:t>
      </w: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Them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>’, in P. Christensen and A. James (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Research with</w:t>
      </w:r>
      <w:r w:rsidR="00E130D2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Children: Perspectives and Practices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pp. 136–59. 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Falmer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Pain, R. (2004) ‘Social Geography: Participatory Research’,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Progress in Human Geography </w:t>
      </w:r>
      <w:r w:rsidRPr="00C4448B">
        <w:rPr>
          <w:rFonts w:ascii="Gill Sans MT" w:hAnsi="Gill Sans MT" w:cs="Cochin"/>
          <w:color w:val="000000"/>
          <w:sz w:val="24"/>
          <w:szCs w:val="24"/>
        </w:rPr>
        <w:t>28(5):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>652–63.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A. (2005) </w:t>
      </w:r>
      <w:proofErr w:type="gramStart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The</w:t>
      </w:r>
      <w:proofErr w:type="gramEnd"/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 Future of Childhood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. 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RoutledgeFalmer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-Italic"/>
          <w:i/>
          <w:iCs/>
          <w:color w:val="000000"/>
          <w:sz w:val="24"/>
          <w:szCs w:val="24"/>
        </w:rPr>
      </w:pP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, A. and A. James (1990) ‘A New Paradigm for the Sociology of Childhood?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Provenance,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Prospect and Problems’, in A. James and A.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Prout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</w:t>
      </w:r>
      <w:proofErr w:type="spellStart"/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eds</w:t>
      </w:r>
      <w:proofErr w:type="spellEnd"/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Constructing and Reconstructing Childhood: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lastRenderedPageBreak/>
        <w:t>Contemporary Issues in the Sociology of Childhood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, pp. 7–33. London: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Falmer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Press.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Punch, S. (2002) ‘Research with Children: The Same or Different from Research with Adults?’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9(3): 321–41.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Rose, N. (1999)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Governing the Soul: The Making of the Private Self,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2nd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edn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London: Free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>Association Books.</w:t>
      </w:r>
      <w:proofErr w:type="gramEnd"/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Sinclair, R. (2004) ‘Participation in Practice: Making It Meaningful, Effective and Sustainable’,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 and Society </w:t>
      </w:r>
      <w:r w:rsidRPr="00C4448B">
        <w:rPr>
          <w:rFonts w:ascii="Gill Sans MT" w:hAnsi="Gill Sans MT" w:cs="Cochin"/>
          <w:color w:val="000000"/>
          <w:sz w:val="24"/>
          <w:szCs w:val="24"/>
        </w:rPr>
        <w:t>18: 106–18.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Smith, F. and J. Barker (2000) ‘Contested Spaces: Children’s Experiences of Out-of-School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Care in England and Wales’,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Childhood </w:t>
      </w:r>
      <w:r w:rsidRPr="00C4448B">
        <w:rPr>
          <w:rFonts w:ascii="Gill Sans MT" w:hAnsi="Gill Sans MT" w:cs="Cochin"/>
          <w:color w:val="000000"/>
          <w:sz w:val="24"/>
          <w:szCs w:val="24"/>
        </w:rPr>
        <w:t>7(3): 315–34.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Thomas, N. and C.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O’Kane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(1998) ‘The Ethics of Participatory Research with Children’,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Children and Society </w:t>
      </w:r>
      <w:r w:rsidRPr="00C4448B">
        <w:rPr>
          <w:rFonts w:ascii="Gill Sans MT" w:hAnsi="Gill Sans MT" w:cs="Cochin"/>
          <w:color w:val="000000"/>
          <w:sz w:val="24"/>
          <w:szCs w:val="24"/>
        </w:rPr>
        <w:t>12: 336–48.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Thrift, N. (1996)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Spatial Formations</w:t>
      </w:r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London: Sage.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proofErr w:type="gramStart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United Nations (1989)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>Convention on the Rights of the Child</w:t>
      </w:r>
      <w:r w:rsidRPr="00C4448B">
        <w:rPr>
          <w:rFonts w:ascii="Gill Sans MT" w:hAnsi="Gill Sans MT" w:cs="Cochin"/>
          <w:color w:val="000000"/>
          <w:sz w:val="24"/>
          <w:szCs w:val="24"/>
        </w:rPr>
        <w:t>.</w:t>
      </w:r>
      <w:proofErr w:type="gram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Geneva: UN.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Weller, S. (2006) ‘Tuning-in to Teenagers! Using Radio Phone-in Discussions in Research with</w:t>
      </w:r>
      <w:r w:rsidR="00E130D2">
        <w:rPr>
          <w:rFonts w:ascii="Gill Sans MT" w:hAnsi="Gill Sans MT" w:cs="Cochin"/>
          <w:color w:val="000000"/>
          <w:sz w:val="24"/>
          <w:szCs w:val="24"/>
        </w:rPr>
        <w:t xml:space="preserve"> </w:t>
      </w: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Young People’,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International Journal of Social Research Methodology </w:t>
      </w:r>
      <w:r w:rsidRPr="00C4448B">
        <w:rPr>
          <w:rFonts w:ascii="Gill Sans MT" w:hAnsi="Gill Sans MT" w:cs="Cochin"/>
          <w:color w:val="000000"/>
          <w:sz w:val="24"/>
          <w:szCs w:val="24"/>
        </w:rPr>
        <w:t>9(4): 303–15.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Willis, P. and M. 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Trondman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 (2000) ‘Manifesto for Ethnography’,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Ethnography </w:t>
      </w:r>
      <w:r w:rsidRPr="00C4448B">
        <w:rPr>
          <w:rFonts w:ascii="Gill Sans MT" w:hAnsi="Gill Sans MT" w:cs="Cochin"/>
          <w:color w:val="000000"/>
          <w:sz w:val="24"/>
          <w:szCs w:val="24"/>
        </w:rPr>
        <w:t>1(1): 5–16.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Wylie, J. (2006) ‘</w:t>
      </w:r>
      <w:proofErr w:type="spellStart"/>
      <w:r w:rsidRPr="00C4448B">
        <w:rPr>
          <w:rFonts w:ascii="Gill Sans MT" w:hAnsi="Gill Sans MT" w:cs="Cochin"/>
          <w:color w:val="000000"/>
          <w:sz w:val="24"/>
          <w:szCs w:val="24"/>
        </w:rPr>
        <w:t>Smoothlands</w:t>
      </w:r>
      <w:proofErr w:type="spellEnd"/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: Fragments/Landscapes/Fragments’,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Cultural Geographies </w:t>
      </w:r>
      <w:r w:rsidRPr="00C4448B">
        <w:rPr>
          <w:rFonts w:ascii="Gill Sans MT" w:hAnsi="Gill Sans MT" w:cs="Cochin"/>
          <w:color w:val="000000"/>
          <w:sz w:val="24"/>
          <w:szCs w:val="24"/>
        </w:rPr>
        <w:t>13: 458–</w:t>
      </w:r>
      <w:bookmarkStart w:id="0" w:name="_GoBack"/>
      <w:bookmarkEnd w:id="0"/>
      <w:r w:rsidRPr="00C4448B">
        <w:rPr>
          <w:rFonts w:ascii="Gill Sans MT" w:hAnsi="Gill Sans MT" w:cs="Cochin"/>
          <w:color w:val="000000"/>
          <w:sz w:val="24"/>
          <w:szCs w:val="24"/>
        </w:rPr>
        <w:t>65.</w:t>
      </w:r>
    </w:p>
    <w:p w:rsidR="00C4448B" w:rsidRPr="00C4448B" w:rsidRDefault="00C4448B" w:rsidP="00C4448B">
      <w:pPr>
        <w:autoSpaceDE w:val="0"/>
        <w:autoSpaceDN w:val="0"/>
        <w:adjustRightInd w:val="0"/>
        <w:spacing w:after="0" w:line="240" w:lineRule="auto"/>
        <w:rPr>
          <w:rFonts w:ascii="Gill Sans MT" w:hAnsi="Gill Sans MT" w:cs="Cochin"/>
          <w:color w:val="000000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>Young, L. and H. Barratt (2001) ‘Adapting Visual Methods: Action Research with Kampala</w:t>
      </w:r>
    </w:p>
    <w:p w:rsidR="00FF5700" w:rsidRPr="00C4448B" w:rsidRDefault="00C4448B" w:rsidP="00C4448B">
      <w:pPr>
        <w:rPr>
          <w:rFonts w:ascii="Gill Sans MT" w:hAnsi="Gill Sans MT"/>
          <w:sz w:val="24"/>
          <w:szCs w:val="24"/>
        </w:rPr>
      </w:pPr>
      <w:r w:rsidRPr="00C4448B">
        <w:rPr>
          <w:rFonts w:ascii="Gill Sans MT" w:hAnsi="Gill Sans MT" w:cs="Cochin"/>
          <w:color w:val="000000"/>
          <w:sz w:val="24"/>
          <w:szCs w:val="24"/>
        </w:rPr>
        <w:t xml:space="preserve">Street Children’, </w:t>
      </w:r>
      <w:r w:rsidRPr="00C4448B">
        <w:rPr>
          <w:rFonts w:ascii="Gill Sans MT" w:hAnsi="Gill Sans MT" w:cs="Cochin-Italic"/>
          <w:i/>
          <w:iCs/>
          <w:color w:val="000000"/>
          <w:sz w:val="24"/>
          <w:szCs w:val="24"/>
        </w:rPr>
        <w:t xml:space="preserve">Area </w:t>
      </w:r>
      <w:r w:rsidRPr="00C4448B">
        <w:rPr>
          <w:rFonts w:ascii="Gill Sans MT" w:hAnsi="Gill Sans MT" w:cs="Cochin"/>
          <w:color w:val="000000"/>
          <w:sz w:val="24"/>
          <w:szCs w:val="24"/>
        </w:rPr>
        <w:t>33(2): 141–52.</w:t>
      </w:r>
    </w:p>
    <w:sectPr w:rsidR="00FF5700" w:rsidRPr="00C44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B"/>
    <w:rsid w:val="00C253EE"/>
    <w:rsid w:val="00C4448B"/>
    <w:rsid w:val="00E130D2"/>
    <w:rsid w:val="00E47233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7920</Words>
  <Characters>45146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Gallacher</dc:creator>
  <cp:lastModifiedBy>Lesley Gallacher</cp:lastModifiedBy>
  <cp:revision>1</cp:revision>
  <dcterms:created xsi:type="dcterms:W3CDTF">2014-06-16T12:12:00Z</dcterms:created>
  <dcterms:modified xsi:type="dcterms:W3CDTF">2014-06-16T12:36:00Z</dcterms:modified>
</cp:coreProperties>
</file>