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69C" w:rsidRDefault="0063569C" w:rsidP="0063569C">
      <w:pPr>
        <w:rPr>
          <w:rFonts w:cs="Arial"/>
          <w:b/>
          <w:sz w:val="24"/>
          <w:szCs w:val="24"/>
        </w:rPr>
      </w:pPr>
      <w:bookmarkStart w:id="0" w:name="_GoBack"/>
      <w:bookmarkEnd w:id="0"/>
    </w:p>
    <w:p w:rsidR="0063569C" w:rsidRPr="00FA3678" w:rsidRDefault="0063569C" w:rsidP="00FA3678">
      <w:pPr>
        <w:rPr>
          <w:rFonts w:cs="Arial"/>
          <w:b/>
          <w:sz w:val="24"/>
          <w:szCs w:val="24"/>
        </w:rPr>
      </w:pPr>
      <w:r>
        <w:rPr>
          <w:rFonts w:cs="Arial"/>
          <w:sz w:val="24"/>
          <w:szCs w:val="24"/>
        </w:rPr>
        <w:t xml:space="preserve"> </w:t>
      </w:r>
      <w:r w:rsidRPr="00FA3678">
        <w:rPr>
          <w:rFonts w:cs="Arial"/>
          <w:b/>
          <w:sz w:val="24"/>
          <w:szCs w:val="24"/>
        </w:rPr>
        <w:t>THE NATIONAL GREEN TRIBUNAL OF INDIA: A SUSTAINABLE FUTURE</w:t>
      </w:r>
      <w:r w:rsidR="00C71D2C" w:rsidRPr="00FA3678">
        <w:rPr>
          <w:rFonts w:cs="Arial"/>
          <w:b/>
          <w:sz w:val="24"/>
          <w:szCs w:val="24"/>
        </w:rPr>
        <w:t xml:space="preserve"> THROUGH THE PRINCIPLES OF INTERNATIONAL ENVIRONMENTAL LAW</w:t>
      </w:r>
      <w:r w:rsidR="00DB267C">
        <w:rPr>
          <w:rFonts w:cs="Arial"/>
          <w:b/>
          <w:sz w:val="24"/>
          <w:szCs w:val="24"/>
        </w:rPr>
        <w:t>*</w:t>
      </w:r>
    </w:p>
    <w:p w:rsidR="00D53525" w:rsidRPr="00FA3678" w:rsidRDefault="00D53525" w:rsidP="00FA3678">
      <w:pPr>
        <w:rPr>
          <w:b/>
          <w:sz w:val="24"/>
          <w:szCs w:val="24"/>
        </w:rPr>
      </w:pPr>
    </w:p>
    <w:p w:rsidR="00D53525" w:rsidRPr="00FA3678" w:rsidRDefault="00CA2527" w:rsidP="00FA3678">
      <w:pPr>
        <w:rPr>
          <w:b/>
          <w:sz w:val="24"/>
          <w:szCs w:val="24"/>
        </w:rPr>
      </w:pPr>
      <w:r w:rsidRPr="00FA3678">
        <w:rPr>
          <w:b/>
          <w:sz w:val="24"/>
          <w:szCs w:val="24"/>
        </w:rPr>
        <w:t>ABSTRACT</w:t>
      </w:r>
    </w:p>
    <w:p w:rsidR="00CA03AC" w:rsidRPr="00FA3678" w:rsidRDefault="00980B8A" w:rsidP="00FA3678">
      <w:pPr>
        <w:rPr>
          <w:sz w:val="24"/>
          <w:szCs w:val="24"/>
        </w:rPr>
      </w:pPr>
      <w:r w:rsidRPr="00FA3678">
        <w:rPr>
          <w:sz w:val="24"/>
          <w:szCs w:val="24"/>
        </w:rPr>
        <w:t xml:space="preserve">Access to environmental justice is the first step to the achievement of environmental justice goals by articulating in the language of equity the assurance of legal standing for all affected and interested parties; right of appeal or review; specialized environmental courts and other practical dispute resolution mechanisms. </w:t>
      </w:r>
    </w:p>
    <w:p w:rsidR="00CA03AC" w:rsidRPr="00FA3678" w:rsidRDefault="00980B8A" w:rsidP="00FA3678">
      <w:pPr>
        <w:rPr>
          <w:rFonts w:cs="Arial"/>
          <w:sz w:val="24"/>
          <w:szCs w:val="24"/>
        </w:rPr>
      </w:pPr>
      <w:r w:rsidRPr="00FA3678">
        <w:rPr>
          <w:sz w:val="24"/>
          <w:szCs w:val="24"/>
        </w:rPr>
        <w:t>In this context, India’s commitment to</w:t>
      </w:r>
      <w:r w:rsidR="0083459E">
        <w:rPr>
          <w:sz w:val="24"/>
          <w:szCs w:val="24"/>
        </w:rPr>
        <w:t xml:space="preserve"> the</w:t>
      </w:r>
      <w:r w:rsidR="0098566D" w:rsidRPr="00FA3678">
        <w:rPr>
          <w:sz w:val="24"/>
          <w:szCs w:val="24"/>
        </w:rPr>
        <w:t xml:space="preserve"> newly formed</w:t>
      </w:r>
      <w:r w:rsidRPr="00FA3678">
        <w:rPr>
          <w:sz w:val="24"/>
          <w:szCs w:val="24"/>
        </w:rPr>
        <w:t xml:space="preserve"> </w:t>
      </w:r>
      <w:r w:rsidR="0098566D" w:rsidRPr="00FA3678">
        <w:rPr>
          <w:sz w:val="24"/>
          <w:szCs w:val="24"/>
        </w:rPr>
        <w:t>National Green Tribunal [NGT]</w:t>
      </w:r>
      <w:r w:rsidRPr="00FA3678">
        <w:rPr>
          <w:sz w:val="24"/>
          <w:szCs w:val="24"/>
        </w:rPr>
        <w:t xml:space="preserve"> assumes significant practical importance</w:t>
      </w:r>
      <w:r w:rsidR="0098566D" w:rsidRPr="00FA3678">
        <w:rPr>
          <w:sz w:val="24"/>
          <w:szCs w:val="24"/>
        </w:rPr>
        <w:t xml:space="preserve">. </w:t>
      </w:r>
      <w:r w:rsidR="0098566D" w:rsidRPr="00FA3678">
        <w:rPr>
          <w:rFonts w:eastAsia="Calibri" w:cs="Arial"/>
          <w:sz w:val="24"/>
          <w:szCs w:val="24"/>
        </w:rPr>
        <w:t>In seeking a balanced judic</w:t>
      </w:r>
      <w:r w:rsidR="00AB44D9">
        <w:rPr>
          <w:rFonts w:eastAsia="Calibri" w:cs="Arial"/>
          <w:sz w:val="24"/>
          <w:szCs w:val="24"/>
        </w:rPr>
        <w:t xml:space="preserve">ial forum that advances </w:t>
      </w:r>
      <w:r w:rsidR="0098566D" w:rsidRPr="00FA3678">
        <w:rPr>
          <w:rFonts w:eastAsia="Calibri" w:cs="Arial"/>
          <w:sz w:val="24"/>
          <w:szCs w:val="24"/>
        </w:rPr>
        <w:t xml:space="preserve">green jurisprudence, </w:t>
      </w:r>
      <w:r w:rsidR="0098566D" w:rsidRPr="00FA3678">
        <w:rPr>
          <w:rFonts w:eastAsia="Times New Roman" w:cs="Arial"/>
          <w:sz w:val="24"/>
          <w:szCs w:val="24"/>
          <w:lang w:val="en-US"/>
        </w:rPr>
        <w:t>the NGT is a ‘fast –track court’ with an open forum having wide powers, staffed by judges and environmental</w:t>
      </w:r>
      <w:r w:rsidR="0010596F">
        <w:rPr>
          <w:rFonts w:eastAsia="Times New Roman" w:cs="Arial"/>
          <w:sz w:val="24"/>
          <w:szCs w:val="24"/>
          <w:lang w:val="en-US"/>
        </w:rPr>
        <w:t xml:space="preserve"> scientific</w:t>
      </w:r>
      <w:r w:rsidR="0098566D" w:rsidRPr="00FA3678">
        <w:rPr>
          <w:rFonts w:eastAsia="Times New Roman" w:cs="Arial"/>
          <w:sz w:val="24"/>
          <w:szCs w:val="24"/>
          <w:lang w:val="en-US"/>
        </w:rPr>
        <w:t xml:space="preserve"> experts. </w:t>
      </w:r>
      <w:r w:rsidR="0098566D" w:rsidRPr="00FA3678">
        <w:rPr>
          <w:rFonts w:cs="Arial"/>
          <w:sz w:val="24"/>
          <w:szCs w:val="24"/>
        </w:rPr>
        <w:t>Section 20 of the N</w:t>
      </w:r>
      <w:r w:rsidR="0010596F">
        <w:rPr>
          <w:rFonts w:cs="Arial"/>
          <w:sz w:val="24"/>
          <w:szCs w:val="24"/>
        </w:rPr>
        <w:t xml:space="preserve">ational Green </w:t>
      </w:r>
      <w:r w:rsidR="0098566D" w:rsidRPr="00FA3678">
        <w:rPr>
          <w:rFonts w:cs="Arial"/>
          <w:sz w:val="24"/>
          <w:szCs w:val="24"/>
        </w:rPr>
        <w:t>T</w:t>
      </w:r>
      <w:r w:rsidR="0010596F">
        <w:rPr>
          <w:rFonts w:cs="Arial"/>
          <w:sz w:val="24"/>
          <w:szCs w:val="24"/>
        </w:rPr>
        <w:t>ribunal</w:t>
      </w:r>
      <w:r w:rsidR="0098566D" w:rsidRPr="00FA3678">
        <w:rPr>
          <w:rFonts w:cs="Arial"/>
          <w:sz w:val="24"/>
          <w:szCs w:val="24"/>
        </w:rPr>
        <w:t xml:space="preserve"> Act 2010 mandates the application of the principles underpinning international environmental law, namely, sustainable development, precautionary and polluter pays principles by the NGT</w:t>
      </w:r>
      <w:r w:rsidR="00140AE6" w:rsidRPr="00FA3678">
        <w:rPr>
          <w:rFonts w:cs="Arial"/>
          <w:sz w:val="24"/>
          <w:szCs w:val="24"/>
        </w:rPr>
        <w:t xml:space="preserve">. </w:t>
      </w:r>
    </w:p>
    <w:p w:rsidR="00980B8A" w:rsidRPr="00FA3678" w:rsidRDefault="00140AE6" w:rsidP="00FA3678">
      <w:pPr>
        <w:rPr>
          <w:b/>
          <w:sz w:val="24"/>
          <w:szCs w:val="24"/>
        </w:rPr>
      </w:pPr>
      <w:r w:rsidRPr="00FA3678">
        <w:rPr>
          <w:rFonts w:cs="Arial"/>
          <w:sz w:val="24"/>
          <w:szCs w:val="24"/>
        </w:rPr>
        <w:t>This paper addresses the application of these principles in the Indian conte</w:t>
      </w:r>
      <w:r w:rsidR="00956128" w:rsidRPr="00FA3678">
        <w:rPr>
          <w:rFonts w:cs="Arial"/>
          <w:sz w:val="24"/>
          <w:szCs w:val="24"/>
        </w:rPr>
        <w:t>xt</w:t>
      </w:r>
      <w:r w:rsidR="00586321" w:rsidRPr="00FA3678">
        <w:rPr>
          <w:rFonts w:cs="Arial"/>
          <w:sz w:val="24"/>
          <w:szCs w:val="24"/>
        </w:rPr>
        <w:t>, thereby, recognizing its international commitments for environmental protection.</w:t>
      </w:r>
    </w:p>
    <w:p w:rsidR="00CA2527" w:rsidRPr="00FA3678" w:rsidRDefault="0016061B" w:rsidP="00FA3678">
      <w:pPr>
        <w:rPr>
          <w:b/>
          <w:sz w:val="24"/>
          <w:szCs w:val="24"/>
        </w:rPr>
      </w:pPr>
      <w:r w:rsidRPr="00FA3678">
        <w:rPr>
          <w:b/>
          <w:sz w:val="24"/>
          <w:szCs w:val="24"/>
        </w:rPr>
        <w:t>Key words:-</w:t>
      </w:r>
    </w:p>
    <w:p w:rsidR="0016061B" w:rsidRPr="00FA3678" w:rsidRDefault="00975F1B" w:rsidP="00FA3678">
      <w:pPr>
        <w:rPr>
          <w:sz w:val="24"/>
          <w:szCs w:val="24"/>
        </w:rPr>
      </w:pPr>
      <w:r w:rsidRPr="00FA3678">
        <w:rPr>
          <w:sz w:val="24"/>
          <w:szCs w:val="24"/>
        </w:rPr>
        <w:t>Access</w:t>
      </w:r>
      <w:r w:rsidR="0016061B" w:rsidRPr="00FA3678">
        <w:rPr>
          <w:sz w:val="24"/>
          <w:szCs w:val="24"/>
        </w:rPr>
        <w:t xml:space="preserve"> Environmental J</w:t>
      </w:r>
      <w:r w:rsidR="003D1CE2" w:rsidRPr="00FA3678">
        <w:rPr>
          <w:sz w:val="24"/>
          <w:szCs w:val="24"/>
        </w:rPr>
        <w:t>ustice, National Green Tribunal</w:t>
      </w:r>
      <w:r w:rsidR="0016061B" w:rsidRPr="00FA3678">
        <w:rPr>
          <w:sz w:val="24"/>
          <w:szCs w:val="24"/>
        </w:rPr>
        <w:t xml:space="preserve"> India</w:t>
      </w:r>
      <w:r w:rsidR="00FA6308" w:rsidRPr="00FA3678">
        <w:rPr>
          <w:sz w:val="24"/>
          <w:szCs w:val="24"/>
        </w:rPr>
        <w:t>, Principles of International Environmental Law</w:t>
      </w:r>
    </w:p>
    <w:p w:rsidR="0016061B" w:rsidRPr="00FA3678" w:rsidRDefault="0016061B" w:rsidP="00FA3678">
      <w:pPr>
        <w:rPr>
          <w:sz w:val="24"/>
          <w:szCs w:val="24"/>
        </w:rPr>
      </w:pPr>
    </w:p>
    <w:p w:rsidR="00FA6308" w:rsidRPr="00FA3678" w:rsidRDefault="00FA6308" w:rsidP="00FA3678">
      <w:pPr>
        <w:rPr>
          <w:b/>
          <w:sz w:val="24"/>
          <w:szCs w:val="24"/>
        </w:rPr>
      </w:pPr>
    </w:p>
    <w:p w:rsidR="00FA6308" w:rsidRPr="00FA3678" w:rsidRDefault="00FA6308" w:rsidP="00FA3678">
      <w:pPr>
        <w:rPr>
          <w:b/>
          <w:sz w:val="24"/>
          <w:szCs w:val="24"/>
        </w:rPr>
      </w:pPr>
    </w:p>
    <w:p w:rsidR="00DB267C" w:rsidRPr="00DB267C" w:rsidRDefault="00DB267C" w:rsidP="00DB267C">
      <w:pPr>
        <w:rPr>
          <w:sz w:val="24"/>
          <w:szCs w:val="24"/>
        </w:rPr>
      </w:pPr>
      <w:r w:rsidRPr="00B07C11">
        <w:rPr>
          <w:b/>
          <w:sz w:val="24"/>
          <w:szCs w:val="24"/>
        </w:rPr>
        <w:t>*</w:t>
      </w:r>
      <w:r w:rsidRPr="00DB267C">
        <w:rPr>
          <w:sz w:val="24"/>
          <w:szCs w:val="24"/>
        </w:rPr>
        <w:t xml:space="preserve">Dr </w:t>
      </w:r>
      <w:proofErr w:type="spellStart"/>
      <w:r w:rsidRPr="00DB267C">
        <w:rPr>
          <w:sz w:val="24"/>
          <w:szCs w:val="24"/>
        </w:rPr>
        <w:t>Gitanjali</w:t>
      </w:r>
      <w:proofErr w:type="spellEnd"/>
      <w:r w:rsidRPr="00DB267C">
        <w:rPr>
          <w:sz w:val="24"/>
          <w:szCs w:val="24"/>
        </w:rPr>
        <w:t xml:space="preserve"> Nain Gill, Reader in Law, Northumbria Law School, Northumbria University, Newcastle upon Tyne</w:t>
      </w:r>
      <w:r>
        <w:rPr>
          <w:sz w:val="24"/>
          <w:szCs w:val="24"/>
        </w:rPr>
        <w:t>, gita.gill@northumbria.ac.uk</w:t>
      </w:r>
    </w:p>
    <w:p w:rsidR="00FA6308" w:rsidRPr="00FA3678" w:rsidRDefault="009761D5" w:rsidP="00FA3678">
      <w:pPr>
        <w:rPr>
          <w:b/>
          <w:sz w:val="24"/>
          <w:szCs w:val="24"/>
        </w:rPr>
      </w:pPr>
      <w:r w:rsidRPr="00B07C11">
        <w:rPr>
          <w:b/>
          <w:sz w:val="24"/>
          <w:szCs w:val="24"/>
        </w:rPr>
        <w:t>**</w:t>
      </w:r>
      <w:r w:rsidR="00236422" w:rsidRPr="00236422">
        <w:rPr>
          <w:sz w:val="24"/>
          <w:szCs w:val="24"/>
        </w:rPr>
        <w:t>I recognize and thank</w:t>
      </w:r>
      <w:r w:rsidR="00236422">
        <w:rPr>
          <w:sz w:val="24"/>
          <w:szCs w:val="24"/>
        </w:rPr>
        <w:t xml:space="preserve"> the British Academy</w:t>
      </w:r>
      <w:r w:rsidR="000A7667">
        <w:rPr>
          <w:sz w:val="24"/>
          <w:szCs w:val="24"/>
        </w:rPr>
        <w:t>/</w:t>
      </w:r>
      <w:proofErr w:type="spellStart"/>
      <w:r w:rsidR="000A7667">
        <w:rPr>
          <w:sz w:val="24"/>
          <w:szCs w:val="24"/>
        </w:rPr>
        <w:t>Leverhulme</w:t>
      </w:r>
      <w:proofErr w:type="spellEnd"/>
      <w:r w:rsidR="000A7667">
        <w:rPr>
          <w:sz w:val="24"/>
          <w:szCs w:val="24"/>
        </w:rPr>
        <w:t xml:space="preserve"> </w:t>
      </w:r>
      <w:r w:rsidR="00236422">
        <w:rPr>
          <w:sz w:val="24"/>
          <w:szCs w:val="24"/>
        </w:rPr>
        <w:t>Small</w:t>
      </w:r>
      <w:r w:rsidR="00433784">
        <w:rPr>
          <w:sz w:val="24"/>
          <w:szCs w:val="24"/>
        </w:rPr>
        <w:t xml:space="preserve"> Research</w:t>
      </w:r>
      <w:r w:rsidR="00236422">
        <w:rPr>
          <w:sz w:val="24"/>
          <w:szCs w:val="24"/>
        </w:rPr>
        <w:t xml:space="preserve"> Grants</w:t>
      </w:r>
      <w:r w:rsidR="000A7667">
        <w:rPr>
          <w:sz w:val="24"/>
          <w:szCs w:val="24"/>
        </w:rPr>
        <w:t xml:space="preserve"> Award, </w:t>
      </w:r>
      <w:proofErr w:type="gramStart"/>
      <w:r w:rsidR="000A7667">
        <w:rPr>
          <w:sz w:val="24"/>
          <w:szCs w:val="24"/>
        </w:rPr>
        <w:t>2014,</w:t>
      </w:r>
      <w:r w:rsidR="00433784">
        <w:rPr>
          <w:sz w:val="24"/>
          <w:szCs w:val="24"/>
        </w:rPr>
        <w:t xml:space="preserve"> for supporting this research.</w:t>
      </w:r>
      <w:proofErr w:type="gramEnd"/>
    </w:p>
    <w:p w:rsidR="00FA6308" w:rsidRPr="00FA3678" w:rsidRDefault="00FA6308" w:rsidP="00FA3678">
      <w:pPr>
        <w:rPr>
          <w:b/>
          <w:sz w:val="24"/>
          <w:szCs w:val="24"/>
        </w:rPr>
      </w:pPr>
    </w:p>
    <w:p w:rsidR="00FA6308" w:rsidRPr="00FA3678" w:rsidRDefault="00FA6308" w:rsidP="00FA3678">
      <w:pPr>
        <w:rPr>
          <w:b/>
          <w:sz w:val="24"/>
          <w:szCs w:val="24"/>
        </w:rPr>
      </w:pPr>
    </w:p>
    <w:p w:rsidR="00FA6308" w:rsidRPr="00FA3678" w:rsidRDefault="00FA6308" w:rsidP="00FA3678">
      <w:pPr>
        <w:rPr>
          <w:b/>
          <w:sz w:val="24"/>
          <w:szCs w:val="24"/>
        </w:rPr>
      </w:pPr>
    </w:p>
    <w:p w:rsidR="00FA6308" w:rsidRPr="00FA3678" w:rsidRDefault="00FA6308" w:rsidP="00FA3678">
      <w:pPr>
        <w:rPr>
          <w:b/>
          <w:sz w:val="24"/>
          <w:szCs w:val="24"/>
        </w:rPr>
      </w:pPr>
    </w:p>
    <w:p w:rsidR="00FA6308" w:rsidRPr="00FA3678" w:rsidRDefault="00FA6308" w:rsidP="00FA3678">
      <w:pPr>
        <w:rPr>
          <w:b/>
          <w:sz w:val="24"/>
          <w:szCs w:val="24"/>
        </w:rPr>
      </w:pPr>
    </w:p>
    <w:p w:rsidR="00817BF6" w:rsidRPr="00FA3678" w:rsidRDefault="00817BF6" w:rsidP="00FA3678">
      <w:pPr>
        <w:rPr>
          <w:b/>
          <w:sz w:val="24"/>
          <w:szCs w:val="24"/>
        </w:rPr>
      </w:pPr>
    </w:p>
    <w:p w:rsidR="00BB1DE3" w:rsidRPr="00FA3678" w:rsidRDefault="00013E86" w:rsidP="00FA3678">
      <w:pPr>
        <w:rPr>
          <w:sz w:val="24"/>
          <w:szCs w:val="24"/>
        </w:rPr>
      </w:pPr>
      <w:r w:rsidRPr="00FA3678">
        <w:rPr>
          <w:b/>
          <w:sz w:val="24"/>
          <w:szCs w:val="24"/>
        </w:rPr>
        <w:t>1. IN</w:t>
      </w:r>
      <w:r w:rsidR="00B85E03" w:rsidRPr="00FA3678">
        <w:rPr>
          <w:b/>
          <w:sz w:val="24"/>
          <w:szCs w:val="24"/>
        </w:rPr>
        <w:t>T</w:t>
      </w:r>
      <w:r w:rsidRPr="00FA3678">
        <w:rPr>
          <w:b/>
          <w:sz w:val="24"/>
          <w:szCs w:val="24"/>
        </w:rPr>
        <w:t>RODUCTION</w:t>
      </w:r>
    </w:p>
    <w:p w:rsidR="00DC71A4" w:rsidRPr="00FA3678" w:rsidRDefault="00013E86" w:rsidP="00FA3678">
      <w:pPr>
        <w:rPr>
          <w:sz w:val="24"/>
          <w:szCs w:val="24"/>
        </w:rPr>
      </w:pPr>
      <w:r w:rsidRPr="00FA3678">
        <w:rPr>
          <w:sz w:val="24"/>
          <w:szCs w:val="24"/>
        </w:rPr>
        <w:t>The globalization of environmental concerns and</w:t>
      </w:r>
      <w:r w:rsidR="001928F0" w:rsidRPr="00FA3678">
        <w:rPr>
          <w:sz w:val="24"/>
          <w:szCs w:val="24"/>
        </w:rPr>
        <w:t xml:space="preserve"> the</w:t>
      </w:r>
      <w:r w:rsidRPr="00FA3678">
        <w:rPr>
          <w:sz w:val="24"/>
          <w:szCs w:val="24"/>
        </w:rPr>
        <w:t xml:space="preserve"> internationalization </w:t>
      </w:r>
      <w:r w:rsidR="001928F0" w:rsidRPr="00FA3678">
        <w:rPr>
          <w:sz w:val="24"/>
          <w:szCs w:val="24"/>
        </w:rPr>
        <w:t>of environmental law have resulted in</w:t>
      </w:r>
      <w:r w:rsidR="00C00165" w:rsidRPr="00FA3678">
        <w:rPr>
          <w:sz w:val="24"/>
          <w:szCs w:val="24"/>
        </w:rPr>
        <w:t xml:space="preserve"> a significant</w:t>
      </w:r>
      <w:r w:rsidR="001928F0" w:rsidRPr="00FA3678">
        <w:rPr>
          <w:sz w:val="24"/>
          <w:szCs w:val="24"/>
        </w:rPr>
        <w:t xml:space="preserve"> development of</w:t>
      </w:r>
      <w:r w:rsidRPr="00FA3678">
        <w:rPr>
          <w:sz w:val="24"/>
          <w:szCs w:val="24"/>
        </w:rPr>
        <w:t xml:space="preserve"> envir</w:t>
      </w:r>
      <w:r w:rsidR="001928F0" w:rsidRPr="00FA3678">
        <w:rPr>
          <w:sz w:val="24"/>
          <w:szCs w:val="24"/>
        </w:rPr>
        <w:t>onmental justice discourse. E</w:t>
      </w:r>
      <w:r w:rsidRPr="00FA3678">
        <w:rPr>
          <w:sz w:val="24"/>
          <w:szCs w:val="24"/>
        </w:rPr>
        <w:t>nvironmental jus</w:t>
      </w:r>
      <w:r w:rsidR="007C6174">
        <w:rPr>
          <w:sz w:val="24"/>
          <w:szCs w:val="24"/>
        </w:rPr>
        <w:t>tice concerns can be traced</w:t>
      </w:r>
      <w:r w:rsidRPr="00FA3678">
        <w:rPr>
          <w:sz w:val="24"/>
          <w:szCs w:val="24"/>
        </w:rPr>
        <w:t xml:space="preserve"> in the history of environmental law to </w:t>
      </w:r>
      <w:r w:rsidR="001928F0" w:rsidRPr="00FA3678">
        <w:rPr>
          <w:sz w:val="24"/>
          <w:szCs w:val="24"/>
        </w:rPr>
        <w:t>key moments that include  the</w:t>
      </w:r>
      <w:r w:rsidRPr="00FA3678">
        <w:rPr>
          <w:sz w:val="24"/>
          <w:szCs w:val="24"/>
        </w:rPr>
        <w:t xml:space="preserve"> Trail Smelter Arbitration</w:t>
      </w:r>
      <w:r w:rsidR="001928F0" w:rsidRPr="00FA3678">
        <w:rPr>
          <w:sz w:val="24"/>
          <w:szCs w:val="24"/>
        </w:rPr>
        <w:t xml:space="preserve"> in 1941</w:t>
      </w:r>
      <w:r w:rsidR="00B87EFA" w:rsidRPr="00FA3678">
        <w:rPr>
          <w:rStyle w:val="FootnoteReference"/>
          <w:sz w:val="24"/>
          <w:szCs w:val="24"/>
        </w:rPr>
        <w:footnoteReference w:id="1"/>
      </w:r>
      <w:r w:rsidR="001928F0" w:rsidRPr="00FA3678">
        <w:rPr>
          <w:sz w:val="24"/>
          <w:szCs w:val="24"/>
        </w:rPr>
        <w:t>, events in</w:t>
      </w:r>
      <w:r w:rsidRPr="00FA3678">
        <w:rPr>
          <w:sz w:val="24"/>
          <w:szCs w:val="24"/>
        </w:rPr>
        <w:t xml:space="preserve"> Warren County, North Carolina</w:t>
      </w:r>
      <w:r w:rsidR="00B56631" w:rsidRPr="00FA3678">
        <w:rPr>
          <w:rStyle w:val="FootnoteReference"/>
          <w:sz w:val="24"/>
          <w:szCs w:val="24"/>
        </w:rPr>
        <w:footnoteReference w:id="2"/>
      </w:r>
      <w:r w:rsidRPr="00FA3678">
        <w:rPr>
          <w:sz w:val="24"/>
          <w:szCs w:val="24"/>
        </w:rPr>
        <w:t>, nuclear testing at Maralinga and early uranium mining, Australia</w:t>
      </w:r>
      <w:r w:rsidR="00AF5E80" w:rsidRPr="00FA3678">
        <w:rPr>
          <w:rStyle w:val="FootnoteReference"/>
          <w:sz w:val="24"/>
          <w:szCs w:val="24"/>
        </w:rPr>
        <w:footnoteReference w:id="3"/>
      </w:r>
      <w:r w:rsidRPr="00FA3678">
        <w:rPr>
          <w:sz w:val="24"/>
          <w:szCs w:val="24"/>
        </w:rPr>
        <w:t>, salt water infiltration into Dutch agricultural fields from potassium mines in Alsace, France</w:t>
      </w:r>
      <w:r w:rsidR="00D04DC0" w:rsidRPr="00FA3678">
        <w:rPr>
          <w:rStyle w:val="FootnoteReference"/>
          <w:sz w:val="24"/>
          <w:szCs w:val="24"/>
        </w:rPr>
        <w:footnoteReference w:id="4"/>
      </w:r>
      <w:r w:rsidRPr="00FA3678">
        <w:rPr>
          <w:sz w:val="24"/>
          <w:szCs w:val="24"/>
        </w:rPr>
        <w:t xml:space="preserve"> and </w:t>
      </w:r>
      <w:r w:rsidR="001928F0" w:rsidRPr="00FA3678">
        <w:rPr>
          <w:sz w:val="24"/>
          <w:szCs w:val="24"/>
        </w:rPr>
        <w:t xml:space="preserve">several </w:t>
      </w:r>
      <w:r w:rsidRPr="00FA3678">
        <w:rPr>
          <w:sz w:val="24"/>
          <w:szCs w:val="24"/>
        </w:rPr>
        <w:t>other</w:t>
      </w:r>
      <w:r w:rsidR="001928F0" w:rsidRPr="00FA3678">
        <w:rPr>
          <w:sz w:val="24"/>
          <w:szCs w:val="24"/>
        </w:rPr>
        <w:t xml:space="preserve"> striking events</w:t>
      </w:r>
      <w:r w:rsidRPr="00FA3678">
        <w:rPr>
          <w:sz w:val="24"/>
          <w:szCs w:val="24"/>
        </w:rPr>
        <w:t>.</w:t>
      </w:r>
      <w:r w:rsidR="004B3A2F" w:rsidRPr="00FA3678">
        <w:rPr>
          <w:sz w:val="24"/>
          <w:szCs w:val="24"/>
        </w:rPr>
        <w:t xml:space="preserve"> These</w:t>
      </w:r>
      <w:r w:rsidR="00E84251" w:rsidRPr="00FA3678">
        <w:rPr>
          <w:sz w:val="24"/>
          <w:szCs w:val="24"/>
        </w:rPr>
        <w:t xml:space="preserve"> </w:t>
      </w:r>
      <w:r w:rsidR="004B3A2F" w:rsidRPr="00FA3678">
        <w:rPr>
          <w:sz w:val="24"/>
          <w:szCs w:val="24"/>
        </w:rPr>
        <w:t xml:space="preserve">environmental </w:t>
      </w:r>
      <w:r w:rsidR="00E84251" w:rsidRPr="00FA3678">
        <w:rPr>
          <w:sz w:val="24"/>
          <w:szCs w:val="24"/>
        </w:rPr>
        <w:t xml:space="preserve">struggles </w:t>
      </w:r>
      <w:r w:rsidR="001928F0" w:rsidRPr="00FA3678">
        <w:rPr>
          <w:sz w:val="24"/>
          <w:szCs w:val="24"/>
        </w:rPr>
        <w:t>expressed within a</w:t>
      </w:r>
      <w:r w:rsidR="00E84251" w:rsidRPr="00FA3678">
        <w:rPr>
          <w:sz w:val="24"/>
          <w:szCs w:val="24"/>
        </w:rPr>
        <w:t xml:space="preserve"> social justic</w:t>
      </w:r>
      <w:r w:rsidR="00723BA5" w:rsidRPr="00FA3678">
        <w:rPr>
          <w:sz w:val="24"/>
          <w:szCs w:val="24"/>
        </w:rPr>
        <w:t>e and civil rig</w:t>
      </w:r>
      <w:r w:rsidR="001928F0" w:rsidRPr="00FA3678">
        <w:rPr>
          <w:sz w:val="24"/>
          <w:szCs w:val="24"/>
        </w:rPr>
        <w:t>hts framework helped create a pathway towards</w:t>
      </w:r>
      <w:r w:rsidR="004B3A2F" w:rsidRPr="00FA3678">
        <w:rPr>
          <w:sz w:val="24"/>
          <w:szCs w:val="24"/>
        </w:rPr>
        <w:t xml:space="preserve"> environmental justice.</w:t>
      </w:r>
      <w:r w:rsidR="008F6EF9" w:rsidRPr="00FA3678">
        <w:rPr>
          <w:sz w:val="24"/>
          <w:szCs w:val="24"/>
        </w:rPr>
        <w:t xml:space="preserve"> </w:t>
      </w:r>
    </w:p>
    <w:p w:rsidR="000F6973" w:rsidRPr="00FA3678" w:rsidRDefault="004B3A2F" w:rsidP="00FA3678">
      <w:pPr>
        <w:rPr>
          <w:sz w:val="24"/>
          <w:szCs w:val="24"/>
        </w:rPr>
      </w:pPr>
      <w:r w:rsidRPr="00FA3678">
        <w:rPr>
          <w:sz w:val="24"/>
          <w:szCs w:val="24"/>
        </w:rPr>
        <w:t>Over time, the concept of environmental justice has been accepted, adopted and applied at the global, regional an</w:t>
      </w:r>
      <w:r w:rsidR="00E70DB8" w:rsidRPr="00FA3678">
        <w:rPr>
          <w:sz w:val="24"/>
          <w:szCs w:val="24"/>
        </w:rPr>
        <w:t>d national l</w:t>
      </w:r>
      <w:r w:rsidR="00611DA4" w:rsidRPr="00FA3678">
        <w:rPr>
          <w:sz w:val="24"/>
          <w:szCs w:val="24"/>
        </w:rPr>
        <w:t xml:space="preserve">evels, through its ability to </w:t>
      </w:r>
      <w:r w:rsidR="002D0E47" w:rsidRPr="00FA3678">
        <w:rPr>
          <w:sz w:val="24"/>
          <w:szCs w:val="24"/>
        </w:rPr>
        <w:t>metamorphose</w:t>
      </w:r>
      <w:r w:rsidR="00611DA4" w:rsidRPr="00FA3678">
        <w:rPr>
          <w:sz w:val="24"/>
          <w:szCs w:val="24"/>
        </w:rPr>
        <w:t xml:space="preserve"> in the light of the </w:t>
      </w:r>
      <w:r w:rsidR="00E70DB8" w:rsidRPr="00FA3678">
        <w:rPr>
          <w:sz w:val="24"/>
          <w:szCs w:val="24"/>
        </w:rPr>
        <w:t>constantly changing political climate and environmental priorities. The discourse and understanding of environmental just</w:t>
      </w:r>
      <w:r w:rsidR="00611DA4" w:rsidRPr="00FA3678">
        <w:rPr>
          <w:sz w:val="24"/>
          <w:szCs w:val="24"/>
        </w:rPr>
        <w:t>ice has broadened to include</w:t>
      </w:r>
      <w:r w:rsidR="00E70DB8" w:rsidRPr="00FA3678">
        <w:rPr>
          <w:sz w:val="24"/>
          <w:szCs w:val="24"/>
        </w:rPr>
        <w:t xml:space="preserve"> issues of</w:t>
      </w:r>
      <w:r w:rsidR="006A1B5C" w:rsidRPr="00FA3678">
        <w:rPr>
          <w:sz w:val="24"/>
          <w:szCs w:val="24"/>
        </w:rPr>
        <w:t xml:space="preserve"> fairness, equity, standing and class</w:t>
      </w:r>
      <w:r w:rsidR="00E70DB8" w:rsidRPr="00FA3678">
        <w:rPr>
          <w:sz w:val="24"/>
          <w:szCs w:val="24"/>
        </w:rPr>
        <w:t xml:space="preserve"> recognition of the disadvantaged popu</w:t>
      </w:r>
      <w:r w:rsidR="006A1B5C" w:rsidRPr="00FA3678">
        <w:rPr>
          <w:sz w:val="24"/>
          <w:szCs w:val="24"/>
        </w:rPr>
        <w:t>l</w:t>
      </w:r>
      <w:r w:rsidR="00086373" w:rsidRPr="00FA3678">
        <w:rPr>
          <w:sz w:val="24"/>
          <w:szCs w:val="24"/>
        </w:rPr>
        <w:t>ation and developing countries and meaningful participation of all in</w:t>
      </w:r>
      <w:r w:rsidR="00611DA4" w:rsidRPr="00FA3678">
        <w:rPr>
          <w:sz w:val="24"/>
          <w:szCs w:val="24"/>
        </w:rPr>
        <w:t xml:space="preserve"> the</w:t>
      </w:r>
      <w:r w:rsidR="00086373" w:rsidRPr="00FA3678">
        <w:rPr>
          <w:sz w:val="24"/>
          <w:szCs w:val="24"/>
        </w:rPr>
        <w:t xml:space="preserve"> d</w:t>
      </w:r>
      <w:r w:rsidR="005F28CA">
        <w:rPr>
          <w:sz w:val="24"/>
          <w:szCs w:val="24"/>
        </w:rPr>
        <w:t xml:space="preserve">ecision-making process to promote </w:t>
      </w:r>
      <w:r w:rsidR="00086373" w:rsidRPr="00FA3678">
        <w:rPr>
          <w:sz w:val="24"/>
          <w:szCs w:val="24"/>
        </w:rPr>
        <w:t>environmental governance</w:t>
      </w:r>
      <w:r w:rsidR="00572FFF" w:rsidRPr="00FA3678">
        <w:rPr>
          <w:rStyle w:val="FootnoteReference"/>
          <w:sz w:val="24"/>
          <w:szCs w:val="24"/>
        </w:rPr>
        <w:footnoteReference w:id="5"/>
      </w:r>
      <w:r w:rsidR="00086373" w:rsidRPr="00FA3678">
        <w:rPr>
          <w:sz w:val="24"/>
          <w:szCs w:val="24"/>
        </w:rPr>
        <w:t>.</w:t>
      </w:r>
    </w:p>
    <w:p w:rsidR="00993AA4" w:rsidRPr="00FA3678" w:rsidRDefault="00A36812" w:rsidP="00FA3678">
      <w:pPr>
        <w:rPr>
          <w:sz w:val="24"/>
          <w:szCs w:val="24"/>
        </w:rPr>
      </w:pPr>
      <w:r w:rsidRPr="00FA3678">
        <w:rPr>
          <w:b/>
          <w:sz w:val="24"/>
          <w:szCs w:val="24"/>
        </w:rPr>
        <w:t xml:space="preserve"> </w:t>
      </w:r>
      <w:r w:rsidRPr="00FA3678">
        <w:rPr>
          <w:sz w:val="24"/>
          <w:szCs w:val="24"/>
        </w:rPr>
        <w:t>Environmental justice scholarship</w:t>
      </w:r>
      <w:r w:rsidR="009017E5" w:rsidRPr="00FA3678">
        <w:rPr>
          <w:sz w:val="24"/>
          <w:szCs w:val="24"/>
        </w:rPr>
        <w:t xml:space="preserve"> encapsulates the</w:t>
      </w:r>
      <w:r w:rsidR="00262AFC" w:rsidRPr="00FA3678">
        <w:rPr>
          <w:sz w:val="24"/>
          <w:szCs w:val="24"/>
        </w:rPr>
        <w:t xml:space="preserve"> distribution of environmental benefits and burden</w:t>
      </w:r>
      <w:r w:rsidR="00A01C63" w:rsidRPr="00FA3678">
        <w:rPr>
          <w:sz w:val="24"/>
          <w:szCs w:val="24"/>
        </w:rPr>
        <w:t>s</w:t>
      </w:r>
      <w:r w:rsidR="00A01C63" w:rsidRPr="00FA3678">
        <w:rPr>
          <w:rStyle w:val="FootnoteReference"/>
          <w:sz w:val="24"/>
          <w:szCs w:val="24"/>
        </w:rPr>
        <w:footnoteReference w:id="6"/>
      </w:r>
      <w:r w:rsidR="00A01C63" w:rsidRPr="00FA3678">
        <w:rPr>
          <w:sz w:val="24"/>
          <w:szCs w:val="24"/>
        </w:rPr>
        <w:t>,</w:t>
      </w:r>
      <w:r w:rsidR="00262AFC" w:rsidRPr="00FA3678">
        <w:rPr>
          <w:sz w:val="24"/>
          <w:szCs w:val="24"/>
        </w:rPr>
        <w:t xml:space="preserve"> recognition of oppressed individuals and communities in the poli</w:t>
      </w:r>
      <w:r w:rsidR="00A01C63" w:rsidRPr="00FA3678">
        <w:rPr>
          <w:sz w:val="24"/>
          <w:szCs w:val="24"/>
        </w:rPr>
        <w:t>tical and cultural realms</w:t>
      </w:r>
      <w:r w:rsidR="00A01C63" w:rsidRPr="00FA3678">
        <w:rPr>
          <w:rStyle w:val="FootnoteReference"/>
          <w:sz w:val="24"/>
          <w:szCs w:val="24"/>
        </w:rPr>
        <w:footnoteReference w:id="7"/>
      </w:r>
      <w:r w:rsidR="00262AFC" w:rsidRPr="00FA3678">
        <w:rPr>
          <w:sz w:val="24"/>
          <w:szCs w:val="24"/>
        </w:rPr>
        <w:t xml:space="preserve"> and procedural dimension focusing o</w:t>
      </w:r>
      <w:r w:rsidR="00A01C63" w:rsidRPr="00FA3678">
        <w:rPr>
          <w:sz w:val="24"/>
          <w:szCs w:val="24"/>
        </w:rPr>
        <w:t>n participatory mechanisms</w:t>
      </w:r>
      <w:r w:rsidR="00F66E7B" w:rsidRPr="00FA3678">
        <w:rPr>
          <w:rStyle w:val="FootnoteReference"/>
          <w:sz w:val="24"/>
          <w:szCs w:val="24"/>
        </w:rPr>
        <w:footnoteReference w:id="8"/>
      </w:r>
      <w:r w:rsidR="00993AA4" w:rsidRPr="00FA3678">
        <w:rPr>
          <w:sz w:val="24"/>
          <w:szCs w:val="24"/>
        </w:rPr>
        <w:t xml:space="preserve">. The </w:t>
      </w:r>
      <w:r w:rsidR="00993AA4" w:rsidRPr="00FA3678">
        <w:rPr>
          <w:sz w:val="24"/>
          <w:szCs w:val="24"/>
        </w:rPr>
        <w:lastRenderedPageBreak/>
        <w:t xml:space="preserve">scope of this paper, however, is confined to </w:t>
      </w:r>
      <w:r w:rsidR="002F3B33" w:rsidRPr="00FA3678">
        <w:rPr>
          <w:sz w:val="24"/>
          <w:szCs w:val="24"/>
        </w:rPr>
        <w:t>a</w:t>
      </w:r>
      <w:r w:rsidR="00D85D74" w:rsidRPr="00FA3678">
        <w:rPr>
          <w:sz w:val="24"/>
          <w:szCs w:val="24"/>
        </w:rPr>
        <w:t xml:space="preserve"> strong procedural dimension of </w:t>
      </w:r>
      <w:r w:rsidR="007D6CD7" w:rsidRPr="00FA3678">
        <w:rPr>
          <w:sz w:val="24"/>
          <w:szCs w:val="24"/>
        </w:rPr>
        <w:t>‘</w:t>
      </w:r>
      <w:r w:rsidR="00D85D74" w:rsidRPr="00FA3678">
        <w:rPr>
          <w:sz w:val="24"/>
          <w:szCs w:val="24"/>
        </w:rPr>
        <w:t>reclaiming democracy</w:t>
      </w:r>
      <w:r w:rsidR="007D6CD7" w:rsidRPr="00FA3678">
        <w:rPr>
          <w:sz w:val="24"/>
          <w:szCs w:val="24"/>
        </w:rPr>
        <w:t>’</w:t>
      </w:r>
      <w:r w:rsidR="007D6CD7" w:rsidRPr="00FA3678">
        <w:rPr>
          <w:rStyle w:val="FootnoteReference"/>
          <w:sz w:val="24"/>
          <w:szCs w:val="24"/>
        </w:rPr>
        <w:footnoteReference w:id="9"/>
      </w:r>
      <w:r w:rsidR="00D85D74" w:rsidRPr="00FA3678">
        <w:rPr>
          <w:sz w:val="24"/>
          <w:szCs w:val="24"/>
        </w:rPr>
        <w:t xml:space="preserve"> through </w:t>
      </w:r>
      <w:r w:rsidR="00650A1A" w:rsidRPr="00FA3678">
        <w:rPr>
          <w:sz w:val="24"/>
          <w:szCs w:val="24"/>
        </w:rPr>
        <w:t>‘</w:t>
      </w:r>
      <w:r w:rsidR="00D85D74" w:rsidRPr="00FA3678">
        <w:rPr>
          <w:sz w:val="24"/>
          <w:szCs w:val="24"/>
        </w:rPr>
        <w:t xml:space="preserve">deliberative </w:t>
      </w:r>
      <w:r w:rsidR="004B298E" w:rsidRPr="00FA3678">
        <w:rPr>
          <w:sz w:val="24"/>
          <w:szCs w:val="24"/>
        </w:rPr>
        <w:t>and democratic participation and</w:t>
      </w:r>
      <w:r w:rsidR="002F3B33" w:rsidRPr="00FA3678">
        <w:rPr>
          <w:sz w:val="24"/>
          <w:szCs w:val="24"/>
        </w:rPr>
        <w:t xml:space="preserve"> the construction</w:t>
      </w:r>
      <w:r w:rsidR="004B298E" w:rsidRPr="00FA3678">
        <w:rPr>
          <w:sz w:val="24"/>
          <w:szCs w:val="24"/>
        </w:rPr>
        <w:t xml:space="preserve"> of capabilities among individuals, groups and non-human parts of nature</w:t>
      </w:r>
      <w:r w:rsidR="00650A1A" w:rsidRPr="00FA3678">
        <w:rPr>
          <w:sz w:val="24"/>
          <w:szCs w:val="24"/>
        </w:rPr>
        <w:t>’</w:t>
      </w:r>
      <w:r w:rsidR="00650A1A" w:rsidRPr="00FA3678">
        <w:rPr>
          <w:rStyle w:val="FootnoteReference"/>
          <w:sz w:val="24"/>
          <w:szCs w:val="24"/>
        </w:rPr>
        <w:footnoteReference w:id="10"/>
      </w:r>
      <w:r w:rsidR="004B298E" w:rsidRPr="00FA3678">
        <w:rPr>
          <w:sz w:val="24"/>
          <w:szCs w:val="24"/>
        </w:rPr>
        <w:t xml:space="preserve">. </w:t>
      </w:r>
      <w:r w:rsidR="0067013B" w:rsidRPr="00FA3678">
        <w:rPr>
          <w:sz w:val="24"/>
          <w:szCs w:val="24"/>
        </w:rPr>
        <w:t>In this context, access</w:t>
      </w:r>
      <w:r w:rsidR="00A85F92" w:rsidRPr="00FA3678">
        <w:rPr>
          <w:sz w:val="24"/>
          <w:szCs w:val="24"/>
        </w:rPr>
        <w:t xml:space="preserve"> to justice through an</w:t>
      </w:r>
      <w:r w:rsidR="003B10A1" w:rsidRPr="00FA3678">
        <w:rPr>
          <w:sz w:val="24"/>
          <w:szCs w:val="24"/>
        </w:rPr>
        <w:t xml:space="preserve"> accessible</w:t>
      </w:r>
      <w:r w:rsidR="0067013B" w:rsidRPr="00FA3678">
        <w:rPr>
          <w:sz w:val="24"/>
          <w:szCs w:val="24"/>
        </w:rPr>
        <w:t xml:space="preserve"> judicial mechanism as a means to redress environmental damage or harm and</w:t>
      </w:r>
      <w:r w:rsidR="007B2FCD" w:rsidRPr="00FA3678">
        <w:rPr>
          <w:sz w:val="24"/>
          <w:szCs w:val="24"/>
        </w:rPr>
        <w:t xml:space="preserve"> the</w:t>
      </w:r>
      <w:r w:rsidR="0067013B" w:rsidRPr="00FA3678">
        <w:rPr>
          <w:sz w:val="24"/>
          <w:szCs w:val="24"/>
        </w:rPr>
        <w:t xml:space="preserve"> protection</w:t>
      </w:r>
      <w:r w:rsidR="007B2FCD" w:rsidRPr="00FA3678">
        <w:rPr>
          <w:sz w:val="24"/>
          <w:szCs w:val="24"/>
        </w:rPr>
        <w:t xml:space="preserve"> and enforcement</w:t>
      </w:r>
      <w:r w:rsidR="0067013B" w:rsidRPr="00FA3678">
        <w:rPr>
          <w:sz w:val="24"/>
          <w:szCs w:val="24"/>
        </w:rPr>
        <w:t xml:space="preserve"> of legitimate interests assumes importance.</w:t>
      </w:r>
    </w:p>
    <w:p w:rsidR="000302AD" w:rsidRPr="00FA3678" w:rsidRDefault="0067013B" w:rsidP="00FA3678">
      <w:pPr>
        <w:rPr>
          <w:sz w:val="24"/>
          <w:szCs w:val="24"/>
        </w:rPr>
      </w:pPr>
      <w:r w:rsidRPr="00FA3678">
        <w:rPr>
          <w:sz w:val="24"/>
          <w:szCs w:val="24"/>
        </w:rPr>
        <w:t>The procedural element is ubiquitously embedded in the Stockholm</w:t>
      </w:r>
      <w:r w:rsidR="007D6CD7" w:rsidRPr="00FA3678">
        <w:rPr>
          <w:rStyle w:val="FootnoteReference"/>
          <w:sz w:val="24"/>
          <w:szCs w:val="24"/>
        </w:rPr>
        <w:footnoteReference w:id="11"/>
      </w:r>
      <w:r w:rsidRPr="00FA3678">
        <w:rPr>
          <w:sz w:val="24"/>
          <w:szCs w:val="24"/>
        </w:rPr>
        <w:t xml:space="preserve"> and Rio Declarations</w:t>
      </w:r>
      <w:r w:rsidR="003A6609" w:rsidRPr="00FA3678">
        <w:rPr>
          <w:rStyle w:val="FootnoteReference"/>
          <w:sz w:val="24"/>
          <w:szCs w:val="24"/>
        </w:rPr>
        <w:footnoteReference w:id="12"/>
      </w:r>
      <w:r w:rsidR="005664C9" w:rsidRPr="00FA3678">
        <w:rPr>
          <w:sz w:val="24"/>
          <w:szCs w:val="24"/>
        </w:rPr>
        <w:t xml:space="preserve"> and </w:t>
      </w:r>
      <w:r w:rsidR="007B2FCD" w:rsidRPr="00FA3678">
        <w:rPr>
          <w:sz w:val="24"/>
          <w:szCs w:val="24"/>
        </w:rPr>
        <w:t xml:space="preserve">the </w:t>
      </w:r>
      <w:r w:rsidRPr="00FA3678">
        <w:rPr>
          <w:sz w:val="24"/>
          <w:szCs w:val="24"/>
        </w:rPr>
        <w:t>Aarhus Convention</w:t>
      </w:r>
      <w:r w:rsidR="00ED5BE4" w:rsidRPr="00FA3678">
        <w:rPr>
          <w:sz w:val="24"/>
          <w:szCs w:val="24"/>
        </w:rPr>
        <w:t>.</w:t>
      </w:r>
      <w:r w:rsidR="007835A3" w:rsidRPr="00FA3678">
        <w:rPr>
          <w:rStyle w:val="FootnoteReference"/>
          <w:sz w:val="24"/>
          <w:szCs w:val="24"/>
        </w:rPr>
        <w:footnoteReference w:id="13"/>
      </w:r>
      <w:r w:rsidR="00AB4D4D" w:rsidRPr="00FA3678">
        <w:rPr>
          <w:sz w:val="24"/>
          <w:szCs w:val="24"/>
        </w:rPr>
        <w:t xml:space="preserve"> Access to environmental justice </w:t>
      </w:r>
      <w:r w:rsidR="00B719E3" w:rsidRPr="00FA3678">
        <w:rPr>
          <w:sz w:val="24"/>
          <w:szCs w:val="24"/>
        </w:rPr>
        <w:t>is the first step</w:t>
      </w:r>
      <w:r w:rsidR="00BD0E3C" w:rsidRPr="00FA3678">
        <w:rPr>
          <w:sz w:val="24"/>
          <w:szCs w:val="24"/>
        </w:rPr>
        <w:t xml:space="preserve"> to the achievement of</w:t>
      </w:r>
      <w:r w:rsidR="00AB4D4D" w:rsidRPr="00FA3678">
        <w:rPr>
          <w:sz w:val="24"/>
          <w:szCs w:val="24"/>
        </w:rPr>
        <w:t xml:space="preserve"> environmental justice goals by articulatin</w:t>
      </w:r>
      <w:r w:rsidR="00C00165" w:rsidRPr="00FA3678">
        <w:rPr>
          <w:sz w:val="24"/>
          <w:szCs w:val="24"/>
        </w:rPr>
        <w:t>g in the language of equity the assurance of legal</w:t>
      </w:r>
      <w:r w:rsidR="00AB4D4D" w:rsidRPr="00FA3678">
        <w:rPr>
          <w:sz w:val="24"/>
          <w:szCs w:val="24"/>
        </w:rPr>
        <w:t xml:space="preserve"> standing for all affected and interested parties; right of appeal or review; specialized environmental courts</w:t>
      </w:r>
      <w:r w:rsidR="003D1AAC" w:rsidRPr="00FA3678">
        <w:rPr>
          <w:sz w:val="24"/>
          <w:szCs w:val="24"/>
        </w:rPr>
        <w:t xml:space="preserve"> and other practical</w:t>
      </w:r>
      <w:r w:rsidR="00AB4D4D" w:rsidRPr="00FA3678">
        <w:rPr>
          <w:sz w:val="24"/>
          <w:szCs w:val="24"/>
        </w:rPr>
        <w:t xml:space="preserve"> dispute resolution mechanisms. </w:t>
      </w:r>
      <w:r w:rsidR="003572D4" w:rsidRPr="00FA3678">
        <w:rPr>
          <w:sz w:val="24"/>
          <w:szCs w:val="24"/>
        </w:rPr>
        <w:t>Several</w:t>
      </w:r>
      <w:r w:rsidR="003D1AAC" w:rsidRPr="00FA3678">
        <w:rPr>
          <w:sz w:val="24"/>
          <w:szCs w:val="24"/>
        </w:rPr>
        <w:t xml:space="preserve"> </w:t>
      </w:r>
      <w:r w:rsidR="007B2FCD" w:rsidRPr="00FA3678">
        <w:rPr>
          <w:sz w:val="24"/>
          <w:szCs w:val="24"/>
        </w:rPr>
        <w:t>international declarations</w:t>
      </w:r>
      <w:r w:rsidR="0049763F" w:rsidRPr="00FA3678">
        <w:rPr>
          <w:sz w:val="24"/>
          <w:szCs w:val="24"/>
        </w:rPr>
        <w:t xml:space="preserve"> and institutions</w:t>
      </w:r>
      <w:r w:rsidR="003572D4" w:rsidRPr="00FA3678">
        <w:rPr>
          <w:sz w:val="24"/>
          <w:szCs w:val="24"/>
        </w:rPr>
        <w:t xml:space="preserve"> also call</w:t>
      </w:r>
      <w:r w:rsidR="00926583" w:rsidRPr="00FA3678">
        <w:rPr>
          <w:sz w:val="24"/>
          <w:szCs w:val="24"/>
        </w:rPr>
        <w:t xml:space="preserve"> for judicial specialization</w:t>
      </w:r>
      <w:r w:rsidR="0066210F" w:rsidRPr="00FA3678">
        <w:rPr>
          <w:sz w:val="24"/>
          <w:szCs w:val="24"/>
        </w:rPr>
        <w:t>,</w:t>
      </w:r>
      <w:r w:rsidR="00926583" w:rsidRPr="00FA3678">
        <w:rPr>
          <w:sz w:val="24"/>
          <w:szCs w:val="24"/>
        </w:rPr>
        <w:t xml:space="preserve"> envisaging expert courts and trained judges and lawyers</w:t>
      </w:r>
      <w:r w:rsidR="00DA7AFB" w:rsidRPr="00FA3678">
        <w:rPr>
          <w:sz w:val="24"/>
          <w:szCs w:val="24"/>
        </w:rPr>
        <w:t xml:space="preserve"> in environmental matters</w:t>
      </w:r>
      <w:r w:rsidR="0027215A" w:rsidRPr="00FA3678">
        <w:rPr>
          <w:rStyle w:val="FootnoteReference"/>
          <w:sz w:val="24"/>
          <w:szCs w:val="24"/>
        </w:rPr>
        <w:footnoteReference w:id="14"/>
      </w:r>
      <w:r w:rsidR="00926583" w:rsidRPr="00FA3678">
        <w:rPr>
          <w:sz w:val="24"/>
          <w:szCs w:val="24"/>
        </w:rPr>
        <w:t xml:space="preserve"> </w:t>
      </w:r>
      <w:r w:rsidR="0066210F" w:rsidRPr="00FA3678">
        <w:rPr>
          <w:sz w:val="24"/>
          <w:szCs w:val="24"/>
        </w:rPr>
        <w:t>. They seek to strengthen</w:t>
      </w:r>
      <w:r w:rsidR="00926583" w:rsidRPr="00FA3678">
        <w:rPr>
          <w:sz w:val="24"/>
          <w:szCs w:val="24"/>
        </w:rPr>
        <w:t xml:space="preserve"> the capacity building among individuals within the decision-making process at national, regional and global levels</w:t>
      </w:r>
      <w:r w:rsidR="00DA7AFB" w:rsidRPr="00FA3678">
        <w:rPr>
          <w:sz w:val="24"/>
          <w:szCs w:val="24"/>
        </w:rPr>
        <w:t>.</w:t>
      </w:r>
      <w:r w:rsidR="00B007D6" w:rsidRPr="00FA3678">
        <w:rPr>
          <w:sz w:val="24"/>
          <w:szCs w:val="24"/>
        </w:rPr>
        <w:t xml:space="preserve"> </w:t>
      </w:r>
      <w:r w:rsidR="00C82C8D" w:rsidRPr="00FA3678">
        <w:rPr>
          <w:sz w:val="24"/>
          <w:szCs w:val="24"/>
        </w:rPr>
        <w:t xml:space="preserve">In this context, India’s commitment </w:t>
      </w:r>
      <w:r w:rsidR="007B2FCD" w:rsidRPr="00FA3678">
        <w:rPr>
          <w:sz w:val="24"/>
          <w:szCs w:val="24"/>
        </w:rPr>
        <w:t>to</w:t>
      </w:r>
      <w:r w:rsidR="00CB5E98">
        <w:rPr>
          <w:sz w:val="24"/>
          <w:szCs w:val="24"/>
        </w:rPr>
        <w:t xml:space="preserve"> the</w:t>
      </w:r>
      <w:r w:rsidR="00C82C8D" w:rsidRPr="00FA3678">
        <w:rPr>
          <w:sz w:val="24"/>
          <w:szCs w:val="24"/>
        </w:rPr>
        <w:t xml:space="preserve"> Green Court assumes</w:t>
      </w:r>
      <w:r w:rsidR="007B2FCD" w:rsidRPr="00FA3678">
        <w:rPr>
          <w:sz w:val="24"/>
          <w:szCs w:val="24"/>
        </w:rPr>
        <w:t xml:space="preserve"> significant</w:t>
      </w:r>
      <w:r w:rsidR="00050D5F" w:rsidRPr="00FA3678">
        <w:rPr>
          <w:sz w:val="24"/>
          <w:szCs w:val="24"/>
        </w:rPr>
        <w:t xml:space="preserve"> practical</w:t>
      </w:r>
      <w:r w:rsidR="00C82C8D" w:rsidRPr="00FA3678">
        <w:rPr>
          <w:sz w:val="24"/>
          <w:szCs w:val="24"/>
        </w:rPr>
        <w:t xml:space="preserve"> importance.</w:t>
      </w:r>
      <w:r w:rsidR="000302AD" w:rsidRPr="00FA3678">
        <w:rPr>
          <w:sz w:val="24"/>
          <w:szCs w:val="24"/>
        </w:rPr>
        <w:t xml:space="preserve"> </w:t>
      </w:r>
    </w:p>
    <w:p w:rsidR="00C72628" w:rsidRPr="00FA3678" w:rsidRDefault="00C82C8D" w:rsidP="00FA3678">
      <w:pPr>
        <w:rPr>
          <w:sz w:val="24"/>
          <w:szCs w:val="24"/>
        </w:rPr>
      </w:pPr>
      <w:r w:rsidRPr="00FA3678">
        <w:rPr>
          <w:sz w:val="24"/>
          <w:szCs w:val="24"/>
        </w:rPr>
        <w:t xml:space="preserve"> </w:t>
      </w:r>
      <w:r w:rsidR="005A7C8A" w:rsidRPr="00FA3678">
        <w:rPr>
          <w:sz w:val="24"/>
          <w:szCs w:val="24"/>
        </w:rPr>
        <w:t>This paper focuses on the application of</w:t>
      </w:r>
      <w:r w:rsidR="00B007D6" w:rsidRPr="00FA3678">
        <w:rPr>
          <w:sz w:val="24"/>
          <w:szCs w:val="24"/>
        </w:rPr>
        <w:t xml:space="preserve"> the principles of international environmental law at the domestic level</w:t>
      </w:r>
      <w:r w:rsidR="005A7C8A" w:rsidRPr="00FA3678">
        <w:rPr>
          <w:sz w:val="24"/>
          <w:szCs w:val="24"/>
        </w:rPr>
        <w:t xml:space="preserve"> by the National Green Tribunal [NGT], India</w:t>
      </w:r>
      <w:r w:rsidR="00B007D6" w:rsidRPr="00FA3678">
        <w:rPr>
          <w:sz w:val="24"/>
          <w:szCs w:val="24"/>
        </w:rPr>
        <w:t>. The paper is divided into th</w:t>
      </w:r>
      <w:r w:rsidR="009F20D6" w:rsidRPr="00FA3678">
        <w:rPr>
          <w:sz w:val="24"/>
          <w:szCs w:val="24"/>
        </w:rPr>
        <w:t>ree parts- the first part offers</w:t>
      </w:r>
      <w:r w:rsidR="00B007D6" w:rsidRPr="00FA3678">
        <w:rPr>
          <w:sz w:val="24"/>
          <w:szCs w:val="24"/>
        </w:rPr>
        <w:t xml:space="preserve"> a brief account of the genesis and establishment of NGT, India; the second </w:t>
      </w:r>
      <w:r w:rsidR="00512602" w:rsidRPr="00FA3678">
        <w:rPr>
          <w:sz w:val="24"/>
          <w:szCs w:val="24"/>
        </w:rPr>
        <w:t xml:space="preserve">part analyses the </w:t>
      </w:r>
      <w:r w:rsidR="006D7496" w:rsidRPr="00FA3678">
        <w:rPr>
          <w:sz w:val="24"/>
          <w:szCs w:val="24"/>
        </w:rPr>
        <w:t xml:space="preserve"> application</w:t>
      </w:r>
      <w:r w:rsidR="00B007D6" w:rsidRPr="00FA3678">
        <w:rPr>
          <w:sz w:val="24"/>
          <w:szCs w:val="24"/>
        </w:rPr>
        <w:t xml:space="preserve"> of the international environmental law principles</w:t>
      </w:r>
      <w:r w:rsidR="006D7496" w:rsidRPr="00FA3678">
        <w:rPr>
          <w:sz w:val="24"/>
          <w:szCs w:val="24"/>
        </w:rPr>
        <w:t xml:space="preserve"> in conjunction with the  domestic right to environment </w:t>
      </w:r>
      <w:r w:rsidR="00B007D6" w:rsidRPr="00FA3678">
        <w:rPr>
          <w:sz w:val="24"/>
          <w:szCs w:val="24"/>
        </w:rPr>
        <w:t>at the national level</w:t>
      </w:r>
      <w:r w:rsidR="00687E77" w:rsidRPr="00FA3678">
        <w:rPr>
          <w:sz w:val="24"/>
          <w:szCs w:val="24"/>
        </w:rPr>
        <w:t xml:space="preserve"> and reviews</w:t>
      </w:r>
      <w:r w:rsidR="00827015" w:rsidRPr="00FA3678">
        <w:rPr>
          <w:sz w:val="24"/>
          <w:szCs w:val="24"/>
        </w:rPr>
        <w:t xml:space="preserve"> appropriate case illustrations</w:t>
      </w:r>
      <w:r w:rsidR="00687E77" w:rsidRPr="00FA3678">
        <w:rPr>
          <w:sz w:val="24"/>
          <w:szCs w:val="24"/>
        </w:rPr>
        <w:t>;</w:t>
      </w:r>
      <w:r w:rsidR="00B007D6" w:rsidRPr="00FA3678">
        <w:rPr>
          <w:sz w:val="24"/>
          <w:szCs w:val="24"/>
        </w:rPr>
        <w:t xml:space="preserve"> the third part is the conclusion.</w:t>
      </w:r>
    </w:p>
    <w:p w:rsidR="00350BBF" w:rsidRPr="00FA3678" w:rsidRDefault="001B6F99" w:rsidP="00FA3678">
      <w:pPr>
        <w:rPr>
          <w:b/>
          <w:sz w:val="24"/>
          <w:szCs w:val="24"/>
        </w:rPr>
      </w:pPr>
      <w:r w:rsidRPr="00FA3678">
        <w:rPr>
          <w:b/>
          <w:sz w:val="24"/>
          <w:szCs w:val="24"/>
        </w:rPr>
        <w:t>2</w:t>
      </w:r>
      <w:r w:rsidR="005A7C8A" w:rsidRPr="00FA3678">
        <w:rPr>
          <w:b/>
          <w:sz w:val="24"/>
          <w:szCs w:val="24"/>
        </w:rPr>
        <w:t>. THE NATIONAL GREEN TRIBUNAL,</w:t>
      </w:r>
      <w:r w:rsidRPr="00FA3678">
        <w:rPr>
          <w:b/>
          <w:sz w:val="24"/>
          <w:szCs w:val="24"/>
        </w:rPr>
        <w:t xml:space="preserve"> INDIA</w:t>
      </w:r>
    </w:p>
    <w:p w:rsidR="007640F6" w:rsidRPr="00FA3678" w:rsidRDefault="007640F6" w:rsidP="00FA3678">
      <w:pPr>
        <w:rPr>
          <w:sz w:val="24"/>
          <w:szCs w:val="24"/>
        </w:rPr>
      </w:pPr>
      <w:r w:rsidRPr="00FA3678">
        <w:rPr>
          <w:sz w:val="24"/>
          <w:szCs w:val="24"/>
        </w:rPr>
        <w:t xml:space="preserve">2.1 </w:t>
      </w:r>
      <w:r w:rsidR="00146293" w:rsidRPr="00FA3678">
        <w:rPr>
          <w:sz w:val="24"/>
          <w:szCs w:val="24"/>
        </w:rPr>
        <w:t xml:space="preserve">The </w:t>
      </w:r>
      <w:r w:rsidRPr="00FA3678">
        <w:rPr>
          <w:sz w:val="24"/>
          <w:szCs w:val="24"/>
        </w:rPr>
        <w:t>Genesis</w:t>
      </w:r>
    </w:p>
    <w:p w:rsidR="00AD66F1" w:rsidRPr="00FA3678" w:rsidRDefault="00BE1F58" w:rsidP="00FA3678">
      <w:pPr>
        <w:rPr>
          <w:sz w:val="24"/>
          <w:szCs w:val="24"/>
        </w:rPr>
      </w:pPr>
      <w:r w:rsidRPr="00FA3678">
        <w:rPr>
          <w:sz w:val="24"/>
          <w:szCs w:val="24"/>
        </w:rPr>
        <w:lastRenderedPageBreak/>
        <w:t xml:space="preserve">India’s environmental </w:t>
      </w:r>
      <w:r w:rsidR="00712663" w:rsidRPr="00FA3678">
        <w:rPr>
          <w:sz w:val="24"/>
          <w:szCs w:val="24"/>
        </w:rPr>
        <w:t>justice discourse resonated as a result of</w:t>
      </w:r>
      <w:r w:rsidR="004018B8" w:rsidRPr="00FA3678">
        <w:rPr>
          <w:sz w:val="24"/>
          <w:szCs w:val="24"/>
        </w:rPr>
        <w:t xml:space="preserve"> a growing</w:t>
      </w:r>
      <w:r w:rsidR="007D281A" w:rsidRPr="00FA3678">
        <w:rPr>
          <w:sz w:val="24"/>
          <w:szCs w:val="24"/>
        </w:rPr>
        <w:t xml:space="preserve"> judicial realisation and appreciation of the connection between human right</w:t>
      </w:r>
      <w:r w:rsidR="0028530E" w:rsidRPr="00FA3678">
        <w:rPr>
          <w:sz w:val="24"/>
          <w:szCs w:val="24"/>
        </w:rPr>
        <w:t>s and environmental protection. The deficiencies in environmental regulations, contradictions and gaps in institutional mechanisms,</w:t>
      </w:r>
      <w:r w:rsidR="00712663" w:rsidRPr="00FA3678">
        <w:rPr>
          <w:sz w:val="24"/>
          <w:szCs w:val="24"/>
        </w:rPr>
        <w:t xml:space="preserve"> inefficiencies in administrative enforcement,</w:t>
      </w:r>
      <w:r w:rsidR="0028530E" w:rsidRPr="00FA3678">
        <w:rPr>
          <w:sz w:val="24"/>
          <w:szCs w:val="24"/>
        </w:rPr>
        <w:t xml:space="preserve"> multi-layered corruption,</w:t>
      </w:r>
      <w:r w:rsidR="00712663" w:rsidRPr="00FA3678">
        <w:rPr>
          <w:sz w:val="24"/>
          <w:szCs w:val="24"/>
        </w:rPr>
        <w:t xml:space="preserve"> including</w:t>
      </w:r>
      <w:r w:rsidR="0028530E" w:rsidRPr="00FA3678">
        <w:rPr>
          <w:sz w:val="24"/>
          <w:szCs w:val="24"/>
        </w:rPr>
        <w:t xml:space="preserve"> political corruption </w:t>
      </w:r>
      <w:r w:rsidR="00712663" w:rsidRPr="00FA3678">
        <w:rPr>
          <w:sz w:val="24"/>
          <w:szCs w:val="24"/>
        </w:rPr>
        <w:t>and personal gain collectively</w:t>
      </w:r>
      <w:r w:rsidR="00273D39" w:rsidRPr="00FA3678">
        <w:rPr>
          <w:sz w:val="24"/>
          <w:szCs w:val="24"/>
        </w:rPr>
        <w:t xml:space="preserve"> prompted </w:t>
      </w:r>
      <w:r w:rsidR="009D389B" w:rsidRPr="00FA3678">
        <w:rPr>
          <w:sz w:val="24"/>
          <w:szCs w:val="24"/>
        </w:rPr>
        <w:t xml:space="preserve">the Supreme Court of India </w:t>
      </w:r>
      <w:r w:rsidR="00AC47BF" w:rsidRPr="00FA3678">
        <w:rPr>
          <w:sz w:val="24"/>
          <w:szCs w:val="24"/>
        </w:rPr>
        <w:t>into the</w:t>
      </w:r>
      <w:r w:rsidR="00A13854" w:rsidRPr="00FA3678">
        <w:rPr>
          <w:sz w:val="24"/>
          <w:szCs w:val="24"/>
        </w:rPr>
        <w:t xml:space="preserve"> de-facto </w:t>
      </w:r>
      <w:r w:rsidR="00AC47BF" w:rsidRPr="00FA3678">
        <w:rPr>
          <w:sz w:val="24"/>
          <w:szCs w:val="24"/>
        </w:rPr>
        <w:t>role of</w:t>
      </w:r>
      <w:r w:rsidR="00A13854" w:rsidRPr="00FA3678">
        <w:rPr>
          <w:sz w:val="24"/>
          <w:szCs w:val="24"/>
        </w:rPr>
        <w:t xml:space="preserve"> a caretaker of the environment through public interest litigation [PIL]</w:t>
      </w:r>
      <w:r w:rsidR="00083616" w:rsidRPr="00FA3678">
        <w:rPr>
          <w:rStyle w:val="FootnoteReference"/>
          <w:sz w:val="24"/>
          <w:szCs w:val="24"/>
        </w:rPr>
        <w:footnoteReference w:id="15"/>
      </w:r>
      <w:r w:rsidR="00A13854" w:rsidRPr="00FA3678">
        <w:rPr>
          <w:sz w:val="24"/>
          <w:szCs w:val="24"/>
        </w:rPr>
        <w:t>. A new environmental jurisprudence bu</w:t>
      </w:r>
      <w:r w:rsidR="00DA770A" w:rsidRPr="00FA3678">
        <w:rPr>
          <w:sz w:val="24"/>
          <w:szCs w:val="24"/>
        </w:rPr>
        <w:t>ilt on innovative substantive</w:t>
      </w:r>
      <w:r w:rsidR="00712663" w:rsidRPr="00FA3678">
        <w:rPr>
          <w:sz w:val="24"/>
          <w:szCs w:val="24"/>
        </w:rPr>
        <w:t xml:space="preserve"> features</w:t>
      </w:r>
      <w:r w:rsidR="00DA770A" w:rsidRPr="00FA3678">
        <w:rPr>
          <w:sz w:val="24"/>
          <w:szCs w:val="24"/>
        </w:rPr>
        <w:t xml:space="preserve"> [</w:t>
      </w:r>
      <w:r w:rsidR="00A13854" w:rsidRPr="00FA3678">
        <w:rPr>
          <w:sz w:val="24"/>
          <w:szCs w:val="24"/>
        </w:rPr>
        <w:t xml:space="preserve">right to </w:t>
      </w:r>
      <w:r w:rsidR="00014C5A">
        <w:rPr>
          <w:sz w:val="24"/>
          <w:szCs w:val="24"/>
        </w:rPr>
        <w:t xml:space="preserve">a </w:t>
      </w:r>
      <w:r w:rsidR="00A13854" w:rsidRPr="00FA3678">
        <w:rPr>
          <w:sz w:val="24"/>
          <w:szCs w:val="24"/>
        </w:rPr>
        <w:t>healthy environment, derivative principles of international envir</w:t>
      </w:r>
      <w:r w:rsidR="00DA770A" w:rsidRPr="00FA3678">
        <w:rPr>
          <w:sz w:val="24"/>
          <w:szCs w:val="24"/>
        </w:rPr>
        <w:t>onmental law, strict compliance of</w:t>
      </w:r>
      <w:r w:rsidR="00A13854" w:rsidRPr="00FA3678">
        <w:rPr>
          <w:sz w:val="24"/>
          <w:szCs w:val="24"/>
        </w:rPr>
        <w:t xml:space="preserve"> regulatory norms] and procedural</w:t>
      </w:r>
      <w:r w:rsidR="00712663" w:rsidRPr="00FA3678">
        <w:rPr>
          <w:sz w:val="24"/>
          <w:szCs w:val="24"/>
        </w:rPr>
        <w:t xml:space="preserve"> features</w:t>
      </w:r>
      <w:r w:rsidR="00A13854" w:rsidRPr="00FA3678">
        <w:rPr>
          <w:sz w:val="24"/>
          <w:szCs w:val="24"/>
        </w:rPr>
        <w:t xml:space="preserve"> [broader and enhanced standing, fact finding commission</w:t>
      </w:r>
      <w:r w:rsidR="00712663" w:rsidRPr="00FA3678">
        <w:rPr>
          <w:sz w:val="24"/>
          <w:szCs w:val="24"/>
        </w:rPr>
        <w:t>s, continuing mandamus]</w:t>
      </w:r>
      <w:r w:rsidR="00A13854" w:rsidRPr="00FA3678">
        <w:rPr>
          <w:sz w:val="24"/>
          <w:szCs w:val="24"/>
        </w:rPr>
        <w:t xml:space="preserve"> p</w:t>
      </w:r>
      <w:r w:rsidR="00DA770A" w:rsidRPr="00FA3678">
        <w:rPr>
          <w:sz w:val="24"/>
          <w:szCs w:val="24"/>
        </w:rPr>
        <w:t>romote</w:t>
      </w:r>
      <w:r w:rsidR="00FB6DE6" w:rsidRPr="00FA3678">
        <w:rPr>
          <w:sz w:val="24"/>
          <w:szCs w:val="24"/>
        </w:rPr>
        <w:t xml:space="preserve">d dynamism and </w:t>
      </w:r>
      <w:r w:rsidR="00712663" w:rsidRPr="00FA3678">
        <w:rPr>
          <w:sz w:val="24"/>
          <w:szCs w:val="24"/>
        </w:rPr>
        <w:t>capability</w:t>
      </w:r>
      <w:r w:rsidR="00AB1FCD" w:rsidRPr="00FA3678">
        <w:rPr>
          <w:rStyle w:val="FootnoteReference"/>
          <w:sz w:val="24"/>
          <w:szCs w:val="24"/>
        </w:rPr>
        <w:footnoteReference w:id="16"/>
      </w:r>
      <w:r w:rsidR="00E22EF4" w:rsidRPr="00FA3678">
        <w:rPr>
          <w:sz w:val="24"/>
          <w:szCs w:val="24"/>
        </w:rPr>
        <w:t xml:space="preserve">, </w:t>
      </w:r>
      <w:r w:rsidR="00FB6DE6" w:rsidRPr="00FA3678">
        <w:rPr>
          <w:sz w:val="24"/>
          <w:szCs w:val="24"/>
        </w:rPr>
        <w:t xml:space="preserve">thereby, </w:t>
      </w:r>
      <w:r w:rsidR="00712663" w:rsidRPr="00FA3678">
        <w:rPr>
          <w:sz w:val="24"/>
          <w:szCs w:val="24"/>
        </w:rPr>
        <w:t xml:space="preserve"> provid</w:t>
      </w:r>
      <w:r w:rsidR="00DA770A" w:rsidRPr="00FA3678">
        <w:rPr>
          <w:sz w:val="24"/>
          <w:szCs w:val="24"/>
        </w:rPr>
        <w:t>ing victims of environmental degradation</w:t>
      </w:r>
      <w:r w:rsidR="00712663" w:rsidRPr="00FA3678">
        <w:rPr>
          <w:sz w:val="24"/>
          <w:szCs w:val="24"/>
        </w:rPr>
        <w:t xml:space="preserve"> with a route</w:t>
      </w:r>
      <w:r w:rsidR="00DA770A" w:rsidRPr="00FA3678">
        <w:rPr>
          <w:sz w:val="24"/>
          <w:szCs w:val="24"/>
        </w:rPr>
        <w:t xml:space="preserve"> to access justice in a participatory ma</w:t>
      </w:r>
      <w:r w:rsidR="00712663" w:rsidRPr="00FA3678">
        <w:rPr>
          <w:sz w:val="24"/>
          <w:szCs w:val="24"/>
        </w:rPr>
        <w:t>nner. Thus,</w:t>
      </w:r>
      <w:r w:rsidR="00DA770A" w:rsidRPr="00FA3678">
        <w:rPr>
          <w:sz w:val="24"/>
          <w:szCs w:val="24"/>
        </w:rPr>
        <w:t xml:space="preserve"> judicia</w:t>
      </w:r>
      <w:r w:rsidR="00712663" w:rsidRPr="00FA3678">
        <w:rPr>
          <w:sz w:val="24"/>
          <w:szCs w:val="24"/>
        </w:rPr>
        <w:t xml:space="preserve">l </w:t>
      </w:r>
      <w:r w:rsidR="00FB6DE6" w:rsidRPr="00FA3678">
        <w:rPr>
          <w:sz w:val="24"/>
          <w:szCs w:val="24"/>
        </w:rPr>
        <w:t xml:space="preserve">activism promoted </w:t>
      </w:r>
      <w:r w:rsidR="00D03B72" w:rsidRPr="00FA3678">
        <w:rPr>
          <w:sz w:val="24"/>
          <w:szCs w:val="24"/>
        </w:rPr>
        <w:t>environmental justice through judge-fashioned processes and</w:t>
      </w:r>
      <w:r w:rsidR="00712663" w:rsidRPr="00FA3678">
        <w:rPr>
          <w:sz w:val="24"/>
          <w:szCs w:val="24"/>
        </w:rPr>
        <w:t xml:space="preserve"> remedies</w:t>
      </w:r>
      <w:r w:rsidR="00E531C0" w:rsidRPr="00FA3678">
        <w:rPr>
          <w:sz w:val="24"/>
          <w:szCs w:val="24"/>
        </w:rPr>
        <w:t>. These</w:t>
      </w:r>
      <w:r w:rsidR="00712663" w:rsidRPr="00FA3678">
        <w:rPr>
          <w:sz w:val="24"/>
          <w:szCs w:val="24"/>
        </w:rPr>
        <w:t xml:space="preserve"> are</w:t>
      </w:r>
      <w:r w:rsidR="000F3802" w:rsidRPr="00FA3678">
        <w:rPr>
          <w:sz w:val="24"/>
          <w:szCs w:val="24"/>
        </w:rPr>
        <w:t>, as</w:t>
      </w:r>
      <w:r w:rsidR="00D03B72" w:rsidRPr="00FA3678">
        <w:rPr>
          <w:sz w:val="24"/>
          <w:szCs w:val="24"/>
        </w:rPr>
        <w:t xml:space="preserve"> Ellis says, ‘redistributive, progressive and just.’</w:t>
      </w:r>
      <w:r w:rsidR="0040165D" w:rsidRPr="00FA3678">
        <w:rPr>
          <w:rStyle w:val="FootnoteReference"/>
          <w:sz w:val="24"/>
          <w:szCs w:val="24"/>
        </w:rPr>
        <w:footnoteReference w:id="17"/>
      </w:r>
    </w:p>
    <w:p w:rsidR="00301486" w:rsidRPr="00FA3678" w:rsidRDefault="00FE3A42" w:rsidP="00FA3678">
      <w:pPr>
        <w:spacing w:before="240"/>
        <w:rPr>
          <w:rFonts w:eastAsia="Times New Roman" w:cs="TimesNewRomanPSMT"/>
          <w:sz w:val="24"/>
          <w:szCs w:val="24"/>
          <w:lang w:eastAsia="ar-SA"/>
        </w:rPr>
      </w:pPr>
      <w:r w:rsidRPr="00FA3678">
        <w:rPr>
          <w:sz w:val="24"/>
          <w:szCs w:val="24"/>
        </w:rPr>
        <w:t>The active engagement of</w:t>
      </w:r>
      <w:r w:rsidR="00104D9C" w:rsidRPr="00FA3678">
        <w:rPr>
          <w:sz w:val="24"/>
          <w:szCs w:val="24"/>
        </w:rPr>
        <w:t xml:space="preserve"> the</w:t>
      </w:r>
      <w:r w:rsidRPr="00FA3678">
        <w:rPr>
          <w:sz w:val="24"/>
          <w:szCs w:val="24"/>
        </w:rPr>
        <w:t xml:space="preserve"> Indian judiciary in imparting environmental justice, nonetheless, raised concerns about the effectiveness of</w:t>
      </w:r>
      <w:r w:rsidR="00183A61" w:rsidRPr="00FA3678">
        <w:rPr>
          <w:sz w:val="24"/>
          <w:szCs w:val="24"/>
        </w:rPr>
        <w:t xml:space="preserve"> </w:t>
      </w:r>
      <w:r w:rsidRPr="00FA3678">
        <w:rPr>
          <w:sz w:val="24"/>
          <w:szCs w:val="24"/>
        </w:rPr>
        <w:t>PIL in relation to rapidly increasing numbers of petitions,</w:t>
      </w:r>
      <w:r w:rsidR="00A70A09" w:rsidRPr="00FA3678">
        <w:rPr>
          <w:sz w:val="24"/>
          <w:szCs w:val="24"/>
        </w:rPr>
        <w:t xml:space="preserve"> </w:t>
      </w:r>
      <w:r w:rsidRPr="00FA3678">
        <w:rPr>
          <w:sz w:val="24"/>
          <w:szCs w:val="24"/>
        </w:rPr>
        <w:t xml:space="preserve">complex technical and scientific issues, unrealistic </w:t>
      </w:r>
      <w:r w:rsidR="00714BD5" w:rsidRPr="00FA3678">
        <w:rPr>
          <w:sz w:val="24"/>
          <w:szCs w:val="24"/>
        </w:rPr>
        <w:t xml:space="preserve">court </w:t>
      </w:r>
      <w:r w:rsidRPr="00FA3678">
        <w:rPr>
          <w:sz w:val="24"/>
          <w:szCs w:val="24"/>
        </w:rPr>
        <w:t>directions, individual judicial preferences</w:t>
      </w:r>
      <w:r w:rsidR="003D1AAC" w:rsidRPr="00FA3678">
        <w:rPr>
          <w:sz w:val="24"/>
          <w:szCs w:val="24"/>
        </w:rPr>
        <w:t>, more often personality driven</w:t>
      </w:r>
      <w:r w:rsidR="00E53FEE" w:rsidRPr="00FA3678">
        <w:rPr>
          <w:sz w:val="24"/>
          <w:szCs w:val="24"/>
        </w:rPr>
        <w:t xml:space="preserve"> rather</w:t>
      </w:r>
      <w:r w:rsidR="00DD1B78" w:rsidRPr="00FA3678">
        <w:rPr>
          <w:sz w:val="24"/>
          <w:szCs w:val="24"/>
        </w:rPr>
        <w:t xml:space="preserve"> than</w:t>
      </w:r>
      <w:r w:rsidR="00E53FEE" w:rsidRPr="00FA3678">
        <w:rPr>
          <w:sz w:val="24"/>
          <w:szCs w:val="24"/>
        </w:rPr>
        <w:t xml:space="preserve"> reflecting collective</w:t>
      </w:r>
      <w:r w:rsidR="00DD1B78" w:rsidRPr="00FA3678">
        <w:rPr>
          <w:sz w:val="24"/>
          <w:szCs w:val="24"/>
        </w:rPr>
        <w:t xml:space="preserve"> institutionalised</w:t>
      </w:r>
      <w:r w:rsidR="003D1AAC" w:rsidRPr="00FA3678">
        <w:rPr>
          <w:sz w:val="24"/>
          <w:szCs w:val="24"/>
        </w:rPr>
        <w:t xml:space="preserve"> adjudication</w:t>
      </w:r>
      <w:r w:rsidRPr="00FA3678">
        <w:rPr>
          <w:sz w:val="24"/>
          <w:szCs w:val="24"/>
        </w:rPr>
        <w:t xml:space="preserve"> and</w:t>
      </w:r>
      <w:r w:rsidR="00E53FEE" w:rsidRPr="00FA3678">
        <w:rPr>
          <w:sz w:val="24"/>
          <w:szCs w:val="24"/>
        </w:rPr>
        <w:t xml:space="preserve"> also</w:t>
      </w:r>
      <w:r w:rsidR="000F3802" w:rsidRPr="00FA3678">
        <w:rPr>
          <w:sz w:val="24"/>
          <w:szCs w:val="24"/>
        </w:rPr>
        <w:t xml:space="preserve"> the</w:t>
      </w:r>
      <w:r w:rsidRPr="00FA3678">
        <w:rPr>
          <w:sz w:val="24"/>
          <w:szCs w:val="24"/>
        </w:rPr>
        <w:t xml:space="preserve"> issue of</w:t>
      </w:r>
      <w:r w:rsidRPr="00FA3678">
        <w:rPr>
          <w:b/>
          <w:sz w:val="24"/>
          <w:szCs w:val="24"/>
        </w:rPr>
        <w:t xml:space="preserve"> </w:t>
      </w:r>
      <w:r w:rsidRPr="00FA3678">
        <w:rPr>
          <w:sz w:val="24"/>
          <w:szCs w:val="24"/>
        </w:rPr>
        <w:t>creeping jurisdiction</w:t>
      </w:r>
      <w:r w:rsidR="00906C86" w:rsidRPr="00FA3678">
        <w:rPr>
          <w:sz w:val="24"/>
          <w:szCs w:val="24"/>
        </w:rPr>
        <w:t>.</w:t>
      </w:r>
      <w:r w:rsidR="00906C86" w:rsidRPr="00FA3678">
        <w:rPr>
          <w:rStyle w:val="FootnoteReference"/>
          <w:sz w:val="24"/>
          <w:szCs w:val="24"/>
        </w:rPr>
        <w:footnoteReference w:id="18"/>
      </w:r>
      <w:r w:rsidRPr="00FA3678">
        <w:rPr>
          <w:sz w:val="24"/>
          <w:szCs w:val="24"/>
        </w:rPr>
        <w:t xml:space="preserve"> </w:t>
      </w:r>
      <w:r w:rsidR="00301486" w:rsidRPr="00FA3678">
        <w:rPr>
          <w:rFonts w:eastAsia="Calibri" w:cs="Calibri"/>
          <w:sz w:val="24"/>
          <w:szCs w:val="24"/>
          <w:lang w:eastAsia="ar-SA"/>
        </w:rPr>
        <w:t>The Law Commission of India in its One Hundred and Eighty Sixth Report on ‘Proposal to Const</w:t>
      </w:r>
      <w:r w:rsidR="00861F87" w:rsidRPr="00FA3678">
        <w:rPr>
          <w:rFonts w:eastAsia="Calibri" w:cs="Calibri"/>
          <w:sz w:val="24"/>
          <w:szCs w:val="24"/>
          <w:lang w:eastAsia="ar-SA"/>
        </w:rPr>
        <w:t>itute Environment Courts’</w:t>
      </w:r>
      <w:r w:rsidR="00861F87" w:rsidRPr="00FA3678">
        <w:rPr>
          <w:rStyle w:val="FootnoteReference"/>
          <w:rFonts w:eastAsia="Calibri" w:cs="Calibri"/>
          <w:sz w:val="24"/>
          <w:szCs w:val="24"/>
          <w:lang w:eastAsia="ar-SA"/>
        </w:rPr>
        <w:footnoteReference w:id="19"/>
      </w:r>
      <w:r w:rsidR="00301486" w:rsidRPr="00FA3678">
        <w:rPr>
          <w:rFonts w:eastAsia="Calibri" w:cs="Calibri"/>
          <w:sz w:val="24"/>
          <w:szCs w:val="24"/>
          <w:lang w:eastAsia="ar-SA"/>
        </w:rPr>
        <w:t xml:space="preserve"> strongly advocated the establishment of ‘Environment Courts’  keeping in mind</w:t>
      </w:r>
      <w:r w:rsidR="00301486" w:rsidRPr="00FA3678">
        <w:rPr>
          <w:rFonts w:eastAsia="Times New Roman" w:cs="TimesNewRomanPSMT"/>
          <w:sz w:val="24"/>
          <w:szCs w:val="24"/>
          <w:lang w:eastAsia="ar-SA"/>
        </w:rPr>
        <w:t xml:space="preserve"> the following considerations:</w:t>
      </w:r>
    </w:p>
    <w:p w:rsidR="00301486" w:rsidRPr="00FA3678" w:rsidRDefault="00301486" w:rsidP="00FA3678">
      <w:pPr>
        <w:autoSpaceDE w:val="0"/>
        <w:spacing w:after="0"/>
        <w:rPr>
          <w:rFonts w:eastAsia="Times New Roman" w:cs="TimesNewRomanPSMT"/>
          <w:sz w:val="24"/>
          <w:szCs w:val="24"/>
          <w:lang w:eastAsia="ar-SA"/>
        </w:rPr>
      </w:pPr>
      <w:r w:rsidRPr="00FA3678">
        <w:rPr>
          <w:rFonts w:eastAsia="Times New Roman" w:cs="TimesNewRomanPSMT"/>
          <w:sz w:val="24"/>
          <w:szCs w:val="24"/>
          <w:lang w:eastAsia="ar-SA"/>
        </w:rPr>
        <w:t>(a) The uncertainties of scientific conclusions and the need to provide, not only expert advice from the Bar but also a system of independent expert advice to the Bench itself;</w:t>
      </w:r>
    </w:p>
    <w:p w:rsidR="00301486" w:rsidRPr="00FA3678" w:rsidRDefault="00301486" w:rsidP="00FA3678">
      <w:pPr>
        <w:autoSpaceDE w:val="0"/>
        <w:spacing w:after="0"/>
        <w:rPr>
          <w:rFonts w:eastAsia="Times New Roman" w:cs="TimesNewRomanPSMT"/>
          <w:sz w:val="24"/>
          <w:szCs w:val="24"/>
          <w:lang w:eastAsia="ar-SA"/>
        </w:rPr>
      </w:pPr>
      <w:r w:rsidRPr="00FA3678">
        <w:rPr>
          <w:rFonts w:eastAsia="Times New Roman" w:cs="TimesNewRomanPSMT"/>
          <w:sz w:val="24"/>
          <w:szCs w:val="24"/>
          <w:lang w:eastAsia="ar-SA"/>
        </w:rPr>
        <w:t xml:space="preserve"> (b) The present inadequacy of the knowledge of Judges on the scientific and technical aspects of environmental issues, such as, whether the levels of pollution in a local area are </w:t>
      </w:r>
      <w:r w:rsidRPr="00FA3678">
        <w:rPr>
          <w:rFonts w:eastAsia="Times New Roman" w:cs="TimesNewRomanPSMT"/>
          <w:sz w:val="24"/>
          <w:szCs w:val="24"/>
          <w:lang w:eastAsia="ar-SA"/>
        </w:rPr>
        <w:lastRenderedPageBreak/>
        <w:t>within permissible limits or whether higher standards of permissible limits of pollution require to be set up;</w:t>
      </w:r>
    </w:p>
    <w:p w:rsidR="00301486" w:rsidRPr="00FA3678" w:rsidRDefault="00301486" w:rsidP="00FA3678">
      <w:pPr>
        <w:autoSpaceDE w:val="0"/>
        <w:spacing w:after="0"/>
        <w:rPr>
          <w:rFonts w:eastAsia="Times New Roman" w:cs="TimesNewRomanPSMT"/>
          <w:sz w:val="24"/>
          <w:szCs w:val="24"/>
          <w:lang w:eastAsia="ar-SA"/>
        </w:rPr>
      </w:pPr>
      <w:r w:rsidRPr="00FA3678">
        <w:rPr>
          <w:rFonts w:eastAsia="Times New Roman" w:cs="TimesNewRomanPSMT"/>
          <w:sz w:val="24"/>
          <w:szCs w:val="24"/>
          <w:lang w:eastAsia="ar-SA"/>
        </w:rPr>
        <w:t>(c) The need to maintain a proper balance between sustainable development and control/regulation of pollution by industries;</w:t>
      </w:r>
    </w:p>
    <w:p w:rsidR="00301486" w:rsidRPr="00FA3678" w:rsidRDefault="00301486" w:rsidP="00FA3678">
      <w:pPr>
        <w:autoSpaceDE w:val="0"/>
        <w:spacing w:after="0"/>
        <w:rPr>
          <w:rFonts w:eastAsia="Times New Roman" w:cs="TimesNewRomanPSMT"/>
          <w:sz w:val="24"/>
          <w:szCs w:val="24"/>
          <w:lang w:eastAsia="ar-SA"/>
        </w:rPr>
      </w:pPr>
      <w:r w:rsidRPr="00FA3678">
        <w:rPr>
          <w:rFonts w:eastAsia="Times New Roman" w:cs="TimesNewRomanPSMT"/>
          <w:sz w:val="24"/>
          <w:szCs w:val="24"/>
          <w:lang w:eastAsia="ar-SA"/>
        </w:rPr>
        <w:t>(d) The need to strike a balance between closure of polluting industries and reducing or avoiding unemployment or loss of livelihood;</w:t>
      </w:r>
    </w:p>
    <w:p w:rsidR="00301486" w:rsidRPr="00FA3678" w:rsidRDefault="00301486" w:rsidP="00FA3678">
      <w:pPr>
        <w:autoSpaceDE w:val="0"/>
        <w:spacing w:after="0"/>
        <w:rPr>
          <w:rFonts w:eastAsia="Times New Roman" w:cs="TimesNewRomanPSMT"/>
          <w:sz w:val="24"/>
          <w:szCs w:val="24"/>
          <w:lang w:eastAsia="ar-SA"/>
        </w:rPr>
      </w:pPr>
      <w:r w:rsidRPr="00FA3678">
        <w:rPr>
          <w:rFonts w:eastAsia="Times New Roman" w:cs="TimesNewRomanPSMT"/>
          <w:sz w:val="24"/>
          <w:szCs w:val="24"/>
          <w:lang w:eastAsia="ar-SA"/>
        </w:rPr>
        <w:t>(e) The need to make a final appellate view at the level of each State on decisions regarding ‘environmental impact assessment’;</w:t>
      </w:r>
    </w:p>
    <w:p w:rsidR="00301486" w:rsidRPr="00FA3678" w:rsidRDefault="00301486" w:rsidP="00FA3678">
      <w:pPr>
        <w:autoSpaceDE w:val="0"/>
        <w:spacing w:after="0"/>
        <w:rPr>
          <w:rFonts w:eastAsia="Times New Roman" w:cs="TimesNewRomanPSMT"/>
          <w:sz w:val="24"/>
          <w:szCs w:val="24"/>
          <w:lang w:eastAsia="ar-SA"/>
        </w:rPr>
      </w:pPr>
      <w:r w:rsidRPr="00FA3678">
        <w:rPr>
          <w:rFonts w:eastAsia="Times New Roman" w:cs="TimesNewRomanPSMT"/>
          <w:sz w:val="24"/>
          <w:szCs w:val="24"/>
          <w:lang w:eastAsia="ar-SA"/>
        </w:rPr>
        <w:t>(f) The need to develop a jurisprudence in this branch of law which is also in accord with scientific, technological developments and international treaties, conventions or decisions; and</w:t>
      </w:r>
    </w:p>
    <w:p w:rsidR="00301486" w:rsidRPr="00FA3678" w:rsidRDefault="00301486" w:rsidP="00FA3678">
      <w:pPr>
        <w:autoSpaceDE w:val="0"/>
        <w:spacing w:after="0"/>
        <w:rPr>
          <w:rFonts w:eastAsia="Times New Roman" w:cs="TimesNewRomanPSMT"/>
          <w:sz w:val="24"/>
          <w:szCs w:val="24"/>
          <w:lang w:eastAsia="ar-SA"/>
        </w:rPr>
      </w:pPr>
      <w:r w:rsidRPr="00FA3678">
        <w:rPr>
          <w:rFonts w:eastAsia="Times New Roman" w:cs="TimesNewRomanPSMT"/>
          <w:sz w:val="24"/>
          <w:szCs w:val="24"/>
          <w:lang w:eastAsia="ar-SA"/>
        </w:rPr>
        <w:t>(g) To achieve the objectives of Art. 21, 47, 48A and 51A (g) of the Constitution of India by means of a fair, fast and satisfactory judicial procedure</w:t>
      </w:r>
    </w:p>
    <w:p w:rsidR="00BB5F18" w:rsidRPr="00FA3678" w:rsidRDefault="00BB5F18" w:rsidP="00FA3678">
      <w:pPr>
        <w:autoSpaceDE w:val="0"/>
        <w:spacing w:after="0"/>
        <w:rPr>
          <w:rFonts w:eastAsia="Calibri" w:cs="TimesNewRomanPSMT"/>
          <w:sz w:val="24"/>
          <w:szCs w:val="24"/>
          <w:lang w:eastAsia="ar-SA"/>
        </w:rPr>
      </w:pPr>
    </w:p>
    <w:p w:rsidR="00FA1F08" w:rsidRPr="00FA3678" w:rsidRDefault="00FA1F08" w:rsidP="00FA3678">
      <w:pPr>
        <w:autoSpaceDE w:val="0"/>
        <w:spacing w:after="0"/>
        <w:rPr>
          <w:rFonts w:eastAsia="Calibri" w:cs="TimesNewRomanPSMT"/>
          <w:sz w:val="24"/>
          <w:szCs w:val="24"/>
          <w:lang w:eastAsia="ar-SA"/>
        </w:rPr>
      </w:pPr>
      <w:r w:rsidRPr="00FA3678">
        <w:rPr>
          <w:rFonts w:eastAsia="Calibri" w:cs="TimesNewRomanPSMT"/>
          <w:sz w:val="24"/>
          <w:szCs w:val="24"/>
          <w:lang w:eastAsia="ar-SA"/>
        </w:rPr>
        <w:t>The Law Commission of India was influenced by decisions of the Supreme Court of India that in dicta advocated the establishment of environment</w:t>
      </w:r>
      <w:r w:rsidR="00DB191F" w:rsidRPr="00FA3678">
        <w:rPr>
          <w:rFonts w:eastAsia="Calibri" w:cs="TimesNewRomanPSMT"/>
          <w:sz w:val="24"/>
          <w:szCs w:val="24"/>
          <w:lang w:eastAsia="ar-SA"/>
        </w:rPr>
        <w:t>al</w:t>
      </w:r>
      <w:r w:rsidRPr="00FA3678">
        <w:rPr>
          <w:rFonts w:eastAsia="Calibri" w:cs="TimesNewRomanPSMT"/>
          <w:sz w:val="24"/>
          <w:szCs w:val="24"/>
          <w:lang w:eastAsia="ar-SA"/>
        </w:rPr>
        <w:t xml:space="preserve"> courts. </w:t>
      </w:r>
      <w:r w:rsidRPr="00FA3678">
        <w:rPr>
          <w:rFonts w:cs="TimesNewRomanPSMT"/>
          <w:sz w:val="24"/>
          <w:szCs w:val="24"/>
        </w:rPr>
        <w:t xml:space="preserve">In the judgments of the Supreme Court of India in </w:t>
      </w:r>
      <w:r w:rsidRPr="00FA3678">
        <w:rPr>
          <w:rFonts w:cs="TimesNewRomanPSMT"/>
          <w:i/>
          <w:sz w:val="24"/>
          <w:szCs w:val="24"/>
        </w:rPr>
        <w:t xml:space="preserve">A.P. Pollution Control Board vs. M.V. </w:t>
      </w:r>
      <w:proofErr w:type="spellStart"/>
      <w:r w:rsidRPr="00FA3678">
        <w:rPr>
          <w:rFonts w:cs="TimesNewRomanPSMT"/>
          <w:i/>
          <w:sz w:val="24"/>
          <w:szCs w:val="24"/>
        </w:rPr>
        <w:t>Nayudu</w:t>
      </w:r>
      <w:proofErr w:type="spellEnd"/>
      <w:r w:rsidR="00E85E1E" w:rsidRPr="00FA3678">
        <w:rPr>
          <w:rStyle w:val="FootnoteReference"/>
          <w:rFonts w:cs="TimesNewRomanPSMT"/>
          <w:sz w:val="24"/>
          <w:szCs w:val="24"/>
        </w:rPr>
        <w:footnoteReference w:id="20"/>
      </w:r>
      <w:r w:rsidRPr="00FA3678">
        <w:rPr>
          <w:rFonts w:cs="TimesNewRomanPSMT"/>
          <w:sz w:val="24"/>
          <w:szCs w:val="24"/>
        </w:rPr>
        <w:t xml:space="preserve">, </w:t>
      </w:r>
      <w:r w:rsidRPr="00FA3678">
        <w:rPr>
          <w:rFonts w:cs="TimesNewRomanPSMT"/>
          <w:i/>
          <w:sz w:val="24"/>
          <w:szCs w:val="24"/>
        </w:rPr>
        <w:t>M.C. Mehta vs.</w:t>
      </w:r>
      <w:r w:rsidRPr="00FA3678">
        <w:rPr>
          <w:rFonts w:cs="TimesNewRomanPSMT"/>
          <w:sz w:val="24"/>
          <w:szCs w:val="24"/>
        </w:rPr>
        <w:t xml:space="preserve"> </w:t>
      </w:r>
      <w:r w:rsidRPr="00FA3678">
        <w:rPr>
          <w:rFonts w:cs="TimesNewRomanPSMT"/>
          <w:i/>
          <w:sz w:val="24"/>
          <w:szCs w:val="24"/>
        </w:rPr>
        <w:t>Union of India</w:t>
      </w:r>
      <w:r w:rsidR="00E85E1E" w:rsidRPr="00FA3678">
        <w:rPr>
          <w:rStyle w:val="FootnoteReference"/>
          <w:rFonts w:cs="TimesNewRomanPSMT"/>
          <w:sz w:val="24"/>
          <w:szCs w:val="24"/>
        </w:rPr>
        <w:footnoteReference w:id="21"/>
      </w:r>
      <w:r w:rsidRPr="00FA3678">
        <w:rPr>
          <w:rFonts w:cs="TimesNewRomanPSMT"/>
          <w:sz w:val="24"/>
          <w:szCs w:val="24"/>
        </w:rPr>
        <w:t xml:space="preserve"> and </w:t>
      </w:r>
      <w:r w:rsidRPr="00FA3678">
        <w:rPr>
          <w:rFonts w:cs="TimesNewRomanPSMT"/>
          <w:i/>
          <w:sz w:val="24"/>
          <w:szCs w:val="24"/>
        </w:rPr>
        <w:t xml:space="preserve">Indian Council for </w:t>
      </w:r>
      <w:proofErr w:type="spellStart"/>
      <w:r w:rsidRPr="00FA3678">
        <w:rPr>
          <w:rFonts w:cs="TimesNewRomanPSMT"/>
          <w:i/>
          <w:sz w:val="24"/>
          <w:szCs w:val="24"/>
        </w:rPr>
        <w:t>Enviro</w:t>
      </w:r>
      <w:proofErr w:type="spellEnd"/>
      <w:r w:rsidRPr="00FA3678">
        <w:rPr>
          <w:rFonts w:cs="TimesNewRomanPSMT"/>
          <w:i/>
          <w:sz w:val="24"/>
          <w:szCs w:val="24"/>
        </w:rPr>
        <w:t>-Legal Action vs. Union of India</w:t>
      </w:r>
      <w:r w:rsidR="00E85E1E" w:rsidRPr="00FA3678">
        <w:rPr>
          <w:rStyle w:val="FootnoteReference"/>
          <w:rFonts w:cs="TimesNewRomanPSMT"/>
          <w:sz w:val="24"/>
          <w:szCs w:val="24"/>
        </w:rPr>
        <w:footnoteReference w:id="22"/>
      </w:r>
      <w:r w:rsidRPr="00FA3678">
        <w:rPr>
          <w:rFonts w:cs="TimesNewRomanPSMT"/>
          <w:sz w:val="24"/>
          <w:szCs w:val="24"/>
        </w:rPr>
        <w:t xml:space="preserve"> </w:t>
      </w:r>
      <w:r w:rsidRPr="00FA3678">
        <w:rPr>
          <w:rFonts w:eastAsia="Calibri" w:cs="TimesNewRomanPSMT"/>
          <w:sz w:val="24"/>
          <w:szCs w:val="24"/>
          <w:lang w:eastAsia="ar-SA"/>
        </w:rPr>
        <w:t>the Court referre</w:t>
      </w:r>
      <w:r w:rsidR="00E531C0" w:rsidRPr="00FA3678">
        <w:rPr>
          <w:rFonts w:eastAsia="Calibri" w:cs="TimesNewRomanPSMT"/>
          <w:sz w:val="24"/>
          <w:szCs w:val="24"/>
          <w:lang w:eastAsia="ar-SA"/>
        </w:rPr>
        <w:t>d to the need to establish</w:t>
      </w:r>
      <w:r w:rsidR="00CC7360" w:rsidRPr="00FA3678">
        <w:rPr>
          <w:rFonts w:eastAsia="Calibri" w:cs="TimesNewRomanPSMT"/>
          <w:sz w:val="24"/>
          <w:szCs w:val="24"/>
          <w:lang w:eastAsia="ar-SA"/>
        </w:rPr>
        <w:t xml:space="preserve"> environmental c</w:t>
      </w:r>
      <w:r w:rsidR="00BA7CC5">
        <w:rPr>
          <w:rFonts w:eastAsia="Calibri" w:cs="TimesNewRomanPSMT"/>
          <w:sz w:val="24"/>
          <w:szCs w:val="24"/>
          <w:lang w:eastAsia="ar-SA"/>
        </w:rPr>
        <w:t>ourts. These courts</w:t>
      </w:r>
      <w:r w:rsidR="00E531C0" w:rsidRPr="00FA3678">
        <w:rPr>
          <w:rFonts w:eastAsia="Calibri" w:cs="TimesNewRomanPSMT"/>
          <w:sz w:val="24"/>
          <w:szCs w:val="24"/>
          <w:lang w:eastAsia="ar-SA"/>
        </w:rPr>
        <w:t xml:space="preserve"> would benefit from the expert advice of</w:t>
      </w:r>
      <w:r w:rsidRPr="00FA3678">
        <w:rPr>
          <w:rFonts w:eastAsia="Calibri" w:cs="TimesNewRomanPSMT"/>
          <w:sz w:val="24"/>
          <w:szCs w:val="24"/>
          <w:lang w:eastAsia="ar-SA"/>
        </w:rPr>
        <w:t xml:space="preserve"> environmental scientists and technically qualified persons, as part </w:t>
      </w:r>
      <w:r w:rsidR="00E531C0" w:rsidRPr="00FA3678">
        <w:rPr>
          <w:rFonts w:eastAsia="Calibri" w:cs="TimesNewRomanPSMT"/>
          <w:sz w:val="24"/>
          <w:szCs w:val="24"/>
          <w:lang w:eastAsia="ar-SA"/>
        </w:rPr>
        <w:t>of the judicial process</w:t>
      </w:r>
      <w:r w:rsidR="0071061B" w:rsidRPr="00FA3678">
        <w:rPr>
          <w:rFonts w:eastAsia="Calibri" w:cs="TimesNewRomanPSMT"/>
          <w:sz w:val="24"/>
          <w:szCs w:val="24"/>
          <w:lang w:eastAsia="ar-SA"/>
        </w:rPr>
        <w:t>.</w:t>
      </w:r>
      <w:r w:rsidR="00E531C0" w:rsidRPr="00FA3678">
        <w:rPr>
          <w:rFonts w:eastAsia="Calibri" w:cs="TimesNewRomanPSMT"/>
          <w:sz w:val="24"/>
          <w:szCs w:val="24"/>
          <w:lang w:eastAsia="ar-SA"/>
        </w:rPr>
        <w:t xml:space="preserve"> </w:t>
      </w:r>
    </w:p>
    <w:p w:rsidR="00E50819" w:rsidRPr="00FA3678" w:rsidRDefault="00E50819" w:rsidP="00FA3678">
      <w:pPr>
        <w:widowControl w:val="0"/>
        <w:tabs>
          <w:tab w:val="left" w:pos="603"/>
        </w:tabs>
        <w:suppressAutoHyphens/>
        <w:spacing w:after="0"/>
        <w:rPr>
          <w:rFonts w:eastAsia="DejaVu LGC Sans" w:cs="Times New Roman"/>
          <w:color w:val="000000"/>
          <w:kern w:val="1"/>
          <w:sz w:val="24"/>
          <w:szCs w:val="24"/>
          <w:lang w:val="en-US" w:eastAsia="ar-SA"/>
        </w:rPr>
      </w:pPr>
      <w:r w:rsidRPr="00FA3678">
        <w:rPr>
          <w:rFonts w:eastAsia="DejaVu LGC Sans" w:cs="Times New Roman"/>
          <w:color w:val="000000"/>
          <w:kern w:val="1"/>
          <w:sz w:val="24"/>
          <w:szCs w:val="24"/>
          <w:lang w:val="en-US" w:eastAsia="ar-SA"/>
        </w:rPr>
        <w:t>Accordingly, t</w:t>
      </w:r>
      <w:r w:rsidR="00BA5780" w:rsidRPr="00FA3678">
        <w:rPr>
          <w:rFonts w:eastAsia="DejaVu LGC Sans" w:cs="Times New Roman"/>
          <w:color w:val="000000"/>
          <w:kern w:val="1"/>
          <w:sz w:val="24"/>
          <w:szCs w:val="24"/>
          <w:lang w:val="en-US" w:eastAsia="ar-SA"/>
        </w:rPr>
        <w:t>he Indian Parliament passed the National Green Tribunal Act in June 2010</w:t>
      </w:r>
      <w:r w:rsidR="00CF4F9A" w:rsidRPr="00FA3678">
        <w:rPr>
          <w:rStyle w:val="FootnoteReference"/>
          <w:rFonts w:eastAsia="DejaVu LGC Sans" w:cs="Times New Roman"/>
          <w:color w:val="000000"/>
          <w:kern w:val="1"/>
          <w:sz w:val="24"/>
          <w:szCs w:val="24"/>
          <w:lang w:val="en-US" w:eastAsia="ar-SA"/>
        </w:rPr>
        <w:footnoteReference w:id="23"/>
      </w:r>
      <w:r w:rsidR="00BA5780" w:rsidRPr="00FA3678">
        <w:rPr>
          <w:rFonts w:eastAsia="DejaVu LGC Sans" w:cs="Times New Roman"/>
          <w:color w:val="000000"/>
          <w:kern w:val="1"/>
          <w:sz w:val="24"/>
          <w:szCs w:val="24"/>
          <w:lang w:val="en-US" w:eastAsia="ar-SA"/>
        </w:rPr>
        <w:t xml:space="preserve">. </w:t>
      </w:r>
    </w:p>
    <w:p w:rsidR="00E50819" w:rsidRPr="00FA3678" w:rsidRDefault="00E50819" w:rsidP="00FA3678">
      <w:pPr>
        <w:widowControl w:val="0"/>
        <w:tabs>
          <w:tab w:val="left" w:pos="603"/>
        </w:tabs>
        <w:suppressAutoHyphens/>
        <w:spacing w:after="0"/>
        <w:rPr>
          <w:rFonts w:eastAsia="DejaVu LGC Sans" w:cs="Times New Roman"/>
          <w:color w:val="000000"/>
          <w:kern w:val="1"/>
          <w:sz w:val="24"/>
          <w:szCs w:val="24"/>
          <w:lang w:val="en-US" w:eastAsia="ar-SA"/>
        </w:rPr>
      </w:pPr>
    </w:p>
    <w:p w:rsidR="00146293" w:rsidRPr="00FA3678" w:rsidRDefault="00146293" w:rsidP="00FA3678">
      <w:pPr>
        <w:widowControl w:val="0"/>
        <w:tabs>
          <w:tab w:val="left" w:pos="603"/>
        </w:tabs>
        <w:suppressAutoHyphens/>
        <w:spacing w:after="0"/>
        <w:rPr>
          <w:rFonts w:eastAsia="DejaVu LGC Sans" w:cs="Times New Roman"/>
          <w:color w:val="000000"/>
          <w:kern w:val="1"/>
          <w:sz w:val="24"/>
          <w:szCs w:val="24"/>
          <w:lang w:val="en-US" w:eastAsia="ar-SA"/>
        </w:rPr>
      </w:pPr>
      <w:r w:rsidRPr="00FA3678">
        <w:rPr>
          <w:rFonts w:eastAsia="DejaVu LGC Sans" w:cs="Times New Roman"/>
          <w:color w:val="000000"/>
          <w:kern w:val="1"/>
          <w:sz w:val="24"/>
          <w:szCs w:val="24"/>
          <w:lang w:val="en-US" w:eastAsia="ar-SA"/>
        </w:rPr>
        <w:t xml:space="preserve">2.2 The Establishment of </w:t>
      </w:r>
      <w:r w:rsidR="00A24D50" w:rsidRPr="00FA3678">
        <w:rPr>
          <w:rFonts w:eastAsia="DejaVu LGC Sans" w:cs="Times New Roman"/>
          <w:color w:val="000000"/>
          <w:kern w:val="1"/>
          <w:sz w:val="24"/>
          <w:szCs w:val="24"/>
          <w:lang w:val="en-US" w:eastAsia="ar-SA"/>
        </w:rPr>
        <w:t>National Green Tribunal</w:t>
      </w:r>
    </w:p>
    <w:p w:rsidR="00E50819" w:rsidRPr="00FA3678" w:rsidRDefault="00E50819" w:rsidP="00FA3678">
      <w:pPr>
        <w:widowControl w:val="0"/>
        <w:tabs>
          <w:tab w:val="left" w:pos="603"/>
        </w:tabs>
        <w:suppressAutoHyphens/>
        <w:spacing w:after="0"/>
        <w:rPr>
          <w:rFonts w:eastAsia="DejaVu LGC Sans" w:cs="Times New Roman"/>
          <w:color w:val="000000"/>
          <w:kern w:val="1"/>
          <w:sz w:val="24"/>
          <w:szCs w:val="24"/>
          <w:lang w:val="en-US" w:eastAsia="ar-SA"/>
        </w:rPr>
      </w:pPr>
    </w:p>
    <w:p w:rsidR="00C72515" w:rsidRPr="00FA3678" w:rsidRDefault="00AB7821" w:rsidP="00FA3678">
      <w:pPr>
        <w:widowControl w:val="0"/>
        <w:tabs>
          <w:tab w:val="left" w:pos="603"/>
        </w:tabs>
        <w:suppressAutoHyphens/>
        <w:spacing w:after="0"/>
        <w:rPr>
          <w:rFonts w:eastAsia="DejaVu LGC Sans" w:cs="Times New Roman"/>
          <w:color w:val="000000"/>
          <w:kern w:val="1"/>
          <w:sz w:val="24"/>
          <w:szCs w:val="24"/>
          <w:lang w:val="en-US"/>
        </w:rPr>
      </w:pPr>
      <w:r w:rsidRPr="00FA3678">
        <w:rPr>
          <w:rFonts w:eastAsia="DejaVu LGC Sans" w:cs="Times New Roman"/>
          <w:color w:val="000000"/>
          <w:kern w:val="1"/>
          <w:sz w:val="24"/>
          <w:szCs w:val="24"/>
          <w:lang w:val="en-US"/>
        </w:rPr>
        <w:t>The NGT Act 2010 institutionalized the procedural element of environmental justice by establishi</w:t>
      </w:r>
      <w:r w:rsidR="00567DF1" w:rsidRPr="00FA3678">
        <w:rPr>
          <w:rFonts w:eastAsia="DejaVu LGC Sans" w:cs="Times New Roman"/>
          <w:color w:val="000000"/>
          <w:kern w:val="1"/>
          <w:sz w:val="24"/>
          <w:szCs w:val="24"/>
          <w:lang w:val="en-US"/>
        </w:rPr>
        <w:t>ng the NGT</w:t>
      </w:r>
      <w:r w:rsidRPr="00FA3678">
        <w:rPr>
          <w:rFonts w:eastAsia="DejaVu LGC Sans" w:cs="Times New Roman"/>
          <w:color w:val="000000"/>
          <w:kern w:val="1"/>
          <w:sz w:val="24"/>
          <w:szCs w:val="24"/>
          <w:lang w:val="en-US"/>
        </w:rPr>
        <w:t>, thereby, enhancing the principles of e</w:t>
      </w:r>
      <w:r w:rsidR="00777AD1">
        <w:rPr>
          <w:rFonts w:eastAsia="DejaVu LGC Sans" w:cs="Times New Roman"/>
          <w:color w:val="000000"/>
          <w:kern w:val="1"/>
          <w:sz w:val="24"/>
          <w:szCs w:val="24"/>
          <w:lang w:val="en-US"/>
        </w:rPr>
        <w:t>nvironmental democracy that include</w:t>
      </w:r>
      <w:r w:rsidRPr="00FA3678">
        <w:rPr>
          <w:rFonts w:eastAsia="DejaVu LGC Sans" w:cs="Times New Roman"/>
          <w:color w:val="000000"/>
          <w:kern w:val="1"/>
          <w:sz w:val="24"/>
          <w:szCs w:val="24"/>
          <w:lang w:val="en-US"/>
        </w:rPr>
        <w:t xml:space="preserve"> fairness, public participation, transparency and accountability.</w:t>
      </w:r>
    </w:p>
    <w:p w:rsidR="00DD62A0" w:rsidRPr="00FA3678" w:rsidRDefault="00DD62A0" w:rsidP="00FA3678">
      <w:pPr>
        <w:autoSpaceDE w:val="0"/>
        <w:autoSpaceDN w:val="0"/>
        <w:adjustRightInd w:val="0"/>
        <w:spacing w:after="0"/>
        <w:rPr>
          <w:rFonts w:cs="Arial"/>
          <w:b/>
          <w:color w:val="000000"/>
          <w:sz w:val="24"/>
          <w:szCs w:val="24"/>
          <w:u w:val="single"/>
        </w:rPr>
      </w:pPr>
    </w:p>
    <w:p w:rsidR="00C72515" w:rsidRPr="00FA3678" w:rsidRDefault="00C72515" w:rsidP="00FA3678">
      <w:pPr>
        <w:autoSpaceDE w:val="0"/>
        <w:autoSpaceDN w:val="0"/>
        <w:adjustRightInd w:val="0"/>
        <w:spacing w:after="0"/>
        <w:rPr>
          <w:rFonts w:cs="Arial"/>
          <w:sz w:val="24"/>
          <w:szCs w:val="24"/>
        </w:rPr>
      </w:pPr>
      <w:r w:rsidRPr="00FA3678">
        <w:rPr>
          <w:rFonts w:cs="Arial"/>
          <w:color w:val="000000"/>
          <w:sz w:val="24"/>
          <w:szCs w:val="24"/>
        </w:rPr>
        <w:t>The NGT is a creation of a statute and thus,</w:t>
      </w:r>
      <w:r w:rsidR="000C02E1" w:rsidRPr="00FA3678">
        <w:rPr>
          <w:rFonts w:cs="Arial"/>
          <w:color w:val="000000"/>
          <w:sz w:val="24"/>
          <w:szCs w:val="24"/>
        </w:rPr>
        <w:t xml:space="preserve"> its jurisdiction, powers and procedures are </w:t>
      </w:r>
      <w:r w:rsidRPr="00FA3678">
        <w:rPr>
          <w:rFonts w:cs="Arial"/>
          <w:color w:val="000000"/>
          <w:sz w:val="24"/>
          <w:szCs w:val="24"/>
        </w:rPr>
        <w:t xml:space="preserve">construed with reference to the language of its provisions. Being a statutory body, it is bound and controlled by the </w:t>
      </w:r>
      <w:r w:rsidR="00292D46">
        <w:rPr>
          <w:rFonts w:cs="Arial"/>
          <w:color w:val="000000"/>
          <w:sz w:val="24"/>
          <w:szCs w:val="24"/>
        </w:rPr>
        <w:t>provisions of the statute</w:t>
      </w:r>
      <w:r w:rsidRPr="00FA3678">
        <w:rPr>
          <w:rFonts w:cs="Arial"/>
          <w:color w:val="000000"/>
          <w:sz w:val="24"/>
          <w:szCs w:val="24"/>
        </w:rPr>
        <w:t xml:space="preserve"> </w:t>
      </w:r>
      <w:proofErr w:type="spellStart"/>
      <w:r w:rsidRPr="00FA3678">
        <w:rPr>
          <w:rFonts w:cs="Arial"/>
          <w:color w:val="000000"/>
          <w:sz w:val="24"/>
          <w:szCs w:val="24"/>
        </w:rPr>
        <w:t>i.e</w:t>
      </w:r>
      <w:proofErr w:type="spellEnd"/>
      <w:r w:rsidRPr="00FA3678">
        <w:rPr>
          <w:rFonts w:cs="Arial"/>
          <w:color w:val="000000"/>
          <w:sz w:val="24"/>
          <w:szCs w:val="24"/>
        </w:rPr>
        <w:t xml:space="preserve"> the NGT Act 2010</w:t>
      </w:r>
      <w:r w:rsidR="0031597A" w:rsidRPr="00FA3678">
        <w:rPr>
          <w:rFonts w:cs="Arial"/>
          <w:color w:val="000000"/>
          <w:sz w:val="24"/>
          <w:szCs w:val="24"/>
        </w:rPr>
        <w:t>.</w:t>
      </w:r>
      <w:r w:rsidR="00276BF8" w:rsidRPr="00FA3678">
        <w:rPr>
          <w:rStyle w:val="FootnoteReference"/>
          <w:rFonts w:cs="Arial"/>
          <w:color w:val="000000"/>
          <w:sz w:val="24"/>
          <w:szCs w:val="24"/>
        </w:rPr>
        <w:footnoteReference w:id="24"/>
      </w:r>
    </w:p>
    <w:p w:rsidR="00DD62A0" w:rsidRPr="00FA3678" w:rsidRDefault="00AB7821" w:rsidP="00FA3678">
      <w:pPr>
        <w:widowControl w:val="0"/>
        <w:tabs>
          <w:tab w:val="left" w:pos="603"/>
        </w:tabs>
        <w:suppressAutoHyphens/>
        <w:spacing w:after="0"/>
        <w:rPr>
          <w:rFonts w:eastAsia="DejaVu LGC Sans" w:cs="Times New Roman"/>
          <w:color w:val="000000"/>
          <w:kern w:val="1"/>
          <w:sz w:val="24"/>
          <w:szCs w:val="24"/>
          <w:lang w:val="en-US"/>
        </w:rPr>
      </w:pPr>
      <w:r w:rsidRPr="00FA3678">
        <w:rPr>
          <w:rFonts w:eastAsia="DejaVu LGC Sans" w:cs="Times New Roman"/>
          <w:color w:val="000000"/>
          <w:kern w:val="1"/>
          <w:sz w:val="24"/>
          <w:szCs w:val="24"/>
          <w:lang w:val="en-US"/>
        </w:rPr>
        <w:t xml:space="preserve"> </w:t>
      </w:r>
    </w:p>
    <w:p w:rsidR="00430EC5" w:rsidRPr="00FA3678" w:rsidRDefault="00AB7821" w:rsidP="00FA3678">
      <w:pPr>
        <w:autoSpaceDE w:val="0"/>
        <w:autoSpaceDN w:val="0"/>
        <w:adjustRightInd w:val="0"/>
        <w:spacing w:after="0"/>
        <w:rPr>
          <w:rFonts w:cs="Times New Roman"/>
          <w:sz w:val="24"/>
          <w:szCs w:val="24"/>
        </w:rPr>
      </w:pPr>
      <w:r w:rsidRPr="00FA3678">
        <w:rPr>
          <w:rFonts w:eastAsia="DejaVu LGC Sans" w:cs="Times New Roman"/>
          <w:color w:val="000000"/>
          <w:kern w:val="1"/>
          <w:sz w:val="24"/>
          <w:szCs w:val="24"/>
          <w:lang w:val="en-US" w:eastAsia="ar-SA"/>
        </w:rPr>
        <w:lastRenderedPageBreak/>
        <w:t>The NGT</w:t>
      </w:r>
      <w:r w:rsidR="00C654FD" w:rsidRPr="00FA3678">
        <w:rPr>
          <w:rFonts w:eastAsia="DejaVu LGC Sans" w:cs="Times New Roman"/>
          <w:color w:val="000000"/>
          <w:kern w:val="1"/>
          <w:sz w:val="24"/>
          <w:szCs w:val="24"/>
          <w:lang w:val="en-US" w:eastAsia="ar-SA"/>
        </w:rPr>
        <w:t xml:space="preserve"> is empowered to</w:t>
      </w:r>
      <w:r w:rsidR="00BA5780" w:rsidRPr="00FA3678">
        <w:rPr>
          <w:rFonts w:eastAsia="DejaVu LGC Sans" w:cs="Times New Roman"/>
          <w:color w:val="000000"/>
          <w:kern w:val="1"/>
          <w:sz w:val="24"/>
          <w:szCs w:val="24"/>
          <w:lang w:val="en-US" w:eastAsia="ar-SA"/>
        </w:rPr>
        <w:t xml:space="preserve"> decide cases relating to environmental protection and </w:t>
      </w:r>
      <w:r w:rsidR="00DC52B8">
        <w:rPr>
          <w:rFonts w:eastAsia="DejaVu LGC Sans" w:cs="Times New Roman"/>
          <w:color w:val="000000"/>
          <w:kern w:val="1"/>
          <w:sz w:val="24"/>
          <w:szCs w:val="24"/>
          <w:lang w:val="en-US" w:eastAsia="ar-SA"/>
        </w:rPr>
        <w:t xml:space="preserve">the </w:t>
      </w:r>
      <w:r w:rsidR="00BA5780" w:rsidRPr="00FA3678">
        <w:rPr>
          <w:rFonts w:eastAsia="DejaVu LGC Sans" w:cs="Times New Roman"/>
          <w:color w:val="000000"/>
          <w:kern w:val="1"/>
          <w:sz w:val="24"/>
          <w:szCs w:val="24"/>
          <w:lang w:val="en-US" w:eastAsia="ar-SA"/>
        </w:rPr>
        <w:t xml:space="preserve">conservation of forests and other natural resources including enforcement of any legal right relating </w:t>
      </w:r>
      <w:r w:rsidR="00C654FD" w:rsidRPr="00FA3678">
        <w:rPr>
          <w:rFonts w:eastAsia="DejaVu LGC Sans" w:cs="Times New Roman"/>
          <w:color w:val="000000"/>
          <w:kern w:val="1"/>
          <w:sz w:val="24"/>
          <w:szCs w:val="24"/>
          <w:lang w:val="en-US" w:eastAsia="ar-SA"/>
        </w:rPr>
        <w:t>to the environment and give</w:t>
      </w:r>
      <w:r w:rsidR="00BA5780" w:rsidRPr="00FA3678">
        <w:rPr>
          <w:rFonts w:eastAsia="DejaVu LGC Sans" w:cs="Times New Roman"/>
          <w:color w:val="000000"/>
          <w:kern w:val="1"/>
          <w:sz w:val="24"/>
          <w:szCs w:val="24"/>
          <w:lang w:val="en-US" w:eastAsia="ar-SA"/>
        </w:rPr>
        <w:t xml:space="preserve"> relief and compensation for damages to persons and property.</w:t>
      </w:r>
      <w:r w:rsidR="002F5D65" w:rsidRPr="00FA3678">
        <w:rPr>
          <w:rFonts w:eastAsia="DejaVu LGC Sans" w:cs="Times New Roman"/>
          <w:color w:val="000000"/>
          <w:kern w:val="1"/>
          <w:sz w:val="24"/>
          <w:szCs w:val="24"/>
          <w:lang w:val="en-US" w:eastAsia="ar-SA"/>
        </w:rPr>
        <w:t xml:space="preserve"> </w:t>
      </w:r>
      <w:r w:rsidR="002F5D65" w:rsidRPr="00FA3678">
        <w:rPr>
          <w:rFonts w:cs="Arial"/>
          <w:color w:val="000000"/>
          <w:sz w:val="24"/>
          <w:szCs w:val="24"/>
        </w:rPr>
        <w:t>The NGT was established on October 18, 2010 as a specialized body exercising the jurisdiction, powers and authority to promote the efficient disposal of environmental cases.</w:t>
      </w:r>
      <w:r w:rsidR="007E71AF" w:rsidRPr="00FA3678">
        <w:rPr>
          <w:rStyle w:val="FootnoteReference"/>
          <w:rFonts w:cs="Arial"/>
          <w:color w:val="000000"/>
          <w:sz w:val="24"/>
          <w:szCs w:val="24"/>
        </w:rPr>
        <w:footnoteReference w:id="25"/>
      </w:r>
      <w:r w:rsidR="002D512F" w:rsidRPr="00FA3678">
        <w:rPr>
          <w:rFonts w:cs="Arial"/>
          <w:color w:val="000000"/>
          <w:sz w:val="24"/>
          <w:szCs w:val="24"/>
        </w:rPr>
        <w:t xml:space="preserve"> </w:t>
      </w:r>
      <w:r w:rsidR="002F23E7" w:rsidRPr="00FA3678">
        <w:rPr>
          <w:rFonts w:cs="Arial"/>
          <w:color w:val="000000"/>
          <w:sz w:val="24"/>
          <w:szCs w:val="24"/>
        </w:rPr>
        <w:t xml:space="preserve"> </w:t>
      </w:r>
      <w:r w:rsidR="002F23E7" w:rsidRPr="00FA3678">
        <w:rPr>
          <w:rFonts w:eastAsia="DejaVu LGC Sans" w:cs="Arial"/>
          <w:color w:val="000000"/>
          <w:kern w:val="1"/>
          <w:sz w:val="24"/>
          <w:szCs w:val="24"/>
          <w:lang w:val="en-US" w:eastAsia="ar-SA"/>
        </w:rPr>
        <w:t>The</w:t>
      </w:r>
      <w:r w:rsidR="004E1A6C" w:rsidRPr="00FA3678">
        <w:rPr>
          <w:rFonts w:eastAsia="DejaVu LGC Sans" w:cs="Arial"/>
          <w:color w:val="000000"/>
          <w:kern w:val="1"/>
          <w:sz w:val="24"/>
          <w:szCs w:val="24"/>
          <w:lang w:val="en-US" w:eastAsia="ar-SA"/>
        </w:rPr>
        <w:t xml:space="preserve"> principal bench sits</w:t>
      </w:r>
      <w:r w:rsidR="002F23E7" w:rsidRPr="00FA3678">
        <w:rPr>
          <w:rFonts w:eastAsia="DejaVu LGC Sans" w:cs="Arial"/>
          <w:color w:val="000000"/>
          <w:kern w:val="1"/>
          <w:sz w:val="24"/>
          <w:szCs w:val="24"/>
          <w:lang w:val="en-US" w:eastAsia="ar-SA"/>
        </w:rPr>
        <w:t xml:space="preserve"> in </w:t>
      </w:r>
      <w:r w:rsidR="002D512F" w:rsidRPr="00FA3678">
        <w:rPr>
          <w:rFonts w:eastAsia="DejaVu LGC Sans" w:cs="Arial"/>
          <w:color w:val="000000"/>
          <w:kern w:val="1"/>
          <w:sz w:val="24"/>
          <w:szCs w:val="24"/>
          <w:lang w:val="en-US" w:eastAsia="ar-SA"/>
        </w:rPr>
        <w:t xml:space="preserve">New </w:t>
      </w:r>
      <w:r w:rsidR="002F23E7" w:rsidRPr="00FA3678">
        <w:rPr>
          <w:rFonts w:eastAsia="DejaVu LGC Sans" w:cs="Arial"/>
          <w:color w:val="000000"/>
          <w:kern w:val="1"/>
          <w:sz w:val="24"/>
          <w:szCs w:val="24"/>
          <w:lang w:val="en-US" w:eastAsia="ar-SA"/>
        </w:rPr>
        <w:t>Delhi</w:t>
      </w:r>
      <w:r w:rsidR="002D512F" w:rsidRPr="00FA3678">
        <w:rPr>
          <w:rFonts w:eastAsia="DejaVu LGC Sans" w:cs="Arial"/>
          <w:color w:val="000000"/>
          <w:kern w:val="1"/>
          <w:sz w:val="24"/>
          <w:szCs w:val="24"/>
          <w:lang w:val="en-US" w:eastAsia="ar-SA"/>
        </w:rPr>
        <w:t xml:space="preserve"> </w:t>
      </w:r>
      <w:r w:rsidR="002D512F" w:rsidRPr="00FA3678">
        <w:rPr>
          <w:rFonts w:cs="Times New Roman"/>
          <w:sz w:val="24"/>
          <w:szCs w:val="24"/>
        </w:rPr>
        <w:t>although Bhopal was mooted earlier in recognition of the environmental industrial disaster of 1984</w:t>
      </w:r>
      <w:r w:rsidR="007E71AF" w:rsidRPr="00FA3678">
        <w:rPr>
          <w:rFonts w:cs="Times New Roman"/>
          <w:sz w:val="24"/>
          <w:szCs w:val="24"/>
        </w:rPr>
        <w:t>.</w:t>
      </w:r>
      <w:r w:rsidR="00126C96" w:rsidRPr="00FA3678">
        <w:rPr>
          <w:rStyle w:val="FootnoteReference"/>
          <w:rFonts w:cs="Times New Roman"/>
          <w:sz w:val="24"/>
          <w:szCs w:val="24"/>
        </w:rPr>
        <w:footnoteReference w:id="26"/>
      </w:r>
      <w:r w:rsidR="007E71AF" w:rsidRPr="00FA3678">
        <w:rPr>
          <w:rFonts w:eastAsia="DejaVu LGC Sans" w:cs="Arial"/>
          <w:color w:val="000000"/>
          <w:kern w:val="1"/>
          <w:sz w:val="24"/>
          <w:szCs w:val="24"/>
          <w:lang w:val="en-US" w:eastAsia="ar-SA"/>
        </w:rPr>
        <w:t xml:space="preserve"> </w:t>
      </w:r>
      <w:r w:rsidR="002F23E7" w:rsidRPr="00FA3678">
        <w:rPr>
          <w:rFonts w:eastAsia="DejaVu LGC Sans" w:cs="Arial"/>
          <w:color w:val="000000"/>
          <w:kern w:val="1"/>
          <w:sz w:val="24"/>
          <w:szCs w:val="24"/>
          <w:lang w:val="en-US" w:eastAsia="ar-SA"/>
        </w:rPr>
        <w:t>The NGT held its first hearing on May 25, 2011 and became fully operational on the 4</w:t>
      </w:r>
      <w:r w:rsidR="002F23E7" w:rsidRPr="00FA3678">
        <w:rPr>
          <w:rFonts w:eastAsia="DejaVu LGC Sans" w:cs="Arial"/>
          <w:color w:val="000000"/>
          <w:kern w:val="1"/>
          <w:sz w:val="24"/>
          <w:szCs w:val="24"/>
          <w:vertAlign w:val="superscript"/>
          <w:lang w:val="en-US" w:eastAsia="ar-SA"/>
        </w:rPr>
        <w:t>th</w:t>
      </w:r>
      <w:r w:rsidR="00810649" w:rsidRPr="00FA3678">
        <w:rPr>
          <w:rFonts w:eastAsia="DejaVu LGC Sans" w:cs="Arial"/>
          <w:color w:val="000000"/>
          <w:kern w:val="1"/>
          <w:sz w:val="24"/>
          <w:szCs w:val="24"/>
          <w:lang w:val="en-US" w:eastAsia="ar-SA"/>
        </w:rPr>
        <w:t xml:space="preserve"> July, 2011</w:t>
      </w:r>
      <w:r w:rsidR="004D550E" w:rsidRPr="00FA3678">
        <w:rPr>
          <w:rFonts w:eastAsia="DejaVu LGC Sans" w:cs="Arial"/>
          <w:color w:val="000000"/>
          <w:kern w:val="1"/>
          <w:sz w:val="24"/>
          <w:szCs w:val="24"/>
          <w:lang w:val="en-US" w:eastAsia="ar-SA"/>
        </w:rPr>
        <w:t>.</w:t>
      </w:r>
      <w:r w:rsidR="00810649" w:rsidRPr="00FA3678">
        <w:rPr>
          <w:rStyle w:val="FootnoteReference"/>
          <w:rFonts w:eastAsia="DejaVu LGC Sans" w:cs="Arial"/>
          <w:color w:val="000000"/>
          <w:kern w:val="1"/>
          <w:sz w:val="24"/>
          <w:szCs w:val="24"/>
          <w:lang w:val="en-US" w:eastAsia="ar-SA"/>
        </w:rPr>
        <w:footnoteReference w:id="27"/>
      </w:r>
      <w:r w:rsidR="004D550E" w:rsidRPr="00FA3678">
        <w:rPr>
          <w:rFonts w:eastAsia="DejaVu LGC Sans" w:cs="Arial"/>
          <w:color w:val="000000"/>
          <w:kern w:val="1"/>
          <w:sz w:val="24"/>
          <w:szCs w:val="24"/>
          <w:lang w:val="en-US" w:eastAsia="ar-SA"/>
        </w:rPr>
        <w:t xml:space="preserve"> </w:t>
      </w:r>
      <w:r w:rsidR="002E596B" w:rsidRPr="00FA3678">
        <w:rPr>
          <w:rFonts w:eastAsia="DejaVu LGC Sans" w:cs="Arial"/>
          <w:color w:val="000000"/>
          <w:kern w:val="1"/>
          <w:sz w:val="24"/>
          <w:szCs w:val="24"/>
          <w:lang w:val="en-US" w:eastAsia="ar-SA"/>
        </w:rPr>
        <w:t>Subsequently, the Ministry of Environment and Forests, Government of India,</w:t>
      </w:r>
      <w:r w:rsidR="002F23E7" w:rsidRPr="00FA3678">
        <w:rPr>
          <w:rFonts w:eastAsia="DejaVu LGC Sans" w:cs="Arial"/>
          <w:color w:val="000000"/>
          <w:kern w:val="1"/>
          <w:sz w:val="24"/>
          <w:szCs w:val="24"/>
          <w:lang w:val="en-US" w:eastAsia="ar-SA"/>
        </w:rPr>
        <w:t xml:space="preserve"> issued a Notification dated 17</w:t>
      </w:r>
      <w:r w:rsidR="002F23E7" w:rsidRPr="00FA3678">
        <w:rPr>
          <w:rFonts w:eastAsia="DejaVu LGC Sans" w:cs="Arial"/>
          <w:color w:val="000000"/>
          <w:kern w:val="1"/>
          <w:sz w:val="24"/>
          <w:szCs w:val="24"/>
          <w:vertAlign w:val="superscript"/>
          <w:lang w:val="en-US" w:eastAsia="ar-SA"/>
        </w:rPr>
        <w:t>th</w:t>
      </w:r>
      <w:r w:rsidR="002F23E7" w:rsidRPr="00FA3678">
        <w:rPr>
          <w:rFonts w:eastAsia="DejaVu LGC Sans" w:cs="Arial"/>
          <w:color w:val="000000"/>
          <w:kern w:val="1"/>
          <w:sz w:val="24"/>
          <w:szCs w:val="24"/>
          <w:lang w:val="en-US" w:eastAsia="ar-SA"/>
        </w:rPr>
        <w:t xml:space="preserve"> August 2011 whereby regional benches of the NGT were appointed thereby extending jurisdiction throughout India.</w:t>
      </w:r>
      <w:r w:rsidR="002E596B" w:rsidRPr="00FA3678">
        <w:rPr>
          <w:rStyle w:val="FootnoteReference"/>
          <w:rFonts w:eastAsia="DejaVu LGC Sans" w:cs="Arial"/>
          <w:color w:val="000000"/>
          <w:kern w:val="1"/>
          <w:sz w:val="24"/>
          <w:szCs w:val="24"/>
          <w:lang w:val="en-US" w:eastAsia="ar-SA"/>
        </w:rPr>
        <w:footnoteReference w:id="28"/>
      </w:r>
      <w:r w:rsidR="00470CF6" w:rsidRPr="00FA3678">
        <w:rPr>
          <w:rFonts w:eastAsia="DejaVu LGC Sans" w:cs="Arial"/>
          <w:color w:val="000000"/>
          <w:kern w:val="1"/>
          <w:sz w:val="24"/>
          <w:szCs w:val="24"/>
          <w:lang w:val="en-US" w:eastAsia="ar-SA"/>
        </w:rPr>
        <w:t xml:space="preserve"> The effect is a reformist approach through a</w:t>
      </w:r>
      <w:r w:rsidR="00470CF6" w:rsidRPr="00FA3678">
        <w:rPr>
          <w:rFonts w:eastAsia="DejaVu LGC Sans" w:cs="Arial"/>
          <w:b/>
          <w:color w:val="000000"/>
          <w:kern w:val="1"/>
          <w:sz w:val="24"/>
          <w:szCs w:val="24"/>
          <w:u w:val="single"/>
          <w:lang w:val="en-US" w:eastAsia="ar-SA"/>
        </w:rPr>
        <w:t xml:space="preserve"> </w:t>
      </w:r>
      <w:r w:rsidR="00470CF6" w:rsidRPr="00FA3678">
        <w:rPr>
          <w:rFonts w:eastAsia="DejaVu LGC Sans" w:cs="Arial"/>
          <w:color w:val="000000"/>
          <w:kern w:val="1"/>
          <w:sz w:val="24"/>
          <w:szCs w:val="24"/>
          <w:lang w:val="en-US" w:eastAsia="ar-SA"/>
        </w:rPr>
        <w:t>regional and</w:t>
      </w:r>
      <w:r w:rsidR="004E1A6C" w:rsidRPr="00FA3678">
        <w:rPr>
          <w:rFonts w:eastAsia="DejaVu LGC Sans" w:cs="Arial"/>
          <w:color w:val="000000"/>
          <w:kern w:val="1"/>
          <w:sz w:val="24"/>
          <w:szCs w:val="24"/>
          <w:lang w:val="en-US" w:eastAsia="ar-SA"/>
        </w:rPr>
        <w:t xml:space="preserve"> circuit </w:t>
      </w:r>
      <w:r w:rsidR="00A83DED">
        <w:rPr>
          <w:rFonts w:eastAsia="DejaVu LGC Sans" w:cs="Arial"/>
          <w:color w:val="000000"/>
          <w:kern w:val="1"/>
          <w:sz w:val="24"/>
          <w:szCs w:val="24"/>
          <w:lang w:val="en-US" w:eastAsia="ar-SA"/>
        </w:rPr>
        <w:t xml:space="preserve">bench </w:t>
      </w:r>
      <w:r w:rsidR="004E1A6C" w:rsidRPr="00FA3678">
        <w:rPr>
          <w:rFonts w:eastAsia="DejaVu LGC Sans" w:cs="Arial"/>
          <w:color w:val="000000"/>
          <w:kern w:val="1"/>
          <w:sz w:val="24"/>
          <w:szCs w:val="24"/>
          <w:lang w:val="en-US" w:eastAsia="ar-SA"/>
        </w:rPr>
        <w:t>development that enables access</w:t>
      </w:r>
      <w:r w:rsidR="00236A63">
        <w:rPr>
          <w:rFonts w:eastAsia="DejaVu LGC Sans" w:cs="Arial"/>
          <w:color w:val="000000"/>
          <w:kern w:val="1"/>
          <w:sz w:val="24"/>
          <w:szCs w:val="24"/>
          <w:lang w:val="en-US" w:eastAsia="ar-SA"/>
        </w:rPr>
        <w:t xml:space="preserve"> for</w:t>
      </w:r>
      <w:r w:rsidR="00236A63">
        <w:rPr>
          <w:rFonts w:eastAsia="DejaVu LGC Sans" w:cs="Arial"/>
          <w:b/>
          <w:color w:val="000000"/>
          <w:kern w:val="1"/>
          <w:sz w:val="24"/>
          <w:szCs w:val="24"/>
          <w:lang w:val="en-US" w:eastAsia="ar-SA"/>
        </w:rPr>
        <w:t xml:space="preserve"> </w:t>
      </w:r>
      <w:r w:rsidR="00DC0148" w:rsidRPr="00FA3678">
        <w:rPr>
          <w:rFonts w:eastAsia="DejaVu LGC Sans" w:cs="Arial"/>
          <w:color w:val="000000"/>
          <w:kern w:val="1"/>
          <w:sz w:val="24"/>
          <w:szCs w:val="24"/>
          <w:lang w:val="en-US" w:eastAsia="ar-SA"/>
        </w:rPr>
        <w:t>aggrieved part</w:t>
      </w:r>
      <w:r w:rsidR="00810C82">
        <w:rPr>
          <w:rFonts w:eastAsia="DejaVu LGC Sans" w:cs="Arial"/>
          <w:color w:val="000000"/>
          <w:kern w:val="1"/>
          <w:sz w:val="24"/>
          <w:szCs w:val="24"/>
          <w:lang w:val="en-US" w:eastAsia="ar-SA"/>
        </w:rPr>
        <w:t xml:space="preserve">ies, </w:t>
      </w:r>
      <w:r w:rsidR="00557D92">
        <w:rPr>
          <w:rFonts w:eastAsia="DejaVu LGC Sans" w:cs="Arial"/>
          <w:color w:val="000000"/>
          <w:kern w:val="1"/>
          <w:sz w:val="24"/>
          <w:szCs w:val="24"/>
          <w:lang w:val="en-US" w:eastAsia="ar-SA"/>
        </w:rPr>
        <w:t>an aspect discussed later</w:t>
      </w:r>
      <w:r w:rsidR="00D34C2B">
        <w:rPr>
          <w:rFonts w:eastAsia="DejaVu LGC Sans" w:cs="Arial"/>
          <w:color w:val="000000"/>
          <w:kern w:val="1"/>
          <w:sz w:val="24"/>
          <w:szCs w:val="24"/>
          <w:lang w:val="en-US" w:eastAsia="ar-SA"/>
        </w:rPr>
        <w:t xml:space="preserve"> in this</w:t>
      </w:r>
      <w:r w:rsidR="00557D92">
        <w:rPr>
          <w:rFonts w:eastAsia="DejaVu LGC Sans" w:cs="Arial"/>
          <w:color w:val="000000"/>
          <w:kern w:val="1"/>
          <w:sz w:val="24"/>
          <w:szCs w:val="24"/>
          <w:lang w:val="en-US" w:eastAsia="ar-SA"/>
        </w:rPr>
        <w:t xml:space="preserve"> article.</w:t>
      </w:r>
      <w:r w:rsidR="00D34C2B">
        <w:rPr>
          <w:rFonts w:eastAsia="DejaVu LGC Sans" w:cs="Arial"/>
          <w:color w:val="000000"/>
          <w:kern w:val="1"/>
          <w:sz w:val="24"/>
          <w:szCs w:val="24"/>
          <w:lang w:val="en-US" w:eastAsia="ar-SA"/>
        </w:rPr>
        <w:t xml:space="preserve"> </w:t>
      </w:r>
      <w:r w:rsidR="004E1A6C" w:rsidRPr="00FA3678">
        <w:rPr>
          <w:rFonts w:eastAsia="DejaVu LGC Sans" w:cs="Arial"/>
          <w:color w:val="000000"/>
          <w:kern w:val="1"/>
          <w:sz w:val="24"/>
          <w:szCs w:val="24"/>
          <w:lang w:val="en-US" w:eastAsia="ar-SA"/>
        </w:rPr>
        <w:t>The courts have gone to the people rather than expecting the people to travel to the courts.</w:t>
      </w:r>
      <w:r w:rsidR="009974F6" w:rsidRPr="00FA3678">
        <w:rPr>
          <w:rStyle w:val="FootnoteReference"/>
          <w:rFonts w:eastAsia="DejaVu LGC Sans" w:cs="Arial"/>
          <w:color w:val="000000"/>
          <w:kern w:val="1"/>
          <w:sz w:val="24"/>
          <w:szCs w:val="24"/>
          <w:lang w:val="en-US" w:eastAsia="ar-SA"/>
        </w:rPr>
        <w:footnoteReference w:id="29"/>
      </w:r>
      <w:r w:rsidR="002F23E7" w:rsidRPr="00FA3678">
        <w:rPr>
          <w:rFonts w:eastAsia="DejaVu LGC Sans" w:cs="Arial"/>
          <w:color w:val="000000"/>
          <w:kern w:val="1"/>
          <w:sz w:val="24"/>
          <w:szCs w:val="24"/>
          <w:lang w:val="en-US" w:eastAsia="ar-SA"/>
        </w:rPr>
        <w:t xml:space="preserve"> The principal bench, in Delhi covers the northern zone</w:t>
      </w:r>
      <w:r w:rsidR="009974F6" w:rsidRPr="00FA3678">
        <w:rPr>
          <w:rStyle w:val="FootnoteReference"/>
          <w:rFonts w:eastAsia="DejaVu LGC Sans" w:cs="Arial"/>
          <w:color w:val="000000"/>
          <w:kern w:val="1"/>
          <w:sz w:val="24"/>
          <w:szCs w:val="24"/>
          <w:lang w:val="en-US" w:eastAsia="ar-SA"/>
        </w:rPr>
        <w:footnoteReference w:id="30"/>
      </w:r>
      <w:r w:rsidR="002F23E7" w:rsidRPr="00FA3678">
        <w:rPr>
          <w:rFonts w:eastAsia="DejaVu LGC Sans" w:cs="Arial"/>
          <w:color w:val="000000"/>
          <w:kern w:val="1"/>
          <w:sz w:val="24"/>
          <w:szCs w:val="24"/>
          <w:lang w:val="en-US" w:eastAsia="ar-SA"/>
        </w:rPr>
        <w:t>; the Pune Bench handles the western territory</w:t>
      </w:r>
      <w:r w:rsidR="009974F6" w:rsidRPr="00FA3678">
        <w:rPr>
          <w:rStyle w:val="FootnoteReference"/>
          <w:rFonts w:eastAsia="DejaVu LGC Sans" w:cs="Arial"/>
          <w:color w:val="000000"/>
          <w:kern w:val="1"/>
          <w:sz w:val="24"/>
          <w:szCs w:val="24"/>
          <w:lang w:val="en-US" w:eastAsia="ar-SA"/>
        </w:rPr>
        <w:footnoteReference w:id="31"/>
      </w:r>
      <w:r w:rsidR="002F23E7" w:rsidRPr="00FA3678">
        <w:rPr>
          <w:rFonts w:eastAsia="DejaVu LGC Sans" w:cs="Arial"/>
          <w:color w:val="000000"/>
          <w:kern w:val="1"/>
          <w:sz w:val="24"/>
          <w:szCs w:val="24"/>
          <w:lang w:val="en-US" w:eastAsia="ar-SA"/>
        </w:rPr>
        <w:t>; the Central Zone Bench is based in Bhopal</w:t>
      </w:r>
      <w:r w:rsidR="00521212" w:rsidRPr="00FA3678">
        <w:rPr>
          <w:rStyle w:val="FootnoteReference"/>
          <w:rFonts w:eastAsia="DejaVu LGC Sans" w:cs="Arial"/>
          <w:color w:val="000000"/>
          <w:kern w:val="1"/>
          <w:sz w:val="24"/>
          <w:szCs w:val="24"/>
          <w:lang w:val="en-US" w:eastAsia="ar-SA"/>
        </w:rPr>
        <w:footnoteReference w:id="32"/>
      </w:r>
      <w:r w:rsidR="002F23E7" w:rsidRPr="00FA3678">
        <w:rPr>
          <w:rFonts w:eastAsia="DejaVu LGC Sans" w:cs="Arial"/>
          <w:color w:val="000000"/>
          <w:kern w:val="1"/>
          <w:sz w:val="24"/>
          <w:szCs w:val="24"/>
          <w:lang w:val="en-US" w:eastAsia="ar-SA"/>
        </w:rPr>
        <w:t>; Chennai covers the southern part of India</w:t>
      </w:r>
      <w:r w:rsidR="00AD39F1" w:rsidRPr="00FA3678">
        <w:rPr>
          <w:rStyle w:val="FootnoteReference"/>
          <w:rFonts w:eastAsia="DejaVu LGC Sans" w:cs="Arial"/>
          <w:color w:val="000000"/>
          <w:kern w:val="1"/>
          <w:sz w:val="24"/>
          <w:szCs w:val="24"/>
          <w:lang w:val="en-US" w:eastAsia="ar-SA"/>
        </w:rPr>
        <w:footnoteReference w:id="33"/>
      </w:r>
      <w:r w:rsidR="002F23E7" w:rsidRPr="00FA3678">
        <w:rPr>
          <w:rFonts w:eastAsia="DejaVu LGC Sans" w:cs="Arial"/>
          <w:color w:val="000000"/>
          <w:kern w:val="1"/>
          <w:sz w:val="24"/>
          <w:szCs w:val="24"/>
          <w:lang w:val="en-US" w:eastAsia="ar-SA"/>
        </w:rPr>
        <w:t>; and the Kolkata bench is responsible for the eastern region of India</w:t>
      </w:r>
      <w:r w:rsidR="00F975C5" w:rsidRPr="00FA3678">
        <w:rPr>
          <w:rStyle w:val="FootnoteReference"/>
          <w:rFonts w:eastAsia="DejaVu LGC Sans" w:cs="Arial"/>
          <w:color w:val="000000"/>
          <w:kern w:val="1"/>
          <w:sz w:val="24"/>
          <w:szCs w:val="24"/>
          <w:lang w:val="en-US" w:eastAsia="ar-SA"/>
        </w:rPr>
        <w:footnoteReference w:id="34"/>
      </w:r>
      <w:r w:rsidR="002F23E7" w:rsidRPr="00FA3678">
        <w:rPr>
          <w:rFonts w:eastAsia="DejaVu LGC Sans" w:cs="Arial"/>
          <w:color w:val="000000"/>
          <w:kern w:val="1"/>
          <w:sz w:val="24"/>
          <w:szCs w:val="24"/>
          <w:lang w:val="en-US" w:eastAsia="ar-SA"/>
        </w:rPr>
        <w:t>. Currently, there are five benches dealing exclusively with environmental issues</w:t>
      </w:r>
      <w:r w:rsidR="00130BDD" w:rsidRPr="00FA3678">
        <w:rPr>
          <w:rFonts w:eastAsia="DejaVu LGC Sans" w:cs="Arial"/>
          <w:color w:val="000000"/>
          <w:kern w:val="1"/>
          <w:sz w:val="24"/>
          <w:szCs w:val="24"/>
          <w:lang w:val="en-US" w:eastAsia="ar-SA"/>
        </w:rPr>
        <w:t>.</w:t>
      </w:r>
      <w:r w:rsidR="005452AC" w:rsidRPr="00FA3678">
        <w:rPr>
          <w:rFonts w:eastAsia="DejaVu LGC Sans" w:cs="Arial"/>
          <w:color w:val="000000"/>
          <w:kern w:val="1"/>
          <w:sz w:val="24"/>
          <w:szCs w:val="24"/>
          <w:lang w:val="en-US" w:eastAsia="ar-SA"/>
        </w:rPr>
        <w:t xml:space="preserve"> </w:t>
      </w:r>
      <w:r w:rsidR="00130BDD" w:rsidRPr="00FA3678">
        <w:rPr>
          <w:rFonts w:eastAsia="DejaVu LGC Sans" w:cs="Arial"/>
          <w:color w:val="000000"/>
          <w:kern w:val="1"/>
          <w:sz w:val="24"/>
          <w:szCs w:val="24"/>
          <w:lang w:val="en-US" w:eastAsia="ar-SA"/>
        </w:rPr>
        <w:t xml:space="preserve">All </w:t>
      </w:r>
      <w:r w:rsidR="002F23E7" w:rsidRPr="00FA3678">
        <w:rPr>
          <w:rFonts w:eastAsia="DejaVu LGC Sans" w:cs="Arial"/>
          <w:color w:val="000000"/>
          <w:kern w:val="1"/>
          <w:sz w:val="24"/>
          <w:szCs w:val="24"/>
          <w:lang w:val="en-US" w:eastAsia="ar-SA"/>
        </w:rPr>
        <w:t>benches are operational</w:t>
      </w:r>
      <w:r w:rsidR="00130BDD" w:rsidRPr="00FA3678">
        <w:rPr>
          <w:rFonts w:cs="Arial"/>
          <w:color w:val="000000"/>
          <w:sz w:val="24"/>
          <w:szCs w:val="24"/>
        </w:rPr>
        <w:t>.</w:t>
      </w:r>
      <w:r w:rsidR="00925586" w:rsidRPr="00FA3678">
        <w:rPr>
          <w:rFonts w:cs="Arial"/>
          <w:color w:val="000000"/>
          <w:sz w:val="24"/>
          <w:szCs w:val="24"/>
        </w:rPr>
        <w:t xml:space="preserve"> </w:t>
      </w:r>
    </w:p>
    <w:p w:rsidR="00925560" w:rsidRPr="00FA3678" w:rsidRDefault="00925560" w:rsidP="00FA3678">
      <w:pPr>
        <w:widowControl w:val="0"/>
        <w:tabs>
          <w:tab w:val="left" w:pos="603"/>
        </w:tabs>
        <w:suppressAutoHyphens/>
        <w:spacing w:after="0"/>
        <w:rPr>
          <w:rFonts w:eastAsia="DejaVu LGC Sans" w:cs="Times New Roman"/>
          <w:color w:val="000000"/>
          <w:kern w:val="1"/>
          <w:sz w:val="24"/>
          <w:szCs w:val="24"/>
          <w:lang w:val="en-US"/>
        </w:rPr>
      </w:pPr>
    </w:p>
    <w:p w:rsidR="00C815A0" w:rsidRPr="00C815A0" w:rsidRDefault="000F4723" w:rsidP="00C815A0">
      <w:pPr>
        <w:autoSpaceDE w:val="0"/>
        <w:autoSpaceDN w:val="0"/>
        <w:adjustRightInd w:val="0"/>
        <w:spacing w:after="0"/>
        <w:rPr>
          <w:rFonts w:cs="Times New Roman"/>
          <w:sz w:val="24"/>
          <w:szCs w:val="24"/>
        </w:rPr>
      </w:pPr>
      <w:r w:rsidRPr="00FA3678">
        <w:rPr>
          <w:rFonts w:eastAsia="DejaVu LGC Sans" w:cs="Arial"/>
          <w:color w:val="000000"/>
          <w:kern w:val="1"/>
          <w:sz w:val="24"/>
          <w:szCs w:val="24"/>
          <w:lang w:val="en-US" w:eastAsia="ar-SA"/>
        </w:rPr>
        <w:t>A unique feature of the</w:t>
      </w:r>
      <w:r w:rsidR="009923ED" w:rsidRPr="00FA3678">
        <w:rPr>
          <w:rFonts w:eastAsia="DejaVu LGC Sans" w:cs="Arial"/>
          <w:color w:val="000000"/>
          <w:kern w:val="1"/>
          <w:sz w:val="24"/>
          <w:szCs w:val="24"/>
          <w:lang w:val="en-US" w:eastAsia="ar-SA"/>
        </w:rPr>
        <w:t xml:space="preserve"> NGT’s adjudicative </w:t>
      </w:r>
      <w:r w:rsidRPr="00FA3678">
        <w:rPr>
          <w:rFonts w:eastAsia="DejaVu LGC Sans" w:cs="Arial"/>
          <w:color w:val="000000"/>
          <w:kern w:val="1"/>
          <w:sz w:val="24"/>
          <w:szCs w:val="24"/>
          <w:lang w:val="en-US" w:eastAsia="ar-SA"/>
        </w:rPr>
        <w:t xml:space="preserve">process </w:t>
      </w:r>
      <w:r w:rsidR="009923ED" w:rsidRPr="00FA3678">
        <w:rPr>
          <w:rFonts w:eastAsia="DejaVu LGC Sans" w:cs="Arial"/>
          <w:color w:val="000000"/>
          <w:kern w:val="1"/>
          <w:sz w:val="24"/>
          <w:szCs w:val="24"/>
          <w:lang w:val="en-US" w:eastAsia="ar-SA"/>
        </w:rPr>
        <w:t xml:space="preserve">involves legally qualified </w:t>
      </w:r>
      <w:r w:rsidR="00B97D7B" w:rsidRPr="00FA3678">
        <w:rPr>
          <w:rFonts w:eastAsia="DejaVu LGC Sans" w:cs="Arial"/>
          <w:color w:val="000000"/>
          <w:kern w:val="1"/>
          <w:sz w:val="24"/>
          <w:szCs w:val="24"/>
          <w:lang w:val="en-US" w:eastAsia="ar-SA"/>
        </w:rPr>
        <w:t>judges working alongside</w:t>
      </w:r>
      <w:r w:rsidR="005A7545" w:rsidRPr="00FA3678">
        <w:rPr>
          <w:rFonts w:eastAsia="DejaVu LGC Sans" w:cs="Arial"/>
          <w:color w:val="000000"/>
          <w:kern w:val="1"/>
          <w:sz w:val="24"/>
          <w:szCs w:val="24"/>
          <w:lang w:val="en-US" w:eastAsia="ar-SA"/>
        </w:rPr>
        <w:t xml:space="preserve"> scientific experts</w:t>
      </w:r>
      <w:r w:rsidR="00B97D7B" w:rsidRPr="00FA3678">
        <w:rPr>
          <w:rFonts w:eastAsia="DejaVu LGC Sans" w:cs="Arial"/>
          <w:color w:val="000000"/>
          <w:kern w:val="1"/>
          <w:sz w:val="24"/>
          <w:szCs w:val="24"/>
          <w:lang w:val="en-US" w:eastAsia="ar-SA"/>
        </w:rPr>
        <w:t xml:space="preserve"> with environmental knowledge</w:t>
      </w:r>
      <w:r w:rsidR="005A7545" w:rsidRPr="00FA3678">
        <w:rPr>
          <w:rFonts w:eastAsia="DejaVu LGC Sans" w:cs="Arial"/>
          <w:color w:val="000000"/>
          <w:kern w:val="1"/>
          <w:sz w:val="24"/>
          <w:szCs w:val="24"/>
          <w:lang w:val="en-US" w:eastAsia="ar-SA"/>
        </w:rPr>
        <w:t xml:space="preserve"> as joint decision makers</w:t>
      </w:r>
      <w:r w:rsidRPr="00FA3678">
        <w:rPr>
          <w:rFonts w:eastAsia="DejaVu LGC Sans" w:cs="Arial"/>
          <w:color w:val="000000"/>
          <w:kern w:val="1"/>
          <w:sz w:val="24"/>
          <w:szCs w:val="24"/>
          <w:lang w:val="en-US" w:eastAsia="ar-SA"/>
        </w:rPr>
        <w:t xml:space="preserve"> of equal standing.</w:t>
      </w:r>
      <w:r w:rsidR="00B63136" w:rsidRPr="00FA3678">
        <w:rPr>
          <w:rStyle w:val="FootnoteReference"/>
          <w:rFonts w:eastAsia="DejaVu LGC Sans" w:cs="Arial"/>
          <w:color w:val="000000"/>
          <w:kern w:val="1"/>
          <w:sz w:val="24"/>
          <w:szCs w:val="24"/>
          <w:lang w:val="en-US" w:eastAsia="ar-SA"/>
        </w:rPr>
        <w:footnoteReference w:id="35"/>
      </w:r>
      <w:r w:rsidR="00B97D7B" w:rsidRPr="00FA3678">
        <w:rPr>
          <w:rFonts w:cs="Arial"/>
          <w:sz w:val="24"/>
          <w:szCs w:val="24"/>
        </w:rPr>
        <w:t>The benefit of this multi-faceted and multi-skilled</w:t>
      </w:r>
      <w:r w:rsidRPr="00FA3678">
        <w:rPr>
          <w:rFonts w:cs="Arial"/>
          <w:sz w:val="24"/>
          <w:szCs w:val="24"/>
        </w:rPr>
        <w:t xml:space="preserve"> body produces</w:t>
      </w:r>
      <w:r w:rsidR="00B97D7B" w:rsidRPr="00FA3678">
        <w:rPr>
          <w:rFonts w:cs="Arial"/>
          <w:sz w:val="24"/>
          <w:szCs w:val="24"/>
        </w:rPr>
        <w:t xml:space="preserve"> a coherent and effective instit</w:t>
      </w:r>
      <w:r w:rsidRPr="00FA3678">
        <w:rPr>
          <w:rFonts w:cs="Arial"/>
          <w:sz w:val="24"/>
          <w:szCs w:val="24"/>
        </w:rPr>
        <w:t>utional mechanism to apply</w:t>
      </w:r>
      <w:r w:rsidR="00B97D7B" w:rsidRPr="00FA3678">
        <w:rPr>
          <w:rFonts w:cs="Arial"/>
          <w:sz w:val="24"/>
          <w:szCs w:val="24"/>
        </w:rPr>
        <w:t xml:space="preserve"> complex laws and principles in a uniform and </w:t>
      </w:r>
      <w:r w:rsidR="00B97D7B" w:rsidRPr="00FA3678">
        <w:rPr>
          <w:rFonts w:cs="Arial"/>
          <w:sz w:val="24"/>
          <w:szCs w:val="24"/>
        </w:rPr>
        <w:lastRenderedPageBreak/>
        <w:t>consistent manner whilst simultaneously re-shaping the approach to solve the environmental problem at its source rather being limited to pre-determined remedies</w:t>
      </w:r>
      <w:r w:rsidR="00B97D7B" w:rsidRPr="00FA3678">
        <w:rPr>
          <w:rFonts w:cs="Arial"/>
          <w:bCs/>
          <w:sz w:val="24"/>
          <w:szCs w:val="24"/>
        </w:rPr>
        <w:t>.</w:t>
      </w:r>
      <w:r w:rsidR="002C3C37" w:rsidRPr="00FA3678">
        <w:rPr>
          <w:rFonts w:eastAsia="DejaVu LGC Sans" w:cs="Arial"/>
          <w:color w:val="000000"/>
          <w:kern w:val="1"/>
          <w:sz w:val="24"/>
          <w:szCs w:val="24"/>
          <w:lang w:val="en-US" w:eastAsia="ar-SA"/>
        </w:rPr>
        <w:t xml:space="preserve">The combination of legal, scientific and technical expertise has a dynamic impact on the content and development of environmental policies and </w:t>
      </w:r>
      <w:r w:rsidRPr="00FA3678">
        <w:rPr>
          <w:rFonts w:eastAsia="DejaVu LGC Sans" w:cs="Arial"/>
          <w:color w:val="000000"/>
          <w:kern w:val="1"/>
          <w:sz w:val="24"/>
          <w:szCs w:val="24"/>
          <w:lang w:val="en-US" w:eastAsia="ar-SA"/>
        </w:rPr>
        <w:t>law. It moves ‘adjudication’</w:t>
      </w:r>
      <w:r w:rsidR="002C3C37" w:rsidRPr="00FA3678">
        <w:rPr>
          <w:rFonts w:eastAsia="DejaVu LGC Sans" w:cs="Arial"/>
          <w:color w:val="000000"/>
          <w:kern w:val="1"/>
          <w:sz w:val="24"/>
          <w:szCs w:val="24"/>
          <w:lang w:val="en-US" w:eastAsia="ar-SA"/>
        </w:rPr>
        <w:t xml:space="preserve"> beyond the ‘courtroom door’ in its implicit creation of</w:t>
      </w:r>
      <w:r w:rsidRPr="00FA3678">
        <w:rPr>
          <w:rFonts w:eastAsia="DejaVu LGC Sans" w:cs="Arial"/>
          <w:color w:val="000000"/>
          <w:kern w:val="1"/>
          <w:sz w:val="24"/>
          <w:szCs w:val="24"/>
          <w:lang w:val="en-US" w:eastAsia="ar-SA"/>
        </w:rPr>
        <w:t xml:space="preserve"> scientifically justified</w:t>
      </w:r>
      <w:r w:rsidR="002C3C37" w:rsidRPr="00FA3678">
        <w:rPr>
          <w:rFonts w:eastAsia="DejaVu LGC Sans" w:cs="Arial"/>
          <w:color w:val="000000"/>
          <w:kern w:val="1"/>
          <w:sz w:val="24"/>
          <w:szCs w:val="24"/>
          <w:lang w:val="en-US" w:eastAsia="ar-SA"/>
        </w:rPr>
        <w:t xml:space="preserve"> policy through the use of strong dicta</w:t>
      </w:r>
      <w:r w:rsidR="005065A5" w:rsidRPr="00FA3678">
        <w:rPr>
          <w:rFonts w:eastAsia="DejaVu LGC Sans" w:cs="Arial"/>
          <w:color w:val="000000"/>
          <w:kern w:val="1"/>
          <w:sz w:val="24"/>
          <w:szCs w:val="24"/>
          <w:lang w:val="en-US" w:eastAsia="ar-SA"/>
        </w:rPr>
        <w:t>.</w:t>
      </w:r>
      <w:r w:rsidR="002624C9">
        <w:rPr>
          <w:rFonts w:eastAsia="DejaVu LGC Sans" w:cs="Arial"/>
          <w:color w:val="000000"/>
          <w:kern w:val="1"/>
          <w:sz w:val="24"/>
          <w:szCs w:val="24"/>
          <w:lang w:val="en-US" w:eastAsia="ar-SA"/>
        </w:rPr>
        <w:t xml:space="preserve"> For instance, in </w:t>
      </w:r>
      <w:proofErr w:type="spellStart"/>
      <w:r w:rsidR="002624C9" w:rsidRPr="00905877">
        <w:rPr>
          <w:rFonts w:eastAsia="DejaVu LGC Sans" w:cs="Arial"/>
          <w:i/>
          <w:color w:val="000000"/>
          <w:kern w:val="1"/>
          <w:sz w:val="24"/>
          <w:szCs w:val="24"/>
          <w:lang w:val="en-US" w:eastAsia="ar-SA"/>
        </w:rPr>
        <w:t>Vimal</w:t>
      </w:r>
      <w:proofErr w:type="spellEnd"/>
      <w:r w:rsidR="002624C9" w:rsidRPr="00905877">
        <w:rPr>
          <w:rFonts w:eastAsia="DejaVu LGC Sans" w:cs="Arial"/>
          <w:i/>
          <w:color w:val="000000"/>
          <w:kern w:val="1"/>
          <w:sz w:val="24"/>
          <w:szCs w:val="24"/>
          <w:lang w:val="en-US" w:eastAsia="ar-SA"/>
        </w:rPr>
        <w:t xml:space="preserve"> Bhai v Ministry of Environment and Forests</w:t>
      </w:r>
      <w:r w:rsidR="008E72CA">
        <w:rPr>
          <w:rStyle w:val="FootnoteReference"/>
          <w:rFonts w:eastAsia="DejaVu LGC Sans" w:cs="Arial"/>
          <w:color w:val="000000"/>
          <w:kern w:val="1"/>
          <w:sz w:val="24"/>
          <w:szCs w:val="24"/>
          <w:lang w:val="en-US" w:eastAsia="ar-SA"/>
        </w:rPr>
        <w:footnoteReference w:id="36"/>
      </w:r>
      <w:r w:rsidR="008E72CA">
        <w:rPr>
          <w:rFonts w:eastAsia="DejaVu LGC Sans" w:cs="Arial"/>
          <w:color w:val="000000"/>
          <w:kern w:val="1"/>
          <w:sz w:val="24"/>
          <w:szCs w:val="24"/>
          <w:lang w:val="en-US" w:eastAsia="ar-SA"/>
        </w:rPr>
        <w:t xml:space="preserve"> the Tribunal issued directions in matters relating to the grant of forest clearance in order to build a dam on river </w:t>
      </w:r>
      <w:proofErr w:type="spellStart"/>
      <w:r w:rsidR="008E72CA">
        <w:rPr>
          <w:rFonts w:eastAsia="DejaVu LGC Sans" w:cs="Arial"/>
          <w:color w:val="000000"/>
          <w:kern w:val="1"/>
          <w:sz w:val="24"/>
          <w:szCs w:val="24"/>
          <w:lang w:val="en-US" w:eastAsia="ar-SA"/>
        </w:rPr>
        <w:t>Alaknanda</w:t>
      </w:r>
      <w:proofErr w:type="spellEnd"/>
      <w:r w:rsidR="008E72CA">
        <w:rPr>
          <w:rFonts w:eastAsia="DejaVu LGC Sans" w:cs="Arial"/>
          <w:color w:val="000000"/>
          <w:kern w:val="1"/>
          <w:sz w:val="24"/>
          <w:szCs w:val="24"/>
          <w:lang w:val="en-US" w:eastAsia="ar-SA"/>
        </w:rPr>
        <w:t xml:space="preserve"> for the purpose of generating hydroelectric power.</w:t>
      </w:r>
      <w:r w:rsidR="008C665B">
        <w:rPr>
          <w:rFonts w:eastAsia="DejaVu LGC Sans" w:cs="Arial"/>
          <w:color w:val="000000"/>
          <w:kern w:val="1"/>
          <w:sz w:val="24"/>
          <w:szCs w:val="24"/>
          <w:lang w:val="en-US" w:eastAsia="ar-SA"/>
        </w:rPr>
        <w:t xml:space="preserve"> The Tribunal identified the current limitation of </w:t>
      </w:r>
      <w:r w:rsidR="00BF6818">
        <w:rPr>
          <w:rFonts w:eastAsia="DejaVu LGC Sans" w:cs="Arial"/>
          <w:color w:val="000000"/>
          <w:kern w:val="1"/>
          <w:sz w:val="24"/>
          <w:szCs w:val="24"/>
          <w:lang w:val="en-US" w:eastAsia="ar-SA"/>
        </w:rPr>
        <w:t xml:space="preserve">the </w:t>
      </w:r>
      <w:r w:rsidR="008C665B">
        <w:rPr>
          <w:rFonts w:eastAsia="DejaVu LGC Sans" w:cs="Arial"/>
          <w:color w:val="000000"/>
          <w:kern w:val="1"/>
          <w:sz w:val="24"/>
          <w:szCs w:val="24"/>
          <w:lang w:val="en-US" w:eastAsia="ar-SA"/>
        </w:rPr>
        <w:t>environmental impact assessment procedure. It sugg</w:t>
      </w:r>
      <w:r w:rsidR="00BF6818">
        <w:rPr>
          <w:rFonts w:eastAsia="DejaVu LGC Sans" w:cs="Arial"/>
          <w:color w:val="000000"/>
          <w:kern w:val="1"/>
          <w:sz w:val="24"/>
          <w:szCs w:val="24"/>
          <w:lang w:val="en-US" w:eastAsia="ar-SA"/>
        </w:rPr>
        <w:t>ested that the procedure was</w:t>
      </w:r>
      <w:r w:rsidR="008C665B">
        <w:rPr>
          <w:rFonts w:eastAsia="DejaVu LGC Sans" w:cs="Arial"/>
          <w:color w:val="000000"/>
          <w:kern w:val="1"/>
          <w:sz w:val="24"/>
          <w:szCs w:val="24"/>
          <w:lang w:val="en-US" w:eastAsia="ar-SA"/>
        </w:rPr>
        <w:t xml:space="preserve"> narrowly based and that in future </w:t>
      </w:r>
      <w:r w:rsidR="00A76750">
        <w:rPr>
          <w:rFonts w:eastAsia="DejaVu LGC Sans" w:cs="Arial"/>
          <w:color w:val="000000"/>
          <w:kern w:val="1"/>
          <w:sz w:val="24"/>
          <w:szCs w:val="24"/>
          <w:lang w:val="en-US" w:eastAsia="ar-SA"/>
        </w:rPr>
        <w:t>the Ministry should take account of cumulative impact assessment reports</w:t>
      </w:r>
      <w:r w:rsidR="00BF6818">
        <w:rPr>
          <w:rFonts w:eastAsia="DejaVu LGC Sans" w:cs="Arial"/>
          <w:color w:val="000000"/>
          <w:kern w:val="1"/>
          <w:sz w:val="24"/>
          <w:szCs w:val="24"/>
          <w:lang w:val="en-US" w:eastAsia="ar-SA"/>
        </w:rPr>
        <w:t xml:space="preserve"> that integrate</w:t>
      </w:r>
      <w:r w:rsidR="002362E2">
        <w:rPr>
          <w:rFonts w:eastAsia="DejaVu LGC Sans" w:cs="Arial"/>
          <w:color w:val="000000"/>
          <w:kern w:val="1"/>
          <w:sz w:val="24"/>
          <w:szCs w:val="24"/>
          <w:lang w:val="en-US" w:eastAsia="ar-SA"/>
        </w:rPr>
        <w:t xml:space="preserve"> physical, biological and social impacts in a comprehensive manner</w:t>
      </w:r>
      <w:r w:rsidR="00A76750">
        <w:rPr>
          <w:rFonts w:eastAsia="DejaVu LGC Sans" w:cs="Arial"/>
          <w:color w:val="000000"/>
          <w:kern w:val="1"/>
          <w:sz w:val="24"/>
          <w:szCs w:val="24"/>
          <w:lang w:val="en-US" w:eastAsia="ar-SA"/>
        </w:rPr>
        <w:t xml:space="preserve"> before granting any </w:t>
      </w:r>
      <w:r w:rsidR="000E2083">
        <w:rPr>
          <w:rFonts w:eastAsia="DejaVu LGC Sans" w:cs="Arial"/>
          <w:color w:val="000000"/>
          <w:kern w:val="1"/>
          <w:sz w:val="24"/>
          <w:szCs w:val="24"/>
          <w:lang w:val="en-US" w:eastAsia="ar-SA"/>
        </w:rPr>
        <w:t xml:space="preserve">forest </w:t>
      </w:r>
      <w:r w:rsidR="00A76750">
        <w:rPr>
          <w:rFonts w:eastAsia="DejaVu LGC Sans" w:cs="Arial"/>
          <w:color w:val="000000"/>
          <w:kern w:val="1"/>
          <w:sz w:val="24"/>
          <w:szCs w:val="24"/>
          <w:lang w:val="en-US" w:eastAsia="ar-SA"/>
        </w:rPr>
        <w:t>cleara</w:t>
      </w:r>
      <w:r w:rsidR="002C6540">
        <w:rPr>
          <w:rFonts w:eastAsia="DejaVu LGC Sans" w:cs="Arial"/>
          <w:color w:val="000000"/>
          <w:kern w:val="1"/>
          <w:sz w:val="24"/>
          <w:szCs w:val="24"/>
          <w:lang w:val="en-US" w:eastAsia="ar-SA"/>
        </w:rPr>
        <w:t>nce.</w:t>
      </w:r>
      <w:r w:rsidR="00C815A0">
        <w:rPr>
          <w:rFonts w:eastAsia="DejaVu LGC Sans" w:cs="Arial"/>
          <w:color w:val="000000"/>
          <w:kern w:val="1"/>
          <w:sz w:val="24"/>
          <w:szCs w:val="24"/>
          <w:lang w:val="en-US" w:eastAsia="ar-SA"/>
        </w:rPr>
        <w:t xml:space="preserve"> A further illustration of policy making is evidenced in the 2011 </w:t>
      </w:r>
      <w:r w:rsidR="00C815A0" w:rsidRPr="00C815A0">
        <w:rPr>
          <w:rFonts w:eastAsia="DejaVu LGC Sans" w:cs="Arial"/>
          <w:color w:val="000000"/>
          <w:kern w:val="1"/>
          <w:sz w:val="24"/>
          <w:szCs w:val="24"/>
          <w:lang w:val="en-US" w:eastAsia="ar-SA"/>
        </w:rPr>
        <w:t xml:space="preserve">case of </w:t>
      </w:r>
      <w:proofErr w:type="spellStart"/>
      <w:r w:rsidR="00C815A0" w:rsidRPr="00C815A0">
        <w:rPr>
          <w:i/>
          <w:sz w:val="24"/>
          <w:szCs w:val="24"/>
        </w:rPr>
        <w:t>Krishi</w:t>
      </w:r>
      <w:proofErr w:type="spellEnd"/>
      <w:r w:rsidR="00C815A0" w:rsidRPr="00C815A0">
        <w:rPr>
          <w:i/>
          <w:sz w:val="24"/>
          <w:szCs w:val="24"/>
        </w:rPr>
        <w:t xml:space="preserve"> </w:t>
      </w:r>
      <w:proofErr w:type="spellStart"/>
      <w:r w:rsidR="00C815A0" w:rsidRPr="00C815A0">
        <w:rPr>
          <w:rFonts w:cs="Times New Roman"/>
          <w:i/>
          <w:sz w:val="24"/>
          <w:szCs w:val="24"/>
        </w:rPr>
        <w:t>Vigyan</w:t>
      </w:r>
      <w:proofErr w:type="spellEnd"/>
      <w:r w:rsidR="00C815A0" w:rsidRPr="00C815A0">
        <w:rPr>
          <w:rFonts w:cs="Times New Roman"/>
          <w:i/>
          <w:sz w:val="24"/>
          <w:szCs w:val="24"/>
        </w:rPr>
        <w:t xml:space="preserve"> </w:t>
      </w:r>
      <w:proofErr w:type="spellStart"/>
      <w:r w:rsidR="00C815A0" w:rsidRPr="00C815A0">
        <w:rPr>
          <w:rFonts w:cs="Times New Roman"/>
          <w:i/>
          <w:sz w:val="24"/>
          <w:szCs w:val="24"/>
        </w:rPr>
        <w:t>Arogya</w:t>
      </w:r>
      <w:proofErr w:type="spellEnd"/>
      <w:r w:rsidR="00C815A0" w:rsidRPr="00C815A0">
        <w:rPr>
          <w:rFonts w:cs="Times New Roman"/>
          <w:i/>
          <w:sz w:val="24"/>
          <w:szCs w:val="24"/>
        </w:rPr>
        <w:t xml:space="preserve"> </w:t>
      </w:r>
      <w:proofErr w:type="spellStart"/>
      <w:r w:rsidR="00C815A0" w:rsidRPr="00C815A0">
        <w:rPr>
          <w:rFonts w:cs="Times New Roman"/>
          <w:i/>
          <w:sz w:val="24"/>
          <w:szCs w:val="24"/>
        </w:rPr>
        <w:t>Sanstha</w:t>
      </w:r>
      <w:proofErr w:type="spellEnd"/>
      <w:r w:rsidR="00C815A0" w:rsidRPr="00C815A0">
        <w:rPr>
          <w:rFonts w:cs="Times New Roman"/>
          <w:i/>
          <w:sz w:val="24"/>
          <w:szCs w:val="24"/>
        </w:rPr>
        <w:t xml:space="preserve"> v. Ministry of Environment</w:t>
      </w:r>
      <w:r w:rsidR="00C815A0" w:rsidRPr="00C815A0">
        <w:rPr>
          <w:rFonts w:cs="Times New Roman"/>
          <w:sz w:val="24"/>
          <w:szCs w:val="24"/>
        </w:rPr>
        <w:t xml:space="preserve"> </w:t>
      </w:r>
      <w:r w:rsidR="00C815A0" w:rsidRPr="00C815A0">
        <w:rPr>
          <w:rFonts w:cs="Times New Roman"/>
          <w:i/>
          <w:sz w:val="24"/>
          <w:szCs w:val="24"/>
        </w:rPr>
        <w:t>and Forests</w:t>
      </w:r>
      <w:r w:rsidR="00C815A0">
        <w:rPr>
          <w:rFonts w:cs="Times New Roman"/>
          <w:sz w:val="24"/>
          <w:szCs w:val="24"/>
        </w:rPr>
        <w:t xml:space="preserve">, </w:t>
      </w:r>
      <w:r w:rsidR="00C815A0" w:rsidRPr="00C815A0">
        <w:rPr>
          <w:rFonts w:cs="Times New Roman"/>
          <w:sz w:val="24"/>
          <w:szCs w:val="24"/>
        </w:rPr>
        <w:t>where the Tribunal issued directions instituting a scientific study dealing with nuclear radiation with reference to coal ash generated by thermal power projects. The Tribunal reviewed the cumulative effect of a number of thermal power projects located in the area on human habitation and environment and ecology grounds. It prescribed national standards as to permissible levels of nuclear radiation in residential, industrial and ecologically sensitive areas of India and synchronized the commissioning of the thermal power project with that of a sewage waste water treatment plant. The treated water was proposed to be used for the operation of the project, failing which no consent to operate was to be issued by the pollution control boards. Further, all future projects required the project proponent to furnish details of possible nuclear radio activity and the levels of the coal proposed to be used for the thermal power plant.</w:t>
      </w:r>
    </w:p>
    <w:p w:rsidR="009923ED" w:rsidRPr="00FA3678" w:rsidRDefault="009923ED" w:rsidP="00C815A0">
      <w:pPr>
        <w:autoSpaceDE w:val="0"/>
        <w:autoSpaceDN w:val="0"/>
        <w:adjustRightInd w:val="0"/>
        <w:spacing w:after="0"/>
        <w:rPr>
          <w:rFonts w:cs="Arial"/>
          <w:sz w:val="24"/>
          <w:szCs w:val="24"/>
        </w:rPr>
      </w:pPr>
    </w:p>
    <w:p w:rsidR="004D550E" w:rsidRPr="00FA3678" w:rsidRDefault="00716ADA" w:rsidP="00FA3678">
      <w:pPr>
        <w:tabs>
          <w:tab w:val="left" w:pos="603"/>
        </w:tabs>
        <w:jc w:val="both"/>
        <w:rPr>
          <w:rFonts w:cs="Arial"/>
          <w:sz w:val="24"/>
          <w:szCs w:val="24"/>
        </w:rPr>
      </w:pPr>
      <w:r w:rsidRPr="00FA3678">
        <w:rPr>
          <w:rFonts w:cs="Arial"/>
          <w:sz w:val="24"/>
          <w:szCs w:val="24"/>
        </w:rPr>
        <w:t xml:space="preserve">The NGT has wide jurisdiction in relation to environmental matters. </w:t>
      </w:r>
      <w:r w:rsidRPr="00FA3678">
        <w:rPr>
          <w:rFonts w:cs="Arial"/>
          <w:color w:val="000000"/>
          <w:sz w:val="24"/>
          <w:szCs w:val="24"/>
        </w:rPr>
        <w:t>The pleadings are in the form of original, appellate, review and miscellaneous petitions. Section 14 of the NGT Act 2010 empowers the Tribunal to entertain original applications covering all civil cases involving a substantial question of environment and which arises out of the enactments specified in Schedule 1</w:t>
      </w:r>
      <w:r w:rsidR="00F7074A" w:rsidRPr="00FA3678">
        <w:rPr>
          <w:rFonts w:cs="Arial"/>
          <w:color w:val="000000"/>
          <w:sz w:val="24"/>
          <w:szCs w:val="24"/>
        </w:rPr>
        <w:t xml:space="preserve"> of the Act.</w:t>
      </w:r>
      <w:r w:rsidR="00F7074A" w:rsidRPr="00FA3678">
        <w:rPr>
          <w:rStyle w:val="FootnoteReference"/>
          <w:rFonts w:cs="Arial"/>
          <w:color w:val="000000"/>
          <w:sz w:val="24"/>
          <w:szCs w:val="24"/>
        </w:rPr>
        <w:footnoteReference w:id="37"/>
      </w:r>
      <w:r w:rsidR="003A06F9">
        <w:rPr>
          <w:rFonts w:cs="Arial"/>
          <w:color w:val="000000"/>
          <w:sz w:val="24"/>
          <w:szCs w:val="24"/>
        </w:rPr>
        <w:t xml:space="preserve"> Civil c</w:t>
      </w:r>
      <w:r w:rsidR="00D035D7">
        <w:rPr>
          <w:rFonts w:cs="Arial"/>
          <w:color w:val="000000"/>
          <w:sz w:val="24"/>
          <w:szCs w:val="24"/>
        </w:rPr>
        <w:t>ases within its ambit include</w:t>
      </w:r>
      <w:r w:rsidR="00E866AC" w:rsidRPr="00FA3678">
        <w:rPr>
          <w:rFonts w:cs="Arial"/>
          <w:color w:val="000000"/>
          <w:sz w:val="24"/>
          <w:szCs w:val="24"/>
        </w:rPr>
        <w:t xml:space="preserve"> all legal proceedings except criminal cases which are governed by the provisions of the Criminal Procedure Code.</w:t>
      </w:r>
      <w:r w:rsidR="00793ABB" w:rsidRPr="00FA3678">
        <w:rPr>
          <w:rStyle w:val="FootnoteReference"/>
          <w:rFonts w:cs="Arial"/>
          <w:color w:val="000000"/>
          <w:sz w:val="24"/>
          <w:szCs w:val="24"/>
        </w:rPr>
        <w:footnoteReference w:id="38"/>
      </w:r>
      <w:r w:rsidR="00E866AC" w:rsidRPr="00FA3678">
        <w:rPr>
          <w:rFonts w:cs="Arial"/>
          <w:color w:val="000000"/>
          <w:sz w:val="24"/>
          <w:szCs w:val="24"/>
        </w:rPr>
        <w:t xml:space="preserve"> A substantial question of the environment is an expression of wide magnitude to cover</w:t>
      </w:r>
      <w:r w:rsidR="000F4723" w:rsidRPr="00FA3678">
        <w:rPr>
          <w:rFonts w:cs="Arial"/>
          <w:color w:val="000000"/>
          <w:sz w:val="24"/>
          <w:szCs w:val="24"/>
        </w:rPr>
        <w:t xml:space="preserve"> a</w:t>
      </w:r>
      <w:r w:rsidR="00E866AC" w:rsidRPr="00FA3678">
        <w:rPr>
          <w:rFonts w:cs="Arial"/>
          <w:color w:val="000000"/>
          <w:sz w:val="24"/>
          <w:szCs w:val="24"/>
        </w:rPr>
        <w:t xml:space="preserve"> question which is debatable, not previously settled and must have a material bearing on the case and its issues relating to the environment. The NGT Act 2010 classifies</w:t>
      </w:r>
      <w:r w:rsidR="00DD7F50" w:rsidRPr="00FA3678">
        <w:rPr>
          <w:rFonts w:cs="Arial"/>
          <w:color w:val="000000"/>
          <w:sz w:val="24"/>
          <w:szCs w:val="24"/>
        </w:rPr>
        <w:t xml:space="preserve"> a</w:t>
      </w:r>
      <w:r w:rsidR="00E866AC" w:rsidRPr="00FA3678">
        <w:rPr>
          <w:rFonts w:cs="Arial"/>
          <w:color w:val="000000"/>
          <w:sz w:val="24"/>
          <w:szCs w:val="24"/>
        </w:rPr>
        <w:t xml:space="preserve"> </w:t>
      </w:r>
      <w:r w:rsidR="00E866AC" w:rsidRPr="00FA3678">
        <w:rPr>
          <w:rFonts w:cs="Arial"/>
          <w:color w:val="000000"/>
          <w:sz w:val="24"/>
          <w:szCs w:val="24"/>
        </w:rPr>
        <w:lastRenderedPageBreak/>
        <w:t>substantial question relating to the environment to include statutory violation of environmental obligations and environmental consequences of specific activity or pollution.</w:t>
      </w:r>
      <w:r w:rsidR="00793ABB" w:rsidRPr="00FA3678">
        <w:rPr>
          <w:rStyle w:val="FootnoteReference"/>
          <w:rFonts w:cs="Arial"/>
          <w:color w:val="000000"/>
          <w:sz w:val="24"/>
          <w:szCs w:val="24"/>
        </w:rPr>
        <w:footnoteReference w:id="39"/>
      </w:r>
      <w:r w:rsidR="00845E70" w:rsidRPr="00FA3678">
        <w:rPr>
          <w:rFonts w:cs="Arial"/>
          <w:color w:val="000000"/>
          <w:sz w:val="24"/>
          <w:szCs w:val="24"/>
        </w:rPr>
        <w:t xml:space="preserve"> </w:t>
      </w:r>
      <w:r w:rsidR="00845E70" w:rsidRPr="00FA3678">
        <w:rPr>
          <w:rFonts w:eastAsia="DejaVu LGC Sans" w:cs="Arial"/>
          <w:color w:val="000000"/>
          <w:kern w:val="1"/>
          <w:sz w:val="24"/>
          <w:szCs w:val="24"/>
          <w:lang w:val="en-US" w:eastAsia="ar-SA"/>
        </w:rPr>
        <w:t xml:space="preserve"> The Tribunal is vested with appellate jurisdiction under Section 16 of the NGT Act 2010</w:t>
      </w:r>
      <w:r w:rsidR="000378FA" w:rsidRPr="00FA3678">
        <w:rPr>
          <w:rFonts w:eastAsia="DejaVu LGC Sans" w:cs="Arial"/>
          <w:color w:val="000000"/>
          <w:kern w:val="1"/>
          <w:sz w:val="24"/>
          <w:szCs w:val="24"/>
          <w:lang w:val="en-US" w:eastAsia="ar-SA"/>
        </w:rPr>
        <w:t xml:space="preserve"> against orders or decisions under the enactments specified in Schedule 1</w:t>
      </w:r>
      <w:r w:rsidR="00845E70" w:rsidRPr="00FA3678">
        <w:rPr>
          <w:rFonts w:eastAsia="DejaVu LGC Sans" w:cs="Arial"/>
          <w:color w:val="000000"/>
          <w:kern w:val="1"/>
          <w:sz w:val="24"/>
          <w:szCs w:val="24"/>
          <w:lang w:val="en-US" w:eastAsia="ar-SA"/>
        </w:rPr>
        <w:t>.</w:t>
      </w:r>
      <w:r w:rsidR="000378FA" w:rsidRPr="00FA3678">
        <w:rPr>
          <w:rStyle w:val="FootnoteReference"/>
          <w:rFonts w:eastAsia="DejaVu LGC Sans" w:cs="Arial"/>
          <w:color w:val="000000"/>
          <w:kern w:val="1"/>
          <w:sz w:val="24"/>
          <w:szCs w:val="24"/>
          <w:lang w:val="en-US" w:eastAsia="ar-SA"/>
        </w:rPr>
        <w:footnoteReference w:id="40"/>
      </w:r>
      <w:r w:rsidR="00845E70" w:rsidRPr="00FA3678">
        <w:rPr>
          <w:rFonts w:eastAsia="DejaVu LGC Sans" w:cs="Arial"/>
          <w:color w:val="000000"/>
          <w:kern w:val="1"/>
          <w:sz w:val="24"/>
          <w:szCs w:val="24"/>
          <w:lang w:val="en-US" w:eastAsia="ar-SA"/>
        </w:rPr>
        <w:t xml:space="preserve"> The appeal has to be filed before the Tribunal within thirty days from the date on which order or decision or deter</w:t>
      </w:r>
      <w:r w:rsidR="00977E9B">
        <w:rPr>
          <w:rFonts w:eastAsia="DejaVu LGC Sans" w:cs="Arial"/>
          <w:color w:val="000000"/>
          <w:kern w:val="1"/>
          <w:sz w:val="24"/>
          <w:szCs w:val="24"/>
          <w:lang w:val="en-US" w:eastAsia="ar-SA"/>
        </w:rPr>
        <w:t>mination was communicated to an aggrieved party</w:t>
      </w:r>
      <w:r w:rsidR="00845E70" w:rsidRPr="00FA3678">
        <w:rPr>
          <w:rFonts w:eastAsia="DejaVu LGC Sans" w:cs="Arial"/>
          <w:color w:val="000000"/>
          <w:kern w:val="1"/>
          <w:sz w:val="24"/>
          <w:szCs w:val="24"/>
          <w:lang w:val="en-US" w:eastAsia="ar-SA"/>
        </w:rPr>
        <w:t>. However, the time limitation clause may be further extended to a period not exceeding 60 days provided that the Tribunal is satisfied that the appellant was prevented by a sufficient cause from filing the appeal. The appellate jurisdiction of NGT can only be invoked provided the appellant has exhausted all the appeal forums available under the Act under which order has been passed. The Tribunal cannot be approached directly whatever may be the merits and question of law raised and arise for consideration</w:t>
      </w:r>
      <w:r w:rsidR="0015539F" w:rsidRPr="00FA3678">
        <w:rPr>
          <w:rFonts w:eastAsia="DejaVu LGC Sans" w:cs="Arial"/>
          <w:color w:val="000000"/>
          <w:kern w:val="1"/>
          <w:sz w:val="24"/>
          <w:szCs w:val="24"/>
          <w:lang w:val="en-US" w:eastAsia="ar-SA"/>
        </w:rPr>
        <w:t>.</w:t>
      </w:r>
      <w:r w:rsidR="0015539F" w:rsidRPr="00FA3678">
        <w:rPr>
          <w:rStyle w:val="FootnoteReference"/>
          <w:rFonts w:eastAsia="DejaVu LGC Sans" w:cs="Arial"/>
          <w:color w:val="000000"/>
          <w:kern w:val="1"/>
          <w:sz w:val="24"/>
          <w:szCs w:val="24"/>
          <w:lang w:val="en-US" w:eastAsia="ar-SA"/>
        </w:rPr>
        <w:footnoteReference w:id="41"/>
      </w:r>
      <w:r w:rsidR="0015539F" w:rsidRPr="00FA3678">
        <w:rPr>
          <w:rFonts w:eastAsia="DejaVu LGC Sans" w:cs="Arial"/>
          <w:color w:val="000000"/>
          <w:kern w:val="1"/>
          <w:sz w:val="24"/>
          <w:szCs w:val="24"/>
          <w:lang w:val="en-US" w:eastAsia="ar-SA"/>
        </w:rPr>
        <w:t xml:space="preserve"> </w:t>
      </w:r>
      <w:r w:rsidR="00827A24" w:rsidRPr="00FA3678">
        <w:rPr>
          <w:rFonts w:cs="Arial"/>
          <w:sz w:val="24"/>
          <w:szCs w:val="24"/>
        </w:rPr>
        <w:t>T</w:t>
      </w:r>
      <w:r w:rsidR="0057799C" w:rsidRPr="00FA3678">
        <w:rPr>
          <w:rFonts w:cs="Arial"/>
          <w:sz w:val="24"/>
          <w:szCs w:val="24"/>
        </w:rPr>
        <w:t>he Tribunal can review its decision under Section 19 (f) of the NGT Act 2010. The scope of the review application is limited in nature and cannot be treated as an appeal. The review application can only be entertained when there is mistake or error apparent on face of the record or when some material fact is</w:t>
      </w:r>
      <w:r w:rsidR="00827A24" w:rsidRPr="00FA3678">
        <w:rPr>
          <w:rFonts w:cs="Arial"/>
          <w:sz w:val="24"/>
          <w:szCs w:val="24"/>
        </w:rPr>
        <w:t xml:space="preserve"> brought to the notice of </w:t>
      </w:r>
      <w:r w:rsidR="00EB7812" w:rsidRPr="00FA3678">
        <w:rPr>
          <w:rFonts w:cs="Arial"/>
          <w:sz w:val="24"/>
          <w:szCs w:val="24"/>
        </w:rPr>
        <w:t xml:space="preserve">Tribunal which is </w:t>
      </w:r>
      <w:proofErr w:type="spellStart"/>
      <w:r w:rsidR="00EB7812" w:rsidRPr="00FA3678">
        <w:rPr>
          <w:rFonts w:cs="Arial"/>
          <w:sz w:val="24"/>
          <w:szCs w:val="24"/>
        </w:rPr>
        <w:t>bonafide</w:t>
      </w:r>
      <w:proofErr w:type="spellEnd"/>
      <w:r w:rsidR="00EB7812" w:rsidRPr="00FA3678">
        <w:rPr>
          <w:rFonts w:cs="Arial"/>
          <w:sz w:val="24"/>
          <w:szCs w:val="24"/>
        </w:rPr>
        <w:t xml:space="preserve"> </w:t>
      </w:r>
      <w:r w:rsidR="0057799C" w:rsidRPr="00FA3678">
        <w:rPr>
          <w:rFonts w:cs="Arial"/>
          <w:sz w:val="24"/>
          <w:szCs w:val="24"/>
        </w:rPr>
        <w:t>or any sufficient reason</w:t>
      </w:r>
      <w:r w:rsidR="00827A24" w:rsidRPr="00FA3678">
        <w:rPr>
          <w:rFonts w:cs="Arial"/>
          <w:sz w:val="24"/>
          <w:szCs w:val="24"/>
        </w:rPr>
        <w:t>.</w:t>
      </w:r>
      <w:r w:rsidR="00827A24" w:rsidRPr="00FA3678">
        <w:rPr>
          <w:rStyle w:val="FootnoteReference"/>
          <w:rFonts w:cs="Arial"/>
          <w:sz w:val="24"/>
          <w:szCs w:val="24"/>
        </w:rPr>
        <w:footnoteReference w:id="42"/>
      </w:r>
      <w:r w:rsidR="0058241D" w:rsidRPr="00FA3678">
        <w:rPr>
          <w:rFonts w:cs="Arial"/>
          <w:sz w:val="24"/>
          <w:szCs w:val="24"/>
        </w:rPr>
        <w:t xml:space="preserve"> </w:t>
      </w:r>
      <w:r w:rsidR="00667C8E" w:rsidRPr="00FA3678">
        <w:rPr>
          <w:rFonts w:cs="Arial"/>
          <w:sz w:val="24"/>
          <w:szCs w:val="24"/>
        </w:rPr>
        <w:t>Miscellaneous application</w:t>
      </w:r>
      <w:r w:rsidR="00F9096B" w:rsidRPr="00FA3678">
        <w:rPr>
          <w:rFonts w:cs="Arial"/>
          <w:sz w:val="24"/>
          <w:szCs w:val="24"/>
        </w:rPr>
        <w:t>s</w:t>
      </w:r>
      <w:r w:rsidR="00667C8E" w:rsidRPr="00FA3678">
        <w:rPr>
          <w:rFonts w:cs="Arial"/>
          <w:sz w:val="24"/>
          <w:szCs w:val="24"/>
        </w:rPr>
        <w:t xml:space="preserve"> are also entertained by the NGT. The Tribunal </w:t>
      </w:r>
      <w:r w:rsidR="00B239EA">
        <w:rPr>
          <w:rFonts w:cs="Arial"/>
          <w:sz w:val="24"/>
          <w:szCs w:val="24"/>
        </w:rPr>
        <w:t>may pass</w:t>
      </w:r>
      <w:r w:rsidR="00667C8E" w:rsidRPr="00FA3678">
        <w:rPr>
          <w:rFonts w:cs="Arial"/>
          <w:sz w:val="24"/>
          <w:szCs w:val="24"/>
        </w:rPr>
        <w:t xml:space="preserve"> an interim order (including granting an injunction or stay) after providing the parties concerned an opportunity to be heard on any application made or appeal filed under the Act.</w:t>
      </w:r>
      <w:r w:rsidR="0058241D" w:rsidRPr="00FA3678">
        <w:rPr>
          <w:rStyle w:val="FootnoteReference"/>
          <w:rFonts w:cs="Arial"/>
          <w:sz w:val="24"/>
          <w:szCs w:val="24"/>
        </w:rPr>
        <w:footnoteReference w:id="43"/>
      </w:r>
      <w:r w:rsidR="00667C8E" w:rsidRPr="00FA3678">
        <w:rPr>
          <w:rFonts w:cs="Arial"/>
          <w:sz w:val="24"/>
          <w:szCs w:val="24"/>
        </w:rPr>
        <w:t xml:space="preserve"> </w:t>
      </w:r>
    </w:p>
    <w:p w:rsidR="00430EC5" w:rsidRPr="00FA3678" w:rsidRDefault="00430EC5" w:rsidP="00FA3678">
      <w:pPr>
        <w:widowControl w:val="0"/>
        <w:tabs>
          <w:tab w:val="left" w:pos="603"/>
        </w:tabs>
        <w:suppressAutoHyphens/>
        <w:spacing w:after="0"/>
        <w:rPr>
          <w:rFonts w:cs="Arial"/>
          <w:color w:val="000000"/>
          <w:sz w:val="24"/>
          <w:szCs w:val="24"/>
        </w:rPr>
      </w:pPr>
      <w:r w:rsidRPr="00FA3678">
        <w:rPr>
          <w:rFonts w:cs="Arial"/>
          <w:color w:val="000000"/>
          <w:sz w:val="24"/>
          <w:szCs w:val="24"/>
        </w:rPr>
        <w:t xml:space="preserve">One feature of the NGT </w:t>
      </w:r>
      <w:r w:rsidR="009C0454" w:rsidRPr="00FA3678">
        <w:rPr>
          <w:rFonts w:cs="Arial"/>
          <w:color w:val="000000"/>
          <w:sz w:val="24"/>
          <w:szCs w:val="24"/>
        </w:rPr>
        <w:t>i</w:t>
      </w:r>
      <w:r w:rsidR="0055220E" w:rsidRPr="00FA3678">
        <w:rPr>
          <w:rFonts w:cs="Arial"/>
          <w:color w:val="000000"/>
          <w:sz w:val="24"/>
          <w:szCs w:val="24"/>
        </w:rPr>
        <w:t xml:space="preserve">s its ability to fast track and </w:t>
      </w:r>
      <w:proofErr w:type="gramStart"/>
      <w:r w:rsidR="0055220E" w:rsidRPr="00FA3678">
        <w:rPr>
          <w:rFonts w:cs="Arial"/>
          <w:color w:val="000000"/>
          <w:sz w:val="24"/>
          <w:szCs w:val="24"/>
        </w:rPr>
        <w:t>decide</w:t>
      </w:r>
      <w:proofErr w:type="gramEnd"/>
      <w:r w:rsidR="0055220E" w:rsidRPr="00FA3678">
        <w:rPr>
          <w:rFonts w:cs="Arial"/>
          <w:color w:val="000000"/>
          <w:sz w:val="24"/>
          <w:szCs w:val="24"/>
        </w:rPr>
        <w:t xml:space="preserve"> </w:t>
      </w:r>
      <w:r w:rsidR="009C0454" w:rsidRPr="00FA3678">
        <w:rPr>
          <w:rFonts w:cs="Arial"/>
          <w:color w:val="000000"/>
          <w:sz w:val="24"/>
          <w:szCs w:val="24"/>
        </w:rPr>
        <w:t>cases</w:t>
      </w:r>
      <w:r w:rsidRPr="00FA3678">
        <w:rPr>
          <w:rFonts w:cs="Arial"/>
          <w:color w:val="000000"/>
          <w:sz w:val="24"/>
          <w:szCs w:val="24"/>
        </w:rPr>
        <w:t xml:space="preserve"> within six months from the date of filing the</w:t>
      </w:r>
      <w:r w:rsidR="00A97BF0" w:rsidRPr="00FA3678">
        <w:rPr>
          <w:rFonts w:cs="Arial"/>
          <w:color w:val="000000"/>
          <w:sz w:val="24"/>
          <w:szCs w:val="24"/>
        </w:rPr>
        <w:t xml:space="preserve"> application or appeal</w:t>
      </w:r>
      <w:r w:rsidR="009C0454" w:rsidRPr="00FA3678">
        <w:rPr>
          <w:rFonts w:cs="Arial"/>
          <w:color w:val="000000"/>
          <w:sz w:val="24"/>
          <w:szCs w:val="24"/>
        </w:rPr>
        <w:t>.</w:t>
      </w:r>
      <w:r w:rsidR="0055220E" w:rsidRPr="00FA3678">
        <w:rPr>
          <w:rStyle w:val="FootnoteReference"/>
          <w:rFonts w:cs="Arial"/>
          <w:color w:val="000000"/>
          <w:sz w:val="24"/>
          <w:szCs w:val="24"/>
        </w:rPr>
        <w:footnoteReference w:id="44"/>
      </w:r>
      <w:r w:rsidR="0055220E" w:rsidRPr="00FA3678">
        <w:rPr>
          <w:rFonts w:cs="Arial"/>
          <w:color w:val="000000"/>
          <w:sz w:val="24"/>
          <w:szCs w:val="24"/>
        </w:rPr>
        <w:t xml:space="preserve"> </w:t>
      </w:r>
      <w:r w:rsidR="008A1A8E" w:rsidRPr="00FA3678">
        <w:rPr>
          <w:rFonts w:cs="Arial"/>
          <w:color w:val="000000"/>
          <w:sz w:val="24"/>
          <w:szCs w:val="24"/>
        </w:rPr>
        <w:t xml:space="preserve">This contrasts with </w:t>
      </w:r>
      <w:r w:rsidR="009C0454" w:rsidRPr="00FA3678">
        <w:rPr>
          <w:rFonts w:cs="Arial"/>
          <w:color w:val="000000"/>
          <w:sz w:val="24"/>
          <w:szCs w:val="24"/>
        </w:rPr>
        <w:t xml:space="preserve">both </w:t>
      </w:r>
      <w:r w:rsidR="008A1A8E" w:rsidRPr="00FA3678">
        <w:rPr>
          <w:rFonts w:cs="Arial"/>
          <w:color w:val="000000"/>
          <w:sz w:val="24"/>
          <w:szCs w:val="24"/>
        </w:rPr>
        <w:t>the historic</w:t>
      </w:r>
      <w:r w:rsidR="0055220E" w:rsidRPr="00FA3678">
        <w:rPr>
          <w:rStyle w:val="FootnoteReference"/>
          <w:rFonts w:cs="Arial"/>
          <w:color w:val="000000"/>
          <w:sz w:val="24"/>
          <w:szCs w:val="24"/>
        </w:rPr>
        <w:footnoteReference w:id="45"/>
      </w:r>
      <w:r w:rsidR="0055220E" w:rsidRPr="00FA3678">
        <w:rPr>
          <w:rFonts w:cs="Arial"/>
          <w:color w:val="000000"/>
          <w:sz w:val="24"/>
          <w:szCs w:val="24"/>
        </w:rPr>
        <w:t xml:space="preserve"> </w:t>
      </w:r>
      <w:r w:rsidR="008A1A8E" w:rsidRPr="00FA3678">
        <w:rPr>
          <w:rFonts w:cs="Arial"/>
          <w:color w:val="000000"/>
          <w:sz w:val="24"/>
          <w:szCs w:val="24"/>
        </w:rPr>
        <w:t>and contemporary levels of court clogging and delays</w:t>
      </w:r>
      <w:r w:rsidR="0055220E" w:rsidRPr="00FA3678">
        <w:rPr>
          <w:rStyle w:val="FootnoteReference"/>
          <w:rFonts w:cs="Arial"/>
          <w:color w:val="000000"/>
          <w:sz w:val="24"/>
          <w:szCs w:val="24"/>
        </w:rPr>
        <w:footnoteReference w:id="46"/>
      </w:r>
      <w:r w:rsidR="008A1A8E" w:rsidRPr="00FA3678">
        <w:rPr>
          <w:rFonts w:cs="Arial"/>
          <w:color w:val="000000"/>
          <w:sz w:val="24"/>
          <w:szCs w:val="24"/>
        </w:rPr>
        <w:t xml:space="preserve"> that are unfortunately powerful features of the Indian court system. </w:t>
      </w:r>
      <w:r w:rsidR="00046D3C" w:rsidRPr="00FA3678">
        <w:rPr>
          <w:rFonts w:cs="Arial"/>
          <w:color w:val="000000"/>
          <w:sz w:val="24"/>
          <w:szCs w:val="24"/>
        </w:rPr>
        <w:t>The initial filing fee for application or appeal is £10, thereby, providing access to justice for</w:t>
      </w:r>
      <w:r w:rsidR="00C952B8" w:rsidRPr="00FA3678">
        <w:rPr>
          <w:rFonts w:cs="Arial"/>
          <w:color w:val="000000"/>
          <w:sz w:val="24"/>
          <w:szCs w:val="24"/>
        </w:rPr>
        <w:t xml:space="preserve"> all potential</w:t>
      </w:r>
      <w:r w:rsidR="00287769" w:rsidRPr="00FA3678">
        <w:rPr>
          <w:rFonts w:cs="Arial"/>
          <w:color w:val="000000"/>
          <w:sz w:val="24"/>
          <w:szCs w:val="24"/>
        </w:rPr>
        <w:t xml:space="preserve"> </w:t>
      </w:r>
      <w:r w:rsidR="00DC0148" w:rsidRPr="00FA3678">
        <w:rPr>
          <w:rFonts w:cs="Arial"/>
          <w:color w:val="000000"/>
          <w:sz w:val="24"/>
          <w:szCs w:val="24"/>
        </w:rPr>
        <w:t>aggrieved parties.</w:t>
      </w:r>
      <w:r w:rsidR="00DC0148" w:rsidRPr="00FA3678">
        <w:rPr>
          <w:rStyle w:val="FootnoteReference"/>
          <w:rFonts w:cs="Arial"/>
          <w:color w:val="000000"/>
          <w:sz w:val="24"/>
          <w:szCs w:val="24"/>
        </w:rPr>
        <w:footnoteReference w:id="47"/>
      </w:r>
      <w:r w:rsidR="00DC0148" w:rsidRPr="00FA3678">
        <w:rPr>
          <w:rFonts w:cs="Arial"/>
          <w:color w:val="000000"/>
          <w:sz w:val="24"/>
          <w:szCs w:val="24"/>
        </w:rPr>
        <w:t xml:space="preserve"> </w:t>
      </w:r>
      <w:r w:rsidR="008A1A8E" w:rsidRPr="00FA3678">
        <w:rPr>
          <w:rFonts w:cs="Arial"/>
          <w:color w:val="000000"/>
          <w:sz w:val="24"/>
          <w:szCs w:val="24"/>
        </w:rPr>
        <w:t xml:space="preserve">  </w:t>
      </w:r>
    </w:p>
    <w:p w:rsidR="00D27723" w:rsidRPr="00FA3678" w:rsidRDefault="00D27723" w:rsidP="00FA3678">
      <w:pPr>
        <w:widowControl w:val="0"/>
        <w:tabs>
          <w:tab w:val="left" w:pos="603"/>
        </w:tabs>
        <w:suppressAutoHyphens/>
        <w:spacing w:after="0"/>
        <w:rPr>
          <w:rFonts w:cs="Arial"/>
          <w:color w:val="000000"/>
          <w:sz w:val="24"/>
          <w:szCs w:val="24"/>
        </w:rPr>
      </w:pPr>
    </w:p>
    <w:p w:rsidR="00C654FD" w:rsidRPr="00FA3678" w:rsidRDefault="005967E8" w:rsidP="00FA3678">
      <w:pPr>
        <w:widowControl w:val="0"/>
        <w:tabs>
          <w:tab w:val="left" w:pos="603"/>
        </w:tabs>
        <w:suppressAutoHyphens/>
        <w:spacing w:after="0"/>
        <w:rPr>
          <w:rFonts w:eastAsia="DejaVu LGC Sans" w:cs="Times New Roman"/>
          <w:color w:val="000000"/>
          <w:kern w:val="1"/>
          <w:sz w:val="24"/>
          <w:szCs w:val="24"/>
          <w:lang w:val="en-US"/>
        </w:rPr>
      </w:pPr>
      <w:r w:rsidRPr="00FA3678">
        <w:rPr>
          <w:rFonts w:eastAsia="DejaVu LGC Sans" w:cs="Times New Roman"/>
          <w:color w:val="000000"/>
          <w:kern w:val="1"/>
          <w:sz w:val="24"/>
          <w:szCs w:val="24"/>
          <w:lang w:val="en-US"/>
        </w:rPr>
        <w:t>The successful establishment of NGT encouraged the Supreme Court of India to review its PIL environmental caseload and its limited environmental expertise. I</w:t>
      </w:r>
      <w:r w:rsidR="007D3E4A" w:rsidRPr="00FA3678">
        <w:rPr>
          <w:rFonts w:eastAsia="DejaVu LGC Sans" w:cs="Times New Roman"/>
          <w:color w:val="000000"/>
          <w:kern w:val="1"/>
          <w:sz w:val="24"/>
          <w:szCs w:val="24"/>
          <w:lang w:val="en-US"/>
        </w:rPr>
        <w:t>n 2012</w:t>
      </w:r>
      <w:r w:rsidR="00953AED" w:rsidRPr="00FA3678">
        <w:rPr>
          <w:rFonts w:eastAsia="DejaVu LGC Sans" w:cs="Times New Roman"/>
          <w:color w:val="000000"/>
          <w:kern w:val="1"/>
          <w:sz w:val="24"/>
          <w:szCs w:val="24"/>
          <w:lang w:val="en-US"/>
        </w:rPr>
        <w:t xml:space="preserve">, the Supreme </w:t>
      </w:r>
      <w:r w:rsidR="00953AED" w:rsidRPr="00FA3678">
        <w:rPr>
          <w:rFonts w:eastAsia="DejaVu LGC Sans" w:cs="Times New Roman"/>
          <w:color w:val="000000"/>
          <w:kern w:val="1"/>
          <w:sz w:val="24"/>
          <w:szCs w:val="24"/>
          <w:lang w:val="en-US"/>
        </w:rPr>
        <w:lastRenderedPageBreak/>
        <w:t>Court of India</w:t>
      </w:r>
      <w:r w:rsidR="00E47DE2" w:rsidRPr="00FA3678">
        <w:rPr>
          <w:rFonts w:eastAsia="DejaVu LGC Sans" w:cs="Times New Roman"/>
          <w:color w:val="000000"/>
          <w:kern w:val="1"/>
          <w:sz w:val="24"/>
          <w:szCs w:val="24"/>
          <w:lang w:val="en-US"/>
        </w:rPr>
        <w:t xml:space="preserve"> in a PIL case</w:t>
      </w:r>
      <w:r w:rsidR="007D3E4A" w:rsidRPr="00FA3678">
        <w:rPr>
          <w:rStyle w:val="FootnoteReference"/>
          <w:rFonts w:eastAsia="DejaVu LGC Sans" w:cs="Times New Roman"/>
          <w:color w:val="000000"/>
          <w:kern w:val="1"/>
          <w:sz w:val="24"/>
          <w:szCs w:val="24"/>
          <w:lang w:val="en-US"/>
        </w:rPr>
        <w:footnoteReference w:id="48"/>
      </w:r>
      <w:r w:rsidR="007D3E4A" w:rsidRPr="00FA3678">
        <w:rPr>
          <w:rFonts w:eastAsia="DejaVu LGC Sans" w:cs="Times New Roman"/>
          <w:color w:val="000000"/>
          <w:kern w:val="1"/>
          <w:sz w:val="24"/>
          <w:szCs w:val="24"/>
          <w:lang w:val="en-US"/>
        </w:rPr>
        <w:t xml:space="preserve"> </w:t>
      </w:r>
      <w:r w:rsidR="00953AED" w:rsidRPr="00FA3678">
        <w:rPr>
          <w:rFonts w:eastAsia="DejaVu LGC Sans" w:cs="Times New Roman"/>
          <w:color w:val="000000"/>
          <w:kern w:val="1"/>
          <w:sz w:val="24"/>
          <w:szCs w:val="24"/>
          <w:lang w:val="en-US"/>
        </w:rPr>
        <w:t xml:space="preserve"> transferred all environmental cases both active and prospective to</w:t>
      </w:r>
      <w:r w:rsidR="00C654FD" w:rsidRPr="00FA3678">
        <w:rPr>
          <w:rFonts w:eastAsia="DejaVu LGC Sans" w:cs="Times New Roman"/>
          <w:color w:val="000000"/>
          <w:kern w:val="1"/>
          <w:sz w:val="24"/>
          <w:szCs w:val="24"/>
          <w:lang w:val="en-US"/>
        </w:rPr>
        <w:t xml:space="preserve"> the</w:t>
      </w:r>
      <w:r w:rsidR="00953AED" w:rsidRPr="00FA3678">
        <w:rPr>
          <w:rFonts w:eastAsia="DejaVu LGC Sans" w:cs="Times New Roman"/>
          <w:color w:val="000000"/>
          <w:kern w:val="1"/>
          <w:sz w:val="24"/>
          <w:szCs w:val="24"/>
          <w:lang w:val="en-US"/>
        </w:rPr>
        <w:t xml:space="preserve"> NGT in order to render expeditious and specialized</w:t>
      </w:r>
      <w:r w:rsidR="006118C7" w:rsidRPr="00FA3678">
        <w:rPr>
          <w:rFonts w:eastAsia="DejaVu LGC Sans" w:cs="Times New Roman"/>
          <w:color w:val="000000"/>
          <w:kern w:val="1"/>
          <w:sz w:val="24"/>
          <w:szCs w:val="24"/>
          <w:lang w:val="en-US"/>
        </w:rPr>
        <w:t xml:space="preserve"> </w:t>
      </w:r>
      <w:r w:rsidR="004A5484" w:rsidRPr="00FA3678">
        <w:rPr>
          <w:rFonts w:eastAsia="DejaVu LGC Sans" w:cs="Times New Roman"/>
          <w:color w:val="000000"/>
          <w:kern w:val="1"/>
          <w:sz w:val="24"/>
          <w:szCs w:val="24"/>
          <w:lang w:val="en-US"/>
        </w:rPr>
        <w:t>judgments and avoid</w:t>
      </w:r>
      <w:r w:rsidR="00BF4137">
        <w:rPr>
          <w:rFonts w:eastAsia="DejaVu LGC Sans" w:cs="Times New Roman"/>
          <w:color w:val="000000"/>
          <w:kern w:val="1"/>
          <w:sz w:val="24"/>
          <w:szCs w:val="24"/>
          <w:lang w:val="en-US"/>
        </w:rPr>
        <w:t xml:space="preserve"> the</w:t>
      </w:r>
      <w:r w:rsidR="004A5484" w:rsidRPr="00FA3678">
        <w:rPr>
          <w:rFonts w:eastAsia="DejaVu LGC Sans" w:cs="Times New Roman"/>
          <w:color w:val="000000"/>
          <w:kern w:val="1"/>
          <w:sz w:val="24"/>
          <w:szCs w:val="24"/>
          <w:lang w:val="en-US"/>
        </w:rPr>
        <w:t xml:space="preserve"> likelihood of conflicts of orders between High Courts and the NGT. Further, the High Courts were advised</w:t>
      </w:r>
      <w:r w:rsidR="00827521" w:rsidRPr="00FA3678">
        <w:rPr>
          <w:rFonts w:eastAsia="DejaVu LGC Sans" w:cs="Times New Roman"/>
          <w:color w:val="000000"/>
          <w:kern w:val="1"/>
          <w:sz w:val="24"/>
          <w:szCs w:val="24"/>
          <w:lang w:val="en-US"/>
        </w:rPr>
        <w:t xml:space="preserve"> by the Supreme Court</w:t>
      </w:r>
      <w:r w:rsidR="009845C0" w:rsidRPr="00FA3678">
        <w:rPr>
          <w:rFonts w:eastAsia="DejaVu LGC Sans" w:cs="Times New Roman"/>
          <w:color w:val="000000"/>
          <w:kern w:val="1"/>
          <w:sz w:val="24"/>
          <w:szCs w:val="24"/>
          <w:lang w:val="en-US"/>
        </w:rPr>
        <w:t xml:space="preserve">, at their discretion, to transfer to the Tribunal those </w:t>
      </w:r>
      <w:r w:rsidR="004A5484" w:rsidRPr="00FA3678">
        <w:rPr>
          <w:rFonts w:eastAsia="DejaVu LGC Sans" w:cs="Times New Roman"/>
          <w:color w:val="000000"/>
          <w:kern w:val="1"/>
          <w:sz w:val="24"/>
          <w:szCs w:val="24"/>
          <w:lang w:val="en-US"/>
        </w:rPr>
        <w:t>environmental cases filed and pending prior to</w:t>
      </w:r>
      <w:r w:rsidR="00C9159F" w:rsidRPr="00FA3678">
        <w:rPr>
          <w:rFonts w:eastAsia="DejaVu LGC Sans" w:cs="Times New Roman"/>
          <w:color w:val="000000"/>
          <w:kern w:val="1"/>
          <w:sz w:val="24"/>
          <w:szCs w:val="24"/>
          <w:lang w:val="en-US"/>
        </w:rPr>
        <w:t xml:space="preserve"> the</w:t>
      </w:r>
      <w:r w:rsidR="004A5484" w:rsidRPr="00FA3678">
        <w:rPr>
          <w:rFonts w:eastAsia="DejaVu LGC Sans" w:cs="Times New Roman"/>
          <w:color w:val="000000"/>
          <w:kern w:val="1"/>
          <w:sz w:val="24"/>
          <w:szCs w:val="24"/>
          <w:lang w:val="en-US"/>
        </w:rPr>
        <w:t xml:space="preserve"> coming in</w:t>
      </w:r>
      <w:r w:rsidR="009845C0" w:rsidRPr="00FA3678">
        <w:rPr>
          <w:rFonts w:eastAsia="DejaVu LGC Sans" w:cs="Times New Roman"/>
          <w:color w:val="000000"/>
          <w:kern w:val="1"/>
          <w:sz w:val="24"/>
          <w:szCs w:val="24"/>
          <w:lang w:val="en-US"/>
        </w:rPr>
        <w:t>to force the NGT Act.</w:t>
      </w:r>
    </w:p>
    <w:p w:rsidR="009845C0" w:rsidRPr="00FA3678" w:rsidRDefault="009845C0" w:rsidP="00FA3678">
      <w:pPr>
        <w:widowControl w:val="0"/>
        <w:tabs>
          <w:tab w:val="left" w:pos="603"/>
        </w:tabs>
        <w:suppressAutoHyphens/>
        <w:spacing w:after="0"/>
        <w:rPr>
          <w:rFonts w:eastAsia="DejaVu LGC Sans" w:cs="Times New Roman"/>
          <w:color w:val="000000"/>
          <w:kern w:val="1"/>
          <w:sz w:val="24"/>
          <w:szCs w:val="24"/>
          <w:lang w:val="en-US"/>
        </w:rPr>
      </w:pPr>
    </w:p>
    <w:p w:rsidR="008A77C4" w:rsidRPr="00FA3678" w:rsidRDefault="00343212" w:rsidP="00FA3678">
      <w:pPr>
        <w:widowControl w:val="0"/>
        <w:tabs>
          <w:tab w:val="left" w:pos="603"/>
        </w:tabs>
        <w:suppressAutoHyphens/>
        <w:spacing w:after="0"/>
        <w:rPr>
          <w:rFonts w:eastAsia="DejaVu LGC Sans" w:cs="Times New Roman"/>
          <w:b/>
          <w:color w:val="000000"/>
          <w:kern w:val="1"/>
          <w:sz w:val="24"/>
          <w:szCs w:val="24"/>
          <w:lang w:val="en-US"/>
        </w:rPr>
      </w:pPr>
      <w:r w:rsidRPr="00FA3678">
        <w:rPr>
          <w:rFonts w:eastAsia="DejaVu LGC Sans" w:cs="Times New Roman"/>
          <w:b/>
          <w:color w:val="000000"/>
          <w:kern w:val="1"/>
          <w:sz w:val="24"/>
          <w:szCs w:val="24"/>
          <w:lang w:val="en-US"/>
        </w:rPr>
        <w:t>3. APPLYING</w:t>
      </w:r>
      <w:r w:rsidR="000B5B76" w:rsidRPr="00FA3678">
        <w:rPr>
          <w:rFonts w:eastAsia="DejaVu LGC Sans" w:cs="Times New Roman"/>
          <w:b/>
          <w:color w:val="000000"/>
          <w:kern w:val="1"/>
          <w:sz w:val="24"/>
          <w:szCs w:val="24"/>
          <w:lang w:val="en-US"/>
        </w:rPr>
        <w:t xml:space="preserve"> THE</w:t>
      </w:r>
      <w:r w:rsidR="008A77C4" w:rsidRPr="00FA3678">
        <w:rPr>
          <w:rFonts w:eastAsia="DejaVu LGC Sans" w:cs="Times New Roman"/>
          <w:b/>
          <w:color w:val="000000"/>
          <w:kern w:val="1"/>
          <w:sz w:val="24"/>
          <w:szCs w:val="24"/>
          <w:lang w:val="en-US"/>
        </w:rPr>
        <w:t xml:space="preserve"> PRINCIPLES OF INTERNATIONAL ENVIRONMENTAL LAW INTO INDIAN </w:t>
      </w:r>
      <w:r w:rsidR="006376DA" w:rsidRPr="00FA3678">
        <w:rPr>
          <w:rFonts w:eastAsia="DejaVu LGC Sans" w:cs="Times New Roman"/>
          <w:b/>
          <w:color w:val="000000"/>
          <w:kern w:val="1"/>
          <w:sz w:val="24"/>
          <w:szCs w:val="24"/>
          <w:lang w:val="en-US"/>
        </w:rPr>
        <w:t>JURISDICTION</w:t>
      </w:r>
    </w:p>
    <w:p w:rsidR="00915807" w:rsidRPr="00FA3678" w:rsidRDefault="00915807" w:rsidP="00FA3678">
      <w:pPr>
        <w:widowControl w:val="0"/>
        <w:tabs>
          <w:tab w:val="left" w:pos="603"/>
        </w:tabs>
        <w:suppressAutoHyphens/>
        <w:spacing w:after="0"/>
        <w:rPr>
          <w:rFonts w:eastAsia="DejaVu LGC Sans" w:cs="Times New Roman"/>
          <w:b/>
          <w:color w:val="000000"/>
          <w:kern w:val="1"/>
          <w:sz w:val="24"/>
          <w:szCs w:val="24"/>
          <w:lang w:val="en-US"/>
        </w:rPr>
      </w:pPr>
    </w:p>
    <w:p w:rsidR="003B4B00" w:rsidRPr="00FA3678" w:rsidRDefault="005D4754" w:rsidP="00FA3678">
      <w:pPr>
        <w:widowControl w:val="0"/>
        <w:tabs>
          <w:tab w:val="left" w:pos="603"/>
        </w:tabs>
        <w:suppressAutoHyphens/>
        <w:spacing w:after="0"/>
        <w:rPr>
          <w:rFonts w:eastAsia="DejaVu LGC Sans" w:cs="Times New Roman"/>
          <w:color w:val="000000"/>
          <w:kern w:val="1"/>
          <w:sz w:val="24"/>
          <w:szCs w:val="24"/>
          <w:lang w:val="en-US"/>
        </w:rPr>
      </w:pPr>
      <w:r w:rsidRPr="00FA3678">
        <w:rPr>
          <w:rFonts w:eastAsia="DejaVu LGC Sans" w:cs="Times New Roman"/>
          <w:color w:val="000000"/>
          <w:kern w:val="1"/>
          <w:sz w:val="24"/>
          <w:szCs w:val="24"/>
          <w:lang w:val="en-US"/>
        </w:rPr>
        <w:t>International treaties and</w:t>
      </w:r>
      <w:r w:rsidR="003B4B00" w:rsidRPr="00FA3678">
        <w:rPr>
          <w:rFonts w:eastAsia="DejaVu LGC Sans" w:cs="Times New Roman"/>
          <w:color w:val="000000"/>
          <w:kern w:val="1"/>
          <w:sz w:val="24"/>
          <w:szCs w:val="24"/>
          <w:lang w:val="en-US"/>
        </w:rPr>
        <w:t xml:space="preserve"> agreements call on states to take appropriate action in domestic legal systems to enforce the laws they </w:t>
      </w:r>
      <w:r w:rsidR="00DD7F50" w:rsidRPr="00FA3678">
        <w:rPr>
          <w:rFonts w:eastAsia="DejaVu LGC Sans" w:cs="Times New Roman"/>
          <w:color w:val="000000"/>
          <w:kern w:val="1"/>
          <w:sz w:val="24"/>
          <w:szCs w:val="24"/>
          <w:lang w:val="en-US"/>
        </w:rPr>
        <w:t xml:space="preserve">enact pursuant to international </w:t>
      </w:r>
      <w:r w:rsidR="003B4B00" w:rsidRPr="00FA3678">
        <w:rPr>
          <w:rFonts w:eastAsia="DejaVu LGC Sans" w:cs="Times New Roman"/>
          <w:color w:val="000000"/>
          <w:kern w:val="1"/>
          <w:sz w:val="24"/>
          <w:szCs w:val="24"/>
          <w:lang w:val="en-US"/>
        </w:rPr>
        <w:t xml:space="preserve">obligations. </w:t>
      </w:r>
    </w:p>
    <w:p w:rsidR="003B4B00" w:rsidRPr="00FA3678" w:rsidRDefault="003B4B00" w:rsidP="00FA3678">
      <w:pPr>
        <w:widowControl w:val="0"/>
        <w:tabs>
          <w:tab w:val="left" w:pos="603"/>
        </w:tabs>
        <w:suppressAutoHyphens/>
        <w:spacing w:after="0"/>
        <w:rPr>
          <w:rFonts w:eastAsia="DejaVu LGC Sans" w:cs="Times New Roman"/>
          <w:color w:val="000000"/>
          <w:kern w:val="1"/>
          <w:sz w:val="24"/>
          <w:szCs w:val="24"/>
          <w:lang w:val="en-US"/>
        </w:rPr>
      </w:pPr>
      <w:r w:rsidRPr="00FA3678">
        <w:rPr>
          <w:rFonts w:eastAsia="DejaVu LGC Sans" w:cs="Times New Roman"/>
          <w:color w:val="000000"/>
          <w:kern w:val="1"/>
          <w:sz w:val="24"/>
          <w:szCs w:val="24"/>
          <w:lang w:val="en-US"/>
        </w:rPr>
        <w:t>The constitutional provisions of India mandate the</w:t>
      </w:r>
      <w:r w:rsidR="002679A5" w:rsidRPr="00FA3678">
        <w:rPr>
          <w:rFonts w:eastAsia="DejaVu LGC Sans" w:cs="Times New Roman"/>
          <w:color w:val="000000"/>
          <w:kern w:val="1"/>
          <w:sz w:val="24"/>
          <w:szCs w:val="24"/>
          <w:lang w:val="en-US"/>
        </w:rPr>
        <w:t xml:space="preserve"> constituent</w:t>
      </w:r>
      <w:r w:rsidRPr="00FA3678">
        <w:rPr>
          <w:rFonts w:eastAsia="DejaVu LGC Sans" w:cs="Times New Roman"/>
          <w:color w:val="000000"/>
          <w:kern w:val="1"/>
          <w:sz w:val="24"/>
          <w:szCs w:val="24"/>
          <w:lang w:val="en-US"/>
        </w:rPr>
        <w:t xml:space="preserve"> states to foster respect for internati</w:t>
      </w:r>
      <w:r w:rsidR="00C654FD" w:rsidRPr="00FA3678">
        <w:rPr>
          <w:rFonts w:eastAsia="DejaVu LGC Sans" w:cs="Times New Roman"/>
          <w:color w:val="000000"/>
          <w:kern w:val="1"/>
          <w:sz w:val="24"/>
          <w:szCs w:val="24"/>
          <w:lang w:val="en-US"/>
        </w:rPr>
        <w:t>onal law and treaty obligations.</w:t>
      </w:r>
      <w:r w:rsidR="001271E3" w:rsidRPr="00FA3678">
        <w:rPr>
          <w:rStyle w:val="FootnoteReference"/>
          <w:rFonts w:eastAsia="DejaVu LGC Sans" w:cs="Times New Roman"/>
          <w:color w:val="000000"/>
          <w:kern w:val="1"/>
          <w:sz w:val="24"/>
          <w:szCs w:val="24"/>
          <w:lang w:val="en-US"/>
        </w:rPr>
        <w:footnoteReference w:id="49"/>
      </w:r>
      <w:r w:rsidR="008A4A8F" w:rsidRPr="00FA3678">
        <w:rPr>
          <w:rFonts w:eastAsia="DejaVu LGC Sans" w:cs="Times New Roman"/>
          <w:color w:val="000000"/>
          <w:kern w:val="1"/>
          <w:sz w:val="24"/>
          <w:szCs w:val="24"/>
          <w:lang w:val="en-US"/>
        </w:rPr>
        <w:t xml:space="preserve"> Further the C</w:t>
      </w:r>
      <w:r w:rsidR="00C654FD" w:rsidRPr="00FA3678">
        <w:rPr>
          <w:rFonts w:eastAsia="DejaVu LGC Sans" w:cs="Times New Roman"/>
          <w:color w:val="000000"/>
          <w:kern w:val="1"/>
          <w:sz w:val="24"/>
          <w:szCs w:val="24"/>
          <w:lang w:val="en-US"/>
        </w:rPr>
        <w:t>onstitution</w:t>
      </w:r>
      <w:r w:rsidRPr="00FA3678">
        <w:rPr>
          <w:rFonts w:eastAsia="DejaVu LGC Sans" w:cs="Times New Roman"/>
          <w:color w:val="000000"/>
          <w:kern w:val="1"/>
          <w:sz w:val="24"/>
          <w:szCs w:val="24"/>
          <w:lang w:val="en-US"/>
        </w:rPr>
        <w:t xml:space="preserve"> con</w:t>
      </w:r>
      <w:r w:rsidR="00C654FD" w:rsidRPr="00FA3678">
        <w:rPr>
          <w:rFonts w:eastAsia="DejaVu LGC Sans" w:cs="Times New Roman"/>
          <w:color w:val="000000"/>
          <w:kern w:val="1"/>
          <w:sz w:val="24"/>
          <w:szCs w:val="24"/>
          <w:lang w:val="en-US"/>
        </w:rPr>
        <w:t xml:space="preserve">fers plenary powers on Parliament </w:t>
      </w:r>
      <w:r w:rsidRPr="00FA3678">
        <w:rPr>
          <w:rFonts w:eastAsia="DejaVu LGC Sans" w:cs="Times New Roman"/>
          <w:color w:val="000000"/>
          <w:kern w:val="1"/>
          <w:sz w:val="24"/>
          <w:szCs w:val="24"/>
          <w:lang w:val="en-US"/>
        </w:rPr>
        <w:t>to enter into treaties and agreements and enact</w:t>
      </w:r>
      <w:r w:rsidR="0005381E" w:rsidRPr="00FA3678">
        <w:rPr>
          <w:rFonts w:eastAsia="DejaVu LGC Sans" w:cs="Times New Roman"/>
          <w:color w:val="000000"/>
          <w:kern w:val="1"/>
          <w:sz w:val="24"/>
          <w:szCs w:val="24"/>
          <w:lang w:val="en-US"/>
        </w:rPr>
        <w:t xml:space="preserve"> the</w:t>
      </w:r>
      <w:r w:rsidRPr="00FA3678">
        <w:rPr>
          <w:rFonts w:eastAsia="DejaVu LGC Sans" w:cs="Times New Roman"/>
          <w:color w:val="000000"/>
          <w:kern w:val="1"/>
          <w:sz w:val="24"/>
          <w:szCs w:val="24"/>
          <w:lang w:val="en-US"/>
        </w:rPr>
        <w:t xml:space="preserve"> necessary legi</w:t>
      </w:r>
      <w:r w:rsidR="0005381E" w:rsidRPr="00FA3678">
        <w:rPr>
          <w:rFonts w:eastAsia="DejaVu LGC Sans" w:cs="Times New Roman"/>
          <w:color w:val="000000"/>
          <w:kern w:val="1"/>
          <w:sz w:val="24"/>
          <w:szCs w:val="24"/>
          <w:lang w:val="en-US"/>
        </w:rPr>
        <w:t>slation.</w:t>
      </w:r>
      <w:r w:rsidR="00CB0D9C" w:rsidRPr="00FA3678">
        <w:rPr>
          <w:rStyle w:val="FootnoteReference"/>
          <w:rFonts w:eastAsia="DejaVu LGC Sans" w:cs="Times New Roman"/>
          <w:color w:val="000000"/>
          <w:kern w:val="1"/>
          <w:sz w:val="24"/>
          <w:szCs w:val="24"/>
          <w:lang w:val="en-US"/>
        </w:rPr>
        <w:footnoteReference w:id="50"/>
      </w:r>
      <w:r w:rsidRPr="00FA3678">
        <w:rPr>
          <w:rFonts w:eastAsia="DejaVu LGC Sans" w:cs="Times New Roman"/>
          <w:color w:val="000000"/>
          <w:kern w:val="1"/>
          <w:sz w:val="24"/>
          <w:szCs w:val="24"/>
          <w:lang w:val="en-US"/>
        </w:rPr>
        <w:t xml:space="preserve"> The scope </w:t>
      </w:r>
      <w:r w:rsidR="00F446AE" w:rsidRPr="00FA3678">
        <w:rPr>
          <w:rFonts w:eastAsia="DejaVu LGC Sans" w:cs="Times New Roman"/>
          <w:color w:val="000000"/>
          <w:kern w:val="1"/>
          <w:sz w:val="24"/>
          <w:szCs w:val="24"/>
          <w:lang w:val="en-US"/>
        </w:rPr>
        <w:t xml:space="preserve">and ambit </w:t>
      </w:r>
      <w:r w:rsidRPr="00FA3678">
        <w:rPr>
          <w:rFonts w:eastAsia="DejaVu LGC Sans" w:cs="Times New Roman"/>
          <w:color w:val="000000"/>
          <w:kern w:val="1"/>
          <w:sz w:val="24"/>
          <w:szCs w:val="24"/>
          <w:lang w:val="en-US"/>
        </w:rPr>
        <w:t>of international law in the Indian</w:t>
      </w:r>
      <w:r w:rsidR="00F446AE" w:rsidRPr="00FA3678">
        <w:rPr>
          <w:rFonts w:eastAsia="DejaVu LGC Sans" w:cs="Times New Roman"/>
          <w:color w:val="000000"/>
          <w:kern w:val="1"/>
          <w:sz w:val="24"/>
          <w:szCs w:val="24"/>
          <w:lang w:val="en-US"/>
        </w:rPr>
        <w:t xml:space="preserve"> context has been explained in the following terms</w:t>
      </w:r>
      <w:r w:rsidR="00593B52" w:rsidRPr="00FA3678">
        <w:rPr>
          <w:rFonts w:eastAsia="DejaVu LGC Sans" w:cs="Times New Roman"/>
          <w:color w:val="000000"/>
          <w:kern w:val="1"/>
          <w:sz w:val="24"/>
          <w:szCs w:val="24"/>
          <w:lang w:val="en-US"/>
        </w:rPr>
        <w:t>:</w:t>
      </w:r>
    </w:p>
    <w:p w:rsidR="00F446AE" w:rsidRPr="00FA3678" w:rsidRDefault="00F446AE" w:rsidP="00FA3678">
      <w:pPr>
        <w:widowControl w:val="0"/>
        <w:tabs>
          <w:tab w:val="left" w:pos="603"/>
        </w:tabs>
        <w:suppressAutoHyphens/>
        <w:spacing w:after="0"/>
        <w:rPr>
          <w:rFonts w:eastAsia="DejaVu LGC Sans" w:cs="Times New Roman"/>
          <w:color w:val="000000"/>
          <w:kern w:val="1"/>
          <w:sz w:val="24"/>
          <w:szCs w:val="24"/>
          <w:lang w:val="en-US"/>
        </w:rPr>
      </w:pPr>
      <w:r w:rsidRPr="00FA3678">
        <w:rPr>
          <w:rFonts w:eastAsia="DejaVu LGC Sans" w:cs="Times New Roman"/>
          <w:color w:val="000000"/>
          <w:kern w:val="1"/>
          <w:sz w:val="24"/>
          <w:szCs w:val="24"/>
          <w:lang w:val="en-US"/>
        </w:rPr>
        <w:t>‘’ internatio</w:t>
      </w:r>
      <w:r w:rsidR="008D6D31" w:rsidRPr="00FA3678">
        <w:rPr>
          <w:rFonts w:eastAsia="DejaVu LGC Sans" w:cs="Times New Roman"/>
          <w:color w:val="000000"/>
          <w:kern w:val="1"/>
          <w:sz w:val="24"/>
          <w:szCs w:val="24"/>
          <w:lang w:val="en-US"/>
        </w:rPr>
        <w:t>nal law today is not confined to regulating the relation between the states. Scope continues to extend. Today matters of social concerns, such as, health, education and economics apart from human rights fall within the ambit of international regulations. International law is more than ever aimed at individuals. It is almost</w:t>
      </w:r>
      <w:r w:rsidR="00C654FD" w:rsidRPr="00FA3678">
        <w:rPr>
          <w:rFonts w:eastAsia="DejaVu LGC Sans" w:cs="Times New Roman"/>
          <w:color w:val="000000"/>
          <w:kern w:val="1"/>
          <w:sz w:val="24"/>
          <w:szCs w:val="24"/>
          <w:lang w:val="en-US"/>
        </w:rPr>
        <w:t xml:space="preserve"> an</w:t>
      </w:r>
      <w:r w:rsidR="008D6D31" w:rsidRPr="00FA3678">
        <w:rPr>
          <w:rFonts w:eastAsia="DejaVu LGC Sans" w:cs="Times New Roman"/>
          <w:color w:val="000000"/>
          <w:kern w:val="1"/>
          <w:sz w:val="24"/>
          <w:szCs w:val="24"/>
          <w:lang w:val="en-US"/>
        </w:rPr>
        <w:t xml:space="preserve"> accepted proposition of law that the rules of customary international law which are not contrary to the municipal law shall be deemed to be incorporated in the domestic law.’’</w:t>
      </w:r>
      <w:r w:rsidR="00D569DF" w:rsidRPr="00FA3678">
        <w:rPr>
          <w:rStyle w:val="FootnoteReference"/>
          <w:rFonts w:eastAsia="DejaVu LGC Sans" w:cs="Times New Roman"/>
          <w:color w:val="000000"/>
          <w:kern w:val="1"/>
          <w:sz w:val="24"/>
          <w:szCs w:val="24"/>
          <w:lang w:val="en-US"/>
        </w:rPr>
        <w:footnoteReference w:id="51"/>
      </w:r>
    </w:p>
    <w:p w:rsidR="00C654FD" w:rsidRPr="00FA3678" w:rsidRDefault="00C654FD" w:rsidP="00FA3678">
      <w:pPr>
        <w:widowControl w:val="0"/>
        <w:tabs>
          <w:tab w:val="left" w:pos="603"/>
        </w:tabs>
        <w:suppressAutoHyphens/>
        <w:spacing w:after="0"/>
        <w:rPr>
          <w:rFonts w:eastAsia="DejaVu LGC Sans" w:cs="Times New Roman"/>
          <w:color w:val="000000"/>
          <w:kern w:val="1"/>
          <w:sz w:val="24"/>
          <w:szCs w:val="24"/>
          <w:lang w:val="en-US"/>
        </w:rPr>
      </w:pPr>
    </w:p>
    <w:p w:rsidR="00724E7C" w:rsidRDefault="001C131D" w:rsidP="00FA3678">
      <w:pPr>
        <w:widowControl w:val="0"/>
        <w:tabs>
          <w:tab w:val="left" w:pos="603"/>
        </w:tabs>
        <w:suppressAutoHyphens/>
        <w:spacing w:after="0"/>
        <w:rPr>
          <w:rFonts w:eastAsia="DejaVu LGC Sans" w:cs="Times New Roman"/>
          <w:color w:val="000000"/>
          <w:kern w:val="1"/>
          <w:sz w:val="24"/>
          <w:szCs w:val="24"/>
          <w:lang w:val="en-US"/>
        </w:rPr>
      </w:pPr>
      <w:r w:rsidRPr="00FA3678">
        <w:rPr>
          <w:rFonts w:eastAsia="DejaVu LGC Sans" w:cs="Times New Roman"/>
          <w:color w:val="000000"/>
          <w:kern w:val="1"/>
          <w:sz w:val="24"/>
          <w:szCs w:val="24"/>
          <w:lang w:val="en-US"/>
        </w:rPr>
        <w:t>Recogniz</w:t>
      </w:r>
      <w:r w:rsidR="00593B52" w:rsidRPr="00FA3678">
        <w:rPr>
          <w:rFonts w:eastAsia="DejaVu LGC Sans" w:cs="Times New Roman"/>
          <w:color w:val="000000"/>
          <w:kern w:val="1"/>
          <w:sz w:val="24"/>
          <w:szCs w:val="24"/>
          <w:lang w:val="en-US"/>
        </w:rPr>
        <w:t>ing the importance of promoting international obligations under environmental conventions and articulating the commitment of being a ‘good international citizen</w:t>
      </w:r>
      <w:r w:rsidR="000D7137" w:rsidRPr="00FA3678">
        <w:rPr>
          <w:rFonts w:eastAsia="DejaVu LGC Sans" w:cs="Times New Roman"/>
          <w:color w:val="000000"/>
          <w:kern w:val="1"/>
          <w:sz w:val="24"/>
          <w:szCs w:val="24"/>
          <w:lang w:val="en-US"/>
        </w:rPr>
        <w:t>’</w:t>
      </w:r>
      <w:r w:rsidR="00446825" w:rsidRPr="00FA3678">
        <w:rPr>
          <w:rStyle w:val="FootnoteReference"/>
          <w:rFonts w:eastAsia="DejaVu LGC Sans" w:cs="Times New Roman"/>
          <w:color w:val="000000"/>
          <w:kern w:val="1"/>
          <w:sz w:val="24"/>
          <w:szCs w:val="24"/>
          <w:lang w:val="en-US"/>
        </w:rPr>
        <w:footnoteReference w:id="52"/>
      </w:r>
      <w:r w:rsidR="0045263F" w:rsidRPr="00FA3678">
        <w:rPr>
          <w:rFonts w:eastAsia="DejaVu LGC Sans" w:cs="Times New Roman"/>
          <w:color w:val="000000"/>
          <w:kern w:val="1"/>
          <w:sz w:val="24"/>
          <w:szCs w:val="24"/>
          <w:lang w:val="en-US"/>
        </w:rPr>
        <w:t>, the NGT Act 2010</w:t>
      </w:r>
      <w:r w:rsidR="000D7137" w:rsidRPr="00FA3678">
        <w:rPr>
          <w:rFonts w:eastAsia="DejaVu LGC Sans" w:cs="Times New Roman"/>
          <w:color w:val="000000"/>
          <w:kern w:val="1"/>
          <w:sz w:val="24"/>
          <w:szCs w:val="24"/>
          <w:lang w:val="en-US"/>
        </w:rPr>
        <w:t xml:space="preserve"> agrees</w:t>
      </w:r>
      <w:r w:rsidR="00593B52" w:rsidRPr="00FA3678">
        <w:rPr>
          <w:rFonts w:eastAsia="DejaVu LGC Sans" w:cs="Times New Roman"/>
          <w:color w:val="000000"/>
          <w:kern w:val="1"/>
          <w:sz w:val="24"/>
          <w:szCs w:val="24"/>
          <w:lang w:val="en-US"/>
        </w:rPr>
        <w:t xml:space="preserve"> to implement the decisions adopted at </w:t>
      </w:r>
      <w:r w:rsidR="0002408D">
        <w:rPr>
          <w:rFonts w:eastAsia="DejaVu LGC Sans" w:cs="Times New Roman"/>
          <w:color w:val="000000"/>
          <w:kern w:val="1"/>
          <w:sz w:val="24"/>
          <w:szCs w:val="24"/>
          <w:lang w:val="en-US"/>
        </w:rPr>
        <w:t xml:space="preserve">the </w:t>
      </w:r>
      <w:r w:rsidR="00593B52" w:rsidRPr="00FA3678">
        <w:rPr>
          <w:rFonts w:eastAsia="DejaVu LGC Sans" w:cs="Times New Roman"/>
          <w:color w:val="000000"/>
          <w:kern w:val="1"/>
          <w:sz w:val="24"/>
          <w:szCs w:val="24"/>
          <w:lang w:val="en-US"/>
        </w:rPr>
        <w:t xml:space="preserve">Stockholm Conference 1972 and </w:t>
      </w:r>
      <w:r w:rsidR="0002408D">
        <w:rPr>
          <w:rFonts w:eastAsia="DejaVu LGC Sans" w:cs="Times New Roman"/>
          <w:color w:val="000000"/>
          <w:kern w:val="1"/>
          <w:sz w:val="24"/>
          <w:szCs w:val="24"/>
          <w:lang w:val="en-US"/>
        </w:rPr>
        <w:t xml:space="preserve">the </w:t>
      </w:r>
      <w:r w:rsidR="00593B52" w:rsidRPr="00FA3678">
        <w:rPr>
          <w:rFonts w:eastAsia="DejaVu LGC Sans" w:cs="Times New Roman"/>
          <w:color w:val="000000"/>
          <w:kern w:val="1"/>
          <w:sz w:val="24"/>
          <w:szCs w:val="24"/>
          <w:lang w:val="en-US"/>
        </w:rPr>
        <w:t>Rio Conference 1992</w:t>
      </w:r>
      <w:r w:rsidR="000D7137" w:rsidRPr="00FA3678">
        <w:rPr>
          <w:rFonts w:eastAsia="DejaVu LGC Sans" w:cs="Times New Roman"/>
          <w:color w:val="000000"/>
          <w:kern w:val="1"/>
          <w:sz w:val="24"/>
          <w:szCs w:val="24"/>
          <w:lang w:val="en-US"/>
        </w:rPr>
        <w:t>.</w:t>
      </w:r>
      <w:r w:rsidR="00C03393" w:rsidRPr="00FA3678">
        <w:rPr>
          <w:rStyle w:val="FootnoteReference"/>
          <w:rFonts w:eastAsia="DejaVu LGC Sans" w:cs="Times New Roman"/>
          <w:color w:val="000000"/>
          <w:kern w:val="1"/>
          <w:sz w:val="24"/>
          <w:szCs w:val="24"/>
          <w:lang w:val="en-US"/>
        </w:rPr>
        <w:footnoteReference w:id="53"/>
      </w:r>
      <w:r w:rsidR="000D7137" w:rsidRPr="00FA3678">
        <w:rPr>
          <w:rFonts w:eastAsia="DejaVu LGC Sans" w:cs="Times New Roman"/>
          <w:color w:val="000000"/>
          <w:kern w:val="1"/>
          <w:sz w:val="24"/>
          <w:szCs w:val="24"/>
          <w:lang w:val="en-US"/>
        </w:rPr>
        <w:t xml:space="preserve"> </w:t>
      </w:r>
      <w:r w:rsidR="00376E49" w:rsidRPr="00FA3678">
        <w:rPr>
          <w:rFonts w:eastAsia="DejaVu LGC Sans" w:cs="Times New Roman"/>
          <w:color w:val="000000"/>
          <w:kern w:val="1"/>
          <w:sz w:val="24"/>
          <w:szCs w:val="24"/>
          <w:lang w:val="en-US"/>
        </w:rPr>
        <w:t>Significantly</w:t>
      </w:r>
      <w:r w:rsidR="001D7711" w:rsidRPr="00FA3678">
        <w:rPr>
          <w:rFonts w:eastAsia="DejaVu LGC Sans" w:cs="Times New Roman"/>
          <w:color w:val="000000"/>
          <w:kern w:val="1"/>
          <w:sz w:val="24"/>
          <w:szCs w:val="24"/>
          <w:lang w:val="en-US"/>
        </w:rPr>
        <w:t>, s</w:t>
      </w:r>
      <w:r w:rsidR="00C522A5" w:rsidRPr="00FA3678">
        <w:rPr>
          <w:rFonts w:eastAsia="DejaVu LGC Sans" w:cs="Times New Roman"/>
          <w:color w:val="000000"/>
          <w:kern w:val="1"/>
          <w:sz w:val="24"/>
          <w:szCs w:val="24"/>
          <w:lang w:val="en-US"/>
        </w:rPr>
        <w:t>ection 20 of the</w:t>
      </w:r>
      <w:r w:rsidR="0098268F" w:rsidRPr="00FA3678">
        <w:rPr>
          <w:rFonts w:eastAsia="DejaVu LGC Sans" w:cs="Times New Roman"/>
          <w:color w:val="000000"/>
          <w:kern w:val="1"/>
          <w:sz w:val="24"/>
          <w:szCs w:val="24"/>
          <w:lang w:val="en-US"/>
        </w:rPr>
        <w:t xml:space="preserve"> NGT Act</w:t>
      </w:r>
      <w:r w:rsidR="00C522A5" w:rsidRPr="00FA3678">
        <w:rPr>
          <w:rFonts w:eastAsia="DejaVu LGC Sans" w:cs="Times New Roman"/>
          <w:color w:val="000000"/>
          <w:kern w:val="1"/>
          <w:sz w:val="24"/>
          <w:szCs w:val="24"/>
          <w:lang w:val="en-US"/>
        </w:rPr>
        <w:t xml:space="preserve"> </w:t>
      </w:r>
      <w:r w:rsidR="00D36C95" w:rsidRPr="00FA3678">
        <w:rPr>
          <w:rFonts w:eastAsia="DejaVu LGC Sans" w:cs="Times New Roman"/>
          <w:color w:val="000000"/>
          <w:kern w:val="1"/>
          <w:sz w:val="24"/>
          <w:szCs w:val="24"/>
          <w:lang w:val="en-US"/>
        </w:rPr>
        <w:t xml:space="preserve">mandates the Tribunal to apply the principles of sustainable development, the precautionary and polluter </w:t>
      </w:r>
      <w:r w:rsidR="00D36C95" w:rsidRPr="00FA3678">
        <w:rPr>
          <w:rFonts w:eastAsia="DejaVu LGC Sans" w:cs="Times New Roman"/>
          <w:color w:val="000000"/>
          <w:kern w:val="1"/>
          <w:sz w:val="24"/>
          <w:szCs w:val="24"/>
          <w:lang w:val="en-US"/>
        </w:rPr>
        <w:lastRenderedPageBreak/>
        <w:t>pays principle</w:t>
      </w:r>
      <w:r w:rsidR="00015084" w:rsidRPr="00FA3678">
        <w:rPr>
          <w:rFonts w:eastAsia="DejaVu LGC Sans" w:cs="Times New Roman"/>
          <w:color w:val="000000"/>
          <w:kern w:val="1"/>
          <w:sz w:val="24"/>
          <w:szCs w:val="24"/>
          <w:lang w:val="en-US"/>
        </w:rPr>
        <w:t>s</w:t>
      </w:r>
      <w:r w:rsidR="00D36C95" w:rsidRPr="00FA3678">
        <w:rPr>
          <w:rFonts w:eastAsia="DejaVu LGC Sans" w:cs="Times New Roman"/>
          <w:color w:val="000000"/>
          <w:kern w:val="1"/>
          <w:sz w:val="24"/>
          <w:szCs w:val="24"/>
          <w:lang w:val="en-US"/>
        </w:rPr>
        <w:t xml:space="preserve"> while passing any order or decision or award</w:t>
      </w:r>
      <w:r w:rsidR="00B52F83" w:rsidRPr="00FA3678">
        <w:rPr>
          <w:rStyle w:val="FootnoteReference"/>
          <w:rFonts w:eastAsia="DejaVu LGC Sans" w:cs="Times New Roman"/>
          <w:color w:val="000000"/>
          <w:kern w:val="1"/>
          <w:sz w:val="24"/>
          <w:szCs w:val="24"/>
          <w:lang w:val="en-US"/>
        </w:rPr>
        <w:footnoteReference w:id="54"/>
      </w:r>
      <w:r w:rsidR="00D36C95" w:rsidRPr="00FA3678">
        <w:rPr>
          <w:rFonts w:eastAsia="DejaVu LGC Sans" w:cs="Times New Roman"/>
          <w:color w:val="000000"/>
          <w:kern w:val="1"/>
          <w:sz w:val="24"/>
          <w:szCs w:val="24"/>
          <w:lang w:val="en-US"/>
        </w:rPr>
        <w:t xml:space="preserve">. </w:t>
      </w:r>
      <w:r w:rsidR="00E95C5F" w:rsidRPr="00FA3678">
        <w:rPr>
          <w:rFonts w:eastAsia="DejaVu LGC Sans" w:cs="Times New Roman"/>
          <w:color w:val="000000"/>
          <w:kern w:val="1"/>
          <w:sz w:val="24"/>
          <w:szCs w:val="24"/>
          <w:lang w:val="en-US"/>
        </w:rPr>
        <w:t xml:space="preserve">These </w:t>
      </w:r>
      <w:r w:rsidR="00593B52" w:rsidRPr="00FA3678">
        <w:rPr>
          <w:rFonts w:eastAsia="DejaVu LGC Sans" w:cs="Times New Roman"/>
          <w:color w:val="000000"/>
          <w:kern w:val="1"/>
          <w:sz w:val="24"/>
          <w:szCs w:val="24"/>
          <w:lang w:val="en-US"/>
        </w:rPr>
        <w:t>principles of i</w:t>
      </w:r>
      <w:r w:rsidR="00DD2B6A" w:rsidRPr="00FA3678">
        <w:rPr>
          <w:rFonts w:eastAsia="DejaVu LGC Sans" w:cs="Times New Roman"/>
          <w:color w:val="000000"/>
          <w:kern w:val="1"/>
          <w:sz w:val="24"/>
          <w:szCs w:val="24"/>
          <w:lang w:val="en-US"/>
        </w:rPr>
        <w:t>nternational environmental law</w:t>
      </w:r>
      <w:r w:rsidR="002022CC" w:rsidRPr="00FA3678">
        <w:rPr>
          <w:rFonts w:eastAsia="DejaVu LGC Sans" w:cs="Times New Roman"/>
          <w:color w:val="000000"/>
          <w:kern w:val="1"/>
          <w:sz w:val="24"/>
          <w:szCs w:val="24"/>
          <w:lang w:val="en-US"/>
        </w:rPr>
        <w:t xml:space="preserve"> are</w:t>
      </w:r>
      <w:r w:rsidR="008112BA" w:rsidRPr="00FA3678">
        <w:rPr>
          <w:rFonts w:eastAsia="DejaVu LGC Sans" w:cs="Times New Roman"/>
          <w:color w:val="000000"/>
          <w:kern w:val="1"/>
          <w:sz w:val="24"/>
          <w:szCs w:val="24"/>
          <w:lang w:val="en-US"/>
        </w:rPr>
        <w:t xml:space="preserve"> read in conjunction with the domestic right to an environment</w:t>
      </w:r>
      <w:r w:rsidR="00E95C5F" w:rsidRPr="00FA3678">
        <w:rPr>
          <w:rFonts w:eastAsia="DejaVu LGC Sans" w:cs="Times New Roman"/>
          <w:color w:val="000000"/>
          <w:kern w:val="1"/>
          <w:sz w:val="24"/>
          <w:szCs w:val="24"/>
          <w:lang w:val="en-US"/>
        </w:rPr>
        <w:t xml:space="preserve"> as recognized in the preamble of the Act</w:t>
      </w:r>
      <w:r w:rsidR="00DD2B6A" w:rsidRPr="00FA3678">
        <w:rPr>
          <w:rFonts w:eastAsia="DejaVu LGC Sans" w:cs="Times New Roman"/>
          <w:color w:val="000000"/>
          <w:kern w:val="1"/>
          <w:sz w:val="24"/>
          <w:szCs w:val="24"/>
          <w:lang w:val="en-US"/>
        </w:rPr>
        <w:t>, thereby, advancing bot</w:t>
      </w:r>
      <w:r w:rsidR="00E95C5F" w:rsidRPr="00FA3678">
        <w:rPr>
          <w:rFonts w:eastAsia="DejaVu LGC Sans" w:cs="Times New Roman"/>
          <w:color w:val="000000"/>
          <w:kern w:val="1"/>
          <w:sz w:val="24"/>
          <w:szCs w:val="24"/>
          <w:lang w:val="en-US"/>
        </w:rPr>
        <w:t>h national and global interests</w:t>
      </w:r>
      <w:r w:rsidR="00471B28" w:rsidRPr="00FA3678">
        <w:rPr>
          <w:rFonts w:eastAsia="DejaVu LGC Sans" w:cs="Times New Roman"/>
          <w:color w:val="000000"/>
          <w:kern w:val="1"/>
          <w:sz w:val="24"/>
          <w:szCs w:val="24"/>
          <w:lang w:val="en-US"/>
        </w:rPr>
        <w:t xml:space="preserve">. </w:t>
      </w:r>
    </w:p>
    <w:p w:rsidR="00724E7C" w:rsidRDefault="00724E7C" w:rsidP="00FA3678">
      <w:pPr>
        <w:widowControl w:val="0"/>
        <w:tabs>
          <w:tab w:val="left" w:pos="603"/>
        </w:tabs>
        <w:suppressAutoHyphens/>
        <w:spacing w:after="0"/>
        <w:rPr>
          <w:rFonts w:eastAsia="DejaVu LGC Sans" w:cs="Times New Roman"/>
          <w:color w:val="000000"/>
          <w:kern w:val="1"/>
          <w:sz w:val="24"/>
          <w:szCs w:val="24"/>
          <w:lang w:val="en-US"/>
        </w:rPr>
      </w:pPr>
    </w:p>
    <w:p w:rsidR="0076202A" w:rsidRPr="00FA3678" w:rsidRDefault="00471B28" w:rsidP="00FA3678">
      <w:pPr>
        <w:widowControl w:val="0"/>
        <w:tabs>
          <w:tab w:val="left" w:pos="603"/>
        </w:tabs>
        <w:suppressAutoHyphens/>
        <w:spacing w:after="0"/>
        <w:rPr>
          <w:rFonts w:eastAsia="DejaVu LGC Sans" w:cs="Times New Roman"/>
          <w:color w:val="000000"/>
          <w:kern w:val="1"/>
          <w:sz w:val="24"/>
          <w:szCs w:val="24"/>
          <w:lang w:val="en-US"/>
        </w:rPr>
      </w:pPr>
      <w:r w:rsidRPr="00FA3678">
        <w:rPr>
          <w:rFonts w:eastAsia="DejaVu LGC Sans" w:cs="Times New Roman"/>
          <w:color w:val="000000"/>
          <w:kern w:val="1"/>
          <w:sz w:val="24"/>
          <w:szCs w:val="24"/>
          <w:lang w:val="en-US"/>
        </w:rPr>
        <w:t xml:space="preserve">In </w:t>
      </w:r>
      <w:r w:rsidRPr="00FA3678">
        <w:rPr>
          <w:rFonts w:eastAsia="DejaVu LGC Sans" w:cs="Times New Roman"/>
          <w:i/>
          <w:color w:val="000000"/>
          <w:kern w:val="1"/>
          <w:sz w:val="24"/>
          <w:szCs w:val="24"/>
          <w:lang w:val="en-US"/>
        </w:rPr>
        <w:t xml:space="preserve">Jan </w:t>
      </w:r>
      <w:proofErr w:type="spellStart"/>
      <w:r w:rsidRPr="00FA3678">
        <w:rPr>
          <w:rFonts w:eastAsia="DejaVu LGC Sans" w:cs="Times New Roman"/>
          <w:i/>
          <w:color w:val="000000"/>
          <w:kern w:val="1"/>
          <w:sz w:val="24"/>
          <w:szCs w:val="24"/>
          <w:lang w:val="en-US"/>
        </w:rPr>
        <w:t>Chetna</w:t>
      </w:r>
      <w:proofErr w:type="spellEnd"/>
      <w:r w:rsidRPr="00FA3678">
        <w:rPr>
          <w:rFonts w:eastAsia="DejaVu LGC Sans" w:cs="Times New Roman"/>
          <w:i/>
          <w:color w:val="000000"/>
          <w:kern w:val="1"/>
          <w:sz w:val="24"/>
          <w:szCs w:val="24"/>
          <w:lang w:val="en-US"/>
        </w:rPr>
        <w:t xml:space="preserve"> v Ministry of Environment and Forests</w:t>
      </w:r>
      <w:r w:rsidR="00D34FD4" w:rsidRPr="00FA3678">
        <w:rPr>
          <w:rStyle w:val="FootnoteReference"/>
          <w:rFonts w:eastAsia="DejaVu LGC Sans" w:cs="Times New Roman"/>
          <w:color w:val="000000"/>
          <w:kern w:val="1"/>
          <w:sz w:val="24"/>
          <w:szCs w:val="24"/>
          <w:lang w:val="en-US"/>
        </w:rPr>
        <w:footnoteReference w:id="55"/>
      </w:r>
      <w:r w:rsidRPr="00FA3678">
        <w:rPr>
          <w:rFonts w:eastAsia="DejaVu LGC Sans" w:cs="Times New Roman"/>
          <w:color w:val="000000"/>
          <w:kern w:val="1"/>
          <w:sz w:val="24"/>
          <w:szCs w:val="24"/>
          <w:lang w:val="en-US"/>
        </w:rPr>
        <w:t xml:space="preserve"> the Tribunal recapitulated the principles of international en</w:t>
      </w:r>
      <w:r w:rsidR="00DE6373" w:rsidRPr="00FA3678">
        <w:rPr>
          <w:rFonts w:eastAsia="DejaVu LGC Sans" w:cs="Times New Roman"/>
          <w:color w:val="000000"/>
          <w:kern w:val="1"/>
          <w:sz w:val="24"/>
          <w:szCs w:val="24"/>
          <w:lang w:val="en-US"/>
        </w:rPr>
        <w:t>vironmental law and observed ‘</w:t>
      </w:r>
      <w:r w:rsidR="00AA2709" w:rsidRPr="00FA3678">
        <w:rPr>
          <w:rFonts w:eastAsia="DejaVu LGC Sans" w:cs="Times New Roman"/>
          <w:color w:val="000000"/>
          <w:kern w:val="1"/>
          <w:sz w:val="24"/>
          <w:szCs w:val="24"/>
          <w:lang w:val="en-US"/>
        </w:rPr>
        <w:t>the concept of sustainable development was given a definite shape in 1987 by the World Commission on Environment and Development in its report called ‘Our Common Future’. In 1991, the World Conservation Union, United Nations Environment Programme and World Wide Fund for Nature, jointly came out with a document called ‘Caring for the Earth’ which is a strategy for sustainable living. Finally,</w:t>
      </w:r>
      <w:r w:rsidR="0042436E" w:rsidRPr="00FA3678">
        <w:rPr>
          <w:rFonts w:eastAsia="DejaVu LGC Sans" w:cs="Times New Roman"/>
          <w:color w:val="000000"/>
          <w:kern w:val="1"/>
          <w:sz w:val="24"/>
          <w:szCs w:val="24"/>
          <w:lang w:val="en-US"/>
        </w:rPr>
        <w:t xml:space="preserve"> </w:t>
      </w:r>
      <w:proofErr w:type="gramStart"/>
      <w:r w:rsidR="0042436E" w:rsidRPr="00FA3678">
        <w:rPr>
          <w:rFonts w:eastAsia="DejaVu LGC Sans" w:cs="Times New Roman"/>
          <w:color w:val="000000"/>
          <w:kern w:val="1"/>
          <w:sz w:val="24"/>
          <w:szCs w:val="24"/>
          <w:lang w:val="en-US"/>
        </w:rPr>
        <w:t>c</w:t>
      </w:r>
      <w:r w:rsidR="00AA2709" w:rsidRPr="00FA3678">
        <w:rPr>
          <w:rFonts w:eastAsia="DejaVu LGC Sans" w:cs="Times New Roman"/>
          <w:color w:val="000000"/>
          <w:kern w:val="1"/>
          <w:sz w:val="24"/>
          <w:szCs w:val="24"/>
          <w:lang w:val="en-US"/>
        </w:rPr>
        <w:t>ame</w:t>
      </w:r>
      <w:proofErr w:type="gramEnd"/>
      <w:r w:rsidR="00AA2709" w:rsidRPr="00FA3678">
        <w:rPr>
          <w:rFonts w:eastAsia="DejaVu LGC Sans" w:cs="Times New Roman"/>
          <w:color w:val="000000"/>
          <w:kern w:val="1"/>
          <w:sz w:val="24"/>
          <w:szCs w:val="24"/>
          <w:lang w:val="en-US"/>
        </w:rPr>
        <w:t xml:space="preserve"> the Earth Summit held in June 1992 at Rio… The Supreme Court of India noted that some of the salient principles of ‘sustainable</w:t>
      </w:r>
      <w:r w:rsidR="00AA2709" w:rsidRPr="00FA3678">
        <w:rPr>
          <w:rFonts w:eastAsia="DejaVu LGC Sans" w:cs="Times New Roman"/>
          <w:b/>
          <w:color w:val="000000"/>
          <w:kern w:val="1"/>
          <w:sz w:val="24"/>
          <w:szCs w:val="24"/>
          <w:lang w:val="en-US"/>
        </w:rPr>
        <w:t xml:space="preserve"> </w:t>
      </w:r>
      <w:r w:rsidR="00AA2709" w:rsidRPr="00FA3678">
        <w:rPr>
          <w:rFonts w:eastAsia="DejaVu LGC Sans" w:cs="Times New Roman"/>
          <w:color w:val="000000"/>
          <w:kern w:val="1"/>
          <w:sz w:val="24"/>
          <w:szCs w:val="24"/>
          <w:lang w:val="en-US"/>
        </w:rPr>
        <w:t xml:space="preserve">development’ </w:t>
      </w:r>
      <w:r w:rsidR="00C54C89" w:rsidRPr="00FA3678">
        <w:rPr>
          <w:rFonts w:eastAsia="DejaVu LGC Sans" w:cs="Times New Roman"/>
          <w:color w:val="000000"/>
          <w:kern w:val="1"/>
          <w:sz w:val="24"/>
          <w:szCs w:val="24"/>
          <w:lang w:val="en-US"/>
        </w:rPr>
        <w:t xml:space="preserve">as culled-out from </w:t>
      </w:r>
      <w:proofErr w:type="spellStart"/>
      <w:r w:rsidR="00C54C89" w:rsidRPr="00FA3678">
        <w:rPr>
          <w:rFonts w:eastAsia="DejaVu LGC Sans" w:cs="Times New Roman"/>
          <w:color w:val="000000"/>
          <w:kern w:val="1"/>
          <w:sz w:val="24"/>
          <w:szCs w:val="24"/>
          <w:lang w:val="en-US"/>
        </w:rPr>
        <w:t>Brundtland</w:t>
      </w:r>
      <w:proofErr w:type="spellEnd"/>
      <w:r w:rsidR="00C54C89" w:rsidRPr="00FA3678">
        <w:rPr>
          <w:rFonts w:eastAsia="DejaVu LGC Sans" w:cs="Times New Roman"/>
          <w:color w:val="000000"/>
          <w:kern w:val="1"/>
          <w:sz w:val="24"/>
          <w:szCs w:val="24"/>
          <w:lang w:val="en-US"/>
        </w:rPr>
        <w:t xml:space="preserve"> Report and other international documents</w:t>
      </w:r>
      <w:r w:rsidR="00EE2EA0" w:rsidRPr="00FA3678">
        <w:rPr>
          <w:rFonts w:eastAsia="DejaVu LGC Sans" w:cs="Times New Roman"/>
          <w:color w:val="000000"/>
          <w:kern w:val="1"/>
          <w:sz w:val="24"/>
          <w:szCs w:val="24"/>
          <w:lang w:val="en-US"/>
        </w:rPr>
        <w:t xml:space="preserve"> are inter-generational equity, use and conservation of natural resources, environmental protection, the precautionary principle, polluter pays principle, obligation to assist and cooperate, eradication of poverty and financial assistance to the developing countries. The precautionary and polluter pays principle</w:t>
      </w:r>
      <w:r w:rsidR="00076EC3">
        <w:rPr>
          <w:rFonts w:eastAsia="DejaVu LGC Sans" w:cs="Times New Roman"/>
          <w:color w:val="000000"/>
          <w:kern w:val="1"/>
          <w:sz w:val="24"/>
          <w:szCs w:val="24"/>
          <w:lang w:val="en-US"/>
        </w:rPr>
        <w:t>s</w:t>
      </w:r>
      <w:r w:rsidR="00EE2EA0" w:rsidRPr="00FA3678">
        <w:rPr>
          <w:rFonts w:eastAsia="DejaVu LGC Sans" w:cs="Times New Roman"/>
          <w:color w:val="000000"/>
          <w:kern w:val="1"/>
          <w:sz w:val="24"/>
          <w:szCs w:val="24"/>
          <w:lang w:val="en-US"/>
        </w:rPr>
        <w:t xml:space="preserve"> are essential features of sustainable development and are part of the environment law of the country.’</w:t>
      </w:r>
      <w:r w:rsidR="0042436E" w:rsidRPr="00FA3678">
        <w:rPr>
          <w:rStyle w:val="FootnoteReference"/>
          <w:rFonts w:eastAsia="DejaVu LGC Sans" w:cs="Times New Roman"/>
          <w:color w:val="000000"/>
          <w:kern w:val="1"/>
          <w:sz w:val="24"/>
          <w:szCs w:val="24"/>
          <w:lang w:val="en-US"/>
        </w:rPr>
        <w:footnoteReference w:id="56"/>
      </w:r>
      <w:r w:rsidR="00F5692A" w:rsidRPr="00FA3678">
        <w:rPr>
          <w:rFonts w:eastAsia="DejaVu LGC Sans" w:cs="Times New Roman"/>
          <w:color w:val="000000"/>
          <w:kern w:val="1"/>
          <w:sz w:val="24"/>
          <w:szCs w:val="24"/>
          <w:lang w:val="en-US"/>
        </w:rPr>
        <w:t xml:space="preserve"> Thus,</w:t>
      </w:r>
      <w:r w:rsidR="00A22BE8" w:rsidRPr="00FA3678">
        <w:rPr>
          <w:rFonts w:eastAsia="DejaVu LGC Sans" w:cs="Times New Roman"/>
          <w:color w:val="000000"/>
          <w:kern w:val="1"/>
          <w:sz w:val="24"/>
          <w:szCs w:val="24"/>
          <w:lang w:val="en-US"/>
        </w:rPr>
        <w:t xml:space="preserve"> the</w:t>
      </w:r>
      <w:r w:rsidR="00F5692A" w:rsidRPr="00FA3678">
        <w:rPr>
          <w:rFonts w:eastAsia="DejaVu LGC Sans" w:cs="Times New Roman"/>
          <w:color w:val="000000"/>
          <w:kern w:val="1"/>
          <w:sz w:val="24"/>
          <w:szCs w:val="24"/>
          <w:lang w:val="en-US"/>
        </w:rPr>
        <w:t xml:space="preserve"> Tribunal is obliged to adhere</w:t>
      </w:r>
      <w:r w:rsidR="007F3FD1" w:rsidRPr="00FA3678">
        <w:rPr>
          <w:rFonts w:eastAsia="DejaVu LGC Sans" w:cs="Times New Roman"/>
          <w:color w:val="000000"/>
          <w:kern w:val="1"/>
          <w:sz w:val="24"/>
          <w:szCs w:val="24"/>
          <w:lang w:val="en-US"/>
        </w:rPr>
        <w:t xml:space="preserve"> and</w:t>
      </w:r>
      <w:r w:rsidR="00F5692A" w:rsidRPr="00FA3678">
        <w:rPr>
          <w:rFonts w:eastAsia="DejaVu LGC Sans" w:cs="Times New Roman"/>
          <w:color w:val="000000"/>
          <w:kern w:val="1"/>
          <w:sz w:val="24"/>
          <w:szCs w:val="24"/>
          <w:lang w:val="en-US"/>
        </w:rPr>
        <w:t xml:space="preserve"> apply to the above-mentioned principles for</w:t>
      </w:r>
      <w:r w:rsidR="00C91630" w:rsidRPr="00FA3678">
        <w:rPr>
          <w:rFonts w:eastAsia="DejaVu LGC Sans" w:cs="Times New Roman"/>
          <w:color w:val="000000"/>
          <w:kern w:val="1"/>
          <w:sz w:val="24"/>
          <w:szCs w:val="24"/>
          <w:lang w:val="en-US"/>
        </w:rPr>
        <w:t xml:space="preserve"> the</w:t>
      </w:r>
      <w:r w:rsidR="007F3FD1" w:rsidRPr="00FA3678">
        <w:rPr>
          <w:rFonts w:eastAsia="DejaVu LGC Sans" w:cs="Times New Roman"/>
          <w:color w:val="000000"/>
          <w:kern w:val="1"/>
          <w:sz w:val="24"/>
          <w:szCs w:val="24"/>
          <w:lang w:val="en-US"/>
        </w:rPr>
        <w:t xml:space="preserve"> effective implementation of environmental rights and duties </w:t>
      </w:r>
      <w:r w:rsidR="00A22BE8" w:rsidRPr="00FA3678">
        <w:rPr>
          <w:rFonts w:eastAsia="DejaVu LGC Sans" w:cs="Times New Roman"/>
          <w:color w:val="000000"/>
          <w:kern w:val="1"/>
          <w:sz w:val="24"/>
          <w:szCs w:val="24"/>
          <w:lang w:val="en-US"/>
        </w:rPr>
        <w:t>in the Indian context</w:t>
      </w:r>
      <w:r w:rsidR="00925B4C" w:rsidRPr="00FA3678">
        <w:rPr>
          <w:rStyle w:val="FootnoteReference"/>
          <w:rFonts w:eastAsia="DejaVu LGC Sans" w:cs="Times New Roman"/>
          <w:color w:val="000000"/>
          <w:kern w:val="1"/>
          <w:sz w:val="24"/>
          <w:szCs w:val="24"/>
          <w:lang w:val="en-US"/>
        </w:rPr>
        <w:footnoteReference w:id="57"/>
      </w:r>
      <w:r w:rsidR="00A22BE8" w:rsidRPr="00FA3678">
        <w:rPr>
          <w:rFonts w:eastAsia="DejaVu LGC Sans" w:cs="Times New Roman"/>
          <w:color w:val="000000"/>
          <w:kern w:val="1"/>
          <w:sz w:val="24"/>
          <w:szCs w:val="24"/>
          <w:lang w:val="en-US"/>
        </w:rPr>
        <w:t>.</w:t>
      </w:r>
      <w:r w:rsidR="007F3FD1" w:rsidRPr="00FA3678">
        <w:rPr>
          <w:rFonts w:eastAsia="DejaVu LGC Sans" w:cs="Times New Roman"/>
          <w:color w:val="000000"/>
          <w:kern w:val="1"/>
          <w:sz w:val="24"/>
          <w:szCs w:val="24"/>
          <w:lang w:val="en-US"/>
        </w:rPr>
        <w:t xml:space="preserve"> </w:t>
      </w:r>
    </w:p>
    <w:p w:rsidR="00C654FD" w:rsidRPr="00FA3678" w:rsidRDefault="00577A1E" w:rsidP="00FA3678">
      <w:pPr>
        <w:widowControl w:val="0"/>
        <w:tabs>
          <w:tab w:val="left" w:pos="603"/>
        </w:tabs>
        <w:suppressAutoHyphens/>
        <w:spacing w:after="0"/>
        <w:rPr>
          <w:rFonts w:eastAsia="DejaVu LGC Sans" w:cs="Times New Roman"/>
          <w:color w:val="000000"/>
          <w:kern w:val="1"/>
          <w:sz w:val="24"/>
          <w:szCs w:val="24"/>
          <w:lang w:val="en-US"/>
        </w:rPr>
      </w:pPr>
      <w:r>
        <w:rPr>
          <w:rFonts w:eastAsia="DejaVu LGC Sans" w:cs="Times New Roman"/>
          <w:color w:val="000000"/>
          <w:kern w:val="1"/>
          <w:sz w:val="24"/>
          <w:szCs w:val="24"/>
          <w:lang w:val="en-US"/>
        </w:rPr>
        <w:t xml:space="preserve"> T</w:t>
      </w:r>
      <w:r w:rsidR="000F43F0" w:rsidRPr="00FA3678">
        <w:rPr>
          <w:rFonts w:eastAsia="DejaVu LGC Sans" w:cs="Times New Roman"/>
          <w:color w:val="000000"/>
          <w:kern w:val="1"/>
          <w:sz w:val="24"/>
          <w:szCs w:val="24"/>
          <w:lang w:val="en-US"/>
        </w:rPr>
        <w:t>he paper specifically examine</w:t>
      </w:r>
      <w:r w:rsidR="006B6A98">
        <w:rPr>
          <w:rFonts w:eastAsia="DejaVu LGC Sans" w:cs="Times New Roman"/>
          <w:color w:val="000000"/>
          <w:kern w:val="1"/>
          <w:sz w:val="24"/>
          <w:szCs w:val="24"/>
          <w:lang w:val="en-US"/>
        </w:rPr>
        <w:t>s the application of the</w:t>
      </w:r>
      <w:r w:rsidR="00170650">
        <w:rPr>
          <w:rFonts w:eastAsia="DejaVu LGC Sans" w:cs="Times New Roman"/>
          <w:color w:val="000000"/>
          <w:kern w:val="1"/>
          <w:sz w:val="24"/>
          <w:szCs w:val="24"/>
          <w:lang w:val="en-US"/>
        </w:rPr>
        <w:t xml:space="preserve"> above-mentioned </w:t>
      </w:r>
      <w:r w:rsidR="000F43F0" w:rsidRPr="00FA3678">
        <w:rPr>
          <w:rFonts w:eastAsia="DejaVu LGC Sans" w:cs="Times New Roman"/>
          <w:color w:val="000000"/>
          <w:kern w:val="1"/>
          <w:sz w:val="24"/>
          <w:szCs w:val="24"/>
          <w:lang w:val="en-US"/>
        </w:rPr>
        <w:t>principles as spelled o</w:t>
      </w:r>
      <w:r w:rsidR="002D5AD5">
        <w:rPr>
          <w:rFonts w:eastAsia="DejaVu LGC Sans" w:cs="Times New Roman"/>
          <w:color w:val="000000"/>
          <w:kern w:val="1"/>
          <w:sz w:val="24"/>
          <w:szCs w:val="24"/>
          <w:lang w:val="en-US"/>
        </w:rPr>
        <w:t>ut in the NGT Act 2010, which are</w:t>
      </w:r>
      <w:r w:rsidR="000F43F0" w:rsidRPr="00FA3678">
        <w:rPr>
          <w:rFonts w:eastAsia="DejaVu LGC Sans" w:cs="Times New Roman"/>
          <w:color w:val="000000"/>
          <w:kern w:val="1"/>
          <w:sz w:val="24"/>
          <w:szCs w:val="24"/>
          <w:lang w:val="en-US"/>
        </w:rPr>
        <w:t xml:space="preserve"> as follows: </w:t>
      </w:r>
    </w:p>
    <w:p w:rsidR="000D7137" w:rsidRPr="00FA3678" w:rsidRDefault="000D7137" w:rsidP="00FA3678">
      <w:pPr>
        <w:widowControl w:val="0"/>
        <w:tabs>
          <w:tab w:val="left" w:pos="603"/>
        </w:tabs>
        <w:suppressAutoHyphens/>
        <w:spacing w:after="0"/>
        <w:rPr>
          <w:rFonts w:eastAsia="DejaVu LGC Sans" w:cs="Times New Roman"/>
          <w:b/>
          <w:color w:val="000000"/>
          <w:kern w:val="1"/>
          <w:sz w:val="24"/>
          <w:szCs w:val="24"/>
          <w:lang w:val="en-US"/>
        </w:rPr>
      </w:pPr>
    </w:p>
    <w:p w:rsidR="00B65C38" w:rsidRPr="00FA3678" w:rsidRDefault="009D4A86" w:rsidP="00FA3678">
      <w:pPr>
        <w:widowControl w:val="0"/>
        <w:tabs>
          <w:tab w:val="left" w:pos="603"/>
        </w:tabs>
        <w:suppressAutoHyphens/>
        <w:spacing w:after="0"/>
        <w:rPr>
          <w:rFonts w:eastAsia="Calibri" w:cs="Calibri"/>
          <w:b/>
          <w:sz w:val="24"/>
          <w:szCs w:val="24"/>
          <w:lang w:eastAsia="ar-SA"/>
        </w:rPr>
      </w:pPr>
      <w:r w:rsidRPr="00FA3678">
        <w:rPr>
          <w:rFonts w:eastAsia="DejaVu LGC Sans" w:cs="Times New Roman"/>
          <w:b/>
          <w:color w:val="000000"/>
          <w:kern w:val="1"/>
          <w:sz w:val="24"/>
          <w:szCs w:val="24"/>
          <w:lang w:val="en-US"/>
        </w:rPr>
        <w:t xml:space="preserve">3.1 </w:t>
      </w:r>
      <w:r w:rsidR="00B65C38" w:rsidRPr="00FA3678">
        <w:rPr>
          <w:rFonts w:eastAsia="Calibri" w:cs="Calibri"/>
          <w:b/>
          <w:sz w:val="24"/>
          <w:szCs w:val="24"/>
          <w:lang w:eastAsia="ar-SA"/>
        </w:rPr>
        <w:t>The Principles of Environmental Protection and Conservation</w:t>
      </w:r>
    </w:p>
    <w:p w:rsidR="00B65C38" w:rsidRPr="00FA3678" w:rsidRDefault="00B65C38" w:rsidP="00FA3678">
      <w:pPr>
        <w:widowControl w:val="0"/>
        <w:tabs>
          <w:tab w:val="left" w:pos="603"/>
        </w:tabs>
        <w:suppressAutoHyphens/>
        <w:spacing w:after="0"/>
        <w:rPr>
          <w:rFonts w:eastAsia="Calibri" w:cs="Calibri"/>
          <w:b/>
          <w:sz w:val="24"/>
          <w:szCs w:val="24"/>
          <w:lang w:eastAsia="ar-SA"/>
        </w:rPr>
      </w:pPr>
    </w:p>
    <w:p w:rsidR="00B65C38" w:rsidRPr="00FA3678" w:rsidRDefault="00B65C38" w:rsidP="00FA3678">
      <w:pPr>
        <w:widowControl w:val="0"/>
        <w:tabs>
          <w:tab w:val="left" w:pos="603"/>
        </w:tabs>
        <w:suppressAutoHyphens/>
        <w:spacing w:after="0"/>
        <w:rPr>
          <w:rFonts w:eastAsia="Calibri" w:cs="Calibri"/>
          <w:sz w:val="24"/>
          <w:szCs w:val="24"/>
          <w:lang w:eastAsia="ar-SA"/>
        </w:rPr>
      </w:pPr>
      <w:r w:rsidRPr="00FA3678">
        <w:rPr>
          <w:rFonts w:eastAsia="Calibri" w:cs="Calibri"/>
          <w:sz w:val="24"/>
          <w:szCs w:val="24"/>
          <w:lang w:eastAsia="ar-SA"/>
        </w:rPr>
        <w:t>The use of general legal principles in international environmental law provides the orientation and direction to which positive law must conform: a rationale for the law without it constituting a binding norm. The persistent reference to the general principles in preambles to the treaties and other international acts highlights the broad support of the nation states to these principles despite having ‘indeterminate content, degree of abstraction and uncertainty.’</w:t>
      </w:r>
      <w:r w:rsidRPr="00FA3678">
        <w:rPr>
          <w:rStyle w:val="FootnoteReference"/>
          <w:rFonts w:eastAsia="Calibri" w:cs="Calibri"/>
          <w:sz w:val="24"/>
          <w:szCs w:val="24"/>
          <w:lang w:eastAsia="ar-SA"/>
        </w:rPr>
        <w:footnoteReference w:id="58"/>
      </w:r>
      <w:r w:rsidRPr="00FA3678">
        <w:rPr>
          <w:rFonts w:eastAsia="Calibri" w:cs="Calibri"/>
          <w:sz w:val="24"/>
          <w:szCs w:val="24"/>
          <w:lang w:eastAsia="ar-SA"/>
        </w:rPr>
        <w:t xml:space="preserve"> The general principles may appear in constitutions, basic law and also in judicial construction.</w:t>
      </w:r>
    </w:p>
    <w:p w:rsidR="001C4B82" w:rsidRPr="00FA3678" w:rsidRDefault="001C4B82" w:rsidP="00FA3678">
      <w:pPr>
        <w:widowControl w:val="0"/>
        <w:tabs>
          <w:tab w:val="left" w:pos="603"/>
        </w:tabs>
        <w:suppressAutoHyphens/>
        <w:spacing w:after="0"/>
        <w:rPr>
          <w:rFonts w:eastAsia="Calibri" w:cs="Calibri"/>
          <w:sz w:val="24"/>
          <w:szCs w:val="24"/>
          <w:lang w:eastAsia="ar-SA"/>
        </w:rPr>
      </w:pPr>
    </w:p>
    <w:p w:rsidR="00B65C38" w:rsidRPr="00FA3678" w:rsidRDefault="00B65C38" w:rsidP="00FA3678">
      <w:pPr>
        <w:widowControl w:val="0"/>
        <w:tabs>
          <w:tab w:val="left" w:pos="603"/>
        </w:tabs>
        <w:suppressAutoHyphens/>
        <w:spacing w:after="0"/>
        <w:rPr>
          <w:rFonts w:eastAsia="Calibri" w:cs="Calibri"/>
          <w:sz w:val="24"/>
          <w:szCs w:val="24"/>
          <w:lang w:eastAsia="ar-SA"/>
        </w:rPr>
      </w:pPr>
      <w:r w:rsidRPr="00FA3678">
        <w:rPr>
          <w:rFonts w:eastAsia="Calibri" w:cs="Calibri"/>
          <w:sz w:val="24"/>
          <w:szCs w:val="24"/>
          <w:lang w:eastAsia="ar-SA"/>
        </w:rPr>
        <w:lastRenderedPageBreak/>
        <w:t xml:space="preserve">3.1.1 The Principle of Protection </w:t>
      </w:r>
    </w:p>
    <w:p w:rsidR="00915807" w:rsidRPr="00FA3678" w:rsidRDefault="00915807" w:rsidP="00FA3678">
      <w:pPr>
        <w:widowControl w:val="0"/>
        <w:tabs>
          <w:tab w:val="left" w:pos="603"/>
        </w:tabs>
        <w:suppressAutoHyphens/>
        <w:spacing w:after="0"/>
        <w:rPr>
          <w:rFonts w:eastAsia="Calibri" w:cs="Calibri"/>
          <w:sz w:val="24"/>
          <w:szCs w:val="24"/>
          <w:lang w:eastAsia="ar-SA"/>
        </w:rPr>
      </w:pPr>
    </w:p>
    <w:p w:rsidR="00B65C38" w:rsidRPr="00FA3678" w:rsidRDefault="00B65C38" w:rsidP="00FA3678">
      <w:pPr>
        <w:widowControl w:val="0"/>
        <w:tabs>
          <w:tab w:val="left" w:pos="603"/>
        </w:tabs>
        <w:suppressAutoHyphens/>
        <w:spacing w:after="0"/>
        <w:rPr>
          <w:rFonts w:eastAsia="Calibri" w:cs="Calibri"/>
          <w:sz w:val="24"/>
          <w:szCs w:val="24"/>
          <w:lang w:eastAsia="ar-SA"/>
        </w:rPr>
      </w:pPr>
      <w:r w:rsidRPr="00FA3678">
        <w:rPr>
          <w:rFonts w:eastAsia="Calibri" w:cs="Calibri"/>
          <w:sz w:val="24"/>
          <w:szCs w:val="24"/>
          <w:lang w:eastAsia="ar-SA"/>
        </w:rPr>
        <w:t xml:space="preserve">The principle of protection has a strong presence in international texts and practices. According to the American Heritage dictionary, the word </w:t>
      </w:r>
      <w:r w:rsidR="00B2065C" w:rsidRPr="00FA3678">
        <w:rPr>
          <w:rFonts w:eastAsia="Calibri" w:cs="Calibri"/>
          <w:sz w:val="24"/>
          <w:szCs w:val="24"/>
          <w:lang w:eastAsia="ar-SA"/>
        </w:rPr>
        <w:t>‘protect’ is defined as ‘</w:t>
      </w:r>
      <w:r w:rsidRPr="00FA3678">
        <w:rPr>
          <w:rFonts w:eastAsia="Calibri" w:cs="Calibri"/>
          <w:sz w:val="24"/>
          <w:szCs w:val="24"/>
          <w:lang w:eastAsia="ar-SA"/>
        </w:rPr>
        <w:t>to keep from being damaged</w:t>
      </w:r>
      <w:r w:rsidR="00B2065C" w:rsidRPr="00FA3678">
        <w:rPr>
          <w:rFonts w:eastAsia="Calibri" w:cs="Calibri"/>
          <w:sz w:val="24"/>
          <w:szCs w:val="24"/>
          <w:lang w:eastAsia="ar-SA"/>
        </w:rPr>
        <w:t>, attacked, stolen or injured.’</w:t>
      </w:r>
      <w:r w:rsidRPr="00FA3678">
        <w:rPr>
          <w:rStyle w:val="FootnoteReference"/>
          <w:rFonts w:eastAsia="Calibri" w:cs="Calibri"/>
          <w:sz w:val="24"/>
          <w:szCs w:val="24"/>
          <w:lang w:eastAsia="ar-SA"/>
        </w:rPr>
        <w:footnoteReference w:id="59"/>
      </w:r>
      <w:r w:rsidRPr="00FA3678">
        <w:rPr>
          <w:rFonts w:eastAsia="Calibri" w:cs="Calibri"/>
          <w:sz w:val="24"/>
          <w:szCs w:val="24"/>
          <w:lang w:eastAsia="ar-SA"/>
        </w:rPr>
        <w:t xml:space="preserve"> Environmental protection implies abstaining from harmful activities and adopting affirmative measures to ensure that environmental deterioration does not occur. The OECD Glossary of Statistical Terms</w:t>
      </w:r>
      <w:r w:rsidRPr="00FA3678">
        <w:rPr>
          <w:rStyle w:val="FootnoteReference"/>
          <w:rFonts w:eastAsia="Calibri" w:cs="Calibri"/>
          <w:sz w:val="24"/>
          <w:szCs w:val="24"/>
          <w:lang w:eastAsia="ar-SA"/>
        </w:rPr>
        <w:footnoteReference w:id="60"/>
      </w:r>
      <w:r w:rsidRPr="00FA3678">
        <w:rPr>
          <w:rFonts w:eastAsia="Calibri" w:cs="Calibri"/>
          <w:sz w:val="24"/>
          <w:szCs w:val="24"/>
          <w:lang w:eastAsia="ar-SA"/>
        </w:rPr>
        <w:t xml:space="preserve"> defines environmental protection in a comprehensive manner to include ‘any activity to maintain or restore the quality of environmental media through preventing the emission of pollutants or reducing the presence of polluting substances in environmental media. It may consist of changes in characteristics of goods and services; changes in consumption patterns; changes in production techniques; treatment or disposal of residual</w:t>
      </w:r>
      <w:r w:rsidR="00B2065C" w:rsidRPr="00FA3678">
        <w:rPr>
          <w:rFonts w:eastAsia="Calibri" w:cs="Calibri"/>
          <w:sz w:val="24"/>
          <w:szCs w:val="24"/>
          <w:lang w:eastAsia="ar-SA"/>
        </w:rPr>
        <w:t>s</w:t>
      </w:r>
      <w:r w:rsidRPr="00FA3678">
        <w:rPr>
          <w:rFonts w:eastAsia="Calibri" w:cs="Calibri"/>
          <w:sz w:val="24"/>
          <w:szCs w:val="24"/>
          <w:lang w:eastAsia="ar-SA"/>
        </w:rPr>
        <w:t xml:space="preserve"> in separate environmental protection facilities; recycling; and prevention of degradation of the landscape and ecosystem.’</w:t>
      </w:r>
    </w:p>
    <w:p w:rsidR="00915807" w:rsidRPr="00FA3678" w:rsidRDefault="00915807" w:rsidP="00FA3678">
      <w:pPr>
        <w:widowControl w:val="0"/>
        <w:tabs>
          <w:tab w:val="left" w:pos="603"/>
        </w:tabs>
        <w:suppressAutoHyphens/>
        <w:spacing w:after="0"/>
        <w:rPr>
          <w:rFonts w:eastAsia="Calibri" w:cs="Calibri"/>
          <w:sz w:val="24"/>
          <w:szCs w:val="24"/>
          <w:lang w:eastAsia="ar-SA"/>
        </w:rPr>
      </w:pPr>
    </w:p>
    <w:p w:rsidR="00B65C38" w:rsidRPr="00FA3678" w:rsidRDefault="0016297E" w:rsidP="00FA3678">
      <w:pPr>
        <w:widowControl w:val="0"/>
        <w:tabs>
          <w:tab w:val="left" w:pos="603"/>
        </w:tabs>
        <w:suppressAutoHyphens/>
        <w:spacing w:after="0"/>
        <w:rPr>
          <w:rFonts w:eastAsia="Calibri" w:cs="Calibri"/>
          <w:sz w:val="24"/>
          <w:szCs w:val="24"/>
          <w:lang w:eastAsia="ar-SA"/>
        </w:rPr>
      </w:pPr>
      <w:r w:rsidRPr="00FA3678">
        <w:rPr>
          <w:rFonts w:eastAsia="Calibri" w:cs="Calibri"/>
          <w:sz w:val="24"/>
          <w:szCs w:val="24"/>
          <w:lang w:eastAsia="ar-SA"/>
        </w:rPr>
        <w:t>The NGT</w:t>
      </w:r>
      <w:r w:rsidR="00B65C38" w:rsidRPr="00FA3678">
        <w:rPr>
          <w:rFonts w:eastAsia="Calibri" w:cs="Calibri"/>
          <w:sz w:val="24"/>
          <w:szCs w:val="24"/>
          <w:lang w:eastAsia="ar-SA"/>
        </w:rPr>
        <w:t xml:space="preserve"> explained the principle of environmental protection by interpreting its enabling Act in a manner that achieves better results for the environment and ecology by insisting on the adoption of robust enviro-friendly measures.  In </w:t>
      </w:r>
      <w:r w:rsidR="00B65C38" w:rsidRPr="00FA3678">
        <w:rPr>
          <w:rFonts w:eastAsia="Calibri" w:cs="Calibri"/>
          <w:i/>
          <w:sz w:val="24"/>
          <w:szCs w:val="24"/>
          <w:lang w:eastAsia="ar-SA"/>
        </w:rPr>
        <w:t xml:space="preserve">M/S </w:t>
      </w:r>
      <w:proofErr w:type="spellStart"/>
      <w:r w:rsidR="00B65C38" w:rsidRPr="00FA3678">
        <w:rPr>
          <w:rFonts w:eastAsia="Calibri" w:cs="Calibri"/>
          <w:i/>
          <w:sz w:val="24"/>
          <w:szCs w:val="24"/>
          <w:lang w:eastAsia="ar-SA"/>
        </w:rPr>
        <w:t>Gokulam</w:t>
      </w:r>
      <w:proofErr w:type="spellEnd"/>
      <w:r w:rsidR="00B65C38" w:rsidRPr="00FA3678">
        <w:rPr>
          <w:rFonts w:eastAsia="Calibri" w:cs="Calibri"/>
          <w:i/>
          <w:sz w:val="24"/>
          <w:szCs w:val="24"/>
          <w:lang w:eastAsia="ar-SA"/>
        </w:rPr>
        <w:t xml:space="preserve"> Blue Metals v Tamil Nadu</w:t>
      </w:r>
      <w:r w:rsidR="00B65C38" w:rsidRPr="00FA3678">
        <w:rPr>
          <w:rFonts w:eastAsia="Calibri" w:cs="Calibri"/>
          <w:sz w:val="24"/>
          <w:szCs w:val="24"/>
          <w:lang w:eastAsia="ar-SA"/>
        </w:rPr>
        <w:t xml:space="preserve"> </w:t>
      </w:r>
      <w:r w:rsidR="00B65C38" w:rsidRPr="00FA3678">
        <w:rPr>
          <w:rFonts w:eastAsia="Calibri" w:cs="Calibri"/>
          <w:i/>
          <w:sz w:val="24"/>
          <w:szCs w:val="24"/>
          <w:lang w:eastAsia="ar-SA"/>
        </w:rPr>
        <w:t>Pollution Control Board</w:t>
      </w:r>
      <w:r w:rsidR="00B65C38" w:rsidRPr="00FA3678">
        <w:rPr>
          <w:rStyle w:val="FootnoteReference"/>
          <w:rFonts w:eastAsia="Calibri" w:cs="Calibri"/>
          <w:sz w:val="24"/>
          <w:szCs w:val="24"/>
          <w:lang w:eastAsia="ar-SA"/>
        </w:rPr>
        <w:footnoteReference w:id="61"/>
      </w:r>
      <w:r w:rsidR="00B65C38" w:rsidRPr="00FA3678">
        <w:rPr>
          <w:rFonts w:eastAsia="Calibri" w:cs="Calibri"/>
          <w:sz w:val="24"/>
          <w:szCs w:val="24"/>
          <w:lang w:eastAsia="ar-SA"/>
        </w:rPr>
        <w:t xml:space="preserve">, the NGT issued an order against the appellants [M/S </w:t>
      </w:r>
      <w:proofErr w:type="spellStart"/>
      <w:r w:rsidR="00B65C38" w:rsidRPr="00FA3678">
        <w:rPr>
          <w:rFonts w:eastAsia="Calibri" w:cs="Calibri"/>
          <w:sz w:val="24"/>
          <w:szCs w:val="24"/>
          <w:lang w:eastAsia="ar-SA"/>
        </w:rPr>
        <w:t>Gokulam</w:t>
      </w:r>
      <w:proofErr w:type="spellEnd"/>
      <w:r w:rsidR="00B65C38" w:rsidRPr="00FA3678">
        <w:rPr>
          <w:rFonts w:eastAsia="Calibri" w:cs="Calibri"/>
          <w:sz w:val="24"/>
          <w:szCs w:val="24"/>
          <w:lang w:eastAsia="ar-SA"/>
        </w:rPr>
        <w:t xml:space="preserve"> Blue Metals] engaged in the business of blue metal involving the process of stone crushing and directed the immediate closure of the business. According to the Tribunal the anti-air pollution facilities were either damaged or not installed thus causing excessive air pollution and excessive harm. Measures such as jaw crushers and rotary screens were found</w:t>
      </w:r>
      <w:r w:rsidR="00461465">
        <w:rPr>
          <w:rFonts w:eastAsia="Calibri" w:cs="Calibri"/>
          <w:sz w:val="24"/>
          <w:szCs w:val="24"/>
          <w:lang w:eastAsia="ar-SA"/>
        </w:rPr>
        <w:t xml:space="preserve"> to be</w:t>
      </w:r>
      <w:r w:rsidR="00B65C38" w:rsidRPr="00FA3678">
        <w:rPr>
          <w:rFonts w:eastAsia="Calibri" w:cs="Calibri"/>
          <w:sz w:val="24"/>
          <w:szCs w:val="24"/>
          <w:lang w:eastAsia="ar-SA"/>
        </w:rPr>
        <w:t xml:space="preserve"> in a damaged condition. No water sprinkler was provided to suppress dust emission neither at the jaw crusher nor other vulnerable areas in the premises. The industry was ordered to make the necessary arrangements to install air pollution control measures and on the compliance with the direction, the unit was entitled to run. </w:t>
      </w:r>
    </w:p>
    <w:p w:rsidR="00915807" w:rsidRPr="00FA3678" w:rsidRDefault="00915807" w:rsidP="00FA3678">
      <w:pPr>
        <w:widowControl w:val="0"/>
        <w:tabs>
          <w:tab w:val="left" w:pos="603"/>
        </w:tabs>
        <w:suppressAutoHyphens/>
        <w:spacing w:after="0"/>
        <w:rPr>
          <w:rFonts w:eastAsia="Calibri" w:cs="Calibri"/>
          <w:sz w:val="24"/>
          <w:szCs w:val="24"/>
          <w:lang w:eastAsia="ar-SA"/>
        </w:rPr>
      </w:pPr>
    </w:p>
    <w:p w:rsidR="00B65C38" w:rsidRPr="00FA3678" w:rsidRDefault="00B65C38" w:rsidP="00FA3678">
      <w:pPr>
        <w:widowControl w:val="0"/>
        <w:tabs>
          <w:tab w:val="left" w:pos="603"/>
        </w:tabs>
        <w:suppressAutoHyphens/>
        <w:spacing w:after="0"/>
        <w:rPr>
          <w:rFonts w:eastAsia="Calibri" w:cs="Calibri"/>
          <w:sz w:val="24"/>
          <w:szCs w:val="24"/>
          <w:lang w:eastAsia="ar-SA"/>
        </w:rPr>
      </w:pPr>
      <w:r w:rsidRPr="00FA3678">
        <w:rPr>
          <w:rFonts w:eastAsia="Calibri" w:cs="Calibri"/>
          <w:sz w:val="24"/>
          <w:szCs w:val="24"/>
          <w:lang w:eastAsia="ar-SA"/>
        </w:rPr>
        <w:t xml:space="preserve">In </w:t>
      </w:r>
      <w:r w:rsidRPr="00FA3678">
        <w:rPr>
          <w:rFonts w:eastAsia="Calibri" w:cs="Calibri"/>
          <w:i/>
          <w:sz w:val="24"/>
          <w:szCs w:val="24"/>
          <w:lang w:eastAsia="ar-SA"/>
        </w:rPr>
        <w:t xml:space="preserve">D B </w:t>
      </w:r>
      <w:proofErr w:type="spellStart"/>
      <w:r w:rsidRPr="00FA3678">
        <w:rPr>
          <w:rFonts w:eastAsia="Calibri" w:cs="Calibri"/>
          <w:i/>
          <w:sz w:val="24"/>
          <w:szCs w:val="24"/>
          <w:lang w:eastAsia="ar-SA"/>
        </w:rPr>
        <w:t>Nevatia</w:t>
      </w:r>
      <w:proofErr w:type="spellEnd"/>
      <w:r w:rsidRPr="00FA3678">
        <w:rPr>
          <w:rFonts w:eastAsia="Calibri" w:cs="Calibri"/>
          <w:i/>
          <w:sz w:val="24"/>
          <w:szCs w:val="24"/>
          <w:lang w:eastAsia="ar-SA"/>
        </w:rPr>
        <w:t xml:space="preserve"> v State of Maharashtra</w:t>
      </w:r>
      <w:r w:rsidRPr="00FA3678">
        <w:rPr>
          <w:rStyle w:val="FootnoteReference"/>
          <w:rFonts w:eastAsia="Calibri" w:cs="Calibri"/>
          <w:sz w:val="24"/>
          <w:szCs w:val="24"/>
          <w:lang w:eastAsia="ar-SA"/>
        </w:rPr>
        <w:footnoteReference w:id="62"/>
      </w:r>
      <w:r w:rsidRPr="00FA3678">
        <w:rPr>
          <w:rFonts w:eastAsia="Calibri" w:cs="Calibri"/>
          <w:sz w:val="24"/>
          <w:szCs w:val="24"/>
          <w:lang w:eastAsia="ar-SA"/>
        </w:rPr>
        <w:t xml:space="preserve"> the Tribunal expressed its concern over the vehicular noise caused by the unrestricted use of sirens and multi-tone horns having un-specified standards being fitted in vehicles, including ambulances, government and police vehicles. The noise pollution has an adverse impact on the health and well-being of the public. Noise has both auditory and non-auditory effects depending upon the intensity and the duration of noise level. It affects sleep, hearing, mental and physical health. Accordingly, the Tribunal gave directions to both the federal and state government a</w:t>
      </w:r>
      <w:r w:rsidR="00E26CB1">
        <w:rPr>
          <w:rFonts w:eastAsia="Calibri" w:cs="Calibri"/>
          <w:sz w:val="24"/>
          <w:szCs w:val="24"/>
          <w:lang w:eastAsia="ar-SA"/>
        </w:rPr>
        <w:t xml:space="preserve">uthorities to take </w:t>
      </w:r>
      <w:r w:rsidRPr="00FA3678">
        <w:rPr>
          <w:rFonts w:eastAsia="Calibri" w:cs="Calibri"/>
          <w:sz w:val="24"/>
          <w:szCs w:val="24"/>
          <w:lang w:eastAsia="ar-SA"/>
        </w:rPr>
        <w:t xml:space="preserve">corrective steps. The federal government, namely, the Ministry of Road Transport and Highways, Government of India was directed </w:t>
      </w:r>
      <w:r w:rsidR="00FF0C5B">
        <w:rPr>
          <w:rFonts w:eastAsia="Calibri" w:cs="Calibri"/>
          <w:sz w:val="24"/>
          <w:szCs w:val="24"/>
          <w:lang w:eastAsia="ar-SA"/>
        </w:rPr>
        <w:t>to provide</w:t>
      </w:r>
      <w:r w:rsidRPr="00FA3678">
        <w:rPr>
          <w:rFonts w:eastAsia="Calibri" w:cs="Calibri"/>
          <w:sz w:val="24"/>
          <w:szCs w:val="24"/>
          <w:lang w:eastAsia="ar-SA"/>
        </w:rPr>
        <w:t xml:space="preserve"> source specific standards for sirens </w:t>
      </w:r>
      <w:r w:rsidRPr="00FA3678">
        <w:rPr>
          <w:rFonts w:eastAsia="Calibri" w:cs="Calibri"/>
          <w:sz w:val="24"/>
          <w:szCs w:val="24"/>
          <w:lang w:eastAsia="ar-SA"/>
        </w:rPr>
        <w:lastRenderedPageBreak/>
        <w:t>and multi-tone vehicles within a period of three months from the date of the order for compliance with the ambient air quality standards under the Noise Pollution [Regulation and Control Rules] 2000. The state government authorities, namely, State of Maharashtra’s Transport Department and Pollution Control Board were required to take adequate steps to notify these standards within one month from the date of notification of the Ministry of Road Transport and Highways.</w:t>
      </w:r>
    </w:p>
    <w:p w:rsidR="00915807" w:rsidRPr="00FA3678" w:rsidRDefault="00915807" w:rsidP="00FA3678">
      <w:pPr>
        <w:widowControl w:val="0"/>
        <w:tabs>
          <w:tab w:val="left" w:pos="603"/>
        </w:tabs>
        <w:suppressAutoHyphens/>
        <w:spacing w:after="0"/>
        <w:rPr>
          <w:rFonts w:eastAsia="Calibri" w:cs="Calibri"/>
          <w:sz w:val="24"/>
          <w:szCs w:val="24"/>
          <w:lang w:eastAsia="ar-SA"/>
        </w:rPr>
      </w:pPr>
    </w:p>
    <w:p w:rsidR="00B65C38" w:rsidRPr="00FA3678" w:rsidRDefault="00B65C38" w:rsidP="00FA3678">
      <w:pPr>
        <w:widowControl w:val="0"/>
        <w:tabs>
          <w:tab w:val="left" w:pos="603"/>
        </w:tabs>
        <w:suppressAutoHyphens/>
        <w:spacing w:after="0"/>
        <w:rPr>
          <w:rFonts w:eastAsia="Calibri" w:cs="Calibri"/>
          <w:sz w:val="24"/>
          <w:szCs w:val="24"/>
          <w:lang w:eastAsia="ar-SA"/>
        </w:rPr>
      </w:pPr>
      <w:r w:rsidRPr="00FA3678">
        <w:rPr>
          <w:rFonts w:eastAsia="Calibri" w:cs="Calibri"/>
          <w:sz w:val="24"/>
          <w:szCs w:val="24"/>
          <w:lang w:eastAsia="ar-SA"/>
        </w:rPr>
        <w:t>Administrative delay is one of the biggest challenges for India’s environmental governance causing frustration and</w:t>
      </w:r>
      <w:r w:rsidR="00EA4997">
        <w:rPr>
          <w:rFonts w:eastAsia="Calibri" w:cs="Calibri"/>
          <w:sz w:val="24"/>
          <w:szCs w:val="24"/>
          <w:lang w:eastAsia="ar-SA"/>
        </w:rPr>
        <w:t xml:space="preserve"> inaction</w:t>
      </w:r>
      <w:r w:rsidRPr="00FA3678">
        <w:rPr>
          <w:rFonts w:eastAsia="Calibri" w:cs="Calibri"/>
          <w:sz w:val="24"/>
          <w:szCs w:val="24"/>
          <w:lang w:eastAsia="ar-SA"/>
        </w:rPr>
        <w:t xml:space="preserve"> thereby jeopardizing environmental justice. Ironically, while the NGT wanted the pollution regulators to frame guidelines for sirens and multi-tone horns at the earliest, the pollution regulators failed to respond within the stated timescale. Instead, they delayed their first meeting for a year. It took place on 14</w:t>
      </w:r>
      <w:r w:rsidRPr="00FA3678">
        <w:rPr>
          <w:rFonts w:eastAsia="Calibri" w:cs="Calibri"/>
          <w:sz w:val="24"/>
          <w:szCs w:val="24"/>
          <w:vertAlign w:val="superscript"/>
          <w:lang w:eastAsia="ar-SA"/>
        </w:rPr>
        <w:t>th</w:t>
      </w:r>
      <w:r w:rsidRPr="00FA3678">
        <w:rPr>
          <w:rFonts w:eastAsia="Calibri" w:cs="Calibri"/>
          <w:sz w:val="24"/>
          <w:szCs w:val="24"/>
          <w:lang w:eastAsia="ar-SA"/>
        </w:rPr>
        <w:t xml:space="preserve"> January 2014 and no time scale is currently available for setting and publishing the required source specific standards.</w:t>
      </w:r>
      <w:r w:rsidRPr="00FA3678">
        <w:rPr>
          <w:rStyle w:val="FootnoteReference"/>
          <w:rFonts w:eastAsia="Calibri" w:cs="Calibri"/>
          <w:sz w:val="24"/>
          <w:szCs w:val="24"/>
          <w:lang w:eastAsia="ar-SA"/>
        </w:rPr>
        <w:footnoteReference w:id="63"/>
      </w:r>
    </w:p>
    <w:p w:rsidR="001C4B82" w:rsidRPr="00FA3678" w:rsidRDefault="001C4B82" w:rsidP="00FA3678">
      <w:pPr>
        <w:widowControl w:val="0"/>
        <w:tabs>
          <w:tab w:val="left" w:pos="603"/>
        </w:tabs>
        <w:suppressAutoHyphens/>
        <w:spacing w:after="0"/>
        <w:rPr>
          <w:rFonts w:eastAsia="Calibri" w:cs="Calibri"/>
          <w:sz w:val="24"/>
          <w:szCs w:val="24"/>
          <w:lang w:eastAsia="ar-SA"/>
        </w:rPr>
      </w:pPr>
    </w:p>
    <w:p w:rsidR="00B65C38" w:rsidRPr="00FA3678" w:rsidRDefault="00B65C38" w:rsidP="00FA3678">
      <w:pPr>
        <w:widowControl w:val="0"/>
        <w:tabs>
          <w:tab w:val="left" w:pos="603"/>
        </w:tabs>
        <w:suppressAutoHyphens/>
        <w:spacing w:after="0"/>
        <w:rPr>
          <w:rFonts w:eastAsia="Calibri" w:cs="Calibri"/>
          <w:sz w:val="24"/>
          <w:szCs w:val="24"/>
          <w:lang w:eastAsia="ar-SA"/>
        </w:rPr>
      </w:pPr>
      <w:r w:rsidRPr="00FA3678">
        <w:rPr>
          <w:rFonts w:eastAsia="Calibri" w:cs="Calibri"/>
          <w:sz w:val="24"/>
          <w:szCs w:val="24"/>
          <w:lang w:eastAsia="ar-SA"/>
        </w:rPr>
        <w:t>3.1.2 The Principle of Conservation</w:t>
      </w:r>
    </w:p>
    <w:p w:rsidR="00915807" w:rsidRPr="00FA3678" w:rsidRDefault="00915807" w:rsidP="00FA3678">
      <w:pPr>
        <w:widowControl w:val="0"/>
        <w:tabs>
          <w:tab w:val="left" w:pos="603"/>
        </w:tabs>
        <w:suppressAutoHyphens/>
        <w:spacing w:after="0"/>
        <w:rPr>
          <w:rFonts w:eastAsia="Calibri" w:cs="Calibri"/>
          <w:sz w:val="24"/>
          <w:szCs w:val="24"/>
          <w:lang w:eastAsia="ar-SA"/>
        </w:rPr>
      </w:pPr>
    </w:p>
    <w:p w:rsidR="00B65C38" w:rsidRPr="00FA3678" w:rsidRDefault="00B65C38" w:rsidP="00FA3678">
      <w:pPr>
        <w:widowControl w:val="0"/>
        <w:tabs>
          <w:tab w:val="left" w:pos="603"/>
        </w:tabs>
        <w:suppressAutoHyphens/>
        <w:spacing w:after="0"/>
        <w:rPr>
          <w:rFonts w:eastAsia="Calibri" w:cs="Calibri"/>
          <w:sz w:val="24"/>
          <w:szCs w:val="24"/>
          <w:lang w:eastAsia="ar-SA"/>
        </w:rPr>
      </w:pPr>
      <w:r w:rsidRPr="00FA3678">
        <w:rPr>
          <w:rFonts w:eastAsia="Calibri" w:cs="Calibri"/>
          <w:sz w:val="24"/>
          <w:szCs w:val="24"/>
          <w:lang w:eastAsia="ar-SA"/>
        </w:rPr>
        <w:t>The dictionary meaning of ‘conservation’ and ‘conserve’ is to keep in safety or from harm, decay or loss; to preserve in being.</w:t>
      </w:r>
      <w:r w:rsidRPr="00FA3678">
        <w:rPr>
          <w:rStyle w:val="FootnoteReference"/>
          <w:rFonts w:eastAsia="Calibri" w:cs="Calibri"/>
          <w:sz w:val="24"/>
          <w:szCs w:val="24"/>
          <w:lang w:eastAsia="ar-SA"/>
        </w:rPr>
        <w:footnoteReference w:id="64"/>
      </w:r>
      <w:r w:rsidRPr="00FA3678">
        <w:rPr>
          <w:rFonts w:eastAsia="Calibri" w:cs="Calibri"/>
          <w:sz w:val="24"/>
          <w:szCs w:val="24"/>
          <w:lang w:eastAsia="ar-SA"/>
        </w:rPr>
        <w:t xml:space="preserve"> The IUCN World Conservation Strategy demonstrates the conservation principle in establishing as its objectives: maintaining essential ecological processes and life support systems; preserving genetic diversity; and achieving sustainable utilization of species and ecosystems.</w:t>
      </w:r>
      <w:r w:rsidRPr="00FA3678">
        <w:rPr>
          <w:rStyle w:val="FootnoteReference"/>
          <w:rFonts w:eastAsia="Calibri" w:cs="Calibri"/>
          <w:sz w:val="24"/>
          <w:szCs w:val="24"/>
          <w:lang w:eastAsia="ar-SA"/>
        </w:rPr>
        <w:footnoteReference w:id="65"/>
      </w:r>
      <w:r w:rsidRPr="00FA3678">
        <w:rPr>
          <w:rFonts w:eastAsia="Calibri" w:cs="Calibri"/>
          <w:sz w:val="24"/>
          <w:szCs w:val="24"/>
          <w:lang w:eastAsia="ar-SA"/>
        </w:rPr>
        <w:t xml:space="preserve"> The Legal Expert Group of the World Commission on Environment and Development</w:t>
      </w:r>
      <w:r w:rsidRPr="00FA3678">
        <w:rPr>
          <w:rStyle w:val="FootnoteReference"/>
          <w:rFonts w:eastAsia="Calibri" w:cs="Calibri"/>
          <w:sz w:val="24"/>
          <w:szCs w:val="24"/>
          <w:lang w:eastAsia="ar-SA"/>
        </w:rPr>
        <w:footnoteReference w:id="66"/>
      </w:r>
      <w:r w:rsidRPr="00FA3678">
        <w:rPr>
          <w:rFonts w:eastAsia="Calibri" w:cs="Calibri"/>
          <w:sz w:val="24"/>
          <w:szCs w:val="24"/>
          <w:lang w:eastAsia="ar-SA"/>
        </w:rPr>
        <w:t xml:space="preserve"> defined ‘conservation’ as ‘[the] management of human use of a natural resource or the environment in such a manner that it may yield the greatest sustainable benefit to present generations while maintaining its potential to meet the needs and aspirations of future generations. It embraces preservation, maintenance, sustainable utilisation, restoration and enhancement of a natural resource or the environment.’</w:t>
      </w:r>
    </w:p>
    <w:p w:rsidR="00720058" w:rsidRPr="00FA3678" w:rsidRDefault="00720058" w:rsidP="00FA3678">
      <w:pPr>
        <w:widowControl w:val="0"/>
        <w:tabs>
          <w:tab w:val="left" w:pos="603"/>
        </w:tabs>
        <w:suppressAutoHyphens/>
        <w:spacing w:after="0"/>
        <w:rPr>
          <w:rFonts w:eastAsia="Calibri" w:cs="Calibri"/>
          <w:b/>
          <w:sz w:val="24"/>
          <w:szCs w:val="24"/>
          <w:lang w:eastAsia="ar-SA"/>
        </w:rPr>
      </w:pPr>
    </w:p>
    <w:p w:rsidR="00B65C38" w:rsidRPr="00FA3678" w:rsidRDefault="00B65C38" w:rsidP="00FA3678">
      <w:pPr>
        <w:widowControl w:val="0"/>
        <w:tabs>
          <w:tab w:val="left" w:pos="603"/>
        </w:tabs>
        <w:suppressAutoHyphens/>
        <w:spacing w:after="0"/>
        <w:rPr>
          <w:sz w:val="24"/>
          <w:szCs w:val="24"/>
        </w:rPr>
      </w:pPr>
      <w:r w:rsidRPr="00FA3678">
        <w:rPr>
          <w:rFonts w:eastAsia="Calibri" w:cs="Calibri"/>
          <w:sz w:val="24"/>
          <w:szCs w:val="24"/>
          <w:lang w:eastAsia="ar-SA"/>
        </w:rPr>
        <w:t>The NGT’s approach towards the principle of conservation has been matched by integrating the abo</w:t>
      </w:r>
      <w:r w:rsidR="00720058" w:rsidRPr="00FA3678">
        <w:rPr>
          <w:rFonts w:eastAsia="Calibri" w:cs="Calibri"/>
          <w:sz w:val="24"/>
          <w:szCs w:val="24"/>
          <w:lang w:eastAsia="ar-SA"/>
        </w:rPr>
        <w:t>ve-mentioned definitions as</w:t>
      </w:r>
      <w:r w:rsidRPr="00FA3678">
        <w:rPr>
          <w:rFonts w:eastAsia="Calibri" w:cs="Calibri"/>
          <w:sz w:val="24"/>
          <w:szCs w:val="24"/>
          <w:lang w:eastAsia="ar-SA"/>
        </w:rPr>
        <w:t xml:space="preserve"> </w:t>
      </w:r>
      <w:proofErr w:type="spellStart"/>
      <w:r w:rsidRPr="00FA3678">
        <w:rPr>
          <w:rFonts w:eastAsia="Calibri" w:cs="Calibri"/>
          <w:sz w:val="24"/>
          <w:szCs w:val="24"/>
          <w:lang w:eastAsia="ar-SA"/>
        </w:rPr>
        <w:t>Birnie</w:t>
      </w:r>
      <w:proofErr w:type="spellEnd"/>
      <w:r w:rsidRPr="00FA3678">
        <w:rPr>
          <w:rStyle w:val="FootnoteReference"/>
          <w:rFonts w:eastAsia="Calibri" w:cs="Calibri"/>
          <w:sz w:val="24"/>
          <w:szCs w:val="24"/>
          <w:lang w:eastAsia="ar-SA"/>
        </w:rPr>
        <w:footnoteReference w:id="67"/>
      </w:r>
      <w:r w:rsidR="00720058" w:rsidRPr="00FA3678">
        <w:rPr>
          <w:rFonts w:eastAsia="Calibri" w:cs="Calibri"/>
          <w:sz w:val="24"/>
          <w:szCs w:val="24"/>
          <w:lang w:eastAsia="ar-SA"/>
        </w:rPr>
        <w:t xml:space="preserve"> states </w:t>
      </w:r>
      <w:r w:rsidRPr="00FA3678">
        <w:rPr>
          <w:rFonts w:eastAsia="Calibri" w:cs="Calibri"/>
          <w:sz w:val="24"/>
          <w:szCs w:val="24"/>
          <w:lang w:eastAsia="ar-SA"/>
        </w:rPr>
        <w:t xml:space="preserve"> ‘ the classic elements of protection and preservation, including restoration, and the safeguarding of ecological processes and genetic diversity besides management of natural resources in order to sustain their maintenance by sustainable utilization’. The broadened perception and treatment to conservation has given effect to the doctrine of public trust</w:t>
      </w:r>
      <w:r w:rsidR="00635008" w:rsidRPr="00FA3678">
        <w:rPr>
          <w:rStyle w:val="FootnoteReference"/>
          <w:rFonts w:eastAsia="Calibri" w:cs="Calibri"/>
          <w:sz w:val="24"/>
          <w:szCs w:val="24"/>
          <w:lang w:eastAsia="ar-SA"/>
        </w:rPr>
        <w:footnoteReference w:id="68"/>
      </w:r>
      <w:r w:rsidRPr="00FA3678">
        <w:rPr>
          <w:rFonts w:eastAsia="Calibri" w:cs="Calibri"/>
          <w:sz w:val="24"/>
          <w:szCs w:val="24"/>
          <w:lang w:eastAsia="ar-SA"/>
        </w:rPr>
        <w:t xml:space="preserve"> </w:t>
      </w:r>
      <w:r w:rsidRPr="00FA3678">
        <w:rPr>
          <w:sz w:val="24"/>
          <w:szCs w:val="24"/>
        </w:rPr>
        <w:t xml:space="preserve">as an affirmation of state </w:t>
      </w:r>
      <w:r w:rsidRPr="00FA3678">
        <w:rPr>
          <w:sz w:val="24"/>
          <w:szCs w:val="24"/>
        </w:rPr>
        <w:lastRenderedPageBreak/>
        <w:t>power to conserve the natural resources meant for public use and enjoyment within a rights and justice discourse. The principle of inter-generational equity</w:t>
      </w:r>
      <w:r w:rsidR="00635008" w:rsidRPr="00FA3678">
        <w:rPr>
          <w:rStyle w:val="FootnoteReference"/>
          <w:sz w:val="24"/>
          <w:szCs w:val="24"/>
        </w:rPr>
        <w:footnoteReference w:id="69"/>
      </w:r>
      <w:r w:rsidRPr="00FA3678">
        <w:rPr>
          <w:sz w:val="24"/>
          <w:szCs w:val="24"/>
        </w:rPr>
        <w:t xml:space="preserve"> underpinning international environmental law has also been absorbed into this doctrine. The state’s responsibility to safeguard the natural resources must be for the benefit of the present and future generations through careful planning and management in an objective manner. </w:t>
      </w:r>
    </w:p>
    <w:p w:rsidR="00915807" w:rsidRPr="00FA3678" w:rsidRDefault="00915807" w:rsidP="00FA3678">
      <w:pPr>
        <w:widowControl w:val="0"/>
        <w:tabs>
          <w:tab w:val="left" w:pos="603"/>
        </w:tabs>
        <w:suppressAutoHyphens/>
        <w:spacing w:after="0"/>
        <w:rPr>
          <w:sz w:val="24"/>
          <w:szCs w:val="24"/>
        </w:rPr>
      </w:pPr>
    </w:p>
    <w:p w:rsidR="00B65C38" w:rsidRPr="00FA3678" w:rsidRDefault="00B65C38" w:rsidP="00FA3678">
      <w:pPr>
        <w:widowControl w:val="0"/>
        <w:tabs>
          <w:tab w:val="left" w:pos="603"/>
        </w:tabs>
        <w:suppressAutoHyphens/>
        <w:spacing w:after="0"/>
        <w:rPr>
          <w:rFonts w:eastAsia="Calibri" w:cs="Calibri"/>
          <w:sz w:val="24"/>
          <w:szCs w:val="24"/>
          <w:lang w:eastAsia="ar-SA"/>
        </w:rPr>
      </w:pPr>
      <w:r w:rsidRPr="00FA3678">
        <w:rPr>
          <w:sz w:val="24"/>
          <w:szCs w:val="24"/>
        </w:rPr>
        <w:t xml:space="preserve">The case of </w:t>
      </w:r>
      <w:r w:rsidRPr="00FA3678">
        <w:rPr>
          <w:i/>
          <w:sz w:val="24"/>
          <w:szCs w:val="24"/>
        </w:rPr>
        <w:t>Goa Foundation v Union of India</w:t>
      </w:r>
      <w:r w:rsidRPr="00FA3678">
        <w:rPr>
          <w:rStyle w:val="FootnoteReference"/>
          <w:sz w:val="24"/>
          <w:szCs w:val="24"/>
        </w:rPr>
        <w:footnoteReference w:id="70"/>
      </w:r>
      <w:r w:rsidRPr="00FA3678">
        <w:rPr>
          <w:sz w:val="24"/>
          <w:szCs w:val="24"/>
        </w:rPr>
        <w:t xml:space="preserve"> is illustrative of the principle of conservation. A case was filed by two NGOs, Goa Foundation and Peaceful Society, Goa. They sought directions affecting the state government to take steps for the conservation and protection of the Western Ghats as directed by the high powered panel</w:t>
      </w:r>
      <w:r w:rsidRPr="00FA3678">
        <w:rPr>
          <w:rFonts w:eastAsia="Calibri" w:cs="Calibri"/>
          <w:sz w:val="24"/>
          <w:szCs w:val="24"/>
          <w:lang w:eastAsia="ar-SA"/>
        </w:rPr>
        <w:t xml:space="preserve"> known as the Western Ghats Ecology Expert Panel [WGEEP]. The Western Ghats are a treasure trove of biological diversity in India, recognised as among the several global ‘hotspots of biodiversity.’ The Western Ghats are considered to be a repository of endemic, rare and endangered flora and fauna. The largest global populations of Asian elephants and other mammals such as tigers, dhole and gaur are located in this region. The Ghats also support a number of wild relatives of cultivated plants, including pepper, cardamom, mango, jackfruit and plantain. The Ghats are areas of major plantations including tea, coffee, rubber and various spices. The region encompasses precipitous mountains, d</w:t>
      </w:r>
      <w:r w:rsidR="00C3069D">
        <w:rPr>
          <w:rFonts w:eastAsia="Calibri" w:cs="Calibri"/>
          <w:sz w:val="24"/>
          <w:szCs w:val="24"/>
          <w:lang w:eastAsia="ar-SA"/>
        </w:rPr>
        <w:t>eep valleys and gorges</w:t>
      </w:r>
      <w:r w:rsidRPr="00FA3678">
        <w:rPr>
          <w:rFonts w:eastAsia="Calibri" w:cs="Calibri"/>
          <w:sz w:val="24"/>
          <w:szCs w:val="24"/>
          <w:lang w:eastAsia="ar-SA"/>
        </w:rPr>
        <w:t xml:space="preserve"> covered with thick fo</w:t>
      </w:r>
      <w:r w:rsidR="00AE542D" w:rsidRPr="00FA3678">
        <w:rPr>
          <w:rFonts w:eastAsia="Calibri" w:cs="Calibri"/>
          <w:sz w:val="24"/>
          <w:szCs w:val="24"/>
          <w:lang w:eastAsia="ar-SA"/>
        </w:rPr>
        <w:t>rest. The Union of India</w:t>
      </w:r>
      <w:r w:rsidR="00C3069D">
        <w:rPr>
          <w:rFonts w:eastAsia="Calibri" w:cs="Calibri"/>
          <w:sz w:val="24"/>
          <w:szCs w:val="24"/>
          <w:lang w:eastAsia="ar-SA"/>
        </w:rPr>
        <w:t xml:space="preserve"> maintained that the case could </w:t>
      </w:r>
      <w:r w:rsidRPr="00FA3678">
        <w:rPr>
          <w:rFonts w:eastAsia="Calibri" w:cs="Calibri"/>
          <w:sz w:val="24"/>
          <w:szCs w:val="24"/>
          <w:lang w:eastAsia="ar-SA"/>
        </w:rPr>
        <w:t>not be entertained by the Tribunal. It argued that the NGT lacked jurisdiction to issue directions as the WGEEP Report was pending for consideration before the Ministry of Environment.</w:t>
      </w:r>
    </w:p>
    <w:p w:rsidR="00915807" w:rsidRPr="00FA3678" w:rsidRDefault="00915807" w:rsidP="00FA3678">
      <w:pPr>
        <w:widowControl w:val="0"/>
        <w:tabs>
          <w:tab w:val="left" w:pos="603"/>
        </w:tabs>
        <w:suppressAutoHyphens/>
        <w:spacing w:after="0"/>
        <w:rPr>
          <w:rFonts w:eastAsia="Calibri" w:cs="Calibri"/>
          <w:sz w:val="24"/>
          <w:szCs w:val="24"/>
          <w:lang w:eastAsia="ar-SA"/>
        </w:rPr>
      </w:pPr>
    </w:p>
    <w:p w:rsidR="00B65C38" w:rsidRPr="00FA3678" w:rsidRDefault="00B65C38" w:rsidP="00FA3678">
      <w:pPr>
        <w:widowControl w:val="0"/>
        <w:tabs>
          <w:tab w:val="left" w:pos="603"/>
        </w:tabs>
        <w:suppressAutoHyphens/>
        <w:spacing w:after="0"/>
        <w:rPr>
          <w:rFonts w:eastAsia="Calibri" w:cs="Calibri"/>
          <w:sz w:val="24"/>
          <w:szCs w:val="24"/>
          <w:lang w:eastAsia="ar-SA"/>
        </w:rPr>
      </w:pPr>
      <w:r w:rsidRPr="00FA3678">
        <w:rPr>
          <w:rFonts w:eastAsia="Calibri" w:cs="Calibri"/>
          <w:sz w:val="24"/>
          <w:szCs w:val="24"/>
          <w:lang w:eastAsia="ar-SA"/>
        </w:rPr>
        <w:t xml:space="preserve">The five member bench headed by Justice </w:t>
      </w:r>
      <w:proofErr w:type="spellStart"/>
      <w:r w:rsidRPr="00FA3678">
        <w:rPr>
          <w:rFonts w:eastAsia="Calibri" w:cs="Calibri"/>
          <w:sz w:val="24"/>
          <w:szCs w:val="24"/>
          <w:lang w:eastAsia="ar-SA"/>
        </w:rPr>
        <w:t>Swatanter</w:t>
      </w:r>
      <w:proofErr w:type="spellEnd"/>
      <w:r w:rsidRPr="00FA3678">
        <w:rPr>
          <w:rFonts w:eastAsia="Calibri" w:cs="Calibri"/>
          <w:sz w:val="24"/>
          <w:szCs w:val="24"/>
          <w:lang w:eastAsia="ar-SA"/>
        </w:rPr>
        <w:t xml:space="preserve"> Kumar, the NGT Chairperson, observed </w:t>
      </w:r>
      <w:r w:rsidR="00877FC2" w:rsidRPr="00FA3678">
        <w:rPr>
          <w:rFonts w:eastAsia="Calibri" w:cs="Calibri"/>
          <w:sz w:val="24"/>
          <w:szCs w:val="24"/>
          <w:lang w:eastAsia="ar-SA"/>
        </w:rPr>
        <w:t xml:space="preserve">‘it is indisputable and, in </w:t>
      </w:r>
      <w:r w:rsidRPr="00FA3678">
        <w:rPr>
          <w:rFonts w:eastAsia="Calibri" w:cs="Calibri"/>
          <w:sz w:val="24"/>
          <w:szCs w:val="24"/>
          <w:lang w:eastAsia="ar-SA"/>
        </w:rPr>
        <w:t>fact, an unquestionable fact that the Western Ghats are ecologically sensitive zones.  They are required to be conserved and protected. There is a statutory obligation upon the state to protect the environment and ecology of these Western Ghats and to ensure that they are not degraded. Further, the very preamble of the NGT Act 2010 is a sufficient indicator of the jurisdiction that is vested in the Tribunal. This is the first indicator of the legislative intent which provides that a case could relate to environmental protection, conservation of forests and other natural resources or even enforcement of legal rights relating to environment and other matters mentioned thereto. Environmental protection and conservation is not only the obligation of the state but in fact all concerned.’</w:t>
      </w:r>
      <w:r w:rsidRPr="00FA3678">
        <w:rPr>
          <w:rStyle w:val="FootnoteReference"/>
          <w:rFonts w:eastAsia="Calibri" w:cs="Calibri"/>
          <w:sz w:val="24"/>
          <w:szCs w:val="24"/>
          <w:lang w:eastAsia="ar-SA"/>
        </w:rPr>
        <w:footnoteReference w:id="71"/>
      </w:r>
    </w:p>
    <w:p w:rsidR="00915807" w:rsidRPr="00FA3678" w:rsidRDefault="00915807" w:rsidP="00FA3678">
      <w:pPr>
        <w:widowControl w:val="0"/>
        <w:tabs>
          <w:tab w:val="left" w:pos="603"/>
        </w:tabs>
        <w:suppressAutoHyphens/>
        <w:spacing w:after="0"/>
        <w:rPr>
          <w:rFonts w:eastAsia="Calibri" w:cs="Calibri"/>
          <w:sz w:val="24"/>
          <w:szCs w:val="24"/>
          <w:lang w:eastAsia="ar-SA"/>
        </w:rPr>
      </w:pPr>
    </w:p>
    <w:p w:rsidR="00B65C38" w:rsidRPr="00FA3678" w:rsidRDefault="00B65C38" w:rsidP="00FA3678">
      <w:pPr>
        <w:widowControl w:val="0"/>
        <w:tabs>
          <w:tab w:val="left" w:pos="603"/>
        </w:tabs>
        <w:suppressAutoHyphens/>
        <w:spacing w:after="0"/>
        <w:rPr>
          <w:sz w:val="24"/>
          <w:szCs w:val="24"/>
        </w:rPr>
      </w:pPr>
      <w:r w:rsidRPr="00FA3678">
        <w:rPr>
          <w:rFonts w:eastAsia="Calibri" w:cs="Calibri"/>
          <w:sz w:val="24"/>
          <w:szCs w:val="24"/>
          <w:lang w:eastAsia="ar-SA"/>
        </w:rPr>
        <w:t>Accepting the contention of the NGOs, the Tribunal recognized the public trust doctrine</w:t>
      </w:r>
      <w:r w:rsidR="00F42393" w:rsidRPr="00FA3678">
        <w:rPr>
          <w:rFonts w:eastAsia="Calibri" w:cs="Calibri"/>
          <w:sz w:val="24"/>
          <w:szCs w:val="24"/>
          <w:lang w:eastAsia="ar-SA"/>
        </w:rPr>
        <w:t xml:space="preserve"> </w:t>
      </w:r>
      <w:r w:rsidRPr="00FA3678">
        <w:rPr>
          <w:rFonts w:eastAsia="Calibri" w:cs="Calibri"/>
          <w:sz w:val="24"/>
          <w:szCs w:val="24"/>
          <w:lang w:eastAsia="ar-SA"/>
        </w:rPr>
        <w:t xml:space="preserve">requiring the authorities to maintain and ensure environmental equilibrium. </w:t>
      </w:r>
      <w:r w:rsidR="00E95CB3">
        <w:rPr>
          <w:rFonts w:eastAsia="Calibri" w:cs="Calibri"/>
          <w:sz w:val="24"/>
          <w:szCs w:val="24"/>
          <w:lang w:eastAsia="ar-SA"/>
        </w:rPr>
        <w:t xml:space="preserve">It further recognized </w:t>
      </w:r>
      <w:r w:rsidR="00E95CB3">
        <w:rPr>
          <w:sz w:val="24"/>
          <w:szCs w:val="24"/>
        </w:rPr>
        <w:t>t</w:t>
      </w:r>
      <w:r w:rsidRPr="00FA3678">
        <w:rPr>
          <w:sz w:val="24"/>
          <w:szCs w:val="24"/>
        </w:rPr>
        <w:t xml:space="preserve">he state is the trustee of all natural resources which are by nature meant for </w:t>
      </w:r>
      <w:r w:rsidRPr="00FA3678">
        <w:rPr>
          <w:sz w:val="24"/>
          <w:szCs w:val="24"/>
        </w:rPr>
        <w:lastRenderedPageBreak/>
        <w:t>public use and enjoyment. The public at large is the beneficiary of the sea-shore, running water, air, forests and ecologically fragile lands.</w:t>
      </w:r>
      <w:r w:rsidR="00877FC2" w:rsidRPr="00FA3678">
        <w:rPr>
          <w:sz w:val="24"/>
          <w:szCs w:val="24"/>
        </w:rPr>
        <w:t xml:space="preserve"> The state as a trustee has</w:t>
      </w:r>
      <w:r w:rsidRPr="00FA3678">
        <w:rPr>
          <w:sz w:val="24"/>
          <w:szCs w:val="24"/>
        </w:rPr>
        <w:t xml:space="preserve"> a legal duty to protect the natural resources in a prudent manner. Non-performance of t</w:t>
      </w:r>
      <w:r w:rsidR="00FF0D5A">
        <w:rPr>
          <w:sz w:val="24"/>
          <w:szCs w:val="24"/>
        </w:rPr>
        <w:t>he statutory obligation attracted</w:t>
      </w:r>
      <w:r w:rsidRPr="00FA3678">
        <w:rPr>
          <w:sz w:val="24"/>
          <w:szCs w:val="24"/>
        </w:rPr>
        <w:t xml:space="preserve"> the jurisdiction of the</w:t>
      </w:r>
      <w:r w:rsidR="00915807" w:rsidRPr="00FA3678">
        <w:rPr>
          <w:sz w:val="24"/>
          <w:szCs w:val="24"/>
        </w:rPr>
        <w:t xml:space="preserve"> Tribunal under the NGT Act</w:t>
      </w:r>
      <w:r w:rsidRPr="00FA3678">
        <w:rPr>
          <w:sz w:val="24"/>
          <w:szCs w:val="24"/>
        </w:rPr>
        <w:t>.</w:t>
      </w:r>
    </w:p>
    <w:p w:rsidR="00915807" w:rsidRPr="00FA3678" w:rsidRDefault="00915807" w:rsidP="00FA3678">
      <w:pPr>
        <w:widowControl w:val="0"/>
        <w:tabs>
          <w:tab w:val="left" w:pos="603"/>
        </w:tabs>
        <w:suppressAutoHyphens/>
        <w:spacing w:after="0"/>
        <w:rPr>
          <w:sz w:val="24"/>
          <w:szCs w:val="24"/>
        </w:rPr>
      </w:pPr>
    </w:p>
    <w:p w:rsidR="00EC2191" w:rsidRDefault="00F64C96" w:rsidP="00FA3678">
      <w:pPr>
        <w:widowControl w:val="0"/>
        <w:tabs>
          <w:tab w:val="left" w:pos="603"/>
        </w:tabs>
        <w:suppressAutoHyphens/>
        <w:spacing w:after="0"/>
        <w:rPr>
          <w:sz w:val="24"/>
          <w:szCs w:val="24"/>
        </w:rPr>
      </w:pPr>
      <w:r w:rsidRPr="00FA3678">
        <w:rPr>
          <w:sz w:val="24"/>
          <w:szCs w:val="24"/>
        </w:rPr>
        <w:t>This paper suggests</w:t>
      </w:r>
      <w:r w:rsidRPr="00FA3678">
        <w:rPr>
          <w:sz w:val="24"/>
          <w:szCs w:val="24"/>
          <w:u w:val="single"/>
        </w:rPr>
        <w:t xml:space="preserve"> </w:t>
      </w:r>
      <w:r w:rsidR="00B65C38" w:rsidRPr="00FA3678">
        <w:rPr>
          <w:sz w:val="24"/>
          <w:szCs w:val="24"/>
        </w:rPr>
        <w:t>that the state took a position detrimental to the conservation and protecti</w:t>
      </w:r>
      <w:r w:rsidR="00BD1A49">
        <w:rPr>
          <w:sz w:val="24"/>
          <w:szCs w:val="24"/>
        </w:rPr>
        <w:t>on of the World Heritage</w:t>
      </w:r>
      <w:r w:rsidR="00B65C38" w:rsidRPr="00FA3678">
        <w:rPr>
          <w:sz w:val="24"/>
          <w:szCs w:val="24"/>
        </w:rPr>
        <w:t xml:space="preserve"> Ghats. Instead of opposing the petition on the ground of jurisdictional error, the state should have used it as an opportunity to develop and apply the principle of eco-centrism as opposed to anthropocentrism. Eco-centrism assumes a nature centred approach where humans are part of nature and the non-human has an intrinsic value. Human interests do not take automatic precedence and humans have obligations to non-humans independently of human interest. Eco-centrism, thus, is life-centred, nature centred where nature includes both human and non-human.</w:t>
      </w:r>
      <w:r w:rsidR="00B65C38" w:rsidRPr="00FA3678">
        <w:rPr>
          <w:rStyle w:val="FootnoteReference"/>
          <w:sz w:val="24"/>
          <w:szCs w:val="24"/>
        </w:rPr>
        <w:footnoteReference w:id="72"/>
      </w:r>
      <w:r w:rsidR="00B65C38" w:rsidRPr="00FA3678">
        <w:rPr>
          <w:sz w:val="24"/>
          <w:szCs w:val="24"/>
        </w:rPr>
        <w:t xml:space="preserve"> Thus, the adoption of an eco-centric approach and a related ecological ethic would have prioritised and encouraged the development and enforcement of species protection law in the discourse of environmental justice, or what some philosophers, scholars and green environmentalist term as ‘ecological justice.’</w:t>
      </w:r>
      <w:r w:rsidR="00B65C38" w:rsidRPr="00FA3678">
        <w:rPr>
          <w:rStyle w:val="FootnoteReference"/>
          <w:sz w:val="24"/>
          <w:szCs w:val="24"/>
        </w:rPr>
        <w:footnoteReference w:id="73"/>
      </w:r>
      <w:r w:rsidR="00B65C38" w:rsidRPr="00FA3678">
        <w:rPr>
          <w:sz w:val="24"/>
          <w:szCs w:val="24"/>
        </w:rPr>
        <w:t xml:space="preserve"> </w:t>
      </w:r>
    </w:p>
    <w:p w:rsidR="00EC2191" w:rsidRDefault="00EC2191" w:rsidP="00FA3678">
      <w:pPr>
        <w:widowControl w:val="0"/>
        <w:tabs>
          <w:tab w:val="left" w:pos="603"/>
        </w:tabs>
        <w:suppressAutoHyphens/>
        <w:spacing w:after="0"/>
        <w:rPr>
          <w:sz w:val="24"/>
          <w:szCs w:val="24"/>
        </w:rPr>
      </w:pPr>
    </w:p>
    <w:p w:rsidR="00B65C38" w:rsidRPr="00FA3678" w:rsidRDefault="00B65C38" w:rsidP="00FA3678">
      <w:pPr>
        <w:widowControl w:val="0"/>
        <w:tabs>
          <w:tab w:val="left" w:pos="603"/>
        </w:tabs>
        <w:suppressAutoHyphens/>
        <w:spacing w:after="0"/>
        <w:rPr>
          <w:sz w:val="24"/>
          <w:szCs w:val="24"/>
        </w:rPr>
      </w:pPr>
      <w:r w:rsidRPr="00FA3678">
        <w:rPr>
          <w:sz w:val="24"/>
          <w:szCs w:val="24"/>
        </w:rPr>
        <w:t>It is relevant to mention a</w:t>
      </w:r>
      <w:r w:rsidR="008A72B1">
        <w:rPr>
          <w:sz w:val="24"/>
          <w:szCs w:val="24"/>
        </w:rPr>
        <w:t xml:space="preserve"> more</w:t>
      </w:r>
      <w:r w:rsidRPr="00FA3678">
        <w:rPr>
          <w:sz w:val="24"/>
          <w:szCs w:val="24"/>
        </w:rPr>
        <w:t xml:space="preserve"> recent example where in the Supreme Court of India directed the government to identify all endangered species of flora and fauna, study their needs and survey environs and introduce exclusive parliamentary legislation related to endangered species conservation. In the </w:t>
      </w:r>
      <w:r w:rsidRPr="00FA3678">
        <w:rPr>
          <w:i/>
          <w:sz w:val="24"/>
          <w:szCs w:val="24"/>
        </w:rPr>
        <w:t>Centre for</w:t>
      </w:r>
      <w:r w:rsidRPr="00FA3678">
        <w:rPr>
          <w:sz w:val="24"/>
          <w:szCs w:val="24"/>
        </w:rPr>
        <w:t xml:space="preserve"> </w:t>
      </w:r>
      <w:r w:rsidRPr="00FA3678">
        <w:rPr>
          <w:i/>
          <w:sz w:val="24"/>
          <w:szCs w:val="24"/>
        </w:rPr>
        <w:t>Environmental Law WWF-1 v Union of India</w:t>
      </w:r>
      <w:r w:rsidRPr="00FA3678">
        <w:rPr>
          <w:rStyle w:val="FootnoteReference"/>
          <w:sz w:val="24"/>
          <w:szCs w:val="24"/>
        </w:rPr>
        <w:footnoteReference w:id="74"/>
      </w:r>
      <w:r w:rsidR="00BF71D3" w:rsidRPr="00FA3678">
        <w:rPr>
          <w:sz w:val="24"/>
          <w:szCs w:val="24"/>
        </w:rPr>
        <w:t>, the Supreme C</w:t>
      </w:r>
      <w:r w:rsidRPr="00FA3678">
        <w:rPr>
          <w:sz w:val="24"/>
          <w:szCs w:val="24"/>
        </w:rPr>
        <w:t>ourt acknowledged the ‘intrinsic worth of species’ rooted in eco-centrism which supports conservation of all wildlife form, not just those which are of instrumental value to humans but those which have intrinsic value.</w:t>
      </w:r>
    </w:p>
    <w:p w:rsidR="00915807" w:rsidRPr="00FA3678" w:rsidRDefault="00915807" w:rsidP="00FA3678">
      <w:pPr>
        <w:widowControl w:val="0"/>
        <w:tabs>
          <w:tab w:val="left" w:pos="603"/>
        </w:tabs>
        <w:suppressAutoHyphens/>
        <w:spacing w:after="0"/>
        <w:rPr>
          <w:sz w:val="24"/>
          <w:szCs w:val="24"/>
        </w:rPr>
      </w:pPr>
    </w:p>
    <w:p w:rsidR="00B65C38" w:rsidRPr="00FA3678" w:rsidRDefault="00B65C38" w:rsidP="00FA3678">
      <w:pPr>
        <w:widowControl w:val="0"/>
        <w:tabs>
          <w:tab w:val="left" w:pos="603"/>
        </w:tabs>
        <w:suppressAutoHyphens/>
        <w:spacing w:after="0"/>
        <w:rPr>
          <w:sz w:val="24"/>
          <w:szCs w:val="24"/>
        </w:rPr>
      </w:pPr>
      <w:r w:rsidRPr="00FA3678">
        <w:rPr>
          <w:sz w:val="24"/>
          <w:szCs w:val="24"/>
        </w:rPr>
        <w:t xml:space="preserve">The </w:t>
      </w:r>
      <w:proofErr w:type="spellStart"/>
      <w:r w:rsidRPr="00FA3678">
        <w:rPr>
          <w:sz w:val="24"/>
          <w:szCs w:val="24"/>
        </w:rPr>
        <w:t>Kaziranga</w:t>
      </w:r>
      <w:proofErr w:type="spellEnd"/>
      <w:r w:rsidRPr="00FA3678">
        <w:rPr>
          <w:sz w:val="24"/>
          <w:szCs w:val="24"/>
        </w:rPr>
        <w:t xml:space="preserve"> National Park case is another illustration of the Tribunal’s approach towards the protection of the environment, ecology, biodiversity and adverse impacts on flora and fauna vis-à-vis conservation of forests and other natural resources. In </w:t>
      </w:r>
      <w:proofErr w:type="spellStart"/>
      <w:r w:rsidRPr="00FA3678">
        <w:rPr>
          <w:i/>
          <w:sz w:val="24"/>
          <w:szCs w:val="24"/>
        </w:rPr>
        <w:t>Rohit</w:t>
      </w:r>
      <w:proofErr w:type="spellEnd"/>
      <w:r w:rsidRPr="00FA3678">
        <w:rPr>
          <w:i/>
          <w:sz w:val="24"/>
          <w:szCs w:val="24"/>
        </w:rPr>
        <w:t xml:space="preserve"> </w:t>
      </w:r>
      <w:proofErr w:type="spellStart"/>
      <w:r w:rsidRPr="00FA3678">
        <w:rPr>
          <w:i/>
          <w:sz w:val="24"/>
          <w:szCs w:val="24"/>
        </w:rPr>
        <w:t>Choudhary</w:t>
      </w:r>
      <w:proofErr w:type="spellEnd"/>
      <w:r w:rsidRPr="00FA3678">
        <w:rPr>
          <w:i/>
          <w:sz w:val="24"/>
          <w:szCs w:val="24"/>
        </w:rPr>
        <w:t xml:space="preserve"> v</w:t>
      </w:r>
      <w:r w:rsidRPr="00FA3678">
        <w:rPr>
          <w:sz w:val="24"/>
          <w:szCs w:val="24"/>
        </w:rPr>
        <w:t xml:space="preserve"> </w:t>
      </w:r>
      <w:r w:rsidRPr="00FA3678">
        <w:rPr>
          <w:i/>
          <w:sz w:val="24"/>
          <w:szCs w:val="24"/>
        </w:rPr>
        <w:t>Union of India</w:t>
      </w:r>
      <w:r w:rsidRPr="00FA3678">
        <w:rPr>
          <w:rStyle w:val="FootnoteReference"/>
          <w:sz w:val="24"/>
          <w:szCs w:val="24"/>
        </w:rPr>
        <w:footnoteReference w:id="75"/>
      </w:r>
      <w:r w:rsidRPr="00FA3678">
        <w:rPr>
          <w:sz w:val="24"/>
          <w:szCs w:val="24"/>
        </w:rPr>
        <w:t>, the Tribunal ordered the closure of unregulated and mining activities permitted in and aroun</w:t>
      </w:r>
      <w:r w:rsidR="00EE0907">
        <w:rPr>
          <w:sz w:val="24"/>
          <w:szCs w:val="24"/>
        </w:rPr>
        <w:t xml:space="preserve">d </w:t>
      </w:r>
      <w:proofErr w:type="spellStart"/>
      <w:r w:rsidR="00EE0907">
        <w:rPr>
          <w:sz w:val="24"/>
          <w:szCs w:val="24"/>
        </w:rPr>
        <w:t>Kaziranga</w:t>
      </w:r>
      <w:proofErr w:type="spellEnd"/>
      <w:r w:rsidR="00EE0907">
        <w:rPr>
          <w:sz w:val="24"/>
          <w:szCs w:val="24"/>
        </w:rPr>
        <w:t xml:space="preserve"> National Park, as they</w:t>
      </w:r>
      <w:r w:rsidRPr="00FA3678">
        <w:rPr>
          <w:sz w:val="24"/>
          <w:szCs w:val="24"/>
        </w:rPr>
        <w:t xml:space="preserve"> not only threatened the eco-sensitive zone, but also the survival and existence of rhinos, elephants and other wildlife species, the gene pool reserves and </w:t>
      </w:r>
      <w:r w:rsidR="00805737" w:rsidRPr="00FA3678">
        <w:rPr>
          <w:sz w:val="24"/>
          <w:szCs w:val="24"/>
        </w:rPr>
        <w:t>vegetation. The National Park has</w:t>
      </w:r>
      <w:r w:rsidRPr="00FA3678">
        <w:rPr>
          <w:sz w:val="24"/>
          <w:szCs w:val="24"/>
        </w:rPr>
        <w:t xml:space="preserve"> declared a World Heritage sit</w:t>
      </w:r>
      <w:r w:rsidR="00805737" w:rsidRPr="00FA3678">
        <w:rPr>
          <w:sz w:val="24"/>
          <w:szCs w:val="24"/>
        </w:rPr>
        <w:t>e by UNESCO</w:t>
      </w:r>
      <w:r w:rsidRPr="00FA3678">
        <w:rPr>
          <w:sz w:val="24"/>
          <w:szCs w:val="24"/>
        </w:rPr>
        <w:t xml:space="preserve">. The author argues that judgments such as </w:t>
      </w:r>
      <w:r w:rsidR="006E0804" w:rsidRPr="00FA3678">
        <w:rPr>
          <w:sz w:val="24"/>
          <w:szCs w:val="24"/>
        </w:rPr>
        <w:t xml:space="preserve">the </w:t>
      </w:r>
      <w:proofErr w:type="spellStart"/>
      <w:r w:rsidRPr="00FA3678">
        <w:rPr>
          <w:sz w:val="24"/>
          <w:szCs w:val="24"/>
        </w:rPr>
        <w:t>Kaziranga</w:t>
      </w:r>
      <w:proofErr w:type="spellEnd"/>
      <w:r w:rsidRPr="00FA3678">
        <w:rPr>
          <w:sz w:val="24"/>
          <w:szCs w:val="24"/>
        </w:rPr>
        <w:t xml:space="preserve"> National Park </w:t>
      </w:r>
      <w:r w:rsidR="006E0804" w:rsidRPr="00FA3678">
        <w:rPr>
          <w:sz w:val="24"/>
          <w:szCs w:val="24"/>
        </w:rPr>
        <w:t xml:space="preserve">case </w:t>
      </w:r>
      <w:r w:rsidRPr="00FA3678">
        <w:rPr>
          <w:sz w:val="24"/>
          <w:szCs w:val="24"/>
        </w:rPr>
        <w:t xml:space="preserve">reflect a move towards a new understanding of environmental justice. It emphasises species existence and conservation, whether humans deem them worthy or not. </w:t>
      </w:r>
      <w:r w:rsidR="00FE7F6C">
        <w:rPr>
          <w:sz w:val="24"/>
          <w:szCs w:val="24"/>
        </w:rPr>
        <w:t>It is especially important for countries</w:t>
      </w:r>
      <w:r w:rsidR="00F36275">
        <w:rPr>
          <w:sz w:val="24"/>
          <w:szCs w:val="24"/>
        </w:rPr>
        <w:t xml:space="preserve"> such as India where</w:t>
      </w:r>
      <w:r w:rsidRPr="00FA3678">
        <w:rPr>
          <w:sz w:val="24"/>
          <w:szCs w:val="24"/>
        </w:rPr>
        <w:t xml:space="preserve"> eco-cen</w:t>
      </w:r>
      <w:r w:rsidR="00CF41D5" w:rsidRPr="00FA3678">
        <w:rPr>
          <w:sz w:val="24"/>
          <w:szCs w:val="24"/>
        </w:rPr>
        <w:t xml:space="preserve">tric morality has </w:t>
      </w:r>
      <w:r w:rsidR="00CF41D5" w:rsidRPr="00FA3678">
        <w:rPr>
          <w:sz w:val="24"/>
          <w:szCs w:val="24"/>
        </w:rPr>
        <w:lastRenderedPageBreak/>
        <w:t>been</w:t>
      </w:r>
      <w:r w:rsidRPr="00FA3678">
        <w:rPr>
          <w:sz w:val="24"/>
          <w:szCs w:val="24"/>
        </w:rPr>
        <w:t xml:space="preserve"> eroded in the quest for economic prosperity, apart from having serious implications for distributive justice.</w:t>
      </w:r>
    </w:p>
    <w:p w:rsidR="006B3142" w:rsidRPr="00FA3678" w:rsidRDefault="006B3142" w:rsidP="00FA3678">
      <w:pPr>
        <w:widowControl w:val="0"/>
        <w:tabs>
          <w:tab w:val="left" w:pos="603"/>
        </w:tabs>
        <w:suppressAutoHyphens/>
        <w:spacing w:after="0"/>
        <w:rPr>
          <w:rFonts w:eastAsia="DejaVu LGC Sans" w:cs="Times New Roman"/>
          <w:b/>
          <w:color w:val="000000"/>
          <w:kern w:val="1"/>
          <w:sz w:val="24"/>
          <w:szCs w:val="24"/>
          <w:lang w:val="en-US"/>
        </w:rPr>
      </w:pPr>
    </w:p>
    <w:p w:rsidR="00F9140D" w:rsidRPr="00FA3678" w:rsidRDefault="00B65C38" w:rsidP="00FA3678">
      <w:pPr>
        <w:widowControl w:val="0"/>
        <w:tabs>
          <w:tab w:val="left" w:pos="603"/>
        </w:tabs>
        <w:suppressAutoHyphens/>
        <w:spacing w:after="0"/>
        <w:rPr>
          <w:rFonts w:eastAsia="DejaVu LGC Sans" w:cs="Times New Roman"/>
          <w:b/>
          <w:color w:val="000000"/>
          <w:kern w:val="1"/>
          <w:sz w:val="24"/>
          <w:szCs w:val="24"/>
          <w:lang w:val="en-US"/>
        </w:rPr>
      </w:pPr>
      <w:r w:rsidRPr="00FA3678">
        <w:rPr>
          <w:rFonts w:eastAsia="DejaVu LGC Sans" w:cs="Times New Roman"/>
          <w:b/>
          <w:color w:val="000000"/>
          <w:kern w:val="1"/>
          <w:sz w:val="24"/>
          <w:szCs w:val="24"/>
          <w:lang w:val="en-US"/>
        </w:rPr>
        <w:t xml:space="preserve">3.2 </w:t>
      </w:r>
      <w:r w:rsidR="009D4A86" w:rsidRPr="00FA3678">
        <w:rPr>
          <w:rFonts w:eastAsia="DejaVu LGC Sans" w:cs="Times New Roman"/>
          <w:b/>
          <w:color w:val="000000"/>
          <w:kern w:val="1"/>
          <w:sz w:val="24"/>
          <w:szCs w:val="24"/>
          <w:lang w:val="en-US"/>
        </w:rPr>
        <w:t xml:space="preserve">The Right to an </w:t>
      </w:r>
      <w:r w:rsidR="00F9140D" w:rsidRPr="00FA3678">
        <w:rPr>
          <w:rFonts w:eastAsia="DejaVu LGC Sans" w:cs="Times New Roman"/>
          <w:b/>
          <w:color w:val="000000"/>
          <w:kern w:val="1"/>
          <w:sz w:val="24"/>
          <w:szCs w:val="24"/>
          <w:lang w:val="en-US"/>
        </w:rPr>
        <w:t>Environment</w:t>
      </w:r>
    </w:p>
    <w:p w:rsidR="00915807" w:rsidRPr="00FA3678" w:rsidRDefault="00915807" w:rsidP="00FA3678">
      <w:pPr>
        <w:widowControl w:val="0"/>
        <w:tabs>
          <w:tab w:val="left" w:pos="603"/>
        </w:tabs>
        <w:suppressAutoHyphens/>
        <w:spacing w:after="0"/>
        <w:rPr>
          <w:rFonts w:eastAsia="DejaVu LGC Sans" w:cs="Times New Roman"/>
          <w:b/>
          <w:color w:val="000000"/>
          <w:kern w:val="1"/>
          <w:sz w:val="24"/>
          <w:szCs w:val="24"/>
          <w:lang w:val="en-US"/>
        </w:rPr>
      </w:pPr>
    </w:p>
    <w:p w:rsidR="00593B52" w:rsidRPr="00FA3678" w:rsidRDefault="00F9140D" w:rsidP="00FA3678">
      <w:pPr>
        <w:widowControl w:val="0"/>
        <w:tabs>
          <w:tab w:val="left" w:pos="603"/>
        </w:tabs>
        <w:suppressAutoHyphens/>
        <w:spacing w:after="0"/>
        <w:rPr>
          <w:rFonts w:eastAsia="Calibri" w:cs="Calibri"/>
          <w:sz w:val="24"/>
          <w:szCs w:val="24"/>
          <w:lang w:eastAsia="ar-SA"/>
        </w:rPr>
      </w:pPr>
      <w:r w:rsidRPr="00FA3678">
        <w:rPr>
          <w:rFonts w:eastAsia="Calibri" w:cs="Calibri"/>
          <w:sz w:val="24"/>
          <w:szCs w:val="24"/>
          <w:lang w:eastAsia="ar-SA"/>
        </w:rPr>
        <w:t>Recog</w:t>
      </w:r>
      <w:r w:rsidR="009D4A86" w:rsidRPr="00FA3678">
        <w:rPr>
          <w:rFonts w:eastAsia="Calibri" w:cs="Calibri"/>
          <w:sz w:val="24"/>
          <w:szCs w:val="24"/>
          <w:lang w:eastAsia="ar-SA"/>
        </w:rPr>
        <w:t>nition of the right to an</w:t>
      </w:r>
      <w:r w:rsidRPr="00FA3678">
        <w:rPr>
          <w:rFonts w:eastAsia="Calibri" w:cs="Calibri"/>
          <w:sz w:val="24"/>
          <w:szCs w:val="24"/>
          <w:lang w:eastAsia="ar-SA"/>
        </w:rPr>
        <w:t xml:space="preserve"> environment, an emotive entitlement, has influenced the development of law within nations,</w:t>
      </w:r>
      <w:r w:rsidR="000D7137" w:rsidRPr="00FA3678">
        <w:rPr>
          <w:rFonts w:eastAsia="Calibri" w:cs="Calibri"/>
          <w:sz w:val="24"/>
          <w:szCs w:val="24"/>
          <w:lang w:eastAsia="ar-SA"/>
        </w:rPr>
        <w:t xml:space="preserve"> thereby</w:t>
      </w:r>
      <w:r w:rsidRPr="00FA3678">
        <w:rPr>
          <w:rFonts w:eastAsia="Calibri" w:cs="Calibri"/>
          <w:sz w:val="24"/>
          <w:szCs w:val="24"/>
          <w:lang w:eastAsia="ar-SA"/>
        </w:rPr>
        <w:t xml:space="preserve"> affecting constitutions, legislation and jurisprudence. </w:t>
      </w:r>
      <w:r w:rsidR="00416625" w:rsidRPr="00FA3678">
        <w:rPr>
          <w:rFonts w:eastAsia="Calibri" w:cs="Calibri"/>
          <w:sz w:val="24"/>
          <w:szCs w:val="24"/>
          <w:lang w:eastAsia="ar-SA"/>
        </w:rPr>
        <w:t xml:space="preserve">Principle 1 of the Stockholm Declaration 1972 recognizes the right of individuals </w:t>
      </w:r>
      <w:r w:rsidR="001A544A" w:rsidRPr="00FA3678">
        <w:rPr>
          <w:rFonts w:eastAsia="Calibri" w:cs="Calibri"/>
          <w:sz w:val="24"/>
          <w:szCs w:val="24"/>
          <w:lang w:eastAsia="ar-SA"/>
        </w:rPr>
        <w:t>to an adequate environment but stops short of proclaiming</w:t>
      </w:r>
      <w:r w:rsidR="000D7137" w:rsidRPr="00FA3678">
        <w:rPr>
          <w:rFonts w:eastAsia="Calibri" w:cs="Calibri"/>
          <w:sz w:val="24"/>
          <w:szCs w:val="24"/>
          <w:lang w:eastAsia="ar-SA"/>
        </w:rPr>
        <w:t xml:space="preserve"> the</w:t>
      </w:r>
      <w:r w:rsidR="001A544A" w:rsidRPr="00FA3678">
        <w:rPr>
          <w:rFonts w:eastAsia="Calibri" w:cs="Calibri"/>
          <w:sz w:val="24"/>
          <w:szCs w:val="24"/>
          <w:lang w:eastAsia="ar-SA"/>
        </w:rPr>
        <w:t xml:space="preserve"> right to an environment. </w:t>
      </w:r>
      <w:r w:rsidR="00864E96" w:rsidRPr="00FA3678">
        <w:rPr>
          <w:rFonts w:eastAsia="Calibri" w:cs="Calibri"/>
          <w:sz w:val="24"/>
          <w:szCs w:val="24"/>
          <w:lang w:eastAsia="ar-SA"/>
        </w:rPr>
        <w:t>On the other hand the righ</w:t>
      </w:r>
      <w:r w:rsidR="009D4A86" w:rsidRPr="00FA3678">
        <w:rPr>
          <w:rFonts w:eastAsia="Calibri" w:cs="Calibri"/>
          <w:sz w:val="24"/>
          <w:szCs w:val="24"/>
          <w:lang w:eastAsia="ar-SA"/>
        </w:rPr>
        <w:t>t to an</w:t>
      </w:r>
      <w:r w:rsidR="00172DFE" w:rsidRPr="00FA3678">
        <w:rPr>
          <w:rFonts w:eastAsia="Calibri" w:cs="Calibri"/>
          <w:sz w:val="24"/>
          <w:szCs w:val="24"/>
          <w:lang w:eastAsia="ar-SA"/>
        </w:rPr>
        <w:t xml:space="preserve"> environment was neither </w:t>
      </w:r>
      <w:r w:rsidR="00864E96" w:rsidRPr="00FA3678">
        <w:rPr>
          <w:rFonts w:eastAsia="Calibri" w:cs="Calibri"/>
          <w:sz w:val="24"/>
          <w:szCs w:val="24"/>
          <w:lang w:eastAsia="ar-SA"/>
        </w:rPr>
        <w:t xml:space="preserve">explicitly included nor endorsed in the Rio Declaration 1992 and 2002 World Summit on Sustainable Development, </w:t>
      </w:r>
      <w:r w:rsidR="00716508" w:rsidRPr="00FA3678">
        <w:rPr>
          <w:rFonts w:eastAsia="Calibri" w:cs="Calibri"/>
          <w:sz w:val="24"/>
          <w:szCs w:val="24"/>
          <w:lang w:eastAsia="ar-SA"/>
        </w:rPr>
        <w:t>thereby, indicating</w:t>
      </w:r>
      <w:r w:rsidR="00864E96" w:rsidRPr="00FA3678">
        <w:rPr>
          <w:rFonts w:eastAsia="Calibri" w:cs="Calibri"/>
          <w:sz w:val="24"/>
          <w:szCs w:val="24"/>
          <w:lang w:eastAsia="ar-SA"/>
        </w:rPr>
        <w:t xml:space="preserve"> uncertainty and debate.</w:t>
      </w:r>
      <w:r w:rsidR="00C03393" w:rsidRPr="00FA3678">
        <w:rPr>
          <w:rStyle w:val="FootnoteReference"/>
          <w:rFonts w:eastAsia="Calibri" w:cs="Calibri"/>
          <w:sz w:val="24"/>
          <w:szCs w:val="24"/>
          <w:lang w:eastAsia="ar-SA"/>
        </w:rPr>
        <w:footnoteReference w:id="76"/>
      </w:r>
    </w:p>
    <w:p w:rsidR="00915807" w:rsidRPr="00FA3678" w:rsidRDefault="00915807" w:rsidP="00FA3678">
      <w:pPr>
        <w:widowControl w:val="0"/>
        <w:tabs>
          <w:tab w:val="left" w:pos="603"/>
        </w:tabs>
        <w:suppressAutoHyphens/>
        <w:spacing w:after="0"/>
        <w:rPr>
          <w:rFonts w:eastAsia="Calibri" w:cs="Calibri"/>
          <w:sz w:val="24"/>
          <w:szCs w:val="24"/>
          <w:lang w:eastAsia="ar-SA"/>
        </w:rPr>
      </w:pPr>
    </w:p>
    <w:p w:rsidR="00053044" w:rsidRDefault="009D4A86" w:rsidP="00FA3678">
      <w:pPr>
        <w:widowControl w:val="0"/>
        <w:tabs>
          <w:tab w:val="left" w:pos="603"/>
        </w:tabs>
        <w:suppressAutoHyphens/>
        <w:spacing w:after="0"/>
        <w:rPr>
          <w:rFonts w:eastAsia="Calibri" w:cs="Calibri"/>
          <w:sz w:val="24"/>
          <w:szCs w:val="24"/>
          <w:lang w:eastAsia="ar-SA"/>
        </w:rPr>
      </w:pPr>
      <w:r w:rsidRPr="00FA3678">
        <w:rPr>
          <w:rFonts w:eastAsia="Calibri" w:cs="Calibri"/>
          <w:sz w:val="24"/>
          <w:szCs w:val="24"/>
          <w:lang w:eastAsia="ar-SA"/>
        </w:rPr>
        <w:t xml:space="preserve">The right to </w:t>
      </w:r>
      <w:r w:rsidR="00C20510" w:rsidRPr="00FA3678">
        <w:rPr>
          <w:rFonts w:eastAsia="Calibri" w:cs="Calibri"/>
          <w:sz w:val="24"/>
          <w:szCs w:val="24"/>
          <w:lang w:eastAsia="ar-SA"/>
        </w:rPr>
        <w:t>an environment is deeply problematic given that it is characterized by ‘an undefined content, variable and constant changing technical requirements, complicated temporal and geographical elements, vast territorial scope and objectivity claims.’</w:t>
      </w:r>
      <w:r w:rsidR="00F12521" w:rsidRPr="00FA3678">
        <w:rPr>
          <w:rStyle w:val="FootnoteReference"/>
          <w:rFonts w:eastAsia="Calibri" w:cs="Calibri"/>
          <w:sz w:val="24"/>
          <w:szCs w:val="24"/>
          <w:lang w:eastAsia="ar-SA"/>
        </w:rPr>
        <w:footnoteReference w:id="77"/>
      </w:r>
      <w:r w:rsidR="000A3B5B" w:rsidRPr="00FA3678">
        <w:rPr>
          <w:rFonts w:eastAsia="Calibri" w:cs="Calibri"/>
          <w:sz w:val="24"/>
          <w:szCs w:val="24"/>
          <w:lang w:eastAsia="ar-SA"/>
        </w:rPr>
        <w:t xml:space="preserve"> Despite the variability of implementation demands, the right to an environment has been hegemonic </w:t>
      </w:r>
      <w:r w:rsidR="00A466B1" w:rsidRPr="00FA3678">
        <w:rPr>
          <w:rFonts w:eastAsia="Calibri" w:cs="Calibri"/>
          <w:sz w:val="24"/>
          <w:szCs w:val="24"/>
          <w:lang w:eastAsia="ar-SA"/>
        </w:rPr>
        <w:t>in terms of its inclusion in more than</w:t>
      </w:r>
      <w:r w:rsidR="00053044">
        <w:rPr>
          <w:rFonts w:eastAsia="Calibri" w:cs="Calibri"/>
          <w:sz w:val="24"/>
          <w:szCs w:val="24"/>
          <w:lang w:eastAsia="ar-SA"/>
        </w:rPr>
        <w:t xml:space="preserve"> one</w:t>
      </w:r>
      <w:r w:rsidR="00A466B1" w:rsidRPr="00FA3678">
        <w:rPr>
          <w:rFonts w:eastAsia="Calibri" w:cs="Calibri"/>
          <w:sz w:val="24"/>
          <w:szCs w:val="24"/>
          <w:lang w:eastAsia="ar-SA"/>
        </w:rPr>
        <w:t xml:space="preserve"> hundr</w:t>
      </w:r>
      <w:r w:rsidR="009129B2" w:rsidRPr="00FA3678">
        <w:rPr>
          <w:rFonts w:eastAsia="Calibri" w:cs="Calibri"/>
          <w:sz w:val="24"/>
          <w:szCs w:val="24"/>
          <w:lang w:eastAsia="ar-SA"/>
        </w:rPr>
        <w:t>ed national constitutions</w:t>
      </w:r>
      <w:r w:rsidR="00A466B1" w:rsidRPr="00FA3678">
        <w:rPr>
          <w:rFonts w:eastAsia="Calibri" w:cs="Calibri"/>
          <w:sz w:val="24"/>
          <w:szCs w:val="24"/>
          <w:lang w:eastAsia="ar-SA"/>
        </w:rPr>
        <w:t xml:space="preserve"> and </w:t>
      </w:r>
      <w:r w:rsidR="000D7137" w:rsidRPr="00FA3678">
        <w:rPr>
          <w:rFonts w:eastAsia="Calibri" w:cs="Calibri"/>
          <w:sz w:val="24"/>
          <w:szCs w:val="24"/>
          <w:lang w:eastAsia="ar-SA"/>
        </w:rPr>
        <w:t xml:space="preserve">has been </w:t>
      </w:r>
      <w:r w:rsidR="00A466B1" w:rsidRPr="00FA3678">
        <w:rPr>
          <w:rFonts w:eastAsia="Calibri" w:cs="Calibri"/>
          <w:sz w:val="24"/>
          <w:szCs w:val="24"/>
          <w:lang w:eastAsia="ar-SA"/>
        </w:rPr>
        <w:t xml:space="preserve">increasingly </w:t>
      </w:r>
      <w:r w:rsidR="000D7137" w:rsidRPr="00FA3678">
        <w:rPr>
          <w:rFonts w:eastAsia="Calibri" w:cs="Calibri"/>
          <w:sz w:val="24"/>
          <w:szCs w:val="24"/>
          <w:lang w:eastAsia="ar-SA"/>
        </w:rPr>
        <w:t>applied</w:t>
      </w:r>
      <w:r w:rsidR="00A466B1" w:rsidRPr="00FA3678">
        <w:rPr>
          <w:rFonts w:eastAsia="Calibri" w:cs="Calibri"/>
          <w:sz w:val="24"/>
          <w:szCs w:val="24"/>
          <w:lang w:eastAsia="ar-SA"/>
        </w:rPr>
        <w:t xml:space="preserve"> in national court systems.</w:t>
      </w:r>
      <w:r w:rsidR="007E69D9" w:rsidRPr="00FA3678">
        <w:rPr>
          <w:rStyle w:val="FootnoteReference"/>
          <w:rFonts w:eastAsia="Calibri" w:cs="Calibri"/>
          <w:sz w:val="24"/>
          <w:szCs w:val="24"/>
          <w:lang w:eastAsia="ar-SA"/>
        </w:rPr>
        <w:footnoteReference w:id="78"/>
      </w:r>
      <w:r w:rsidR="00A466B1" w:rsidRPr="00FA3678">
        <w:rPr>
          <w:rFonts w:eastAsia="Calibri" w:cs="Calibri"/>
          <w:sz w:val="24"/>
          <w:szCs w:val="24"/>
          <w:lang w:eastAsia="ar-SA"/>
        </w:rPr>
        <w:t xml:space="preserve"> </w:t>
      </w:r>
    </w:p>
    <w:p w:rsidR="00053044" w:rsidRDefault="00053044" w:rsidP="00FA3678">
      <w:pPr>
        <w:widowControl w:val="0"/>
        <w:tabs>
          <w:tab w:val="left" w:pos="603"/>
        </w:tabs>
        <w:suppressAutoHyphens/>
        <w:spacing w:after="0"/>
        <w:rPr>
          <w:rFonts w:eastAsia="Calibri" w:cs="Calibri"/>
          <w:sz w:val="24"/>
          <w:szCs w:val="24"/>
          <w:lang w:eastAsia="ar-SA"/>
        </w:rPr>
      </w:pPr>
    </w:p>
    <w:p w:rsidR="009D4A86" w:rsidRPr="00FA3678" w:rsidRDefault="008D1822" w:rsidP="00FA3678">
      <w:pPr>
        <w:widowControl w:val="0"/>
        <w:tabs>
          <w:tab w:val="left" w:pos="603"/>
        </w:tabs>
        <w:suppressAutoHyphens/>
        <w:spacing w:after="0"/>
        <w:rPr>
          <w:rFonts w:eastAsia="Calibri" w:cs="Calibri"/>
          <w:sz w:val="24"/>
          <w:szCs w:val="24"/>
          <w:lang w:eastAsia="ar-SA"/>
        </w:rPr>
      </w:pPr>
      <w:r w:rsidRPr="00FA3678">
        <w:rPr>
          <w:rFonts w:eastAsia="Calibri" w:cs="Calibri"/>
          <w:sz w:val="24"/>
          <w:szCs w:val="24"/>
          <w:lang w:eastAsia="ar-SA"/>
        </w:rPr>
        <w:t>The Supreme Court of India has articulated the right to an environment by providing an expansive interpretation of the term ‘life’ to include not only simple physical existence but also qua</w:t>
      </w:r>
      <w:r w:rsidR="006D0B9E" w:rsidRPr="00FA3678">
        <w:rPr>
          <w:rFonts w:eastAsia="Calibri" w:cs="Calibri"/>
          <w:sz w:val="24"/>
          <w:szCs w:val="24"/>
          <w:lang w:eastAsia="ar-SA"/>
        </w:rPr>
        <w:t>lity of life. For the court, ‘’e</w:t>
      </w:r>
      <w:r w:rsidRPr="00FA3678">
        <w:rPr>
          <w:rFonts w:eastAsia="Calibri" w:cs="Calibri"/>
          <w:sz w:val="24"/>
          <w:szCs w:val="24"/>
          <w:lang w:eastAsia="ar-SA"/>
        </w:rPr>
        <w:t>njoyment of life including the right to live with dignity encompasses within its ambit, the protection and preservation of environment, ecological balance free from pollution of air and water, sanitation, without whi</w:t>
      </w:r>
      <w:r w:rsidR="006D0B9E" w:rsidRPr="00FA3678">
        <w:rPr>
          <w:rFonts w:eastAsia="Calibri" w:cs="Calibri"/>
          <w:sz w:val="24"/>
          <w:szCs w:val="24"/>
          <w:lang w:eastAsia="ar-SA"/>
        </w:rPr>
        <w:t>ch the life cannot be enjoyed.’’</w:t>
      </w:r>
      <w:r w:rsidR="00A95179" w:rsidRPr="00FA3678">
        <w:rPr>
          <w:rStyle w:val="FootnoteReference"/>
          <w:rFonts w:eastAsia="Calibri" w:cs="Calibri"/>
          <w:sz w:val="24"/>
          <w:szCs w:val="24"/>
          <w:lang w:eastAsia="ar-SA"/>
        </w:rPr>
        <w:footnoteReference w:id="79"/>
      </w:r>
      <w:r w:rsidR="006D0B9E" w:rsidRPr="00FA3678">
        <w:rPr>
          <w:rFonts w:eastAsia="Calibri" w:cs="Calibri"/>
          <w:sz w:val="24"/>
          <w:szCs w:val="24"/>
          <w:lang w:eastAsia="ar-SA"/>
        </w:rPr>
        <w:t xml:space="preserve"> </w:t>
      </w:r>
      <w:r w:rsidR="00C47314" w:rsidRPr="00FA3678">
        <w:rPr>
          <w:rFonts w:eastAsia="Calibri" w:cs="Calibri"/>
          <w:sz w:val="24"/>
          <w:szCs w:val="24"/>
          <w:lang w:eastAsia="ar-SA"/>
        </w:rPr>
        <w:t xml:space="preserve">The judicial grammar </w:t>
      </w:r>
      <w:r w:rsidR="000D7137" w:rsidRPr="00FA3678">
        <w:rPr>
          <w:rFonts w:eastAsia="Calibri" w:cs="Calibri"/>
          <w:sz w:val="24"/>
          <w:szCs w:val="24"/>
          <w:lang w:eastAsia="ar-SA"/>
        </w:rPr>
        <w:t>of interpretation has preserved</w:t>
      </w:r>
      <w:r w:rsidR="00152BA3" w:rsidRPr="00FA3678">
        <w:rPr>
          <w:rFonts w:eastAsia="Calibri" w:cs="Calibri"/>
          <w:sz w:val="24"/>
          <w:szCs w:val="24"/>
          <w:lang w:eastAsia="ar-SA"/>
        </w:rPr>
        <w:t xml:space="preserve"> the link between life and a healthy environment and succe</w:t>
      </w:r>
      <w:r w:rsidR="000D7137" w:rsidRPr="00FA3678">
        <w:rPr>
          <w:rFonts w:eastAsia="Calibri" w:cs="Calibri"/>
          <w:sz w:val="24"/>
          <w:szCs w:val="24"/>
          <w:lang w:eastAsia="ar-SA"/>
        </w:rPr>
        <w:t>ssfully placed human rights</w:t>
      </w:r>
      <w:r w:rsidR="008116A0">
        <w:rPr>
          <w:rFonts w:eastAsia="Calibri" w:cs="Calibri"/>
          <w:sz w:val="24"/>
          <w:szCs w:val="24"/>
          <w:lang w:eastAsia="ar-SA"/>
        </w:rPr>
        <w:t xml:space="preserve"> within</w:t>
      </w:r>
      <w:r w:rsidR="00152BA3" w:rsidRPr="00FA3678">
        <w:rPr>
          <w:rFonts w:eastAsia="Calibri" w:cs="Calibri"/>
          <w:sz w:val="24"/>
          <w:szCs w:val="24"/>
          <w:lang w:eastAsia="ar-SA"/>
        </w:rPr>
        <w:t xml:space="preserve"> </w:t>
      </w:r>
      <w:r w:rsidR="00390782" w:rsidRPr="00FA3678">
        <w:rPr>
          <w:rFonts w:eastAsia="Calibri" w:cs="Calibri"/>
          <w:sz w:val="24"/>
          <w:szCs w:val="24"/>
          <w:lang w:eastAsia="ar-SA"/>
        </w:rPr>
        <w:t xml:space="preserve">the </w:t>
      </w:r>
      <w:r w:rsidR="00152BA3" w:rsidRPr="00FA3678">
        <w:rPr>
          <w:rFonts w:eastAsia="Calibri" w:cs="Calibri"/>
          <w:sz w:val="24"/>
          <w:szCs w:val="24"/>
          <w:lang w:eastAsia="ar-SA"/>
        </w:rPr>
        <w:t>environmental discourse.</w:t>
      </w:r>
      <w:r w:rsidR="000D7137" w:rsidRPr="00FA3678">
        <w:rPr>
          <w:rFonts w:eastAsia="Calibri" w:cs="Calibri"/>
          <w:sz w:val="24"/>
          <w:szCs w:val="24"/>
          <w:lang w:eastAsia="ar-SA"/>
        </w:rPr>
        <w:t xml:space="preserve"> This</w:t>
      </w:r>
      <w:r w:rsidR="00345AE9" w:rsidRPr="00FA3678">
        <w:rPr>
          <w:rFonts w:eastAsia="Calibri" w:cs="Calibri"/>
          <w:sz w:val="24"/>
          <w:szCs w:val="24"/>
          <w:lang w:eastAsia="ar-SA"/>
        </w:rPr>
        <w:t xml:space="preserve"> recognition and con</w:t>
      </w:r>
      <w:r w:rsidR="00716508" w:rsidRPr="00FA3678">
        <w:rPr>
          <w:rFonts w:eastAsia="Calibri" w:cs="Calibri"/>
          <w:sz w:val="24"/>
          <w:szCs w:val="24"/>
          <w:lang w:eastAsia="ar-SA"/>
        </w:rPr>
        <w:t>vergence will</w:t>
      </w:r>
      <w:r w:rsidR="000D7137" w:rsidRPr="00FA3678">
        <w:rPr>
          <w:rFonts w:eastAsia="Calibri" w:cs="Calibri"/>
          <w:sz w:val="24"/>
          <w:szCs w:val="24"/>
          <w:lang w:eastAsia="ar-SA"/>
        </w:rPr>
        <w:t xml:space="preserve"> not halt</w:t>
      </w:r>
      <w:r w:rsidR="00345AE9" w:rsidRPr="00FA3678">
        <w:rPr>
          <w:rFonts w:eastAsia="Calibri" w:cs="Calibri"/>
          <w:sz w:val="24"/>
          <w:szCs w:val="24"/>
          <w:lang w:eastAsia="ar-SA"/>
        </w:rPr>
        <w:t xml:space="preserve"> the debate as to whether such </w:t>
      </w:r>
      <w:r w:rsidR="000D7137" w:rsidRPr="00FA3678">
        <w:rPr>
          <w:rFonts w:eastAsia="Calibri" w:cs="Calibri"/>
          <w:sz w:val="24"/>
          <w:szCs w:val="24"/>
          <w:lang w:eastAsia="ar-SA"/>
        </w:rPr>
        <w:t xml:space="preserve">a </w:t>
      </w:r>
      <w:r w:rsidR="00345AE9" w:rsidRPr="00FA3678">
        <w:rPr>
          <w:rFonts w:eastAsia="Calibri" w:cs="Calibri"/>
          <w:sz w:val="24"/>
          <w:szCs w:val="24"/>
          <w:lang w:eastAsia="ar-SA"/>
        </w:rPr>
        <w:t>move serves to enhance environmental protection</w:t>
      </w:r>
      <w:r w:rsidR="00716508" w:rsidRPr="00FA3678">
        <w:rPr>
          <w:rFonts w:eastAsia="Calibri" w:cs="Calibri"/>
          <w:sz w:val="24"/>
          <w:szCs w:val="24"/>
          <w:lang w:eastAsia="ar-SA"/>
        </w:rPr>
        <w:t xml:space="preserve"> for its own sake</w:t>
      </w:r>
      <w:r w:rsidR="00345AE9" w:rsidRPr="00FA3678">
        <w:rPr>
          <w:rFonts w:eastAsia="Calibri" w:cs="Calibri"/>
          <w:sz w:val="24"/>
          <w:szCs w:val="24"/>
          <w:lang w:eastAsia="ar-SA"/>
        </w:rPr>
        <w:t xml:space="preserve"> or simply furthers the anthropocentric approach.</w:t>
      </w:r>
    </w:p>
    <w:p w:rsidR="00CF41D5" w:rsidRPr="00FA3678" w:rsidRDefault="00CF41D5" w:rsidP="00FA3678">
      <w:pPr>
        <w:widowControl w:val="0"/>
        <w:tabs>
          <w:tab w:val="left" w:pos="603"/>
        </w:tabs>
        <w:suppressAutoHyphens/>
        <w:spacing w:after="0"/>
        <w:rPr>
          <w:rFonts w:eastAsia="Calibri" w:cs="Calibri"/>
          <w:sz w:val="24"/>
          <w:szCs w:val="24"/>
          <w:lang w:eastAsia="ar-SA"/>
        </w:rPr>
      </w:pPr>
    </w:p>
    <w:p w:rsidR="007F68AD" w:rsidRPr="00FA3678" w:rsidRDefault="00F7336A" w:rsidP="00FA3678">
      <w:pPr>
        <w:widowControl w:val="0"/>
        <w:tabs>
          <w:tab w:val="left" w:pos="603"/>
        </w:tabs>
        <w:suppressAutoHyphens/>
        <w:spacing w:after="0"/>
        <w:rPr>
          <w:rFonts w:eastAsia="Calibri" w:cs="Calibri"/>
          <w:sz w:val="24"/>
          <w:szCs w:val="24"/>
          <w:lang w:eastAsia="ar-SA"/>
        </w:rPr>
      </w:pPr>
      <w:r w:rsidRPr="00FA3678">
        <w:rPr>
          <w:rFonts w:eastAsia="Calibri" w:cs="Calibri"/>
          <w:sz w:val="24"/>
          <w:szCs w:val="24"/>
          <w:lang w:eastAsia="ar-SA"/>
        </w:rPr>
        <w:t>T</w:t>
      </w:r>
      <w:r w:rsidR="0043457E" w:rsidRPr="00FA3678">
        <w:rPr>
          <w:rFonts w:eastAsia="Calibri" w:cs="Calibri"/>
          <w:sz w:val="24"/>
          <w:szCs w:val="24"/>
          <w:lang w:eastAsia="ar-SA"/>
        </w:rPr>
        <w:t>h</w:t>
      </w:r>
      <w:r w:rsidR="00A503C7" w:rsidRPr="00FA3678">
        <w:rPr>
          <w:rFonts w:eastAsia="Calibri" w:cs="Calibri"/>
          <w:sz w:val="24"/>
          <w:szCs w:val="24"/>
          <w:lang w:eastAsia="ar-SA"/>
        </w:rPr>
        <w:t>e NGT Act 2010 in its preamble</w:t>
      </w:r>
      <w:r w:rsidR="0043457E" w:rsidRPr="00FA3678">
        <w:rPr>
          <w:rFonts w:eastAsia="Calibri" w:cs="Calibri"/>
          <w:sz w:val="24"/>
          <w:szCs w:val="24"/>
          <w:lang w:eastAsia="ar-SA"/>
        </w:rPr>
        <w:t xml:space="preserve"> section recognizes the judicial exegesis of the right to a healthy environment as part of the right to life. </w:t>
      </w:r>
      <w:r w:rsidR="00335F2F" w:rsidRPr="00FA3678">
        <w:rPr>
          <w:rFonts w:eastAsia="Calibri" w:cs="Calibri"/>
          <w:sz w:val="24"/>
          <w:szCs w:val="24"/>
          <w:lang w:eastAsia="ar-SA"/>
        </w:rPr>
        <w:t xml:space="preserve">The preamble of a statute is an admissible aid to the construction aimed to express the scope, object and purpose of the Act more </w:t>
      </w:r>
      <w:r w:rsidR="00335F2F" w:rsidRPr="00FA3678">
        <w:rPr>
          <w:rFonts w:eastAsia="Calibri" w:cs="Calibri"/>
          <w:sz w:val="24"/>
          <w:szCs w:val="24"/>
          <w:lang w:eastAsia="ar-SA"/>
        </w:rPr>
        <w:lastRenderedPageBreak/>
        <w:t>comprehensively than the long title. The preamble acts a</w:t>
      </w:r>
      <w:r w:rsidR="00DE4BE2" w:rsidRPr="00FA3678">
        <w:rPr>
          <w:rFonts w:eastAsia="Calibri" w:cs="Calibri"/>
          <w:sz w:val="24"/>
          <w:szCs w:val="24"/>
          <w:lang w:eastAsia="ar-SA"/>
        </w:rPr>
        <w:t>s a</w:t>
      </w:r>
      <w:r w:rsidR="00335F2F" w:rsidRPr="00FA3678">
        <w:rPr>
          <w:rFonts w:eastAsia="Calibri" w:cs="Calibri"/>
          <w:sz w:val="24"/>
          <w:szCs w:val="24"/>
          <w:lang w:eastAsia="ar-SA"/>
        </w:rPr>
        <w:t xml:space="preserve"> precept to gather the legislativ</w:t>
      </w:r>
      <w:r w:rsidR="00DE4BE2" w:rsidRPr="00FA3678">
        <w:rPr>
          <w:rFonts w:eastAsia="Calibri" w:cs="Calibri"/>
          <w:sz w:val="24"/>
          <w:szCs w:val="24"/>
          <w:lang w:eastAsia="ar-SA"/>
        </w:rPr>
        <w:t>e intention and helps in giving</w:t>
      </w:r>
      <w:r w:rsidR="00335F2F" w:rsidRPr="00FA3678">
        <w:rPr>
          <w:rFonts w:eastAsia="Calibri" w:cs="Calibri"/>
          <w:sz w:val="24"/>
          <w:szCs w:val="24"/>
          <w:lang w:eastAsia="ar-SA"/>
        </w:rPr>
        <w:t xml:space="preserve"> prudent l</w:t>
      </w:r>
      <w:r w:rsidR="00DE4BE2" w:rsidRPr="00FA3678">
        <w:rPr>
          <w:rFonts w:eastAsia="Calibri" w:cs="Calibri"/>
          <w:sz w:val="24"/>
          <w:szCs w:val="24"/>
          <w:lang w:eastAsia="ar-SA"/>
        </w:rPr>
        <w:t>egislative interpretation to its</w:t>
      </w:r>
      <w:r w:rsidR="00335F2F" w:rsidRPr="00FA3678">
        <w:rPr>
          <w:rFonts w:eastAsia="Calibri" w:cs="Calibri"/>
          <w:sz w:val="24"/>
          <w:szCs w:val="24"/>
          <w:lang w:eastAsia="ar-SA"/>
        </w:rPr>
        <w:t xml:space="preserve"> provisions </w:t>
      </w:r>
      <w:r w:rsidR="00DE4BE2" w:rsidRPr="00FA3678">
        <w:rPr>
          <w:rFonts w:eastAsia="Calibri" w:cs="Calibri"/>
          <w:sz w:val="24"/>
          <w:szCs w:val="24"/>
          <w:lang w:eastAsia="ar-SA"/>
        </w:rPr>
        <w:t xml:space="preserve">in order </w:t>
      </w:r>
      <w:r w:rsidR="00335F2F" w:rsidRPr="00FA3678">
        <w:rPr>
          <w:rFonts w:eastAsia="Calibri" w:cs="Calibri"/>
          <w:sz w:val="24"/>
          <w:szCs w:val="24"/>
          <w:lang w:eastAsia="ar-SA"/>
        </w:rPr>
        <w:t>to achieve the objective of the Act.</w:t>
      </w:r>
      <w:r w:rsidR="00FE13EB" w:rsidRPr="00FA3678">
        <w:rPr>
          <w:rStyle w:val="FootnoteReference"/>
          <w:rFonts w:eastAsia="Calibri" w:cs="Calibri"/>
          <w:sz w:val="24"/>
          <w:szCs w:val="24"/>
          <w:lang w:eastAsia="ar-SA"/>
        </w:rPr>
        <w:footnoteReference w:id="80"/>
      </w:r>
    </w:p>
    <w:p w:rsidR="00CF41D5" w:rsidRPr="00FA3678" w:rsidRDefault="00CF41D5" w:rsidP="00FA3678">
      <w:pPr>
        <w:widowControl w:val="0"/>
        <w:tabs>
          <w:tab w:val="left" w:pos="603"/>
        </w:tabs>
        <w:suppressAutoHyphens/>
        <w:spacing w:after="0"/>
        <w:rPr>
          <w:rFonts w:eastAsia="Calibri" w:cs="Calibri"/>
          <w:sz w:val="24"/>
          <w:szCs w:val="24"/>
          <w:lang w:eastAsia="ar-SA"/>
        </w:rPr>
      </w:pPr>
    </w:p>
    <w:p w:rsidR="007712B7" w:rsidRPr="00FA3678" w:rsidRDefault="007712B7" w:rsidP="00FA3678">
      <w:pPr>
        <w:widowControl w:val="0"/>
        <w:tabs>
          <w:tab w:val="left" w:pos="603"/>
        </w:tabs>
        <w:suppressAutoHyphens/>
        <w:spacing w:after="0"/>
        <w:rPr>
          <w:rFonts w:eastAsia="Calibri" w:cs="Calibri"/>
          <w:sz w:val="24"/>
          <w:szCs w:val="24"/>
          <w:lang w:eastAsia="ar-SA"/>
        </w:rPr>
      </w:pPr>
      <w:r w:rsidRPr="00FA3678">
        <w:rPr>
          <w:rFonts w:eastAsia="Calibri" w:cs="Calibri"/>
          <w:sz w:val="24"/>
          <w:szCs w:val="24"/>
          <w:lang w:eastAsia="ar-SA"/>
        </w:rPr>
        <w:t>In light of the language of the</w:t>
      </w:r>
      <w:r w:rsidR="00DE4BE2" w:rsidRPr="00FA3678">
        <w:rPr>
          <w:rFonts w:eastAsia="Calibri" w:cs="Calibri"/>
          <w:sz w:val="24"/>
          <w:szCs w:val="24"/>
          <w:lang w:eastAsia="ar-SA"/>
        </w:rPr>
        <w:t xml:space="preserve"> Act’s</w:t>
      </w:r>
      <w:r w:rsidRPr="00FA3678">
        <w:rPr>
          <w:rFonts w:eastAsia="Calibri" w:cs="Calibri"/>
          <w:sz w:val="24"/>
          <w:szCs w:val="24"/>
          <w:lang w:eastAsia="ar-SA"/>
        </w:rPr>
        <w:t xml:space="preserve"> preamble, the NGT in the case of </w:t>
      </w:r>
      <w:r w:rsidRPr="00FA3678">
        <w:rPr>
          <w:rFonts w:eastAsia="Calibri" w:cs="Calibri"/>
          <w:i/>
          <w:sz w:val="24"/>
          <w:szCs w:val="24"/>
          <w:lang w:eastAsia="ar-SA"/>
        </w:rPr>
        <w:t>Motion v State of</w:t>
      </w:r>
      <w:r w:rsidRPr="00FA3678">
        <w:rPr>
          <w:rFonts w:eastAsia="Calibri" w:cs="Calibri"/>
          <w:sz w:val="24"/>
          <w:szCs w:val="24"/>
          <w:lang w:eastAsia="ar-SA"/>
        </w:rPr>
        <w:t xml:space="preserve"> </w:t>
      </w:r>
      <w:r w:rsidRPr="00FA3678">
        <w:rPr>
          <w:rFonts w:eastAsia="Calibri" w:cs="Calibri"/>
          <w:i/>
          <w:sz w:val="24"/>
          <w:szCs w:val="24"/>
          <w:lang w:eastAsia="ar-SA"/>
        </w:rPr>
        <w:t>Himachal Pradesh</w:t>
      </w:r>
      <w:r w:rsidR="00BB355B" w:rsidRPr="00FA3678">
        <w:rPr>
          <w:rStyle w:val="FootnoteReference"/>
          <w:rFonts w:eastAsia="Calibri" w:cs="Calibri"/>
          <w:sz w:val="24"/>
          <w:szCs w:val="24"/>
          <w:lang w:eastAsia="ar-SA"/>
        </w:rPr>
        <w:footnoteReference w:id="81"/>
      </w:r>
      <w:r w:rsidRPr="00FA3678">
        <w:rPr>
          <w:rFonts w:eastAsia="Calibri" w:cs="Calibri"/>
          <w:sz w:val="24"/>
          <w:szCs w:val="24"/>
          <w:lang w:eastAsia="ar-SA"/>
        </w:rPr>
        <w:t xml:space="preserve"> observed ‘’causing environmental degradation and disturbing the ecology results in impinging upon the protected fundamental rights of the citizen. The state has to, therefore, endure to provide</w:t>
      </w:r>
      <w:r w:rsidR="00DE4BE2" w:rsidRPr="00FA3678">
        <w:rPr>
          <w:rFonts w:eastAsia="Calibri" w:cs="Calibri"/>
          <w:sz w:val="24"/>
          <w:szCs w:val="24"/>
          <w:lang w:eastAsia="ar-SA"/>
        </w:rPr>
        <w:t xml:space="preserve"> a</w:t>
      </w:r>
      <w:r w:rsidRPr="00FA3678">
        <w:rPr>
          <w:rFonts w:eastAsia="Calibri" w:cs="Calibri"/>
          <w:sz w:val="24"/>
          <w:szCs w:val="24"/>
          <w:lang w:eastAsia="ar-SA"/>
        </w:rPr>
        <w:t xml:space="preserve"> clean and decent environment and ensure that its wholesomeness is maintained.’’</w:t>
      </w:r>
      <w:r w:rsidR="00BB355B" w:rsidRPr="00FA3678">
        <w:rPr>
          <w:rStyle w:val="FootnoteReference"/>
          <w:rFonts w:eastAsia="Calibri" w:cs="Calibri"/>
          <w:sz w:val="24"/>
          <w:szCs w:val="24"/>
          <w:lang w:eastAsia="ar-SA"/>
        </w:rPr>
        <w:footnoteReference w:id="82"/>
      </w:r>
      <w:r w:rsidR="00967F10" w:rsidRPr="00FA3678">
        <w:rPr>
          <w:rFonts w:eastAsia="Calibri" w:cs="Calibri"/>
          <w:sz w:val="24"/>
          <w:szCs w:val="24"/>
          <w:lang w:eastAsia="ar-SA"/>
        </w:rPr>
        <w:t xml:space="preserve"> Similarly in </w:t>
      </w:r>
      <w:r w:rsidR="00967F10" w:rsidRPr="00FA3678">
        <w:rPr>
          <w:rFonts w:eastAsia="Calibri" w:cs="Calibri"/>
          <w:i/>
          <w:sz w:val="24"/>
          <w:szCs w:val="24"/>
          <w:lang w:eastAsia="ar-SA"/>
        </w:rPr>
        <w:t xml:space="preserve">M/S </w:t>
      </w:r>
      <w:proofErr w:type="spellStart"/>
      <w:r w:rsidR="00967F10" w:rsidRPr="00FA3678">
        <w:rPr>
          <w:rFonts w:eastAsia="Calibri" w:cs="Calibri"/>
          <w:i/>
          <w:sz w:val="24"/>
          <w:szCs w:val="24"/>
          <w:lang w:eastAsia="ar-SA"/>
        </w:rPr>
        <w:t>Sterlite</w:t>
      </w:r>
      <w:proofErr w:type="spellEnd"/>
      <w:r w:rsidR="00967F10" w:rsidRPr="00FA3678">
        <w:rPr>
          <w:rFonts w:eastAsia="Calibri" w:cs="Calibri"/>
          <w:i/>
          <w:sz w:val="24"/>
          <w:szCs w:val="24"/>
          <w:lang w:eastAsia="ar-SA"/>
        </w:rPr>
        <w:t xml:space="preserve"> Industries Ltd v Tamil Nadu</w:t>
      </w:r>
      <w:r w:rsidR="00967F10" w:rsidRPr="00FA3678">
        <w:rPr>
          <w:rFonts w:eastAsia="Calibri" w:cs="Calibri"/>
          <w:sz w:val="24"/>
          <w:szCs w:val="24"/>
          <w:lang w:eastAsia="ar-SA"/>
        </w:rPr>
        <w:t xml:space="preserve"> </w:t>
      </w:r>
      <w:r w:rsidR="00967F10" w:rsidRPr="00FA3678">
        <w:rPr>
          <w:rFonts w:eastAsia="Calibri" w:cs="Calibri"/>
          <w:i/>
          <w:sz w:val="24"/>
          <w:szCs w:val="24"/>
          <w:lang w:eastAsia="ar-SA"/>
        </w:rPr>
        <w:t>Pollution Control Board</w:t>
      </w:r>
      <w:r w:rsidR="00633EAA" w:rsidRPr="00FA3678">
        <w:rPr>
          <w:rStyle w:val="FootnoteReference"/>
          <w:rFonts w:eastAsia="Calibri" w:cs="Calibri"/>
          <w:sz w:val="24"/>
          <w:szCs w:val="24"/>
          <w:lang w:eastAsia="ar-SA"/>
        </w:rPr>
        <w:footnoteReference w:id="83"/>
      </w:r>
      <w:r w:rsidR="00967F10" w:rsidRPr="00FA3678">
        <w:rPr>
          <w:rFonts w:eastAsia="Calibri" w:cs="Calibri"/>
          <w:sz w:val="24"/>
          <w:szCs w:val="24"/>
          <w:lang w:eastAsia="ar-SA"/>
        </w:rPr>
        <w:t xml:space="preserve"> the Tribunal stated ‘’Article </w:t>
      </w:r>
      <w:r w:rsidR="00BD36A8" w:rsidRPr="00FA3678">
        <w:rPr>
          <w:rFonts w:eastAsia="Calibri" w:cs="Calibri"/>
          <w:sz w:val="24"/>
          <w:szCs w:val="24"/>
          <w:lang w:eastAsia="ar-SA"/>
        </w:rPr>
        <w:t xml:space="preserve">21 of the Constitution of India … is interpreted to include in the right to life the right to </w:t>
      </w:r>
      <w:r w:rsidR="00DE4BE2" w:rsidRPr="00FA3678">
        <w:rPr>
          <w:rFonts w:eastAsia="Calibri" w:cs="Calibri"/>
          <w:sz w:val="24"/>
          <w:szCs w:val="24"/>
          <w:lang w:eastAsia="ar-SA"/>
        </w:rPr>
        <w:t xml:space="preserve">a </w:t>
      </w:r>
      <w:r w:rsidR="00BD36A8" w:rsidRPr="00FA3678">
        <w:rPr>
          <w:rFonts w:eastAsia="Calibri" w:cs="Calibri"/>
          <w:sz w:val="24"/>
          <w:szCs w:val="24"/>
          <w:lang w:eastAsia="ar-SA"/>
        </w:rPr>
        <w:t>clean and decent environment. Right to decent environment also gives by necessary implication, the right against environmental degradation. It is in the form of right to protect the environment, as by protecting environment alone can we provide a decent and clean environment to the citizenry. The most vital necessities, namely air, water and soil having regard to the right to life under Article 21 cannot be permitted to be misused or polluted so as to reduce the quality of life of others. Risk of harm to the environment or to human health is to be decided in public interest. Thus, the right of an individual to</w:t>
      </w:r>
      <w:r w:rsidR="00DE4BE2" w:rsidRPr="00FA3678">
        <w:rPr>
          <w:rFonts w:eastAsia="Calibri" w:cs="Calibri"/>
          <w:sz w:val="24"/>
          <w:szCs w:val="24"/>
          <w:lang w:eastAsia="ar-SA"/>
        </w:rPr>
        <w:t xml:space="preserve"> a</w:t>
      </w:r>
      <w:r w:rsidR="00BD36A8" w:rsidRPr="00FA3678">
        <w:rPr>
          <w:rFonts w:eastAsia="Calibri" w:cs="Calibri"/>
          <w:sz w:val="24"/>
          <w:szCs w:val="24"/>
          <w:lang w:eastAsia="ar-SA"/>
        </w:rPr>
        <w:t xml:space="preserve"> healthy and clean environment including air, water, soil and noise-free</w:t>
      </w:r>
      <w:r w:rsidR="0067071B" w:rsidRPr="00FA3678">
        <w:rPr>
          <w:rFonts w:eastAsia="Calibri" w:cs="Calibri"/>
          <w:sz w:val="24"/>
          <w:szCs w:val="24"/>
          <w:lang w:eastAsia="ar-SA"/>
        </w:rPr>
        <w:t xml:space="preserve"> environment is of paramount consideration and it is impermissible to cause environmental pollution. Since the different facets of environment are relatable to life and human rights and concerns a person’s liberty, it is necessary that the resources are utilised in a planned manner.’’</w:t>
      </w:r>
      <w:r w:rsidR="00633EAA" w:rsidRPr="00FA3678">
        <w:rPr>
          <w:rStyle w:val="FootnoteReference"/>
          <w:rFonts w:eastAsia="Calibri" w:cs="Calibri"/>
          <w:sz w:val="24"/>
          <w:szCs w:val="24"/>
          <w:lang w:eastAsia="ar-SA"/>
        </w:rPr>
        <w:footnoteReference w:id="84"/>
      </w:r>
    </w:p>
    <w:p w:rsidR="00CF41D5" w:rsidRPr="00FA3678" w:rsidRDefault="00CF41D5" w:rsidP="00FA3678">
      <w:pPr>
        <w:widowControl w:val="0"/>
        <w:tabs>
          <w:tab w:val="left" w:pos="603"/>
        </w:tabs>
        <w:suppressAutoHyphens/>
        <w:spacing w:after="0"/>
        <w:rPr>
          <w:rFonts w:eastAsia="Calibri" w:cs="Calibri"/>
          <w:sz w:val="24"/>
          <w:szCs w:val="24"/>
          <w:lang w:eastAsia="ar-SA"/>
        </w:rPr>
      </w:pPr>
    </w:p>
    <w:p w:rsidR="00804DC5" w:rsidRPr="00FA3678" w:rsidRDefault="00A24761" w:rsidP="00FA3678">
      <w:pPr>
        <w:widowControl w:val="0"/>
        <w:tabs>
          <w:tab w:val="left" w:pos="603"/>
        </w:tabs>
        <w:suppressAutoHyphens/>
        <w:spacing w:after="0"/>
        <w:rPr>
          <w:rFonts w:eastAsia="Calibri" w:cs="Calibri"/>
          <w:sz w:val="24"/>
          <w:szCs w:val="24"/>
          <w:lang w:eastAsia="ar-SA"/>
        </w:rPr>
      </w:pPr>
      <w:r w:rsidRPr="00FA3678">
        <w:rPr>
          <w:rFonts w:eastAsia="Calibri" w:cs="Calibri"/>
          <w:sz w:val="24"/>
          <w:szCs w:val="24"/>
          <w:lang w:eastAsia="ar-SA"/>
        </w:rPr>
        <w:t>This paper</w:t>
      </w:r>
      <w:r w:rsidR="003A5076" w:rsidRPr="00FA3678">
        <w:rPr>
          <w:rFonts w:eastAsia="Calibri" w:cs="Calibri"/>
          <w:sz w:val="24"/>
          <w:szCs w:val="24"/>
          <w:lang w:eastAsia="ar-SA"/>
        </w:rPr>
        <w:t xml:space="preserve"> </w:t>
      </w:r>
      <w:r w:rsidRPr="00FA3678">
        <w:rPr>
          <w:rFonts w:eastAsia="Calibri" w:cs="Calibri"/>
          <w:sz w:val="24"/>
          <w:szCs w:val="24"/>
          <w:lang w:eastAsia="ar-SA"/>
        </w:rPr>
        <w:t>argues</w:t>
      </w:r>
      <w:r w:rsidR="003A5076" w:rsidRPr="00FA3678">
        <w:rPr>
          <w:rFonts w:eastAsia="Calibri" w:cs="Calibri"/>
          <w:sz w:val="24"/>
          <w:szCs w:val="24"/>
          <w:lang w:eastAsia="ar-SA"/>
        </w:rPr>
        <w:t xml:space="preserve"> that the ‘recognition of a right’ does not necessarily entail </w:t>
      </w:r>
      <w:r w:rsidR="00A2649E" w:rsidRPr="00FA3678">
        <w:rPr>
          <w:rFonts w:eastAsia="Calibri" w:cs="Calibri"/>
          <w:sz w:val="24"/>
          <w:szCs w:val="24"/>
          <w:lang w:eastAsia="ar-SA"/>
        </w:rPr>
        <w:t xml:space="preserve">its </w:t>
      </w:r>
      <w:r w:rsidR="003A5076" w:rsidRPr="00FA3678">
        <w:rPr>
          <w:rFonts w:eastAsia="Calibri" w:cs="Calibri"/>
          <w:sz w:val="24"/>
          <w:szCs w:val="24"/>
          <w:lang w:eastAsia="ar-SA"/>
        </w:rPr>
        <w:t xml:space="preserve">enforceability and execution in practical terms. </w:t>
      </w:r>
      <w:r w:rsidR="003305E0" w:rsidRPr="00FA3678">
        <w:rPr>
          <w:rFonts w:eastAsia="Calibri" w:cs="Calibri"/>
          <w:sz w:val="24"/>
          <w:szCs w:val="24"/>
          <w:lang w:eastAsia="ar-SA"/>
        </w:rPr>
        <w:t xml:space="preserve"> The latest studies reveal a grim picture for a legally binding right to an environment. </w:t>
      </w:r>
      <w:r w:rsidR="003756E2" w:rsidRPr="00FA3678">
        <w:rPr>
          <w:rFonts w:eastAsia="Calibri" w:cs="Calibri"/>
          <w:sz w:val="24"/>
          <w:szCs w:val="24"/>
          <w:lang w:eastAsia="ar-SA"/>
        </w:rPr>
        <w:t xml:space="preserve">The </w:t>
      </w:r>
      <w:r w:rsidR="008458B9" w:rsidRPr="00FA3678">
        <w:rPr>
          <w:rFonts w:eastAsia="Calibri" w:cs="Calibri"/>
          <w:sz w:val="24"/>
          <w:szCs w:val="24"/>
          <w:lang w:eastAsia="ar-SA"/>
        </w:rPr>
        <w:t xml:space="preserve">2014 </w:t>
      </w:r>
      <w:r w:rsidR="003756E2" w:rsidRPr="00FA3678">
        <w:rPr>
          <w:rFonts w:eastAsia="Calibri" w:cs="Calibri"/>
          <w:sz w:val="24"/>
          <w:szCs w:val="24"/>
          <w:lang w:eastAsia="ar-SA"/>
        </w:rPr>
        <w:t>Yale Environmental Performance Index</w:t>
      </w:r>
      <w:r w:rsidR="00B05C2C" w:rsidRPr="00FA3678">
        <w:rPr>
          <w:rStyle w:val="FootnoteReference"/>
          <w:rFonts w:eastAsia="Calibri" w:cs="Calibri"/>
          <w:sz w:val="24"/>
          <w:szCs w:val="24"/>
          <w:lang w:eastAsia="ar-SA"/>
        </w:rPr>
        <w:footnoteReference w:id="85"/>
      </w:r>
      <w:r w:rsidR="00CF41D5" w:rsidRPr="00FA3678">
        <w:rPr>
          <w:rFonts w:eastAsia="Calibri" w:cs="Calibri"/>
          <w:sz w:val="24"/>
          <w:szCs w:val="24"/>
          <w:lang w:eastAsia="ar-SA"/>
        </w:rPr>
        <w:t xml:space="preserve"> </w:t>
      </w:r>
      <w:r w:rsidR="003756E2" w:rsidRPr="00FA3678">
        <w:rPr>
          <w:rFonts w:eastAsia="Calibri" w:cs="Calibri"/>
          <w:sz w:val="24"/>
          <w:szCs w:val="24"/>
          <w:lang w:eastAsia="ar-SA"/>
        </w:rPr>
        <w:t xml:space="preserve"> ranked India 174</w:t>
      </w:r>
      <w:r w:rsidR="003756E2" w:rsidRPr="00FA3678">
        <w:rPr>
          <w:rFonts w:eastAsia="Calibri" w:cs="Calibri"/>
          <w:sz w:val="24"/>
          <w:szCs w:val="24"/>
          <w:vertAlign w:val="superscript"/>
          <w:lang w:eastAsia="ar-SA"/>
        </w:rPr>
        <w:t>th</w:t>
      </w:r>
      <w:r w:rsidR="003756E2" w:rsidRPr="00FA3678">
        <w:rPr>
          <w:rFonts w:eastAsia="Calibri" w:cs="Calibri"/>
          <w:sz w:val="24"/>
          <w:szCs w:val="24"/>
          <w:lang w:eastAsia="ar-SA"/>
        </w:rPr>
        <w:t xml:space="preserve"> out of 178 countries on</w:t>
      </w:r>
      <w:r w:rsidR="00AF46C4" w:rsidRPr="00FA3678">
        <w:rPr>
          <w:rFonts w:eastAsia="Calibri" w:cs="Calibri"/>
          <w:sz w:val="24"/>
          <w:szCs w:val="24"/>
          <w:lang w:eastAsia="ar-SA"/>
        </w:rPr>
        <w:t xml:space="preserve"> air pollution. According to this</w:t>
      </w:r>
      <w:r w:rsidR="003756E2" w:rsidRPr="00FA3678">
        <w:rPr>
          <w:rFonts w:eastAsia="Calibri" w:cs="Calibri"/>
          <w:sz w:val="24"/>
          <w:szCs w:val="24"/>
          <w:lang w:eastAsia="ar-SA"/>
        </w:rPr>
        <w:t xml:space="preserve"> report ‘more people die of asthma in India than anywhere else in the world.</w:t>
      </w:r>
      <w:r w:rsidR="00AA2019" w:rsidRPr="00FA3678">
        <w:rPr>
          <w:rFonts w:eastAsia="Calibri" w:cs="Calibri"/>
          <w:sz w:val="24"/>
          <w:szCs w:val="24"/>
          <w:lang w:eastAsia="ar-SA"/>
        </w:rPr>
        <w:t xml:space="preserve"> Automobile sales in India have boomed, and diesel is the fuel of choice. Many industries pollute</w:t>
      </w:r>
      <w:r w:rsidR="00A2649E" w:rsidRPr="00FA3678">
        <w:rPr>
          <w:rFonts w:eastAsia="Calibri" w:cs="Calibri"/>
          <w:sz w:val="24"/>
          <w:szCs w:val="24"/>
          <w:lang w:eastAsia="ar-SA"/>
        </w:rPr>
        <w:t>,</w:t>
      </w:r>
      <w:r w:rsidR="00AA2019" w:rsidRPr="00FA3678">
        <w:rPr>
          <w:rFonts w:eastAsia="Calibri" w:cs="Calibri"/>
          <w:sz w:val="24"/>
          <w:szCs w:val="24"/>
          <w:lang w:eastAsia="ar-SA"/>
        </w:rPr>
        <w:t xml:space="preserve"> defying existing environmental laws and regulations. </w:t>
      </w:r>
      <w:r w:rsidR="00825710" w:rsidRPr="00FA3678">
        <w:rPr>
          <w:rFonts w:eastAsia="Calibri" w:cs="Calibri"/>
          <w:sz w:val="24"/>
          <w:szCs w:val="24"/>
          <w:lang w:eastAsia="ar-SA"/>
        </w:rPr>
        <w:t>Pollution monitoring is a haphazard affair. The World Bank says that the environmental degradation is costing India 80 billion US Dollars annually and accounts for 23 percent of the nation’s child mortality.’</w:t>
      </w:r>
    </w:p>
    <w:p w:rsidR="00915807" w:rsidRPr="00FA3678" w:rsidRDefault="00915807" w:rsidP="00FA3678">
      <w:pPr>
        <w:widowControl w:val="0"/>
        <w:tabs>
          <w:tab w:val="left" w:pos="603"/>
        </w:tabs>
        <w:suppressAutoHyphens/>
        <w:spacing w:after="0"/>
        <w:rPr>
          <w:rFonts w:eastAsia="Calibri" w:cs="Calibri"/>
          <w:sz w:val="24"/>
          <w:szCs w:val="24"/>
          <w:lang w:eastAsia="ar-SA"/>
        </w:rPr>
      </w:pPr>
    </w:p>
    <w:p w:rsidR="009676BF" w:rsidRPr="00FA3678" w:rsidRDefault="007A399A" w:rsidP="00FA3678">
      <w:pPr>
        <w:widowControl w:val="0"/>
        <w:tabs>
          <w:tab w:val="left" w:pos="603"/>
        </w:tabs>
        <w:suppressAutoHyphens/>
        <w:spacing w:after="0"/>
        <w:rPr>
          <w:rFonts w:eastAsia="Calibri" w:cs="Calibri"/>
          <w:sz w:val="24"/>
          <w:szCs w:val="24"/>
          <w:lang w:eastAsia="ar-SA"/>
        </w:rPr>
      </w:pPr>
      <w:r>
        <w:rPr>
          <w:rFonts w:eastAsia="Calibri" w:cs="Calibri"/>
          <w:sz w:val="24"/>
          <w:szCs w:val="24"/>
          <w:lang w:eastAsia="ar-SA"/>
        </w:rPr>
        <w:t>A</w:t>
      </w:r>
      <w:r w:rsidR="00284FFF">
        <w:rPr>
          <w:rFonts w:eastAsia="Calibri" w:cs="Calibri"/>
          <w:sz w:val="24"/>
          <w:szCs w:val="24"/>
          <w:lang w:eastAsia="ar-SA"/>
        </w:rPr>
        <w:t>lso</w:t>
      </w:r>
      <w:r w:rsidR="009676BF" w:rsidRPr="00FA3678">
        <w:rPr>
          <w:rFonts w:eastAsia="Calibri" w:cs="Calibri"/>
          <w:sz w:val="24"/>
          <w:szCs w:val="24"/>
          <w:lang w:eastAsia="ar-SA"/>
        </w:rPr>
        <w:t>, a BBC Report</w:t>
      </w:r>
      <w:r w:rsidR="00AF7CB0" w:rsidRPr="00FA3678">
        <w:rPr>
          <w:rStyle w:val="FootnoteReference"/>
          <w:rFonts w:eastAsia="Calibri" w:cs="Calibri"/>
          <w:sz w:val="24"/>
          <w:szCs w:val="24"/>
          <w:lang w:eastAsia="ar-SA"/>
        </w:rPr>
        <w:footnoteReference w:id="86"/>
      </w:r>
      <w:r w:rsidR="009676BF" w:rsidRPr="00FA3678">
        <w:rPr>
          <w:rFonts w:eastAsia="Calibri" w:cs="Calibri"/>
          <w:sz w:val="24"/>
          <w:szCs w:val="24"/>
          <w:lang w:eastAsia="ar-SA"/>
        </w:rPr>
        <w:t xml:space="preserve"> </w:t>
      </w:r>
      <w:r w:rsidR="00AF7CB0" w:rsidRPr="00FA3678">
        <w:rPr>
          <w:rFonts w:eastAsia="Calibri" w:cs="Calibri"/>
          <w:sz w:val="24"/>
          <w:szCs w:val="24"/>
          <w:lang w:eastAsia="ar-SA"/>
        </w:rPr>
        <w:t>titled ‘Is this the city with the loudest car horns?’</w:t>
      </w:r>
      <w:r w:rsidR="00E01820" w:rsidRPr="00FA3678">
        <w:rPr>
          <w:rFonts w:eastAsia="Calibri" w:cs="Calibri"/>
          <w:sz w:val="24"/>
          <w:szCs w:val="24"/>
          <w:lang w:eastAsia="ar-SA"/>
        </w:rPr>
        <w:t xml:space="preserve"> </w:t>
      </w:r>
      <w:r w:rsidR="009676BF" w:rsidRPr="00FA3678">
        <w:rPr>
          <w:rFonts w:eastAsia="Calibri" w:cs="Calibri"/>
          <w:sz w:val="24"/>
          <w:szCs w:val="24"/>
          <w:lang w:eastAsia="ar-SA"/>
        </w:rPr>
        <w:t xml:space="preserve">states that ‘noise </w:t>
      </w:r>
      <w:r w:rsidR="009676BF" w:rsidRPr="00FA3678">
        <w:rPr>
          <w:rFonts w:eastAsia="Calibri" w:cs="Calibri"/>
          <w:sz w:val="24"/>
          <w:szCs w:val="24"/>
          <w:lang w:eastAsia="ar-SA"/>
        </w:rPr>
        <w:lastRenderedPageBreak/>
        <w:t>pollution is so serious in Delhi that it is having a measurable impact on people’s health. Seven million cars jostle for space on Delhi’s road</w:t>
      </w:r>
      <w:r w:rsidR="00A2649E" w:rsidRPr="00FA3678">
        <w:rPr>
          <w:rFonts w:eastAsia="Calibri" w:cs="Calibri"/>
          <w:sz w:val="24"/>
          <w:szCs w:val="24"/>
          <w:lang w:eastAsia="ar-SA"/>
        </w:rPr>
        <w:t>s</w:t>
      </w:r>
      <w:r w:rsidR="009676BF" w:rsidRPr="00FA3678">
        <w:rPr>
          <w:rFonts w:eastAsia="Calibri" w:cs="Calibri"/>
          <w:sz w:val="24"/>
          <w:szCs w:val="24"/>
          <w:lang w:eastAsia="ar-SA"/>
        </w:rPr>
        <w:t>. Beside the revving of eng</w:t>
      </w:r>
      <w:r w:rsidR="007E5030" w:rsidRPr="00FA3678">
        <w:rPr>
          <w:rFonts w:eastAsia="Calibri" w:cs="Calibri"/>
          <w:sz w:val="24"/>
          <w:szCs w:val="24"/>
          <w:lang w:eastAsia="ar-SA"/>
        </w:rPr>
        <w:t>ines and squealing of bra</w:t>
      </w:r>
      <w:r w:rsidR="008358D8" w:rsidRPr="00FA3678">
        <w:rPr>
          <w:rFonts w:eastAsia="Calibri" w:cs="Calibri"/>
          <w:sz w:val="24"/>
          <w:szCs w:val="24"/>
          <w:lang w:eastAsia="ar-SA"/>
        </w:rPr>
        <w:t xml:space="preserve">kes, ear drums are hammered by the continuous blast of automobile horns. </w:t>
      </w:r>
      <w:r w:rsidR="009676BF" w:rsidRPr="00FA3678">
        <w:rPr>
          <w:rFonts w:eastAsia="Calibri" w:cs="Calibri"/>
          <w:sz w:val="24"/>
          <w:szCs w:val="24"/>
          <w:lang w:eastAsia="ar-SA"/>
        </w:rPr>
        <w:t xml:space="preserve">The noise </w:t>
      </w:r>
      <w:r w:rsidR="00751730" w:rsidRPr="00FA3678">
        <w:rPr>
          <w:rFonts w:eastAsia="Calibri" w:cs="Calibri"/>
          <w:sz w:val="24"/>
          <w:szCs w:val="24"/>
          <w:lang w:eastAsia="ar-SA"/>
        </w:rPr>
        <w:t>pollution is not only affecting school children and hospital patients, it is contributing to increased stress and heart diseases and causing the onset of age related deafness 15 years earlier than the normal.’</w:t>
      </w:r>
    </w:p>
    <w:p w:rsidR="00915807" w:rsidRPr="00FA3678" w:rsidRDefault="00915807" w:rsidP="00FA3678">
      <w:pPr>
        <w:widowControl w:val="0"/>
        <w:tabs>
          <w:tab w:val="left" w:pos="603"/>
        </w:tabs>
        <w:suppressAutoHyphens/>
        <w:spacing w:after="0"/>
        <w:rPr>
          <w:rFonts w:eastAsia="Calibri" w:cs="Calibri"/>
          <w:sz w:val="24"/>
          <w:szCs w:val="24"/>
          <w:lang w:eastAsia="ar-SA"/>
        </w:rPr>
      </w:pPr>
    </w:p>
    <w:p w:rsidR="00175857" w:rsidRPr="00FA3678" w:rsidRDefault="00C162C3" w:rsidP="00FA3678">
      <w:pPr>
        <w:widowControl w:val="0"/>
        <w:tabs>
          <w:tab w:val="left" w:pos="603"/>
        </w:tabs>
        <w:suppressAutoHyphens/>
        <w:spacing w:after="0"/>
        <w:rPr>
          <w:rFonts w:eastAsia="Calibri" w:cs="Calibri"/>
          <w:sz w:val="24"/>
          <w:szCs w:val="24"/>
          <w:lang w:eastAsia="ar-SA"/>
        </w:rPr>
      </w:pPr>
      <w:r w:rsidRPr="00FA3678">
        <w:rPr>
          <w:rFonts w:eastAsia="Calibri" w:cs="Calibri"/>
          <w:sz w:val="24"/>
          <w:szCs w:val="24"/>
          <w:lang w:eastAsia="ar-SA"/>
        </w:rPr>
        <w:t>It appears that the aspir</w:t>
      </w:r>
      <w:r w:rsidR="008E4C79" w:rsidRPr="00FA3678">
        <w:rPr>
          <w:rFonts w:eastAsia="Calibri" w:cs="Calibri"/>
          <w:sz w:val="24"/>
          <w:szCs w:val="24"/>
          <w:lang w:eastAsia="ar-SA"/>
        </w:rPr>
        <w:t xml:space="preserve">ational right to an environment </w:t>
      </w:r>
      <w:r w:rsidR="008358D8" w:rsidRPr="00FA3678">
        <w:rPr>
          <w:rFonts w:eastAsia="Calibri" w:cs="Calibri"/>
          <w:sz w:val="24"/>
          <w:szCs w:val="24"/>
          <w:lang w:eastAsia="ar-SA"/>
        </w:rPr>
        <w:t>through judicial interpretation</w:t>
      </w:r>
      <w:r w:rsidR="00DE72CC">
        <w:rPr>
          <w:rFonts w:eastAsia="Calibri" w:cs="Calibri"/>
          <w:sz w:val="24"/>
          <w:szCs w:val="24"/>
          <w:lang w:eastAsia="ar-SA"/>
        </w:rPr>
        <w:t xml:space="preserve"> may</w:t>
      </w:r>
      <w:r w:rsidR="007F365C">
        <w:rPr>
          <w:rFonts w:eastAsia="Calibri" w:cs="Calibri"/>
          <w:sz w:val="24"/>
          <w:szCs w:val="24"/>
          <w:lang w:eastAsia="ar-SA"/>
        </w:rPr>
        <w:t xml:space="preserve"> only ascribe</w:t>
      </w:r>
      <w:r w:rsidRPr="00FA3678">
        <w:rPr>
          <w:rFonts w:eastAsia="Calibri" w:cs="Calibri"/>
          <w:sz w:val="24"/>
          <w:szCs w:val="24"/>
          <w:lang w:eastAsia="ar-SA"/>
        </w:rPr>
        <w:t xml:space="preserve"> </w:t>
      </w:r>
      <w:r w:rsidR="00462790" w:rsidRPr="00FA3678">
        <w:rPr>
          <w:rFonts w:eastAsia="Calibri" w:cs="Calibri"/>
          <w:sz w:val="24"/>
          <w:szCs w:val="24"/>
          <w:lang w:eastAsia="ar-SA"/>
        </w:rPr>
        <w:t>a value or status to an entitlement which</w:t>
      </w:r>
      <w:r w:rsidR="00A2649E" w:rsidRPr="00FA3678">
        <w:rPr>
          <w:rFonts w:eastAsia="Calibri" w:cs="Calibri"/>
          <w:sz w:val="24"/>
          <w:szCs w:val="24"/>
          <w:lang w:eastAsia="ar-SA"/>
        </w:rPr>
        <w:t xml:space="preserve"> </w:t>
      </w:r>
      <w:r w:rsidR="00A3053E" w:rsidRPr="00FA3678">
        <w:rPr>
          <w:rFonts w:eastAsia="Calibri" w:cs="Calibri"/>
          <w:sz w:val="24"/>
          <w:szCs w:val="24"/>
          <w:lang w:eastAsia="ar-SA"/>
        </w:rPr>
        <w:t>may or may not be implemented.</w:t>
      </w:r>
    </w:p>
    <w:p w:rsidR="00B65C38" w:rsidRPr="00FA3678" w:rsidRDefault="00B65C38" w:rsidP="00FA3678">
      <w:pPr>
        <w:widowControl w:val="0"/>
        <w:tabs>
          <w:tab w:val="left" w:pos="603"/>
        </w:tabs>
        <w:suppressAutoHyphens/>
        <w:spacing w:after="0"/>
        <w:rPr>
          <w:rFonts w:eastAsia="Calibri" w:cs="Calibri"/>
          <w:b/>
          <w:sz w:val="24"/>
          <w:szCs w:val="24"/>
          <w:lang w:eastAsia="ar-SA"/>
        </w:rPr>
      </w:pPr>
    </w:p>
    <w:p w:rsidR="004A0752" w:rsidRPr="00FA3678" w:rsidRDefault="004A0752" w:rsidP="00FA3678">
      <w:pPr>
        <w:widowControl w:val="0"/>
        <w:tabs>
          <w:tab w:val="left" w:pos="603"/>
        </w:tabs>
        <w:suppressAutoHyphens/>
        <w:spacing w:after="0"/>
        <w:rPr>
          <w:b/>
          <w:sz w:val="24"/>
          <w:szCs w:val="24"/>
        </w:rPr>
      </w:pPr>
      <w:r w:rsidRPr="00FA3678">
        <w:rPr>
          <w:b/>
          <w:sz w:val="24"/>
          <w:szCs w:val="24"/>
        </w:rPr>
        <w:t>3.3 The Principle of Sustainable Development</w:t>
      </w:r>
    </w:p>
    <w:p w:rsidR="00915807" w:rsidRPr="00FA3678" w:rsidRDefault="00915807" w:rsidP="00FA3678">
      <w:pPr>
        <w:widowControl w:val="0"/>
        <w:tabs>
          <w:tab w:val="left" w:pos="603"/>
        </w:tabs>
        <w:suppressAutoHyphens/>
        <w:spacing w:after="0"/>
        <w:rPr>
          <w:sz w:val="24"/>
          <w:szCs w:val="24"/>
        </w:rPr>
      </w:pPr>
    </w:p>
    <w:p w:rsidR="00373C55" w:rsidRPr="00FA3678" w:rsidRDefault="00373C55" w:rsidP="00FA3678">
      <w:pPr>
        <w:widowControl w:val="0"/>
        <w:tabs>
          <w:tab w:val="left" w:pos="603"/>
        </w:tabs>
        <w:suppressAutoHyphens/>
        <w:spacing w:after="0"/>
        <w:rPr>
          <w:sz w:val="24"/>
          <w:szCs w:val="24"/>
        </w:rPr>
      </w:pPr>
      <w:r w:rsidRPr="00FA3678">
        <w:rPr>
          <w:sz w:val="24"/>
          <w:szCs w:val="24"/>
        </w:rPr>
        <w:t>The principle of sustai</w:t>
      </w:r>
      <w:r w:rsidR="00324DC2" w:rsidRPr="00FA3678">
        <w:rPr>
          <w:sz w:val="24"/>
          <w:szCs w:val="24"/>
        </w:rPr>
        <w:t>nable development reconciles</w:t>
      </w:r>
      <w:r w:rsidRPr="00FA3678">
        <w:rPr>
          <w:sz w:val="24"/>
          <w:szCs w:val="24"/>
        </w:rPr>
        <w:t xml:space="preserve"> three pillars</w:t>
      </w:r>
      <w:r w:rsidR="008B7404" w:rsidRPr="00FA3678">
        <w:rPr>
          <w:sz w:val="24"/>
          <w:szCs w:val="24"/>
        </w:rPr>
        <w:t>:</w:t>
      </w:r>
      <w:r w:rsidRPr="00FA3678">
        <w:rPr>
          <w:sz w:val="24"/>
          <w:szCs w:val="24"/>
        </w:rPr>
        <w:t xml:space="preserve"> economic development, social equity and environmental protection by adopting a developmental path</w:t>
      </w:r>
      <w:r w:rsidR="008B7404" w:rsidRPr="00FA3678">
        <w:rPr>
          <w:sz w:val="24"/>
          <w:szCs w:val="24"/>
        </w:rPr>
        <w:t>.</w:t>
      </w:r>
      <w:r w:rsidR="00F85AB3" w:rsidRPr="00FA3678">
        <w:rPr>
          <w:rStyle w:val="FootnoteReference"/>
          <w:sz w:val="24"/>
          <w:szCs w:val="24"/>
        </w:rPr>
        <w:footnoteReference w:id="87"/>
      </w:r>
      <w:r w:rsidR="008B7404" w:rsidRPr="00FA3678">
        <w:rPr>
          <w:sz w:val="24"/>
          <w:szCs w:val="24"/>
        </w:rPr>
        <w:t xml:space="preserve"> This extends from now into</w:t>
      </w:r>
      <w:r w:rsidRPr="00FA3678">
        <w:rPr>
          <w:sz w:val="24"/>
          <w:szCs w:val="24"/>
        </w:rPr>
        <w:t xml:space="preserve"> </w:t>
      </w:r>
      <w:r w:rsidR="008B7404" w:rsidRPr="00FA3678">
        <w:rPr>
          <w:sz w:val="24"/>
          <w:szCs w:val="24"/>
        </w:rPr>
        <w:t>the</w:t>
      </w:r>
      <w:r w:rsidRPr="00FA3678">
        <w:rPr>
          <w:sz w:val="24"/>
          <w:szCs w:val="24"/>
        </w:rPr>
        <w:t xml:space="preserve"> distant future </w:t>
      </w:r>
      <w:r w:rsidR="008B7404" w:rsidRPr="00FA3678">
        <w:rPr>
          <w:sz w:val="24"/>
          <w:szCs w:val="24"/>
        </w:rPr>
        <w:t>in such a manner that both</w:t>
      </w:r>
      <w:r w:rsidR="00D45F77" w:rsidRPr="00FA3678">
        <w:rPr>
          <w:sz w:val="24"/>
          <w:szCs w:val="24"/>
        </w:rPr>
        <w:t xml:space="preserve"> present</w:t>
      </w:r>
      <w:r w:rsidR="008B7404" w:rsidRPr="00FA3678">
        <w:rPr>
          <w:sz w:val="24"/>
          <w:szCs w:val="24"/>
        </w:rPr>
        <w:t xml:space="preserve"> and future generations benefit</w:t>
      </w:r>
      <w:r w:rsidR="00D45F77" w:rsidRPr="00FA3678">
        <w:rPr>
          <w:sz w:val="24"/>
          <w:szCs w:val="24"/>
        </w:rPr>
        <w:t>.</w:t>
      </w:r>
      <w:r w:rsidR="00021C33" w:rsidRPr="00FA3678">
        <w:rPr>
          <w:sz w:val="24"/>
          <w:szCs w:val="24"/>
        </w:rPr>
        <w:t xml:space="preserve"> The fundamental concepts of integration </w:t>
      </w:r>
      <w:r w:rsidR="00324DC2" w:rsidRPr="00FA3678">
        <w:rPr>
          <w:sz w:val="24"/>
          <w:szCs w:val="24"/>
        </w:rPr>
        <w:t xml:space="preserve">and equity are inter-woven in an </w:t>
      </w:r>
      <w:r w:rsidR="004D13FC" w:rsidRPr="00FA3678">
        <w:rPr>
          <w:sz w:val="24"/>
          <w:szCs w:val="24"/>
        </w:rPr>
        <w:t>explicitly normative principle. The principle represents a formalization of the intuitively attractive idea of a balanced synthesis of environmental and developmental imperatives ensur</w:t>
      </w:r>
      <w:r w:rsidR="001E13F5" w:rsidRPr="00FA3678">
        <w:rPr>
          <w:sz w:val="24"/>
          <w:szCs w:val="24"/>
        </w:rPr>
        <w:t>ing social</w:t>
      </w:r>
      <w:r w:rsidR="004D13FC" w:rsidRPr="00FA3678">
        <w:rPr>
          <w:sz w:val="24"/>
          <w:szCs w:val="24"/>
        </w:rPr>
        <w:t xml:space="preserve"> sustainability.</w:t>
      </w:r>
    </w:p>
    <w:p w:rsidR="00915807" w:rsidRPr="00FA3678" w:rsidRDefault="00915807" w:rsidP="00FA3678">
      <w:pPr>
        <w:widowControl w:val="0"/>
        <w:tabs>
          <w:tab w:val="left" w:pos="603"/>
        </w:tabs>
        <w:suppressAutoHyphens/>
        <w:spacing w:after="0"/>
        <w:rPr>
          <w:sz w:val="24"/>
          <w:szCs w:val="24"/>
        </w:rPr>
      </w:pPr>
    </w:p>
    <w:p w:rsidR="00C76B9B" w:rsidRDefault="00C76B9B" w:rsidP="00FA3678">
      <w:pPr>
        <w:widowControl w:val="0"/>
        <w:tabs>
          <w:tab w:val="left" w:pos="603"/>
        </w:tabs>
        <w:suppressAutoHyphens/>
        <w:spacing w:after="0"/>
        <w:rPr>
          <w:sz w:val="24"/>
          <w:szCs w:val="24"/>
        </w:rPr>
      </w:pPr>
      <w:r w:rsidRPr="00FA3678">
        <w:rPr>
          <w:sz w:val="24"/>
          <w:szCs w:val="24"/>
        </w:rPr>
        <w:t>The principle of s</w:t>
      </w:r>
      <w:r w:rsidR="00C202EE">
        <w:rPr>
          <w:sz w:val="24"/>
          <w:szCs w:val="24"/>
        </w:rPr>
        <w:t>ustainable development is</w:t>
      </w:r>
      <w:r w:rsidR="00BF5FE2" w:rsidRPr="00FA3678">
        <w:rPr>
          <w:sz w:val="24"/>
          <w:szCs w:val="24"/>
        </w:rPr>
        <w:t xml:space="preserve"> an essential feature of</w:t>
      </w:r>
      <w:r w:rsidRPr="00FA3678">
        <w:rPr>
          <w:sz w:val="24"/>
          <w:szCs w:val="24"/>
        </w:rPr>
        <w:t xml:space="preserve"> India’</w:t>
      </w:r>
      <w:r w:rsidR="00BF5FE2" w:rsidRPr="00FA3678">
        <w:rPr>
          <w:sz w:val="24"/>
          <w:szCs w:val="24"/>
        </w:rPr>
        <w:t>s environmental jurisprudence</w:t>
      </w:r>
      <w:r w:rsidR="00D97903" w:rsidRPr="00FA3678">
        <w:rPr>
          <w:rStyle w:val="FootnoteReference"/>
          <w:sz w:val="24"/>
          <w:szCs w:val="24"/>
        </w:rPr>
        <w:footnoteReference w:id="88"/>
      </w:r>
      <w:r w:rsidR="00BF5FE2" w:rsidRPr="00FA3678">
        <w:rPr>
          <w:sz w:val="24"/>
          <w:szCs w:val="24"/>
        </w:rPr>
        <w:t>.</w:t>
      </w:r>
      <w:r w:rsidR="00324DC2" w:rsidRPr="00FA3678">
        <w:rPr>
          <w:sz w:val="24"/>
          <w:szCs w:val="24"/>
        </w:rPr>
        <w:t xml:space="preserve"> Section 20 of the NGT Act</w:t>
      </w:r>
      <w:r w:rsidR="006E477C" w:rsidRPr="00FA3678">
        <w:rPr>
          <w:sz w:val="24"/>
          <w:szCs w:val="24"/>
        </w:rPr>
        <w:t xml:space="preserve"> mandates the application of </w:t>
      </w:r>
      <w:r w:rsidR="00324DC2" w:rsidRPr="00FA3678">
        <w:rPr>
          <w:sz w:val="24"/>
          <w:szCs w:val="24"/>
        </w:rPr>
        <w:t>this</w:t>
      </w:r>
      <w:r w:rsidR="008B7404" w:rsidRPr="00FA3678">
        <w:rPr>
          <w:sz w:val="24"/>
          <w:szCs w:val="24"/>
        </w:rPr>
        <w:t xml:space="preserve"> principle while deciding</w:t>
      </w:r>
      <w:r w:rsidR="006E477C" w:rsidRPr="00FA3678">
        <w:rPr>
          <w:sz w:val="24"/>
          <w:szCs w:val="24"/>
        </w:rPr>
        <w:t xml:space="preserve"> environmental disputes. The Tribunal </w:t>
      </w:r>
      <w:r w:rsidR="00324DC2" w:rsidRPr="00FA3678">
        <w:rPr>
          <w:sz w:val="24"/>
          <w:szCs w:val="24"/>
        </w:rPr>
        <w:t>is a</w:t>
      </w:r>
      <w:r w:rsidR="00FE7297" w:rsidRPr="00FA3678">
        <w:rPr>
          <w:sz w:val="24"/>
          <w:szCs w:val="24"/>
        </w:rPr>
        <w:t xml:space="preserve"> fulcrum of sustainable development- </w:t>
      </w:r>
      <w:r w:rsidR="00356ED8" w:rsidRPr="00FA3678">
        <w:rPr>
          <w:sz w:val="24"/>
          <w:szCs w:val="24"/>
        </w:rPr>
        <w:t>‘</w:t>
      </w:r>
      <w:r w:rsidR="00FE7297" w:rsidRPr="00FA3678">
        <w:rPr>
          <w:sz w:val="24"/>
          <w:szCs w:val="24"/>
        </w:rPr>
        <w:t xml:space="preserve">a development that can take place and which can be sustained by nature/ecology with or without mitigation. </w:t>
      </w:r>
      <w:r w:rsidR="00356ED8" w:rsidRPr="00FA3678">
        <w:rPr>
          <w:sz w:val="24"/>
          <w:szCs w:val="24"/>
        </w:rPr>
        <w:t xml:space="preserve">In such matters, the required standard is that the risk of harm to the environment or human health is to be decided in public interest  according to a ‘reasonable person’s’ test. The development of the industries, irrigation resources and power projects are necessary to improve employment opportunities and generation of revenue; therefore, cannot be ignored. </w:t>
      </w:r>
      <w:r w:rsidR="00DE6C22" w:rsidRPr="00FA3678">
        <w:rPr>
          <w:sz w:val="24"/>
          <w:szCs w:val="24"/>
        </w:rPr>
        <w:t>In such an eventuality, a balance has to be struck, for the reason that if the activity is allowed to go, there may be irreparable damage to the environment</w:t>
      </w:r>
      <w:r w:rsidR="002B3411" w:rsidRPr="00FA3678">
        <w:rPr>
          <w:sz w:val="24"/>
          <w:szCs w:val="24"/>
        </w:rPr>
        <w:t xml:space="preserve"> </w:t>
      </w:r>
      <w:r w:rsidR="00DE6C22" w:rsidRPr="00FA3678">
        <w:rPr>
          <w:sz w:val="24"/>
          <w:szCs w:val="24"/>
        </w:rPr>
        <w:t>as well</w:t>
      </w:r>
      <w:r w:rsidR="002B3411" w:rsidRPr="00FA3678">
        <w:rPr>
          <w:sz w:val="24"/>
          <w:szCs w:val="24"/>
        </w:rPr>
        <w:t xml:space="preserve"> </w:t>
      </w:r>
      <w:r w:rsidR="00DE6C22" w:rsidRPr="00FA3678">
        <w:rPr>
          <w:sz w:val="24"/>
          <w:szCs w:val="24"/>
        </w:rPr>
        <w:t>as to the economic interest.’</w:t>
      </w:r>
      <w:r w:rsidR="00F8262E" w:rsidRPr="00FA3678">
        <w:rPr>
          <w:rStyle w:val="FootnoteReference"/>
          <w:sz w:val="24"/>
          <w:szCs w:val="24"/>
        </w:rPr>
        <w:footnoteReference w:id="89"/>
      </w:r>
    </w:p>
    <w:p w:rsidR="006E03FC" w:rsidRPr="00FA3678" w:rsidRDefault="006E03FC" w:rsidP="00FA3678">
      <w:pPr>
        <w:widowControl w:val="0"/>
        <w:tabs>
          <w:tab w:val="left" w:pos="603"/>
        </w:tabs>
        <w:suppressAutoHyphens/>
        <w:spacing w:after="0"/>
        <w:rPr>
          <w:sz w:val="24"/>
          <w:szCs w:val="24"/>
        </w:rPr>
      </w:pPr>
    </w:p>
    <w:p w:rsidR="001E6D9A" w:rsidRPr="00FA3678" w:rsidRDefault="001E6D9A" w:rsidP="00FA3678">
      <w:pPr>
        <w:widowControl w:val="0"/>
        <w:tabs>
          <w:tab w:val="left" w:pos="603"/>
        </w:tabs>
        <w:suppressAutoHyphens/>
        <w:spacing w:after="0"/>
        <w:rPr>
          <w:sz w:val="24"/>
          <w:szCs w:val="24"/>
        </w:rPr>
      </w:pPr>
      <w:r w:rsidRPr="00FA3678">
        <w:rPr>
          <w:sz w:val="24"/>
          <w:szCs w:val="24"/>
        </w:rPr>
        <w:t>T</w:t>
      </w:r>
      <w:r w:rsidR="008B7404" w:rsidRPr="00FA3678">
        <w:rPr>
          <w:sz w:val="24"/>
          <w:szCs w:val="24"/>
        </w:rPr>
        <w:t>he above stated principle seeks</w:t>
      </w:r>
      <w:r w:rsidR="00324DC2" w:rsidRPr="00FA3678">
        <w:rPr>
          <w:sz w:val="24"/>
          <w:szCs w:val="24"/>
        </w:rPr>
        <w:t xml:space="preserve"> a balance</w:t>
      </w:r>
      <w:r w:rsidRPr="00FA3678">
        <w:rPr>
          <w:sz w:val="24"/>
          <w:szCs w:val="24"/>
        </w:rPr>
        <w:t xml:space="preserve"> between the quantity of development and the quality of environment. </w:t>
      </w:r>
      <w:r w:rsidR="00FF75C8" w:rsidRPr="00FA3678">
        <w:rPr>
          <w:sz w:val="24"/>
          <w:szCs w:val="24"/>
        </w:rPr>
        <w:t xml:space="preserve">The Indian experience indicates that the implementation of </w:t>
      </w:r>
      <w:r w:rsidR="00FF75C8" w:rsidRPr="00FA3678">
        <w:rPr>
          <w:sz w:val="24"/>
          <w:szCs w:val="24"/>
        </w:rPr>
        <w:lastRenderedPageBreak/>
        <w:t>sustainable develop</w:t>
      </w:r>
      <w:r w:rsidR="008B7404" w:rsidRPr="00FA3678">
        <w:rPr>
          <w:sz w:val="24"/>
          <w:szCs w:val="24"/>
        </w:rPr>
        <w:t>ment as a justiciable principle</w:t>
      </w:r>
      <w:r w:rsidR="00FF75C8" w:rsidRPr="00FA3678">
        <w:rPr>
          <w:sz w:val="24"/>
          <w:szCs w:val="24"/>
        </w:rPr>
        <w:t xml:space="preserve"> has given substance to the principles of proportionality, precaution and inter-generational equity.</w:t>
      </w:r>
      <w:r w:rsidR="006E3823" w:rsidRPr="00FA3678">
        <w:rPr>
          <w:sz w:val="24"/>
          <w:szCs w:val="24"/>
        </w:rPr>
        <w:t xml:space="preserve"> In </w:t>
      </w:r>
      <w:r w:rsidR="006E3823" w:rsidRPr="00FA3678">
        <w:rPr>
          <w:i/>
          <w:sz w:val="24"/>
          <w:szCs w:val="24"/>
        </w:rPr>
        <w:t>M/S Riverside Resorts Ltd v</w:t>
      </w:r>
      <w:r w:rsidR="006E3823" w:rsidRPr="00FA3678">
        <w:rPr>
          <w:sz w:val="24"/>
          <w:szCs w:val="24"/>
        </w:rPr>
        <w:t xml:space="preserve"> </w:t>
      </w:r>
      <w:proofErr w:type="spellStart"/>
      <w:r w:rsidR="006E3823" w:rsidRPr="00FA3678">
        <w:rPr>
          <w:i/>
          <w:sz w:val="24"/>
          <w:szCs w:val="24"/>
        </w:rPr>
        <w:t>Pimpri</w:t>
      </w:r>
      <w:proofErr w:type="spellEnd"/>
      <w:r w:rsidR="006E3823" w:rsidRPr="00FA3678">
        <w:rPr>
          <w:i/>
          <w:sz w:val="24"/>
          <w:szCs w:val="24"/>
        </w:rPr>
        <w:t xml:space="preserve"> </w:t>
      </w:r>
      <w:proofErr w:type="spellStart"/>
      <w:r w:rsidR="006E3823" w:rsidRPr="00FA3678">
        <w:rPr>
          <w:i/>
          <w:sz w:val="24"/>
          <w:szCs w:val="24"/>
        </w:rPr>
        <w:t>Chinchwad</w:t>
      </w:r>
      <w:proofErr w:type="spellEnd"/>
      <w:r w:rsidR="006E3823" w:rsidRPr="00FA3678">
        <w:rPr>
          <w:i/>
          <w:sz w:val="24"/>
          <w:szCs w:val="24"/>
        </w:rPr>
        <w:t xml:space="preserve"> Municipal Corporation</w:t>
      </w:r>
      <w:r w:rsidR="00D55E21" w:rsidRPr="00FA3678">
        <w:rPr>
          <w:rStyle w:val="FootnoteReference"/>
          <w:sz w:val="24"/>
          <w:szCs w:val="24"/>
        </w:rPr>
        <w:footnoteReference w:id="90"/>
      </w:r>
      <w:r w:rsidR="006E03FC">
        <w:rPr>
          <w:sz w:val="24"/>
          <w:szCs w:val="24"/>
        </w:rPr>
        <w:t xml:space="preserve"> the Tribunal explored</w:t>
      </w:r>
      <w:r w:rsidR="006E3823" w:rsidRPr="00FA3678">
        <w:rPr>
          <w:sz w:val="24"/>
          <w:szCs w:val="24"/>
        </w:rPr>
        <w:t xml:space="preserve"> the scope of the word ‘development.’ </w:t>
      </w:r>
      <w:r w:rsidR="00F01A55" w:rsidRPr="00FA3678">
        <w:rPr>
          <w:sz w:val="24"/>
          <w:szCs w:val="24"/>
        </w:rPr>
        <w:t>The issue before the NGT was the application of sustainable development to allow the proposed construction of a crematorium within the prohibited area [river bank] likely to cause serious damage to the environment due to the reduction of the width of the river and enhanced possibility of causing damage to crops, properties or human beings in the area.</w:t>
      </w:r>
      <w:r w:rsidR="0033602F" w:rsidRPr="00FA3678">
        <w:rPr>
          <w:sz w:val="24"/>
          <w:szCs w:val="24"/>
        </w:rPr>
        <w:t xml:space="preserve"> The Tribunal was of the opinion that the </w:t>
      </w:r>
      <w:r w:rsidR="00EC1BBE" w:rsidRPr="00FA3678">
        <w:rPr>
          <w:sz w:val="24"/>
          <w:szCs w:val="24"/>
        </w:rPr>
        <w:t>‘</w:t>
      </w:r>
      <w:r w:rsidR="0033602F" w:rsidRPr="00FA3678">
        <w:rPr>
          <w:sz w:val="24"/>
          <w:szCs w:val="24"/>
        </w:rPr>
        <w:t>place of cremation/incineration is only a public utility service provided for the disposal</w:t>
      </w:r>
      <w:r w:rsidR="006E074E" w:rsidRPr="00FA3678">
        <w:rPr>
          <w:sz w:val="24"/>
          <w:szCs w:val="24"/>
        </w:rPr>
        <w:t xml:space="preserve"> of dead bodies.</w:t>
      </w:r>
      <w:r w:rsidR="00D97903" w:rsidRPr="00FA3678">
        <w:rPr>
          <w:sz w:val="24"/>
          <w:szCs w:val="24"/>
        </w:rPr>
        <w:t xml:space="preserve"> By no stretch of imagination </w:t>
      </w:r>
      <w:r w:rsidR="001449BF" w:rsidRPr="00FA3678">
        <w:rPr>
          <w:sz w:val="24"/>
          <w:szCs w:val="24"/>
        </w:rPr>
        <w:t>can it</w:t>
      </w:r>
      <w:r w:rsidR="006E074E" w:rsidRPr="00FA3678">
        <w:rPr>
          <w:sz w:val="24"/>
          <w:szCs w:val="24"/>
        </w:rPr>
        <w:t xml:space="preserve"> be </w:t>
      </w:r>
      <w:r w:rsidR="001449BF" w:rsidRPr="00FA3678">
        <w:rPr>
          <w:sz w:val="24"/>
          <w:szCs w:val="24"/>
        </w:rPr>
        <w:t>defined a</w:t>
      </w:r>
      <w:r w:rsidR="006E074E" w:rsidRPr="00FA3678">
        <w:rPr>
          <w:sz w:val="24"/>
          <w:szCs w:val="24"/>
        </w:rPr>
        <w:t xml:space="preserve">s a ‘developmental activity’ or ‘sustainable development’ within the meaning of environmental laws. The cremation/incineration does not lead to any production or development of anything new or creation of something </w:t>
      </w:r>
      <w:r w:rsidR="00EC1BBE" w:rsidRPr="00FA3678">
        <w:rPr>
          <w:sz w:val="24"/>
          <w:szCs w:val="24"/>
        </w:rPr>
        <w:t>which may be needed as development activity for the progression of the society.’</w:t>
      </w:r>
      <w:r w:rsidR="006D3105" w:rsidRPr="00FA3678">
        <w:rPr>
          <w:sz w:val="24"/>
          <w:szCs w:val="24"/>
        </w:rPr>
        <w:t xml:space="preserve"> Thus, the proposed construction was illegal, against the environme</w:t>
      </w:r>
      <w:r w:rsidR="00BB51BD" w:rsidRPr="00FA3678">
        <w:rPr>
          <w:sz w:val="24"/>
          <w:szCs w:val="24"/>
        </w:rPr>
        <w:t>ntal parameters and</w:t>
      </w:r>
      <w:r w:rsidR="001449BF" w:rsidRPr="00FA3678">
        <w:rPr>
          <w:sz w:val="24"/>
          <w:szCs w:val="24"/>
        </w:rPr>
        <w:t xml:space="preserve"> </w:t>
      </w:r>
      <w:r w:rsidR="008146B2" w:rsidRPr="00FA3678">
        <w:rPr>
          <w:sz w:val="24"/>
          <w:szCs w:val="24"/>
        </w:rPr>
        <w:t xml:space="preserve">was </w:t>
      </w:r>
      <w:r w:rsidR="001449BF" w:rsidRPr="00FA3678">
        <w:rPr>
          <w:sz w:val="24"/>
          <w:szCs w:val="24"/>
        </w:rPr>
        <w:t>stopped</w:t>
      </w:r>
      <w:r w:rsidR="006D3105" w:rsidRPr="00FA3678">
        <w:rPr>
          <w:sz w:val="24"/>
          <w:szCs w:val="24"/>
        </w:rPr>
        <w:t>.</w:t>
      </w:r>
    </w:p>
    <w:p w:rsidR="00915807" w:rsidRPr="00FA3678" w:rsidRDefault="00915807" w:rsidP="00FA3678">
      <w:pPr>
        <w:widowControl w:val="0"/>
        <w:tabs>
          <w:tab w:val="left" w:pos="603"/>
        </w:tabs>
        <w:suppressAutoHyphens/>
        <w:spacing w:after="0"/>
        <w:rPr>
          <w:sz w:val="24"/>
          <w:szCs w:val="24"/>
        </w:rPr>
      </w:pPr>
    </w:p>
    <w:p w:rsidR="00B61FFD" w:rsidRPr="00FA3678" w:rsidRDefault="00CE557E" w:rsidP="00FA3678">
      <w:pPr>
        <w:widowControl w:val="0"/>
        <w:tabs>
          <w:tab w:val="left" w:pos="603"/>
        </w:tabs>
        <w:suppressAutoHyphens/>
        <w:spacing w:after="0"/>
        <w:rPr>
          <w:sz w:val="24"/>
          <w:szCs w:val="24"/>
        </w:rPr>
      </w:pPr>
      <w:r w:rsidRPr="00FA3678">
        <w:rPr>
          <w:sz w:val="24"/>
          <w:szCs w:val="24"/>
        </w:rPr>
        <w:t xml:space="preserve">In </w:t>
      </w:r>
      <w:proofErr w:type="spellStart"/>
      <w:r w:rsidRPr="00FA3678">
        <w:rPr>
          <w:i/>
          <w:sz w:val="24"/>
          <w:szCs w:val="24"/>
        </w:rPr>
        <w:t>Sarang</w:t>
      </w:r>
      <w:proofErr w:type="spellEnd"/>
      <w:r w:rsidRPr="00FA3678">
        <w:rPr>
          <w:i/>
          <w:sz w:val="24"/>
          <w:szCs w:val="24"/>
        </w:rPr>
        <w:t xml:space="preserve"> </w:t>
      </w:r>
      <w:proofErr w:type="spellStart"/>
      <w:r w:rsidRPr="00FA3678">
        <w:rPr>
          <w:i/>
          <w:sz w:val="24"/>
          <w:szCs w:val="24"/>
        </w:rPr>
        <w:t>Yadwadkar</w:t>
      </w:r>
      <w:proofErr w:type="spellEnd"/>
      <w:r w:rsidRPr="00FA3678">
        <w:rPr>
          <w:i/>
          <w:sz w:val="24"/>
          <w:szCs w:val="24"/>
        </w:rPr>
        <w:t xml:space="preserve"> v The Commissioner, Pune Municipal Corporation</w:t>
      </w:r>
      <w:r w:rsidR="00BA3FBC" w:rsidRPr="00FA3678">
        <w:rPr>
          <w:rStyle w:val="FootnoteReference"/>
          <w:sz w:val="24"/>
          <w:szCs w:val="24"/>
        </w:rPr>
        <w:footnoteReference w:id="91"/>
      </w:r>
      <w:r w:rsidRPr="00FA3678">
        <w:rPr>
          <w:sz w:val="24"/>
          <w:szCs w:val="24"/>
        </w:rPr>
        <w:t xml:space="preserve"> the Tribunal allowed the construction of a road wit</w:t>
      </w:r>
      <w:r w:rsidR="001449BF" w:rsidRPr="00FA3678">
        <w:rPr>
          <w:sz w:val="24"/>
          <w:szCs w:val="24"/>
        </w:rPr>
        <w:t>hin</w:t>
      </w:r>
      <w:r w:rsidR="00AC0FF2" w:rsidRPr="00FA3678">
        <w:rPr>
          <w:sz w:val="24"/>
          <w:szCs w:val="24"/>
        </w:rPr>
        <w:t xml:space="preserve"> the floodplain</w:t>
      </w:r>
      <w:r w:rsidRPr="00FA3678">
        <w:rPr>
          <w:sz w:val="24"/>
          <w:szCs w:val="24"/>
        </w:rPr>
        <w:t xml:space="preserve"> but subject to strin</w:t>
      </w:r>
      <w:r w:rsidR="004F4C56">
        <w:rPr>
          <w:sz w:val="24"/>
          <w:szCs w:val="24"/>
        </w:rPr>
        <w:t>gent conditions. Keeping in mind</w:t>
      </w:r>
      <w:r w:rsidRPr="00FA3678">
        <w:rPr>
          <w:sz w:val="24"/>
          <w:szCs w:val="24"/>
        </w:rPr>
        <w:t xml:space="preserve"> the peculiar facts of the case, the Tribunal ordered the construction of </w:t>
      </w:r>
      <w:r w:rsidR="00DE6095" w:rsidRPr="00FA3678">
        <w:rPr>
          <w:sz w:val="24"/>
          <w:szCs w:val="24"/>
        </w:rPr>
        <w:t xml:space="preserve">the </w:t>
      </w:r>
      <w:r w:rsidRPr="00FA3678">
        <w:rPr>
          <w:sz w:val="24"/>
          <w:szCs w:val="24"/>
        </w:rPr>
        <w:t>road on elevate</w:t>
      </w:r>
      <w:r w:rsidR="00AC0FF2" w:rsidRPr="00FA3678">
        <w:rPr>
          <w:sz w:val="24"/>
          <w:szCs w:val="24"/>
        </w:rPr>
        <w:t>d pillars in the area of</w:t>
      </w:r>
      <w:r w:rsidR="00EC03D3">
        <w:rPr>
          <w:sz w:val="24"/>
          <w:szCs w:val="24"/>
        </w:rPr>
        <w:t xml:space="preserve"> the</w:t>
      </w:r>
      <w:r w:rsidR="00AC0FF2" w:rsidRPr="00FA3678">
        <w:rPr>
          <w:sz w:val="24"/>
          <w:szCs w:val="24"/>
        </w:rPr>
        <w:t xml:space="preserve"> floodplain</w:t>
      </w:r>
      <w:r w:rsidR="00741867" w:rsidRPr="00FA3678">
        <w:rPr>
          <w:sz w:val="24"/>
          <w:szCs w:val="24"/>
        </w:rPr>
        <w:t>, irrespective of the additional</w:t>
      </w:r>
      <w:r w:rsidR="00FE5F7C" w:rsidRPr="00FA3678">
        <w:rPr>
          <w:sz w:val="24"/>
          <w:szCs w:val="24"/>
        </w:rPr>
        <w:t xml:space="preserve"> costs,</w:t>
      </w:r>
      <w:r w:rsidR="00AC0FF2" w:rsidRPr="00FA3678">
        <w:rPr>
          <w:sz w:val="24"/>
          <w:szCs w:val="24"/>
        </w:rPr>
        <w:t xml:space="preserve"> as it would neither obstruct the flow of </w:t>
      </w:r>
      <w:r w:rsidR="007F76F2">
        <w:rPr>
          <w:sz w:val="24"/>
          <w:szCs w:val="24"/>
        </w:rPr>
        <w:t xml:space="preserve">the </w:t>
      </w:r>
      <w:r w:rsidR="00AC0FF2" w:rsidRPr="00FA3678">
        <w:rPr>
          <w:sz w:val="24"/>
          <w:szCs w:val="24"/>
        </w:rPr>
        <w:t>river nor narrow the f</w:t>
      </w:r>
      <w:r w:rsidR="00327350" w:rsidRPr="00FA3678">
        <w:rPr>
          <w:sz w:val="24"/>
          <w:szCs w:val="24"/>
        </w:rPr>
        <w:t xml:space="preserve">loodplain. </w:t>
      </w:r>
      <w:r w:rsidR="00B61FFD" w:rsidRPr="00FA3678">
        <w:rPr>
          <w:sz w:val="24"/>
          <w:szCs w:val="24"/>
        </w:rPr>
        <w:t>The scientific expert evidence supports the argument that encroachment of floodplains, even a small portion, impairs the hydrological functions including groundwater recharge, biological productivity, sediment trapping and stabilization, habitat for flora and fauna and nutrient storage of the floodplain ecosystem, thereby, creating problems for the present and future generations.</w:t>
      </w:r>
      <w:r w:rsidR="004C063D" w:rsidRPr="00FA3678">
        <w:rPr>
          <w:sz w:val="24"/>
          <w:szCs w:val="24"/>
        </w:rPr>
        <w:t xml:space="preserve"> </w:t>
      </w:r>
    </w:p>
    <w:p w:rsidR="00EC697B" w:rsidRDefault="00EC697B" w:rsidP="00FA3678">
      <w:pPr>
        <w:widowControl w:val="0"/>
        <w:tabs>
          <w:tab w:val="left" w:pos="603"/>
        </w:tabs>
        <w:suppressAutoHyphens/>
        <w:spacing w:after="0"/>
        <w:rPr>
          <w:sz w:val="24"/>
          <w:szCs w:val="24"/>
        </w:rPr>
      </w:pPr>
    </w:p>
    <w:p w:rsidR="0080569F" w:rsidRPr="00FA3678" w:rsidRDefault="006D741E" w:rsidP="00FA3678">
      <w:pPr>
        <w:widowControl w:val="0"/>
        <w:tabs>
          <w:tab w:val="left" w:pos="603"/>
        </w:tabs>
        <w:suppressAutoHyphens/>
        <w:spacing w:after="0"/>
        <w:rPr>
          <w:sz w:val="24"/>
          <w:szCs w:val="24"/>
        </w:rPr>
      </w:pPr>
      <w:r w:rsidRPr="00FA3678">
        <w:rPr>
          <w:sz w:val="24"/>
          <w:szCs w:val="24"/>
        </w:rPr>
        <w:t>This paper argues</w:t>
      </w:r>
      <w:r w:rsidR="0080569F" w:rsidRPr="00FA3678">
        <w:rPr>
          <w:sz w:val="24"/>
          <w:szCs w:val="24"/>
        </w:rPr>
        <w:t xml:space="preserve"> that the principle of sustainable development inserts an accountability</w:t>
      </w:r>
      <w:r w:rsidR="00B6690F" w:rsidRPr="00FA3678">
        <w:rPr>
          <w:sz w:val="24"/>
          <w:szCs w:val="24"/>
        </w:rPr>
        <w:t xml:space="preserve"> focused approach whereby</w:t>
      </w:r>
      <w:r w:rsidR="0080569F" w:rsidRPr="00FA3678">
        <w:rPr>
          <w:sz w:val="24"/>
          <w:szCs w:val="24"/>
        </w:rPr>
        <w:t xml:space="preserve"> the authorities cannot be permitted to cause irreversible damage to the environment in the name of developmental activities undertaken in the greater public interest. In delivering its judgment, the Tribunal struck a balance between protecting the environment and the greater public inte</w:t>
      </w:r>
      <w:r w:rsidR="001449BF" w:rsidRPr="00FA3678">
        <w:rPr>
          <w:sz w:val="24"/>
          <w:szCs w:val="24"/>
        </w:rPr>
        <w:t>rest of protecting people’s lives</w:t>
      </w:r>
      <w:r w:rsidR="0080569F" w:rsidRPr="00FA3678">
        <w:rPr>
          <w:sz w:val="24"/>
          <w:szCs w:val="24"/>
        </w:rPr>
        <w:t xml:space="preserve"> against the t</w:t>
      </w:r>
      <w:r w:rsidR="00EC697B">
        <w:rPr>
          <w:sz w:val="24"/>
          <w:szCs w:val="24"/>
        </w:rPr>
        <w:t>hreat of flooding and disaster</w:t>
      </w:r>
      <w:r w:rsidR="005B4D25">
        <w:rPr>
          <w:sz w:val="24"/>
          <w:szCs w:val="24"/>
        </w:rPr>
        <w:t xml:space="preserve"> by allowing an elevated road building that did not damage the floodplain.</w:t>
      </w:r>
    </w:p>
    <w:p w:rsidR="00915807" w:rsidRPr="00FA3678" w:rsidRDefault="00915807" w:rsidP="00FA3678">
      <w:pPr>
        <w:widowControl w:val="0"/>
        <w:tabs>
          <w:tab w:val="left" w:pos="603"/>
        </w:tabs>
        <w:suppressAutoHyphens/>
        <w:spacing w:after="0"/>
        <w:rPr>
          <w:sz w:val="24"/>
          <w:szCs w:val="24"/>
        </w:rPr>
      </w:pPr>
    </w:p>
    <w:p w:rsidR="009A5CC3" w:rsidRPr="00FA3678" w:rsidRDefault="009A5CC3" w:rsidP="00FA3678">
      <w:pPr>
        <w:widowControl w:val="0"/>
        <w:tabs>
          <w:tab w:val="left" w:pos="603"/>
        </w:tabs>
        <w:suppressAutoHyphens/>
        <w:spacing w:after="0"/>
        <w:rPr>
          <w:sz w:val="24"/>
          <w:szCs w:val="24"/>
        </w:rPr>
      </w:pPr>
      <w:r w:rsidRPr="00FA3678">
        <w:rPr>
          <w:sz w:val="24"/>
          <w:szCs w:val="24"/>
        </w:rPr>
        <w:t xml:space="preserve">In </w:t>
      </w:r>
      <w:r w:rsidRPr="00FA3678">
        <w:rPr>
          <w:i/>
          <w:sz w:val="24"/>
          <w:szCs w:val="24"/>
        </w:rPr>
        <w:t xml:space="preserve">B </w:t>
      </w:r>
      <w:proofErr w:type="spellStart"/>
      <w:r w:rsidRPr="00FA3678">
        <w:rPr>
          <w:i/>
          <w:sz w:val="24"/>
          <w:szCs w:val="24"/>
        </w:rPr>
        <w:t>B</w:t>
      </w:r>
      <w:proofErr w:type="spellEnd"/>
      <w:r w:rsidRPr="00FA3678">
        <w:rPr>
          <w:i/>
          <w:sz w:val="24"/>
          <w:szCs w:val="24"/>
        </w:rPr>
        <w:t xml:space="preserve"> </w:t>
      </w:r>
      <w:proofErr w:type="spellStart"/>
      <w:r w:rsidRPr="00FA3678">
        <w:rPr>
          <w:i/>
          <w:sz w:val="24"/>
          <w:szCs w:val="24"/>
        </w:rPr>
        <w:t>Nalwade</w:t>
      </w:r>
      <w:proofErr w:type="spellEnd"/>
      <w:r w:rsidRPr="00FA3678">
        <w:rPr>
          <w:i/>
          <w:sz w:val="24"/>
          <w:szCs w:val="24"/>
        </w:rPr>
        <w:t xml:space="preserve"> v Ministry of Environment and Forests</w:t>
      </w:r>
      <w:r w:rsidR="00E11A29" w:rsidRPr="00FA3678">
        <w:rPr>
          <w:rStyle w:val="FootnoteReference"/>
          <w:sz w:val="24"/>
          <w:szCs w:val="24"/>
        </w:rPr>
        <w:footnoteReference w:id="92"/>
      </w:r>
      <w:r w:rsidRPr="00FA3678">
        <w:rPr>
          <w:sz w:val="24"/>
          <w:szCs w:val="24"/>
        </w:rPr>
        <w:t xml:space="preserve">, the NGT upheld the grant of environmental clearance for a </w:t>
      </w:r>
      <w:r w:rsidR="0093638E" w:rsidRPr="00FA3678">
        <w:rPr>
          <w:sz w:val="24"/>
          <w:szCs w:val="24"/>
        </w:rPr>
        <w:t>coal based thermal plant on the ground that the project operated within</w:t>
      </w:r>
      <w:r w:rsidR="00BF7B9C" w:rsidRPr="00FA3678">
        <w:rPr>
          <w:sz w:val="24"/>
          <w:szCs w:val="24"/>
        </w:rPr>
        <w:t xml:space="preserve"> an</w:t>
      </w:r>
      <w:r w:rsidR="0093638E" w:rsidRPr="00FA3678">
        <w:rPr>
          <w:sz w:val="24"/>
          <w:szCs w:val="24"/>
        </w:rPr>
        <w:t xml:space="preserve"> eco-legal framework and contribute</w:t>
      </w:r>
      <w:r w:rsidR="00BF7B9C" w:rsidRPr="00FA3678">
        <w:rPr>
          <w:sz w:val="24"/>
          <w:szCs w:val="24"/>
        </w:rPr>
        <w:t>d</w:t>
      </w:r>
      <w:r w:rsidR="0093638E" w:rsidRPr="00FA3678">
        <w:rPr>
          <w:sz w:val="24"/>
          <w:szCs w:val="24"/>
        </w:rPr>
        <w:t xml:space="preserve"> significantly to sustainable industrial development.</w:t>
      </w:r>
      <w:r w:rsidR="008A52A1" w:rsidRPr="00FA3678">
        <w:rPr>
          <w:sz w:val="24"/>
          <w:szCs w:val="24"/>
        </w:rPr>
        <w:t xml:space="preserve"> All the necessary scientific studies and statistical information were </w:t>
      </w:r>
      <w:r w:rsidR="008A52A1" w:rsidRPr="00FA3678">
        <w:rPr>
          <w:sz w:val="24"/>
          <w:szCs w:val="24"/>
        </w:rPr>
        <w:lastRenderedPageBreak/>
        <w:t>taken into account regarding the viability of the project and its impact on the environment.</w:t>
      </w:r>
    </w:p>
    <w:p w:rsidR="006D294C" w:rsidRDefault="006D294C" w:rsidP="00FA3678">
      <w:pPr>
        <w:widowControl w:val="0"/>
        <w:tabs>
          <w:tab w:val="left" w:pos="603"/>
        </w:tabs>
        <w:suppressAutoHyphens/>
        <w:spacing w:after="0"/>
        <w:rPr>
          <w:sz w:val="24"/>
          <w:szCs w:val="24"/>
        </w:rPr>
      </w:pPr>
    </w:p>
    <w:p w:rsidR="00092651" w:rsidRPr="00FA3678" w:rsidRDefault="00092651" w:rsidP="00FA3678">
      <w:pPr>
        <w:widowControl w:val="0"/>
        <w:tabs>
          <w:tab w:val="left" w:pos="603"/>
        </w:tabs>
        <w:suppressAutoHyphens/>
        <w:spacing w:after="0"/>
        <w:rPr>
          <w:sz w:val="24"/>
          <w:szCs w:val="24"/>
        </w:rPr>
      </w:pPr>
      <w:r w:rsidRPr="00FA3678">
        <w:rPr>
          <w:sz w:val="24"/>
          <w:szCs w:val="24"/>
        </w:rPr>
        <w:t>These judgments reflect that the discourse of sustainable development pragmaticall</w:t>
      </w:r>
      <w:r w:rsidR="00412EAD" w:rsidRPr="00FA3678">
        <w:rPr>
          <w:sz w:val="24"/>
          <w:szCs w:val="24"/>
        </w:rPr>
        <w:t xml:space="preserve">y embraces development for the </w:t>
      </w:r>
      <w:r w:rsidRPr="00FA3678">
        <w:rPr>
          <w:sz w:val="24"/>
          <w:szCs w:val="24"/>
        </w:rPr>
        <w:t>maximisation of human</w:t>
      </w:r>
      <w:r w:rsidR="00546B4E" w:rsidRPr="00FA3678">
        <w:rPr>
          <w:sz w:val="24"/>
          <w:szCs w:val="24"/>
        </w:rPr>
        <w:t xml:space="preserve"> welfare over the</w:t>
      </w:r>
      <w:r w:rsidR="00412EAD" w:rsidRPr="00FA3678">
        <w:rPr>
          <w:sz w:val="24"/>
          <w:szCs w:val="24"/>
        </w:rPr>
        <w:t xml:space="preserve"> long run</w:t>
      </w:r>
      <w:r w:rsidR="00F763A3">
        <w:rPr>
          <w:sz w:val="24"/>
          <w:szCs w:val="24"/>
        </w:rPr>
        <w:t xml:space="preserve"> but</w:t>
      </w:r>
      <w:r w:rsidRPr="00FA3678">
        <w:rPr>
          <w:sz w:val="24"/>
          <w:szCs w:val="24"/>
        </w:rPr>
        <w:t xml:space="preserve"> not by compromising the ecological impact and more so when resources are non-renewable or where the end result would be irreversible.</w:t>
      </w:r>
    </w:p>
    <w:p w:rsidR="00352ECF" w:rsidRPr="00FA3678" w:rsidRDefault="00352ECF" w:rsidP="00FA3678">
      <w:pPr>
        <w:widowControl w:val="0"/>
        <w:tabs>
          <w:tab w:val="left" w:pos="603"/>
        </w:tabs>
        <w:suppressAutoHyphens/>
        <w:spacing w:after="0"/>
        <w:rPr>
          <w:b/>
          <w:sz w:val="24"/>
          <w:szCs w:val="24"/>
        </w:rPr>
      </w:pPr>
    </w:p>
    <w:p w:rsidR="00352ECF" w:rsidRPr="00FA3678" w:rsidRDefault="00B76798" w:rsidP="00FA3678">
      <w:pPr>
        <w:widowControl w:val="0"/>
        <w:tabs>
          <w:tab w:val="left" w:pos="603"/>
        </w:tabs>
        <w:suppressAutoHyphens/>
        <w:spacing w:after="0"/>
        <w:rPr>
          <w:b/>
          <w:sz w:val="24"/>
          <w:szCs w:val="24"/>
        </w:rPr>
      </w:pPr>
      <w:r w:rsidRPr="00FA3678">
        <w:rPr>
          <w:b/>
          <w:sz w:val="24"/>
          <w:szCs w:val="24"/>
        </w:rPr>
        <w:t>3.4 The Precautionary Principle</w:t>
      </w:r>
    </w:p>
    <w:p w:rsidR="00915807" w:rsidRPr="00FA3678" w:rsidRDefault="00915807" w:rsidP="00FA3678">
      <w:pPr>
        <w:widowControl w:val="0"/>
        <w:tabs>
          <w:tab w:val="left" w:pos="603"/>
        </w:tabs>
        <w:suppressAutoHyphens/>
        <w:spacing w:after="0"/>
        <w:rPr>
          <w:b/>
          <w:sz w:val="24"/>
          <w:szCs w:val="24"/>
        </w:rPr>
      </w:pPr>
    </w:p>
    <w:p w:rsidR="00B76798" w:rsidRPr="00FA3678" w:rsidRDefault="003300E9" w:rsidP="00FA3678">
      <w:pPr>
        <w:widowControl w:val="0"/>
        <w:tabs>
          <w:tab w:val="left" w:pos="603"/>
        </w:tabs>
        <w:suppressAutoHyphens/>
        <w:spacing w:after="0"/>
        <w:rPr>
          <w:sz w:val="24"/>
          <w:szCs w:val="24"/>
        </w:rPr>
      </w:pPr>
      <w:r w:rsidRPr="00FA3678">
        <w:rPr>
          <w:sz w:val="24"/>
          <w:szCs w:val="24"/>
        </w:rPr>
        <w:t>The precautionary principle has been affirmed as a legal principle providing action to avert risks of serious or irreversible harm to the environment or human health in the absence of scientific certainty about that harm.</w:t>
      </w:r>
      <w:r w:rsidR="00701C1B" w:rsidRPr="00FA3678">
        <w:rPr>
          <w:rStyle w:val="FootnoteReference"/>
          <w:sz w:val="24"/>
          <w:szCs w:val="24"/>
        </w:rPr>
        <w:footnoteReference w:id="93"/>
      </w:r>
      <w:r w:rsidR="00AF0DE3" w:rsidRPr="00FA3678">
        <w:rPr>
          <w:sz w:val="24"/>
          <w:szCs w:val="24"/>
        </w:rPr>
        <w:t xml:space="preserve"> The precau</w:t>
      </w:r>
      <w:r w:rsidR="00541D80">
        <w:rPr>
          <w:sz w:val="24"/>
          <w:szCs w:val="24"/>
        </w:rPr>
        <w:t>tionary principle rallies</w:t>
      </w:r>
      <w:r w:rsidR="00AF0DE3" w:rsidRPr="00FA3678">
        <w:rPr>
          <w:sz w:val="24"/>
          <w:szCs w:val="24"/>
        </w:rPr>
        <w:t xml:space="preserve"> interested actors with diverse interests and expertise, namely, scientists, legal and policy makers, environmentalists, economists, ethicists, public authorities and others. </w:t>
      </w:r>
      <w:r w:rsidR="000A4051" w:rsidRPr="00FA3678">
        <w:rPr>
          <w:sz w:val="24"/>
          <w:szCs w:val="24"/>
        </w:rPr>
        <w:t>The interaction among these interested actors often produces vague, ambiguous or unwanted results</w:t>
      </w:r>
      <w:r w:rsidR="001B041E" w:rsidRPr="00FA3678">
        <w:rPr>
          <w:sz w:val="24"/>
          <w:szCs w:val="24"/>
        </w:rPr>
        <w:t>, thereby, prompting the re-examination of the issues or debates.</w:t>
      </w:r>
      <w:r w:rsidR="000A4051" w:rsidRPr="00FA3678">
        <w:rPr>
          <w:sz w:val="24"/>
          <w:szCs w:val="24"/>
        </w:rPr>
        <w:t xml:space="preserve"> </w:t>
      </w:r>
      <w:r w:rsidR="001B041E" w:rsidRPr="00FA3678">
        <w:rPr>
          <w:sz w:val="24"/>
          <w:szCs w:val="24"/>
        </w:rPr>
        <w:t xml:space="preserve">This churning </w:t>
      </w:r>
      <w:r w:rsidR="000A4051" w:rsidRPr="00FA3678">
        <w:rPr>
          <w:sz w:val="24"/>
          <w:szCs w:val="24"/>
        </w:rPr>
        <w:t xml:space="preserve">possibly </w:t>
      </w:r>
      <w:r w:rsidR="00794FF8" w:rsidRPr="00FA3678">
        <w:rPr>
          <w:sz w:val="24"/>
          <w:szCs w:val="24"/>
        </w:rPr>
        <w:t>‘</w:t>
      </w:r>
      <w:r w:rsidR="001B041E" w:rsidRPr="00FA3678">
        <w:rPr>
          <w:sz w:val="24"/>
          <w:szCs w:val="24"/>
        </w:rPr>
        <w:t>fosters</w:t>
      </w:r>
      <w:r w:rsidR="000A4051" w:rsidRPr="00FA3678">
        <w:rPr>
          <w:sz w:val="24"/>
          <w:szCs w:val="24"/>
        </w:rPr>
        <w:t xml:space="preserve"> a </w:t>
      </w:r>
      <w:r w:rsidR="00794FF8" w:rsidRPr="00FA3678">
        <w:rPr>
          <w:sz w:val="24"/>
          <w:szCs w:val="24"/>
        </w:rPr>
        <w:t>mutual understanding to accommodate differences in the production of knowledge and the reaching of judgments.’</w:t>
      </w:r>
      <w:r w:rsidR="00B55785" w:rsidRPr="00FA3678">
        <w:rPr>
          <w:rStyle w:val="FootnoteReference"/>
          <w:sz w:val="24"/>
          <w:szCs w:val="24"/>
        </w:rPr>
        <w:footnoteReference w:id="94"/>
      </w:r>
    </w:p>
    <w:p w:rsidR="00915807" w:rsidRPr="00FA3678" w:rsidRDefault="00915807" w:rsidP="00FA3678">
      <w:pPr>
        <w:widowControl w:val="0"/>
        <w:tabs>
          <w:tab w:val="left" w:pos="603"/>
        </w:tabs>
        <w:suppressAutoHyphens/>
        <w:spacing w:after="0"/>
        <w:rPr>
          <w:sz w:val="24"/>
          <w:szCs w:val="24"/>
          <w:u w:val="single"/>
        </w:rPr>
      </w:pPr>
    </w:p>
    <w:p w:rsidR="00071B99" w:rsidRPr="00FA3678" w:rsidRDefault="00564C74" w:rsidP="00FA3678">
      <w:pPr>
        <w:widowControl w:val="0"/>
        <w:tabs>
          <w:tab w:val="left" w:pos="603"/>
        </w:tabs>
        <w:suppressAutoHyphens/>
        <w:spacing w:after="0"/>
        <w:rPr>
          <w:sz w:val="24"/>
          <w:szCs w:val="24"/>
        </w:rPr>
      </w:pPr>
      <w:r w:rsidRPr="00FA3678">
        <w:rPr>
          <w:sz w:val="24"/>
          <w:szCs w:val="24"/>
        </w:rPr>
        <w:t>The precautionary principle is viewed as a fundamental tool to achieve sustainable development and play</w:t>
      </w:r>
      <w:r w:rsidR="0040137C">
        <w:rPr>
          <w:sz w:val="24"/>
          <w:szCs w:val="24"/>
        </w:rPr>
        <w:t>s</w:t>
      </w:r>
      <w:r w:rsidRPr="00FA3678">
        <w:rPr>
          <w:sz w:val="24"/>
          <w:szCs w:val="24"/>
        </w:rPr>
        <w:t xml:space="preserve"> an important role in the reasoning of international and national courts. </w:t>
      </w:r>
      <w:r w:rsidR="00071B99" w:rsidRPr="00FA3678">
        <w:rPr>
          <w:sz w:val="24"/>
          <w:szCs w:val="24"/>
        </w:rPr>
        <w:t xml:space="preserve">The Supreme Court of India has recognised the principle as an essential feature of sustainable development. In the municipal context, the principle envisages three </w:t>
      </w:r>
      <w:r w:rsidR="00234329" w:rsidRPr="00FA3678">
        <w:rPr>
          <w:sz w:val="24"/>
          <w:szCs w:val="24"/>
        </w:rPr>
        <w:t>conditions:</w:t>
      </w:r>
    </w:p>
    <w:p w:rsidR="00234329" w:rsidRPr="00FA3678" w:rsidRDefault="00234329" w:rsidP="00FA3678">
      <w:pPr>
        <w:pStyle w:val="ListParagraph"/>
        <w:widowControl w:val="0"/>
        <w:numPr>
          <w:ilvl w:val="0"/>
          <w:numId w:val="5"/>
        </w:numPr>
        <w:tabs>
          <w:tab w:val="left" w:pos="603"/>
        </w:tabs>
        <w:suppressAutoHyphens/>
        <w:spacing w:after="0"/>
        <w:rPr>
          <w:sz w:val="24"/>
          <w:szCs w:val="24"/>
        </w:rPr>
      </w:pPr>
      <w:r w:rsidRPr="00FA3678">
        <w:rPr>
          <w:sz w:val="24"/>
          <w:szCs w:val="24"/>
        </w:rPr>
        <w:t>The state government and statutory authorities must anticipate, prevent and attack the causes of environmental degradation;</w:t>
      </w:r>
    </w:p>
    <w:p w:rsidR="00234329" w:rsidRPr="00FA3678" w:rsidRDefault="00234329" w:rsidP="00FA3678">
      <w:pPr>
        <w:pStyle w:val="ListParagraph"/>
        <w:widowControl w:val="0"/>
        <w:numPr>
          <w:ilvl w:val="0"/>
          <w:numId w:val="5"/>
        </w:numPr>
        <w:tabs>
          <w:tab w:val="left" w:pos="603"/>
        </w:tabs>
        <w:suppressAutoHyphens/>
        <w:spacing w:after="0"/>
        <w:rPr>
          <w:sz w:val="24"/>
          <w:szCs w:val="24"/>
        </w:rPr>
      </w:pPr>
      <w:r w:rsidRPr="00FA3678">
        <w:rPr>
          <w:sz w:val="24"/>
          <w:szCs w:val="24"/>
        </w:rPr>
        <w:t>Where there are threats of serious and irreversible damage, lack of scientific certainty should not be used as a reason for postponing measures to prevent environmental degradation;</w:t>
      </w:r>
    </w:p>
    <w:p w:rsidR="00234329" w:rsidRPr="00FA3678" w:rsidRDefault="00234329" w:rsidP="00FA3678">
      <w:pPr>
        <w:pStyle w:val="ListParagraph"/>
        <w:widowControl w:val="0"/>
        <w:numPr>
          <w:ilvl w:val="0"/>
          <w:numId w:val="5"/>
        </w:numPr>
        <w:tabs>
          <w:tab w:val="left" w:pos="603"/>
        </w:tabs>
        <w:suppressAutoHyphens/>
        <w:spacing w:after="0"/>
        <w:rPr>
          <w:sz w:val="24"/>
          <w:szCs w:val="24"/>
        </w:rPr>
      </w:pPr>
      <w:r w:rsidRPr="00FA3678">
        <w:rPr>
          <w:sz w:val="24"/>
          <w:szCs w:val="24"/>
        </w:rPr>
        <w:t>The ‘onus of proof’ is on the actor or the developer/industrialist to show that his actions are environmentally benign.</w:t>
      </w:r>
      <w:r w:rsidR="009F0B82">
        <w:rPr>
          <w:rStyle w:val="FootnoteReference"/>
          <w:sz w:val="24"/>
          <w:szCs w:val="24"/>
        </w:rPr>
        <w:footnoteReference w:id="95"/>
      </w:r>
    </w:p>
    <w:p w:rsidR="00915807" w:rsidRPr="00FA3678" w:rsidRDefault="00915807" w:rsidP="00FA3678">
      <w:pPr>
        <w:pStyle w:val="ListParagraph"/>
        <w:widowControl w:val="0"/>
        <w:tabs>
          <w:tab w:val="left" w:pos="603"/>
        </w:tabs>
        <w:suppressAutoHyphens/>
        <w:spacing w:after="0"/>
        <w:rPr>
          <w:sz w:val="24"/>
          <w:szCs w:val="24"/>
        </w:rPr>
      </w:pPr>
    </w:p>
    <w:p w:rsidR="00DB613B" w:rsidRPr="00FA3678" w:rsidRDefault="00564C74" w:rsidP="00FA3678">
      <w:pPr>
        <w:widowControl w:val="0"/>
        <w:tabs>
          <w:tab w:val="left" w:pos="603"/>
        </w:tabs>
        <w:suppressAutoHyphens/>
        <w:spacing w:after="0"/>
        <w:rPr>
          <w:sz w:val="24"/>
          <w:szCs w:val="24"/>
        </w:rPr>
      </w:pPr>
      <w:r w:rsidRPr="00FA3678">
        <w:rPr>
          <w:sz w:val="24"/>
          <w:szCs w:val="24"/>
        </w:rPr>
        <w:t>The NG</w:t>
      </w:r>
      <w:r w:rsidR="009F0B82">
        <w:rPr>
          <w:sz w:val="24"/>
          <w:szCs w:val="24"/>
        </w:rPr>
        <w:t>T provides a forum to interpret</w:t>
      </w:r>
      <w:r w:rsidRPr="00FA3678">
        <w:rPr>
          <w:sz w:val="24"/>
          <w:szCs w:val="24"/>
        </w:rPr>
        <w:t xml:space="preserve"> and apply the principle</w:t>
      </w:r>
      <w:r w:rsidR="001F0418" w:rsidRPr="00FA3678">
        <w:rPr>
          <w:sz w:val="24"/>
          <w:szCs w:val="24"/>
        </w:rPr>
        <w:t xml:space="preserve"> of precaution</w:t>
      </w:r>
      <w:r w:rsidRPr="00FA3678">
        <w:rPr>
          <w:sz w:val="24"/>
          <w:szCs w:val="24"/>
        </w:rPr>
        <w:t xml:space="preserve"> as mandated unde</w:t>
      </w:r>
      <w:r w:rsidR="00F77E3A" w:rsidRPr="00FA3678">
        <w:rPr>
          <w:sz w:val="24"/>
          <w:szCs w:val="24"/>
        </w:rPr>
        <w:t>r section 20 of the NGT Act</w:t>
      </w:r>
      <w:r w:rsidRPr="00FA3678">
        <w:rPr>
          <w:sz w:val="24"/>
          <w:szCs w:val="24"/>
        </w:rPr>
        <w:t>.</w:t>
      </w:r>
      <w:r w:rsidR="00234329" w:rsidRPr="00FA3678">
        <w:rPr>
          <w:sz w:val="24"/>
          <w:szCs w:val="24"/>
        </w:rPr>
        <w:t xml:space="preserve"> Bolstering the rulings of the Supreme Court</w:t>
      </w:r>
      <w:r w:rsidR="00410600" w:rsidRPr="00FA3678">
        <w:rPr>
          <w:rStyle w:val="FootnoteReference"/>
          <w:sz w:val="24"/>
          <w:szCs w:val="24"/>
        </w:rPr>
        <w:footnoteReference w:id="96"/>
      </w:r>
      <w:r w:rsidR="00234329" w:rsidRPr="00FA3678">
        <w:rPr>
          <w:sz w:val="24"/>
          <w:szCs w:val="24"/>
        </w:rPr>
        <w:t xml:space="preserve">, the Tribunal </w:t>
      </w:r>
      <w:r w:rsidR="00234329" w:rsidRPr="00FA3678">
        <w:rPr>
          <w:sz w:val="24"/>
          <w:szCs w:val="24"/>
        </w:rPr>
        <w:lastRenderedPageBreak/>
        <w:t>has</w:t>
      </w:r>
      <w:r w:rsidR="007D7470" w:rsidRPr="00FA3678">
        <w:rPr>
          <w:sz w:val="24"/>
          <w:szCs w:val="24"/>
        </w:rPr>
        <w:t xml:space="preserve"> declared the precautionary principle as an integral pa</w:t>
      </w:r>
      <w:r w:rsidR="000E26DF" w:rsidRPr="00FA3678">
        <w:rPr>
          <w:sz w:val="24"/>
          <w:szCs w:val="24"/>
        </w:rPr>
        <w:t>rt</w:t>
      </w:r>
      <w:r w:rsidR="00F77E3A" w:rsidRPr="00FA3678">
        <w:rPr>
          <w:sz w:val="24"/>
          <w:szCs w:val="24"/>
        </w:rPr>
        <w:t xml:space="preserve"> of</w:t>
      </w:r>
      <w:r w:rsidR="007D7470" w:rsidRPr="00FA3678">
        <w:rPr>
          <w:sz w:val="24"/>
          <w:szCs w:val="24"/>
        </w:rPr>
        <w:t xml:space="preserve"> national environmental law. </w:t>
      </w:r>
      <w:r w:rsidR="001D06A0" w:rsidRPr="00FA3678">
        <w:rPr>
          <w:sz w:val="24"/>
          <w:szCs w:val="24"/>
        </w:rPr>
        <w:t>According to the Tribunal, ‘</w:t>
      </w:r>
      <w:r w:rsidR="00634CB6" w:rsidRPr="00FA3678">
        <w:rPr>
          <w:sz w:val="24"/>
          <w:szCs w:val="24"/>
        </w:rPr>
        <w:t>the applicability of precautionary principle is a statutory command to the Tribunal while deciding or settling disputes arising out of the substantial questions relating to environment. Thus, any violation or even an apprehended violation of this principle would be actionable by any person before the Tribunal. Inaction in the facts and circumstances of a given case could itself be a violation of the precautionary principle, and therefore, bring it within the ambit of jurisdiction of the Tribunal, as defined under the NGT Act.’</w:t>
      </w:r>
      <w:r w:rsidR="00634CB6" w:rsidRPr="00FA3678">
        <w:rPr>
          <w:rStyle w:val="FootnoteReference"/>
          <w:sz w:val="24"/>
          <w:szCs w:val="24"/>
        </w:rPr>
        <w:footnoteReference w:id="97"/>
      </w:r>
      <w:r w:rsidR="00234329" w:rsidRPr="00FA3678">
        <w:rPr>
          <w:sz w:val="24"/>
          <w:szCs w:val="24"/>
        </w:rPr>
        <w:t xml:space="preserve"> </w:t>
      </w:r>
    </w:p>
    <w:p w:rsidR="00915807" w:rsidRPr="00FA3678" w:rsidRDefault="00915807" w:rsidP="00FA3678">
      <w:pPr>
        <w:widowControl w:val="0"/>
        <w:tabs>
          <w:tab w:val="left" w:pos="603"/>
        </w:tabs>
        <w:suppressAutoHyphens/>
        <w:spacing w:after="0"/>
        <w:rPr>
          <w:sz w:val="24"/>
          <w:szCs w:val="24"/>
        </w:rPr>
      </w:pPr>
    </w:p>
    <w:p w:rsidR="00564C74" w:rsidRPr="00FA3678" w:rsidRDefault="004877C2" w:rsidP="00FA3678">
      <w:pPr>
        <w:widowControl w:val="0"/>
        <w:tabs>
          <w:tab w:val="left" w:pos="603"/>
        </w:tabs>
        <w:suppressAutoHyphens/>
        <w:spacing w:after="0"/>
        <w:rPr>
          <w:sz w:val="24"/>
          <w:szCs w:val="24"/>
        </w:rPr>
      </w:pPr>
      <w:r w:rsidRPr="00FA3678">
        <w:rPr>
          <w:sz w:val="24"/>
          <w:szCs w:val="24"/>
        </w:rPr>
        <w:t xml:space="preserve">In T </w:t>
      </w:r>
      <w:proofErr w:type="spellStart"/>
      <w:r w:rsidRPr="00FA3678">
        <w:rPr>
          <w:i/>
          <w:sz w:val="24"/>
          <w:szCs w:val="24"/>
        </w:rPr>
        <w:t>Murugandam</w:t>
      </w:r>
      <w:proofErr w:type="spellEnd"/>
      <w:r w:rsidRPr="00FA3678">
        <w:rPr>
          <w:i/>
          <w:sz w:val="24"/>
          <w:szCs w:val="24"/>
        </w:rPr>
        <w:t xml:space="preserve"> v Ministry of Environment and Forests</w:t>
      </w:r>
      <w:r w:rsidR="00410600" w:rsidRPr="00FA3678">
        <w:rPr>
          <w:rStyle w:val="FootnoteReference"/>
          <w:sz w:val="24"/>
          <w:szCs w:val="24"/>
        </w:rPr>
        <w:footnoteReference w:id="98"/>
      </w:r>
      <w:r w:rsidRPr="00FA3678">
        <w:rPr>
          <w:sz w:val="24"/>
          <w:szCs w:val="24"/>
        </w:rPr>
        <w:t xml:space="preserve">, the NGT applied </w:t>
      </w:r>
      <w:r w:rsidR="00BB0694" w:rsidRPr="00FA3678">
        <w:rPr>
          <w:sz w:val="24"/>
          <w:szCs w:val="24"/>
        </w:rPr>
        <w:t xml:space="preserve">the precautionary principle </w:t>
      </w:r>
      <w:r w:rsidR="00A21639" w:rsidRPr="00FA3678">
        <w:rPr>
          <w:sz w:val="24"/>
          <w:szCs w:val="24"/>
        </w:rPr>
        <w:t>and directed the project proponent, M/S IL and FS Tamil Nadu Power Company to carry out cumulative impact assessment studies with regard to the p</w:t>
      </w:r>
      <w:r w:rsidR="00885AF9" w:rsidRPr="00FA3678">
        <w:rPr>
          <w:sz w:val="24"/>
          <w:szCs w:val="24"/>
        </w:rPr>
        <w:t>roposed coal based power plant. C</w:t>
      </w:r>
      <w:r w:rsidR="005E4726" w:rsidRPr="00FA3678">
        <w:rPr>
          <w:sz w:val="24"/>
          <w:szCs w:val="24"/>
        </w:rPr>
        <w:t xml:space="preserve">umulative </w:t>
      </w:r>
      <w:r w:rsidR="004D4E50" w:rsidRPr="00FA3678">
        <w:rPr>
          <w:sz w:val="24"/>
          <w:szCs w:val="24"/>
        </w:rPr>
        <w:t>impact assessments were required</w:t>
      </w:r>
      <w:r w:rsidR="005E4726" w:rsidRPr="00FA3678">
        <w:rPr>
          <w:sz w:val="24"/>
          <w:szCs w:val="24"/>
        </w:rPr>
        <w:t xml:space="preserve"> by the Tribunal in orde</w:t>
      </w:r>
      <w:r w:rsidR="00885AF9" w:rsidRPr="00FA3678">
        <w:rPr>
          <w:sz w:val="24"/>
          <w:szCs w:val="24"/>
        </w:rPr>
        <w:t xml:space="preserve">r to identify </w:t>
      </w:r>
      <w:r w:rsidR="004D4E50" w:rsidRPr="00FA3678">
        <w:rPr>
          <w:sz w:val="24"/>
          <w:szCs w:val="24"/>
        </w:rPr>
        <w:t>adequate mitigating</w:t>
      </w:r>
      <w:r w:rsidR="005E4726" w:rsidRPr="00FA3678">
        <w:rPr>
          <w:sz w:val="24"/>
          <w:szCs w:val="24"/>
        </w:rPr>
        <w:t xml:space="preserve"> measures and envir</w:t>
      </w:r>
      <w:r w:rsidR="00A167B8" w:rsidRPr="00FA3678">
        <w:rPr>
          <w:sz w:val="24"/>
          <w:szCs w:val="24"/>
        </w:rPr>
        <w:t>onmental safeguards to avoid</w:t>
      </w:r>
      <w:r w:rsidR="005E4726" w:rsidRPr="00FA3678">
        <w:rPr>
          <w:sz w:val="24"/>
          <w:szCs w:val="24"/>
        </w:rPr>
        <w:t xml:space="preserve"> adverse impacts on the ecologically fragile eco-system of mangroves and to the biological marine environment in the vicinity of the proposed plant.</w:t>
      </w:r>
    </w:p>
    <w:p w:rsidR="00915807" w:rsidRPr="00FA3678" w:rsidRDefault="00915807" w:rsidP="00FA3678">
      <w:pPr>
        <w:widowControl w:val="0"/>
        <w:tabs>
          <w:tab w:val="left" w:pos="603"/>
        </w:tabs>
        <w:suppressAutoHyphens/>
        <w:spacing w:after="0"/>
        <w:rPr>
          <w:sz w:val="24"/>
          <w:szCs w:val="24"/>
        </w:rPr>
      </w:pPr>
    </w:p>
    <w:p w:rsidR="00634387" w:rsidRPr="00FA3678" w:rsidRDefault="001F55CB" w:rsidP="00FA3678">
      <w:pPr>
        <w:widowControl w:val="0"/>
        <w:tabs>
          <w:tab w:val="left" w:pos="603"/>
        </w:tabs>
        <w:suppressAutoHyphens/>
        <w:spacing w:after="0"/>
        <w:rPr>
          <w:sz w:val="24"/>
          <w:szCs w:val="24"/>
        </w:rPr>
      </w:pPr>
      <w:r w:rsidRPr="00FA3678">
        <w:rPr>
          <w:sz w:val="24"/>
          <w:szCs w:val="24"/>
        </w:rPr>
        <w:t xml:space="preserve">In </w:t>
      </w:r>
      <w:r w:rsidRPr="00FA3678">
        <w:rPr>
          <w:i/>
          <w:sz w:val="24"/>
          <w:szCs w:val="24"/>
        </w:rPr>
        <w:t xml:space="preserve">Gram Panchayat </w:t>
      </w:r>
      <w:proofErr w:type="spellStart"/>
      <w:r w:rsidRPr="00FA3678">
        <w:rPr>
          <w:i/>
          <w:sz w:val="24"/>
          <w:szCs w:val="24"/>
        </w:rPr>
        <w:t>Totu</w:t>
      </w:r>
      <w:proofErr w:type="spellEnd"/>
      <w:r w:rsidRPr="00FA3678">
        <w:rPr>
          <w:i/>
          <w:sz w:val="24"/>
          <w:szCs w:val="24"/>
        </w:rPr>
        <w:t xml:space="preserve"> [</w:t>
      </w:r>
      <w:proofErr w:type="spellStart"/>
      <w:r w:rsidRPr="00FA3678">
        <w:rPr>
          <w:i/>
          <w:sz w:val="24"/>
          <w:szCs w:val="24"/>
        </w:rPr>
        <w:t>Majthai</w:t>
      </w:r>
      <w:proofErr w:type="spellEnd"/>
      <w:r w:rsidRPr="00FA3678">
        <w:rPr>
          <w:i/>
          <w:sz w:val="24"/>
          <w:szCs w:val="24"/>
        </w:rPr>
        <w:t>] v State of Himachal Pradesh</w:t>
      </w:r>
      <w:r w:rsidR="00EE2A76" w:rsidRPr="00FA3678">
        <w:rPr>
          <w:rStyle w:val="FootnoteReference"/>
          <w:sz w:val="24"/>
          <w:szCs w:val="24"/>
        </w:rPr>
        <w:footnoteReference w:id="99"/>
      </w:r>
      <w:r w:rsidRPr="00FA3678">
        <w:rPr>
          <w:sz w:val="24"/>
          <w:szCs w:val="24"/>
        </w:rPr>
        <w:t>, the NGT entertained an application wherein the project proponent, Municipal Council, Shimla failed to obtain mandatory environmental clearance</w:t>
      </w:r>
      <w:r w:rsidR="000E26DF" w:rsidRPr="00FA3678">
        <w:rPr>
          <w:sz w:val="24"/>
          <w:szCs w:val="24"/>
        </w:rPr>
        <w:t xml:space="preserve"> from</w:t>
      </w:r>
      <w:r w:rsidR="00FF1D6E" w:rsidRPr="00FA3678">
        <w:rPr>
          <w:sz w:val="24"/>
          <w:szCs w:val="24"/>
        </w:rPr>
        <w:t xml:space="preserve"> the</w:t>
      </w:r>
      <w:r w:rsidR="000E26DF" w:rsidRPr="00FA3678">
        <w:rPr>
          <w:sz w:val="24"/>
          <w:szCs w:val="24"/>
        </w:rPr>
        <w:t xml:space="preserve"> authorities concerning</w:t>
      </w:r>
      <w:r w:rsidR="00B63680" w:rsidRPr="00FA3678">
        <w:rPr>
          <w:sz w:val="24"/>
          <w:szCs w:val="24"/>
        </w:rPr>
        <w:t xml:space="preserve"> the proposed construction of the municipal solid waste [MSW] plant in close proximity to human habitation. </w:t>
      </w:r>
      <w:r w:rsidR="00DB228C" w:rsidRPr="00FA3678">
        <w:rPr>
          <w:sz w:val="24"/>
          <w:szCs w:val="24"/>
        </w:rPr>
        <w:t xml:space="preserve">The Tribunal observed that the </w:t>
      </w:r>
      <w:r w:rsidR="00B63680" w:rsidRPr="00FA3678">
        <w:rPr>
          <w:sz w:val="24"/>
          <w:szCs w:val="24"/>
        </w:rPr>
        <w:t>precautionary principle requires and mandates</w:t>
      </w:r>
      <w:r w:rsidR="005943D7" w:rsidRPr="00FA3678">
        <w:rPr>
          <w:sz w:val="24"/>
          <w:szCs w:val="24"/>
        </w:rPr>
        <w:t xml:space="preserve"> the necessary preventive and cont</w:t>
      </w:r>
      <w:r w:rsidR="00F54C25" w:rsidRPr="00FA3678">
        <w:rPr>
          <w:sz w:val="24"/>
          <w:szCs w:val="24"/>
        </w:rPr>
        <w:t>rol measures need</w:t>
      </w:r>
      <w:r w:rsidR="00C72200">
        <w:rPr>
          <w:sz w:val="24"/>
          <w:szCs w:val="24"/>
        </w:rPr>
        <w:t>ed</w:t>
      </w:r>
      <w:r w:rsidR="00F54C25" w:rsidRPr="00FA3678">
        <w:rPr>
          <w:sz w:val="24"/>
          <w:szCs w:val="24"/>
        </w:rPr>
        <w:t xml:space="preserve"> to be</w:t>
      </w:r>
      <w:r w:rsidR="005943D7" w:rsidRPr="00FA3678">
        <w:rPr>
          <w:sz w:val="24"/>
          <w:szCs w:val="24"/>
        </w:rPr>
        <w:t xml:space="preserve"> impl</w:t>
      </w:r>
      <w:r w:rsidR="00F54C25" w:rsidRPr="00FA3678">
        <w:rPr>
          <w:sz w:val="24"/>
          <w:szCs w:val="24"/>
        </w:rPr>
        <w:t xml:space="preserve">emented before commissioning </w:t>
      </w:r>
      <w:r w:rsidR="005943D7" w:rsidRPr="00FA3678">
        <w:rPr>
          <w:sz w:val="24"/>
          <w:szCs w:val="24"/>
        </w:rPr>
        <w:t>the MSW plant. These include</w:t>
      </w:r>
      <w:r w:rsidR="00F54C25" w:rsidRPr="00FA3678">
        <w:rPr>
          <w:sz w:val="24"/>
          <w:szCs w:val="24"/>
        </w:rPr>
        <w:t>d</w:t>
      </w:r>
      <w:r w:rsidR="005943D7" w:rsidRPr="00FA3678">
        <w:rPr>
          <w:sz w:val="24"/>
          <w:szCs w:val="24"/>
        </w:rPr>
        <w:t xml:space="preserve"> obtaining environmental clearances under the environmental impact assessment rules and statutory siting permissions for locating MSW facilities. The preventive measures aimed to avoid any adverse impact on the environment especially on the ground water and surface water bodies, keepin</w:t>
      </w:r>
      <w:r w:rsidR="00161764" w:rsidRPr="00FA3678">
        <w:rPr>
          <w:sz w:val="24"/>
          <w:szCs w:val="24"/>
        </w:rPr>
        <w:t xml:space="preserve">g in mind the right to enjoy </w:t>
      </w:r>
      <w:r w:rsidR="005943D7" w:rsidRPr="00FA3678">
        <w:rPr>
          <w:sz w:val="24"/>
          <w:szCs w:val="24"/>
        </w:rPr>
        <w:t>pollution free air and</w:t>
      </w:r>
      <w:r w:rsidR="00DB228C" w:rsidRPr="00FA3678">
        <w:rPr>
          <w:sz w:val="24"/>
          <w:szCs w:val="24"/>
        </w:rPr>
        <w:t xml:space="preserve"> water under the right to life.</w:t>
      </w:r>
    </w:p>
    <w:p w:rsidR="00915807" w:rsidRPr="00FA3678" w:rsidRDefault="00915807" w:rsidP="00FA3678">
      <w:pPr>
        <w:widowControl w:val="0"/>
        <w:tabs>
          <w:tab w:val="left" w:pos="603"/>
        </w:tabs>
        <w:suppressAutoHyphens/>
        <w:spacing w:after="0"/>
        <w:rPr>
          <w:sz w:val="24"/>
          <w:szCs w:val="24"/>
        </w:rPr>
      </w:pPr>
    </w:p>
    <w:p w:rsidR="009973A8" w:rsidRPr="00FA3678" w:rsidRDefault="004D4E50" w:rsidP="00FA3678">
      <w:pPr>
        <w:widowControl w:val="0"/>
        <w:tabs>
          <w:tab w:val="left" w:pos="603"/>
        </w:tabs>
        <w:suppressAutoHyphens/>
        <w:spacing w:after="0"/>
        <w:rPr>
          <w:sz w:val="24"/>
          <w:szCs w:val="24"/>
        </w:rPr>
      </w:pPr>
      <w:r w:rsidRPr="00FA3678">
        <w:rPr>
          <w:sz w:val="24"/>
          <w:szCs w:val="24"/>
        </w:rPr>
        <w:t>In a</w:t>
      </w:r>
      <w:r w:rsidR="007D1AFD">
        <w:rPr>
          <w:sz w:val="24"/>
          <w:szCs w:val="24"/>
        </w:rPr>
        <w:t xml:space="preserve"> more</w:t>
      </w:r>
      <w:r w:rsidRPr="00FA3678">
        <w:rPr>
          <w:sz w:val="24"/>
          <w:szCs w:val="24"/>
        </w:rPr>
        <w:t xml:space="preserve"> rece</w:t>
      </w:r>
      <w:r w:rsidR="00DB228C" w:rsidRPr="00FA3678">
        <w:rPr>
          <w:sz w:val="24"/>
          <w:szCs w:val="24"/>
        </w:rPr>
        <w:t xml:space="preserve">nt case, </w:t>
      </w:r>
      <w:proofErr w:type="spellStart"/>
      <w:r w:rsidR="00DB228C" w:rsidRPr="00FA3678">
        <w:rPr>
          <w:i/>
          <w:sz w:val="24"/>
          <w:szCs w:val="24"/>
        </w:rPr>
        <w:t>Durga</w:t>
      </w:r>
      <w:proofErr w:type="spellEnd"/>
      <w:r w:rsidR="00DB228C" w:rsidRPr="00FA3678">
        <w:rPr>
          <w:i/>
          <w:sz w:val="24"/>
          <w:szCs w:val="24"/>
        </w:rPr>
        <w:t xml:space="preserve"> </w:t>
      </w:r>
      <w:proofErr w:type="spellStart"/>
      <w:r w:rsidR="00DB228C" w:rsidRPr="00FA3678">
        <w:rPr>
          <w:i/>
          <w:sz w:val="24"/>
          <w:szCs w:val="24"/>
        </w:rPr>
        <w:t>Dutt</w:t>
      </w:r>
      <w:proofErr w:type="spellEnd"/>
      <w:r w:rsidR="00DB228C" w:rsidRPr="00FA3678">
        <w:rPr>
          <w:i/>
          <w:sz w:val="24"/>
          <w:szCs w:val="24"/>
        </w:rPr>
        <w:t xml:space="preserve"> v State of Himachal Pradesh</w:t>
      </w:r>
      <w:r w:rsidR="00DB228C" w:rsidRPr="00FA3678">
        <w:rPr>
          <w:rStyle w:val="FootnoteReference"/>
          <w:sz w:val="24"/>
          <w:szCs w:val="24"/>
        </w:rPr>
        <w:footnoteReference w:id="100"/>
      </w:r>
      <w:r w:rsidR="002E0AEF" w:rsidRPr="00FA3678">
        <w:rPr>
          <w:sz w:val="24"/>
          <w:szCs w:val="24"/>
        </w:rPr>
        <w:t>, the Tribunal stated that the ‘precautionary principle acts an environmental safeguard to achieve sustainable development. The principle essentially has the element of prevention and prohibition.’</w:t>
      </w:r>
      <w:r w:rsidR="004A0A2E" w:rsidRPr="00FA3678">
        <w:rPr>
          <w:sz w:val="24"/>
          <w:szCs w:val="24"/>
        </w:rPr>
        <w:t xml:space="preserve"> The facts of the case relate to environmental degradation and damage to the glacier of</w:t>
      </w:r>
      <w:r w:rsidR="00CE15E1" w:rsidRPr="00FA3678">
        <w:rPr>
          <w:sz w:val="24"/>
          <w:szCs w:val="24"/>
        </w:rPr>
        <w:t xml:space="preserve"> the</w:t>
      </w:r>
      <w:r w:rsidR="004A0A2E" w:rsidRPr="00FA3678">
        <w:rPr>
          <w:sz w:val="24"/>
          <w:szCs w:val="24"/>
        </w:rPr>
        <w:t xml:space="preserve"> </w:t>
      </w:r>
      <w:proofErr w:type="spellStart"/>
      <w:r w:rsidR="004A0A2E" w:rsidRPr="00FA3678">
        <w:rPr>
          <w:sz w:val="24"/>
          <w:szCs w:val="24"/>
        </w:rPr>
        <w:t>Rohtang</w:t>
      </w:r>
      <w:proofErr w:type="spellEnd"/>
      <w:r w:rsidR="004A0A2E" w:rsidRPr="00FA3678">
        <w:rPr>
          <w:sz w:val="24"/>
          <w:szCs w:val="24"/>
        </w:rPr>
        <w:t xml:space="preserve"> Pass Valley, known as the ‘Crown Jewel of Tourism of India.’ </w:t>
      </w:r>
      <w:r w:rsidR="008D6B8F" w:rsidRPr="00FA3678">
        <w:rPr>
          <w:sz w:val="24"/>
          <w:szCs w:val="24"/>
        </w:rPr>
        <w:t>Unregulated and heavy tourism, overcrowding, misuse of natural resources, construction of buildings and infrastructure, littering of waste, deforestation and global warming have resulted in en</w:t>
      </w:r>
      <w:r w:rsidR="00BA6BBC" w:rsidRPr="00FA3678">
        <w:rPr>
          <w:sz w:val="24"/>
          <w:szCs w:val="24"/>
        </w:rPr>
        <w:t>vironmental problems in this</w:t>
      </w:r>
      <w:r w:rsidR="006A7A83" w:rsidRPr="00FA3678">
        <w:rPr>
          <w:sz w:val="24"/>
          <w:szCs w:val="24"/>
        </w:rPr>
        <w:t xml:space="preserve"> eco-sensitive area.</w:t>
      </w:r>
      <w:r w:rsidR="00BA6BBC" w:rsidRPr="00FA3678">
        <w:rPr>
          <w:sz w:val="24"/>
          <w:szCs w:val="24"/>
        </w:rPr>
        <w:t xml:space="preserve"> </w:t>
      </w:r>
      <w:r w:rsidR="00CC1701">
        <w:rPr>
          <w:sz w:val="24"/>
          <w:szCs w:val="24"/>
        </w:rPr>
        <w:t>The Tribunal decided</w:t>
      </w:r>
      <w:r w:rsidR="008D6B8F" w:rsidRPr="00FA3678">
        <w:rPr>
          <w:sz w:val="24"/>
          <w:szCs w:val="24"/>
        </w:rPr>
        <w:t xml:space="preserve"> that there was an </w:t>
      </w:r>
      <w:r w:rsidR="008D6B8F" w:rsidRPr="00FA3678">
        <w:rPr>
          <w:sz w:val="24"/>
          <w:szCs w:val="24"/>
        </w:rPr>
        <w:lastRenderedPageBreak/>
        <w:t xml:space="preserve">imperative need </w:t>
      </w:r>
      <w:r w:rsidR="000E52C0" w:rsidRPr="00FA3678">
        <w:rPr>
          <w:sz w:val="24"/>
          <w:szCs w:val="24"/>
        </w:rPr>
        <w:t>to restore the degraded environment of the glacier and prevent further damage by adopting proper precautionary measures.</w:t>
      </w:r>
      <w:r w:rsidR="00BE5F09" w:rsidRPr="00FA3678">
        <w:rPr>
          <w:sz w:val="24"/>
          <w:szCs w:val="24"/>
        </w:rPr>
        <w:t xml:space="preserve"> The measures include regulated and restricted vehicular traffic, introduction of stringent vehicular emission norms, use of clear natural gas and alternative envir</w:t>
      </w:r>
      <w:r w:rsidR="007F27F9" w:rsidRPr="00FA3678">
        <w:rPr>
          <w:sz w:val="24"/>
          <w:szCs w:val="24"/>
        </w:rPr>
        <w:t>o-friendly fuels, prohibition of</w:t>
      </w:r>
      <w:r w:rsidR="00BE5F09" w:rsidRPr="00FA3678">
        <w:rPr>
          <w:sz w:val="24"/>
          <w:szCs w:val="24"/>
        </w:rPr>
        <w:t xml:space="preserve"> carrying and use of plastic bags and littering of any kind, no commercial activity at the</w:t>
      </w:r>
      <w:r w:rsidR="00707836" w:rsidRPr="00FA3678">
        <w:rPr>
          <w:sz w:val="24"/>
          <w:szCs w:val="24"/>
        </w:rPr>
        <w:t xml:space="preserve"> glacier. Interestingly, this is the first Indian case to recognize</w:t>
      </w:r>
      <w:r w:rsidR="00BE5F09" w:rsidRPr="00FA3678">
        <w:rPr>
          <w:sz w:val="24"/>
          <w:szCs w:val="24"/>
        </w:rPr>
        <w:t xml:space="preserve"> global warming as an environmental threat</w:t>
      </w:r>
      <w:r w:rsidR="00CC1701">
        <w:rPr>
          <w:sz w:val="24"/>
          <w:szCs w:val="24"/>
        </w:rPr>
        <w:t xml:space="preserve"> involving</w:t>
      </w:r>
      <w:r w:rsidR="00707836" w:rsidRPr="00FA3678">
        <w:rPr>
          <w:sz w:val="24"/>
          <w:szCs w:val="24"/>
        </w:rPr>
        <w:t xml:space="preserve"> the specific</w:t>
      </w:r>
      <w:r w:rsidR="006A7A83" w:rsidRPr="00FA3678">
        <w:rPr>
          <w:sz w:val="24"/>
          <w:szCs w:val="24"/>
        </w:rPr>
        <w:t xml:space="preserve"> impa</w:t>
      </w:r>
      <w:r w:rsidR="00707836" w:rsidRPr="00FA3678">
        <w:rPr>
          <w:sz w:val="24"/>
          <w:szCs w:val="24"/>
        </w:rPr>
        <w:t>ct on the glacier resulting in</w:t>
      </w:r>
      <w:r w:rsidRPr="00FA3678">
        <w:rPr>
          <w:sz w:val="24"/>
          <w:szCs w:val="24"/>
        </w:rPr>
        <w:t xml:space="preserve"> the</w:t>
      </w:r>
      <w:r w:rsidR="006A7A83" w:rsidRPr="00FA3678">
        <w:rPr>
          <w:sz w:val="24"/>
          <w:szCs w:val="24"/>
        </w:rPr>
        <w:t xml:space="preserve"> early and untimely melting of ice. </w:t>
      </w:r>
    </w:p>
    <w:p w:rsidR="00915807" w:rsidRPr="00FA3678" w:rsidRDefault="00915807" w:rsidP="00FA3678">
      <w:pPr>
        <w:widowControl w:val="0"/>
        <w:tabs>
          <w:tab w:val="left" w:pos="603"/>
        </w:tabs>
        <w:suppressAutoHyphens/>
        <w:spacing w:after="0"/>
        <w:rPr>
          <w:sz w:val="24"/>
          <w:szCs w:val="24"/>
        </w:rPr>
      </w:pPr>
    </w:p>
    <w:p w:rsidR="000828E5" w:rsidRPr="00FA3678" w:rsidRDefault="006A7A83" w:rsidP="00FA3678">
      <w:pPr>
        <w:widowControl w:val="0"/>
        <w:tabs>
          <w:tab w:val="left" w:pos="603"/>
        </w:tabs>
        <w:suppressAutoHyphens/>
        <w:spacing w:after="0"/>
        <w:rPr>
          <w:b/>
          <w:sz w:val="24"/>
          <w:szCs w:val="24"/>
        </w:rPr>
      </w:pPr>
      <w:r w:rsidRPr="00FA3678">
        <w:rPr>
          <w:sz w:val="24"/>
          <w:szCs w:val="24"/>
        </w:rPr>
        <w:t xml:space="preserve"> </w:t>
      </w:r>
      <w:r w:rsidR="00BE6A9B" w:rsidRPr="00FA3678">
        <w:rPr>
          <w:sz w:val="24"/>
          <w:szCs w:val="24"/>
        </w:rPr>
        <w:t>This paper argues</w:t>
      </w:r>
      <w:r w:rsidR="00693946" w:rsidRPr="00FA3678">
        <w:rPr>
          <w:sz w:val="24"/>
          <w:szCs w:val="24"/>
        </w:rPr>
        <w:t xml:space="preserve"> that the interpretation and application of </w:t>
      </w:r>
      <w:r w:rsidR="004D4E50" w:rsidRPr="00FA3678">
        <w:rPr>
          <w:sz w:val="24"/>
          <w:szCs w:val="24"/>
        </w:rPr>
        <w:t xml:space="preserve">the </w:t>
      </w:r>
      <w:r w:rsidR="00693946" w:rsidRPr="00FA3678">
        <w:rPr>
          <w:sz w:val="24"/>
          <w:szCs w:val="24"/>
        </w:rPr>
        <w:t>precautionary principle at the municipal leve</w:t>
      </w:r>
      <w:r w:rsidR="00804225" w:rsidRPr="00FA3678">
        <w:rPr>
          <w:sz w:val="24"/>
          <w:szCs w:val="24"/>
        </w:rPr>
        <w:t>l in India reinforces and gives primacy to the most developed form of prevention which remains the general basis for environmental protection measures.</w:t>
      </w:r>
      <w:r w:rsidR="00403421" w:rsidRPr="00FA3678">
        <w:rPr>
          <w:sz w:val="24"/>
          <w:szCs w:val="24"/>
        </w:rPr>
        <w:t xml:space="preserve"> </w:t>
      </w:r>
      <w:r w:rsidR="009D630B" w:rsidRPr="00FA3678">
        <w:rPr>
          <w:sz w:val="24"/>
          <w:szCs w:val="24"/>
        </w:rPr>
        <w:t xml:space="preserve">The Tribunal has applied the precautionary principle on the presumption of an activity having </w:t>
      </w:r>
      <w:r w:rsidR="00295D48" w:rsidRPr="00FA3678">
        <w:rPr>
          <w:sz w:val="24"/>
          <w:szCs w:val="24"/>
        </w:rPr>
        <w:t xml:space="preserve">a </w:t>
      </w:r>
      <w:r w:rsidR="009D630B" w:rsidRPr="00FA3678">
        <w:rPr>
          <w:sz w:val="24"/>
          <w:szCs w:val="24"/>
        </w:rPr>
        <w:t>potentially</w:t>
      </w:r>
      <w:r w:rsidR="00295D48" w:rsidRPr="00FA3678">
        <w:rPr>
          <w:sz w:val="24"/>
          <w:szCs w:val="24"/>
        </w:rPr>
        <w:t xml:space="preserve"> negative effect</w:t>
      </w:r>
      <w:r w:rsidR="009D630B" w:rsidRPr="00FA3678">
        <w:rPr>
          <w:sz w:val="24"/>
          <w:szCs w:val="24"/>
        </w:rPr>
        <w:t xml:space="preserve"> on the environment or posing danger to human health. </w:t>
      </w:r>
      <w:r w:rsidR="00816C0A" w:rsidRPr="00FA3678">
        <w:rPr>
          <w:sz w:val="24"/>
          <w:szCs w:val="24"/>
        </w:rPr>
        <w:t xml:space="preserve">Surprisingly, </w:t>
      </w:r>
      <w:r w:rsidR="009D630B" w:rsidRPr="00FA3678">
        <w:rPr>
          <w:sz w:val="24"/>
          <w:szCs w:val="24"/>
        </w:rPr>
        <w:t>the distinction between scientific uncertainty on</w:t>
      </w:r>
      <w:r w:rsidR="00AB6D1B" w:rsidRPr="00FA3678">
        <w:rPr>
          <w:sz w:val="24"/>
          <w:szCs w:val="24"/>
        </w:rPr>
        <w:t xml:space="preserve"> the</w:t>
      </w:r>
      <w:r w:rsidR="009D630B" w:rsidRPr="00FA3678">
        <w:rPr>
          <w:sz w:val="24"/>
          <w:szCs w:val="24"/>
        </w:rPr>
        <w:t xml:space="preserve"> one hand and the likelihood of harm based on scientific informatio</w:t>
      </w:r>
      <w:r w:rsidR="00AB6D1B" w:rsidRPr="00FA3678">
        <w:rPr>
          <w:sz w:val="24"/>
          <w:szCs w:val="24"/>
        </w:rPr>
        <w:t>n on th</w:t>
      </w:r>
      <w:r w:rsidR="00816C0A" w:rsidRPr="00FA3678">
        <w:rPr>
          <w:sz w:val="24"/>
          <w:szCs w:val="24"/>
        </w:rPr>
        <w:t>e other may</w:t>
      </w:r>
      <w:r w:rsidR="000C70B6">
        <w:rPr>
          <w:sz w:val="24"/>
          <w:szCs w:val="24"/>
        </w:rPr>
        <w:t xml:space="preserve"> </w:t>
      </w:r>
      <w:r w:rsidR="00816C0A" w:rsidRPr="00FA3678">
        <w:rPr>
          <w:sz w:val="24"/>
          <w:szCs w:val="24"/>
        </w:rPr>
        <w:t>be</w:t>
      </w:r>
      <w:r w:rsidR="006E7B5C" w:rsidRPr="00FA3678">
        <w:rPr>
          <w:sz w:val="24"/>
          <w:szCs w:val="24"/>
        </w:rPr>
        <w:t xml:space="preserve"> conflated.</w:t>
      </w:r>
      <w:r w:rsidR="009D630B" w:rsidRPr="00FA3678">
        <w:rPr>
          <w:sz w:val="24"/>
          <w:szCs w:val="24"/>
        </w:rPr>
        <w:t xml:space="preserve"> </w:t>
      </w:r>
      <w:proofErr w:type="spellStart"/>
      <w:r w:rsidR="006C4DC2" w:rsidRPr="00FA3678">
        <w:rPr>
          <w:i/>
          <w:sz w:val="24"/>
          <w:szCs w:val="24"/>
        </w:rPr>
        <w:t>Sarang</w:t>
      </w:r>
      <w:proofErr w:type="spellEnd"/>
      <w:r w:rsidR="006C4DC2" w:rsidRPr="00FA3678">
        <w:rPr>
          <w:i/>
          <w:sz w:val="24"/>
          <w:szCs w:val="24"/>
        </w:rPr>
        <w:t xml:space="preserve"> </w:t>
      </w:r>
      <w:proofErr w:type="spellStart"/>
      <w:r w:rsidR="006C4DC2" w:rsidRPr="00FA3678">
        <w:rPr>
          <w:i/>
          <w:sz w:val="24"/>
          <w:szCs w:val="24"/>
        </w:rPr>
        <w:t>Yadwadkar</w:t>
      </w:r>
      <w:proofErr w:type="spellEnd"/>
      <w:r w:rsidR="006C4DC2" w:rsidRPr="00FA3678">
        <w:rPr>
          <w:i/>
          <w:sz w:val="24"/>
          <w:szCs w:val="24"/>
        </w:rPr>
        <w:t xml:space="preserve"> v The Commissioner</w:t>
      </w:r>
      <w:r w:rsidR="006C4DC2" w:rsidRPr="00FA3678">
        <w:rPr>
          <w:rStyle w:val="FootnoteReference"/>
          <w:sz w:val="24"/>
          <w:szCs w:val="24"/>
        </w:rPr>
        <w:footnoteReference w:id="101"/>
      </w:r>
      <w:r w:rsidR="006E7B5C" w:rsidRPr="00FA3678">
        <w:rPr>
          <w:sz w:val="24"/>
          <w:szCs w:val="24"/>
        </w:rPr>
        <w:t xml:space="preserve"> supports this contention</w:t>
      </w:r>
      <w:r w:rsidR="00451EE8">
        <w:rPr>
          <w:sz w:val="24"/>
          <w:szCs w:val="24"/>
        </w:rPr>
        <w:t>, wherein it was stated</w:t>
      </w:r>
      <w:r w:rsidR="001E523D" w:rsidRPr="00FA3678">
        <w:rPr>
          <w:sz w:val="24"/>
          <w:szCs w:val="24"/>
        </w:rPr>
        <w:t xml:space="preserve"> ‘the precautionary principle can be explained</w:t>
      </w:r>
      <w:r w:rsidR="009E4EAC" w:rsidRPr="00FA3678">
        <w:rPr>
          <w:sz w:val="24"/>
          <w:szCs w:val="24"/>
        </w:rPr>
        <w:t xml:space="preserve"> to say that it contemplates that an activity which poses danger and threat to environment is to be prevented. Prevention is better than cure. It means that the state governments and local authorities are supposed to anticipate and then prevent the causes of environmental degradation. The likelihood of danger has to be</w:t>
      </w:r>
      <w:r w:rsidR="009E4EAC" w:rsidRPr="00FA3678">
        <w:rPr>
          <w:b/>
          <w:sz w:val="24"/>
          <w:szCs w:val="24"/>
        </w:rPr>
        <w:t xml:space="preserve"> </w:t>
      </w:r>
      <w:r w:rsidR="009E4EAC" w:rsidRPr="00FA3678">
        <w:rPr>
          <w:sz w:val="24"/>
          <w:szCs w:val="24"/>
        </w:rPr>
        <w:t>based upon scientific information, data available and analysis of risks.</w:t>
      </w:r>
      <w:r w:rsidR="00B44666" w:rsidRPr="00FA3678">
        <w:rPr>
          <w:sz w:val="24"/>
          <w:szCs w:val="24"/>
        </w:rPr>
        <w:t xml:space="preserve"> </w:t>
      </w:r>
      <w:r w:rsidR="009E4EAC" w:rsidRPr="00FA3678">
        <w:rPr>
          <w:sz w:val="24"/>
          <w:szCs w:val="24"/>
        </w:rPr>
        <w:t xml:space="preserve">Ecological impact should be given paramount consideration and it is more so when resources are non-renewable or where the end results </w:t>
      </w:r>
      <w:r w:rsidR="00B44666" w:rsidRPr="00FA3678">
        <w:rPr>
          <w:sz w:val="24"/>
          <w:szCs w:val="24"/>
        </w:rPr>
        <w:t>would be irreversible. The principle of precaution involves the anticipation of environmental harm and taking measures to avoid it or to choose the least environmentally harmful activity. Again it is based on scientific uncertainty.’</w:t>
      </w:r>
      <w:r w:rsidR="00B44666" w:rsidRPr="00FA3678">
        <w:rPr>
          <w:rStyle w:val="FootnoteReference"/>
          <w:sz w:val="24"/>
          <w:szCs w:val="24"/>
        </w:rPr>
        <w:footnoteReference w:id="102"/>
      </w:r>
      <w:r w:rsidR="00624F22" w:rsidRPr="00FA3678">
        <w:rPr>
          <w:sz w:val="24"/>
          <w:szCs w:val="24"/>
        </w:rPr>
        <w:t xml:space="preserve"> </w:t>
      </w:r>
      <w:r w:rsidR="00605C76" w:rsidRPr="00FA3678">
        <w:rPr>
          <w:sz w:val="24"/>
          <w:szCs w:val="24"/>
        </w:rPr>
        <w:t>These</w:t>
      </w:r>
      <w:r w:rsidR="006E7B5C" w:rsidRPr="00FA3678">
        <w:rPr>
          <w:sz w:val="24"/>
          <w:szCs w:val="24"/>
        </w:rPr>
        <w:t xml:space="preserve"> ruling</w:t>
      </w:r>
      <w:r w:rsidR="00605C76" w:rsidRPr="00FA3678">
        <w:rPr>
          <w:sz w:val="24"/>
          <w:szCs w:val="24"/>
        </w:rPr>
        <w:t>s appear</w:t>
      </w:r>
      <w:r w:rsidR="005B4CCD" w:rsidRPr="00FA3678">
        <w:rPr>
          <w:sz w:val="24"/>
          <w:szCs w:val="24"/>
        </w:rPr>
        <w:t xml:space="preserve"> to</w:t>
      </w:r>
      <w:r w:rsidR="006E7B5C" w:rsidRPr="00FA3678">
        <w:rPr>
          <w:sz w:val="24"/>
          <w:szCs w:val="24"/>
        </w:rPr>
        <w:t xml:space="preserve"> create uncertainty regarding</w:t>
      </w:r>
      <w:r w:rsidR="000A5AFD" w:rsidRPr="00FA3678">
        <w:rPr>
          <w:sz w:val="24"/>
          <w:szCs w:val="24"/>
        </w:rPr>
        <w:t xml:space="preserve"> the scope and application</w:t>
      </w:r>
      <w:r w:rsidR="00196AD5" w:rsidRPr="00FA3678">
        <w:rPr>
          <w:sz w:val="24"/>
          <w:szCs w:val="24"/>
        </w:rPr>
        <w:t xml:space="preserve"> of the principle of precaution</w:t>
      </w:r>
      <w:r w:rsidR="00572561" w:rsidRPr="00FA3678">
        <w:rPr>
          <w:sz w:val="24"/>
          <w:szCs w:val="24"/>
        </w:rPr>
        <w:t xml:space="preserve"> through the conflation of precaution and prevention.</w:t>
      </w:r>
      <w:r w:rsidR="00196AD5" w:rsidRPr="00FA3678">
        <w:rPr>
          <w:sz w:val="24"/>
          <w:szCs w:val="24"/>
        </w:rPr>
        <w:t xml:space="preserve"> </w:t>
      </w:r>
      <w:r w:rsidR="000A5AFD" w:rsidRPr="00FA3678">
        <w:rPr>
          <w:sz w:val="24"/>
          <w:szCs w:val="24"/>
        </w:rPr>
        <w:t xml:space="preserve">Nevertheless, </w:t>
      </w:r>
      <w:r w:rsidR="00403421" w:rsidRPr="00FA3678">
        <w:rPr>
          <w:sz w:val="24"/>
          <w:szCs w:val="24"/>
        </w:rPr>
        <w:t>th</w:t>
      </w:r>
      <w:r w:rsidR="000A5AFD" w:rsidRPr="00FA3678">
        <w:rPr>
          <w:sz w:val="24"/>
          <w:szCs w:val="24"/>
        </w:rPr>
        <w:t>is</w:t>
      </w:r>
      <w:r w:rsidR="00403421" w:rsidRPr="00FA3678">
        <w:rPr>
          <w:sz w:val="24"/>
          <w:szCs w:val="24"/>
        </w:rPr>
        <w:t xml:space="preserve"> principle</w:t>
      </w:r>
      <w:r w:rsidR="00D945D4">
        <w:rPr>
          <w:sz w:val="24"/>
          <w:szCs w:val="24"/>
        </w:rPr>
        <w:t xml:space="preserve"> </w:t>
      </w:r>
      <w:r w:rsidR="0050688E" w:rsidRPr="00FA3678">
        <w:rPr>
          <w:sz w:val="24"/>
          <w:szCs w:val="24"/>
        </w:rPr>
        <w:t>mandates well-judged usage</w:t>
      </w:r>
      <w:r w:rsidR="00403421" w:rsidRPr="00FA3678">
        <w:rPr>
          <w:sz w:val="24"/>
          <w:szCs w:val="24"/>
        </w:rPr>
        <w:t xml:space="preserve"> in favour of observing, preventing and mitigating</w:t>
      </w:r>
      <w:r w:rsidR="004D4E50" w:rsidRPr="00FA3678">
        <w:rPr>
          <w:sz w:val="24"/>
          <w:szCs w:val="24"/>
        </w:rPr>
        <w:t xml:space="preserve"> an</w:t>
      </w:r>
      <w:r w:rsidR="003609B3" w:rsidRPr="00FA3678">
        <w:rPr>
          <w:sz w:val="24"/>
          <w:szCs w:val="24"/>
        </w:rPr>
        <w:t xml:space="preserve"> undetermined potential threa</w:t>
      </w:r>
      <w:r w:rsidR="00BD378A" w:rsidRPr="00FA3678">
        <w:rPr>
          <w:sz w:val="24"/>
          <w:szCs w:val="24"/>
        </w:rPr>
        <w:t>t</w:t>
      </w:r>
      <w:r w:rsidR="0050688E" w:rsidRPr="00FA3678">
        <w:rPr>
          <w:sz w:val="24"/>
          <w:szCs w:val="24"/>
        </w:rPr>
        <w:t>.</w:t>
      </w:r>
    </w:p>
    <w:p w:rsidR="0047443A" w:rsidRPr="00FA3678" w:rsidRDefault="0047443A" w:rsidP="00FA3678">
      <w:pPr>
        <w:widowControl w:val="0"/>
        <w:tabs>
          <w:tab w:val="left" w:pos="603"/>
        </w:tabs>
        <w:suppressAutoHyphens/>
        <w:spacing w:after="0"/>
        <w:rPr>
          <w:sz w:val="24"/>
          <w:szCs w:val="24"/>
        </w:rPr>
      </w:pPr>
    </w:p>
    <w:p w:rsidR="0047443A" w:rsidRPr="00FA3678" w:rsidRDefault="0047443A" w:rsidP="00FA3678">
      <w:pPr>
        <w:widowControl w:val="0"/>
        <w:tabs>
          <w:tab w:val="left" w:pos="603"/>
        </w:tabs>
        <w:suppressAutoHyphens/>
        <w:spacing w:after="0"/>
        <w:rPr>
          <w:b/>
          <w:sz w:val="24"/>
          <w:szCs w:val="24"/>
        </w:rPr>
      </w:pPr>
      <w:r w:rsidRPr="00FA3678">
        <w:rPr>
          <w:b/>
          <w:sz w:val="24"/>
          <w:szCs w:val="24"/>
        </w:rPr>
        <w:t>3.5 The Polluter Pays Principle</w:t>
      </w:r>
    </w:p>
    <w:p w:rsidR="00E77F42" w:rsidRPr="00FA3678" w:rsidRDefault="00E77F42" w:rsidP="00FA3678">
      <w:pPr>
        <w:widowControl w:val="0"/>
        <w:tabs>
          <w:tab w:val="left" w:pos="603"/>
        </w:tabs>
        <w:suppressAutoHyphens/>
        <w:spacing w:after="0"/>
        <w:rPr>
          <w:b/>
          <w:sz w:val="24"/>
          <w:szCs w:val="24"/>
        </w:rPr>
      </w:pPr>
    </w:p>
    <w:p w:rsidR="00437E85" w:rsidRPr="00FA3678" w:rsidRDefault="0017774E" w:rsidP="00FA3678">
      <w:pPr>
        <w:widowControl w:val="0"/>
        <w:tabs>
          <w:tab w:val="left" w:pos="603"/>
        </w:tabs>
        <w:suppressAutoHyphens/>
        <w:spacing w:after="0"/>
        <w:rPr>
          <w:sz w:val="24"/>
          <w:szCs w:val="24"/>
        </w:rPr>
      </w:pPr>
      <w:r w:rsidRPr="00FA3678">
        <w:rPr>
          <w:sz w:val="24"/>
          <w:szCs w:val="24"/>
        </w:rPr>
        <w:lastRenderedPageBreak/>
        <w:t>The polluter pays principle supplies the means through which the cost of pollution prevention, contr</w:t>
      </w:r>
      <w:r w:rsidR="00AD05D2" w:rsidRPr="00FA3678">
        <w:rPr>
          <w:sz w:val="24"/>
          <w:szCs w:val="24"/>
        </w:rPr>
        <w:t>ol and reduction measures are</w:t>
      </w:r>
      <w:r w:rsidRPr="00FA3678">
        <w:rPr>
          <w:sz w:val="24"/>
          <w:szCs w:val="24"/>
        </w:rPr>
        <w:t xml:space="preserve"> borne by the polluter. </w:t>
      </w:r>
      <w:r w:rsidR="00AD05D2" w:rsidRPr="00FA3678">
        <w:rPr>
          <w:sz w:val="24"/>
          <w:szCs w:val="24"/>
        </w:rPr>
        <w:t>The overarching principle is</w:t>
      </w:r>
      <w:r w:rsidR="00B3497C" w:rsidRPr="00FA3678">
        <w:rPr>
          <w:sz w:val="24"/>
          <w:szCs w:val="24"/>
        </w:rPr>
        <w:t xml:space="preserve"> recognized as</w:t>
      </w:r>
      <w:r w:rsidR="0009017E" w:rsidRPr="00FA3678">
        <w:rPr>
          <w:sz w:val="24"/>
          <w:szCs w:val="24"/>
        </w:rPr>
        <w:t xml:space="preserve"> an integral component of sustainable development.</w:t>
      </w:r>
      <w:r w:rsidR="00FB1FB3" w:rsidRPr="00FA3678">
        <w:rPr>
          <w:sz w:val="24"/>
          <w:szCs w:val="24"/>
        </w:rPr>
        <w:t xml:space="preserve"> </w:t>
      </w:r>
      <w:r w:rsidR="00F75528" w:rsidRPr="00FA3678">
        <w:rPr>
          <w:sz w:val="24"/>
          <w:szCs w:val="24"/>
        </w:rPr>
        <w:t xml:space="preserve">Kiss and </w:t>
      </w:r>
      <w:r w:rsidR="00FB1FB3" w:rsidRPr="00FA3678">
        <w:rPr>
          <w:sz w:val="24"/>
          <w:szCs w:val="24"/>
        </w:rPr>
        <w:t>Shelton</w:t>
      </w:r>
      <w:r w:rsidR="00F75528" w:rsidRPr="00FA3678">
        <w:rPr>
          <w:rStyle w:val="FootnoteReference"/>
          <w:sz w:val="24"/>
          <w:szCs w:val="24"/>
        </w:rPr>
        <w:footnoteReference w:id="103"/>
      </w:r>
      <w:r w:rsidR="00FA39F3" w:rsidRPr="00FA3678">
        <w:rPr>
          <w:sz w:val="24"/>
          <w:szCs w:val="24"/>
        </w:rPr>
        <w:t xml:space="preserve"> suggest</w:t>
      </w:r>
      <w:r w:rsidR="00FB1FB3" w:rsidRPr="00FA3678">
        <w:rPr>
          <w:sz w:val="24"/>
          <w:szCs w:val="24"/>
        </w:rPr>
        <w:t xml:space="preserve"> that the application of</w:t>
      </w:r>
      <w:r w:rsidR="008B24CC">
        <w:rPr>
          <w:sz w:val="24"/>
          <w:szCs w:val="24"/>
        </w:rPr>
        <w:t xml:space="preserve"> the</w:t>
      </w:r>
      <w:r w:rsidR="00FB1FB3" w:rsidRPr="00FA3678">
        <w:rPr>
          <w:sz w:val="24"/>
          <w:szCs w:val="24"/>
        </w:rPr>
        <w:t xml:space="preserve"> principle is easy and effective in a geographic region subject to uniform environmental law, such as within a nation state.</w:t>
      </w:r>
    </w:p>
    <w:p w:rsidR="00915807" w:rsidRPr="00FA3678" w:rsidRDefault="00915807" w:rsidP="00FA3678">
      <w:pPr>
        <w:widowControl w:val="0"/>
        <w:tabs>
          <w:tab w:val="left" w:pos="603"/>
        </w:tabs>
        <w:suppressAutoHyphens/>
        <w:spacing w:after="0"/>
        <w:rPr>
          <w:sz w:val="24"/>
          <w:szCs w:val="24"/>
        </w:rPr>
      </w:pPr>
    </w:p>
    <w:p w:rsidR="004A7CFB" w:rsidRPr="00FA3678" w:rsidRDefault="004A7CFB" w:rsidP="00FA3678">
      <w:pPr>
        <w:widowControl w:val="0"/>
        <w:tabs>
          <w:tab w:val="left" w:pos="603"/>
        </w:tabs>
        <w:suppressAutoHyphens/>
        <w:spacing w:after="0"/>
        <w:rPr>
          <w:sz w:val="24"/>
          <w:szCs w:val="24"/>
        </w:rPr>
      </w:pPr>
      <w:r w:rsidRPr="00FA3678">
        <w:rPr>
          <w:sz w:val="24"/>
          <w:szCs w:val="24"/>
        </w:rPr>
        <w:t>In Indian environmental jurisprudence, the polluter pays</w:t>
      </w:r>
      <w:r w:rsidR="00B3497C" w:rsidRPr="00FA3678">
        <w:rPr>
          <w:sz w:val="24"/>
          <w:szCs w:val="24"/>
        </w:rPr>
        <w:t xml:space="preserve"> principle</w:t>
      </w:r>
      <w:r w:rsidRPr="00FA3678">
        <w:rPr>
          <w:sz w:val="24"/>
          <w:szCs w:val="24"/>
        </w:rPr>
        <w:t xml:space="preserve"> include</w:t>
      </w:r>
      <w:r w:rsidR="00B3497C" w:rsidRPr="00FA3678">
        <w:rPr>
          <w:sz w:val="24"/>
          <w:szCs w:val="24"/>
        </w:rPr>
        <w:t>s</w:t>
      </w:r>
      <w:r w:rsidRPr="00FA3678">
        <w:rPr>
          <w:sz w:val="24"/>
          <w:szCs w:val="24"/>
        </w:rPr>
        <w:t xml:space="preserve"> </w:t>
      </w:r>
      <w:r w:rsidR="00E817CC" w:rsidRPr="00FA3678">
        <w:rPr>
          <w:sz w:val="24"/>
          <w:szCs w:val="24"/>
        </w:rPr>
        <w:t>environmental costs as well as direct costs to people or property.</w:t>
      </w:r>
      <w:r w:rsidR="00EA21E7" w:rsidRPr="00FA3678">
        <w:rPr>
          <w:sz w:val="24"/>
          <w:szCs w:val="24"/>
        </w:rPr>
        <w:t xml:space="preserve"> The Supreme Court of India has fleshed out the ratio by stating that the ‘remediation of the damaged environment is a part of the process of sustainable development and as such the polluter is liable to pay the cost to the individual sufferers as well as the cost of reversing the damaged ecology.’</w:t>
      </w:r>
      <w:r w:rsidR="00AE11A5" w:rsidRPr="00FA3678">
        <w:rPr>
          <w:rStyle w:val="FootnoteReference"/>
          <w:sz w:val="24"/>
          <w:szCs w:val="24"/>
        </w:rPr>
        <w:footnoteReference w:id="104"/>
      </w:r>
    </w:p>
    <w:p w:rsidR="00915807" w:rsidRPr="00FA3678" w:rsidRDefault="00915807" w:rsidP="00FA3678">
      <w:pPr>
        <w:widowControl w:val="0"/>
        <w:tabs>
          <w:tab w:val="left" w:pos="603"/>
        </w:tabs>
        <w:suppressAutoHyphens/>
        <w:spacing w:after="0"/>
        <w:rPr>
          <w:sz w:val="24"/>
          <w:szCs w:val="24"/>
        </w:rPr>
      </w:pPr>
    </w:p>
    <w:p w:rsidR="0018571A" w:rsidRPr="00FA3678" w:rsidRDefault="00ED0C9D" w:rsidP="00FA3678">
      <w:pPr>
        <w:widowControl w:val="0"/>
        <w:tabs>
          <w:tab w:val="left" w:pos="603"/>
        </w:tabs>
        <w:suppressAutoHyphens/>
        <w:spacing w:after="0"/>
        <w:rPr>
          <w:sz w:val="24"/>
          <w:szCs w:val="24"/>
        </w:rPr>
      </w:pPr>
      <w:r w:rsidRPr="00FA3678">
        <w:rPr>
          <w:sz w:val="24"/>
          <w:szCs w:val="24"/>
        </w:rPr>
        <w:t>The NGT has strengthened</w:t>
      </w:r>
      <w:r w:rsidR="002E7145" w:rsidRPr="00FA3678">
        <w:rPr>
          <w:sz w:val="24"/>
          <w:szCs w:val="24"/>
        </w:rPr>
        <w:t xml:space="preserve"> </w:t>
      </w:r>
      <w:r w:rsidR="005533DB" w:rsidRPr="00FA3678">
        <w:rPr>
          <w:sz w:val="24"/>
          <w:szCs w:val="24"/>
        </w:rPr>
        <w:t>Supreme C</w:t>
      </w:r>
      <w:r w:rsidR="00B3497C" w:rsidRPr="00FA3678">
        <w:rPr>
          <w:sz w:val="24"/>
          <w:szCs w:val="24"/>
        </w:rPr>
        <w:t xml:space="preserve">ourt rulings. </w:t>
      </w:r>
      <w:r w:rsidR="00723441" w:rsidRPr="00FA3678">
        <w:rPr>
          <w:sz w:val="24"/>
          <w:szCs w:val="24"/>
        </w:rPr>
        <w:t xml:space="preserve">In </w:t>
      </w:r>
      <w:r w:rsidR="00723441" w:rsidRPr="00FA3678">
        <w:rPr>
          <w:i/>
          <w:sz w:val="24"/>
          <w:szCs w:val="24"/>
        </w:rPr>
        <w:t xml:space="preserve">Hindustan </w:t>
      </w:r>
      <w:proofErr w:type="spellStart"/>
      <w:r w:rsidR="00723441" w:rsidRPr="00FA3678">
        <w:rPr>
          <w:i/>
          <w:sz w:val="24"/>
          <w:szCs w:val="24"/>
        </w:rPr>
        <w:t>Cocacola</w:t>
      </w:r>
      <w:proofErr w:type="spellEnd"/>
      <w:r w:rsidR="00723441" w:rsidRPr="00FA3678">
        <w:rPr>
          <w:i/>
          <w:sz w:val="24"/>
          <w:szCs w:val="24"/>
        </w:rPr>
        <w:t xml:space="preserve"> Beverages Pvt Ltd.</w:t>
      </w:r>
      <w:r w:rsidR="00723441" w:rsidRPr="00FA3678">
        <w:rPr>
          <w:sz w:val="24"/>
          <w:szCs w:val="24"/>
        </w:rPr>
        <w:t xml:space="preserve"> </w:t>
      </w:r>
      <w:r w:rsidR="0022033C" w:rsidRPr="00FA3678">
        <w:rPr>
          <w:i/>
          <w:sz w:val="24"/>
          <w:szCs w:val="24"/>
        </w:rPr>
        <w:t>v</w:t>
      </w:r>
      <w:r w:rsidR="00723441" w:rsidRPr="00FA3678">
        <w:rPr>
          <w:i/>
          <w:sz w:val="24"/>
          <w:szCs w:val="24"/>
        </w:rPr>
        <w:t xml:space="preserve"> West Bengal Pollution Control Board</w:t>
      </w:r>
      <w:r w:rsidR="00723441" w:rsidRPr="00FA3678">
        <w:rPr>
          <w:rStyle w:val="FootnoteReference"/>
          <w:sz w:val="24"/>
          <w:szCs w:val="24"/>
        </w:rPr>
        <w:footnoteReference w:id="105"/>
      </w:r>
      <w:r w:rsidR="00723441" w:rsidRPr="00FA3678">
        <w:rPr>
          <w:sz w:val="24"/>
          <w:szCs w:val="24"/>
        </w:rPr>
        <w:t xml:space="preserve"> </w:t>
      </w:r>
      <w:r w:rsidR="00011943" w:rsidRPr="00FA3678">
        <w:rPr>
          <w:sz w:val="24"/>
          <w:szCs w:val="24"/>
        </w:rPr>
        <w:t xml:space="preserve"> the Tribunal stated ‘</w:t>
      </w:r>
      <w:r w:rsidR="00266964" w:rsidRPr="00FA3678">
        <w:rPr>
          <w:sz w:val="24"/>
          <w:szCs w:val="24"/>
        </w:rPr>
        <w:t xml:space="preserve">it is no more </w:t>
      </w:r>
      <w:r w:rsidR="00266964" w:rsidRPr="00FA3678">
        <w:rPr>
          <w:i/>
          <w:sz w:val="24"/>
          <w:szCs w:val="24"/>
        </w:rPr>
        <w:t>res-</w:t>
      </w:r>
      <w:proofErr w:type="spellStart"/>
      <w:r w:rsidR="00266964" w:rsidRPr="00FA3678">
        <w:rPr>
          <w:i/>
          <w:sz w:val="24"/>
          <w:szCs w:val="24"/>
        </w:rPr>
        <w:t>integra</w:t>
      </w:r>
      <w:proofErr w:type="spellEnd"/>
      <w:r w:rsidR="00266964" w:rsidRPr="00FA3678">
        <w:rPr>
          <w:sz w:val="24"/>
          <w:szCs w:val="24"/>
        </w:rPr>
        <w:t>, with regard to the legal proposition that a polluter is bound to pay and eradicate the damage caused by him and restore the environment. He is also responsible to pay for the damages caused due to the pollution caused by him.’</w:t>
      </w:r>
      <w:r w:rsidR="004B0123" w:rsidRPr="00FA3678">
        <w:rPr>
          <w:rStyle w:val="FootnoteReference"/>
          <w:sz w:val="24"/>
          <w:szCs w:val="24"/>
        </w:rPr>
        <w:footnoteReference w:id="106"/>
      </w:r>
      <w:r w:rsidR="00011943" w:rsidRPr="00FA3678">
        <w:rPr>
          <w:sz w:val="24"/>
          <w:szCs w:val="24"/>
        </w:rPr>
        <w:t xml:space="preserve"> </w:t>
      </w:r>
      <w:r w:rsidR="00325EA3" w:rsidRPr="00FA3678">
        <w:rPr>
          <w:sz w:val="24"/>
          <w:szCs w:val="24"/>
        </w:rPr>
        <w:t>Additionally</w:t>
      </w:r>
      <w:r w:rsidR="00B3497C" w:rsidRPr="00FA3678">
        <w:rPr>
          <w:sz w:val="24"/>
          <w:szCs w:val="24"/>
        </w:rPr>
        <w:t>, whilst</w:t>
      </w:r>
      <w:r w:rsidR="0018571A" w:rsidRPr="00FA3678">
        <w:rPr>
          <w:sz w:val="24"/>
          <w:szCs w:val="24"/>
        </w:rPr>
        <w:t xml:space="preserve"> developing the discourse on environmental justice, the </w:t>
      </w:r>
      <w:r w:rsidR="00A527D2" w:rsidRPr="00FA3678">
        <w:rPr>
          <w:sz w:val="24"/>
          <w:szCs w:val="24"/>
        </w:rPr>
        <w:t xml:space="preserve">NGT has made significant progress by using </w:t>
      </w:r>
      <w:r w:rsidR="0018571A" w:rsidRPr="00FA3678">
        <w:rPr>
          <w:sz w:val="24"/>
          <w:szCs w:val="24"/>
        </w:rPr>
        <w:t>the principle to shift the cost on</w:t>
      </w:r>
      <w:r w:rsidR="00B3497C" w:rsidRPr="00FA3678">
        <w:rPr>
          <w:sz w:val="24"/>
          <w:szCs w:val="24"/>
        </w:rPr>
        <w:t>to the</w:t>
      </w:r>
      <w:r w:rsidR="0018571A" w:rsidRPr="00FA3678">
        <w:rPr>
          <w:sz w:val="24"/>
          <w:szCs w:val="24"/>
        </w:rPr>
        <w:t xml:space="preserve"> polluter for the administration </w:t>
      </w:r>
      <w:r w:rsidR="009C15AA" w:rsidRPr="00FA3678">
        <w:rPr>
          <w:sz w:val="24"/>
          <w:szCs w:val="24"/>
        </w:rPr>
        <w:t>of the pollution control system an</w:t>
      </w:r>
      <w:r w:rsidR="00B3497C" w:rsidRPr="00FA3678">
        <w:rPr>
          <w:sz w:val="24"/>
          <w:szCs w:val="24"/>
        </w:rPr>
        <w:t>d the consequences of the pollution. F</w:t>
      </w:r>
      <w:r w:rsidR="009C15AA" w:rsidRPr="00FA3678">
        <w:rPr>
          <w:sz w:val="24"/>
          <w:szCs w:val="24"/>
        </w:rPr>
        <w:t>or exa</w:t>
      </w:r>
      <w:r w:rsidR="00906BF0" w:rsidRPr="00FA3678">
        <w:rPr>
          <w:sz w:val="24"/>
          <w:szCs w:val="24"/>
        </w:rPr>
        <w:t>mple,</w:t>
      </w:r>
      <w:r w:rsidR="00B3497C" w:rsidRPr="00FA3678">
        <w:rPr>
          <w:sz w:val="24"/>
          <w:szCs w:val="24"/>
        </w:rPr>
        <w:t xml:space="preserve"> it includes</w:t>
      </w:r>
      <w:r w:rsidR="00906BF0" w:rsidRPr="00FA3678">
        <w:rPr>
          <w:sz w:val="24"/>
          <w:szCs w:val="24"/>
        </w:rPr>
        <w:t xml:space="preserve"> compensation and clean up so that a necessary environmental quality objective is achieved.</w:t>
      </w:r>
      <w:r w:rsidR="00FA4F4A" w:rsidRPr="00FA3678">
        <w:rPr>
          <w:sz w:val="24"/>
          <w:szCs w:val="24"/>
        </w:rPr>
        <w:t xml:space="preserve"> In the </w:t>
      </w:r>
      <w:proofErr w:type="spellStart"/>
      <w:r w:rsidR="00FA4F4A" w:rsidRPr="00FA3678">
        <w:rPr>
          <w:i/>
          <w:sz w:val="24"/>
          <w:szCs w:val="24"/>
        </w:rPr>
        <w:t>Rohtang</w:t>
      </w:r>
      <w:proofErr w:type="spellEnd"/>
      <w:r w:rsidR="00FA4F4A" w:rsidRPr="00FA3678">
        <w:rPr>
          <w:i/>
          <w:sz w:val="24"/>
          <w:szCs w:val="24"/>
        </w:rPr>
        <w:t xml:space="preserve"> Pass Glacier</w:t>
      </w:r>
      <w:r w:rsidR="00FA4F4A" w:rsidRPr="00FA3678">
        <w:rPr>
          <w:sz w:val="24"/>
          <w:szCs w:val="24"/>
        </w:rPr>
        <w:t xml:space="preserve"> case</w:t>
      </w:r>
      <w:r w:rsidR="00AB6CAB" w:rsidRPr="00FA3678">
        <w:rPr>
          <w:rStyle w:val="FootnoteReference"/>
          <w:sz w:val="24"/>
          <w:szCs w:val="24"/>
        </w:rPr>
        <w:footnoteReference w:id="107"/>
      </w:r>
      <w:r w:rsidR="00FA4F4A" w:rsidRPr="00FA3678">
        <w:rPr>
          <w:sz w:val="24"/>
          <w:szCs w:val="24"/>
        </w:rPr>
        <w:t xml:space="preserve"> the Tribunal was of the opinion that in order to strengthen the polluter pays</w:t>
      </w:r>
      <w:r w:rsidR="007C7C0F">
        <w:rPr>
          <w:sz w:val="24"/>
          <w:szCs w:val="24"/>
        </w:rPr>
        <w:t xml:space="preserve"> principle</w:t>
      </w:r>
      <w:r w:rsidR="00FA4F4A" w:rsidRPr="00FA3678">
        <w:rPr>
          <w:sz w:val="24"/>
          <w:szCs w:val="24"/>
        </w:rPr>
        <w:t xml:space="preserve"> and in the interest of sustainable development, the tourists and vehicles</w:t>
      </w:r>
      <w:r w:rsidR="00FB7840" w:rsidRPr="00FA3678">
        <w:rPr>
          <w:rStyle w:val="FootnoteReference"/>
          <w:sz w:val="24"/>
          <w:szCs w:val="24"/>
        </w:rPr>
        <w:footnoteReference w:id="108"/>
      </w:r>
      <w:r w:rsidR="00FA4F4A" w:rsidRPr="00FA3678">
        <w:rPr>
          <w:sz w:val="24"/>
          <w:szCs w:val="24"/>
        </w:rPr>
        <w:t xml:space="preserve"> using the </w:t>
      </w:r>
      <w:proofErr w:type="spellStart"/>
      <w:r w:rsidR="00FA4F4A" w:rsidRPr="00FA3678">
        <w:rPr>
          <w:sz w:val="24"/>
          <w:szCs w:val="24"/>
        </w:rPr>
        <w:t>Rohtan</w:t>
      </w:r>
      <w:r w:rsidR="00B83AC6" w:rsidRPr="00FA3678">
        <w:rPr>
          <w:sz w:val="24"/>
          <w:szCs w:val="24"/>
        </w:rPr>
        <w:t>g</w:t>
      </w:r>
      <w:proofErr w:type="spellEnd"/>
      <w:r w:rsidR="00B83AC6" w:rsidRPr="00FA3678">
        <w:rPr>
          <w:sz w:val="24"/>
          <w:szCs w:val="24"/>
        </w:rPr>
        <w:t xml:space="preserve"> Pass road for their enjoyment, pleasure or commercial benefit must be made to pay. The Tribunal directed that all persons travelling by public or private vehicles must pay a reasonable sum as a contribution towards polluter pays principle in the Green Tax Fund created by the state government. </w:t>
      </w:r>
      <w:r w:rsidR="00FA39F3" w:rsidRPr="00FA3678">
        <w:rPr>
          <w:sz w:val="24"/>
          <w:szCs w:val="24"/>
        </w:rPr>
        <w:t>The amount in this fund is to</w:t>
      </w:r>
      <w:r w:rsidR="00727EC0" w:rsidRPr="00FA3678">
        <w:rPr>
          <w:sz w:val="24"/>
          <w:szCs w:val="24"/>
        </w:rPr>
        <w:t xml:space="preserve"> be used only for the prevention and control of pollution, restoring the vegetative cover and afforestation and </w:t>
      </w:r>
      <w:r w:rsidR="00B3497C" w:rsidRPr="00FA3678">
        <w:rPr>
          <w:sz w:val="24"/>
          <w:szCs w:val="24"/>
        </w:rPr>
        <w:t xml:space="preserve">for </w:t>
      </w:r>
      <w:r w:rsidR="00727EC0" w:rsidRPr="00FA3678">
        <w:rPr>
          <w:sz w:val="24"/>
          <w:szCs w:val="24"/>
        </w:rPr>
        <w:t>no other purpose.</w:t>
      </w:r>
    </w:p>
    <w:p w:rsidR="00915807" w:rsidRPr="00FA3678" w:rsidRDefault="00915807" w:rsidP="00FA3678">
      <w:pPr>
        <w:widowControl w:val="0"/>
        <w:tabs>
          <w:tab w:val="left" w:pos="603"/>
        </w:tabs>
        <w:suppressAutoHyphens/>
        <w:spacing w:after="0"/>
        <w:rPr>
          <w:sz w:val="24"/>
          <w:szCs w:val="24"/>
        </w:rPr>
      </w:pPr>
    </w:p>
    <w:p w:rsidR="0050274C" w:rsidRPr="00FA3678" w:rsidRDefault="0050274C" w:rsidP="00FA3678">
      <w:pPr>
        <w:widowControl w:val="0"/>
        <w:tabs>
          <w:tab w:val="left" w:pos="603"/>
        </w:tabs>
        <w:suppressAutoHyphens/>
        <w:spacing w:after="0"/>
        <w:rPr>
          <w:sz w:val="24"/>
          <w:szCs w:val="24"/>
        </w:rPr>
      </w:pPr>
      <w:r w:rsidRPr="00FA3678">
        <w:rPr>
          <w:sz w:val="24"/>
          <w:szCs w:val="24"/>
        </w:rPr>
        <w:t xml:space="preserve">In </w:t>
      </w:r>
      <w:r w:rsidRPr="00FA3678">
        <w:rPr>
          <w:i/>
          <w:sz w:val="24"/>
          <w:szCs w:val="24"/>
        </w:rPr>
        <w:t>Manoj Mishra v Union of India</w:t>
      </w:r>
      <w:r w:rsidR="007E3E98" w:rsidRPr="00FA3678">
        <w:rPr>
          <w:rStyle w:val="FootnoteReference"/>
          <w:sz w:val="24"/>
          <w:szCs w:val="24"/>
        </w:rPr>
        <w:footnoteReference w:id="109"/>
      </w:r>
      <w:r w:rsidR="000F17FF" w:rsidRPr="00FA3678">
        <w:rPr>
          <w:sz w:val="24"/>
          <w:szCs w:val="24"/>
        </w:rPr>
        <w:t>, the Tribunal passed an order for th</w:t>
      </w:r>
      <w:r w:rsidR="00F55284" w:rsidRPr="00FA3678">
        <w:rPr>
          <w:sz w:val="24"/>
          <w:szCs w:val="24"/>
        </w:rPr>
        <w:t xml:space="preserve">e application of polluter pays </w:t>
      </w:r>
      <w:r w:rsidR="000F17FF" w:rsidRPr="00FA3678">
        <w:rPr>
          <w:sz w:val="24"/>
          <w:szCs w:val="24"/>
        </w:rPr>
        <w:t xml:space="preserve">on the backdrop </w:t>
      </w:r>
      <w:r w:rsidR="00F55284" w:rsidRPr="00FA3678">
        <w:rPr>
          <w:sz w:val="24"/>
          <w:szCs w:val="24"/>
        </w:rPr>
        <w:t>of a pe</w:t>
      </w:r>
      <w:r w:rsidR="00B3497C" w:rsidRPr="00FA3678">
        <w:rPr>
          <w:sz w:val="24"/>
          <w:szCs w:val="24"/>
        </w:rPr>
        <w:t>tition filed by Manoj Mishra, a leading</w:t>
      </w:r>
      <w:r w:rsidR="00F55284" w:rsidRPr="00FA3678">
        <w:rPr>
          <w:sz w:val="24"/>
          <w:szCs w:val="24"/>
        </w:rPr>
        <w:t xml:space="preserve"> environmental activist, who opposed the dumping of debris and construction waste</w:t>
      </w:r>
      <w:r w:rsidR="00B3497C" w:rsidRPr="00FA3678">
        <w:rPr>
          <w:sz w:val="24"/>
          <w:szCs w:val="24"/>
        </w:rPr>
        <w:t xml:space="preserve"> on the banks of</w:t>
      </w:r>
      <w:r w:rsidR="00D63050" w:rsidRPr="00FA3678">
        <w:rPr>
          <w:sz w:val="24"/>
          <w:szCs w:val="24"/>
        </w:rPr>
        <w:t xml:space="preserve"> the</w:t>
      </w:r>
      <w:r w:rsidR="00B3497C" w:rsidRPr="00FA3678">
        <w:rPr>
          <w:sz w:val="24"/>
          <w:szCs w:val="24"/>
        </w:rPr>
        <w:t xml:space="preserve"> river </w:t>
      </w:r>
      <w:r w:rsidR="00D63050" w:rsidRPr="00FA3678">
        <w:rPr>
          <w:sz w:val="24"/>
          <w:szCs w:val="24"/>
        </w:rPr>
        <w:t xml:space="preserve">Yamuna. </w:t>
      </w:r>
      <w:r w:rsidR="00F55284" w:rsidRPr="00FA3678">
        <w:rPr>
          <w:sz w:val="24"/>
          <w:szCs w:val="24"/>
        </w:rPr>
        <w:t xml:space="preserve">Yamuna is the lifeline of Delhi, India’s </w:t>
      </w:r>
      <w:r w:rsidR="00B3497C" w:rsidRPr="00FA3678">
        <w:rPr>
          <w:sz w:val="24"/>
          <w:szCs w:val="24"/>
        </w:rPr>
        <w:t xml:space="preserve">capital, providing a </w:t>
      </w:r>
      <w:r w:rsidR="00C33518" w:rsidRPr="00FA3678">
        <w:rPr>
          <w:sz w:val="24"/>
          <w:szCs w:val="24"/>
        </w:rPr>
        <w:t xml:space="preserve">constant supply of </w:t>
      </w:r>
      <w:r w:rsidR="00C33518" w:rsidRPr="00FA3678">
        <w:rPr>
          <w:sz w:val="24"/>
          <w:szCs w:val="24"/>
        </w:rPr>
        <w:lastRenderedPageBreak/>
        <w:t>water.</w:t>
      </w:r>
      <w:r w:rsidR="00C33518" w:rsidRPr="00FA3678">
        <w:rPr>
          <w:rStyle w:val="FootnoteReference"/>
          <w:sz w:val="24"/>
          <w:szCs w:val="24"/>
        </w:rPr>
        <w:footnoteReference w:id="110"/>
      </w:r>
      <w:r w:rsidR="00F55284" w:rsidRPr="00FA3678">
        <w:rPr>
          <w:sz w:val="24"/>
          <w:szCs w:val="24"/>
        </w:rPr>
        <w:t xml:space="preserve"> Any person found dumping debris on the river bank </w:t>
      </w:r>
      <w:r w:rsidR="00421FD2" w:rsidRPr="00FA3678">
        <w:rPr>
          <w:sz w:val="24"/>
          <w:szCs w:val="24"/>
        </w:rPr>
        <w:t>at any site was liable to pay a sum of Rupees 5 Lakhs [</w:t>
      </w:r>
      <w:r w:rsidR="00AD1059" w:rsidRPr="00FA3678">
        <w:rPr>
          <w:sz w:val="24"/>
          <w:szCs w:val="24"/>
        </w:rPr>
        <w:t>£5,000] for causing pollution. The recovery of the fine was from the p</w:t>
      </w:r>
      <w:r w:rsidR="00D63050" w:rsidRPr="00FA3678">
        <w:rPr>
          <w:sz w:val="24"/>
          <w:szCs w:val="24"/>
        </w:rPr>
        <w:t>erson responsible for dumping the debris</w:t>
      </w:r>
      <w:r w:rsidR="00AD1059" w:rsidRPr="00FA3678">
        <w:rPr>
          <w:sz w:val="24"/>
          <w:szCs w:val="24"/>
        </w:rPr>
        <w:t xml:space="preserve"> as well as the p</w:t>
      </w:r>
      <w:r w:rsidR="00D63050" w:rsidRPr="00FA3678">
        <w:rPr>
          <w:sz w:val="24"/>
          <w:szCs w:val="24"/>
        </w:rPr>
        <w:t>erson to whom the debris belonged</w:t>
      </w:r>
      <w:r w:rsidR="00AD1059" w:rsidRPr="00FA3678">
        <w:rPr>
          <w:sz w:val="24"/>
          <w:szCs w:val="24"/>
        </w:rPr>
        <w:t xml:space="preserve">. </w:t>
      </w:r>
    </w:p>
    <w:p w:rsidR="00915807" w:rsidRPr="00FA3678" w:rsidRDefault="00915807" w:rsidP="00FA3678">
      <w:pPr>
        <w:widowControl w:val="0"/>
        <w:tabs>
          <w:tab w:val="left" w:pos="603"/>
        </w:tabs>
        <w:suppressAutoHyphens/>
        <w:spacing w:after="0"/>
        <w:rPr>
          <w:sz w:val="24"/>
          <w:szCs w:val="24"/>
        </w:rPr>
      </w:pPr>
    </w:p>
    <w:p w:rsidR="00A63A4A" w:rsidRPr="00FA3678" w:rsidRDefault="008C26BB" w:rsidP="00FA3678">
      <w:pPr>
        <w:widowControl w:val="0"/>
        <w:tabs>
          <w:tab w:val="left" w:pos="603"/>
        </w:tabs>
        <w:suppressAutoHyphens/>
        <w:spacing w:after="0"/>
        <w:rPr>
          <w:sz w:val="24"/>
          <w:szCs w:val="24"/>
        </w:rPr>
      </w:pPr>
      <w:r>
        <w:rPr>
          <w:sz w:val="24"/>
          <w:szCs w:val="24"/>
        </w:rPr>
        <w:t>The consequence</w:t>
      </w:r>
      <w:r w:rsidR="00A63A4A" w:rsidRPr="00FA3678">
        <w:rPr>
          <w:sz w:val="24"/>
          <w:szCs w:val="24"/>
        </w:rPr>
        <w:t xml:space="preserve"> of the NGT order witn</w:t>
      </w:r>
      <w:r w:rsidR="001A0B71" w:rsidRPr="00FA3678">
        <w:rPr>
          <w:sz w:val="24"/>
          <w:szCs w:val="24"/>
        </w:rPr>
        <w:t xml:space="preserve">essed </w:t>
      </w:r>
      <w:r w:rsidR="00A60C18" w:rsidRPr="00FA3678">
        <w:rPr>
          <w:sz w:val="24"/>
          <w:szCs w:val="24"/>
        </w:rPr>
        <w:t>government agencies [</w:t>
      </w:r>
      <w:r w:rsidR="00A63A4A" w:rsidRPr="00FA3678">
        <w:rPr>
          <w:sz w:val="24"/>
          <w:szCs w:val="24"/>
        </w:rPr>
        <w:t xml:space="preserve">one of </w:t>
      </w:r>
      <w:r w:rsidR="00560C04" w:rsidRPr="00FA3678">
        <w:rPr>
          <w:sz w:val="24"/>
          <w:szCs w:val="24"/>
        </w:rPr>
        <w:t xml:space="preserve">the </w:t>
      </w:r>
      <w:r w:rsidR="00A63A4A" w:rsidRPr="00FA3678">
        <w:rPr>
          <w:sz w:val="24"/>
          <w:szCs w:val="24"/>
        </w:rPr>
        <w:t>major parties dumping debris] removing thousands of truckload</w:t>
      </w:r>
      <w:r w:rsidR="00B3497C" w:rsidRPr="00FA3678">
        <w:rPr>
          <w:sz w:val="24"/>
          <w:szCs w:val="24"/>
        </w:rPr>
        <w:t>s</w:t>
      </w:r>
      <w:r w:rsidR="00A63A4A" w:rsidRPr="00FA3678">
        <w:rPr>
          <w:sz w:val="24"/>
          <w:szCs w:val="24"/>
        </w:rPr>
        <w:t xml:space="preserve"> of constructional and demolition waste from the banks of the river Yamuna</w:t>
      </w:r>
      <w:r w:rsidR="00B3497C" w:rsidRPr="00FA3678">
        <w:rPr>
          <w:sz w:val="24"/>
          <w:szCs w:val="24"/>
        </w:rPr>
        <w:t xml:space="preserve">. </w:t>
      </w:r>
      <w:r w:rsidR="001A0B71" w:rsidRPr="00FA3678">
        <w:rPr>
          <w:sz w:val="24"/>
          <w:szCs w:val="24"/>
        </w:rPr>
        <w:t>However, there was no plan regarding an</w:t>
      </w:r>
      <w:r w:rsidR="00B3497C" w:rsidRPr="00FA3678">
        <w:rPr>
          <w:sz w:val="24"/>
          <w:szCs w:val="24"/>
        </w:rPr>
        <w:t xml:space="preserve"> alternative </w:t>
      </w:r>
      <w:r w:rsidR="001A0B71" w:rsidRPr="00FA3678">
        <w:rPr>
          <w:sz w:val="24"/>
          <w:szCs w:val="24"/>
        </w:rPr>
        <w:t>waste site</w:t>
      </w:r>
      <w:r w:rsidR="00B3497C" w:rsidRPr="00FA3678">
        <w:rPr>
          <w:sz w:val="24"/>
          <w:szCs w:val="24"/>
        </w:rPr>
        <w:t>!</w:t>
      </w:r>
      <w:r w:rsidR="00A60C18" w:rsidRPr="00FA3678">
        <w:rPr>
          <w:sz w:val="24"/>
          <w:szCs w:val="24"/>
        </w:rPr>
        <w:t xml:space="preserve"> The record shows that Delhi generates 5,000 tonnes of debris</w:t>
      </w:r>
      <w:r w:rsidR="00B3497C" w:rsidRPr="00FA3678">
        <w:rPr>
          <w:sz w:val="24"/>
          <w:szCs w:val="24"/>
        </w:rPr>
        <w:t xml:space="preserve"> daily</w:t>
      </w:r>
      <w:r w:rsidR="001A0B71" w:rsidRPr="00FA3678">
        <w:rPr>
          <w:sz w:val="24"/>
          <w:szCs w:val="24"/>
        </w:rPr>
        <w:t xml:space="preserve"> but only has a single</w:t>
      </w:r>
      <w:r w:rsidR="00A60C18" w:rsidRPr="00FA3678">
        <w:rPr>
          <w:sz w:val="24"/>
          <w:szCs w:val="24"/>
        </w:rPr>
        <w:t xml:space="preserve"> debris</w:t>
      </w:r>
      <w:r w:rsidR="00B3497C" w:rsidRPr="00FA3678">
        <w:rPr>
          <w:sz w:val="24"/>
          <w:szCs w:val="24"/>
        </w:rPr>
        <w:t xml:space="preserve"> processing plant which</w:t>
      </w:r>
      <w:r w:rsidR="00A60C18" w:rsidRPr="00FA3678">
        <w:rPr>
          <w:sz w:val="24"/>
          <w:szCs w:val="24"/>
        </w:rPr>
        <w:t xml:space="preserve"> handle</w:t>
      </w:r>
      <w:r w:rsidR="00B3497C" w:rsidRPr="00FA3678">
        <w:rPr>
          <w:sz w:val="24"/>
          <w:szCs w:val="24"/>
        </w:rPr>
        <w:t>s</w:t>
      </w:r>
      <w:r w:rsidR="00A60C18" w:rsidRPr="00FA3678">
        <w:rPr>
          <w:sz w:val="24"/>
          <w:szCs w:val="24"/>
        </w:rPr>
        <w:t xml:space="preserve"> 5</w:t>
      </w:r>
      <w:r w:rsidR="00E77762" w:rsidRPr="00FA3678">
        <w:rPr>
          <w:sz w:val="24"/>
          <w:szCs w:val="24"/>
        </w:rPr>
        <w:t>00 tonnes of debris a day. E</w:t>
      </w:r>
      <w:r w:rsidR="00A60C18" w:rsidRPr="00FA3678">
        <w:rPr>
          <w:sz w:val="24"/>
          <w:szCs w:val="24"/>
        </w:rPr>
        <w:t>vidence is available</w:t>
      </w:r>
      <w:r>
        <w:rPr>
          <w:sz w:val="24"/>
          <w:szCs w:val="24"/>
        </w:rPr>
        <w:t xml:space="preserve"> to show</w:t>
      </w:r>
      <w:r w:rsidR="00A60C18" w:rsidRPr="00FA3678">
        <w:rPr>
          <w:sz w:val="24"/>
          <w:szCs w:val="24"/>
        </w:rPr>
        <w:t xml:space="preserve"> that governmental authorities such as Delhi Metro Road Corporation have dumped 50,400 tonnes of debris in the riverbed, equivalent to around 8</w:t>
      </w:r>
      <w:r w:rsidR="00285D7C" w:rsidRPr="00FA3678">
        <w:rPr>
          <w:sz w:val="24"/>
          <w:szCs w:val="24"/>
        </w:rPr>
        <w:t>,</w:t>
      </w:r>
      <w:r w:rsidR="00A60C18" w:rsidRPr="00FA3678">
        <w:rPr>
          <w:sz w:val="24"/>
          <w:szCs w:val="24"/>
        </w:rPr>
        <w:t>000-9</w:t>
      </w:r>
      <w:r w:rsidR="00285D7C" w:rsidRPr="00FA3678">
        <w:rPr>
          <w:sz w:val="24"/>
          <w:szCs w:val="24"/>
        </w:rPr>
        <w:t>,</w:t>
      </w:r>
      <w:r w:rsidR="00A60C18" w:rsidRPr="00FA3678">
        <w:rPr>
          <w:sz w:val="24"/>
          <w:szCs w:val="24"/>
        </w:rPr>
        <w:t>000 truckloads.</w:t>
      </w:r>
      <w:r w:rsidR="00190107" w:rsidRPr="00FA3678">
        <w:rPr>
          <w:rStyle w:val="FootnoteReference"/>
          <w:sz w:val="24"/>
          <w:szCs w:val="24"/>
        </w:rPr>
        <w:footnoteReference w:id="111"/>
      </w:r>
    </w:p>
    <w:p w:rsidR="00E77F42" w:rsidRPr="00FA3678" w:rsidRDefault="009D1EFD" w:rsidP="00FA3678">
      <w:pPr>
        <w:widowControl w:val="0"/>
        <w:tabs>
          <w:tab w:val="left" w:pos="603"/>
        </w:tabs>
        <w:suppressAutoHyphens/>
        <w:spacing w:after="0"/>
        <w:rPr>
          <w:sz w:val="24"/>
          <w:szCs w:val="24"/>
        </w:rPr>
      </w:pPr>
      <w:r w:rsidRPr="00FA3678">
        <w:rPr>
          <w:sz w:val="24"/>
          <w:szCs w:val="24"/>
        </w:rPr>
        <w:t>This paper argues that the</w:t>
      </w:r>
      <w:r w:rsidR="00A60C18" w:rsidRPr="00FA3678">
        <w:rPr>
          <w:sz w:val="24"/>
          <w:szCs w:val="24"/>
        </w:rPr>
        <w:t xml:space="preserve"> continuous infringement </w:t>
      </w:r>
      <w:r w:rsidR="00F35D38" w:rsidRPr="00FA3678">
        <w:rPr>
          <w:sz w:val="24"/>
          <w:szCs w:val="24"/>
        </w:rPr>
        <w:t>of law and failure on the part of state authorities to prevent environmental degradation renders legal provisions nugatory and encourages</w:t>
      </w:r>
      <w:r w:rsidR="00866CC9" w:rsidRPr="00FA3678">
        <w:rPr>
          <w:sz w:val="24"/>
          <w:szCs w:val="24"/>
        </w:rPr>
        <w:t xml:space="preserve"> </w:t>
      </w:r>
      <w:r w:rsidR="00DB2001" w:rsidRPr="00FA3678">
        <w:rPr>
          <w:sz w:val="24"/>
          <w:szCs w:val="24"/>
        </w:rPr>
        <w:t>unlawful activities.</w:t>
      </w:r>
      <w:r w:rsidR="00E87B33" w:rsidRPr="00FA3678">
        <w:rPr>
          <w:sz w:val="24"/>
          <w:szCs w:val="24"/>
        </w:rPr>
        <w:t xml:space="preserve"> Behaviour such as </w:t>
      </w:r>
      <w:r w:rsidR="00871CBE" w:rsidRPr="00FA3678">
        <w:rPr>
          <w:sz w:val="24"/>
          <w:szCs w:val="24"/>
        </w:rPr>
        <w:t>callous and indifferent attitude</w:t>
      </w:r>
      <w:r w:rsidR="009165B6" w:rsidRPr="00FA3678">
        <w:rPr>
          <w:sz w:val="24"/>
          <w:szCs w:val="24"/>
        </w:rPr>
        <w:t>s</w:t>
      </w:r>
      <w:r w:rsidR="00871CBE" w:rsidRPr="00FA3678">
        <w:rPr>
          <w:sz w:val="24"/>
          <w:szCs w:val="24"/>
        </w:rPr>
        <w:t xml:space="preserve"> exhibited by the authorities, corruption and ineptitude pose immense threat</w:t>
      </w:r>
      <w:r w:rsidR="00165FA5" w:rsidRPr="00FA3678">
        <w:rPr>
          <w:sz w:val="24"/>
          <w:szCs w:val="24"/>
        </w:rPr>
        <w:t>s</w:t>
      </w:r>
      <w:r w:rsidR="00871CBE" w:rsidRPr="00FA3678">
        <w:rPr>
          <w:sz w:val="24"/>
          <w:szCs w:val="24"/>
        </w:rPr>
        <w:t xml:space="preserve"> to the environment and</w:t>
      </w:r>
      <w:r w:rsidR="009165B6" w:rsidRPr="00FA3678">
        <w:rPr>
          <w:sz w:val="24"/>
          <w:szCs w:val="24"/>
        </w:rPr>
        <w:t xml:space="preserve"> the</w:t>
      </w:r>
      <w:r w:rsidR="00871CBE" w:rsidRPr="00FA3678">
        <w:rPr>
          <w:sz w:val="24"/>
          <w:szCs w:val="24"/>
        </w:rPr>
        <w:t xml:space="preserve"> public at large. </w:t>
      </w:r>
      <w:r w:rsidR="003164A4" w:rsidRPr="00FA3678">
        <w:rPr>
          <w:sz w:val="24"/>
          <w:szCs w:val="24"/>
        </w:rPr>
        <w:t xml:space="preserve">Given the scale of environmental violations in India, polluters should not only be made to compensate </w:t>
      </w:r>
      <w:r w:rsidR="009165B6" w:rsidRPr="00FA3678">
        <w:rPr>
          <w:sz w:val="24"/>
          <w:szCs w:val="24"/>
        </w:rPr>
        <w:t>for immediate damage but it should</w:t>
      </w:r>
      <w:r w:rsidR="003164A4" w:rsidRPr="00FA3678">
        <w:rPr>
          <w:sz w:val="24"/>
          <w:szCs w:val="24"/>
        </w:rPr>
        <w:t xml:space="preserve"> act as a deterrent. T</w:t>
      </w:r>
      <w:r w:rsidR="009165B6" w:rsidRPr="00FA3678">
        <w:rPr>
          <w:sz w:val="24"/>
          <w:szCs w:val="24"/>
        </w:rPr>
        <w:t>he principle of polluter pays should</w:t>
      </w:r>
      <w:r w:rsidR="003164A4" w:rsidRPr="00FA3678">
        <w:rPr>
          <w:sz w:val="24"/>
          <w:szCs w:val="24"/>
        </w:rPr>
        <w:t xml:space="preserve"> be combined with stringent regulatory measures to achieve the desired results.</w:t>
      </w:r>
    </w:p>
    <w:p w:rsidR="00E77F42" w:rsidRPr="00FA3678" w:rsidRDefault="00E77F42" w:rsidP="00FA3678">
      <w:pPr>
        <w:widowControl w:val="0"/>
        <w:tabs>
          <w:tab w:val="left" w:pos="603"/>
        </w:tabs>
        <w:suppressAutoHyphens/>
        <w:spacing w:after="0"/>
        <w:rPr>
          <w:sz w:val="24"/>
          <w:szCs w:val="24"/>
        </w:rPr>
      </w:pPr>
    </w:p>
    <w:p w:rsidR="00632FD8" w:rsidRPr="00FA3678" w:rsidRDefault="00E77F42" w:rsidP="00FA3678">
      <w:pPr>
        <w:widowControl w:val="0"/>
        <w:tabs>
          <w:tab w:val="left" w:pos="603"/>
        </w:tabs>
        <w:suppressAutoHyphens/>
        <w:spacing w:after="0"/>
        <w:rPr>
          <w:sz w:val="24"/>
          <w:szCs w:val="24"/>
        </w:rPr>
      </w:pPr>
      <w:r w:rsidRPr="00FA3678">
        <w:rPr>
          <w:sz w:val="24"/>
          <w:szCs w:val="24"/>
        </w:rPr>
        <w:t xml:space="preserve">3.6 </w:t>
      </w:r>
      <w:r w:rsidR="00632FD8" w:rsidRPr="00FA3678">
        <w:rPr>
          <w:b/>
          <w:sz w:val="24"/>
          <w:szCs w:val="24"/>
        </w:rPr>
        <w:t>The Princ</w:t>
      </w:r>
      <w:r w:rsidR="004C4EF5" w:rsidRPr="00FA3678">
        <w:rPr>
          <w:b/>
          <w:sz w:val="24"/>
          <w:szCs w:val="24"/>
        </w:rPr>
        <w:t>iple of Participation</w:t>
      </w:r>
    </w:p>
    <w:p w:rsidR="00E77F42" w:rsidRPr="00FA3678" w:rsidRDefault="00E77F42" w:rsidP="00FA3678">
      <w:pPr>
        <w:pStyle w:val="ListParagraph"/>
        <w:widowControl w:val="0"/>
        <w:tabs>
          <w:tab w:val="left" w:pos="603"/>
        </w:tabs>
        <w:suppressAutoHyphens/>
        <w:spacing w:after="0"/>
        <w:rPr>
          <w:b/>
          <w:sz w:val="24"/>
          <w:szCs w:val="24"/>
        </w:rPr>
      </w:pPr>
    </w:p>
    <w:p w:rsidR="00A60C18" w:rsidRPr="00FA3678" w:rsidRDefault="008763A4" w:rsidP="00FA3678">
      <w:pPr>
        <w:widowControl w:val="0"/>
        <w:tabs>
          <w:tab w:val="left" w:pos="603"/>
        </w:tabs>
        <w:suppressAutoHyphens/>
        <w:spacing w:after="0"/>
        <w:rPr>
          <w:sz w:val="24"/>
          <w:szCs w:val="24"/>
        </w:rPr>
      </w:pPr>
      <w:proofErr w:type="spellStart"/>
      <w:r w:rsidRPr="00FA3678">
        <w:rPr>
          <w:sz w:val="24"/>
          <w:szCs w:val="24"/>
        </w:rPr>
        <w:t>Scholsberg’s</w:t>
      </w:r>
      <w:proofErr w:type="spellEnd"/>
      <w:r w:rsidR="0073126B" w:rsidRPr="00FA3678">
        <w:rPr>
          <w:rStyle w:val="FootnoteReference"/>
          <w:sz w:val="24"/>
          <w:szCs w:val="24"/>
        </w:rPr>
        <w:footnoteReference w:id="112"/>
      </w:r>
      <w:r w:rsidRPr="00FA3678">
        <w:rPr>
          <w:sz w:val="24"/>
          <w:szCs w:val="24"/>
        </w:rPr>
        <w:t xml:space="preserve"> work argues that </w:t>
      </w:r>
      <w:r w:rsidR="00D43776" w:rsidRPr="00FA3678">
        <w:rPr>
          <w:sz w:val="24"/>
          <w:szCs w:val="24"/>
        </w:rPr>
        <w:t xml:space="preserve">a broad understanding of </w:t>
      </w:r>
      <w:r w:rsidR="00794CCD" w:rsidRPr="00FA3678">
        <w:rPr>
          <w:sz w:val="24"/>
          <w:szCs w:val="24"/>
        </w:rPr>
        <w:t xml:space="preserve">environmental justice involves participation </w:t>
      </w:r>
      <w:r w:rsidR="002A75BD" w:rsidRPr="00FA3678">
        <w:rPr>
          <w:sz w:val="24"/>
          <w:szCs w:val="24"/>
        </w:rPr>
        <w:t xml:space="preserve">in environmental controversies. </w:t>
      </w:r>
      <w:r w:rsidR="00794CCD" w:rsidRPr="00FA3678">
        <w:rPr>
          <w:sz w:val="24"/>
          <w:szCs w:val="24"/>
        </w:rPr>
        <w:t>The access rights- information, participation in decision –making and justice- are the core elements of</w:t>
      </w:r>
      <w:r w:rsidR="009165B6" w:rsidRPr="00FA3678">
        <w:rPr>
          <w:sz w:val="24"/>
          <w:szCs w:val="24"/>
        </w:rPr>
        <w:t xml:space="preserve"> the</w:t>
      </w:r>
      <w:r w:rsidR="00794CCD" w:rsidRPr="00FA3678">
        <w:rPr>
          <w:sz w:val="24"/>
          <w:szCs w:val="24"/>
        </w:rPr>
        <w:t xml:space="preserve"> principle of participation. The scope of this section, however, is confined to access to justice i</w:t>
      </w:r>
      <w:r w:rsidR="00DE752C" w:rsidRPr="00FA3678">
        <w:rPr>
          <w:sz w:val="24"/>
          <w:szCs w:val="24"/>
        </w:rPr>
        <w:t xml:space="preserve">n relation to legal standing in the </w:t>
      </w:r>
      <w:r w:rsidR="00794CCD" w:rsidRPr="00FA3678">
        <w:rPr>
          <w:sz w:val="24"/>
          <w:szCs w:val="24"/>
        </w:rPr>
        <w:t xml:space="preserve">NGT. </w:t>
      </w:r>
    </w:p>
    <w:p w:rsidR="005A0A71" w:rsidRPr="00FA3678" w:rsidRDefault="005A0A71" w:rsidP="00FA3678">
      <w:pPr>
        <w:widowControl w:val="0"/>
        <w:tabs>
          <w:tab w:val="left" w:pos="603"/>
        </w:tabs>
        <w:suppressAutoHyphens/>
        <w:spacing w:after="0"/>
        <w:rPr>
          <w:sz w:val="24"/>
          <w:szCs w:val="24"/>
        </w:rPr>
      </w:pPr>
    </w:p>
    <w:p w:rsidR="00794CCD" w:rsidRPr="00FA3678" w:rsidRDefault="00EA0D95" w:rsidP="00FA3678">
      <w:pPr>
        <w:widowControl w:val="0"/>
        <w:tabs>
          <w:tab w:val="left" w:pos="603"/>
        </w:tabs>
        <w:suppressAutoHyphens/>
        <w:spacing w:after="0"/>
        <w:rPr>
          <w:sz w:val="24"/>
          <w:szCs w:val="24"/>
        </w:rPr>
      </w:pPr>
      <w:r w:rsidRPr="00FA3678">
        <w:rPr>
          <w:sz w:val="24"/>
          <w:szCs w:val="24"/>
        </w:rPr>
        <w:t xml:space="preserve"> T</w:t>
      </w:r>
      <w:r w:rsidR="00794CCD" w:rsidRPr="00FA3678">
        <w:rPr>
          <w:sz w:val="24"/>
          <w:szCs w:val="24"/>
        </w:rPr>
        <w:t>he concept of</w:t>
      </w:r>
      <w:r w:rsidR="00E1578B">
        <w:rPr>
          <w:sz w:val="24"/>
          <w:szCs w:val="24"/>
        </w:rPr>
        <w:t xml:space="preserve"> litigant</w:t>
      </w:r>
      <w:r w:rsidR="00794CCD" w:rsidRPr="00FA3678">
        <w:rPr>
          <w:sz w:val="24"/>
          <w:szCs w:val="24"/>
        </w:rPr>
        <w:t xml:space="preserve"> ‘standing’ in environmental matters </w:t>
      </w:r>
      <w:r w:rsidR="00FA397C" w:rsidRPr="00FA3678">
        <w:rPr>
          <w:sz w:val="24"/>
          <w:szCs w:val="24"/>
        </w:rPr>
        <w:t xml:space="preserve">has been </w:t>
      </w:r>
      <w:r w:rsidR="00794CCD" w:rsidRPr="00FA3678">
        <w:rPr>
          <w:sz w:val="24"/>
          <w:szCs w:val="24"/>
        </w:rPr>
        <w:t xml:space="preserve">broad </w:t>
      </w:r>
      <w:r w:rsidR="00FA397C" w:rsidRPr="00FA3678">
        <w:rPr>
          <w:sz w:val="24"/>
          <w:szCs w:val="24"/>
        </w:rPr>
        <w:t>and liberal,</w:t>
      </w:r>
      <w:r w:rsidR="004322B8" w:rsidRPr="00FA3678">
        <w:rPr>
          <w:sz w:val="24"/>
          <w:szCs w:val="24"/>
        </w:rPr>
        <w:t xml:space="preserve"> facilitated by public interest litigation [</w:t>
      </w:r>
      <w:r w:rsidR="00794CCD" w:rsidRPr="00FA3678">
        <w:rPr>
          <w:sz w:val="24"/>
          <w:szCs w:val="24"/>
        </w:rPr>
        <w:t>PIL</w:t>
      </w:r>
      <w:r w:rsidR="004322B8" w:rsidRPr="00FA3678">
        <w:rPr>
          <w:sz w:val="24"/>
          <w:szCs w:val="24"/>
        </w:rPr>
        <w:t>]</w:t>
      </w:r>
      <w:r w:rsidRPr="00FA3678">
        <w:rPr>
          <w:sz w:val="24"/>
          <w:szCs w:val="24"/>
        </w:rPr>
        <w:t>.</w:t>
      </w:r>
      <w:r w:rsidR="00FA397C" w:rsidRPr="00FA3678">
        <w:rPr>
          <w:sz w:val="24"/>
          <w:szCs w:val="24"/>
        </w:rPr>
        <w:t xml:space="preserve"> The traditional standing was modified in two ways, namely through representative and citizen standing.</w:t>
      </w:r>
      <w:r w:rsidRPr="00FA3678">
        <w:rPr>
          <w:sz w:val="24"/>
          <w:szCs w:val="24"/>
        </w:rPr>
        <w:t xml:space="preserve"> </w:t>
      </w:r>
      <w:r w:rsidR="00794CCD" w:rsidRPr="00FA3678">
        <w:rPr>
          <w:sz w:val="24"/>
          <w:szCs w:val="24"/>
        </w:rPr>
        <w:t xml:space="preserve">The </w:t>
      </w:r>
      <w:r w:rsidRPr="00FA3678">
        <w:rPr>
          <w:sz w:val="24"/>
          <w:szCs w:val="24"/>
        </w:rPr>
        <w:t xml:space="preserve">proactive Supreme Court of </w:t>
      </w:r>
      <w:r w:rsidRPr="00FA3678">
        <w:rPr>
          <w:sz w:val="24"/>
          <w:szCs w:val="24"/>
        </w:rPr>
        <w:lastRenderedPageBreak/>
        <w:t>India</w:t>
      </w:r>
      <w:r w:rsidR="00794CCD" w:rsidRPr="00FA3678">
        <w:rPr>
          <w:sz w:val="24"/>
          <w:szCs w:val="24"/>
        </w:rPr>
        <w:t xml:space="preserve"> acting as ‘amicus environment’ locked together human right</w:t>
      </w:r>
      <w:r w:rsidR="009165B6" w:rsidRPr="00FA3678">
        <w:rPr>
          <w:sz w:val="24"/>
          <w:szCs w:val="24"/>
        </w:rPr>
        <w:t>s</w:t>
      </w:r>
      <w:r w:rsidR="00E60CEA" w:rsidRPr="00FA3678">
        <w:rPr>
          <w:sz w:val="24"/>
          <w:szCs w:val="24"/>
        </w:rPr>
        <w:t xml:space="preserve"> and environment to develop </w:t>
      </w:r>
      <w:r w:rsidR="00E60CEA" w:rsidRPr="00FA3678">
        <w:rPr>
          <w:i/>
          <w:sz w:val="24"/>
          <w:szCs w:val="24"/>
        </w:rPr>
        <w:t>sui</w:t>
      </w:r>
      <w:r w:rsidR="00794CCD" w:rsidRPr="00FA3678">
        <w:rPr>
          <w:i/>
          <w:sz w:val="24"/>
          <w:szCs w:val="24"/>
        </w:rPr>
        <w:t xml:space="preserve"> gene</w:t>
      </w:r>
      <w:r w:rsidR="00CA2676" w:rsidRPr="00FA3678">
        <w:rPr>
          <w:i/>
          <w:sz w:val="24"/>
          <w:szCs w:val="24"/>
        </w:rPr>
        <w:t>ris</w:t>
      </w:r>
      <w:r w:rsidR="00E60CEA" w:rsidRPr="00FA3678">
        <w:rPr>
          <w:sz w:val="24"/>
          <w:szCs w:val="24"/>
        </w:rPr>
        <w:t xml:space="preserve"> </w:t>
      </w:r>
      <w:r w:rsidR="00CA2676" w:rsidRPr="00FA3678">
        <w:rPr>
          <w:sz w:val="24"/>
          <w:szCs w:val="24"/>
        </w:rPr>
        <w:t>environmental discourse entertaining PIL petitions, seeking remedies, including guidelines and directions in the absence of legislation.</w:t>
      </w:r>
      <w:r w:rsidR="0073126B" w:rsidRPr="00FA3678">
        <w:rPr>
          <w:rStyle w:val="FootnoteReference"/>
          <w:sz w:val="24"/>
          <w:szCs w:val="24"/>
        </w:rPr>
        <w:footnoteReference w:id="113"/>
      </w:r>
      <w:r w:rsidRPr="00FA3678">
        <w:rPr>
          <w:sz w:val="24"/>
          <w:szCs w:val="24"/>
        </w:rPr>
        <w:t xml:space="preserve"> </w:t>
      </w:r>
      <w:r w:rsidR="009165B6" w:rsidRPr="00FA3678">
        <w:rPr>
          <w:sz w:val="24"/>
          <w:szCs w:val="24"/>
        </w:rPr>
        <w:t>With the implementation</w:t>
      </w:r>
      <w:r w:rsidR="005A0A71" w:rsidRPr="00FA3678">
        <w:rPr>
          <w:sz w:val="24"/>
          <w:szCs w:val="24"/>
        </w:rPr>
        <w:t xml:space="preserve"> of the NGT Act</w:t>
      </w:r>
      <w:r w:rsidR="0087321F" w:rsidRPr="00FA3678">
        <w:rPr>
          <w:sz w:val="24"/>
          <w:szCs w:val="24"/>
        </w:rPr>
        <w:t>, ‘standing’ has been reformula</w:t>
      </w:r>
      <w:r w:rsidR="0095189B" w:rsidRPr="00FA3678">
        <w:rPr>
          <w:sz w:val="24"/>
          <w:szCs w:val="24"/>
        </w:rPr>
        <w:t>ted in terms of</w:t>
      </w:r>
      <w:r w:rsidR="0087321F" w:rsidRPr="00FA3678">
        <w:rPr>
          <w:sz w:val="24"/>
          <w:szCs w:val="24"/>
        </w:rPr>
        <w:t xml:space="preserve"> </w:t>
      </w:r>
      <w:r w:rsidR="00FA397C" w:rsidRPr="00FA3678">
        <w:rPr>
          <w:sz w:val="24"/>
          <w:szCs w:val="24"/>
        </w:rPr>
        <w:t>‘</w:t>
      </w:r>
      <w:r w:rsidR="0087321F" w:rsidRPr="00FA3678">
        <w:rPr>
          <w:sz w:val="24"/>
          <w:szCs w:val="24"/>
        </w:rPr>
        <w:t>an aggrieved person</w:t>
      </w:r>
      <w:r w:rsidR="004F549D">
        <w:rPr>
          <w:sz w:val="24"/>
          <w:szCs w:val="24"/>
        </w:rPr>
        <w:t xml:space="preserve">’ </w:t>
      </w:r>
      <w:r w:rsidR="00AD619D">
        <w:rPr>
          <w:sz w:val="24"/>
          <w:szCs w:val="24"/>
        </w:rPr>
        <w:t xml:space="preserve">who has </w:t>
      </w:r>
      <w:r w:rsidR="00FA397C" w:rsidRPr="00FA3678">
        <w:rPr>
          <w:sz w:val="24"/>
          <w:szCs w:val="24"/>
        </w:rPr>
        <w:t>the right to approach the</w:t>
      </w:r>
      <w:r w:rsidR="002279E7">
        <w:rPr>
          <w:sz w:val="24"/>
          <w:szCs w:val="24"/>
        </w:rPr>
        <w:t xml:space="preserve"> Tribunal under its original or</w:t>
      </w:r>
      <w:r w:rsidR="00FA397C" w:rsidRPr="00FA3678">
        <w:rPr>
          <w:sz w:val="24"/>
          <w:szCs w:val="24"/>
        </w:rPr>
        <w:t xml:space="preserve"> appellate jurisdiction.</w:t>
      </w:r>
      <w:r w:rsidR="0087321F" w:rsidRPr="00FA3678">
        <w:rPr>
          <w:sz w:val="24"/>
          <w:szCs w:val="24"/>
        </w:rPr>
        <w:t xml:space="preserve"> </w:t>
      </w:r>
    </w:p>
    <w:p w:rsidR="005A0A71" w:rsidRPr="00FA3678" w:rsidRDefault="005A0A71" w:rsidP="00FA3678">
      <w:pPr>
        <w:widowControl w:val="0"/>
        <w:tabs>
          <w:tab w:val="left" w:pos="603"/>
        </w:tabs>
        <w:suppressAutoHyphens/>
        <w:spacing w:after="0"/>
        <w:rPr>
          <w:sz w:val="24"/>
          <w:szCs w:val="24"/>
        </w:rPr>
      </w:pPr>
    </w:p>
    <w:p w:rsidR="002A21B8" w:rsidRPr="00FA3678" w:rsidRDefault="008E1BBE" w:rsidP="00FA3678">
      <w:pPr>
        <w:widowControl w:val="0"/>
        <w:tabs>
          <w:tab w:val="left" w:pos="603"/>
        </w:tabs>
        <w:suppressAutoHyphens/>
        <w:spacing w:after="0"/>
        <w:rPr>
          <w:sz w:val="24"/>
          <w:szCs w:val="24"/>
        </w:rPr>
      </w:pPr>
      <w:r w:rsidRPr="00FA3678">
        <w:rPr>
          <w:sz w:val="24"/>
          <w:szCs w:val="24"/>
        </w:rPr>
        <w:t xml:space="preserve">The NGT in </w:t>
      </w:r>
      <w:r w:rsidRPr="00FA3678">
        <w:rPr>
          <w:i/>
          <w:sz w:val="24"/>
          <w:szCs w:val="24"/>
        </w:rPr>
        <w:t xml:space="preserve">Jan </w:t>
      </w:r>
      <w:proofErr w:type="spellStart"/>
      <w:r w:rsidRPr="00FA3678">
        <w:rPr>
          <w:i/>
          <w:sz w:val="24"/>
          <w:szCs w:val="24"/>
        </w:rPr>
        <w:t>Chetna</w:t>
      </w:r>
      <w:proofErr w:type="spellEnd"/>
      <w:r w:rsidRPr="00FA3678">
        <w:rPr>
          <w:i/>
          <w:sz w:val="24"/>
          <w:szCs w:val="24"/>
        </w:rPr>
        <w:t xml:space="preserve"> v Ministry of Environment and Forests</w:t>
      </w:r>
      <w:r w:rsidR="007753D9" w:rsidRPr="00FA3678">
        <w:rPr>
          <w:rStyle w:val="FootnoteReference"/>
          <w:sz w:val="24"/>
          <w:szCs w:val="24"/>
        </w:rPr>
        <w:footnoteReference w:id="114"/>
      </w:r>
      <w:r w:rsidRPr="00FA3678">
        <w:rPr>
          <w:sz w:val="24"/>
          <w:szCs w:val="24"/>
        </w:rPr>
        <w:t xml:space="preserve"> explained</w:t>
      </w:r>
      <w:r w:rsidR="005A0A71" w:rsidRPr="00FA3678">
        <w:rPr>
          <w:sz w:val="24"/>
          <w:szCs w:val="24"/>
        </w:rPr>
        <w:t xml:space="preserve"> the scope and ambit of the term</w:t>
      </w:r>
      <w:r w:rsidR="00350408">
        <w:rPr>
          <w:sz w:val="24"/>
          <w:szCs w:val="24"/>
        </w:rPr>
        <w:t xml:space="preserve"> ‘aggrieved person.’ The judge</w:t>
      </w:r>
      <w:r w:rsidRPr="00FA3678">
        <w:rPr>
          <w:sz w:val="24"/>
          <w:szCs w:val="24"/>
        </w:rPr>
        <w:t xml:space="preserve"> stated ‘the expression aggrieved person cannot be considered in a restricted manner. A liberal construction and flexible interpretation should be adopted. In environmental matters the damage is not necessarily confined to the local area where the industry is</w:t>
      </w:r>
      <w:r w:rsidR="009165B6" w:rsidRPr="00FA3678">
        <w:rPr>
          <w:sz w:val="24"/>
          <w:szCs w:val="24"/>
        </w:rPr>
        <w:t xml:space="preserve"> established.</w:t>
      </w:r>
      <w:r w:rsidRPr="00FA3678">
        <w:rPr>
          <w:sz w:val="24"/>
          <w:szCs w:val="24"/>
        </w:rPr>
        <w:t xml:space="preserve"> The effects of environmental degradation might h</w:t>
      </w:r>
      <w:r w:rsidR="006E704A" w:rsidRPr="00FA3678">
        <w:rPr>
          <w:sz w:val="24"/>
          <w:szCs w:val="24"/>
        </w:rPr>
        <w:t>ave far reaching consequences</w:t>
      </w:r>
      <w:r w:rsidRPr="00FA3678">
        <w:rPr>
          <w:sz w:val="24"/>
          <w:szCs w:val="24"/>
        </w:rPr>
        <w:t xml:space="preserve"> going beyond the local areas. Therefore, an aggrieved person </w:t>
      </w:r>
      <w:r w:rsidR="001B6C36" w:rsidRPr="00FA3678">
        <w:rPr>
          <w:sz w:val="24"/>
          <w:szCs w:val="24"/>
        </w:rPr>
        <w:t>need not be a resident of the local area. Any person whether he is a resident of that par</w:t>
      </w:r>
      <w:r w:rsidR="009165B6" w:rsidRPr="00FA3678">
        <w:rPr>
          <w:sz w:val="24"/>
          <w:szCs w:val="24"/>
        </w:rPr>
        <w:t>ticular area or not</w:t>
      </w:r>
      <w:r w:rsidR="001B6C36" w:rsidRPr="00FA3678">
        <w:rPr>
          <w:sz w:val="24"/>
          <w:szCs w:val="24"/>
        </w:rPr>
        <w:t>, whether aggrieved or not</w:t>
      </w:r>
      <w:r w:rsidR="009165B6" w:rsidRPr="00FA3678">
        <w:rPr>
          <w:sz w:val="24"/>
          <w:szCs w:val="24"/>
        </w:rPr>
        <w:t>,</w:t>
      </w:r>
      <w:r w:rsidR="001B6C36" w:rsidRPr="00FA3678">
        <w:rPr>
          <w:sz w:val="24"/>
          <w:szCs w:val="24"/>
        </w:rPr>
        <w:t xml:space="preserve"> can approach this tribunal. In such a situation, it is necessary to review the credentials of the applicants/appellants as to their true intention or motives.’</w:t>
      </w:r>
      <w:r w:rsidR="009E25CE" w:rsidRPr="00FA3678">
        <w:rPr>
          <w:rStyle w:val="FootnoteReference"/>
          <w:sz w:val="24"/>
          <w:szCs w:val="24"/>
        </w:rPr>
        <w:footnoteReference w:id="115"/>
      </w:r>
      <w:r w:rsidR="00750B64">
        <w:rPr>
          <w:sz w:val="24"/>
          <w:szCs w:val="24"/>
        </w:rPr>
        <w:t xml:space="preserve"> A</w:t>
      </w:r>
      <w:r w:rsidR="001B6C36" w:rsidRPr="00FA3678">
        <w:rPr>
          <w:sz w:val="24"/>
          <w:szCs w:val="24"/>
        </w:rPr>
        <w:t>s a result o</w:t>
      </w:r>
      <w:r w:rsidR="00750B64">
        <w:rPr>
          <w:sz w:val="24"/>
          <w:szCs w:val="24"/>
        </w:rPr>
        <w:t xml:space="preserve">f a challenge by Jan </w:t>
      </w:r>
      <w:proofErr w:type="spellStart"/>
      <w:r w:rsidR="00750B64">
        <w:rPr>
          <w:sz w:val="24"/>
          <w:szCs w:val="24"/>
        </w:rPr>
        <w:t>Chetna</w:t>
      </w:r>
      <w:proofErr w:type="spellEnd"/>
      <w:r w:rsidR="00750B64">
        <w:rPr>
          <w:sz w:val="24"/>
          <w:szCs w:val="24"/>
        </w:rPr>
        <w:t xml:space="preserve"> an</w:t>
      </w:r>
      <w:r w:rsidR="009165B6" w:rsidRPr="00FA3678">
        <w:rPr>
          <w:sz w:val="24"/>
          <w:szCs w:val="24"/>
        </w:rPr>
        <w:t xml:space="preserve"> NGO concerning </w:t>
      </w:r>
      <w:r w:rsidR="001B6C36" w:rsidRPr="00FA3678">
        <w:rPr>
          <w:sz w:val="24"/>
          <w:szCs w:val="24"/>
        </w:rPr>
        <w:t>the grant of environmental clearance for the installa</w:t>
      </w:r>
      <w:r w:rsidR="00750B64">
        <w:rPr>
          <w:sz w:val="24"/>
          <w:szCs w:val="24"/>
        </w:rPr>
        <w:t>tion of a steel and power plant the NGT ruled that the NGO</w:t>
      </w:r>
      <w:r w:rsidR="00740337">
        <w:rPr>
          <w:sz w:val="24"/>
          <w:szCs w:val="24"/>
        </w:rPr>
        <w:t xml:space="preserve"> was an aggrieved party and that their claim for</w:t>
      </w:r>
      <w:r w:rsidR="00750B64">
        <w:rPr>
          <w:sz w:val="24"/>
          <w:szCs w:val="24"/>
        </w:rPr>
        <w:t xml:space="preserve"> a proper pub</w:t>
      </w:r>
      <w:r w:rsidR="00740337">
        <w:rPr>
          <w:sz w:val="24"/>
          <w:szCs w:val="24"/>
        </w:rPr>
        <w:t>lic hearing was sustainable.</w:t>
      </w:r>
      <w:r w:rsidR="0071489E" w:rsidRPr="00FA3678">
        <w:rPr>
          <w:sz w:val="24"/>
          <w:szCs w:val="24"/>
        </w:rPr>
        <w:t xml:space="preserve"> </w:t>
      </w:r>
    </w:p>
    <w:p w:rsidR="00A86449" w:rsidRPr="00FA3678" w:rsidRDefault="00A86449" w:rsidP="00FA3678">
      <w:pPr>
        <w:widowControl w:val="0"/>
        <w:tabs>
          <w:tab w:val="left" w:pos="603"/>
        </w:tabs>
        <w:suppressAutoHyphens/>
        <w:spacing w:after="0"/>
        <w:rPr>
          <w:sz w:val="24"/>
          <w:szCs w:val="24"/>
        </w:rPr>
      </w:pPr>
    </w:p>
    <w:p w:rsidR="0071489E" w:rsidRPr="00FA3678" w:rsidRDefault="0071489E" w:rsidP="00FA3678">
      <w:pPr>
        <w:widowControl w:val="0"/>
        <w:tabs>
          <w:tab w:val="left" w:pos="603"/>
        </w:tabs>
        <w:suppressAutoHyphens/>
        <w:spacing w:after="0"/>
        <w:rPr>
          <w:rFonts w:eastAsia="DejaVu LGC Sans" w:cs="Times New Roman"/>
          <w:color w:val="000000"/>
          <w:kern w:val="1"/>
          <w:sz w:val="24"/>
          <w:szCs w:val="24"/>
          <w:lang w:val="en-US"/>
        </w:rPr>
      </w:pPr>
      <w:r w:rsidRPr="00FA3678">
        <w:rPr>
          <w:sz w:val="24"/>
          <w:szCs w:val="24"/>
        </w:rPr>
        <w:t xml:space="preserve">The liberal approach of the Tribunal is evidenced in the cases </w:t>
      </w:r>
      <w:r w:rsidR="00DD5D01" w:rsidRPr="00FA3678">
        <w:rPr>
          <w:sz w:val="24"/>
          <w:szCs w:val="24"/>
        </w:rPr>
        <w:t>of</w:t>
      </w:r>
      <w:r w:rsidRPr="00FA3678">
        <w:rPr>
          <w:sz w:val="24"/>
          <w:szCs w:val="24"/>
        </w:rPr>
        <w:t xml:space="preserve"> </w:t>
      </w:r>
      <w:proofErr w:type="spellStart"/>
      <w:r w:rsidRPr="00FA3678">
        <w:rPr>
          <w:i/>
          <w:sz w:val="24"/>
          <w:szCs w:val="24"/>
        </w:rPr>
        <w:t>Vimal</w:t>
      </w:r>
      <w:proofErr w:type="spellEnd"/>
      <w:r w:rsidRPr="00FA3678">
        <w:rPr>
          <w:i/>
          <w:sz w:val="24"/>
          <w:szCs w:val="24"/>
        </w:rPr>
        <w:t xml:space="preserve"> Bhai v Mini</w:t>
      </w:r>
      <w:r w:rsidR="00522B01" w:rsidRPr="00FA3678">
        <w:rPr>
          <w:i/>
          <w:sz w:val="24"/>
          <w:szCs w:val="24"/>
        </w:rPr>
        <w:t>stry of</w:t>
      </w:r>
      <w:r w:rsidR="00522B01" w:rsidRPr="00FA3678">
        <w:rPr>
          <w:sz w:val="24"/>
          <w:szCs w:val="24"/>
        </w:rPr>
        <w:t xml:space="preserve"> </w:t>
      </w:r>
      <w:r w:rsidR="00522B01" w:rsidRPr="00FA3678">
        <w:rPr>
          <w:i/>
          <w:sz w:val="24"/>
          <w:szCs w:val="24"/>
        </w:rPr>
        <w:t>Environment and Forests</w:t>
      </w:r>
      <w:r w:rsidR="00522B01" w:rsidRPr="00FA3678">
        <w:rPr>
          <w:rStyle w:val="FootnoteReference"/>
          <w:sz w:val="24"/>
          <w:szCs w:val="24"/>
        </w:rPr>
        <w:footnoteReference w:id="116"/>
      </w:r>
      <w:r w:rsidR="00522B01" w:rsidRPr="00FA3678">
        <w:rPr>
          <w:sz w:val="24"/>
          <w:szCs w:val="24"/>
        </w:rPr>
        <w:t xml:space="preserve"> and </w:t>
      </w:r>
      <w:r w:rsidRPr="00FA3678">
        <w:rPr>
          <w:i/>
          <w:sz w:val="24"/>
          <w:szCs w:val="24"/>
        </w:rPr>
        <w:t>Goa Foundation v Union of India</w:t>
      </w:r>
      <w:r w:rsidR="00522B01" w:rsidRPr="00FA3678">
        <w:rPr>
          <w:rStyle w:val="FootnoteReference"/>
          <w:sz w:val="24"/>
          <w:szCs w:val="24"/>
        </w:rPr>
        <w:footnoteReference w:id="117"/>
      </w:r>
      <w:r w:rsidRPr="00FA3678">
        <w:rPr>
          <w:sz w:val="24"/>
          <w:szCs w:val="24"/>
        </w:rPr>
        <w:t xml:space="preserve">.  </w:t>
      </w:r>
      <w:r w:rsidR="00286C80" w:rsidRPr="00FA3678">
        <w:rPr>
          <w:rFonts w:eastAsia="DejaVu LGC Sans" w:cs="Times New Roman"/>
          <w:color w:val="000000"/>
          <w:kern w:val="1"/>
          <w:sz w:val="24"/>
          <w:szCs w:val="24"/>
          <w:lang w:val="en-US"/>
        </w:rPr>
        <w:t>Two reasons</w:t>
      </w:r>
      <w:r w:rsidR="00A86449" w:rsidRPr="00FA3678">
        <w:rPr>
          <w:rFonts w:eastAsia="DejaVu LGC Sans" w:cs="Times New Roman"/>
          <w:color w:val="000000"/>
          <w:kern w:val="1"/>
          <w:sz w:val="24"/>
          <w:szCs w:val="24"/>
          <w:lang w:val="en-US"/>
        </w:rPr>
        <w:t xml:space="preserve"> explain this approach</w:t>
      </w:r>
      <w:r w:rsidR="00286C80" w:rsidRPr="00FA3678">
        <w:rPr>
          <w:rFonts w:eastAsia="DejaVu LGC Sans" w:cs="Times New Roman"/>
          <w:color w:val="000000"/>
          <w:kern w:val="1"/>
          <w:sz w:val="24"/>
          <w:szCs w:val="24"/>
          <w:lang w:val="en-US"/>
        </w:rPr>
        <w:t>: first,</w:t>
      </w:r>
      <w:r w:rsidR="00A86449" w:rsidRPr="00FA3678">
        <w:rPr>
          <w:rFonts w:eastAsia="DejaVu LGC Sans" w:cs="Times New Roman"/>
          <w:color w:val="000000"/>
          <w:kern w:val="1"/>
          <w:sz w:val="24"/>
          <w:szCs w:val="24"/>
          <w:lang w:val="en-US"/>
        </w:rPr>
        <w:t xml:space="preserve"> is</w:t>
      </w:r>
      <w:r w:rsidR="00286C80" w:rsidRPr="00FA3678">
        <w:rPr>
          <w:rFonts w:eastAsia="DejaVu LGC Sans" w:cs="Times New Roman"/>
          <w:color w:val="000000"/>
          <w:kern w:val="1"/>
          <w:sz w:val="24"/>
          <w:szCs w:val="24"/>
          <w:lang w:val="en-US"/>
        </w:rPr>
        <w:t xml:space="preserve"> the inability of persons living in the area or vicinity of the proposed project to understand the i</w:t>
      </w:r>
      <w:r w:rsidR="003A1AFE">
        <w:rPr>
          <w:rFonts w:eastAsia="DejaVu LGC Sans" w:cs="Times New Roman"/>
          <w:color w:val="000000"/>
          <w:kern w:val="1"/>
          <w:sz w:val="24"/>
          <w:szCs w:val="24"/>
          <w:lang w:val="en-US"/>
        </w:rPr>
        <w:t xml:space="preserve">ntrinsic scientific details coupled with </w:t>
      </w:r>
      <w:r w:rsidR="00286C80" w:rsidRPr="00FA3678">
        <w:rPr>
          <w:rFonts w:eastAsia="DejaVu LGC Sans" w:cs="Times New Roman"/>
          <w:color w:val="000000"/>
          <w:kern w:val="1"/>
          <w:sz w:val="24"/>
          <w:szCs w:val="24"/>
          <w:lang w:val="en-US"/>
        </w:rPr>
        <w:t>the effects of the ultimate project and any disaster it may cause</w:t>
      </w:r>
      <w:r w:rsidR="00055344" w:rsidRPr="00FA3678">
        <w:rPr>
          <w:rFonts w:eastAsia="DejaVu LGC Sans" w:cs="Times New Roman"/>
          <w:color w:val="000000"/>
          <w:kern w:val="1"/>
          <w:sz w:val="24"/>
          <w:szCs w:val="24"/>
          <w:lang w:val="en-US"/>
        </w:rPr>
        <w:t>. T</w:t>
      </w:r>
      <w:r w:rsidR="00286C80" w:rsidRPr="00FA3678">
        <w:rPr>
          <w:rFonts w:eastAsia="DejaVu LGC Sans" w:cs="Times New Roman"/>
          <w:color w:val="000000"/>
          <w:kern w:val="1"/>
          <w:sz w:val="24"/>
          <w:szCs w:val="24"/>
          <w:lang w:val="en-US"/>
        </w:rPr>
        <w:t>hus the</w:t>
      </w:r>
      <w:r w:rsidR="00055344" w:rsidRPr="00FA3678">
        <w:rPr>
          <w:rFonts w:eastAsia="DejaVu LGC Sans" w:cs="Times New Roman"/>
          <w:color w:val="000000"/>
          <w:kern w:val="1"/>
          <w:sz w:val="24"/>
          <w:szCs w:val="24"/>
          <w:lang w:val="en-US"/>
        </w:rPr>
        <w:t>re is a</w:t>
      </w:r>
      <w:r w:rsidR="009165B6" w:rsidRPr="00FA3678">
        <w:rPr>
          <w:rFonts w:eastAsia="DejaVu LGC Sans" w:cs="Times New Roman"/>
          <w:color w:val="000000"/>
          <w:kern w:val="1"/>
          <w:sz w:val="24"/>
          <w:szCs w:val="24"/>
          <w:lang w:val="en-US"/>
        </w:rPr>
        <w:t xml:space="preserve"> right of</w:t>
      </w:r>
      <w:r w:rsidR="00286C80" w:rsidRPr="00FA3678">
        <w:rPr>
          <w:rFonts w:eastAsia="DejaVu LGC Sans" w:cs="Times New Roman"/>
          <w:color w:val="000000"/>
          <w:kern w:val="1"/>
          <w:sz w:val="24"/>
          <w:szCs w:val="24"/>
          <w:lang w:val="en-US"/>
        </w:rPr>
        <w:t xml:space="preserve"> any citizen to approach the tribunal regardless of whether he is directly affected by a developmental project or whether a r</w:t>
      </w:r>
      <w:r w:rsidR="009165B6" w:rsidRPr="00FA3678">
        <w:rPr>
          <w:rFonts w:eastAsia="DejaVu LGC Sans" w:cs="Times New Roman"/>
          <w:color w:val="000000"/>
          <w:kern w:val="1"/>
          <w:sz w:val="24"/>
          <w:szCs w:val="24"/>
          <w:lang w:val="en-US"/>
        </w:rPr>
        <w:t>esident of affected area or not. S</w:t>
      </w:r>
      <w:r w:rsidR="00286C80" w:rsidRPr="00FA3678">
        <w:rPr>
          <w:rFonts w:eastAsia="DejaVu LGC Sans" w:cs="Times New Roman"/>
          <w:color w:val="000000"/>
          <w:kern w:val="1"/>
          <w:sz w:val="24"/>
          <w:szCs w:val="24"/>
          <w:lang w:val="en-US"/>
        </w:rPr>
        <w:t>econd, the subservience of stat</w:t>
      </w:r>
      <w:r w:rsidR="00575260" w:rsidRPr="00FA3678">
        <w:rPr>
          <w:rFonts w:eastAsia="DejaVu LGC Sans" w:cs="Times New Roman"/>
          <w:color w:val="000000"/>
          <w:kern w:val="1"/>
          <w:sz w:val="24"/>
          <w:szCs w:val="24"/>
          <w:lang w:val="en-US"/>
        </w:rPr>
        <w:t>utory provisions of NGT Act</w:t>
      </w:r>
      <w:r w:rsidR="00286C80" w:rsidRPr="00FA3678">
        <w:rPr>
          <w:rFonts w:eastAsia="DejaVu LGC Sans" w:cs="Times New Roman"/>
          <w:color w:val="000000"/>
          <w:kern w:val="1"/>
          <w:sz w:val="24"/>
          <w:szCs w:val="24"/>
          <w:lang w:val="en-US"/>
        </w:rPr>
        <w:t xml:space="preserve"> to the constitution</w:t>
      </w:r>
      <w:r w:rsidR="00575260" w:rsidRPr="00FA3678">
        <w:rPr>
          <w:rFonts w:eastAsia="DejaVu LGC Sans" w:cs="Times New Roman"/>
          <w:color w:val="000000"/>
          <w:kern w:val="1"/>
          <w:sz w:val="24"/>
          <w:szCs w:val="24"/>
          <w:lang w:val="en-US"/>
        </w:rPr>
        <w:t>al mandate of Article 51A (g) establishes</w:t>
      </w:r>
      <w:r w:rsidR="009165B6" w:rsidRPr="00FA3678">
        <w:rPr>
          <w:rFonts w:eastAsia="DejaVu LGC Sans" w:cs="Times New Roman"/>
          <w:color w:val="000000"/>
          <w:kern w:val="1"/>
          <w:sz w:val="24"/>
          <w:szCs w:val="24"/>
          <w:lang w:val="en-US"/>
        </w:rPr>
        <w:t xml:space="preserve"> </w:t>
      </w:r>
      <w:r w:rsidR="00286C80" w:rsidRPr="00FA3678">
        <w:rPr>
          <w:rFonts w:eastAsia="DejaVu LGC Sans" w:cs="Times New Roman"/>
          <w:color w:val="000000"/>
          <w:kern w:val="1"/>
          <w:sz w:val="24"/>
          <w:szCs w:val="24"/>
          <w:lang w:val="en-US"/>
        </w:rPr>
        <w:t>a fundamental duty of every citizen to protect and improve the natural environment.</w:t>
      </w:r>
    </w:p>
    <w:p w:rsidR="00575260" w:rsidRPr="00FA3678" w:rsidRDefault="00575260" w:rsidP="00FA3678">
      <w:pPr>
        <w:widowControl w:val="0"/>
        <w:tabs>
          <w:tab w:val="left" w:pos="603"/>
        </w:tabs>
        <w:suppressAutoHyphens/>
        <w:spacing w:after="0"/>
        <w:rPr>
          <w:rFonts w:eastAsia="DejaVu LGC Sans" w:cs="Times New Roman"/>
          <w:color w:val="000000"/>
          <w:kern w:val="1"/>
          <w:sz w:val="24"/>
          <w:szCs w:val="24"/>
          <w:lang w:val="en-US"/>
        </w:rPr>
      </w:pPr>
    </w:p>
    <w:p w:rsidR="008769E2" w:rsidRPr="00FA3678" w:rsidRDefault="008769E2" w:rsidP="00FA3678">
      <w:pPr>
        <w:pStyle w:val="Default"/>
        <w:spacing w:line="276" w:lineRule="auto"/>
        <w:rPr>
          <w:rFonts w:asciiTheme="minorHAnsi" w:hAnsiTheme="minorHAnsi"/>
        </w:rPr>
      </w:pPr>
      <w:r w:rsidRPr="00FA3678">
        <w:rPr>
          <w:rFonts w:asciiTheme="minorHAnsi" w:eastAsia="DejaVu LGC Sans" w:hAnsiTheme="minorHAnsi" w:cs="Times New Roman"/>
          <w:kern w:val="1"/>
          <w:lang w:val="en-US"/>
        </w:rPr>
        <w:t>A recent judgment that further expands the already liberal definition of an “aggrieved person</w:t>
      </w:r>
      <w:r w:rsidR="00354113" w:rsidRPr="00FA3678">
        <w:rPr>
          <w:rFonts w:asciiTheme="minorHAnsi" w:eastAsia="DejaVu LGC Sans" w:hAnsiTheme="minorHAnsi" w:cs="Times New Roman"/>
          <w:kern w:val="1"/>
          <w:lang w:val="en-US"/>
        </w:rPr>
        <w:t>’’ i</w:t>
      </w:r>
      <w:r w:rsidR="00F83C0D" w:rsidRPr="00FA3678">
        <w:rPr>
          <w:rFonts w:asciiTheme="minorHAnsi" w:eastAsia="DejaVu LGC Sans" w:hAnsiTheme="minorHAnsi" w:cs="Times New Roman"/>
          <w:kern w:val="1"/>
          <w:lang w:val="en-US"/>
        </w:rPr>
        <w:t>s</w:t>
      </w:r>
      <w:r w:rsidR="00354113" w:rsidRPr="00FA3678">
        <w:rPr>
          <w:rFonts w:asciiTheme="minorHAnsi" w:eastAsia="DejaVu LGC Sans" w:hAnsiTheme="minorHAnsi" w:cs="Times New Roman"/>
          <w:kern w:val="1"/>
          <w:lang w:val="en-US"/>
        </w:rPr>
        <w:t xml:space="preserve"> the</w:t>
      </w:r>
      <w:r w:rsidRPr="00FA3678">
        <w:rPr>
          <w:rFonts w:asciiTheme="minorHAnsi" w:eastAsia="DejaVu LGC Sans" w:hAnsiTheme="minorHAnsi" w:cs="Times New Roman"/>
          <w:kern w:val="1"/>
          <w:lang w:val="en-US"/>
        </w:rPr>
        <w:t xml:space="preserve"> case </w:t>
      </w:r>
      <w:r w:rsidR="00354113" w:rsidRPr="00FA3678">
        <w:rPr>
          <w:rFonts w:asciiTheme="minorHAnsi" w:eastAsia="DejaVu LGC Sans" w:hAnsiTheme="minorHAnsi" w:cs="Times New Roman"/>
          <w:kern w:val="1"/>
          <w:lang w:val="en-US"/>
        </w:rPr>
        <w:t xml:space="preserve">of </w:t>
      </w:r>
      <w:r w:rsidR="00354113" w:rsidRPr="00FA3678">
        <w:rPr>
          <w:rFonts w:asciiTheme="minorHAnsi" w:eastAsia="DejaVu LGC Sans" w:hAnsiTheme="minorHAnsi" w:cs="Times New Roman"/>
          <w:i/>
          <w:kern w:val="1"/>
          <w:lang w:val="en-US"/>
        </w:rPr>
        <w:t xml:space="preserve">Betty C </w:t>
      </w:r>
      <w:proofErr w:type="spellStart"/>
      <w:r w:rsidR="00354113" w:rsidRPr="00FA3678">
        <w:rPr>
          <w:rFonts w:asciiTheme="minorHAnsi" w:eastAsia="DejaVu LGC Sans" w:hAnsiTheme="minorHAnsi" w:cs="Times New Roman"/>
          <w:i/>
          <w:kern w:val="1"/>
          <w:lang w:val="en-US"/>
        </w:rPr>
        <w:t>Alvares</w:t>
      </w:r>
      <w:proofErr w:type="spellEnd"/>
      <w:r w:rsidR="00354113" w:rsidRPr="00FA3678">
        <w:rPr>
          <w:rFonts w:asciiTheme="minorHAnsi" w:eastAsia="DejaVu LGC Sans" w:hAnsiTheme="minorHAnsi" w:cs="Times New Roman"/>
          <w:i/>
          <w:kern w:val="1"/>
          <w:lang w:val="en-US"/>
        </w:rPr>
        <w:t xml:space="preserve"> v State of Goa</w:t>
      </w:r>
      <w:r w:rsidR="00354113" w:rsidRPr="00FA3678">
        <w:rPr>
          <w:rFonts w:asciiTheme="minorHAnsi" w:eastAsia="DejaVu LGC Sans" w:hAnsiTheme="minorHAnsi" w:cs="Times New Roman"/>
          <w:kern w:val="1"/>
          <w:lang w:val="en-US"/>
        </w:rPr>
        <w:t>.</w:t>
      </w:r>
      <w:r w:rsidR="00354113" w:rsidRPr="00FA3678">
        <w:rPr>
          <w:rStyle w:val="FootnoteReference"/>
          <w:rFonts w:asciiTheme="minorHAnsi" w:eastAsia="DejaVu LGC Sans" w:hAnsiTheme="minorHAnsi" w:cs="Times New Roman"/>
          <w:kern w:val="1"/>
          <w:lang w:val="en-US"/>
        </w:rPr>
        <w:footnoteReference w:id="118"/>
      </w:r>
      <w:r w:rsidR="00F83C0D" w:rsidRPr="00FA3678">
        <w:rPr>
          <w:rFonts w:asciiTheme="minorHAnsi" w:hAnsiTheme="minorHAnsi"/>
        </w:rPr>
        <w:t xml:space="preserve"> The </w:t>
      </w:r>
      <w:r w:rsidRPr="00FA3678">
        <w:rPr>
          <w:rFonts w:asciiTheme="minorHAnsi" w:hAnsiTheme="minorHAnsi"/>
        </w:rPr>
        <w:t xml:space="preserve">word ‘person’ was construed to include ‘an individual’, whether a national or a person who is not a citizen of India. The proceeding relating to an environment dispute raised by Betty </w:t>
      </w:r>
      <w:proofErr w:type="spellStart"/>
      <w:r w:rsidRPr="00FA3678">
        <w:rPr>
          <w:rFonts w:asciiTheme="minorHAnsi" w:hAnsiTheme="minorHAnsi"/>
        </w:rPr>
        <w:t>Alvares</w:t>
      </w:r>
      <w:proofErr w:type="spellEnd"/>
      <w:r w:rsidRPr="00FA3678">
        <w:rPr>
          <w:rFonts w:asciiTheme="minorHAnsi" w:hAnsiTheme="minorHAnsi"/>
        </w:rPr>
        <w:t xml:space="preserve"> who is not an Indian citizen was held to be maintainable. The Tribunal held that it is not necessary to see whether she has personally suffered any loss on account of damage caused to environment </w:t>
      </w:r>
      <w:r w:rsidR="00D51416" w:rsidRPr="00FA3678">
        <w:rPr>
          <w:rFonts w:asciiTheme="minorHAnsi" w:hAnsiTheme="minorHAnsi"/>
        </w:rPr>
        <w:lastRenderedPageBreak/>
        <w:t>by acts of illegal construction and encroachment of the sea beaches thereby</w:t>
      </w:r>
      <w:r w:rsidRPr="00FA3678">
        <w:rPr>
          <w:rFonts w:asciiTheme="minorHAnsi" w:hAnsiTheme="minorHAnsi"/>
        </w:rPr>
        <w:t xml:space="preserve"> violatin</w:t>
      </w:r>
      <w:r w:rsidR="00D51416" w:rsidRPr="00FA3678">
        <w:rPr>
          <w:rFonts w:asciiTheme="minorHAnsi" w:hAnsiTheme="minorHAnsi"/>
        </w:rPr>
        <w:t>g</w:t>
      </w:r>
      <w:r w:rsidR="00F12CE2" w:rsidRPr="00FA3678">
        <w:rPr>
          <w:rFonts w:asciiTheme="minorHAnsi" w:hAnsiTheme="minorHAnsi"/>
        </w:rPr>
        <w:t xml:space="preserve"> c</w:t>
      </w:r>
      <w:r w:rsidR="00E034F6" w:rsidRPr="00FA3678">
        <w:rPr>
          <w:rFonts w:asciiTheme="minorHAnsi" w:hAnsiTheme="minorHAnsi"/>
        </w:rPr>
        <w:t xml:space="preserve">oastal </w:t>
      </w:r>
      <w:r w:rsidR="00F12CE2" w:rsidRPr="00FA3678">
        <w:rPr>
          <w:rFonts w:asciiTheme="minorHAnsi" w:hAnsiTheme="minorHAnsi"/>
        </w:rPr>
        <w:t>z</w:t>
      </w:r>
      <w:r w:rsidR="00D51416" w:rsidRPr="00FA3678">
        <w:rPr>
          <w:rFonts w:asciiTheme="minorHAnsi" w:hAnsiTheme="minorHAnsi"/>
        </w:rPr>
        <w:t>one</w:t>
      </w:r>
      <w:r w:rsidR="00F12CE2" w:rsidRPr="00FA3678">
        <w:rPr>
          <w:rFonts w:asciiTheme="minorHAnsi" w:hAnsiTheme="minorHAnsi"/>
        </w:rPr>
        <w:t xml:space="preserve"> r</w:t>
      </w:r>
      <w:r w:rsidRPr="00FA3678">
        <w:rPr>
          <w:rFonts w:asciiTheme="minorHAnsi" w:hAnsiTheme="minorHAnsi"/>
        </w:rPr>
        <w:t>egulation</w:t>
      </w:r>
      <w:r w:rsidR="00D51416" w:rsidRPr="00FA3678">
        <w:rPr>
          <w:rFonts w:asciiTheme="minorHAnsi" w:hAnsiTheme="minorHAnsi"/>
        </w:rPr>
        <w:t>s. It wa</w:t>
      </w:r>
      <w:r w:rsidRPr="00FA3678">
        <w:rPr>
          <w:rFonts w:asciiTheme="minorHAnsi" w:hAnsiTheme="minorHAnsi"/>
        </w:rPr>
        <w:t xml:space="preserve">s not necessary to see whether she has suffered any injury. It </w:t>
      </w:r>
      <w:r w:rsidR="00D51416" w:rsidRPr="00FA3678">
        <w:rPr>
          <w:rFonts w:asciiTheme="minorHAnsi" w:hAnsiTheme="minorHAnsi"/>
        </w:rPr>
        <w:t xml:space="preserve">was </w:t>
      </w:r>
      <w:r w:rsidRPr="00FA3678">
        <w:rPr>
          <w:rFonts w:asciiTheme="minorHAnsi" w:hAnsiTheme="minorHAnsi"/>
        </w:rPr>
        <w:t>suffic</w:t>
      </w:r>
      <w:r w:rsidR="00D51416" w:rsidRPr="00FA3678">
        <w:rPr>
          <w:rFonts w:asciiTheme="minorHAnsi" w:hAnsiTheme="minorHAnsi"/>
        </w:rPr>
        <w:t>ient to see whether there wa</w:t>
      </w:r>
      <w:r w:rsidRPr="00FA3678">
        <w:rPr>
          <w:rFonts w:asciiTheme="minorHAnsi" w:hAnsiTheme="minorHAnsi"/>
        </w:rPr>
        <w:t>s</w:t>
      </w:r>
      <w:r w:rsidR="00D51416" w:rsidRPr="00FA3678">
        <w:rPr>
          <w:rFonts w:asciiTheme="minorHAnsi" w:hAnsiTheme="minorHAnsi"/>
        </w:rPr>
        <w:t xml:space="preserve"> a</w:t>
      </w:r>
      <w:r w:rsidRPr="00FA3678">
        <w:rPr>
          <w:rFonts w:asciiTheme="minorHAnsi" w:hAnsiTheme="minorHAnsi"/>
        </w:rPr>
        <w:t xml:space="preserve"> substantial question relating to envi</w:t>
      </w:r>
      <w:r w:rsidR="00D51416" w:rsidRPr="00FA3678">
        <w:rPr>
          <w:rFonts w:asciiTheme="minorHAnsi" w:hAnsiTheme="minorHAnsi"/>
        </w:rPr>
        <w:t>ronment and such question arose</w:t>
      </w:r>
      <w:r w:rsidRPr="00FA3678">
        <w:rPr>
          <w:rFonts w:asciiTheme="minorHAnsi" w:hAnsiTheme="minorHAnsi"/>
        </w:rPr>
        <w:t xml:space="preserve"> out of</w:t>
      </w:r>
      <w:r w:rsidR="00D51416" w:rsidRPr="00FA3678">
        <w:rPr>
          <w:rFonts w:asciiTheme="minorHAnsi" w:hAnsiTheme="minorHAnsi"/>
        </w:rPr>
        <w:t xml:space="preserve"> the</w:t>
      </w:r>
      <w:r w:rsidRPr="00FA3678">
        <w:rPr>
          <w:rFonts w:asciiTheme="minorHAnsi" w:hAnsiTheme="minorHAnsi"/>
        </w:rPr>
        <w:t xml:space="preserve"> implementation of en</w:t>
      </w:r>
      <w:r w:rsidR="00E034F6" w:rsidRPr="00FA3678">
        <w:rPr>
          <w:rFonts w:asciiTheme="minorHAnsi" w:hAnsiTheme="minorHAnsi"/>
        </w:rPr>
        <w:t>actments specified in Schedule-1</w:t>
      </w:r>
      <w:r w:rsidRPr="00FA3678">
        <w:rPr>
          <w:rFonts w:asciiTheme="minorHAnsi" w:hAnsiTheme="minorHAnsi"/>
        </w:rPr>
        <w:t>, appended to the National Green Tribu</w:t>
      </w:r>
      <w:r w:rsidR="00E034F6" w:rsidRPr="00FA3678">
        <w:rPr>
          <w:rFonts w:asciiTheme="minorHAnsi" w:hAnsiTheme="minorHAnsi"/>
        </w:rPr>
        <w:t>nal Act, 2010.</w:t>
      </w:r>
      <w:r w:rsidR="00DD2481" w:rsidRPr="00FA3678">
        <w:rPr>
          <w:rStyle w:val="FootnoteReference"/>
          <w:rFonts w:asciiTheme="minorHAnsi" w:hAnsiTheme="minorHAnsi"/>
        </w:rPr>
        <w:footnoteReference w:id="119"/>
      </w:r>
      <w:r w:rsidR="00E034F6" w:rsidRPr="00FA3678">
        <w:rPr>
          <w:rFonts w:asciiTheme="minorHAnsi" w:hAnsiTheme="minorHAnsi"/>
        </w:rPr>
        <w:t xml:space="preserve"> T</w:t>
      </w:r>
      <w:r w:rsidRPr="00FA3678">
        <w:rPr>
          <w:rFonts w:asciiTheme="minorHAnsi" w:hAnsiTheme="minorHAnsi"/>
        </w:rPr>
        <w:t>her</w:t>
      </w:r>
      <w:r w:rsidR="00DD2481" w:rsidRPr="00FA3678">
        <w:rPr>
          <w:rFonts w:asciiTheme="minorHAnsi" w:hAnsiTheme="minorHAnsi"/>
        </w:rPr>
        <w:t>efore, the a</w:t>
      </w:r>
      <w:r w:rsidR="00D51416" w:rsidRPr="00FA3678">
        <w:rPr>
          <w:rFonts w:asciiTheme="minorHAnsi" w:hAnsiTheme="minorHAnsi"/>
        </w:rPr>
        <w:t>pplication was not</w:t>
      </w:r>
      <w:r w:rsidR="00A7527F" w:rsidRPr="00FA3678">
        <w:rPr>
          <w:rFonts w:asciiTheme="minorHAnsi" w:hAnsiTheme="minorHAnsi"/>
        </w:rPr>
        <w:t xml:space="preserve"> </w:t>
      </w:r>
      <w:r w:rsidRPr="00FA3678">
        <w:rPr>
          <w:rFonts w:asciiTheme="minorHAnsi" w:hAnsiTheme="minorHAnsi"/>
        </w:rPr>
        <w:t>dismissed for t</w:t>
      </w:r>
      <w:r w:rsidR="00D51416" w:rsidRPr="00FA3678">
        <w:rPr>
          <w:rFonts w:asciiTheme="minorHAnsi" w:hAnsiTheme="minorHAnsi"/>
        </w:rPr>
        <w:t xml:space="preserve">he reason that Betty </w:t>
      </w:r>
      <w:proofErr w:type="spellStart"/>
      <w:r w:rsidR="00D51416" w:rsidRPr="00FA3678">
        <w:rPr>
          <w:rFonts w:asciiTheme="minorHAnsi" w:hAnsiTheme="minorHAnsi"/>
        </w:rPr>
        <w:t>Alvares</w:t>
      </w:r>
      <w:proofErr w:type="spellEnd"/>
      <w:r w:rsidR="00D51416" w:rsidRPr="00FA3678">
        <w:rPr>
          <w:rFonts w:asciiTheme="minorHAnsi" w:hAnsiTheme="minorHAnsi"/>
        </w:rPr>
        <w:t xml:space="preserve"> had</w:t>
      </w:r>
      <w:r w:rsidRPr="00FA3678">
        <w:rPr>
          <w:rFonts w:asciiTheme="minorHAnsi" w:hAnsiTheme="minorHAnsi"/>
        </w:rPr>
        <w:t xml:space="preserve"> no </w:t>
      </w:r>
      <w:r w:rsidRPr="00FA3678">
        <w:rPr>
          <w:rFonts w:asciiTheme="minorHAnsi" w:hAnsiTheme="minorHAnsi"/>
          <w:i/>
          <w:iCs/>
        </w:rPr>
        <w:t xml:space="preserve">locus </w:t>
      </w:r>
      <w:proofErr w:type="spellStart"/>
      <w:r w:rsidRPr="00FA3678">
        <w:rPr>
          <w:rFonts w:asciiTheme="minorHAnsi" w:hAnsiTheme="minorHAnsi"/>
          <w:i/>
          <w:iCs/>
        </w:rPr>
        <w:t>standi</w:t>
      </w:r>
      <w:proofErr w:type="spellEnd"/>
      <w:r w:rsidR="00D51416" w:rsidRPr="00FA3678">
        <w:rPr>
          <w:rFonts w:asciiTheme="minorHAnsi" w:hAnsiTheme="minorHAnsi"/>
        </w:rPr>
        <w:t>, inasmuch as she fell</w:t>
      </w:r>
      <w:r w:rsidRPr="00FA3678">
        <w:rPr>
          <w:rFonts w:asciiTheme="minorHAnsi" w:hAnsiTheme="minorHAnsi"/>
        </w:rPr>
        <w:t xml:space="preserve"> within the definition of word ‘person’ as defined in Section </w:t>
      </w:r>
      <w:r w:rsidR="00E2390A" w:rsidRPr="00FA3678">
        <w:rPr>
          <w:rFonts w:asciiTheme="minorHAnsi" w:hAnsiTheme="minorHAnsi"/>
        </w:rPr>
        <w:t>2 (1) (j) NGT Act, 2010.</w:t>
      </w:r>
      <w:r w:rsidR="00E2390A" w:rsidRPr="00FA3678">
        <w:rPr>
          <w:rStyle w:val="FootnoteReference"/>
          <w:rFonts w:asciiTheme="minorHAnsi" w:hAnsiTheme="minorHAnsi"/>
        </w:rPr>
        <w:footnoteReference w:id="120"/>
      </w:r>
      <w:r w:rsidR="00E034F6" w:rsidRPr="00FA3678">
        <w:rPr>
          <w:rFonts w:asciiTheme="minorHAnsi" w:hAnsiTheme="minorHAnsi"/>
        </w:rPr>
        <w:t xml:space="preserve"> Thus, the court appears to have opened its doors globally to each and every person, including incorporated bodies,</w:t>
      </w:r>
      <w:r w:rsidR="00D51416" w:rsidRPr="00FA3678">
        <w:rPr>
          <w:rFonts w:asciiTheme="minorHAnsi" w:hAnsiTheme="minorHAnsi"/>
        </w:rPr>
        <w:t xml:space="preserve"> </w:t>
      </w:r>
      <w:r w:rsidR="00E034F6" w:rsidRPr="00FA3678">
        <w:rPr>
          <w:rFonts w:asciiTheme="minorHAnsi" w:hAnsiTheme="minorHAnsi"/>
        </w:rPr>
        <w:t>that consider</w:t>
      </w:r>
      <w:r w:rsidR="00D51416" w:rsidRPr="00FA3678">
        <w:rPr>
          <w:rFonts w:asciiTheme="minorHAnsi" w:hAnsiTheme="minorHAnsi"/>
        </w:rPr>
        <w:t>s</w:t>
      </w:r>
      <w:r w:rsidR="00E034F6" w:rsidRPr="00FA3678">
        <w:rPr>
          <w:rFonts w:asciiTheme="minorHAnsi" w:hAnsiTheme="minorHAnsi"/>
        </w:rPr>
        <w:t xml:space="preserve"> themselves “aggrieved” within the political boundaries of India subject to the enactme</w:t>
      </w:r>
      <w:r w:rsidR="00E2390A" w:rsidRPr="00FA3678">
        <w:rPr>
          <w:rFonts w:asciiTheme="minorHAnsi" w:hAnsiTheme="minorHAnsi"/>
        </w:rPr>
        <w:t>nts specified within Schedule-1, NGT Act, 2010.</w:t>
      </w:r>
    </w:p>
    <w:p w:rsidR="00575260" w:rsidRPr="00FA3678" w:rsidRDefault="00575260" w:rsidP="00FA3678">
      <w:pPr>
        <w:pStyle w:val="Default"/>
        <w:spacing w:line="276" w:lineRule="auto"/>
        <w:rPr>
          <w:rFonts w:asciiTheme="minorHAnsi" w:hAnsiTheme="minorHAnsi"/>
        </w:rPr>
      </w:pPr>
    </w:p>
    <w:p w:rsidR="00A60C18" w:rsidRPr="00FA3678" w:rsidRDefault="00575260" w:rsidP="00FA3678">
      <w:pPr>
        <w:widowControl w:val="0"/>
        <w:tabs>
          <w:tab w:val="left" w:pos="603"/>
        </w:tabs>
        <w:suppressAutoHyphens/>
        <w:spacing w:after="0"/>
        <w:rPr>
          <w:sz w:val="24"/>
          <w:szCs w:val="24"/>
        </w:rPr>
      </w:pPr>
      <w:r w:rsidRPr="00FA3678">
        <w:rPr>
          <w:sz w:val="24"/>
          <w:szCs w:val="24"/>
        </w:rPr>
        <w:t>In contrast</w:t>
      </w:r>
      <w:r w:rsidR="00250082" w:rsidRPr="00FA3678">
        <w:rPr>
          <w:sz w:val="24"/>
          <w:szCs w:val="24"/>
        </w:rPr>
        <w:t>, the Tribunal has discouraged</w:t>
      </w:r>
      <w:r w:rsidR="009165B6" w:rsidRPr="00FA3678">
        <w:rPr>
          <w:sz w:val="24"/>
          <w:szCs w:val="24"/>
        </w:rPr>
        <w:t xml:space="preserve"> the</w:t>
      </w:r>
      <w:r w:rsidR="00250082" w:rsidRPr="00FA3678">
        <w:rPr>
          <w:sz w:val="24"/>
          <w:szCs w:val="24"/>
        </w:rPr>
        <w:t xml:space="preserve"> practice of fuelling the litigation where some persons with vested </w:t>
      </w:r>
      <w:r w:rsidR="00F84089" w:rsidRPr="00FA3678">
        <w:rPr>
          <w:sz w:val="24"/>
          <w:szCs w:val="24"/>
        </w:rPr>
        <w:t>interest</w:t>
      </w:r>
      <w:r w:rsidR="009165B6" w:rsidRPr="00FA3678">
        <w:rPr>
          <w:sz w:val="24"/>
          <w:szCs w:val="24"/>
        </w:rPr>
        <w:t>s</w:t>
      </w:r>
      <w:r w:rsidR="00F84089" w:rsidRPr="00FA3678">
        <w:rPr>
          <w:sz w:val="24"/>
          <w:szCs w:val="24"/>
        </w:rPr>
        <w:t xml:space="preserve"> indulge in the past </w:t>
      </w:r>
      <w:r w:rsidR="00250082" w:rsidRPr="00FA3678">
        <w:rPr>
          <w:sz w:val="24"/>
          <w:szCs w:val="24"/>
        </w:rPr>
        <w:t xml:space="preserve">time </w:t>
      </w:r>
      <w:r w:rsidR="00F84089" w:rsidRPr="00FA3678">
        <w:rPr>
          <w:sz w:val="24"/>
          <w:szCs w:val="24"/>
        </w:rPr>
        <w:t>of meddling with</w:t>
      </w:r>
      <w:r w:rsidR="00CB595A" w:rsidRPr="00FA3678">
        <w:rPr>
          <w:sz w:val="24"/>
          <w:szCs w:val="24"/>
        </w:rPr>
        <w:t xml:space="preserve"> the</w:t>
      </w:r>
      <w:r w:rsidR="00F84089" w:rsidRPr="00FA3678">
        <w:rPr>
          <w:sz w:val="24"/>
          <w:szCs w:val="24"/>
        </w:rPr>
        <w:t xml:space="preserve"> judicial process either by force of habit or from</w:t>
      </w:r>
      <w:r w:rsidR="009C345C" w:rsidRPr="00FA3678">
        <w:rPr>
          <w:sz w:val="24"/>
          <w:szCs w:val="24"/>
        </w:rPr>
        <w:t xml:space="preserve"> improper motives. </w:t>
      </w:r>
      <w:r w:rsidRPr="00FA3678">
        <w:rPr>
          <w:sz w:val="24"/>
          <w:szCs w:val="24"/>
        </w:rPr>
        <w:t>Litigious petitioners will</w:t>
      </w:r>
      <w:r w:rsidR="00F84089" w:rsidRPr="00FA3678">
        <w:rPr>
          <w:sz w:val="24"/>
          <w:szCs w:val="24"/>
        </w:rPr>
        <w:t xml:space="preserve"> not</w:t>
      </w:r>
      <w:r w:rsidRPr="00FA3678">
        <w:rPr>
          <w:sz w:val="24"/>
          <w:szCs w:val="24"/>
        </w:rPr>
        <w:t xml:space="preserve"> be</w:t>
      </w:r>
      <w:r w:rsidR="00F84089" w:rsidRPr="00FA3678">
        <w:rPr>
          <w:sz w:val="24"/>
          <w:szCs w:val="24"/>
        </w:rPr>
        <w:t xml:space="preserve"> entertained by the Tribunal</w:t>
      </w:r>
      <w:r w:rsidR="00CB595A" w:rsidRPr="00FA3678">
        <w:rPr>
          <w:sz w:val="24"/>
          <w:szCs w:val="24"/>
        </w:rPr>
        <w:t xml:space="preserve"> as an </w:t>
      </w:r>
      <w:r w:rsidRPr="00FA3678">
        <w:rPr>
          <w:sz w:val="24"/>
          <w:szCs w:val="24"/>
        </w:rPr>
        <w:t>‘’</w:t>
      </w:r>
      <w:r w:rsidR="00CB595A" w:rsidRPr="00FA3678">
        <w:rPr>
          <w:sz w:val="24"/>
          <w:szCs w:val="24"/>
        </w:rPr>
        <w:t>aggrieved party</w:t>
      </w:r>
      <w:r w:rsidRPr="00FA3678">
        <w:rPr>
          <w:sz w:val="24"/>
          <w:szCs w:val="24"/>
        </w:rPr>
        <w:t>’’</w:t>
      </w:r>
      <w:r w:rsidR="00CB595A" w:rsidRPr="00FA3678">
        <w:rPr>
          <w:sz w:val="24"/>
          <w:szCs w:val="24"/>
        </w:rPr>
        <w:t xml:space="preserve"> and</w:t>
      </w:r>
      <w:r w:rsidRPr="00FA3678">
        <w:rPr>
          <w:sz w:val="24"/>
          <w:szCs w:val="24"/>
        </w:rPr>
        <w:t xml:space="preserve"> costs will be</w:t>
      </w:r>
      <w:r w:rsidR="00F84089" w:rsidRPr="00FA3678">
        <w:rPr>
          <w:sz w:val="24"/>
          <w:szCs w:val="24"/>
        </w:rPr>
        <w:t xml:space="preserve"> imposed to deter </w:t>
      </w:r>
      <w:r w:rsidRPr="00FA3678">
        <w:rPr>
          <w:sz w:val="24"/>
          <w:szCs w:val="24"/>
        </w:rPr>
        <w:t xml:space="preserve">such </w:t>
      </w:r>
      <w:r w:rsidR="00F84089" w:rsidRPr="00FA3678">
        <w:rPr>
          <w:sz w:val="24"/>
          <w:szCs w:val="24"/>
        </w:rPr>
        <w:t>people from filing frivolous applications.</w:t>
      </w:r>
      <w:r w:rsidR="00D5731B" w:rsidRPr="00FA3678">
        <w:rPr>
          <w:rStyle w:val="FootnoteReference"/>
          <w:sz w:val="24"/>
          <w:szCs w:val="24"/>
        </w:rPr>
        <w:footnoteReference w:id="121"/>
      </w:r>
      <w:r w:rsidR="00A445ED" w:rsidRPr="00FA3678">
        <w:rPr>
          <w:sz w:val="24"/>
          <w:szCs w:val="24"/>
        </w:rPr>
        <w:t xml:space="preserve"> </w:t>
      </w:r>
    </w:p>
    <w:p w:rsidR="00575260" w:rsidRPr="00FA3678" w:rsidRDefault="00575260" w:rsidP="00FA3678">
      <w:pPr>
        <w:widowControl w:val="0"/>
        <w:tabs>
          <w:tab w:val="left" w:pos="603"/>
        </w:tabs>
        <w:suppressAutoHyphens/>
        <w:spacing w:after="0"/>
        <w:rPr>
          <w:sz w:val="24"/>
          <w:szCs w:val="24"/>
        </w:rPr>
      </w:pPr>
    </w:p>
    <w:p w:rsidR="009C345C" w:rsidRPr="00FA3678" w:rsidRDefault="00540628" w:rsidP="00FA3678">
      <w:pPr>
        <w:widowControl w:val="0"/>
        <w:tabs>
          <w:tab w:val="left" w:pos="603"/>
        </w:tabs>
        <w:suppressAutoHyphens/>
        <w:spacing w:after="0"/>
        <w:rPr>
          <w:sz w:val="24"/>
          <w:szCs w:val="24"/>
        </w:rPr>
      </w:pPr>
      <w:r w:rsidRPr="00FA3678">
        <w:rPr>
          <w:sz w:val="24"/>
          <w:szCs w:val="24"/>
        </w:rPr>
        <w:t>Thus, the discou</w:t>
      </w:r>
      <w:r w:rsidR="00895CE9" w:rsidRPr="00FA3678">
        <w:rPr>
          <w:sz w:val="24"/>
          <w:szCs w:val="24"/>
        </w:rPr>
        <w:t>rse on participation helps establish those</w:t>
      </w:r>
      <w:r w:rsidRPr="00FA3678">
        <w:rPr>
          <w:sz w:val="24"/>
          <w:szCs w:val="24"/>
        </w:rPr>
        <w:t xml:space="preserve"> strong foundation</w:t>
      </w:r>
      <w:r w:rsidR="00895CE9" w:rsidRPr="00FA3678">
        <w:rPr>
          <w:sz w:val="24"/>
          <w:szCs w:val="24"/>
        </w:rPr>
        <w:t xml:space="preserve">s </w:t>
      </w:r>
      <w:r w:rsidRPr="00FA3678">
        <w:rPr>
          <w:sz w:val="24"/>
          <w:szCs w:val="24"/>
        </w:rPr>
        <w:t xml:space="preserve">of access to justice </w:t>
      </w:r>
      <w:r w:rsidR="00E75743" w:rsidRPr="00FA3678">
        <w:rPr>
          <w:sz w:val="24"/>
          <w:szCs w:val="24"/>
        </w:rPr>
        <w:t xml:space="preserve">that </w:t>
      </w:r>
      <w:r w:rsidRPr="00FA3678">
        <w:rPr>
          <w:sz w:val="24"/>
          <w:szCs w:val="24"/>
        </w:rPr>
        <w:t>promote just and equitable outcomes</w:t>
      </w:r>
      <w:r w:rsidR="00E75743" w:rsidRPr="00FA3678">
        <w:rPr>
          <w:sz w:val="24"/>
          <w:szCs w:val="24"/>
        </w:rPr>
        <w:t>.</w:t>
      </w:r>
    </w:p>
    <w:p w:rsidR="00AB22BD" w:rsidRPr="00FA3678" w:rsidRDefault="00AB22BD" w:rsidP="00FA3678">
      <w:pPr>
        <w:widowControl w:val="0"/>
        <w:tabs>
          <w:tab w:val="left" w:pos="603"/>
        </w:tabs>
        <w:suppressAutoHyphens/>
        <w:spacing w:after="0"/>
        <w:rPr>
          <w:sz w:val="24"/>
          <w:szCs w:val="24"/>
        </w:rPr>
      </w:pPr>
    </w:p>
    <w:p w:rsidR="00AB22BD" w:rsidRPr="00FA3678" w:rsidRDefault="00AB22BD" w:rsidP="00FA3678">
      <w:pPr>
        <w:widowControl w:val="0"/>
        <w:tabs>
          <w:tab w:val="left" w:pos="603"/>
        </w:tabs>
        <w:suppressAutoHyphens/>
        <w:spacing w:after="0"/>
        <w:rPr>
          <w:b/>
          <w:sz w:val="24"/>
          <w:szCs w:val="24"/>
        </w:rPr>
      </w:pPr>
      <w:r w:rsidRPr="00FA3678">
        <w:rPr>
          <w:b/>
          <w:sz w:val="24"/>
          <w:szCs w:val="24"/>
        </w:rPr>
        <w:t>CONCLUSION</w:t>
      </w:r>
    </w:p>
    <w:p w:rsidR="00307AB6" w:rsidRPr="00FA3678" w:rsidRDefault="00307AB6" w:rsidP="00FA3678">
      <w:pPr>
        <w:widowControl w:val="0"/>
        <w:tabs>
          <w:tab w:val="left" w:pos="603"/>
        </w:tabs>
        <w:suppressAutoHyphens/>
        <w:spacing w:after="0"/>
        <w:rPr>
          <w:b/>
          <w:sz w:val="24"/>
          <w:szCs w:val="24"/>
        </w:rPr>
      </w:pPr>
    </w:p>
    <w:p w:rsidR="00307AB6" w:rsidRPr="00FA3678" w:rsidRDefault="00307AB6" w:rsidP="00FA3678">
      <w:pPr>
        <w:rPr>
          <w:sz w:val="24"/>
          <w:szCs w:val="24"/>
        </w:rPr>
      </w:pPr>
      <w:r w:rsidRPr="00FA3678">
        <w:rPr>
          <w:sz w:val="24"/>
          <w:szCs w:val="24"/>
        </w:rPr>
        <w:t xml:space="preserve">As with other nation states that are signatories to the various international treaties and conventions on environmental law India accepts and honours these legal commitments through judicial practice. However, India is also different in that it specifically accepts these international environmental law principles and obligations to work alongside the expansively interpreted constitutional right to life as stated in Article 21. The establishment of the NGT has produced a forum for greater plurality of environmental justice; one that applies the principles of international environmental law through an enhanced access to justice route for those who seek economic development and those who seek to protect the environment.  The powerful symbiotic linkage between human rights and environmental protection discourse has resulted in environmental decisions that have broadened participatory standing, greater government accountability, larger public interest, and </w:t>
      </w:r>
      <w:r w:rsidRPr="00FA3678">
        <w:rPr>
          <w:sz w:val="24"/>
          <w:szCs w:val="24"/>
        </w:rPr>
        <w:lastRenderedPageBreak/>
        <w:t>addressed economic growth and associated environmental protection. The process of regulatory enforcement is relatively weak in India and has resulted in greater emphasis being placed upon environmental protection via the discourse of the principles of international environmental law and domestic human rights. Within this context the caretaker and social policy role of the NGT has both enhanced status and</w:t>
      </w:r>
      <w:r w:rsidR="009C2AF3" w:rsidRPr="00FA3678">
        <w:rPr>
          <w:sz w:val="24"/>
          <w:szCs w:val="24"/>
        </w:rPr>
        <w:t xml:space="preserve"> popular</w:t>
      </w:r>
      <w:r w:rsidRPr="00FA3678">
        <w:rPr>
          <w:sz w:val="24"/>
          <w:szCs w:val="24"/>
        </w:rPr>
        <w:t xml:space="preserve"> expectation.</w:t>
      </w:r>
    </w:p>
    <w:p w:rsidR="00B850C7" w:rsidRPr="00FA3678" w:rsidRDefault="00B850C7" w:rsidP="00FA3678">
      <w:pPr>
        <w:rPr>
          <w:b/>
          <w:sz w:val="24"/>
          <w:szCs w:val="24"/>
        </w:rPr>
      </w:pPr>
    </w:p>
    <w:p w:rsidR="00B850C7" w:rsidRPr="00FA3678" w:rsidRDefault="00B850C7" w:rsidP="00FA3678">
      <w:pPr>
        <w:rPr>
          <w:b/>
          <w:sz w:val="24"/>
          <w:szCs w:val="24"/>
        </w:rPr>
      </w:pPr>
    </w:p>
    <w:p w:rsidR="00B850C7" w:rsidRPr="00FA3678" w:rsidRDefault="00B850C7" w:rsidP="00FA3678">
      <w:pPr>
        <w:rPr>
          <w:b/>
          <w:sz w:val="24"/>
          <w:szCs w:val="24"/>
        </w:rPr>
      </w:pPr>
    </w:p>
    <w:p w:rsidR="00B850C7" w:rsidRPr="00FA3678" w:rsidRDefault="00B850C7" w:rsidP="00FA3678">
      <w:pPr>
        <w:rPr>
          <w:b/>
          <w:sz w:val="24"/>
          <w:szCs w:val="24"/>
        </w:rPr>
      </w:pPr>
    </w:p>
    <w:p w:rsidR="00B850C7" w:rsidRPr="00FA3678" w:rsidRDefault="00B850C7" w:rsidP="00FA3678">
      <w:pPr>
        <w:rPr>
          <w:b/>
          <w:sz w:val="24"/>
          <w:szCs w:val="24"/>
        </w:rPr>
      </w:pPr>
    </w:p>
    <w:p w:rsidR="00B850C7" w:rsidRPr="00FA3678" w:rsidRDefault="00B850C7" w:rsidP="00FA3678">
      <w:pPr>
        <w:rPr>
          <w:b/>
          <w:sz w:val="24"/>
          <w:szCs w:val="24"/>
        </w:rPr>
      </w:pPr>
    </w:p>
    <w:p w:rsidR="00B850C7" w:rsidRPr="00FA3678" w:rsidRDefault="00B850C7" w:rsidP="00FA3678">
      <w:pPr>
        <w:rPr>
          <w:b/>
          <w:sz w:val="24"/>
          <w:szCs w:val="24"/>
        </w:rPr>
      </w:pPr>
    </w:p>
    <w:p w:rsidR="00B850C7" w:rsidRPr="00FA3678" w:rsidRDefault="00B850C7" w:rsidP="00FA3678">
      <w:pPr>
        <w:rPr>
          <w:b/>
          <w:sz w:val="24"/>
          <w:szCs w:val="24"/>
        </w:rPr>
      </w:pPr>
    </w:p>
    <w:p w:rsidR="00B850C7" w:rsidRPr="008A72B1" w:rsidRDefault="00B850C7" w:rsidP="00FA3678">
      <w:pPr>
        <w:rPr>
          <w:sz w:val="24"/>
          <w:szCs w:val="24"/>
        </w:rPr>
      </w:pPr>
    </w:p>
    <w:p w:rsidR="00B850C7" w:rsidRPr="00FA3678" w:rsidRDefault="00B850C7" w:rsidP="00FA3678">
      <w:pPr>
        <w:rPr>
          <w:b/>
          <w:sz w:val="24"/>
          <w:szCs w:val="24"/>
        </w:rPr>
      </w:pPr>
    </w:p>
    <w:p w:rsidR="00B850C7" w:rsidRPr="00FA3678" w:rsidRDefault="00B850C7" w:rsidP="00FA3678">
      <w:pPr>
        <w:rPr>
          <w:b/>
          <w:sz w:val="24"/>
          <w:szCs w:val="24"/>
        </w:rPr>
      </w:pPr>
    </w:p>
    <w:p w:rsidR="00B850C7" w:rsidRPr="008D6647" w:rsidRDefault="00B850C7" w:rsidP="008D6647">
      <w:pPr>
        <w:rPr>
          <w:b/>
          <w:sz w:val="24"/>
          <w:szCs w:val="24"/>
        </w:rPr>
      </w:pPr>
    </w:p>
    <w:p w:rsidR="00B850C7" w:rsidRPr="008D6647" w:rsidRDefault="00B850C7" w:rsidP="008D6647">
      <w:pPr>
        <w:rPr>
          <w:b/>
          <w:sz w:val="24"/>
          <w:szCs w:val="24"/>
        </w:rPr>
      </w:pPr>
    </w:p>
    <w:p w:rsidR="00C82C8D" w:rsidRPr="00BA5780" w:rsidRDefault="00C82C8D" w:rsidP="00FA1F08">
      <w:pPr>
        <w:spacing w:line="360" w:lineRule="auto"/>
        <w:rPr>
          <w:sz w:val="24"/>
          <w:szCs w:val="24"/>
        </w:rPr>
      </w:pPr>
    </w:p>
    <w:sectPr w:rsidR="00C82C8D" w:rsidRPr="00BA578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C9C" w:rsidRDefault="00F70C9C" w:rsidP="001D0BCE">
      <w:pPr>
        <w:spacing w:after="0" w:line="240" w:lineRule="auto"/>
      </w:pPr>
      <w:r>
        <w:separator/>
      </w:r>
    </w:p>
  </w:endnote>
  <w:endnote w:type="continuationSeparator" w:id="0">
    <w:p w:rsidR="00F70C9C" w:rsidRDefault="00F70C9C" w:rsidP="001D0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charset w:val="00"/>
    <w:family w:val="auto"/>
    <w:pitch w:val="default"/>
  </w:font>
  <w:font w:name="DejaVu LGC Sans">
    <w:altName w:val="MS Mincho"/>
    <w:charset w:val="80"/>
    <w:family w:val="auto"/>
    <w:pitch w:val="variable"/>
  </w:font>
  <w:font w:name="AdvT143">
    <w:panose1 w:val="00000000000000000000"/>
    <w:charset w:val="00"/>
    <w:family w:val="auto"/>
    <w:notTrueType/>
    <w:pitch w:val="default"/>
    <w:sig w:usb0="00000003" w:usb1="00000000" w:usb2="00000000" w:usb3="00000000" w:csb0="00000001" w:csb1="00000000"/>
  </w:font>
  <w:font w:name="TimesNewRoman-NormalItalic">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300610"/>
      <w:docPartObj>
        <w:docPartGallery w:val="Page Numbers (Bottom of Page)"/>
        <w:docPartUnique/>
      </w:docPartObj>
    </w:sdtPr>
    <w:sdtEndPr>
      <w:rPr>
        <w:noProof/>
      </w:rPr>
    </w:sdtEndPr>
    <w:sdtContent>
      <w:p w:rsidR="00AD2C86" w:rsidRDefault="00AD2C86">
        <w:pPr>
          <w:pStyle w:val="Footer"/>
          <w:jc w:val="center"/>
        </w:pPr>
        <w:r>
          <w:fldChar w:fldCharType="begin"/>
        </w:r>
        <w:r>
          <w:instrText xml:space="preserve"> PAGE   \* MERGEFORMAT </w:instrText>
        </w:r>
        <w:r>
          <w:fldChar w:fldCharType="separate"/>
        </w:r>
        <w:r w:rsidR="00981ED6">
          <w:rPr>
            <w:noProof/>
          </w:rPr>
          <w:t>1</w:t>
        </w:r>
        <w:r>
          <w:rPr>
            <w:noProof/>
          </w:rPr>
          <w:fldChar w:fldCharType="end"/>
        </w:r>
      </w:p>
    </w:sdtContent>
  </w:sdt>
  <w:p w:rsidR="00AD2C86" w:rsidRDefault="00AD2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C9C" w:rsidRDefault="00F70C9C" w:rsidP="001D0BCE">
      <w:pPr>
        <w:spacing w:after="0" w:line="240" w:lineRule="auto"/>
      </w:pPr>
      <w:r>
        <w:separator/>
      </w:r>
    </w:p>
  </w:footnote>
  <w:footnote w:type="continuationSeparator" w:id="0">
    <w:p w:rsidR="00F70C9C" w:rsidRDefault="00F70C9C" w:rsidP="001D0BCE">
      <w:pPr>
        <w:spacing w:after="0" w:line="240" w:lineRule="auto"/>
      </w:pPr>
      <w:r>
        <w:continuationSeparator/>
      </w:r>
    </w:p>
  </w:footnote>
  <w:footnote w:id="1">
    <w:p w:rsidR="0032764E" w:rsidRDefault="0032764E" w:rsidP="0032764E">
      <w:pPr>
        <w:pStyle w:val="FootnoteText"/>
      </w:pPr>
      <w:r>
        <w:t xml:space="preserve">*I thank Professor Robert Lee, Professor of Environmental Law, Exeter </w:t>
      </w:r>
      <w:r w:rsidR="008B788D">
        <w:t xml:space="preserve">Law School, </w:t>
      </w:r>
      <w:proofErr w:type="gramStart"/>
      <w:r>
        <w:t>University</w:t>
      </w:r>
      <w:proofErr w:type="gramEnd"/>
      <w:r>
        <w:t xml:space="preserve"> </w:t>
      </w:r>
      <w:r w:rsidR="008B788D">
        <w:t xml:space="preserve">of Exeter </w:t>
      </w:r>
      <w:r>
        <w:t>for his helpful comments.</w:t>
      </w:r>
    </w:p>
    <w:p w:rsidR="00B87EFA" w:rsidRDefault="00B87EFA">
      <w:pPr>
        <w:pStyle w:val="FootnoteText"/>
      </w:pPr>
      <w:r>
        <w:rPr>
          <w:rStyle w:val="FootnoteReference"/>
        </w:rPr>
        <w:footnoteRef/>
      </w:r>
      <w:r>
        <w:t xml:space="preserve"> </w:t>
      </w:r>
      <w:r w:rsidR="008B077F">
        <w:t xml:space="preserve">35, </w:t>
      </w:r>
      <w:r w:rsidR="008B077F" w:rsidRPr="00F10D2D">
        <w:rPr>
          <w:i/>
        </w:rPr>
        <w:t>AJIL</w:t>
      </w:r>
      <w:r w:rsidR="008B077F">
        <w:t xml:space="preserve"> (1941)</w:t>
      </w:r>
      <w:r w:rsidR="008B51AF">
        <w:t xml:space="preserve"> </w:t>
      </w:r>
      <w:r w:rsidR="00F10D2D">
        <w:t>,</w:t>
      </w:r>
      <w:r w:rsidR="008B51AF">
        <w:t xml:space="preserve"> </w:t>
      </w:r>
      <w:r w:rsidR="008B077F">
        <w:t>684</w:t>
      </w:r>
    </w:p>
  </w:footnote>
  <w:footnote w:id="2">
    <w:p w:rsidR="00B56631" w:rsidRDefault="00B56631">
      <w:pPr>
        <w:pStyle w:val="FootnoteText"/>
      </w:pPr>
      <w:r>
        <w:rPr>
          <w:rStyle w:val="FootnoteReference"/>
        </w:rPr>
        <w:footnoteRef/>
      </w:r>
      <w:r>
        <w:t xml:space="preserve"> </w:t>
      </w:r>
      <w:proofErr w:type="spellStart"/>
      <w:r>
        <w:t>Dollie</w:t>
      </w:r>
      <w:proofErr w:type="spellEnd"/>
      <w:r>
        <w:t xml:space="preserve"> </w:t>
      </w:r>
      <w:proofErr w:type="spellStart"/>
      <w:r>
        <w:t>Burnwell</w:t>
      </w:r>
      <w:proofErr w:type="spellEnd"/>
      <w:r>
        <w:t xml:space="preserve"> and Luke Cole, ‘Environmental Justice Comes Full Circle: W</w:t>
      </w:r>
      <w:r w:rsidR="007145EA">
        <w:t>arren County Before and After’ (2007)</w:t>
      </w:r>
      <w:r>
        <w:t xml:space="preserve"> </w:t>
      </w:r>
      <w:r w:rsidRPr="00F10D2D">
        <w:rPr>
          <w:i/>
        </w:rPr>
        <w:t>Golden Gate Univer</w:t>
      </w:r>
      <w:r w:rsidR="0049383F" w:rsidRPr="00F10D2D">
        <w:rPr>
          <w:i/>
        </w:rPr>
        <w:t>sity Environmental Law Journal</w:t>
      </w:r>
      <w:r w:rsidR="00F10D2D">
        <w:t>,</w:t>
      </w:r>
      <w:r>
        <w:t xml:space="preserve"> 9-10</w:t>
      </w:r>
    </w:p>
  </w:footnote>
  <w:footnote w:id="3">
    <w:p w:rsidR="00AF5E80" w:rsidRDefault="00AF5E80">
      <w:pPr>
        <w:pStyle w:val="FootnoteText"/>
      </w:pPr>
      <w:r>
        <w:rPr>
          <w:rStyle w:val="FootnoteReference"/>
        </w:rPr>
        <w:footnoteRef/>
      </w:r>
      <w:r>
        <w:t xml:space="preserve"> Brad Jessup, </w:t>
      </w:r>
      <w:r w:rsidR="007145EA">
        <w:t>‘</w:t>
      </w:r>
      <w:r w:rsidRPr="007145EA">
        <w:t>The journey of environmental justice through public and international law</w:t>
      </w:r>
      <w:r w:rsidR="007145EA">
        <w:t>’</w:t>
      </w:r>
      <w:r>
        <w:t>, in Brad Jessup and Kim Rubenstein (</w:t>
      </w:r>
      <w:proofErr w:type="spellStart"/>
      <w:r>
        <w:t>eds</w:t>
      </w:r>
      <w:proofErr w:type="spellEnd"/>
      <w:r>
        <w:t xml:space="preserve">), </w:t>
      </w:r>
      <w:r w:rsidRPr="007F3303">
        <w:rPr>
          <w:i/>
        </w:rPr>
        <w:t>Environmental Discourses in Public and International Law</w:t>
      </w:r>
      <w:r>
        <w:t xml:space="preserve"> </w:t>
      </w:r>
      <w:r w:rsidR="007145EA">
        <w:t>(</w:t>
      </w:r>
      <w:r>
        <w:t>Cambridge University Press 2012</w:t>
      </w:r>
      <w:r w:rsidR="007145EA">
        <w:t>)</w:t>
      </w:r>
      <w:r w:rsidR="00F2190F">
        <w:t>,</w:t>
      </w:r>
      <w:r>
        <w:t xml:space="preserve"> 50</w:t>
      </w:r>
    </w:p>
  </w:footnote>
  <w:footnote w:id="4">
    <w:p w:rsidR="00D04DC0" w:rsidRDefault="00D04DC0">
      <w:pPr>
        <w:pStyle w:val="FootnoteText"/>
      </w:pPr>
      <w:r>
        <w:rPr>
          <w:rStyle w:val="FootnoteReference"/>
        </w:rPr>
        <w:footnoteRef/>
      </w:r>
      <w:r>
        <w:t xml:space="preserve"> Alexandre Kiss and Dinah Shelton, </w:t>
      </w:r>
      <w:r w:rsidRPr="007F3303">
        <w:rPr>
          <w:i/>
        </w:rPr>
        <w:t>International Environmental Law</w:t>
      </w:r>
      <w:r w:rsidR="00DD7710">
        <w:t xml:space="preserve"> (</w:t>
      </w:r>
      <w:r>
        <w:t>United Nations Environment Pr</w:t>
      </w:r>
      <w:r w:rsidR="00DD7710">
        <w:t>ogramme 2003)</w:t>
      </w:r>
      <w:r w:rsidR="00E42488">
        <w:t>,</w:t>
      </w:r>
      <w:r>
        <w:t xml:space="preserve"> 105</w:t>
      </w:r>
    </w:p>
  </w:footnote>
  <w:footnote w:id="5">
    <w:p w:rsidR="00572FFF" w:rsidRDefault="00572FFF">
      <w:pPr>
        <w:pStyle w:val="FootnoteText"/>
      </w:pPr>
      <w:r>
        <w:rPr>
          <w:rStyle w:val="FootnoteReference"/>
        </w:rPr>
        <w:footnoteRef/>
      </w:r>
      <w:r w:rsidR="006B19CE">
        <w:t xml:space="preserve"> See </w:t>
      </w:r>
      <w:r w:rsidR="00F0001B">
        <w:t xml:space="preserve">Jessup, above </w:t>
      </w:r>
      <w:r w:rsidR="006B19CE">
        <w:t>n</w:t>
      </w:r>
      <w:r w:rsidR="00C460AD">
        <w:t>.</w:t>
      </w:r>
      <w:r w:rsidR="00F0001B">
        <w:t xml:space="preserve"> 3 at</w:t>
      </w:r>
      <w:r w:rsidR="000F6973">
        <w:t xml:space="preserve"> 50</w:t>
      </w:r>
      <w:r>
        <w:t>-60</w:t>
      </w:r>
      <w:r w:rsidR="000F6973">
        <w:t xml:space="preserve">; Julian </w:t>
      </w:r>
      <w:proofErr w:type="spellStart"/>
      <w:r w:rsidR="000F6973">
        <w:t>Agyeman</w:t>
      </w:r>
      <w:proofErr w:type="spellEnd"/>
      <w:r w:rsidR="000F6973">
        <w:t xml:space="preserve">, Robert Bullard and Bob Evans, </w:t>
      </w:r>
      <w:r w:rsidR="000F6973" w:rsidRPr="006B19CE">
        <w:rPr>
          <w:i/>
        </w:rPr>
        <w:t xml:space="preserve">Just </w:t>
      </w:r>
      <w:proofErr w:type="spellStart"/>
      <w:r w:rsidR="000F6973" w:rsidRPr="006B19CE">
        <w:rPr>
          <w:i/>
        </w:rPr>
        <w:t>Sustainabilities</w:t>
      </w:r>
      <w:proofErr w:type="spellEnd"/>
      <w:r w:rsidR="000F6973" w:rsidRPr="006B19CE">
        <w:rPr>
          <w:i/>
        </w:rPr>
        <w:t>: Development in an Unequal World</w:t>
      </w:r>
      <w:r w:rsidR="006B19CE">
        <w:t xml:space="preserve"> (</w:t>
      </w:r>
      <w:r w:rsidR="000F6973">
        <w:t xml:space="preserve"> MIT Press </w:t>
      </w:r>
      <w:r w:rsidR="006B19CE">
        <w:t>2003)</w:t>
      </w:r>
    </w:p>
  </w:footnote>
  <w:footnote w:id="6">
    <w:p w:rsidR="00A01C63" w:rsidRDefault="00A01C63">
      <w:pPr>
        <w:pStyle w:val="FootnoteText"/>
      </w:pPr>
      <w:r>
        <w:rPr>
          <w:rStyle w:val="FootnoteReference"/>
        </w:rPr>
        <w:footnoteRef/>
      </w:r>
      <w:r>
        <w:t xml:space="preserve"> </w:t>
      </w:r>
      <w:r w:rsidR="00451969" w:rsidRPr="00617405">
        <w:t>Laura Pulido</w:t>
      </w:r>
      <w:r w:rsidR="00617405">
        <w:t xml:space="preserve">, </w:t>
      </w:r>
      <w:r w:rsidR="00617405" w:rsidRPr="00DF2F23">
        <w:rPr>
          <w:i/>
        </w:rPr>
        <w:t>Enviro</w:t>
      </w:r>
      <w:r w:rsidR="00150CC5" w:rsidRPr="00DF2F23">
        <w:rPr>
          <w:i/>
        </w:rPr>
        <w:t>nmenta</w:t>
      </w:r>
      <w:r w:rsidR="00DF2F23" w:rsidRPr="00DF2F23">
        <w:rPr>
          <w:i/>
        </w:rPr>
        <w:t>lism and Economic Justice</w:t>
      </w:r>
      <w:r w:rsidR="00DF2F23">
        <w:t xml:space="preserve"> (</w:t>
      </w:r>
      <w:r w:rsidR="00617405">
        <w:t>University of Arizona Press</w:t>
      </w:r>
      <w:r w:rsidR="00DF2F23">
        <w:t xml:space="preserve"> 1996)</w:t>
      </w:r>
      <w:r w:rsidR="00E42488">
        <w:t xml:space="preserve">, </w:t>
      </w:r>
      <w:r w:rsidR="00617405">
        <w:t xml:space="preserve"> xv-xvi; </w:t>
      </w:r>
      <w:r w:rsidR="00DF2F23">
        <w:t xml:space="preserve">Harry Brighouse, </w:t>
      </w:r>
      <w:r w:rsidR="00DF2F23" w:rsidRPr="00DF2F23">
        <w:rPr>
          <w:i/>
        </w:rPr>
        <w:t>Justice</w:t>
      </w:r>
      <w:r w:rsidR="00DF2F23">
        <w:t xml:space="preserve"> (</w:t>
      </w:r>
      <w:r w:rsidR="00150CC5">
        <w:t>Cambridge: Polity</w:t>
      </w:r>
      <w:r w:rsidR="00DF2F23">
        <w:t xml:space="preserve"> 2004)</w:t>
      </w:r>
      <w:r w:rsidR="00E42488">
        <w:t>,</w:t>
      </w:r>
      <w:r w:rsidR="00150CC5">
        <w:t xml:space="preserve"> 2; Michael </w:t>
      </w:r>
      <w:proofErr w:type="spellStart"/>
      <w:r w:rsidR="00150CC5">
        <w:t>Walzer</w:t>
      </w:r>
      <w:proofErr w:type="spellEnd"/>
      <w:r w:rsidR="00150CC5">
        <w:t xml:space="preserve">, </w:t>
      </w:r>
      <w:r w:rsidR="00150CC5" w:rsidRPr="00DF2F23">
        <w:rPr>
          <w:i/>
        </w:rPr>
        <w:t>Sph</w:t>
      </w:r>
      <w:r w:rsidR="00ED77E7" w:rsidRPr="00DF2F23">
        <w:rPr>
          <w:i/>
        </w:rPr>
        <w:t>eres of Justice</w:t>
      </w:r>
      <w:r w:rsidR="00DF2F23">
        <w:t xml:space="preserve"> (</w:t>
      </w:r>
      <w:r w:rsidR="00150CC5">
        <w:t>University of California</w:t>
      </w:r>
      <w:r w:rsidR="00DF2F23">
        <w:t xml:space="preserve"> </w:t>
      </w:r>
      <w:r w:rsidR="00150CC5">
        <w:t xml:space="preserve"> </w:t>
      </w:r>
      <w:r w:rsidR="00AA5558">
        <w:t>Press</w:t>
      </w:r>
      <w:r w:rsidR="00DF2F23">
        <w:t xml:space="preserve"> 1983)</w:t>
      </w:r>
      <w:r w:rsidR="00E42488">
        <w:t xml:space="preserve">, </w:t>
      </w:r>
      <w:r w:rsidR="00641C33">
        <w:t>6</w:t>
      </w:r>
    </w:p>
  </w:footnote>
  <w:footnote w:id="7">
    <w:p w:rsidR="00A01C63" w:rsidRPr="00ED77E7" w:rsidRDefault="00A01C63">
      <w:pPr>
        <w:pStyle w:val="FootnoteText"/>
      </w:pPr>
      <w:r>
        <w:rPr>
          <w:rStyle w:val="FootnoteReference"/>
        </w:rPr>
        <w:footnoteRef/>
      </w:r>
      <w:r>
        <w:t xml:space="preserve"> </w:t>
      </w:r>
      <w:r w:rsidR="00ED77E7" w:rsidRPr="00ED77E7">
        <w:t>Iris Young</w:t>
      </w:r>
      <w:r w:rsidR="00ED77E7">
        <w:rPr>
          <w:b/>
        </w:rPr>
        <w:t xml:space="preserve">, </w:t>
      </w:r>
      <w:r w:rsidR="00ED77E7" w:rsidRPr="00ED77E7">
        <w:t>Justice and the Politics of Difference (1990)</w:t>
      </w:r>
      <w:r w:rsidR="00ED77E7">
        <w:rPr>
          <w:b/>
        </w:rPr>
        <w:t xml:space="preserve"> </w:t>
      </w:r>
      <w:r w:rsidR="00784326">
        <w:t xml:space="preserve">Princeton University Press, </w:t>
      </w:r>
      <w:r w:rsidR="00ED77E7">
        <w:t xml:space="preserve">22; Paul Taylor, </w:t>
      </w:r>
      <w:r w:rsidR="00ED77E7" w:rsidRPr="00453A51">
        <w:rPr>
          <w:i/>
        </w:rPr>
        <w:t>Respect for</w:t>
      </w:r>
      <w:r w:rsidR="00ED77E7">
        <w:t xml:space="preserve"> </w:t>
      </w:r>
      <w:r w:rsidR="00ED77E7" w:rsidRPr="00453A51">
        <w:rPr>
          <w:i/>
        </w:rPr>
        <w:t>Nature: A Theory of Environmental Ethics</w:t>
      </w:r>
      <w:r w:rsidR="00ED77E7">
        <w:t xml:space="preserve"> Princeton University Press; Axel </w:t>
      </w:r>
      <w:proofErr w:type="spellStart"/>
      <w:r w:rsidR="00ED77E7">
        <w:t>Honneth</w:t>
      </w:r>
      <w:proofErr w:type="spellEnd"/>
      <w:r w:rsidR="00ED77E7">
        <w:t>, ‘Integrity and Disrespect: Principles of Morality Based on the Theory of Recognition’</w:t>
      </w:r>
      <w:r w:rsidR="00453A51">
        <w:t xml:space="preserve"> </w:t>
      </w:r>
      <w:r w:rsidR="00784326">
        <w:t xml:space="preserve">20(2) </w:t>
      </w:r>
      <w:r w:rsidR="00784326" w:rsidRPr="00784326">
        <w:rPr>
          <w:i/>
        </w:rPr>
        <w:t>Political Theory</w:t>
      </w:r>
      <w:r w:rsidR="00784326">
        <w:t>,</w:t>
      </w:r>
      <w:r w:rsidR="00453A51">
        <w:t xml:space="preserve"> </w:t>
      </w:r>
      <w:r w:rsidR="00D61603">
        <w:t>187-201</w:t>
      </w:r>
    </w:p>
  </w:footnote>
  <w:footnote w:id="8">
    <w:p w:rsidR="00F66E7B" w:rsidRPr="00A01C63" w:rsidRDefault="00F66E7B">
      <w:pPr>
        <w:pStyle w:val="FootnoteText"/>
        <w:rPr>
          <w:b/>
        </w:rPr>
      </w:pPr>
      <w:r>
        <w:rPr>
          <w:rStyle w:val="FootnoteReference"/>
        </w:rPr>
        <w:footnoteRef/>
      </w:r>
      <w:r>
        <w:t xml:space="preserve"> Ryan </w:t>
      </w:r>
      <w:proofErr w:type="spellStart"/>
      <w:r>
        <w:t>Holifield</w:t>
      </w:r>
      <w:proofErr w:type="spellEnd"/>
      <w:r>
        <w:t xml:space="preserve">, Michael Porter and Gordon Walker, </w:t>
      </w:r>
      <w:r w:rsidRPr="00F66E7B">
        <w:rPr>
          <w:i/>
        </w:rPr>
        <w:t>Spaces of Environmental Justice</w:t>
      </w:r>
      <w:r w:rsidR="00FC7311">
        <w:t xml:space="preserve"> (</w:t>
      </w:r>
      <w:r>
        <w:t xml:space="preserve"> Jo</w:t>
      </w:r>
      <w:r w:rsidR="008F6EF9">
        <w:t>hn Wiley and Sons</w:t>
      </w:r>
      <w:r w:rsidR="00453A51">
        <w:t xml:space="preserve"> 2011)</w:t>
      </w:r>
      <w:r w:rsidR="008F6EF9">
        <w:t xml:space="preserve"> 10;</w:t>
      </w:r>
      <w:r w:rsidR="008F6EF9" w:rsidRPr="008F6EF9">
        <w:t xml:space="preserve"> </w:t>
      </w:r>
      <w:r w:rsidR="008F6EF9">
        <w:t xml:space="preserve">David Schlosberg, </w:t>
      </w:r>
      <w:r w:rsidR="008F6EF9" w:rsidRPr="00650A1A">
        <w:rPr>
          <w:i/>
        </w:rPr>
        <w:t>Defining Environmental Justice: Theories, Movements and Nature</w:t>
      </w:r>
      <w:r w:rsidR="00FC7311">
        <w:t xml:space="preserve"> (</w:t>
      </w:r>
      <w:r w:rsidR="008F6EF9">
        <w:t>Oxford University Press</w:t>
      </w:r>
      <w:r w:rsidR="00FC7311">
        <w:t xml:space="preserve"> 2007)</w:t>
      </w:r>
      <w:r w:rsidR="00453A51">
        <w:t xml:space="preserve"> </w:t>
      </w:r>
      <w:r w:rsidR="008F6EF9">
        <w:t>25-29</w:t>
      </w:r>
    </w:p>
  </w:footnote>
  <w:footnote w:id="9">
    <w:p w:rsidR="007D6CD7" w:rsidRDefault="007D6CD7">
      <w:pPr>
        <w:pStyle w:val="FootnoteText"/>
      </w:pPr>
      <w:r>
        <w:rPr>
          <w:rStyle w:val="FootnoteReference"/>
        </w:rPr>
        <w:footnoteRef/>
      </w:r>
      <w:r>
        <w:t xml:space="preserve"> Kristin </w:t>
      </w:r>
      <w:proofErr w:type="spellStart"/>
      <w:r>
        <w:t>Shrader</w:t>
      </w:r>
      <w:proofErr w:type="spellEnd"/>
      <w:r>
        <w:t xml:space="preserve"> Frechette, </w:t>
      </w:r>
      <w:r w:rsidRPr="009E4613">
        <w:rPr>
          <w:i/>
        </w:rPr>
        <w:t>Environmental Justice: Creating Equality, Reclaiming Democracy</w:t>
      </w:r>
      <w:r w:rsidR="00FC7311">
        <w:t xml:space="preserve"> (</w:t>
      </w:r>
      <w:r>
        <w:t xml:space="preserve"> Oxford University Press 2002</w:t>
      </w:r>
      <w:r w:rsidR="00FC7311">
        <w:t>)</w:t>
      </w:r>
    </w:p>
  </w:footnote>
  <w:footnote w:id="10">
    <w:p w:rsidR="00650A1A" w:rsidRDefault="00650A1A">
      <w:pPr>
        <w:pStyle w:val="FootnoteText"/>
      </w:pPr>
      <w:r>
        <w:rPr>
          <w:rStyle w:val="FootnoteReference"/>
        </w:rPr>
        <w:footnoteRef/>
      </w:r>
      <w:r w:rsidR="0072157D">
        <w:t xml:space="preserve"> </w:t>
      </w:r>
      <w:r w:rsidR="003212EB">
        <w:t>See</w:t>
      </w:r>
      <w:r w:rsidR="000A6905">
        <w:t xml:space="preserve"> Schlosberg</w:t>
      </w:r>
      <w:r w:rsidR="00D43302">
        <w:t>, above</w:t>
      </w:r>
      <w:r w:rsidR="000A6905">
        <w:t xml:space="preserve"> n. 8</w:t>
      </w:r>
      <w:r w:rsidR="00D43302">
        <w:t xml:space="preserve"> </w:t>
      </w:r>
      <w:r w:rsidR="00152F78">
        <w:t xml:space="preserve">; David Schlosberg, ‘Reconceiving Environmental Justice: Global Movements and Political Theories’ 13 </w:t>
      </w:r>
      <w:r w:rsidR="00152F78" w:rsidRPr="00D43302">
        <w:rPr>
          <w:i/>
        </w:rPr>
        <w:t>Environmental Politics</w:t>
      </w:r>
      <w:r w:rsidR="0049383F">
        <w:t xml:space="preserve"> </w:t>
      </w:r>
      <w:r w:rsidR="00152F78">
        <w:t xml:space="preserve"> (2004) 517</w:t>
      </w:r>
      <w:r w:rsidR="00801225">
        <w:t>-540</w:t>
      </w:r>
    </w:p>
  </w:footnote>
  <w:footnote w:id="11">
    <w:p w:rsidR="007D6CD7" w:rsidRDefault="007D6CD7">
      <w:pPr>
        <w:pStyle w:val="FootnoteText"/>
      </w:pPr>
      <w:r>
        <w:rPr>
          <w:rStyle w:val="FootnoteReference"/>
        </w:rPr>
        <w:footnoteRef/>
      </w:r>
      <w:r>
        <w:t xml:space="preserve"> </w:t>
      </w:r>
      <w:proofErr w:type="gramStart"/>
      <w:r w:rsidR="003A6609">
        <w:t xml:space="preserve">The </w:t>
      </w:r>
      <w:r w:rsidR="009A3ECA">
        <w:t>United Nations</w:t>
      </w:r>
      <w:r w:rsidR="000A120B">
        <w:t xml:space="preserve"> Conference on the H</w:t>
      </w:r>
      <w:r w:rsidR="009A3ECA">
        <w:t xml:space="preserve">uman Environment, </w:t>
      </w:r>
      <w:r w:rsidR="003A6609">
        <w:t>U</w:t>
      </w:r>
      <w:r w:rsidR="009A3ECA">
        <w:t xml:space="preserve"> </w:t>
      </w:r>
      <w:r w:rsidR="003A6609">
        <w:t>N Doc.</w:t>
      </w:r>
      <w:proofErr w:type="gramEnd"/>
      <w:r w:rsidR="003A6609">
        <w:t xml:space="preserve"> </w:t>
      </w:r>
      <w:proofErr w:type="gramStart"/>
      <w:r w:rsidR="003A6609">
        <w:t>A/Conf</w:t>
      </w:r>
      <w:r w:rsidR="00484AC7">
        <w:t>.48/14/Rev.1 A</w:t>
      </w:r>
      <w:r w:rsidR="000A120B">
        <w:t>rt</w:t>
      </w:r>
      <w:r w:rsidR="00484AC7">
        <w:t>icles</w:t>
      </w:r>
      <w:r w:rsidR="00D03426">
        <w:t>.</w:t>
      </w:r>
      <w:proofErr w:type="gramEnd"/>
      <w:r w:rsidR="00D03426">
        <w:t xml:space="preserve"> 1and 22</w:t>
      </w:r>
    </w:p>
  </w:footnote>
  <w:footnote w:id="12">
    <w:p w:rsidR="003A6609" w:rsidRDefault="003A6609">
      <w:pPr>
        <w:pStyle w:val="FootnoteText"/>
      </w:pPr>
      <w:r>
        <w:rPr>
          <w:rStyle w:val="FootnoteReference"/>
        </w:rPr>
        <w:footnoteRef/>
      </w:r>
      <w:r w:rsidR="009A3ECA">
        <w:t xml:space="preserve"> </w:t>
      </w:r>
      <w:proofErr w:type="gramStart"/>
      <w:r w:rsidR="009A3ECA">
        <w:t>The United Nations</w:t>
      </w:r>
      <w:r>
        <w:t xml:space="preserve"> Conference on Environment and Development, U</w:t>
      </w:r>
      <w:r w:rsidR="009A3ECA">
        <w:t xml:space="preserve"> </w:t>
      </w:r>
      <w:r>
        <w:t>N Doc.</w:t>
      </w:r>
      <w:proofErr w:type="gramEnd"/>
      <w:r>
        <w:t xml:space="preserve"> A/</w:t>
      </w:r>
      <w:r w:rsidR="0098588A">
        <w:t>CONF.151/5/Rev.1, 13 June 1992 A</w:t>
      </w:r>
      <w:r>
        <w:t>rt</w:t>
      </w:r>
      <w:r w:rsidR="0098588A">
        <w:t>icle</w:t>
      </w:r>
      <w:r w:rsidR="000C5318">
        <w:t xml:space="preserve"> </w:t>
      </w:r>
      <w:r w:rsidR="00D03426">
        <w:t>10</w:t>
      </w:r>
    </w:p>
  </w:footnote>
  <w:footnote w:id="13">
    <w:p w:rsidR="007835A3" w:rsidRDefault="007835A3">
      <w:pPr>
        <w:pStyle w:val="FootnoteText"/>
      </w:pPr>
      <w:r>
        <w:rPr>
          <w:rStyle w:val="FootnoteReference"/>
        </w:rPr>
        <w:footnoteRef/>
      </w:r>
      <w:r>
        <w:t xml:space="preserve"> </w:t>
      </w:r>
      <w:r w:rsidR="00AA2E14">
        <w:t>Convention on Access to Information, Public Participation in Decision-Making and Access to Justice in Environmental Matter</w:t>
      </w:r>
      <w:r w:rsidR="0049383F">
        <w:t>s (entry into force 30.10.2001) A</w:t>
      </w:r>
      <w:r w:rsidR="00AA2E14">
        <w:t>rt</w:t>
      </w:r>
      <w:r w:rsidR="0049383F">
        <w:t>icles</w:t>
      </w:r>
      <w:r w:rsidR="00D43302">
        <w:t xml:space="preserve"> 1 and 9</w:t>
      </w:r>
    </w:p>
  </w:footnote>
  <w:footnote w:id="14">
    <w:p w:rsidR="0027215A" w:rsidRPr="00C5057A" w:rsidRDefault="0027215A">
      <w:pPr>
        <w:pStyle w:val="FootnoteText"/>
        <w:rPr>
          <w:b/>
        </w:rPr>
      </w:pPr>
      <w:r>
        <w:rPr>
          <w:rStyle w:val="FootnoteReference"/>
        </w:rPr>
        <w:footnoteRef/>
      </w:r>
      <w:r>
        <w:t>Nicholas A Robinson, ‘Ensuring Access to Justice through Environmental Court</w:t>
      </w:r>
      <w:r w:rsidR="008B6264">
        <w:t xml:space="preserve">s’ 29 </w:t>
      </w:r>
      <w:r w:rsidR="008B6264" w:rsidRPr="00D43302">
        <w:rPr>
          <w:i/>
        </w:rPr>
        <w:t xml:space="preserve">Pace </w:t>
      </w:r>
      <w:proofErr w:type="spellStart"/>
      <w:r w:rsidR="008B6264" w:rsidRPr="00D43302">
        <w:rPr>
          <w:i/>
        </w:rPr>
        <w:t>Envtl.L.Rev</w:t>
      </w:r>
      <w:proofErr w:type="spellEnd"/>
      <w:r w:rsidR="00D43302">
        <w:t xml:space="preserve"> (2012) 363-395 at</w:t>
      </w:r>
      <w:r>
        <w:t xml:space="preserve"> 374; The Global Judges Symposium on Sustainable Development and the Role of Law, Johannesburg (18-20 August 2002);</w:t>
      </w:r>
      <w:r w:rsidR="00340FF0">
        <w:t xml:space="preserve"> </w:t>
      </w:r>
      <w:hyperlink r:id="rId1" w:history="1">
        <w:r w:rsidR="009527F7" w:rsidRPr="00560393">
          <w:rPr>
            <w:rStyle w:val="Hyperlink"/>
            <w:rFonts w:ascii="Calibri" w:eastAsia="Calibri" w:hAnsi="Calibri" w:cs="Calibri"/>
            <w:color w:val="auto"/>
            <w:sz w:val="22"/>
            <w:szCs w:val="22"/>
            <w:u w:val="none"/>
            <w:lang w:eastAsia="ar-SA"/>
          </w:rPr>
          <w:t>http://www.unep.org/delc/judgesprogramme/GlobalJudgesSymposium/tabid/106158/Default.aspx</w:t>
        </w:r>
        <w:r w:rsidR="009527F7" w:rsidRPr="0040183D">
          <w:rPr>
            <w:rStyle w:val="Hyperlink"/>
            <w:rFonts w:ascii="Calibri" w:eastAsia="Calibri" w:hAnsi="Calibri" w:cs="Calibri"/>
            <w:sz w:val="22"/>
            <w:szCs w:val="22"/>
            <w:lang w:eastAsia="ar-SA"/>
          </w:rPr>
          <w:t xml:space="preserve"> </w:t>
        </w:r>
        <w:r w:rsidR="009527F7" w:rsidRPr="009527F7">
          <w:rPr>
            <w:rStyle w:val="Hyperlink"/>
            <w:rFonts w:ascii="Calibri" w:eastAsia="Calibri" w:hAnsi="Calibri" w:cs="Calibri"/>
            <w:color w:val="auto"/>
            <w:sz w:val="22"/>
            <w:szCs w:val="22"/>
            <w:u w:val="none"/>
            <w:lang w:eastAsia="ar-SA"/>
          </w:rPr>
          <w:t>accessed 25.2.2014</w:t>
        </w:r>
      </w:hyperlink>
      <w:r w:rsidR="009527F7">
        <w:rPr>
          <w:rFonts w:ascii="Calibri" w:eastAsia="Calibri" w:hAnsi="Calibri" w:cs="Calibri"/>
          <w:sz w:val="22"/>
          <w:szCs w:val="22"/>
          <w:lang w:eastAsia="ar-SA"/>
        </w:rPr>
        <w:t>;</w:t>
      </w:r>
      <w:r w:rsidR="009527F7" w:rsidRPr="00560393">
        <w:rPr>
          <w:rFonts w:ascii="Calibri" w:eastAsia="Calibri" w:hAnsi="Calibri" w:cs="Calibri"/>
          <w:sz w:val="22"/>
          <w:szCs w:val="22"/>
          <w:lang w:eastAsia="ar-SA"/>
        </w:rPr>
        <w:t xml:space="preserve"> </w:t>
      </w:r>
      <w:hyperlink r:id="rId2" w:history="1">
        <w:r w:rsidR="00B80A35" w:rsidRPr="00644AF6">
          <w:rPr>
            <w:rStyle w:val="Hyperlink"/>
          </w:rPr>
          <w:t>http://www.adb.org/publications/south-asia-conference-environmental-justice  accessed 26.2.2014</w:t>
        </w:r>
      </w:hyperlink>
      <w:r w:rsidR="00B80A35">
        <w:t>; Asian Development Bank, (2012). Environmental Governance and</w:t>
      </w:r>
      <w:r w:rsidR="0020722E">
        <w:t xml:space="preserve"> the Courts in Asia .</w:t>
      </w:r>
      <w:r w:rsidR="00B80A35">
        <w:t xml:space="preserve">Law and Policy Reform, Brief 1, 1; </w:t>
      </w:r>
      <w:hyperlink r:id="rId3" w:history="1">
        <w:r w:rsidR="00B80A35" w:rsidRPr="00B80A35">
          <w:rPr>
            <w:rStyle w:val="Hyperlink"/>
          </w:rPr>
          <w:t>http://www.adb.org/publications/south-asia-conference-environmental-justice</w:t>
        </w:r>
      </w:hyperlink>
    </w:p>
  </w:footnote>
  <w:footnote w:id="15">
    <w:p w:rsidR="00083616" w:rsidRPr="00083616" w:rsidRDefault="00083616" w:rsidP="00083616">
      <w:pPr>
        <w:pStyle w:val="FootnoteText"/>
        <w:rPr>
          <w:rFonts w:ascii="Calibri" w:eastAsia="Calibri" w:hAnsi="Calibri" w:cs="Calibri"/>
          <w:lang w:eastAsia="ar-SA"/>
        </w:rPr>
      </w:pPr>
      <w:r>
        <w:rPr>
          <w:rStyle w:val="FootnoteReference"/>
        </w:rPr>
        <w:footnoteRef/>
      </w:r>
      <w:r>
        <w:t xml:space="preserve"> </w:t>
      </w:r>
      <w:proofErr w:type="spellStart"/>
      <w:r>
        <w:t>Gitanjali</w:t>
      </w:r>
      <w:proofErr w:type="spellEnd"/>
      <w:r>
        <w:t xml:space="preserve"> Nain Gill, ‘ Human Rights and the Environment in India: Access through Public Interest Litigation’ </w:t>
      </w:r>
      <w:r w:rsidR="008667BE">
        <w:t xml:space="preserve">14 </w:t>
      </w:r>
      <w:r w:rsidR="008667BE" w:rsidRPr="00C02CB0">
        <w:rPr>
          <w:i/>
        </w:rPr>
        <w:t>Environmental Law Review</w:t>
      </w:r>
      <w:r w:rsidR="008667BE">
        <w:t xml:space="preserve"> </w:t>
      </w:r>
      <w:r w:rsidR="00C02CB0">
        <w:t xml:space="preserve">(2012) </w:t>
      </w:r>
      <w:r>
        <w:t xml:space="preserve"> 201.;  </w:t>
      </w:r>
      <w:proofErr w:type="spellStart"/>
      <w:r>
        <w:t>Shyam</w:t>
      </w:r>
      <w:proofErr w:type="spellEnd"/>
      <w:r>
        <w:t xml:space="preserve"> Divan and Armin </w:t>
      </w:r>
      <w:proofErr w:type="spellStart"/>
      <w:r>
        <w:t>Rosencranz</w:t>
      </w:r>
      <w:proofErr w:type="spellEnd"/>
      <w:r>
        <w:t xml:space="preserve">, </w:t>
      </w:r>
      <w:r w:rsidRPr="00083616">
        <w:rPr>
          <w:i/>
        </w:rPr>
        <w:t>Environmental Law and</w:t>
      </w:r>
      <w:r>
        <w:t xml:space="preserve"> </w:t>
      </w:r>
      <w:r w:rsidRPr="00083616">
        <w:rPr>
          <w:i/>
        </w:rPr>
        <w:t>Policy in India</w:t>
      </w:r>
      <w:r>
        <w:t xml:space="preserve"> </w:t>
      </w:r>
      <w:r w:rsidR="00C02CB0">
        <w:t>(OUP 2001)</w:t>
      </w:r>
      <w:r>
        <w:t xml:space="preserve"> 2.;  S. P. </w:t>
      </w:r>
      <w:proofErr w:type="spellStart"/>
      <w:r>
        <w:rPr>
          <w:rFonts w:ascii="Calibri" w:eastAsia="Calibri" w:hAnsi="Calibri" w:cs="Calibri"/>
          <w:lang w:eastAsia="ar-SA"/>
        </w:rPr>
        <w:t>Sathe</w:t>
      </w:r>
      <w:proofErr w:type="spellEnd"/>
      <w:r>
        <w:rPr>
          <w:rFonts w:ascii="Calibri" w:eastAsia="Calibri" w:hAnsi="Calibri" w:cs="Calibri"/>
          <w:lang w:eastAsia="ar-SA"/>
        </w:rPr>
        <w:t>,</w:t>
      </w:r>
      <w:r w:rsidRPr="00083616">
        <w:rPr>
          <w:rFonts w:ascii="Calibri" w:eastAsia="Calibri" w:hAnsi="Calibri" w:cs="Calibri"/>
          <w:lang w:eastAsia="ar-SA"/>
        </w:rPr>
        <w:t xml:space="preserve"> </w:t>
      </w:r>
      <w:r w:rsidRPr="00083616">
        <w:rPr>
          <w:rFonts w:ascii="Calibri" w:eastAsia="Calibri" w:hAnsi="Calibri" w:cs="Calibri"/>
          <w:i/>
          <w:lang w:eastAsia="ar-SA"/>
        </w:rPr>
        <w:t>Judicial Activism in India Transgressing Borders and Enforcing</w:t>
      </w:r>
      <w:r w:rsidRPr="00083616">
        <w:rPr>
          <w:rFonts w:ascii="Calibri" w:eastAsia="Calibri" w:hAnsi="Calibri" w:cs="Calibri"/>
          <w:lang w:eastAsia="ar-SA"/>
        </w:rPr>
        <w:t xml:space="preserve"> </w:t>
      </w:r>
      <w:r w:rsidRPr="00083616">
        <w:rPr>
          <w:rFonts w:ascii="Calibri" w:eastAsia="Calibri" w:hAnsi="Calibri" w:cs="Calibri"/>
          <w:i/>
          <w:lang w:eastAsia="ar-SA"/>
        </w:rPr>
        <w:t>Limits</w:t>
      </w:r>
      <w:r>
        <w:rPr>
          <w:rFonts w:ascii="Calibri" w:eastAsia="Calibri" w:hAnsi="Calibri" w:cs="Calibri"/>
          <w:lang w:eastAsia="ar-SA"/>
        </w:rPr>
        <w:t xml:space="preserve"> </w:t>
      </w:r>
      <w:r w:rsidR="008667BE">
        <w:rPr>
          <w:rFonts w:ascii="Calibri" w:eastAsia="Calibri" w:hAnsi="Calibri" w:cs="Calibri"/>
          <w:lang w:eastAsia="ar-SA"/>
        </w:rPr>
        <w:t>(</w:t>
      </w:r>
      <w:r w:rsidRPr="00083616">
        <w:rPr>
          <w:rFonts w:ascii="Calibri" w:eastAsia="Calibri" w:hAnsi="Calibri" w:cs="Calibri"/>
          <w:lang w:eastAsia="ar-SA"/>
        </w:rPr>
        <w:t>OUP</w:t>
      </w:r>
      <w:r>
        <w:rPr>
          <w:rFonts w:ascii="Calibri" w:eastAsia="Calibri" w:hAnsi="Calibri" w:cs="Calibri"/>
          <w:lang w:eastAsia="ar-SA"/>
        </w:rPr>
        <w:t xml:space="preserve"> 2002</w:t>
      </w:r>
      <w:r w:rsidR="008667BE">
        <w:rPr>
          <w:rFonts w:ascii="Calibri" w:eastAsia="Calibri" w:hAnsi="Calibri" w:cs="Calibri"/>
          <w:lang w:eastAsia="ar-SA"/>
        </w:rPr>
        <w:t>)</w:t>
      </w:r>
      <w:r w:rsidRPr="00083616">
        <w:rPr>
          <w:rFonts w:ascii="Calibri" w:eastAsia="Calibri" w:hAnsi="Calibri" w:cs="Calibri"/>
          <w:lang w:eastAsia="ar-SA"/>
        </w:rPr>
        <w:t xml:space="preserve"> </w:t>
      </w:r>
      <w:r>
        <w:rPr>
          <w:rFonts w:ascii="Calibri" w:eastAsia="Calibri" w:hAnsi="Calibri" w:cs="Calibri"/>
          <w:lang w:eastAsia="ar-SA"/>
        </w:rPr>
        <w:t xml:space="preserve"> </w:t>
      </w:r>
      <w:r w:rsidRPr="00083616">
        <w:rPr>
          <w:rFonts w:ascii="Calibri" w:eastAsia="Calibri" w:hAnsi="Calibri" w:cs="Calibri"/>
          <w:lang w:eastAsia="ar-SA"/>
        </w:rPr>
        <w:t>210</w:t>
      </w:r>
    </w:p>
    <w:p w:rsidR="00083616" w:rsidRDefault="00083616">
      <w:pPr>
        <w:pStyle w:val="FootnoteText"/>
      </w:pPr>
    </w:p>
  </w:footnote>
  <w:footnote w:id="16">
    <w:p w:rsidR="00AB1FCD" w:rsidRDefault="00AB1FCD">
      <w:pPr>
        <w:pStyle w:val="FootnoteText"/>
      </w:pPr>
      <w:r>
        <w:rPr>
          <w:rStyle w:val="FootnoteReference"/>
        </w:rPr>
        <w:footnoteRef/>
      </w:r>
      <w:r>
        <w:t xml:space="preserve"> </w:t>
      </w:r>
      <w:r w:rsidRPr="00E22EF4">
        <w:t xml:space="preserve">See generally, </w:t>
      </w:r>
      <w:proofErr w:type="spellStart"/>
      <w:r w:rsidRPr="00E22EF4">
        <w:t>Amartya</w:t>
      </w:r>
      <w:proofErr w:type="spellEnd"/>
      <w:r w:rsidRPr="00E22EF4">
        <w:t xml:space="preserve"> Sen and Martha Nussbaum who developed ‘capability approach’, envisaging both the qualities and capabilities held by people and their ability to express and exercise those capabilities in a functioning life</w:t>
      </w:r>
      <w:r w:rsidR="00445419">
        <w:t xml:space="preserve">. </w:t>
      </w:r>
      <w:proofErr w:type="spellStart"/>
      <w:r w:rsidR="00445419">
        <w:t>Amartya</w:t>
      </w:r>
      <w:proofErr w:type="spellEnd"/>
      <w:r w:rsidR="00445419">
        <w:t xml:space="preserve"> Sen, </w:t>
      </w:r>
      <w:r w:rsidR="00445419" w:rsidRPr="00434306">
        <w:rPr>
          <w:i/>
        </w:rPr>
        <w:t>Commodities and Capabilities</w:t>
      </w:r>
      <w:r w:rsidR="00445419">
        <w:t xml:space="preserve"> (OUP 1999); Martha Nussbaum, </w:t>
      </w:r>
      <w:r w:rsidR="00445419" w:rsidRPr="00434306">
        <w:rPr>
          <w:i/>
        </w:rPr>
        <w:t>Frontiers of</w:t>
      </w:r>
      <w:r w:rsidR="00445419">
        <w:t xml:space="preserve"> </w:t>
      </w:r>
      <w:r w:rsidR="00445419" w:rsidRPr="00434306">
        <w:rPr>
          <w:i/>
        </w:rPr>
        <w:t>Justice: Disability, Nationality, Species Membership</w:t>
      </w:r>
      <w:r w:rsidR="00445419">
        <w:t xml:space="preserve"> (Harvard University Press 2006); Martha Nussbaum and </w:t>
      </w:r>
      <w:proofErr w:type="spellStart"/>
      <w:r w:rsidR="00445419">
        <w:t>Amartya</w:t>
      </w:r>
      <w:proofErr w:type="spellEnd"/>
      <w:r w:rsidR="00445419">
        <w:t xml:space="preserve"> Sen, </w:t>
      </w:r>
      <w:r w:rsidR="00445419" w:rsidRPr="00434306">
        <w:rPr>
          <w:i/>
        </w:rPr>
        <w:t>The Quality of Life</w:t>
      </w:r>
      <w:r w:rsidR="00445419">
        <w:t xml:space="preserve"> ( OUP 1992)</w:t>
      </w:r>
    </w:p>
  </w:footnote>
  <w:footnote w:id="17">
    <w:p w:rsidR="0040165D" w:rsidRDefault="0040165D">
      <w:pPr>
        <w:pStyle w:val="FootnoteText"/>
      </w:pPr>
      <w:r>
        <w:rPr>
          <w:rStyle w:val="FootnoteReference"/>
        </w:rPr>
        <w:footnoteRef/>
      </w:r>
      <w:r>
        <w:t xml:space="preserve"> Geraint Ellis, ‘Discourses of Objection: Towards an Understanding of Third-Party Rights in Planning’, 36 </w:t>
      </w:r>
      <w:r w:rsidRPr="00C02CB0">
        <w:rPr>
          <w:i/>
        </w:rPr>
        <w:t>E</w:t>
      </w:r>
      <w:r w:rsidR="00E43864" w:rsidRPr="00C02CB0">
        <w:rPr>
          <w:i/>
        </w:rPr>
        <w:t>nvironmental and Planning A</w:t>
      </w:r>
      <w:r w:rsidR="00E43864">
        <w:t xml:space="preserve"> </w:t>
      </w:r>
      <w:r>
        <w:t>(2004) p. 1553</w:t>
      </w:r>
    </w:p>
  </w:footnote>
  <w:footnote w:id="18">
    <w:p w:rsidR="00906C86" w:rsidRPr="00906C86" w:rsidRDefault="00906C86">
      <w:pPr>
        <w:pStyle w:val="FootnoteText"/>
        <w:rPr>
          <w:b/>
        </w:rPr>
      </w:pPr>
      <w:r>
        <w:rPr>
          <w:rStyle w:val="FootnoteReference"/>
        </w:rPr>
        <w:footnoteRef/>
      </w:r>
      <w:r>
        <w:t xml:space="preserve"> </w:t>
      </w:r>
      <w:r w:rsidR="00C02CB0">
        <w:t>See</w:t>
      </w:r>
      <w:r w:rsidR="00747B92">
        <w:t xml:space="preserve"> Gill,</w:t>
      </w:r>
      <w:r w:rsidR="00C02CB0">
        <w:t xml:space="preserve"> above </w:t>
      </w:r>
      <w:r w:rsidR="00747B92">
        <w:t xml:space="preserve"> </w:t>
      </w:r>
      <w:r w:rsidR="004F03F8">
        <w:t>n. 15</w:t>
      </w:r>
      <w:r w:rsidR="009B1C77">
        <w:t xml:space="preserve">; </w:t>
      </w:r>
      <w:r w:rsidR="00747B92">
        <w:t xml:space="preserve">L. </w:t>
      </w:r>
      <w:proofErr w:type="spellStart"/>
      <w:r w:rsidR="00747B92">
        <w:t>Rajamani</w:t>
      </w:r>
      <w:proofErr w:type="spellEnd"/>
      <w:r w:rsidR="00747B92">
        <w:t xml:space="preserve">, ‘Public Interest Litigation in India: Exploring Issues of Access, Participation, Equity, Effectiveness and Sustainability’ (2007) 19(3) </w:t>
      </w:r>
      <w:r w:rsidR="00747B92" w:rsidRPr="00C02CB0">
        <w:rPr>
          <w:i/>
        </w:rPr>
        <w:t>Journal of Environmental Law</w:t>
      </w:r>
      <w:r w:rsidR="00747B92" w:rsidRPr="00B655AB">
        <w:t xml:space="preserve"> </w:t>
      </w:r>
      <w:r w:rsidR="00747B92">
        <w:t xml:space="preserve">293; B.N. </w:t>
      </w:r>
      <w:proofErr w:type="spellStart"/>
      <w:r w:rsidR="00747B92">
        <w:t>Srikrishna</w:t>
      </w:r>
      <w:proofErr w:type="spellEnd"/>
      <w:r w:rsidR="00747B92">
        <w:t xml:space="preserve">, ‘Judicial Activism- Judges as Social Engineers, Skinning a Cat’ (2005) 8 </w:t>
      </w:r>
      <w:r w:rsidR="00C02CB0">
        <w:rPr>
          <w:i/>
        </w:rPr>
        <w:t>SCC</w:t>
      </w:r>
      <w:r w:rsidR="00747B92" w:rsidRPr="00C02CB0">
        <w:rPr>
          <w:i/>
        </w:rPr>
        <w:t>J</w:t>
      </w:r>
      <w:r w:rsidR="00747B92">
        <w:t xml:space="preserve"> 3</w:t>
      </w:r>
    </w:p>
  </w:footnote>
  <w:footnote w:id="19">
    <w:p w:rsidR="00861F87" w:rsidRDefault="00861F87">
      <w:pPr>
        <w:pStyle w:val="FootnoteText"/>
      </w:pPr>
      <w:r>
        <w:rPr>
          <w:rStyle w:val="FootnoteReference"/>
        </w:rPr>
        <w:footnoteRef/>
      </w:r>
      <w:r>
        <w:t xml:space="preserve"> Law Commission of India, One Hundred an</w:t>
      </w:r>
      <w:r w:rsidR="00C02CB0">
        <w:t xml:space="preserve">d Eight Sixth Report, (2003) </w:t>
      </w:r>
      <w:r>
        <w:t xml:space="preserve"> </w:t>
      </w:r>
      <w:r w:rsidR="00B655AB">
        <w:t>8-9</w:t>
      </w:r>
    </w:p>
  </w:footnote>
  <w:footnote w:id="20">
    <w:p w:rsidR="00E85E1E" w:rsidRDefault="00E85E1E">
      <w:pPr>
        <w:pStyle w:val="FootnoteText"/>
      </w:pPr>
      <w:r>
        <w:rPr>
          <w:rStyle w:val="FootnoteReference"/>
        </w:rPr>
        <w:footnoteRef/>
      </w:r>
      <w:r>
        <w:t xml:space="preserve"> </w:t>
      </w:r>
      <w:r w:rsidRPr="00814CF5">
        <w:rPr>
          <w:rFonts w:cs="TimesNewRomanPSMT"/>
        </w:rPr>
        <w:t>1999</w:t>
      </w:r>
      <w:r w:rsidR="00B33768">
        <w:rPr>
          <w:rFonts w:cs="TimesNewRomanPSMT"/>
        </w:rPr>
        <w:t xml:space="preserve"> </w:t>
      </w:r>
      <w:r w:rsidRPr="00814CF5">
        <w:rPr>
          <w:rFonts w:cs="TimesNewRomanPSMT"/>
        </w:rPr>
        <w:t>(2) SCC 718 and 2001</w:t>
      </w:r>
      <w:r w:rsidR="00B33768">
        <w:rPr>
          <w:rFonts w:cs="TimesNewRomanPSMT"/>
        </w:rPr>
        <w:t xml:space="preserve"> </w:t>
      </w:r>
      <w:r w:rsidRPr="00814CF5">
        <w:rPr>
          <w:rFonts w:cs="TimesNewRomanPSMT"/>
        </w:rPr>
        <w:t>(2)</w:t>
      </w:r>
      <w:r w:rsidR="00B33768">
        <w:rPr>
          <w:rFonts w:cs="TimesNewRomanPSMT"/>
        </w:rPr>
        <w:t xml:space="preserve"> </w:t>
      </w:r>
      <w:r w:rsidRPr="00814CF5">
        <w:rPr>
          <w:rFonts w:cs="TimesNewRomanPSMT"/>
        </w:rPr>
        <w:t>SCC 62</w:t>
      </w:r>
    </w:p>
  </w:footnote>
  <w:footnote w:id="21">
    <w:p w:rsidR="00E85E1E" w:rsidRDefault="00E85E1E">
      <w:pPr>
        <w:pStyle w:val="FootnoteText"/>
      </w:pPr>
      <w:r>
        <w:rPr>
          <w:rStyle w:val="FootnoteReference"/>
        </w:rPr>
        <w:footnoteRef/>
      </w:r>
      <w:r>
        <w:t xml:space="preserve"> </w:t>
      </w:r>
      <w:r>
        <w:rPr>
          <w:rFonts w:cs="TimesNewRomanPSMT"/>
        </w:rPr>
        <w:t>AIR 1987 SC 965</w:t>
      </w:r>
    </w:p>
  </w:footnote>
  <w:footnote w:id="22">
    <w:p w:rsidR="00E85E1E" w:rsidRDefault="00E85E1E">
      <w:pPr>
        <w:pStyle w:val="FootnoteText"/>
      </w:pPr>
      <w:r>
        <w:rPr>
          <w:rStyle w:val="FootnoteReference"/>
        </w:rPr>
        <w:footnoteRef/>
      </w:r>
      <w:r>
        <w:t xml:space="preserve"> </w:t>
      </w:r>
      <w:r w:rsidRPr="00814CF5">
        <w:rPr>
          <w:rFonts w:cs="TimesNewRomanPSMT"/>
        </w:rPr>
        <w:t>1996(</w:t>
      </w:r>
      <w:r>
        <w:rPr>
          <w:rFonts w:cs="TimesNewRomanPSMT"/>
        </w:rPr>
        <w:t>3) SCC 212</w:t>
      </w:r>
    </w:p>
  </w:footnote>
  <w:footnote w:id="23">
    <w:p w:rsidR="00CF4F9A" w:rsidRDefault="00CF4F9A">
      <w:pPr>
        <w:pStyle w:val="FootnoteText"/>
      </w:pPr>
      <w:r>
        <w:rPr>
          <w:rStyle w:val="FootnoteReference"/>
        </w:rPr>
        <w:footnoteRef/>
      </w:r>
      <w:r>
        <w:t xml:space="preserve"> The National Green Tribunal Act, 2010, The Gazette of India Extraordinary (No. 19 0f 2010); </w:t>
      </w:r>
      <w:proofErr w:type="spellStart"/>
      <w:r>
        <w:t>Gitanjali</w:t>
      </w:r>
      <w:proofErr w:type="spellEnd"/>
      <w:r>
        <w:t xml:space="preserve"> Nain Gill, ‘A Green Tribunal for India’ 22 (3) </w:t>
      </w:r>
      <w:r w:rsidRPr="00A621B9">
        <w:rPr>
          <w:i/>
        </w:rPr>
        <w:t>Journal of Environmental Law</w:t>
      </w:r>
      <w:r w:rsidR="00A621B9">
        <w:t xml:space="preserve"> (2010)</w:t>
      </w:r>
      <w:r>
        <w:t xml:space="preserve"> 466-468</w:t>
      </w:r>
    </w:p>
  </w:footnote>
  <w:footnote w:id="24">
    <w:p w:rsidR="007E71AF" w:rsidRPr="0000304E" w:rsidRDefault="00276BF8" w:rsidP="0000304E">
      <w:pPr>
        <w:autoSpaceDE w:val="0"/>
        <w:autoSpaceDN w:val="0"/>
        <w:adjustRightInd w:val="0"/>
        <w:spacing w:after="0" w:line="240" w:lineRule="auto"/>
        <w:rPr>
          <w:rFonts w:ascii="Times New Roman" w:hAnsi="Times New Roman" w:cs="Times New Roman"/>
          <w:sz w:val="19"/>
          <w:szCs w:val="19"/>
        </w:rPr>
      </w:pPr>
      <w:r>
        <w:rPr>
          <w:rStyle w:val="FootnoteReference"/>
        </w:rPr>
        <w:footnoteRef/>
      </w:r>
      <w:r w:rsidR="0000304E">
        <w:t xml:space="preserve"> </w:t>
      </w:r>
      <w:r w:rsidR="0000304E" w:rsidRPr="004F03F8">
        <w:rPr>
          <w:rFonts w:cs="Times New Roman"/>
          <w:i/>
          <w:sz w:val="20"/>
          <w:szCs w:val="20"/>
        </w:rPr>
        <w:t>M.P. Pollution Control Board v. Commissioner Municipal Corporation Bhopal</w:t>
      </w:r>
      <w:r w:rsidR="004F03F8">
        <w:rPr>
          <w:rFonts w:cs="Times New Roman"/>
          <w:sz w:val="20"/>
          <w:szCs w:val="20"/>
        </w:rPr>
        <w:t xml:space="preserve"> </w:t>
      </w:r>
      <w:r w:rsidR="0000304E">
        <w:rPr>
          <w:rFonts w:cs="Times New Roman"/>
          <w:sz w:val="20"/>
          <w:szCs w:val="20"/>
        </w:rPr>
        <w:t>Judgment dated August 8, 2013</w:t>
      </w:r>
    </w:p>
    <w:p w:rsidR="007E71AF" w:rsidRDefault="007E71AF" w:rsidP="002D512F">
      <w:pPr>
        <w:autoSpaceDE w:val="0"/>
        <w:autoSpaceDN w:val="0"/>
        <w:adjustRightInd w:val="0"/>
        <w:spacing w:after="0" w:line="240" w:lineRule="auto"/>
      </w:pPr>
    </w:p>
    <w:p w:rsidR="00276BF8" w:rsidRPr="002D512F" w:rsidRDefault="00276BF8" w:rsidP="002D512F">
      <w:pPr>
        <w:autoSpaceDE w:val="0"/>
        <w:autoSpaceDN w:val="0"/>
        <w:adjustRightInd w:val="0"/>
        <w:spacing w:after="0" w:line="240" w:lineRule="auto"/>
        <w:rPr>
          <w:rFonts w:ascii="Times New Roman" w:hAnsi="Times New Roman" w:cs="Times New Roman"/>
          <w:sz w:val="19"/>
          <w:szCs w:val="19"/>
        </w:rPr>
      </w:pPr>
      <w:r>
        <w:t xml:space="preserve"> </w:t>
      </w:r>
    </w:p>
  </w:footnote>
  <w:footnote w:id="25">
    <w:p w:rsidR="007E71AF" w:rsidRDefault="007E71AF">
      <w:pPr>
        <w:pStyle w:val="FootnoteText"/>
      </w:pPr>
      <w:r>
        <w:rPr>
          <w:rStyle w:val="FootnoteReference"/>
        </w:rPr>
        <w:footnoteRef/>
      </w:r>
      <w:r>
        <w:t xml:space="preserve"> </w:t>
      </w:r>
      <w:r w:rsidRPr="002D512F">
        <w:rPr>
          <w:rFonts w:cs="Times New Roman"/>
        </w:rPr>
        <w:t>Ministry of Envir</w:t>
      </w:r>
      <w:r>
        <w:rPr>
          <w:rFonts w:cs="Times New Roman"/>
        </w:rPr>
        <w:t xml:space="preserve">onment and Forests, Government of India, Notification </w:t>
      </w:r>
      <w:r w:rsidRPr="002D512F">
        <w:rPr>
          <w:rFonts w:cs="Times New Roman"/>
        </w:rPr>
        <w:t>5th May 2011 S.O.1003 E</w:t>
      </w:r>
    </w:p>
  </w:footnote>
  <w:footnote w:id="26">
    <w:p w:rsidR="00126C96" w:rsidRDefault="00126C96">
      <w:pPr>
        <w:pStyle w:val="FootnoteText"/>
      </w:pPr>
      <w:r>
        <w:rPr>
          <w:rStyle w:val="FootnoteReference"/>
        </w:rPr>
        <w:footnoteRef/>
      </w:r>
      <w:r>
        <w:t xml:space="preserve"> </w:t>
      </w:r>
      <w:r w:rsidR="00641BB5">
        <w:t xml:space="preserve">Statement made by </w:t>
      </w:r>
      <w:proofErr w:type="spellStart"/>
      <w:r w:rsidR="00641BB5">
        <w:t>Jairam</w:t>
      </w:r>
      <w:proofErr w:type="spellEnd"/>
      <w:r w:rsidR="00641BB5">
        <w:t xml:space="preserve"> Ramesh, Former Minister of</w:t>
      </w:r>
      <w:r w:rsidR="00075972">
        <w:t xml:space="preserve"> State of the Ministry of</w:t>
      </w:r>
      <w:r w:rsidR="00641BB5">
        <w:t xml:space="preserve"> Environment and Forests</w:t>
      </w:r>
      <w:r w:rsidR="009771FB">
        <w:t xml:space="preserve"> in the Indian Parliament on 5</w:t>
      </w:r>
      <w:r w:rsidR="009771FB" w:rsidRPr="009771FB">
        <w:rPr>
          <w:vertAlign w:val="superscript"/>
        </w:rPr>
        <w:t>th</w:t>
      </w:r>
      <w:r w:rsidR="009771FB">
        <w:t xml:space="preserve"> May 2010, The </w:t>
      </w:r>
      <w:proofErr w:type="spellStart"/>
      <w:r w:rsidR="009771FB">
        <w:t>Rajya</w:t>
      </w:r>
      <w:proofErr w:type="spellEnd"/>
      <w:r w:rsidR="009771FB">
        <w:t xml:space="preserve"> Sabha Debates, p 246</w:t>
      </w:r>
    </w:p>
  </w:footnote>
  <w:footnote w:id="27">
    <w:p w:rsidR="00810649" w:rsidRDefault="00810649">
      <w:pPr>
        <w:pStyle w:val="FootnoteText"/>
      </w:pPr>
      <w:r>
        <w:rPr>
          <w:rStyle w:val="FootnoteReference"/>
        </w:rPr>
        <w:footnoteRef/>
      </w:r>
      <w:r>
        <w:t xml:space="preserve"> </w:t>
      </w:r>
      <w:r w:rsidRPr="00810649">
        <w:t>http://www.wwfindia.org/about_wwf/enablers/cel/national_green_tribunal/</w:t>
      </w:r>
    </w:p>
  </w:footnote>
  <w:footnote w:id="28">
    <w:p w:rsidR="002E596B" w:rsidRDefault="002E596B" w:rsidP="002E596B">
      <w:pPr>
        <w:autoSpaceDE w:val="0"/>
        <w:autoSpaceDN w:val="0"/>
        <w:adjustRightInd w:val="0"/>
        <w:spacing w:after="0" w:line="240" w:lineRule="auto"/>
        <w:rPr>
          <w:rFonts w:ascii="Times New Roman" w:hAnsi="Times New Roman" w:cs="Times New Roman"/>
          <w:sz w:val="19"/>
          <w:szCs w:val="19"/>
        </w:rPr>
      </w:pPr>
      <w:r>
        <w:rPr>
          <w:rStyle w:val="FootnoteReference"/>
        </w:rPr>
        <w:footnoteRef/>
      </w:r>
      <w:r>
        <w:t xml:space="preserve"> </w:t>
      </w:r>
      <w:r w:rsidRPr="002E596B">
        <w:rPr>
          <w:rFonts w:cs="Times New Roman"/>
          <w:sz w:val="20"/>
          <w:szCs w:val="20"/>
        </w:rPr>
        <w:t>Ministry of Environment and Forests</w:t>
      </w:r>
      <w:r>
        <w:rPr>
          <w:rFonts w:cs="Times New Roman"/>
          <w:sz w:val="20"/>
          <w:szCs w:val="20"/>
        </w:rPr>
        <w:t>, Government of India,</w:t>
      </w:r>
      <w:r w:rsidRPr="002E596B">
        <w:rPr>
          <w:rFonts w:cs="Times New Roman"/>
          <w:sz w:val="20"/>
          <w:szCs w:val="20"/>
        </w:rPr>
        <w:t xml:space="preserve"> Notification 17th August 2011 S.O.1908 E</w:t>
      </w:r>
    </w:p>
    <w:p w:rsidR="002E596B" w:rsidRDefault="002E596B" w:rsidP="002E596B">
      <w:pPr>
        <w:pStyle w:val="FootnoteText"/>
      </w:pPr>
    </w:p>
  </w:footnote>
  <w:footnote w:id="29">
    <w:p w:rsidR="009974F6" w:rsidRDefault="009974F6">
      <w:pPr>
        <w:pStyle w:val="FootnoteText"/>
      </w:pPr>
      <w:r>
        <w:rPr>
          <w:rStyle w:val="FootnoteReference"/>
        </w:rPr>
        <w:footnoteRef/>
      </w:r>
      <w:r>
        <w:t xml:space="preserve"> </w:t>
      </w:r>
      <w:r w:rsidR="008245DC">
        <w:t>See, above n. 27</w:t>
      </w:r>
    </w:p>
  </w:footnote>
  <w:footnote w:id="30">
    <w:p w:rsidR="009974F6" w:rsidRPr="009974F6" w:rsidRDefault="009974F6" w:rsidP="009974F6">
      <w:pPr>
        <w:autoSpaceDE w:val="0"/>
        <w:autoSpaceDN w:val="0"/>
        <w:adjustRightInd w:val="0"/>
        <w:spacing w:after="0" w:line="240" w:lineRule="auto"/>
        <w:rPr>
          <w:rFonts w:cs="Times New Roman"/>
          <w:sz w:val="20"/>
          <w:szCs w:val="20"/>
        </w:rPr>
      </w:pPr>
      <w:r>
        <w:rPr>
          <w:rStyle w:val="FootnoteReference"/>
        </w:rPr>
        <w:footnoteRef/>
      </w:r>
      <w:r>
        <w:t xml:space="preserve"> The n</w:t>
      </w:r>
      <w:r w:rsidRPr="009974F6">
        <w:rPr>
          <w:sz w:val="20"/>
          <w:szCs w:val="20"/>
        </w:rPr>
        <w:t xml:space="preserve">orthern zone covers the states of </w:t>
      </w:r>
      <w:r w:rsidRPr="009974F6">
        <w:rPr>
          <w:rFonts w:cs="Times New Roman"/>
          <w:sz w:val="20"/>
          <w:szCs w:val="20"/>
        </w:rPr>
        <w:t xml:space="preserve">Uttar Pradesh, </w:t>
      </w:r>
      <w:proofErr w:type="spellStart"/>
      <w:r w:rsidRPr="009974F6">
        <w:rPr>
          <w:rFonts w:cs="Times New Roman"/>
          <w:sz w:val="20"/>
          <w:szCs w:val="20"/>
        </w:rPr>
        <w:t>Uttarakhand</w:t>
      </w:r>
      <w:proofErr w:type="spellEnd"/>
      <w:r w:rsidRPr="009974F6">
        <w:rPr>
          <w:rFonts w:cs="Times New Roman"/>
          <w:sz w:val="20"/>
          <w:szCs w:val="20"/>
        </w:rPr>
        <w:t>, Punjab, Haryana, Himachal Pradesh, National Capital Territory of Delhi and Union Territory of Delhi</w:t>
      </w:r>
    </w:p>
  </w:footnote>
  <w:footnote w:id="31">
    <w:p w:rsidR="009974F6" w:rsidRPr="009974F6" w:rsidRDefault="009974F6" w:rsidP="009974F6">
      <w:pPr>
        <w:autoSpaceDE w:val="0"/>
        <w:autoSpaceDN w:val="0"/>
        <w:adjustRightInd w:val="0"/>
        <w:spacing w:after="0" w:line="240" w:lineRule="auto"/>
        <w:rPr>
          <w:rFonts w:cs="Times New Roman"/>
          <w:sz w:val="20"/>
          <w:szCs w:val="20"/>
        </w:rPr>
      </w:pPr>
      <w:r>
        <w:rPr>
          <w:rStyle w:val="FootnoteReference"/>
        </w:rPr>
        <w:footnoteRef/>
      </w:r>
      <w:r>
        <w:t xml:space="preserve"> </w:t>
      </w:r>
      <w:r w:rsidRPr="009974F6">
        <w:rPr>
          <w:sz w:val="20"/>
          <w:szCs w:val="20"/>
        </w:rPr>
        <w:t xml:space="preserve">The west includes </w:t>
      </w:r>
      <w:r w:rsidRPr="009974F6">
        <w:rPr>
          <w:rFonts w:cs="Times New Roman"/>
          <w:sz w:val="20"/>
          <w:szCs w:val="20"/>
        </w:rPr>
        <w:t xml:space="preserve">Maharashtra, Gujarat, Goa with Union Territories of Daman and Diu and </w:t>
      </w:r>
      <w:proofErr w:type="spellStart"/>
      <w:r w:rsidRPr="009974F6">
        <w:rPr>
          <w:rFonts w:cs="Times New Roman"/>
          <w:sz w:val="20"/>
          <w:szCs w:val="20"/>
        </w:rPr>
        <w:t>Dadar</w:t>
      </w:r>
      <w:proofErr w:type="spellEnd"/>
      <w:r w:rsidRPr="009974F6">
        <w:rPr>
          <w:rFonts w:cs="Times New Roman"/>
          <w:sz w:val="20"/>
          <w:szCs w:val="20"/>
        </w:rPr>
        <w:t xml:space="preserve"> and</w:t>
      </w:r>
    </w:p>
    <w:p w:rsidR="009974F6" w:rsidRPr="009974F6" w:rsidRDefault="009974F6" w:rsidP="009974F6">
      <w:pPr>
        <w:pStyle w:val="FootnoteText"/>
      </w:pPr>
      <w:r>
        <w:rPr>
          <w:rFonts w:cs="Times New Roman"/>
        </w:rPr>
        <w:t>Nagar Haveli</w:t>
      </w:r>
    </w:p>
  </w:footnote>
  <w:footnote w:id="32">
    <w:p w:rsidR="00521212" w:rsidRPr="003A00FD" w:rsidRDefault="00521212" w:rsidP="003A00FD">
      <w:pPr>
        <w:autoSpaceDE w:val="0"/>
        <w:autoSpaceDN w:val="0"/>
        <w:adjustRightInd w:val="0"/>
        <w:spacing w:after="0" w:line="240" w:lineRule="auto"/>
        <w:rPr>
          <w:rFonts w:ascii="Times New Roman" w:hAnsi="Times New Roman" w:cs="Times New Roman"/>
          <w:sz w:val="19"/>
          <w:szCs w:val="19"/>
        </w:rPr>
      </w:pPr>
      <w:r>
        <w:rPr>
          <w:rStyle w:val="FootnoteReference"/>
        </w:rPr>
        <w:footnoteRef/>
      </w:r>
      <w:r>
        <w:t xml:space="preserve"> </w:t>
      </w:r>
      <w:r w:rsidR="003A00FD" w:rsidRPr="003A00FD">
        <w:rPr>
          <w:sz w:val="20"/>
          <w:szCs w:val="20"/>
        </w:rPr>
        <w:t xml:space="preserve">The central zone </w:t>
      </w:r>
      <w:r w:rsidR="003A00FD" w:rsidRPr="003A00FD">
        <w:rPr>
          <w:rFonts w:cs="Times New Roman"/>
          <w:sz w:val="20"/>
          <w:szCs w:val="20"/>
        </w:rPr>
        <w:t>covers</w:t>
      </w:r>
      <w:r w:rsidR="003A00FD">
        <w:rPr>
          <w:rFonts w:cs="Times New Roman"/>
          <w:sz w:val="20"/>
          <w:szCs w:val="20"/>
        </w:rPr>
        <w:t xml:space="preserve"> the states of</w:t>
      </w:r>
      <w:r w:rsidR="003A00FD" w:rsidRPr="003A00FD">
        <w:rPr>
          <w:rFonts w:cs="Times New Roman"/>
          <w:sz w:val="20"/>
          <w:szCs w:val="20"/>
        </w:rPr>
        <w:t xml:space="preserve"> Madhya Pradesh, Rajasthan and </w:t>
      </w:r>
      <w:proofErr w:type="spellStart"/>
      <w:r w:rsidR="003A00FD" w:rsidRPr="003A00FD">
        <w:rPr>
          <w:rFonts w:cs="Times New Roman"/>
          <w:sz w:val="20"/>
          <w:szCs w:val="20"/>
        </w:rPr>
        <w:t>Chattisgarh</w:t>
      </w:r>
      <w:proofErr w:type="spellEnd"/>
    </w:p>
  </w:footnote>
  <w:footnote w:id="33">
    <w:p w:rsidR="00AD39F1" w:rsidRPr="00AD39F1" w:rsidRDefault="00AD39F1" w:rsidP="00AD39F1">
      <w:pPr>
        <w:autoSpaceDE w:val="0"/>
        <w:autoSpaceDN w:val="0"/>
        <w:adjustRightInd w:val="0"/>
        <w:spacing w:after="0" w:line="240" w:lineRule="auto"/>
        <w:rPr>
          <w:rFonts w:cs="Times New Roman"/>
          <w:sz w:val="20"/>
          <w:szCs w:val="20"/>
        </w:rPr>
      </w:pPr>
      <w:r>
        <w:rPr>
          <w:rStyle w:val="FootnoteReference"/>
        </w:rPr>
        <w:footnoteRef/>
      </w:r>
      <w:r>
        <w:t xml:space="preserve"> </w:t>
      </w:r>
      <w:r w:rsidRPr="00AD39F1">
        <w:rPr>
          <w:sz w:val="20"/>
          <w:szCs w:val="20"/>
        </w:rPr>
        <w:t xml:space="preserve">The southern zone serves the areas of </w:t>
      </w:r>
      <w:r w:rsidRPr="00AD39F1">
        <w:rPr>
          <w:rFonts w:cs="Times New Roman"/>
          <w:sz w:val="20"/>
          <w:szCs w:val="20"/>
        </w:rPr>
        <w:t>serves Kerala, Tamil Nadu, Andhra Pradesh, Karnataka, Union Territories of Puducherry and Lakshadweep</w:t>
      </w:r>
    </w:p>
  </w:footnote>
  <w:footnote w:id="34">
    <w:p w:rsidR="00F975C5" w:rsidRPr="00F975C5" w:rsidRDefault="00F975C5" w:rsidP="00F975C5">
      <w:pPr>
        <w:autoSpaceDE w:val="0"/>
        <w:autoSpaceDN w:val="0"/>
        <w:adjustRightInd w:val="0"/>
        <w:spacing w:after="0" w:line="240" w:lineRule="auto"/>
        <w:rPr>
          <w:rFonts w:ascii="Times New Roman" w:hAnsi="Times New Roman" w:cs="Times New Roman"/>
          <w:sz w:val="19"/>
          <w:szCs w:val="19"/>
        </w:rPr>
      </w:pPr>
      <w:r>
        <w:rPr>
          <w:rStyle w:val="FootnoteReference"/>
        </w:rPr>
        <w:footnoteRef/>
      </w:r>
      <w:r>
        <w:t xml:space="preserve"> </w:t>
      </w:r>
      <w:r w:rsidRPr="00F975C5">
        <w:rPr>
          <w:sz w:val="20"/>
          <w:szCs w:val="20"/>
        </w:rPr>
        <w:t xml:space="preserve">The east covers </w:t>
      </w:r>
      <w:r w:rsidRPr="00F975C5">
        <w:rPr>
          <w:rFonts w:cs="Times New Roman"/>
          <w:sz w:val="20"/>
          <w:szCs w:val="20"/>
        </w:rPr>
        <w:t>West Bengal, Orissa, Bihar, Jharkhand and the seven sister States of the North-Eastern region, Sikkim, Andaman and the Nicobar Islands</w:t>
      </w:r>
    </w:p>
  </w:footnote>
  <w:footnote w:id="35">
    <w:p w:rsidR="00B63136" w:rsidRPr="00D31392" w:rsidRDefault="00B63136" w:rsidP="00D31392">
      <w:pPr>
        <w:autoSpaceDE w:val="0"/>
        <w:autoSpaceDN w:val="0"/>
        <w:adjustRightInd w:val="0"/>
        <w:spacing w:after="0" w:line="240" w:lineRule="auto"/>
        <w:rPr>
          <w:rFonts w:ascii="Times New Roman" w:hAnsi="Times New Roman" w:cs="Times New Roman"/>
          <w:sz w:val="19"/>
          <w:szCs w:val="19"/>
        </w:rPr>
      </w:pPr>
      <w:r>
        <w:rPr>
          <w:rStyle w:val="FootnoteReference"/>
        </w:rPr>
        <w:footnoteRef/>
      </w:r>
      <w:r>
        <w:t xml:space="preserve"> </w:t>
      </w:r>
      <w:r w:rsidRPr="00D31392">
        <w:rPr>
          <w:sz w:val="20"/>
          <w:szCs w:val="20"/>
        </w:rPr>
        <w:t xml:space="preserve">Section 4(1) of the NGT Act 2010 provides that the </w:t>
      </w:r>
      <w:r w:rsidRPr="00D31392">
        <w:rPr>
          <w:rFonts w:cs="Times New Roman"/>
          <w:sz w:val="20"/>
          <w:szCs w:val="20"/>
        </w:rPr>
        <w:t>NGT consists of a full time Chairperson, not</w:t>
      </w:r>
      <w:r w:rsidR="00D31392" w:rsidRPr="00D31392">
        <w:rPr>
          <w:rFonts w:cs="Times New Roman"/>
          <w:sz w:val="20"/>
          <w:szCs w:val="20"/>
        </w:rPr>
        <w:t xml:space="preserve"> less than ten but subject to a </w:t>
      </w:r>
      <w:r w:rsidRPr="00D31392">
        <w:rPr>
          <w:rFonts w:cs="Times New Roman"/>
          <w:sz w:val="20"/>
          <w:szCs w:val="20"/>
        </w:rPr>
        <w:t>maximum of twent</w:t>
      </w:r>
      <w:r w:rsidR="00D31392" w:rsidRPr="00D31392">
        <w:rPr>
          <w:rFonts w:cs="Times New Roman"/>
          <w:sz w:val="20"/>
          <w:szCs w:val="20"/>
        </w:rPr>
        <w:t xml:space="preserve">y full time judicial and expert </w:t>
      </w:r>
      <w:r w:rsidRPr="00D31392">
        <w:rPr>
          <w:rFonts w:cs="Times New Roman"/>
          <w:sz w:val="20"/>
          <w:szCs w:val="20"/>
        </w:rPr>
        <w:t>members</w:t>
      </w:r>
      <w:r w:rsidR="00D31392">
        <w:rPr>
          <w:rFonts w:cs="Times New Roman"/>
          <w:sz w:val="20"/>
          <w:szCs w:val="20"/>
        </w:rPr>
        <w:t xml:space="preserve">. </w:t>
      </w:r>
      <w:r w:rsidR="00772BD8">
        <w:rPr>
          <w:rFonts w:cs="Times New Roman"/>
          <w:sz w:val="20"/>
          <w:szCs w:val="20"/>
        </w:rPr>
        <w:t>Section 5(2) of the NGT Act 2010 spells out that the judicial members will have requisite legal expertise and experience and the expert members will include either technical experts from life sciences, physical science, engineering or technology.</w:t>
      </w:r>
      <w:r w:rsidR="006064EE">
        <w:rPr>
          <w:rFonts w:cs="Times New Roman"/>
          <w:sz w:val="20"/>
          <w:szCs w:val="20"/>
        </w:rPr>
        <w:t xml:space="preserve"> For example, Mr .Justice </w:t>
      </w:r>
      <w:proofErr w:type="spellStart"/>
      <w:r w:rsidR="006064EE">
        <w:rPr>
          <w:rFonts w:cs="Times New Roman"/>
          <w:sz w:val="20"/>
          <w:szCs w:val="20"/>
        </w:rPr>
        <w:t>Swatanter</w:t>
      </w:r>
      <w:proofErr w:type="spellEnd"/>
      <w:r w:rsidR="006064EE">
        <w:rPr>
          <w:rFonts w:cs="Times New Roman"/>
          <w:sz w:val="20"/>
          <w:szCs w:val="20"/>
        </w:rPr>
        <w:t xml:space="preserve"> Kumar, the Chairperson of NGT was a former judge of the Supreme Court of India and Mr Professor R </w:t>
      </w:r>
      <w:proofErr w:type="spellStart"/>
      <w:r w:rsidR="006064EE">
        <w:rPr>
          <w:rFonts w:cs="Times New Roman"/>
          <w:sz w:val="20"/>
          <w:szCs w:val="20"/>
        </w:rPr>
        <w:t>Nagendran</w:t>
      </w:r>
      <w:proofErr w:type="spellEnd"/>
      <w:r w:rsidR="004F1B6C">
        <w:rPr>
          <w:rFonts w:cs="Times New Roman"/>
          <w:sz w:val="20"/>
          <w:szCs w:val="20"/>
        </w:rPr>
        <w:t>, an expert member,</w:t>
      </w:r>
      <w:r w:rsidR="006064EE">
        <w:rPr>
          <w:rFonts w:cs="Times New Roman"/>
          <w:sz w:val="20"/>
          <w:szCs w:val="20"/>
        </w:rPr>
        <w:t xml:space="preserve"> worked as a professor environmental</w:t>
      </w:r>
      <w:r w:rsidR="00CF19EA">
        <w:rPr>
          <w:rFonts w:cs="Times New Roman"/>
          <w:sz w:val="20"/>
          <w:szCs w:val="20"/>
        </w:rPr>
        <w:t xml:space="preserve"> science/engineering</w:t>
      </w:r>
    </w:p>
  </w:footnote>
  <w:footnote w:id="36">
    <w:p w:rsidR="00C815A0" w:rsidRPr="00B70C72" w:rsidRDefault="008E72CA" w:rsidP="00C815A0">
      <w:pPr>
        <w:autoSpaceDE w:val="0"/>
        <w:autoSpaceDN w:val="0"/>
        <w:adjustRightInd w:val="0"/>
        <w:spacing w:after="0" w:line="240" w:lineRule="auto"/>
        <w:rPr>
          <w:rFonts w:cs="Times New Roman"/>
          <w:sz w:val="20"/>
          <w:szCs w:val="20"/>
        </w:rPr>
      </w:pPr>
      <w:r>
        <w:rPr>
          <w:rStyle w:val="FootnoteReference"/>
        </w:rPr>
        <w:footnoteRef/>
      </w:r>
      <w:r>
        <w:t xml:space="preserve"> </w:t>
      </w:r>
      <w:r w:rsidR="005C74B7">
        <w:t>Jud</w:t>
      </w:r>
      <w:r w:rsidR="00B70C72">
        <w:t>g</w:t>
      </w:r>
      <w:r w:rsidR="005C74B7">
        <w:t>ment dated</w:t>
      </w:r>
      <w:r w:rsidR="00B70C72">
        <w:t xml:space="preserve"> December</w:t>
      </w:r>
      <w:r w:rsidR="00C815A0">
        <w:t xml:space="preserve"> 14, 2011</w:t>
      </w:r>
    </w:p>
    <w:p w:rsidR="008E72CA" w:rsidRPr="00B70C72" w:rsidRDefault="008E72CA" w:rsidP="00B70C72">
      <w:pPr>
        <w:autoSpaceDE w:val="0"/>
        <w:autoSpaceDN w:val="0"/>
        <w:adjustRightInd w:val="0"/>
        <w:spacing w:after="0" w:line="240" w:lineRule="auto"/>
        <w:rPr>
          <w:rFonts w:cs="Times New Roman"/>
          <w:sz w:val="20"/>
          <w:szCs w:val="20"/>
        </w:rPr>
      </w:pPr>
    </w:p>
  </w:footnote>
  <w:footnote w:id="37">
    <w:p w:rsidR="00F7074A" w:rsidRDefault="00F7074A">
      <w:pPr>
        <w:pStyle w:val="FootnoteText"/>
      </w:pPr>
      <w:r>
        <w:rPr>
          <w:rStyle w:val="FootnoteReference"/>
        </w:rPr>
        <w:footnoteRef/>
      </w:r>
      <w:r>
        <w:t xml:space="preserve"> </w:t>
      </w:r>
      <w:r w:rsidRPr="00915327">
        <w:rPr>
          <w:rFonts w:cs="AdvT143"/>
        </w:rPr>
        <w:t>The enactments in Schedule 1 include The Water (Prevention and Control of Pollution) Act 1974: The Water (Prevention and Control of Pollution) Cess Act 1977; The Forests (Conservation) Act 1980; The Air (Prevention and Control of Pollution) Act 1981; The Environment (Protection) Act 1986; The Public Liability Insurance Act 1981 and Th</w:t>
      </w:r>
      <w:r>
        <w:rPr>
          <w:rFonts w:cs="AdvT143"/>
        </w:rPr>
        <w:t>e Biological Diversity Act 2002</w:t>
      </w:r>
    </w:p>
  </w:footnote>
  <w:footnote w:id="38">
    <w:p w:rsidR="00793ABB" w:rsidRDefault="00793ABB">
      <w:pPr>
        <w:pStyle w:val="FootnoteText"/>
      </w:pPr>
      <w:r>
        <w:rPr>
          <w:rStyle w:val="FootnoteReference"/>
        </w:rPr>
        <w:footnoteRef/>
      </w:r>
      <w:r>
        <w:t xml:space="preserve"> </w:t>
      </w:r>
      <w:r w:rsidR="00096457" w:rsidRPr="00E61B3F">
        <w:rPr>
          <w:rFonts w:cs="Arial"/>
          <w:bCs/>
          <w:i/>
          <w:iCs/>
          <w:color w:val="000000"/>
        </w:rPr>
        <w:t>M.P. Pollution Control Board v. Staller House</w:t>
      </w:r>
      <w:r w:rsidR="00096457">
        <w:rPr>
          <w:rFonts w:cs="Arial"/>
          <w:bCs/>
          <w:iCs/>
          <w:color w:val="000000"/>
        </w:rPr>
        <w:t xml:space="preserve"> Judgment dated August 8, 2013</w:t>
      </w:r>
    </w:p>
  </w:footnote>
  <w:footnote w:id="39">
    <w:p w:rsidR="00793ABB" w:rsidRDefault="00793ABB">
      <w:pPr>
        <w:pStyle w:val="FootnoteText"/>
      </w:pPr>
      <w:r>
        <w:rPr>
          <w:rStyle w:val="FootnoteReference"/>
        </w:rPr>
        <w:footnoteRef/>
      </w:r>
      <w:r>
        <w:t xml:space="preserve"> Section 2(m) NGT Act 2010</w:t>
      </w:r>
    </w:p>
  </w:footnote>
  <w:footnote w:id="40">
    <w:p w:rsidR="000378FA" w:rsidRDefault="000378FA">
      <w:pPr>
        <w:pStyle w:val="FootnoteText"/>
      </w:pPr>
      <w:r>
        <w:rPr>
          <w:rStyle w:val="FootnoteReference"/>
        </w:rPr>
        <w:footnoteRef/>
      </w:r>
      <w:r>
        <w:t xml:space="preserve"> See, above n. 37</w:t>
      </w:r>
    </w:p>
  </w:footnote>
  <w:footnote w:id="41">
    <w:p w:rsidR="0015539F" w:rsidRDefault="0015539F">
      <w:pPr>
        <w:pStyle w:val="FootnoteText"/>
      </w:pPr>
      <w:r>
        <w:rPr>
          <w:rStyle w:val="FootnoteReference"/>
        </w:rPr>
        <w:footnoteRef/>
      </w:r>
      <w:r>
        <w:t xml:space="preserve"> </w:t>
      </w:r>
      <w:r w:rsidRPr="00511B07">
        <w:rPr>
          <w:rFonts w:cs="Arial"/>
          <w:bCs/>
          <w:i/>
          <w:iCs/>
          <w:color w:val="000000"/>
        </w:rPr>
        <w:t>M/</w:t>
      </w:r>
      <w:proofErr w:type="spellStart"/>
      <w:r w:rsidRPr="00511B07">
        <w:rPr>
          <w:rFonts w:cs="Arial"/>
          <w:bCs/>
          <w:i/>
          <w:iCs/>
          <w:color w:val="000000"/>
        </w:rPr>
        <w:t>s.P</w:t>
      </w:r>
      <w:proofErr w:type="spellEnd"/>
      <w:r w:rsidRPr="00511B07">
        <w:rPr>
          <w:rFonts w:cs="Arial"/>
          <w:bCs/>
          <w:i/>
          <w:iCs/>
          <w:color w:val="000000"/>
        </w:rPr>
        <w:t xml:space="preserve">. </w:t>
      </w:r>
      <w:proofErr w:type="spellStart"/>
      <w:r w:rsidRPr="00511B07">
        <w:rPr>
          <w:rFonts w:cs="Arial"/>
          <w:bCs/>
          <w:i/>
          <w:iCs/>
          <w:color w:val="000000"/>
        </w:rPr>
        <w:t>Manokaran</w:t>
      </w:r>
      <w:proofErr w:type="spellEnd"/>
      <w:r w:rsidRPr="00511B07">
        <w:rPr>
          <w:rFonts w:cs="Arial"/>
          <w:bCs/>
          <w:i/>
          <w:iCs/>
          <w:color w:val="000000"/>
        </w:rPr>
        <w:t xml:space="preserve"> Power Loom v. Tamil Nadu Pollution Control Board</w:t>
      </w:r>
      <w:r w:rsidR="00511B07">
        <w:rPr>
          <w:rFonts w:cs="Arial"/>
          <w:bCs/>
          <w:iCs/>
          <w:color w:val="000000"/>
        </w:rPr>
        <w:t xml:space="preserve"> </w:t>
      </w:r>
      <w:r>
        <w:rPr>
          <w:rFonts w:cs="Arial"/>
          <w:bCs/>
          <w:iCs/>
          <w:color w:val="000000"/>
        </w:rPr>
        <w:t>Judgment dated February 15, 2012</w:t>
      </w:r>
    </w:p>
  </w:footnote>
  <w:footnote w:id="42">
    <w:p w:rsidR="00827A24" w:rsidRDefault="00827A24">
      <w:pPr>
        <w:pStyle w:val="FootnoteText"/>
      </w:pPr>
      <w:r>
        <w:rPr>
          <w:rStyle w:val="FootnoteReference"/>
        </w:rPr>
        <w:footnoteRef/>
      </w:r>
      <w:r>
        <w:t xml:space="preserve"> </w:t>
      </w:r>
      <w:proofErr w:type="spellStart"/>
      <w:r w:rsidRPr="001D44A3">
        <w:rPr>
          <w:rFonts w:cs="Arial"/>
          <w:bCs/>
          <w:i/>
          <w:iCs/>
        </w:rPr>
        <w:t>Nisarga</w:t>
      </w:r>
      <w:proofErr w:type="spellEnd"/>
      <w:r w:rsidRPr="001D44A3">
        <w:rPr>
          <w:rFonts w:cs="Arial"/>
          <w:bCs/>
          <w:i/>
          <w:iCs/>
        </w:rPr>
        <w:t xml:space="preserve"> N</w:t>
      </w:r>
      <w:r w:rsidR="001D44A3" w:rsidRPr="001D44A3">
        <w:rPr>
          <w:rFonts w:cs="Arial"/>
          <w:bCs/>
          <w:i/>
          <w:iCs/>
        </w:rPr>
        <w:t xml:space="preserve">ature Club v. S.B. </w:t>
      </w:r>
      <w:proofErr w:type="spellStart"/>
      <w:r w:rsidR="001D44A3" w:rsidRPr="001D44A3">
        <w:rPr>
          <w:rFonts w:cs="Arial"/>
          <w:bCs/>
          <w:i/>
          <w:iCs/>
        </w:rPr>
        <w:t>Prabhudessai</w:t>
      </w:r>
      <w:proofErr w:type="spellEnd"/>
      <w:r>
        <w:rPr>
          <w:rFonts w:cs="Arial"/>
          <w:bCs/>
          <w:iCs/>
        </w:rPr>
        <w:t xml:space="preserve"> Judgment dated May 31, 2013</w:t>
      </w:r>
    </w:p>
  </w:footnote>
  <w:footnote w:id="43">
    <w:p w:rsidR="0058241D" w:rsidRDefault="0058241D">
      <w:pPr>
        <w:pStyle w:val="FootnoteText"/>
      </w:pPr>
      <w:r>
        <w:rPr>
          <w:rStyle w:val="FootnoteReference"/>
        </w:rPr>
        <w:footnoteRef/>
      </w:r>
      <w:r>
        <w:t xml:space="preserve"> </w:t>
      </w:r>
      <w:r w:rsidRPr="0058241D">
        <w:rPr>
          <w:rFonts w:cs="Arial"/>
        </w:rPr>
        <w:t>Section 19(</w:t>
      </w:r>
      <w:proofErr w:type="spellStart"/>
      <w:r w:rsidRPr="0058241D">
        <w:rPr>
          <w:rFonts w:cs="Arial"/>
        </w:rPr>
        <w:t>i</w:t>
      </w:r>
      <w:proofErr w:type="spellEnd"/>
      <w:r w:rsidRPr="0058241D">
        <w:rPr>
          <w:rFonts w:cs="Arial"/>
        </w:rPr>
        <w:t>) NGT Act 2010</w:t>
      </w:r>
      <w:r w:rsidR="005468A7">
        <w:rPr>
          <w:rFonts w:cs="Arial"/>
        </w:rPr>
        <w:t xml:space="preserve">; </w:t>
      </w:r>
      <w:r w:rsidR="005468A7" w:rsidRPr="001D44A3">
        <w:rPr>
          <w:rFonts w:cs="Arial"/>
          <w:bCs/>
          <w:i/>
          <w:iCs/>
        </w:rPr>
        <w:t xml:space="preserve">R </w:t>
      </w:r>
      <w:proofErr w:type="spellStart"/>
      <w:r w:rsidR="005468A7" w:rsidRPr="001D44A3">
        <w:rPr>
          <w:rFonts w:cs="Arial"/>
          <w:bCs/>
          <w:i/>
          <w:iCs/>
        </w:rPr>
        <w:t>Veermani</w:t>
      </w:r>
      <w:proofErr w:type="spellEnd"/>
      <w:r w:rsidR="005468A7" w:rsidRPr="001D44A3">
        <w:rPr>
          <w:rFonts w:cs="Arial"/>
          <w:bCs/>
          <w:i/>
          <w:iCs/>
        </w:rPr>
        <w:t xml:space="preserve"> v. Secretary</w:t>
      </w:r>
      <w:r w:rsidR="005468A7" w:rsidRPr="001D44A3">
        <w:rPr>
          <w:rFonts w:cs="Arial"/>
          <w:i/>
          <w:u w:val="single"/>
        </w:rPr>
        <w:t xml:space="preserve"> </w:t>
      </w:r>
      <w:r w:rsidR="001D44A3" w:rsidRPr="001D44A3">
        <w:rPr>
          <w:rFonts w:cs="Arial"/>
          <w:bCs/>
          <w:i/>
          <w:iCs/>
        </w:rPr>
        <w:t>Public Works Department, Chennai</w:t>
      </w:r>
      <w:r w:rsidR="005468A7">
        <w:rPr>
          <w:rFonts w:cs="Arial"/>
          <w:bCs/>
          <w:iCs/>
        </w:rPr>
        <w:t xml:space="preserve"> Judgment dated February 6, 2013</w:t>
      </w:r>
    </w:p>
  </w:footnote>
  <w:footnote w:id="44">
    <w:p w:rsidR="00255C4D" w:rsidRPr="002B3004" w:rsidRDefault="0055220E" w:rsidP="00255C4D">
      <w:pPr>
        <w:autoSpaceDE w:val="0"/>
        <w:autoSpaceDN w:val="0"/>
        <w:adjustRightInd w:val="0"/>
        <w:spacing w:after="0" w:line="240" w:lineRule="auto"/>
        <w:rPr>
          <w:rFonts w:ascii="Times New Roman" w:hAnsi="Times New Roman" w:cs="Times New Roman"/>
          <w:sz w:val="19"/>
          <w:szCs w:val="19"/>
        </w:rPr>
      </w:pPr>
      <w:r>
        <w:rPr>
          <w:rStyle w:val="FootnoteReference"/>
        </w:rPr>
        <w:footnoteRef/>
      </w:r>
      <w:r>
        <w:t xml:space="preserve"> </w:t>
      </w:r>
      <w:r w:rsidR="002A4ADD" w:rsidRPr="002A4ADD">
        <w:rPr>
          <w:sz w:val="20"/>
          <w:szCs w:val="20"/>
        </w:rPr>
        <w:t>Section 18(3), NGT Act  2010</w:t>
      </w:r>
    </w:p>
    <w:p w:rsidR="0055220E" w:rsidRPr="002B3004" w:rsidRDefault="0055220E" w:rsidP="002B3004">
      <w:pPr>
        <w:autoSpaceDE w:val="0"/>
        <w:autoSpaceDN w:val="0"/>
        <w:adjustRightInd w:val="0"/>
        <w:spacing w:after="0" w:line="240" w:lineRule="auto"/>
        <w:rPr>
          <w:rFonts w:ascii="Times New Roman" w:hAnsi="Times New Roman" w:cs="Times New Roman"/>
          <w:sz w:val="19"/>
          <w:szCs w:val="19"/>
        </w:rPr>
      </w:pPr>
    </w:p>
  </w:footnote>
  <w:footnote w:id="45">
    <w:p w:rsidR="0055220E" w:rsidRPr="00A274BB" w:rsidRDefault="0055220E" w:rsidP="00A274BB">
      <w:pPr>
        <w:autoSpaceDE w:val="0"/>
        <w:autoSpaceDN w:val="0"/>
        <w:adjustRightInd w:val="0"/>
        <w:spacing w:after="0" w:line="240" w:lineRule="auto"/>
        <w:rPr>
          <w:rFonts w:cs="Times New Roman"/>
          <w:sz w:val="20"/>
          <w:szCs w:val="20"/>
        </w:rPr>
      </w:pPr>
      <w:r>
        <w:rPr>
          <w:rStyle w:val="FootnoteReference"/>
        </w:rPr>
        <w:footnoteRef/>
      </w:r>
      <w:r w:rsidR="00255C4D" w:rsidRPr="002B3004">
        <w:rPr>
          <w:rFonts w:cs="Times New Roman"/>
          <w:sz w:val="20"/>
          <w:szCs w:val="20"/>
        </w:rPr>
        <w:t xml:space="preserve"> R</w:t>
      </w:r>
      <w:r w:rsidR="00A274BB">
        <w:rPr>
          <w:rFonts w:cs="Times New Roman"/>
          <w:sz w:val="20"/>
          <w:szCs w:val="20"/>
        </w:rPr>
        <w:t>obert S Moog, ‘Delays in the Indian Court System: Why the Judges Don’t take Control’ (1992) 16</w:t>
      </w:r>
      <w:r w:rsidR="00255C4D" w:rsidRPr="002B3004">
        <w:rPr>
          <w:rFonts w:cs="Times New Roman"/>
          <w:sz w:val="20"/>
          <w:szCs w:val="20"/>
        </w:rPr>
        <w:t xml:space="preserve"> </w:t>
      </w:r>
      <w:r w:rsidR="00255C4D" w:rsidRPr="00A274BB">
        <w:rPr>
          <w:rFonts w:cs="Times New Roman"/>
          <w:i/>
          <w:sz w:val="20"/>
          <w:szCs w:val="20"/>
        </w:rPr>
        <w:t>Justice System</w:t>
      </w:r>
      <w:r w:rsidR="00255C4D" w:rsidRPr="002B3004">
        <w:rPr>
          <w:rFonts w:cs="Times New Roman"/>
          <w:sz w:val="20"/>
          <w:szCs w:val="20"/>
        </w:rPr>
        <w:t xml:space="preserve"> </w:t>
      </w:r>
      <w:r w:rsidR="00255C4D" w:rsidRPr="00A274BB">
        <w:rPr>
          <w:rFonts w:cs="Times New Roman"/>
          <w:i/>
          <w:sz w:val="20"/>
          <w:szCs w:val="20"/>
        </w:rPr>
        <w:t>Journal</w:t>
      </w:r>
      <w:r w:rsidR="003F567A">
        <w:rPr>
          <w:rFonts w:cs="Times New Roman"/>
          <w:sz w:val="20"/>
          <w:szCs w:val="20"/>
        </w:rPr>
        <w:t xml:space="preserve">,19-36.; See also, </w:t>
      </w:r>
      <w:r w:rsidR="00A274BB">
        <w:rPr>
          <w:rFonts w:cs="Times New Roman"/>
          <w:sz w:val="20"/>
          <w:szCs w:val="20"/>
        </w:rPr>
        <w:t>M</w:t>
      </w:r>
      <w:r w:rsidR="003F567A">
        <w:rPr>
          <w:rFonts w:cs="Times New Roman"/>
          <w:sz w:val="20"/>
          <w:szCs w:val="20"/>
        </w:rPr>
        <w:t xml:space="preserve">ark </w:t>
      </w:r>
      <w:proofErr w:type="spellStart"/>
      <w:r w:rsidR="003F567A">
        <w:rPr>
          <w:rFonts w:cs="Times New Roman"/>
          <w:sz w:val="20"/>
          <w:szCs w:val="20"/>
        </w:rPr>
        <w:t>Galanter</w:t>
      </w:r>
      <w:proofErr w:type="spellEnd"/>
      <w:r w:rsidR="00A274BB">
        <w:rPr>
          <w:rFonts w:cs="Times New Roman"/>
          <w:sz w:val="20"/>
          <w:szCs w:val="20"/>
        </w:rPr>
        <w:t>,</w:t>
      </w:r>
      <w:r w:rsidR="00255C4D" w:rsidRPr="002B3004">
        <w:rPr>
          <w:rFonts w:cs="Times New Roman"/>
        </w:rPr>
        <w:t xml:space="preserve"> </w:t>
      </w:r>
      <w:r w:rsidR="00A274BB" w:rsidRPr="00A274BB">
        <w:rPr>
          <w:rFonts w:cs="Times New Roman"/>
          <w:i/>
        </w:rPr>
        <w:t>Law and Society in Modern India</w:t>
      </w:r>
      <w:r w:rsidR="00255C4D" w:rsidRPr="002B3004">
        <w:rPr>
          <w:rFonts w:cs="Times New Roman"/>
        </w:rPr>
        <w:t xml:space="preserve"> </w:t>
      </w:r>
      <w:r w:rsidR="00A274BB">
        <w:rPr>
          <w:rFonts w:cs="Times New Roman"/>
        </w:rPr>
        <w:t>(</w:t>
      </w:r>
      <w:r w:rsidR="00255C4D" w:rsidRPr="002B3004">
        <w:rPr>
          <w:rFonts w:cs="Times New Roman"/>
        </w:rPr>
        <w:t>New Delhi: OUP</w:t>
      </w:r>
      <w:r w:rsidR="00A274BB">
        <w:rPr>
          <w:rFonts w:cs="Times New Roman"/>
        </w:rPr>
        <w:t xml:space="preserve"> 1989); </w:t>
      </w:r>
      <w:r w:rsidR="00255C4D" w:rsidRPr="002B3004">
        <w:rPr>
          <w:rFonts w:cs="Times New Roman"/>
        </w:rPr>
        <w:t>Law</w:t>
      </w:r>
      <w:r w:rsidR="00A274BB">
        <w:rPr>
          <w:rFonts w:cs="Times New Roman"/>
        </w:rPr>
        <w:t xml:space="preserve"> Commission of India, </w:t>
      </w:r>
      <w:r w:rsidR="00255C4D" w:rsidRPr="002B3004">
        <w:rPr>
          <w:rFonts w:cs="Times New Roman"/>
        </w:rPr>
        <w:t>Delay and Arrears in Trial Courts</w:t>
      </w:r>
      <w:r w:rsidR="00A274BB">
        <w:rPr>
          <w:rFonts w:cs="Times New Roman"/>
        </w:rPr>
        <w:t xml:space="preserve"> </w:t>
      </w:r>
      <w:r w:rsidR="00A274BB" w:rsidRPr="002B3004">
        <w:rPr>
          <w:rFonts w:cs="Times New Roman"/>
        </w:rPr>
        <w:t>77th Report</w:t>
      </w:r>
      <w:r w:rsidR="00A274BB">
        <w:rPr>
          <w:rFonts w:cs="Times New Roman"/>
        </w:rPr>
        <w:t xml:space="preserve"> (1978)</w:t>
      </w:r>
    </w:p>
  </w:footnote>
  <w:footnote w:id="46">
    <w:p w:rsidR="0055220E" w:rsidRDefault="0055220E">
      <w:pPr>
        <w:pStyle w:val="FootnoteText"/>
      </w:pPr>
      <w:r>
        <w:rPr>
          <w:rStyle w:val="FootnoteReference"/>
        </w:rPr>
        <w:footnoteRef/>
      </w:r>
      <w:r>
        <w:t xml:space="preserve"> </w:t>
      </w:r>
      <w:r w:rsidR="00255C4D">
        <w:t xml:space="preserve">The </w:t>
      </w:r>
      <w:proofErr w:type="spellStart"/>
      <w:r w:rsidR="00255C4D">
        <w:t>Lok</w:t>
      </w:r>
      <w:proofErr w:type="spellEnd"/>
      <w:r w:rsidR="00255C4D">
        <w:t xml:space="preserve"> Sabha Debates, 15</w:t>
      </w:r>
      <w:r w:rsidR="00255C4D" w:rsidRPr="0066261C">
        <w:rPr>
          <w:vertAlign w:val="superscript"/>
        </w:rPr>
        <w:t>th</w:t>
      </w:r>
      <w:r w:rsidR="00255C4D">
        <w:t xml:space="preserve"> March 2010; Mr </w:t>
      </w:r>
      <w:proofErr w:type="spellStart"/>
      <w:r w:rsidR="00255C4D">
        <w:t>Jairam</w:t>
      </w:r>
      <w:proofErr w:type="spellEnd"/>
      <w:r w:rsidR="00255C4D">
        <w:t xml:space="preserve"> Ramesh, Former Minister of State of Ministry of Environment and Forests stated that there were over 5,600 cases pending before the judiciary for final disposal</w:t>
      </w:r>
    </w:p>
  </w:footnote>
  <w:footnote w:id="47">
    <w:p w:rsidR="00DC0148" w:rsidRDefault="00DC0148">
      <w:pPr>
        <w:pStyle w:val="FootnoteText"/>
      </w:pPr>
      <w:r>
        <w:rPr>
          <w:rStyle w:val="FootnoteReference"/>
        </w:rPr>
        <w:footnoteRef/>
      </w:r>
      <w:r>
        <w:t xml:space="preserve"> </w:t>
      </w:r>
      <w:r w:rsidR="004F4557">
        <w:t>Rule 12, National Green Tribunal (Practices and Procedure) Rules 2011</w:t>
      </w:r>
    </w:p>
  </w:footnote>
  <w:footnote w:id="48">
    <w:p w:rsidR="007D3E4A" w:rsidRDefault="007D3E4A">
      <w:pPr>
        <w:pStyle w:val="FootnoteText"/>
      </w:pPr>
      <w:r>
        <w:rPr>
          <w:rStyle w:val="FootnoteReference"/>
        </w:rPr>
        <w:footnoteRef/>
      </w:r>
      <w:r>
        <w:t xml:space="preserve"> </w:t>
      </w:r>
      <w:r w:rsidRPr="005A4EC9">
        <w:rPr>
          <w:i/>
        </w:rPr>
        <w:t xml:space="preserve">Bhopal Gas </w:t>
      </w:r>
      <w:proofErr w:type="spellStart"/>
      <w:r w:rsidRPr="005A4EC9">
        <w:rPr>
          <w:i/>
        </w:rPr>
        <w:t>Peedith</w:t>
      </w:r>
      <w:proofErr w:type="spellEnd"/>
      <w:r w:rsidRPr="005A4EC9">
        <w:rPr>
          <w:i/>
        </w:rPr>
        <w:t xml:space="preserve"> </w:t>
      </w:r>
      <w:proofErr w:type="spellStart"/>
      <w:r w:rsidRPr="005A4EC9">
        <w:rPr>
          <w:i/>
        </w:rPr>
        <w:t>Mahila</w:t>
      </w:r>
      <w:proofErr w:type="spellEnd"/>
      <w:r w:rsidRPr="005A4EC9">
        <w:rPr>
          <w:i/>
        </w:rPr>
        <w:t xml:space="preserve"> </w:t>
      </w:r>
      <w:proofErr w:type="spellStart"/>
      <w:r w:rsidRPr="005A4EC9">
        <w:rPr>
          <w:i/>
        </w:rPr>
        <w:t>Udyog</w:t>
      </w:r>
      <w:proofErr w:type="spellEnd"/>
      <w:r w:rsidRPr="005A4EC9">
        <w:rPr>
          <w:i/>
        </w:rPr>
        <w:t xml:space="preserve"> </w:t>
      </w:r>
      <w:proofErr w:type="spellStart"/>
      <w:r w:rsidRPr="005A4EC9">
        <w:rPr>
          <w:i/>
        </w:rPr>
        <w:t>Sangathan</w:t>
      </w:r>
      <w:proofErr w:type="spellEnd"/>
      <w:r w:rsidRPr="005A4EC9">
        <w:rPr>
          <w:i/>
        </w:rPr>
        <w:t xml:space="preserve"> v Union of India</w:t>
      </w:r>
      <w:r>
        <w:t xml:space="preserve"> Order dated August 9 2012</w:t>
      </w:r>
      <w:r w:rsidR="007275D7">
        <w:t xml:space="preserve">. The Supreme Court Bench comprised of Chief Justice of India, S.H. Kapadia and Justices A. K. </w:t>
      </w:r>
      <w:proofErr w:type="spellStart"/>
      <w:r w:rsidR="007275D7">
        <w:t>Patnaik</w:t>
      </w:r>
      <w:proofErr w:type="spellEnd"/>
      <w:r w:rsidR="007275D7">
        <w:t xml:space="preserve"> and </w:t>
      </w:r>
      <w:proofErr w:type="spellStart"/>
      <w:r w:rsidR="007275D7">
        <w:t>Swatanter</w:t>
      </w:r>
      <w:proofErr w:type="spellEnd"/>
      <w:r w:rsidR="007275D7">
        <w:t xml:space="preserve"> Kumar. </w:t>
      </w:r>
      <w:r>
        <w:t xml:space="preserve"> </w:t>
      </w:r>
      <w:r w:rsidR="007275D7">
        <w:t>Shortly</w:t>
      </w:r>
      <w:r w:rsidR="0068426A">
        <w:t>,</w:t>
      </w:r>
      <w:r w:rsidR="007275D7">
        <w:t xml:space="preserve"> thereafter, Justice </w:t>
      </w:r>
      <w:proofErr w:type="spellStart"/>
      <w:r w:rsidR="007275D7">
        <w:t>Swatanter</w:t>
      </w:r>
      <w:proofErr w:type="spellEnd"/>
      <w:r w:rsidR="007275D7">
        <w:t xml:space="preserve"> Kumar retired from the Supreme Court and took up his appointment</w:t>
      </w:r>
      <w:r w:rsidR="005A4EC9">
        <w:t xml:space="preserve"> as the Chairperson, NGT, India</w:t>
      </w:r>
    </w:p>
  </w:footnote>
  <w:footnote w:id="49">
    <w:p w:rsidR="001271E3" w:rsidRPr="001271E3" w:rsidRDefault="001271E3">
      <w:pPr>
        <w:pStyle w:val="FootnoteText"/>
      </w:pPr>
      <w:r>
        <w:rPr>
          <w:rStyle w:val="FootnoteReference"/>
        </w:rPr>
        <w:footnoteRef/>
      </w:r>
      <w:r>
        <w:t xml:space="preserve"> </w:t>
      </w:r>
      <w:r w:rsidRPr="001271E3">
        <w:t>Article 51 of the Constitution of India  states ’</w:t>
      </w:r>
      <w:r>
        <w:t>’</w:t>
      </w:r>
      <w:r w:rsidRPr="001271E3">
        <w:rPr>
          <w:rFonts w:cs="Arial"/>
        </w:rPr>
        <w:t>the State shall endeavour to- (a) promote international peace and security; (b) maintain just and honourable relations between nations; (c) foster respect for international law and treaty obligations in the dealings of organised peoples with one another; and (d) encourage settlement of international disputes by arbitration.</w:t>
      </w:r>
      <w:r>
        <w:rPr>
          <w:rFonts w:cs="Arial"/>
        </w:rPr>
        <w:t>’’</w:t>
      </w:r>
    </w:p>
  </w:footnote>
  <w:footnote w:id="50">
    <w:p w:rsidR="00CB0D9C" w:rsidRDefault="00CB0D9C">
      <w:pPr>
        <w:pStyle w:val="FootnoteText"/>
      </w:pPr>
      <w:r>
        <w:rPr>
          <w:rStyle w:val="FootnoteReference"/>
        </w:rPr>
        <w:footnoteRef/>
      </w:r>
      <w:r>
        <w:t xml:space="preserve"> Article 253 of the Constitution of India states ‘’ </w:t>
      </w:r>
      <w:r w:rsidRPr="00CB0D9C">
        <w:rPr>
          <w:rFonts w:cs="Arial"/>
        </w:rPr>
        <w:t>Notwithstanding anything in the foregoing provisions of this Chapter, Parliament has power to make any law for the whole or any part of the territory of India for implementing any treaty, agreement or convention with any other country or countries or any decision made at any international conference, association or other body.</w:t>
      </w:r>
      <w:r>
        <w:rPr>
          <w:rFonts w:cs="Arial"/>
        </w:rPr>
        <w:t>’’</w:t>
      </w:r>
    </w:p>
  </w:footnote>
  <w:footnote w:id="51">
    <w:p w:rsidR="00D569DF" w:rsidRDefault="00D569DF">
      <w:pPr>
        <w:pStyle w:val="FootnoteText"/>
      </w:pPr>
      <w:r>
        <w:rPr>
          <w:rStyle w:val="FootnoteReference"/>
        </w:rPr>
        <w:footnoteRef/>
      </w:r>
      <w:r>
        <w:t xml:space="preserve"> </w:t>
      </w:r>
      <w:r w:rsidRPr="00336DEC">
        <w:rPr>
          <w:i/>
        </w:rPr>
        <w:t>People’s Union for Civil Liberties v Union of India</w:t>
      </w:r>
      <w:r>
        <w:t xml:space="preserve"> AIR 1997 SC 568</w:t>
      </w:r>
      <w:r w:rsidR="0033200F">
        <w:t>.</w:t>
      </w:r>
    </w:p>
  </w:footnote>
  <w:footnote w:id="52">
    <w:p w:rsidR="00446825" w:rsidRDefault="00446825">
      <w:pPr>
        <w:pStyle w:val="FootnoteText"/>
      </w:pPr>
      <w:r>
        <w:rPr>
          <w:rStyle w:val="FootnoteReference"/>
        </w:rPr>
        <w:footnoteRef/>
      </w:r>
      <w:r>
        <w:t xml:space="preserve"> River </w:t>
      </w:r>
      <w:proofErr w:type="spellStart"/>
      <w:r>
        <w:t>Cordes</w:t>
      </w:r>
      <w:proofErr w:type="spellEnd"/>
      <w:r>
        <w:t xml:space="preserve">- Holland, </w:t>
      </w:r>
      <w:r w:rsidR="00336DEC">
        <w:t>‘</w:t>
      </w:r>
      <w:r w:rsidRPr="00336DEC">
        <w:t>The national interest or good international citizenship? Australia and its approach to international and public climate law</w:t>
      </w:r>
      <w:r w:rsidR="00336DEC">
        <w:t>’</w:t>
      </w:r>
      <w:r>
        <w:t xml:space="preserve"> in Brad Jessup and Kim Rubenstein (</w:t>
      </w:r>
      <w:proofErr w:type="spellStart"/>
      <w:r>
        <w:t>eds</w:t>
      </w:r>
      <w:proofErr w:type="spellEnd"/>
      <w:r>
        <w:t xml:space="preserve">), </w:t>
      </w:r>
      <w:r w:rsidRPr="007F3303">
        <w:rPr>
          <w:i/>
        </w:rPr>
        <w:t>Environmental Discourses in Public and International Law</w:t>
      </w:r>
      <w:r w:rsidR="00336DEC">
        <w:t xml:space="preserve"> (C</w:t>
      </w:r>
      <w:r w:rsidR="003F567A">
        <w:t>ambridge University Press 2012)</w:t>
      </w:r>
      <w:r w:rsidR="00336DEC">
        <w:t xml:space="preserve"> 288</w:t>
      </w:r>
    </w:p>
  </w:footnote>
  <w:footnote w:id="53">
    <w:p w:rsidR="00C03393" w:rsidRDefault="00C03393">
      <w:pPr>
        <w:pStyle w:val="FootnoteText"/>
      </w:pPr>
      <w:r>
        <w:rPr>
          <w:rStyle w:val="FootnoteReference"/>
        </w:rPr>
        <w:footnoteRef/>
      </w:r>
      <w:r>
        <w:t xml:space="preserve"> Preamble, NGT Act 2010</w:t>
      </w:r>
    </w:p>
  </w:footnote>
  <w:footnote w:id="54">
    <w:p w:rsidR="00B52F83" w:rsidRDefault="00B52F83">
      <w:pPr>
        <w:pStyle w:val="FootnoteText"/>
      </w:pPr>
      <w:r>
        <w:rPr>
          <w:rStyle w:val="FootnoteReference"/>
        </w:rPr>
        <w:footnoteRef/>
      </w:r>
      <w:r>
        <w:t xml:space="preserve"> </w:t>
      </w:r>
      <w:proofErr w:type="spellStart"/>
      <w:r w:rsidRPr="00336DEC">
        <w:rPr>
          <w:i/>
        </w:rPr>
        <w:t>Rana</w:t>
      </w:r>
      <w:proofErr w:type="spellEnd"/>
      <w:r w:rsidRPr="00336DEC">
        <w:rPr>
          <w:i/>
        </w:rPr>
        <w:t xml:space="preserve"> </w:t>
      </w:r>
      <w:proofErr w:type="spellStart"/>
      <w:r w:rsidRPr="00336DEC">
        <w:rPr>
          <w:i/>
        </w:rPr>
        <w:t>Sengupta</w:t>
      </w:r>
      <w:proofErr w:type="spellEnd"/>
      <w:r w:rsidRPr="00336DEC">
        <w:rPr>
          <w:i/>
        </w:rPr>
        <w:t xml:space="preserve"> v Union of India</w:t>
      </w:r>
      <w:r>
        <w:t xml:space="preserve"> Judgment dated March 22, 2013</w:t>
      </w:r>
      <w:r w:rsidR="00CF339F">
        <w:t xml:space="preserve"> para 23</w:t>
      </w:r>
    </w:p>
  </w:footnote>
  <w:footnote w:id="55">
    <w:p w:rsidR="00D34FD4" w:rsidRDefault="00D34FD4">
      <w:pPr>
        <w:pStyle w:val="FootnoteText"/>
      </w:pPr>
      <w:r>
        <w:rPr>
          <w:rStyle w:val="FootnoteReference"/>
        </w:rPr>
        <w:footnoteRef/>
      </w:r>
      <w:r w:rsidR="00AF2B01">
        <w:t xml:space="preserve"> Judgment dated February </w:t>
      </w:r>
      <w:r>
        <w:t>9</w:t>
      </w:r>
      <w:r w:rsidR="00AF2B01">
        <w:t>,</w:t>
      </w:r>
      <w:r w:rsidR="003F567A">
        <w:t xml:space="preserve"> 2012</w:t>
      </w:r>
      <w:r>
        <w:t xml:space="preserve"> para 19</w:t>
      </w:r>
    </w:p>
  </w:footnote>
  <w:footnote w:id="56">
    <w:p w:rsidR="0042436E" w:rsidRDefault="0042436E">
      <w:pPr>
        <w:pStyle w:val="FootnoteText"/>
      </w:pPr>
      <w:r>
        <w:rPr>
          <w:rStyle w:val="FootnoteReference"/>
        </w:rPr>
        <w:footnoteRef/>
      </w:r>
      <w:r>
        <w:t xml:space="preserve"> </w:t>
      </w:r>
      <w:r w:rsidR="00797E3D">
        <w:t>See, generally the judgments of the Supreme Court of India</w:t>
      </w:r>
      <w:r w:rsidR="00B14242">
        <w:t>-</w:t>
      </w:r>
      <w:r w:rsidR="00797E3D">
        <w:t xml:space="preserve"> </w:t>
      </w:r>
      <w:r w:rsidR="00797E3D" w:rsidRPr="00B14242">
        <w:rPr>
          <w:i/>
        </w:rPr>
        <w:t xml:space="preserve">Indian Council for </w:t>
      </w:r>
      <w:proofErr w:type="spellStart"/>
      <w:r w:rsidR="00797E3D" w:rsidRPr="00B14242">
        <w:rPr>
          <w:i/>
        </w:rPr>
        <w:t>Enviro</w:t>
      </w:r>
      <w:proofErr w:type="spellEnd"/>
      <w:r w:rsidR="00797E3D" w:rsidRPr="00B14242">
        <w:rPr>
          <w:i/>
        </w:rPr>
        <w:t>-Legal Action v Union of</w:t>
      </w:r>
      <w:r w:rsidR="00797E3D">
        <w:t xml:space="preserve"> </w:t>
      </w:r>
      <w:r w:rsidR="00797E3D" w:rsidRPr="00B14242">
        <w:rPr>
          <w:i/>
        </w:rPr>
        <w:t>India</w:t>
      </w:r>
      <w:r w:rsidR="00797E3D">
        <w:t xml:space="preserve"> AIR 1996 SC 1446; </w:t>
      </w:r>
      <w:r w:rsidR="00797E3D" w:rsidRPr="00B14242">
        <w:rPr>
          <w:i/>
        </w:rPr>
        <w:t xml:space="preserve">A P Pollution Control Board v Prof M V </w:t>
      </w:r>
      <w:proofErr w:type="spellStart"/>
      <w:r w:rsidR="00797E3D" w:rsidRPr="00B14242">
        <w:rPr>
          <w:i/>
        </w:rPr>
        <w:t>Nayadu</w:t>
      </w:r>
      <w:proofErr w:type="spellEnd"/>
      <w:r w:rsidR="00797E3D">
        <w:t xml:space="preserve"> AIR 1999 SC 812; </w:t>
      </w:r>
      <w:r w:rsidR="00797E3D" w:rsidRPr="00B14242">
        <w:rPr>
          <w:i/>
        </w:rPr>
        <w:t>Intellectual Forum,</w:t>
      </w:r>
      <w:r w:rsidR="00797E3D">
        <w:t xml:space="preserve"> </w:t>
      </w:r>
      <w:proofErr w:type="spellStart"/>
      <w:r w:rsidR="00797E3D" w:rsidRPr="00B14242">
        <w:rPr>
          <w:i/>
        </w:rPr>
        <w:t>Tirupathi</w:t>
      </w:r>
      <w:proofErr w:type="spellEnd"/>
      <w:r w:rsidR="00797E3D" w:rsidRPr="00B14242">
        <w:rPr>
          <w:i/>
        </w:rPr>
        <w:t xml:space="preserve"> v State of A.P</w:t>
      </w:r>
      <w:r w:rsidR="00797E3D">
        <w:t xml:space="preserve"> AIR 2006 SC 1350; </w:t>
      </w:r>
      <w:r w:rsidR="00797E3D" w:rsidRPr="00B14242">
        <w:rPr>
          <w:i/>
        </w:rPr>
        <w:t xml:space="preserve">Narmada </w:t>
      </w:r>
      <w:proofErr w:type="spellStart"/>
      <w:r w:rsidR="00797E3D" w:rsidRPr="00B14242">
        <w:rPr>
          <w:i/>
        </w:rPr>
        <w:t>Bachao</w:t>
      </w:r>
      <w:proofErr w:type="spellEnd"/>
      <w:r w:rsidR="00797E3D" w:rsidRPr="00B14242">
        <w:rPr>
          <w:i/>
        </w:rPr>
        <w:t xml:space="preserve"> </w:t>
      </w:r>
      <w:proofErr w:type="spellStart"/>
      <w:r w:rsidR="00797E3D" w:rsidRPr="00B14242">
        <w:rPr>
          <w:i/>
        </w:rPr>
        <w:t>Andolan</w:t>
      </w:r>
      <w:proofErr w:type="spellEnd"/>
      <w:r w:rsidR="00797E3D" w:rsidRPr="00B14242">
        <w:rPr>
          <w:i/>
        </w:rPr>
        <w:t xml:space="preserve"> v Union of India</w:t>
      </w:r>
      <w:r w:rsidR="00797E3D">
        <w:t xml:space="preserve"> AIR 2000 SC 3751</w:t>
      </w:r>
    </w:p>
  </w:footnote>
  <w:footnote w:id="57">
    <w:p w:rsidR="00925B4C" w:rsidRDefault="00925B4C">
      <w:pPr>
        <w:pStyle w:val="FootnoteText"/>
      </w:pPr>
      <w:r>
        <w:rPr>
          <w:rStyle w:val="FootnoteReference"/>
        </w:rPr>
        <w:footnoteRef/>
      </w:r>
      <w:r>
        <w:t xml:space="preserve"> </w:t>
      </w:r>
      <w:proofErr w:type="spellStart"/>
      <w:r w:rsidRPr="00B14242">
        <w:rPr>
          <w:i/>
        </w:rPr>
        <w:t>Jeet</w:t>
      </w:r>
      <w:proofErr w:type="spellEnd"/>
      <w:r w:rsidRPr="00B14242">
        <w:rPr>
          <w:i/>
        </w:rPr>
        <w:t xml:space="preserve"> Singh </w:t>
      </w:r>
      <w:proofErr w:type="spellStart"/>
      <w:r w:rsidRPr="00B14242">
        <w:rPr>
          <w:i/>
        </w:rPr>
        <w:t>Kanwar</w:t>
      </w:r>
      <w:proofErr w:type="spellEnd"/>
      <w:r w:rsidRPr="00B14242">
        <w:rPr>
          <w:i/>
        </w:rPr>
        <w:t xml:space="preserve"> v Union of India</w:t>
      </w:r>
      <w:r>
        <w:t xml:space="preserve"> Judgment </w:t>
      </w:r>
      <w:r w:rsidR="003F567A">
        <w:t xml:space="preserve">dated April 16 </w:t>
      </w:r>
      <w:r>
        <w:t>2013</w:t>
      </w:r>
    </w:p>
  </w:footnote>
  <w:footnote w:id="58">
    <w:p w:rsidR="00B65C38" w:rsidRDefault="00B65C38" w:rsidP="00B65C38">
      <w:pPr>
        <w:pStyle w:val="FootnoteText"/>
      </w:pPr>
      <w:r>
        <w:rPr>
          <w:rStyle w:val="FootnoteReference"/>
        </w:rPr>
        <w:footnoteRef/>
      </w:r>
      <w:r w:rsidR="00B14242">
        <w:t xml:space="preserve"> See Kiss and Shelton</w:t>
      </w:r>
      <w:r w:rsidR="00620B5D">
        <w:t>, above</w:t>
      </w:r>
      <w:r w:rsidR="00B14242">
        <w:t xml:space="preserve"> n</w:t>
      </w:r>
      <w:r w:rsidR="00B1143C">
        <w:t>.</w:t>
      </w:r>
      <w:r w:rsidR="00B14242">
        <w:t xml:space="preserve"> 4</w:t>
      </w:r>
      <w:r w:rsidR="00620B5D">
        <w:t xml:space="preserve"> at</w:t>
      </w:r>
      <w:r>
        <w:t xml:space="preserve"> 113; Philippe Sands and Jacqueline Peel, with </w:t>
      </w:r>
      <w:proofErr w:type="spellStart"/>
      <w:r>
        <w:t>Andriana</w:t>
      </w:r>
      <w:proofErr w:type="spellEnd"/>
      <w:r>
        <w:t xml:space="preserve"> </w:t>
      </w:r>
      <w:proofErr w:type="spellStart"/>
      <w:r>
        <w:t>Fabra</w:t>
      </w:r>
      <w:proofErr w:type="spellEnd"/>
      <w:r>
        <w:t xml:space="preserve"> and Ruth </w:t>
      </w:r>
      <w:proofErr w:type="spellStart"/>
      <w:r>
        <w:t>MacKenzie</w:t>
      </w:r>
      <w:proofErr w:type="spellEnd"/>
      <w:r>
        <w:t xml:space="preserve">, </w:t>
      </w:r>
      <w:r w:rsidRPr="00226972">
        <w:rPr>
          <w:i/>
        </w:rPr>
        <w:t>Principles of International Environmental Law</w:t>
      </w:r>
      <w:r w:rsidR="00B14242">
        <w:t xml:space="preserve"> (Cambridge University Press 2012)</w:t>
      </w:r>
      <w:r w:rsidR="00620B5D">
        <w:t xml:space="preserve"> </w:t>
      </w:r>
      <w:r w:rsidR="000A755F">
        <w:t>187</w:t>
      </w:r>
    </w:p>
  </w:footnote>
  <w:footnote w:id="59">
    <w:p w:rsidR="00B65C38" w:rsidRDefault="00B65C38" w:rsidP="00B65C38">
      <w:pPr>
        <w:pStyle w:val="FootnoteText"/>
      </w:pPr>
      <w:r>
        <w:rPr>
          <w:rStyle w:val="FootnoteReference"/>
        </w:rPr>
        <w:footnoteRef/>
      </w:r>
      <w:r>
        <w:t xml:space="preserve"> </w:t>
      </w:r>
      <w:hyperlink r:id="rId4" w:history="1">
        <w:r w:rsidRPr="00226972">
          <w:rPr>
            <w:rStyle w:val="Hyperlink"/>
            <w:color w:val="auto"/>
            <w:u w:val="none"/>
          </w:rPr>
          <w:t>http://ahdictionary.com/word/search.html?q=protect</w:t>
        </w:r>
      </w:hyperlink>
      <w:r w:rsidR="000A755F">
        <w:t xml:space="preserve"> accessed 10.1.2014</w:t>
      </w:r>
    </w:p>
  </w:footnote>
  <w:footnote w:id="60">
    <w:p w:rsidR="00B65C38" w:rsidRDefault="00B65C38" w:rsidP="00B65C38">
      <w:pPr>
        <w:pStyle w:val="FootnoteText"/>
      </w:pPr>
      <w:r>
        <w:rPr>
          <w:rStyle w:val="FootnoteReference"/>
        </w:rPr>
        <w:footnoteRef/>
      </w:r>
      <w:r>
        <w:t xml:space="preserve"> </w:t>
      </w:r>
      <w:hyperlink r:id="rId5" w:history="1">
        <w:r w:rsidRPr="00E34134">
          <w:rPr>
            <w:rStyle w:val="Hyperlink"/>
            <w:color w:val="auto"/>
            <w:u w:val="none"/>
          </w:rPr>
          <w:t>http://stats.oecd.org/glossary/detail.asp?ID=836</w:t>
        </w:r>
      </w:hyperlink>
      <w:r w:rsidR="000A755F">
        <w:t xml:space="preserve">  accessed 10.1.2014</w:t>
      </w:r>
    </w:p>
  </w:footnote>
  <w:footnote w:id="61">
    <w:p w:rsidR="00B65C38" w:rsidRDefault="00B65C38" w:rsidP="00B65C38">
      <w:pPr>
        <w:pStyle w:val="FootnoteText"/>
      </w:pPr>
      <w:r>
        <w:rPr>
          <w:rStyle w:val="FootnoteReference"/>
        </w:rPr>
        <w:footnoteRef/>
      </w:r>
      <w:r w:rsidR="003F567A">
        <w:t xml:space="preserve"> Judgment dated July 12</w:t>
      </w:r>
      <w:r w:rsidR="00617D5D">
        <w:t xml:space="preserve"> 2013</w:t>
      </w:r>
    </w:p>
  </w:footnote>
  <w:footnote w:id="62">
    <w:p w:rsidR="00B65C38" w:rsidRDefault="00B65C38" w:rsidP="00B65C38">
      <w:pPr>
        <w:pStyle w:val="FootnoteText"/>
      </w:pPr>
      <w:r>
        <w:rPr>
          <w:rStyle w:val="FootnoteReference"/>
        </w:rPr>
        <w:footnoteRef/>
      </w:r>
      <w:r w:rsidR="00FA1AF0">
        <w:t xml:space="preserve"> Judgment dated January 9</w:t>
      </w:r>
      <w:r w:rsidR="00314257">
        <w:t xml:space="preserve"> </w:t>
      </w:r>
      <w:r w:rsidR="00617D5D">
        <w:t>2013</w:t>
      </w:r>
    </w:p>
  </w:footnote>
  <w:footnote w:id="63">
    <w:p w:rsidR="00B65C38" w:rsidRDefault="00B65C38" w:rsidP="00B65C38">
      <w:pPr>
        <w:pStyle w:val="FootnoteText"/>
      </w:pPr>
      <w:r>
        <w:rPr>
          <w:rStyle w:val="FootnoteReference"/>
        </w:rPr>
        <w:footnoteRef/>
      </w:r>
      <w:r>
        <w:t xml:space="preserve"> </w:t>
      </w:r>
      <w:hyperlink r:id="rId6" w:history="1">
        <w:r w:rsidRPr="00B77AE2">
          <w:rPr>
            <w:rStyle w:val="Hyperlink"/>
            <w:color w:val="auto"/>
            <w:u w:val="none"/>
          </w:rPr>
          <w:t>http://timesofindia.indiatimes.com/city/mumbai/Pollution-board-appointed-panel-to-set-standards-for-horns-sirens/articleshow/28532204.cms</w:t>
        </w:r>
      </w:hyperlink>
      <w:r w:rsidR="00617D5D">
        <w:t xml:space="preserve"> accessed 20.2.2014</w:t>
      </w:r>
    </w:p>
  </w:footnote>
  <w:footnote w:id="64">
    <w:p w:rsidR="00B65C38" w:rsidRDefault="00B65C38" w:rsidP="00B65C38">
      <w:pPr>
        <w:pStyle w:val="FootnoteText"/>
      </w:pPr>
      <w:r>
        <w:rPr>
          <w:rStyle w:val="FootnoteReference"/>
        </w:rPr>
        <w:footnoteRef/>
      </w:r>
      <w:r>
        <w:t xml:space="preserve"> </w:t>
      </w:r>
      <w:hyperlink r:id="rId7" w:history="1">
        <w:r w:rsidRPr="000F7D25">
          <w:rPr>
            <w:rStyle w:val="Hyperlink"/>
            <w:color w:val="auto"/>
            <w:u w:val="none"/>
          </w:rPr>
          <w:t>http://www.oxforddictionaries.com/definition/english/conserve</w:t>
        </w:r>
      </w:hyperlink>
      <w:r w:rsidRPr="000F7D25">
        <w:t xml:space="preserve"> </w:t>
      </w:r>
      <w:r w:rsidR="00617D5D">
        <w:t>accessed 11.1.2014</w:t>
      </w:r>
    </w:p>
  </w:footnote>
  <w:footnote w:id="65">
    <w:p w:rsidR="00B65C38" w:rsidRDefault="00B65C38" w:rsidP="00B65C38">
      <w:pPr>
        <w:pStyle w:val="FootnoteText"/>
      </w:pPr>
      <w:r>
        <w:rPr>
          <w:rStyle w:val="FootnoteReference"/>
        </w:rPr>
        <w:footnoteRef/>
      </w:r>
      <w:r>
        <w:t xml:space="preserve"> </w:t>
      </w:r>
      <w:hyperlink r:id="rId8" w:history="1">
        <w:r w:rsidRPr="00863B71">
          <w:rPr>
            <w:rStyle w:val="Hyperlink"/>
            <w:color w:val="auto"/>
            <w:u w:val="none"/>
          </w:rPr>
          <w:t>http://data.iucn.org/dbtw-wpd/html/wcs-004/cover.html</w:t>
        </w:r>
      </w:hyperlink>
      <w:r>
        <w:t xml:space="preserve"> accessed 12.1.2014.</w:t>
      </w:r>
    </w:p>
  </w:footnote>
  <w:footnote w:id="66">
    <w:p w:rsidR="00B65C38" w:rsidRDefault="00B65C38" w:rsidP="00B65C38">
      <w:pPr>
        <w:pStyle w:val="FootnoteText"/>
      </w:pPr>
      <w:r>
        <w:rPr>
          <w:rStyle w:val="FootnoteReference"/>
        </w:rPr>
        <w:footnoteRef/>
      </w:r>
      <w:r w:rsidR="00FA1AF0">
        <w:t xml:space="preserve"> See Sands and Peel, above </w:t>
      </w:r>
      <w:r w:rsidR="00FA5A8C">
        <w:t>n</w:t>
      </w:r>
      <w:r w:rsidR="00B1143C">
        <w:t>.</w:t>
      </w:r>
      <w:r w:rsidR="008F2677">
        <w:t xml:space="preserve"> 58</w:t>
      </w:r>
      <w:r w:rsidR="00FA1AF0">
        <w:t xml:space="preserve"> at </w:t>
      </w:r>
      <w:r w:rsidR="00FA5A8C">
        <w:t>212</w:t>
      </w:r>
    </w:p>
  </w:footnote>
  <w:footnote w:id="67">
    <w:p w:rsidR="00B65C38" w:rsidRDefault="00B65C38" w:rsidP="00B65C38">
      <w:pPr>
        <w:pStyle w:val="FootnoteText"/>
      </w:pPr>
      <w:r>
        <w:rPr>
          <w:rStyle w:val="FootnoteReference"/>
        </w:rPr>
        <w:footnoteRef/>
      </w:r>
      <w:r>
        <w:t xml:space="preserve"> Patricia </w:t>
      </w:r>
      <w:proofErr w:type="spellStart"/>
      <w:r>
        <w:t>Birnie</w:t>
      </w:r>
      <w:proofErr w:type="spellEnd"/>
      <w:r>
        <w:t xml:space="preserve">, Alan Boyle and Catherine </w:t>
      </w:r>
      <w:proofErr w:type="spellStart"/>
      <w:r>
        <w:t>Redgwell</w:t>
      </w:r>
      <w:proofErr w:type="spellEnd"/>
      <w:r>
        <w:t xml:space="preserve">, </w:t>
      </w:r>
      <w:r w:rsidRPr="003834E6">
        <w:rPr>
          <w:i/>
        </w:rPr>
        <w:t>International Law and the Environment</w:t>
      </w:r>
      <w:r w:rsidR="00100E60">
        <w:t xml:space="preserve">  (O</w:t>
      </w:r>
      <w:r w:rsidR="0084457C">
        <w:t xml:space="preserve">xford University Press 2009) </w:t>
      </w:r>
      <w:r w:rsidR="00100E60">
        <w:t>590</w:t>
      </w:r>
    </w:p>
  </w:footnote>
  <w:footnote w:id="68">
    <w:p w:rsidR="00635008" w:rsidRDefault="00635008">
      <w:pPr>
        <w:pStyle w:val="FootnoteText"/>
      </w:pPr>
      <w:r>
        <w:rPr>
          <w:rStyle w:val="FootnoteReference"/>
        </w:rPr>
        <w:footnoteRef/>
      </w:r>
      <w:r>
        <w:t xml:space="preserve"> </w:t>
      </w:r>
      <w:r w:rsidR="00100E60">
        <w:rPr>
          <w:rFonts w:ascii="Calibri" w:eastAsia="Calibri" w:hAnsi="Calibri" w:cs="Times New Roman"/>
        </w:rPr>
        <w:t xml:space="preserve">Joseph L Sax, ‘ </w:t>
      </w:r>
      <w:r w:rsidRPr="00727314">
        <w:rPr>
          <w:rFonts w:ascii="Calibri" w:eastAsia="Calibri" w:hAnsi="Calibri" w:cs="Times New Roman"/>
        </w:rPr>
        <w:t>The Public Trust Doctrine in Natural Resource Law: Eff</w:t>
      </w:r>
      <w:r>
        <w:rPr>
          <w:rFonts w:ascii="Calibri" w:eastAsia="Calibri" w:hAnsi="Calibri" w:cs="Times New Roman"/>
        </w:rPr>
        <w:t>ective Judicial Intervention’, 68 (3)</w:t>
      </w:r>
      <w:r w:rsidR="00100E60">
        <w:rPr>
          <w:rFonts w:ascii="Calibri" w:eastAsia="Calibri" w:hAnsi="Calibri" w:cs="Times New Roman"/>
        </w:rPr>
        <w:t xml:space="preserve"> </w:t>
      </w:r>
      <w:r>
        <w:rPr>
          <w:rFonts w:ascii="Calibri" w:eastAsia="Calibri" w:hAnsi="Calibri" w:cs="Times New Roman"/>
        </w:rPr>
        <w:t xml:space="preserve">(1) </w:t>
      </w:r>
      <w:r w:rsidRPr="005942C8">
        <w:rPr>
          <w:rFonts w:ascii="Calibri" w:eastAsia="Calibri" w:hAnsi="Calibri" w:cs="Times New Roman"/>
          <w:i/>
        </w:rPr>
        <w:t>Michigan Law Review</w:t>
      </w:r>
      <w:r>
        <w:rPr>
          <w:rFonts w:ascii="Calibri" w:eastAsia="Calibri" w:hAnsi="Calibri" w:cs="Times New Roman"/>
        </w:rPr>
        <w:t xml:space="preserve"> 471 (1970) </w:t>
      </w:r>
      <w:r w:rsidR="00100E60">
        <w:rPr>
          <w:rFonts w:ascii="Calibri" w:eastAsia="Calibri" w:hAnsi="Calibri" w:cs="Times New Roman"/>
        </w:rPr>
        <w:t xml:space="preserve"> 471-566</w:t>
      </w:r>
    </w:p>
  </w:footnote>
  <w:footnote w:id="69">
    <w:p w:rsidR="00635008" w:rsidRDefault="00635008">
      <w:pPr>
        <w:pStyle w:val="FootnoteText"/>
      </w:pPr>
      <w:r>
        <w:rPr>
          <w:rStyle w:val="FootnoteReference"/>
        </w:rPr>
        <w:footnoteRef/>
      </w:r>
      <w:r w:rsidR="00FA4C25">
        <w:t xml:space="preserve"> Edith Brown Weiss, ‘The Planetary Trust: Conservation and Intergenerational Equity’ (1984) </w:t>
      </w:r>
      <w:r w:rsidR="00FA4C25" w:rsidRPr="00EE3328">
        <w:t xml:space="preserve">11 </w:t>
      </w:r>
      <w:r w:rsidR="00FA4C25" w:rsidRPr="005942C8">
        <w:rPr>
          <w:i/>
        </w:rPr>
        <w:t>Ecology Law</w:t>
      </w:r>
      <w:r w:rsidR="00FA4C25" w:rsidRPr="00EE3328">
        <w:rPr>
          <w:i/>
        </w:rPr>
        <w:t xml:space="preserve"> </w:t>
      </w:r>
      <w:r w:rsidR="0084457C" w:rsidRPr="005942C8">
        <w:rPr>
          <w:i/>
        </w:rPr>
        <w:t>Quarterly</w:t>
      </w:r>
      <w:r w:rsidR="00EE3328">
        <w:t xml:space="preserve"> </w:t>
      </w:r>
      <w:r w:rsidR="00FA4C25">
        <w:t>495</w:t>
      </w:r>
      <w:r w:rsidR="00EE3328">
        <w:t>-582</w:t>
      </w:r>
    </w:p>
  </w:footnote>
  <w:footnote w:id="70">
    <w:p w:rsidR="00B65C38" w:rsidRDefault="00B65C38" w:rsidP="00B65C38">
      <w:pPr>
        <w:pStyle w:val="FootnoteText"/>
      </w:pPr>
      <w:r>
        <w:rPr>
          <w:rStyle w:val="FootnoteReference"/>
        </w:rPr>
        <w:footnoteRef/>
      </w:r>
      <w:r w:rsidR="0084457C">
        <w:t xml:space="preserve"> Judgment dated July 18</w:t>
      </w:r>
      <w:r w:rsidR="00100E60">
        <w:t xml:space="preserve"> 2013</w:t>
      </w:r>
    </w:p>
  </w:footnote>
  <w:footnote w:id="71">
    <w:p w:rsidR="00B65C38" w:rsidRDefault="00B65C38" w:rsidP="00B65C38">
      <w:pPr>
        <w:pStyle w:val="FootnoteText"/>
      </w:pPr>
      <w:r>
        <w:rPr>
          <w:rStyle w:val="FootnoteReference"/>
        </w:rPr>
        <w:footnoteRef/>
      </w:r>
      <w:r w:rsidRPr="00AF7857">
        <w:rPr>
          <w:i/>
        </w:rPr>
        <w:t xml:space="preserve"> </w:t>
      </w:r>
      <w:r w:rsidRPr="00B63ABC">
        <w:t>Ibid</w:t>
      </w:r>
      <w:r w:rsidR="00701336" w:rsidRPr="00B63ABC">
        <w:t xml:space="preserve"> </w:t>
      </w:r>
      <w:r w:rsidR="00701336">
        <w:t>para 17</w:t>
      </w:r>
    </w:p>
  </w:footnote>
  <w:footnote w:id="72">
    <w:p w:rsidR="00B65C38" w:rsidRDefault="00B65C38" w:rsidP="00B65C38">
      <w:pPr>
        <w:pStyle w:val="FootnoteText"/>
      </w:pPr>
      <w:r>
        <w:rPr>
          <w:rStyle w:val="FootnoteReference"/>
        </w:rPr>
        <w:footnoteRef/>
      </w:r>
      <w:r>
        <w:t xml:space="preserve"> </w:t>
      </w:r>
      <w:r w:rsidRPr="00701336">
        <w:rPr>
          <w:i/>
        </w:rPr>
        <w:t xml:space="preserve">T N </w:t>
      </w:r>
      <w:proofErr w:type="spellStart"/>
      <w:r w:rsidRPr="00701336">
        <w:rPr>
          <w:i/>
        </w:rPr>
        <w:t>Godavarman</w:t>
      </w:r>
      <w:proofErr w:type="spellEnd"/>
      <w:r w:rsidRPr="00701336">
        <w:rPr>
          <w:i/>
        </w:rPr>
        <w:t xml:space="preserve"> </w:t>
      </w:r>
      <w:proofErr w:type="spellStart"/>
      <w:r w:rsidR="00314257" w:rsidRPr="00701336">
        <w:rPr>
          <w:i/>
        </w:rPr>
        <w:t>Thirumulpad</w:t>
      </w:r>
      <w:proofErr w:type="spellEnd"/>
      <w:r w:rsidR="00314257" w:rsidRPr="00701336">
        <w:rPr>
          <w:i/>
        </w:rPr>
        <w:t xml:space="preserve"> v Union of India</w:t>
      </w:r>
      <w:r w:rsidR="00314257">
        <w:t xml:space="preserve"> </w:t>
      </w:r>
      <w:r w:rsidR="00701336">
        <w:t>2012 (3) SCC 277</w:t>
      </w:r>
    </w:p>
  </w:footnote>
  <w:footnote w:id="73">
    <w:p w:rsidR="00B65C38" w:rsidRDefault="00B65C38" w:rsidP="00B65C38">
      <w:pPr>
        <w:pStyle w:val="FootnoteText"/>
      </w:pPr>
      <w:r>
        <w:rPr>
          <w:rStyle w:val="FootnoteReference"/>
        </w:rPr>
        <w:footnoteRef/>
      </w:r>
      <w:r w:rsidR="00701336">
        <w:t xml:space="preserve"> See Jessup n</w:t>
      </w:r>
      <w:r w:rsidR="00B63ABC">
        <w:t>.</w:t>
      </w:r>
      <w:r w:rsidR="00701336">
        <w:t xml:space="preserve"> 3</w:t>
      </w:r>
      <w:r w:rsidR="00B63ABC">
        <w:t>, above</w:t>
      </w:r>
      <w:r w:rsidR="00701336">
        <w:t xml:space="preserve"> p. 65</w:t>
      </w:r>
    </w:p>
  </w:footnote>
  <w:footnote w:id="74">
    <w:p w:rsidR="00B65C38" w:rsidRPr="00716475" w:rsidRDefault="00B65C38" w:rsidP="00B65C38">
      <w:pPr>
        <w:pStyle w:val="FootnoteText"/>
        <w:rPr>
          <w:b/>
        </w:rPr>
      </w:pPr>
      <w:r w:rsidRPr="00716475">
        <w:rPr>
          <w:rStyle w:val="FootnoteReference"/>
          <w:b/>
        </w:rPr>
        <w:footnoteRef/>
      </w:r>
      <w:r w:rsidRPr="00716475">
        <w:rPr>
          <w:b/>
        </w:rPr>
        <w:t xml:space="preserve"> </w:t>
      </w:r>
      <w:r w:rsidRPr="00716475">
        <w:rPr>
          <w:rFonts w:cs="Arial"/>
          <w:bCs/>
        </w:rPr>
        <w:t xml:space="preserve"> Order</w:t>
      </w:r>
      <w:r>
        <w:rPr>
          <w:rFonts w:cs="Arial"/>
          <w:bCs/>
        </w:rPr>
        <w:t xml:space="preserve"> dated</w:t>
      </w:r>
      <w:r w:rsidR="008F2677">
        <w:rPr>
          <w:rFonts w:cs="Arial"/>
          <w:bCs/>
        </w:rPr>
        <w:t xml:space="preserve"> April 15</w:t>
      </w:r>
      <w:r w:rsidRPr="00716475">
        <w:rPr>
          <w:rFonts w:cs="Arial"/>
          <w:bCs/>
        </w:rPr>
        <w:t xml:space="preserve"> 2013</w:t>
      </w:r>
    </w:p>
  </w:footnote>
  <w:footnote w:id="75">
    <w:p w:rsidR="00B65C38" w:rsidRDefault="00B65C38" w:rsidP="00B65C38">
      <w:pPr>
        <w:pStyle w:val="FootnoteText"/>
      </w:pPr>
      <w:r>
        <w:rPr>
          <w:rStyle w:val="FootnoteReference"/>
        </w:rPr>
        <w:footnoteRef/>
      </w:r>
      <w:r w:rsidR="008F2677">
        <w:t xml:space="preserve"> Judgment dated September 7 2012</w:t>
      </w:r>
    </w:p>
  </w:footnote>
  <w:footnote w:id="76">
    <w:p w:rsidR="00C03393" w:rsidRDefault="00C03393">
      <w:pPr>
        <w:pStyle w:val="FootnoteText"/>
      </w:pPr>
      <w:r>
        <w:rPr>
          <w:rStyle w:val="FootnoteReference"/>
        </w:rPr>
        <w:footnoteRef/>
      </w:r>
      <w:r w:rsidR="006D09C5">
        <w:t xml:space="preserve"> David R Boyd, </w:t>
      </w:r>
      <w:r w:rsidRPr="006853F4">
        <w:rPr>
          <w:i/>
        </w:rPr>
        <w:t>The Environmental Rights Revolution: A Global Study of Constitutions, Human Rights, and the Environment</w:t>
      </w:r>
      <w:r w:rsidR="006D09C5">
        <w:t xml:space="preserve"> (UBC Press 2012)</w:t>
      </w:r>
      <w:r w:rsidR="008F2677">
        <w:t xml:space="preserve"> </w:t>
      </w:r>
      <w:r>
        <w:t xml:space="preserve"> 90</w:t>
      </w:r>
    </w:p>
  </w:footnote>
  <w:footnote w:id="77">
    <w:p w:rsidR="00F12521" w:rsidRDefault="00F12521">
      <w:pPr>
        <w:pStyle w:val="FootnoteText"/>
      </w:pPr>
      <w:r>
        <w:rPr>
          <w:rStyle w:val="FootnoteReference"/>
        </w:rPr>
        <w:footnoteRef/>
      </w:r>
      <w:r w:rsidR="006D09C5">
        <w:t xml:space="preserve"> See Kiss and Shelton</w:t>
      </w:r>
      <w:r w:rsidR="008F2677">
        <w:t>, above</w:t>
      </w:r>
      <w:r w:rsidR="006D09C5">
        <w:t xml:space="preserve"> </w:t>
      </w:r>
      <w:r>
        <w:t>n</w:t>
      </w:r>
      <w:r w:rsidR="00B45E83">
        <w:t>.</w:t>
      </w:r>
      <w:r>
        <w:t xml:space="preserve"> 4</w:t>
      </w:r>
      <w:r w:rsidR="008F2677">
        <w:t xml:space="preserve"> at</w:t>
      </w:r>
      <w:r>
        <w:t xml:space="preserve"> 394</w:t>
      </w:r>
      <w:r w:rsidR="004833D5">
        <w:t>-395 and 402-404</w:t>
      </w:r>
      <w:r w:rsidR="00295C53">
        <w:t xml:space="preserve">; </w:t>
      </w:r>
      <w:proofErr w:type="spellStart"/>
      <w:r w:rsidR="00295C53">
        <w:t>Lavanya</w:t>
      </w:r>
      <w:proofErr w:type="spellEnd"/>
      <w:r w:rsidR="00295C53">
        <w:t xml:space="preserve"> </w:t>
      </w:r>
      <w:proofErr w:type="spellStart"/>
      <w:r w:rsidR="00295C53">
        <w:t>Rajamani</w:t>
      </w:r>
      <w:proofErr w:type="spellEnd"/>
      <w:r w:rsidR="00295C53">
        <w:t>, ‘</w:t>
      </w:r>
      <w:r w:rsidR="009C4899">
        <w:t>The Increasing Currency</w:t>
      </w:r>
      <w:r w:rsidR="00C72AB5">
        <w:t xml:space="preserve"> </w:t>
      </w:r>
      <w:r w:rsidR="009C4899">
        <w:t xml:space="preserve">and Relevance of Right-based Perspective in the International Negotiation on Climate Change’, 22 (3) </w:t>
      </w:r>
      <w:r w:rsidR="009C4899" w:rsidRPr="008F2677">
        <w:rPr>
          <w:i/>
        </w:rPr>
        <w:t>Journal of</w:t>
      </w:r>
      <w:r w:rsidR="009C4899">
        <w:t xml:space="preserve"> </w:t>
      </w:r>
      <w:r w:rsidR="009C4899" w:rsidRPr="008F2677">
        <w:rPr>
          <w:i/>
        </w:rPr>
        <w:t>Environmental Law</w:t>
      </w:r>
      <w:r w:rsidR="008F2677">
        <w:t xml:space="preserve"> 391 (2010) </w:t>
      </w:r>
      <w:r w:rsidR="009C4899">
        <w:t xml:space="preserve"> 409</w:t>
      </w:r>
      <w:r w:rsidR="00C72AB5">
        <w:t xml:space="preserve">; Douglas </w:t>
      </w:r>
      <w:proofErr w:type="spellStart"/>
      <w:r w:rsidR="00C72AB5">
        <w:t>Korsah</w:t>
      </w:r>
      <w:proofErr w:type="spellEnd"/>
      <w:r w:rsidR="00C72AB5">
        <w:t xml:space="preserve">- Brown, Environment, </w:t>
      </w:r>
      <w:r w:rsidR="006D09C5">
        <w:t>‘</w:t>
      </w:r>
      <w:r w:rsidR="00C72AB5" w:rsidRPr="006D09C5">
        <w:t>Human Rights and Mining</w:t>
      </w:r>
      <w:r w:rsidR="00C72AB5">
        <w:t xml:space="preserve"> </w:t>
      </w:r>
      <w:r w:rsidR="00C72AB5" w:rsidRPr="006D09C5">
        <w:t>Conflicts in Ghana</w:t>
      </w:r>
      <w:r w:rsidR="006D09C5">
        <w:t>’</w:t>
      </w:r>
      <w:r w:rsidR="00C72AB5">
        <w:t xml:space="preserve"> in </w:t>
      </w:r>
      <w:proofErr w:type="spellStart"/>
      <w:r w:rsidR="00C72AB5">
        <w:t>Lyuba</w:t>
      </w:r>
      <w:proofErr w:type="spellEnd"/>
      <w:r w:rsidR="00C72AB5">
        <w:t xml:space="preserve"> </w:t>
      </w:r>
      <w:proofErr w:type="spellStart"/>
      <w:r w:rsidR="00C72AB5">
        <w:t>Zarsky</w:t>
      </w:r>
      <w:proofErr w:type="spellEnd"/>
      <w:r w:rsidR="00C72AB5">
        <w:t xml:space="preserve"> (</w:t>
      </w:r>
      <w:proofErr w:type="spellStart"/>
      <w:r w:rsidR="00C72AB5">
        <w:t>ed</w:t>
      </w:r>
      <w:proofErr w:type="spellEnd"/>
      <w:r w:rsidR="00C72AB5">
        <w:t xml:space="preserve">), </w:t>
      </w:r>
      <w:r w:rsidR="00C72AB5" w:rsidRPr="006C283E">
        <w:rPr>
          <w:i/>
        </w:rPr>
        <w:t>Human Rights and the Environment</w:t>
      </w:r>
      <w:r w:rsidR="006D09C5">
        <w:t xml:space="preserve"> (</w:t>
      </w:r>
      <w:proofErr w:type="spellStart"/>
      <w:r w:rsidR="006D09C5">
        <w:t>Earthscan</w:t>
      </w:r>
      <w:proofErr w:type="spellEnd"/>
      <w:r w:rsidR="006D09C5">
        <w:t xml:space="preserve"> Publications Ltd 2002)</w:t>
      </w:r>
      <w:r w:rsidR="008F2677">
        <w:t xml:space="preserve">  81</w:t>
      </w:r>
    </w:p>
  </w:footnote>
  <w:footnote w:id="78">
    <w:p w:rsidR="007E69D9" w:rsidRDefault="007E69D9">
      <w:pPr>
        <w:pStyle w:val="FootnoteText"/>
      </w:pPr>
      <w:r>
        <w:rPr>
          <w:rStyle w:val="FootnoteReference"/>
        </w:rPr>
        <w:footnoteRef/>
      </w:r>
      <w:r w:rsidR="00852F44">
        <w:t xml:space="preserve"> </w:t>
      </w:r>
      <w:r w:rsidR="006D09C5">
        <w:t>See Boyd</w:t>
      </w:r>
      <w:r w:rsidR="008F2677">
        <w:t>, above</w:t>
      </w:r>
      <w:r w:rsidR="006D09C5">
        <w:t xml:space="preserve"> </w:t>
      </w:r>
      <w:r w:rsidR="00852F44">
        <w:t>n</w:t>
      </w:r>
      <w:r w:rsidR="00B45E83">
        <w:t>.</w:t>
      </w:r>
      <w:r w:rsidR="00E2355A">
        <w:t xml:space="preserve"> 76</w:t>
      </w:r>
      <w:r w:rsidR="008F2677">
        <w:t xml:space="preserve"> at </w:t>
      </w:r>
      <w:r>
        <w:t>45-77</w:t>
      </w:r>
    </w:p>
  </w:footnote>
  <w:footnote w:id="79">
    <w:p w:rsidR="00A95179" w:rsidRDefault="00A95179">
      <w:pPr>
        <w:pStyle w:val="FootnoteText"/>
      </w:pPr>
      <w:r>
        <w:rPr>
          <w:rStyle w:val="FootnoteReference"/>
        </w:rPr>
        <w:footnoteRef/>
      </w:r>
      <w:r>
        <w:t xml:space="preserve"> </w:t>
      </w:r>
      <w:proofErr w:type="spellStart"/>
      <w:r w:rsidRPr="006D09C5">
        <w:rPr>
          <w:i/>
        </w:rPr>
        <w:t>Virender</w:t>
      </w:r>
      <w:proofErr w:type="spellEnd"/>
      <w:r w:rsidRPr="006D09C5">
        <w:rPr>
          <w:i/>
        </w:rPr>
        <w:t xml:space="preserve"> Gaur v State of Haryana</w:t>
      </w:r>
      <w:r>
        <w:t xml:space="preserve"> (1995) 2 SCC 577; </w:t>
      </w:r>
      <w:r w:rsidRPr="006D09C5">
        <w:rPr>
          <w:i/>
        </w:rPr>
        <w:t xml:space="preserve">Francis </w:t>
      </w:r>
      <w:r w:rsidR="00AC4CA0" w:rsidRPr="006D09C5">
        <w:rPr>
          <w:i/>
        </w:rPr>
        <w:t>Coralie v Delhi Administration</w:t>
      </w:r>
      <w:r w:rsidR="00AC4CA0">
        <w:t xml:space="preserve"> </w:t>
      </w:r>
      <w:r>
        <w:t>AIR 1981 SC 746</w:t>
      </w:r>
    </w:p>
  </w:footnote>
  <w:footnote w:id="80">
    <w:p w:rsidR="00FE13EB" w:rsidRDefault="00FE13EB">
      <w:pPr>
        <w:pStyle w:val="FootnoteText"/>
      </w:pPr>
      <w:r>
        <w:rPr>
          <w:rStyle w:val="FootnoteReference"/>
        </w:rPr>
        <w:footnoteRef/>
      </w:r>
      <w:r>
        <w:t xml:space="preserve"> </w:t>
      </w:r>
      <w:r w:rsidRPr="009952AB">
        <w:rPr>
          <w:i/>
        </w:rPr>
        <w:t>Goa Foundation v Union of India</w:t>
      </w:r>
      <w:r w:rsidR="00AA2648">
        <w:t xml:space="preserve"> Judgment dated July 18, 2013</w:t>
      </w:r>
      <w:r>
        <w:t xml:space="preserve"> para 18</w:t>
      </w:r>
    </w:p>
  </w:footnote>
  <w:footnote w:id="81">
    <w:p w:rsidR="00BB355B" w:rsidRDefault="00BB355B">
      <w:pPr>
        <w:pStyle w:val="FootnoteText"/>
      </w:pPr>
      <w:r>
        <w:rPr>
          <w:rStyle w:val="FootnoteReference"/>
        </w:rPr>
        <w:footnoteRef/>
      </w:r>
      <w:r w:rsidR="00AA2648">
        <w:t xml:space="preserve"> Judgment dated February 6 </w:t>
      </w:r>
      <w:r>
        <w:t>2014</w:t>
      </w:r>
    </w:p>
  </w:footnote>
  <w:footnote w:id="82">
    <w:p w:rsidR="00BB355B" w:rsidRDefault="00BB355B">
      <w:pPr>
        <w:pStyle w:val="FootnoteText"/>
      </w:pPr>
      <w:r>
        <w:rPr>
          <w:rStyle w:val="FootnoteReference"/>
        </w:rPr>
        <w:footnoteRef/>
      </w:r>
      <w:r>
        <w:t xml:space="preserve"> </w:t>
      </w:r>
      <w:r w:rsidRPr="009952AB">
        <w:t xml:space="preserve">Ibid </w:t>
      </w:r>
      <w:r>
        <w:t>para 12</w:t>
      </w:r>
    </w:p>
  </w:footnote>
  <w:footnote w:id="83">
    <w:p w:rsidR="00633EAA" w:rsidRDefault="00633EAA">
      <w:pPr>
        <w:pStyle w:val="FootnoteText"/>
      </w:pPr>
      <w:r>
        <w:rPr>
          <w:rStyle w:val="FootnoteReference"/>
        </w:rPr>
        <w:footnoteRef/>
      </w:r>
      <w:r w:rsidR="00AA2648">
        <w:t xml:space="preserve"> Judgment dated August 8</w:t>
      </w:r>
      <w:r>
        <w:t xml:space="preserve"> 2013</w:t>
      </w:r>
    </w:p>
  </w:footnote>
  <w:footnote w:id="84">
    <w:p w:rsidR="00633EAA" w:rsidRDefault="00633EAA">
      <w:pPr>
        <w:pStyle w:val="FootnoteText"/>
      </w:pPr>
      <w:r>
        <w:rPr>
          <w:rStyle w:val="FootnoteReference"/>
        </w:rPr>
        <w:footnoteRef/>
      </w:r>
      <w:r>
        <w:t xml:space="preserve"> </w:t>
      </w:r>
      <w:r w:rsidRPr="009952AB">
        <w:t>Ibid</w:t>
      </w:r>
      <w:r>
        <w:t xml:space="preserve"> para113</w:t>
      </w:r>
    </w:p>
  </w:footnote>
  <w:footnote w:id="85">
    <w:p w:rsidR="00B05C2C" w:rsidRDefault="00B05C2C">
      <w:pPr>
        <w:pStyle w:val="FootnoteText"/>
      </w:pPr>
      <w:r>
        <w:rPr>
          <w:rStyle w:val="FootnoteReference"/>
        </w:rPr>
        <w:footnoteRef/>
      </w:r>
      <w:r>
        <w:t xml:space="preserve"> </w:t>
      </w:r>
      <w:hyperlink r:id="rId9" w:history="1">
        <w:r w:rsidRPr="00B05C2C">
          <w:rPr>
            <w:rStyle w:val="Hyperlink"/>
            <w:color w:val="auto"/>
            <w:u w:val="none"/>
          </w:rPr>
          <w:t>http://www.nytimes.com/2014/02/14/opinion/indias-air-pollution-emergency.html?_r=0</w:t>
        </w:r>
      </w:hyperlink>
      <w:r w:rsidRPr="00B05C2C">
        <w:t xml:space="preserve"> </w:t>
      </w:r>
      <w:r>
        <w:t xml:space="preserve"> accessed 15.2.2014</w:t>
      </w:r>
    </w:p>
  </w:footnote>
  <w:footnote w:id="86">
    <w:p w:rsidR="00AF7CB0" w:rsidRDefault="00AF7CB0">
      <w:pPr>
        <w:pStyle w:val="FootnoteText"/>
      </w:pPr>
      <w:r>
        <w:rPr>
          <w:rStyle w:val="FootnoteReference"/>
        </w:rPr>
        <w:footnoteRef/>
      </w:r>
      <w:r>
        <w:t xml:space="preserve"> </w:t>
      </w:r>
      <w:hyperlink r:id="rId10" w:history="1">
        <w:r w:rsidRPr="00AF7CB0">
          <w:rPr>
            <w:rStyle w:val="Hyperlink"/>
            <w:color w:val="auto"/>
            <w:u w:val="none"/>
          </w:rPr>
          <w:t>http://www.bbc.co.uk/news/magazine-25944792</w:t>
        </w:r>
      </w:hyperlink>
      <w:r w:rsidRPr="00AF7CB0">
        <w:t xml:space="preserve"> </w:t>
      </w:r>
      <w:r>
        <w:t>accessed 10.2.2014</w:t>
      </w:r>
    </w:p>
  </w:footnote>
  <w:footnote w:id="87">
    <w:p w:rsidR="00F85AB3" w:rsidRDefault="00F85AB3">
      <w:pPr>
        <w:pStyle w:val="FootnoteText"/>
      </w:pPr>
      <w:r>
        <w:rPr>
          <w:rStyle w:val="FootnoteReference"/>
        </w:rPr>
        <w:footnoteRef/>
      </w:r>
      <w:r>
        <w:t xml:space="preserve"> Report of the World Commission on Environment and Development, </w:t>
      </w:r>
      <w:r w:rsidRPr="00F85AB3">
        <w:rPr>
          <w:i/>
        </w:rPr>
        <w:t>Our Common Future</w:t>
      </w:r>
      <w:r w:rsidR="00BD2305">
        <w:t xml:space="preserve"> (1987) (</w:t>
      </w:r>
      <w:r>
        <w:t xml:space="preserve">The </w:t>
      </w:r>
      <w:proofErr w:type="spellStart"/>
      <w:r>
        <w:t>Brundtland</w:t>
      </w:r>
      <w:proofErr w:type="spellEnd"/>
      <w:r>
        <w:t xml:space="preserve"> Report)</w:t>
      </w:r>
    </w:p>
  </w:footnote>
  <w:footnote w:id="88">
    <w:p w:rsidR="00D97903" w:rsidRPr="000F352D" w:rsidRDefault="00D97903" w:rsidP="005E1D5C">
      <w:pPr>
        <w:pStyle w:val="FootnoteText"/>
      </w:pPr>
      <w:r>
        <w:rPr>
          <w:rStyle w:val="FootnoteReference"/>
        </w:rPr>
        <w:footnoteRef/>
      </w:r>
      <w:r>
        <w:t xml:space="preserve"> </w:t>
      </w:r>
      <w:r w:rsidR="005E1D5C" w:rsidRPr="00BD2305">
        <w:rPr>
          <w:i/>
        </w:rPr>
        <w:t xml:space="preserve">G </w:t>
      </w:r>
      <w:proofErr w:type="spellStart"/>
      <w:r w:rsidR="005E1D5C" w:rsidRPr="00BD2305">
        <w:rPr>
          <w:i/>
        </w:rPr>
        <w:t>Sundarrajan</w:t>
      </w:r>
      <w:proofErr w:type="spellEnd"/>
      <w:r w:rsidR="005E1D5C" w:rsidRPr="00BD2305">
        <w:rPr>
          <w:i/>
        </w:rPr>
        <w:t xml:space="preserve"> v Union of India</w:t>
      </w:r>
      <w:r w:rsidR="00BD2305">
        <w:t xml:space="preserve"> </w:t>
      </w:r>
      <w:r w:rsidR="005E1D5C">
        <w:t>Supreme Court o</w:t>
      </w:r>
      <w:r w:rsidR="00BD2305">
        <w:t>f India order dated May 6, 2013</w:t>
      </w:r>
      <w:r w:rsidR="005E1D5C">
        <w:t xml:space="preserve">; </w:t>
      </w:r>
      <w:r w:rsidR="000F352D" w:rsidRPr="00BD2305">
        <w:rPr>
          <w:i/>
        </w:rPr>
        <w:t>M. C. Mehta v Union of</w:t>
      </w:r>
      <w:r w:rsidR="000F352D" w:rsidRPr="000F352D">
        <w:t xml:space="preserve"> </w:t>
      </w:r>
      <w:r w:rsidR="000F352D" w:rsidRPr="00BD2305">
        <w:rPr>
          <w:i/>
        </w:rPr>
        <w:t>I</w:t>
      </w:r>
      <w:r w:rsidR="005E1D5C" w:rsidRPr="00BD2305">
        <w:rPr>
          <w:i/>
        </w:rPr>
        <w:t>ndia</w:t>
      </w:r>
      <w:r w:rsidR="005E1D5C">
        <w:t xml:space="preserve"> (1992) 3 SCC 256</w:t>
      </w:r>
      <w:r w:rsidR="000F352D" w:rsidRPr="000F352D">
        <w:t xml:space="preserve">; </w:t>
      </w:r>
      <w:r w:rsidR="000F352D" w:rsidRPr="00BD2305">
        <w:rPr>
          <w:i/>
        </w:rPr>
        <w:t xml:space="preserve">Buffalo Traders Welfare Association v </w:t>
      </w:r>
      <w:proofErr w:type="spellStart"/>
      <w:r w:rsidR="000F352D" w:rsidRPr="00BD2305">
        <w:rPr>
          <w:i/>
        </w:rPr>
        <w:t>Maneka</w:t>
      </w:r>
      <w:proofErr w:type="spellEnd"/>
      <w:r w:rsidR="000F352D" w:rsidRPr="00BD2305">
        <w:rPr>
          <w:i/>
        </w:rPr>
        <w:t xml:space="preserve"> Gandhi</w:t>
      </w:r>
      <w:r w:rsidR="000F352D" w:rsidRPr="000F352D">
        <w:t xml:space="preserve"> (1996) 11 SCC 35; </w:t>
      </w:r>
      <w:r w:rsidR="000F352D" w:rsidRPr="00BD2305">
        <w:rPr>
          <w:i/>
          <w:iCs/>
        </w:rPr>
        <w:t xml:space="preserve">Narmada </w:t>
      </w:r>
      <w:proofErr w:type="spellStart"/>
      <w:r w:rsidR="000F352D" w:rsidRPr="00BD2305">
        <w:rPr>
          <w:i/>
          <w:iCs/>
        </w:rPr>
        <w:t>Bachao</w:t>
      </w:r>
      <w:proofErr w:type="spellEnd"/>
      <w:r w:rsidR="000F352D" w:rsidRPr="00BD2305">
        <w:rPr>
          <w:i/>
          <w:iCs/>
        </w:rPr>
        <w:t xml:space="preserve"> </w:t>
      </w:r>
      <w:proofErr w:type="spellStart"/>
      <w:r w:rsidR="000F352D" w:rsidRPr="00BD2305">
        <w:rPr>
          <w:i/>
          <w:iCs/>
        </w:rPr>
        <w:t>Andolan</w:t>
      </w:r>
      <w:proofErr w:type="spellEnd"/>
      <w:r w:rsidR="000F352D" w:rsidRPr="000F352D">
        <w:rPr>
          <w:iCs/>
        </w:rPr>
        <w:t xml:space="preserve"> v. Union of India </w:t>
      </w:r>
      <w:r w:rsidR="000F352D" w:rsidRPr="000F352D">
        <w:t xml:space="preserve">(2000) 10 SCC 664; </w:t>
      </w:r>
      <w:r w:rsidR="000F352D" w:rsidRPr="00BD2305">
        <w:rPr>
          <w:i/>
        </w:rPr>
        <w:t xml:space="preserve">T. N </w:t>
      </w:r>
      <w:proofErr w:type="spellStart"/>
      <w:r w:rsidR="000F352D" w:rsidRPr="00BD2305">
        <w:rPr>
          <w:i/>
          <w:iCs/>
        </w:rPr>
        <w:t>Godavarman</w:t>
      </w:r>
      <w:proofErr w:type="spellEnd"/>
      <w:r w:rsidR="000F352D" w:rsidRPr="00BD2305">
        <w:rPr>
          <w:i/>
          <w:iCs/>
        </w:rPr>
        <w:t xml:space="preserve"> </w:t>
      </w:r>
      <w:proofErr w:type="spellStart"/>
      <w:r w:rsidR="000F352D" w:rsidRPr="00BD2305">
        <w:rPr>
          <w:i/>
          <w:iCs/>
        </w:rPr>
        <w:t>Thirumulpad</w:t>
      </w:r>
      <w:proofErr w:type="spellEnd"/>
      <w:r w:rsidR="000F352D" w:rsidRPr="00BD2305">
        <w:rPr>
          <w:i/>
          <w:iCs/>
        </w:rPr>
        <w:t xml:space="preserve"> v. Union of India</w:t>
      </w:r>
      <w:r w:rsidR="000F352D" w:rsidRPr="000F352D">
        <w:rPr>
          <w:iCs/>
        </w:rPr>
        <w:t xml:space="preserve"> </w:t>
      </w:r>
      <w:r w:rsidR="000F352D" w:rsidRPr="000F352D">
        <w:t xml:space="preserve">(2002) 10 SCC 606; </w:t>
      </w:r>
      <w:r w:rsidR="000F352D" w:rsidRPr="00BD2305">
        <w:rPr>
          <w:i/>
          <w:iCs/>
        </w:rPr>
        <w:t>M.C. Mehta v. Union of India</w:t>
      </w:r>
      <w:r w:rsidR="000F352D" w:rsidRPr="000F352D">
        <w:rPr>
          <w:iCs/>
        </w:rPr>
        <w:t xml:space="preserve"> </w:t>
      </w:r>
      <w:r w:rsidR="000F352D" w:rsidRPr="000F352D">
        <w:t xml:space="preserve">(2004) 6 SCC 588; </w:t>
      </w:r>
      <w:r w:rsidR="000F352D" w:rsidRPr="00BD2305">
        <w:rPr>
          <w:i/>
        </w:rPr>
        <w:t>M.C</w:t>
      </w:r>
      <w:r w:rsidR="000F352D" w:rsidRPr="00BD2305">
        <w:rPr>
          <w:i/>
          <w:iCs/>
        </w:rPr>
        <w:t>. Mehta v. Union of India</w:t>
      </w:r>
      <w:r w:rsidR="000F352D" w:rsidRPr="000F352D">
        <w:rPr>
          <w:iCs/>
        </w:rPr>
        <w:t xml:space="preserve"> </w:t>
      </w:r>
      <w:r w:rsidR="00F56A7C">
        <w:t>(2004) 12 SCC 118</w:t>
      </w:r>
    </w:p>
  </w:footnote>
  <w:footnote w:id="89">
    <w:p w:rsidR="00F8262E" w:rsidRDefault="00F8262E">
      <w:pPr>
        <w:pStyle w:val="FootnoteText"/>
      </w:pPr>
      <w:r>
        <w:rPr>
          <w:rStyle w:val="FootnoteReference"/>
        </w:rPr>
        <w:footnoteRef/>
      </w:r>
      <w:r w:rsidR="00E14067">
        <w:t xml:space="preserve"> </w:t>
      </w:r>
      <w:proofErr w:type="spellStart"/>
      <w:r w:rsidR="00E14067" w:rsidRPr="00BD2305">
        <w:rPr>
          <w:i/>
        </w:rPr>
        <w:t>Shobha</w:t>
      </w:r>
      <w:proofErr w:type="spellEnd"/>
      <w:r w:rsidR="00E14067" w:rsidRPr="00BD2305">
        <w:rPr>
          <w:i/>
        </w:rPr>
        <w:t xml:space="preserve"> </w:t>
      </w:r>
      <w:proofErr w:type="spellStart"/>
      <w:r w:rsidR="00E14067" w:rsidRPr="00BD2305">
        <w:rPr>
          <w:i/>
        </w:rPr>
        <w:t>Phadanvis</w:t>
      </w:r>
      <w:proofErr w:type="spellEnd"/>
      <w:r w:rsidR="00E14067" w:rsidRPr="00BD2305">
        <w:rPr>
          <w:i/>
        </w:rPr>
        <w:t xml:space="preserve"> v State of Maharashtra</w:t>
      </w:r>
      <w:r w:rsidR="00A912CE">
        <w:t xml:space="preserve"> Judgment dated January 13</w:t>
      </w:r>
      <w:r w:rsidR="00E14067">
        <w:t xml:space="preserve"> 2014; </w:t>
      </w:r>
      <w:r>
        <w:t xml:space="preserve"> </w:t>
      </w:r>
      <w:proofErr w:type="spellStart"/>
      <w:r w:rsidRPr="00BD2305">
        <w:rPr>
          <w:i/>
        </w:rPr>
        <w:t>Sarang</w:t>
      </w:r>
      <w:proofErr w:type="spellEnd"/>
      <w:r w:rsidRPr="00BD2305">
        <w:rPr>
          <w:i/>
        </w:rPr>
        <w:t xml:space="preserve"> </w:t>
      </w:r>
      <w:proofErr w:type="spellStart"/>
      <w:r w:rsidRPr="00BD2305">
        <w:rPr>
          <w:i/>
        </w:rPr>
        <w:t>Yadwadkar</w:t>
      </w:r>
      <w:proofErr w:type="spellEnd"/>
      <w:r w:rsidRPr="00BD2305">
        <w:rPr>
          <w:i/>
        </w:rPr>
        <w:t xml:space="preserve"> v The</w:t>
      </w:r>
      <w:r>
        <w:t xml:space="preserve"> </w:t>
      </w:r>
      <w:r w:rsidRPr="00BD2305">
        <w:rPr>
          <w:i/>
        </w:rPr>
        <w:t>Commissioner</w:t>
      </w:r>
      <w:r w:rsidR="00362895">
        <w:t xml:space="preserve"> Judgment dated July 11</w:t>
      </w:r>
      <w:r>
        <w:t xml:space="preserve"> </w:t>
      </w:r>
      <w:r w:rsidR="005E1D5C">
        <w:t>2013</w:t>
      </w:r>
      <w:r w:rsidR="00DE431B">
        <w:t xml:space="preserve">; </w:t>
      </w:r>
      <w:proofErr w:type="spellStart"/>
      <w:r w:rsidR="00DE431B" w:rsidRPr="00BD2305">
        <w:rPr>
          <w:i/>
        </w:rPr>
        <w:t>Devender</w:t>
      </w:r>
      <w:proofErr w:type="spellEnd"/>
      <w:r w:rsidR="00DE431B" w:rsidRPr="00BD2305">
        <w:rPr>
          <w:i/>
        </w:rPr>
        <w:t xml:space="preserve"> Kumar v Union of</w:t>
      </w:r>
      <w:r w:rsidR="00DE431B">
        <w:t xml:space="preserve"> </w:t>
      </w:r>
      <w:r w:rsidR="00DE431B" w:rsidRPr="00BD2305">
        <w:rPr>
          <w:i/>
        </w:rPr>
        <w:t>India</w:t>
      </w:r>
      <w:r w:rsidR="00362895">
        <w:t xml:space="preserve"> Judgment dated March 14</w:t>
      </w:r>
      <w:r w:rsidR="00F56A7C">
        <w:t xml:space="preserve"> 2013</w:t>
      </w:r>
    </w:p>
  </w:footnote>
  <w:footnote w:id="90">
    <w:p w:rsidR="00D55E21" w:rsidRDefault="00D55E21">
      <w:pPr>
        <w:pStyle w:val="FootnoteText"/>
      </w:pPr>
      <w:r>
        <w:rPr>
          <w:rStyle w:val="FootnoteReference"/>
        </w:rPr>
        <w:footnoteRef/>
      </w:r>
      <w:r w:rsidR="00362895">
        <w:t xml:space="preserve"> Judgment dated January 29 </w:t>
      </w:r>
      <w:r>
        <w:t>2014</w:t>
      </w:r>
    </w:p>
  </w:footnote>
  <w:footnote w:id="91">
    <w:p w:rsidR="00BA3FBC" w:rsidRDefault="00BA3FBC">
      <w:pPr>
        <w:pStyle w:val="FootnoteText"/>
      </w:pPr>
      <w:r>
        <w:rPr>
          <w:rStyle w:val="FootnoteReference"/>
        </w:rPr>
        <w:footnoteRef/>
      </w:r>
      <w:r w:rsidR="00362895">
        <w:t xml:space="preserve"> Judgment dated July 11</w:t>
      </w:r>
      <w:r w:rsidR="00621804">
        <w:t xml:space="preserve"> 2013</w:t>
      </w:r>
    </w:p>
  </w:footnote>
  <w:footnote w:id="92">
    <w:p w:rsidR="00E11A29" w:rsidRDefault="00E11A29">
      <w:pPr>
        <w:pStyle w:val="FootnoteText"/>
      </w:pPr>
      <w:r>
        <w:rPr>
          <w:rStyle w:val="FootnoteReference"/>
        </w:rPr>
        <w:footnoteRef/>
      </w:r>
      <w:r w:rsidR="003151DD">
        <w:t xml:space="preserve"> Judgment dated November 29</w:t>
      </w:r>
      <w:r>
        <w:t xml:space="preserve"> 2011</w:t>
      </w:r>
    </w:p>
  </w:footnote>
  <w:footnote w:id="93">
    <w:p w:rsidR="00701C1B" w:rsidRPr="00701C1B" w:rsidRDefault="00701C1B" w:rsidP="00701C1B">
      <w:pPr>
        <w:autoSpaceDE w:val="0"/>
        <w:autoSpaceDN w:val="0"/>
        <w:adjustRightInd w:val="0"/>
        <w:spacing w:after="0" w:line="240" w:lineRule="auto"/>
        <w:rPr>
          <w:rFonts w:ascii="TimesNewRoman-NormalItalic" w:hAnsi="TimesNewRoman-NormalItalic" w:cs="TimesNewRoman-NormalItalic"/>
          <w:i/>
          <w:iCs/>
          <w:sz w:val="20"/>
          <w:szCs w:val="20"/>
        </w:rPr>
      </w:pPr>
      <w:r>
        <w:rPr>
          <w:rStyle w:val="FootnoteReference"/>
        </w:rPr>
        <w:footnoteRef/>
      </w:r>
      <w:r>
        <w:t xml:space="preserve"> </w:t>
      </w:r>
      <w:r w:rsidRPr="00701C1B">
        <w:rPr>
          <w:sz w:val="20"/>
          <w:szCs w:val="20"/>
        </w:rPr>
        <w:t xml:space="preserve">Rosie Cooney, ‘The Precautionary Principle in Biodiversity Conservation and Natural Resource Management: </w:t>
      </w:r>
      <w:r w:rsidRPr="00701C1B">
        <w:rPr>
          <w:rFonts w:cs="TimesNewRoman-NormalItalic"/>
          <w:iCs/>
          <w:sz w:val="20"/>
          <w:szCs w:val="20"/>
        </w:rPr>
        <w:t>An issues paper for policy-makers, researchers and practitioners</w:t>
      </w:r>
      <w:r w:rsidR="00E61D6C">
        <w:rPr>
          <w:rFonts w:cs="TimesNewRoman"/>
          <w:sz w:val="20"/>
          <w:szCs w:val="20"/>
        </w:rPr>
        <w:t>’</w:t>
      </w:r>
      <w:r w:rsidR="003151DD">
        <w:rPr>
          <w:rFonts w:cs="TimesNewRoman"/>
          <w:sz w:val="20"/>
          <w:szCs w:val="20"/>
        </w:rPr>
        <w:t xml:space="preserve"> IUCN (2004) </w:t>
      </w:r>
      <w:r>
        <w:rPr>
          <w:rFonts w:cs="TimesNewRoman"/>
          <w:sz w:val="20"/>
          <w:szCs w:val="20"/>
        </w:rPr>
        <w:t>1</w:t>
      </w:r>
    </w:p>
  </w:footnote>
  <w:footnote w:id="94">
    <w:p w:rsidR="00B55785" w:rsidRDefault="00B55785" w:rsidP="00B55785">
      <w:pPr>
        <w:pStyle w:val="FootnoteText"/>
      </w:pPr>
      <w:r>
        <w:rPr>
          <w:rStyle w:val="FootnoteReference"/>
        </w:rPr>
        <w:footnoteRef/>
      </w:r>
      <w:r>
        <w:t xml:space="preserve"> </w:t>
      </w:r>
      <w:proofErr w:type="spellStart"/>
      <w:r>
        <w:t>Jaye</w:t>
      </w:r>
      <w:proofErr w:type="spellEnd"/>
      <w:r>
        <w:t xml:space="preserve"> Ellis, </w:t>
      </w:r>
      <w:r w:rsidR="00E61D6C">
        <w:t>‘</w:t>
      </w:r>
      <w:r w:rsidRPr="00E61D6C">
        <w:t>Perspective on discourses in international environmental law: expert knowledge and challenges to deliberative democracy</w:t>
      </w:r>
      <w:r w:rsidR="00E61D6C">
        <w:t>’</w:t>
      </w:r>
      <w:r>
        <w:t xml:space="preserve"> in Brad Jessup and Kim Rubenstein (</w:t>
      </w:r>
      <w:proofErr w:type="spellStart"/>
      <w:r>
        <w:t>eds</w:t>
      </w:r>
      <w:proofErr w:type="spellEnd"/>
      <w:r>
        <w:t xml:space="preserve">), </w:t>
      </w:r>
      <w:r w:rsidRPr="007F3303">
        <w:rPr>
          <w:i/>
        </w:rPr>
        <w:t>Environmental Discourses in Public and International Law</w:t>
      </w:r>
      <w:r w:rsidR="00E61D6C">
        <w:t xml:space="preserve"> (Cambridge University Press 2012)</w:t>
      </w:r>
      <w:r w:rsidR="003151DD">
        <w:t xml:space="preserve"> </w:t>
      </w:r>
      <w:r>
        <w:t xml:space="preserve"> 128</w:t>
      </w:r>
    </w:p>
    <w:p w:rsidR="00B55785" w:rsidRDefault="00B55785">
      <w:pPr>
        <w:pStyle w:val="FootnoteText"/>
      </w:pPr>
    </w:p>
  </w:footnote>
  <w:footnote w:id="95">
    <w:p w:rsidR="009F0B82" w:rsidRDefault="009F0B82">
      <w:pPr>
        <w:pStyle w:val="FootnoteText"/>
      </w:pPr>
      <w:r>
        <w:rPr>
          <w:rStyle w:val="FootnoteReference"/>
        </w:rPr>
        <w:footnoteRef/>
      </w:r>
      <w:r>
        <w:t xml:space="preserve"> </w:t>
      </w:r>
      <w:r w:rsidR="00EE050D" w:rsidRPr="007F6471">
        <w:rPr>
          <w:i/>
        </w:rPr>
        <w:t>Vellore Citizen’s Welfare Forum v Union of India</w:t>
      </w:r>
      <w:r w:rsidR="00EE050D">
        <w:t xml:space="preserve"> (1995) 5 SCC 647 at 658; </w:t>
      </w:r>
      <w:r w:rsidR="00EE050D" w:rsidRPr="007F6471">
        <w:rPr>
          <w:i/>
        </w:rPr>
        <w:t>Karnataka Industrial Area</w:t>
      </w:r>
      <w:r w:rsidR="00EE050D">
        <w:t xml:space="preserve"> </w:t>
      </w:r>
      <w:r w:rsidR="00EE050D" w:rsidRPr="007F6471">
        <w:rPr>
          <w:i/>
        </w:rPr>
        <w:t xml:space="preserve">Development Board v C. </w:t>
      </w:r>
      <w:proofErr w:type="spellStart"/>
      <w:r w:rsidR="00EE050D" w:rsidRPr="007F6471">
        <w:rPr>
          <w:i/>
        </w:rPr>
        <w:t>Kenchappa</w:t>
      </w:r>
      <w:proofErr w:type="spellEnd"/>
      <w:r w:rsidR="00EE050D">
        <w:t xml:space="preserve"> (2006) 6 SCC 371 at 384</w:t>
      </w:r>
    </w:p>
  </w:footnote>
  <w:footnote w:id="96">
    <w:p w:rsidR="00410600" w:rsidRPr="00410600" w:rsidRDefault="00410600" w:rsidP="00410600">
      <w:pPr>
        <w:pStyle w:val="Default"/>
        <w:rPr>
          <w:rFonts w:asciiTheme="minorHAnsi" w:hAnsiTheme="minorHAnsi"/>
          <w:sz w:val="20"/>
          <w:szCs w:val="20"/>
        </w:rPr>
      </w:pPr>
      <w:r w:rsidRPr="00410600">
        <w:rPr>
          <w:rStyle w:val="FootnoteReference"/>
          <w:rFonts w:asciiTheme="minorHAnsi" w:hAnsiTheme="minorHAnsi"/>
          <w:sz w:val="20"/>
          <w:szCs w:val="20"/>
        </w:rPr>
        <w:footnoteRef/>
      </w:r>
      <w:r w:rsidRPr="00410600">
        <w:rPr>
          <w:rFonts w:asciiTheme="minorHAnsi" w:hAnsiTheme="minorHAnsi"/>
          <w:sz w:val="20"/>
          <w:szCs w:val="20"/>
        </w:rPr>
        <w:t xml:space="preserve"> </w:t>
      </w:r>
      <w:r w:rsidRPr="000E2101">
        <w:rPr>
          <w:rFonts w:asciiTheme="minorHAnsi" w:hAnsiTheme="minorHAnsi"/>
          <w:i/>
          <w:iCs/>
          <w:sz w:val="20"/>
          <w:szCs w:val="20"/>
        </w:rPr>
        <w:t xml:space="preserve">Vellore Citizens’ Welfare Forum v. Union of India </w:t>
      </w:r>
      <w:r>
        <w:rPr>
          <w:rFonts w:asciiTheme="minorHAnsi" w:hAnsiTheme="minorHAnsi"/>
          <w:sz w:val="20"/>
          <w:szCs w:val="20"/>
        </w:rPr>
        <w:t xml:space="preserve">AIR 1996 SC 2715; </w:t>
      </w:r>
      <w:r w:rsidRPr="000E2101">
        <w:rPr>
          <w:rFonts w:asciiTheme="minorHAnsi" w:hAnsiTheme="minorHAnsi"/>
          <w:i/>
          <w:sz w:val="20"/>
          <w:szCs w:val="20"/>
        </w:rPr>
        <w:t>M. C. Mehta v Union of India</w:t>
      </w:r>
      <w:r>
        <w:rPr>
          <w:rFonts w:asciiTheme="minorHAnsi" w:hAnsiTheme="minorHAnsi"/>
          <w:sz w:val="20"/>
          <w:szCs w:val="20"/>
        </w:rPr>
        <w:t xml:space="preserve"> (2004) 12 SCC 118; </w:t>
      </w:r>
      <w:r w:rsidRPr="000E2101">
        <w:rPr>
          <w:rFonts w:asciiTheme="minorHAnsi" w:hAnsiTheme="minorHAnsi"/>
          <w:i/>
          <w:sz w:val="20"/>
          <w:szCs w:val="20"/>
        </w:rPr>
        <w:t>Research Foundation for Science v Union of India</w:t>
      </w:r>
      <w:r>
        <w:rPr>
          <w:rFonts w:asciiTheme="minorHAnsi" w:hAnsiTheme="minorHAnsi"/>
          <w:sz w:val="20"/>
          <w:szCs w:val="20"/>
        </w:rPr>
        <w:t xml:space="preserve"> (2005) 13 SCC 186</w:t>
      </w:r>
    </w:p>
    <w:p w:rsidR="00410600" w:rsidRDefault="00410600">
      <w:pPr>
        <w:pStyle w:val="FootnoteText"/>
      </w:pPr>
    </w:p>
  </w:footnote>
  <w:footnote w:id="97">
    <w:p w:rsidR="00634CB6" w:rsidRDefault="00634CB6">
      <w:pPr>
        <w:pStyle w:val="FootnoteText"/>
      </w:pPr>
      <w:r>
        <w:rPr>
          <w:rStyle w:val="FootnoteReference"/>
        </w:rPr>
        <w:footnoteRef/>
      </w:r>
      <w:r>
        <w:t xml:space="preserve"> </w:t>
      </w:r>
      <w:r w:rsidRPr="000E2101">
        <w:rPr>
          <w:i/>
        </w:rPr>
        <w:t>Goa Foundation v Union of India</w:t>
      </w:r>
      <w:r>
        <w:t xml:space="preserve"> Judgmen</w:t>
      </w:r>
      <w:r w:rsidR="003C30CE">
        <w:t>t dated July 18</w:t>
      </w:r>
      <w:r w:rsidR="00AD0084">
        <w:t xml:space="preserve"> 2013</w:t>
      </w:r>
    </w:p>
  </w:footnote>
  <w:footnote w:id="98">
    <w:p w:rsidR="00410600" w:rsidRDefault="00410600">
      <w:pPr>
        <w:pStyle w:val="FootnoteText"/>
      </w:pPr>
      <w:r>
        <w:rPr>
          <w:rStyle w:val="FootnoteReference"/>
        </w:rPr>
        <w:footnoteRef/>
      </w:r>
      <w:r>
        <w:t xml:space="preserve"> </w:t>
      </w:r>
      <w:r w:rsidR="003C30CE">
        <w:t>Judgment dated May 23</w:t>
      </w:r>
      <w:r w:rsidR="002B3A29">
        <w:t xml:space="preserve"> 2012</w:t>
      </w:r>
    </w:p>
  </w:footnote>
  <w:footnote w:id="99">
    <w:p w:rsidR="00EE2A76" w:rsidRDefault="00EE2A76">
      <w:pPr>
        <w:pStyle w:val="FootnoteText"/>
      </w:pPr>
      <w:r>
        <w:rPr>
          <w:rStyle w:val="FootnoteReference"/>
        </w:rPr>
        <w:footnoteRef/>
      </w:r>
      <w:r w:rsidR="003C30CE">
        <w:t xml:space="preserve"> Judgment dated October 11</w:t>
      </w:r>
      <w:r>
        <w:t xml:space="preserve"> 2011</w:t>
      </w:r>
    </w:p>
  </w:footnote>
  <w:footnote w:id="100">
    <w:p w:rsidR="00DB228C" w:rsidRDefault="00DB228C">
      <w:pPr>
        <w:pStyle w:val="FootnoteText"/>
      </w:pPr>
      <w:r>
        <w:rPr>
          <w:rStyle w:val="FootnoteReference"/>
        </w:rPr>
        <w:footnoteRef/>
      </w:r>
      <w:r w:rsidR="003C30CE">
        <w:t xml:space="preserve"> Judgment dated February 6</w:t>
      </w:r>
      <w:r>
        <w:t xml:space="preserve"> 2014</w:t>
      </w:r>
    </w:p>
  </w:footnote>
  <w:footnote w:id="101">
    <w:p w:rsidR="006C4DC2" w:rsidRDefault="006C4DC2">
      <w:pPr>
        <w:pStyle w:val="FootnoteText"/>
      </w:pPr>
      <w:r>
        <w:rPr>
          <w:rStyle w:val="FootnoteReference"/>
        </w:rPr>
        <w:footnoteRef/>
      </w:r>
      <w:r w:rsidR="003C30CE">
        <w:t xml:space="preserve"> See,</w:t>
      </w:r>
      <w:r w:rsidR="00AE5C83">
        <w:t xml:space="preserve"> above</w:t>
      </w:r>
      <w:r w:rsidR="003C30CE">
        <w:t xml:space="preserve"> n. 91</w:t>
      </w:r>
    </w:p>
  </w:footnote>
  <w:footnote w:id="102">
    <w:p w:rsidR="009D52D5" w:rsidRDefault="00B44666" w:rsidP="009D52D5">
      <w:r>
        <w:rPr>
          <w:rStyle w:val="FootnoteReference"/>
        </w:rPr>
        <w:footnoteRef/>
      </w:r>
      <w:r>
        <w:t xml:space="preserve"> </w:t>
      </w:r>
      <w:proofErr w:type="gramStart"/>
      <w:r>
        <w:t>Ibid para 30</w:t>
      </w:r>
      <w:r w:rsidR="009D52D5">
        <w:t>.</w:t>
      </w:r>
      <w:proofErr w:type="gramEnd"/>
      <w:r w:rsidR="009D52D5">
        <w:t xml:space="preserve"> Additionally, see the case, </w:t>
      </w:r>
      <w:r w:rsidR="009D52D5" w:rsidRPr="00605C76">
        <w:rPr>
          <w:i/>
        </w:rPr>
        <w:t xml:space="preserve">M/S </w:t>
      </w:r>
      <w:proofErr w:type="spellStart"/>
      <w:r w:rsidR="009D52D5" w:rsidRPr="00605C76">
        <w:rPr>
          <w:i/>
        </w:rPr>
        <w:t>Sterlite</w:t>
      </w:r>
      <w:proofErr w:type="spellEnd"/>
      <w:r w:rsidR="009D52D5" w:rsidRPr="00605C76">
        <w:rPr>
          <w:i/>
        </w:rPr>
        <w:t xml:space="preserve"> Industries (India) Ltd v Tamil Nadu Pollution</w:t>
      </w:r>
      <w:r w:rsidR="009D52D5">
        <w:t xml:space="preserve"> </w:t>
      </w:r>
      <w:r w:rsidR="009D52D5" w:rsidRPr="00605C76">
        <w:rPr>
          <w:i/>
        </w:rPr>
        <w:t>Control Board</w:t>
      </w:r>
      <w:r w:rsidR="009D52D5">
        <w:t>, Judgment dated August 8, 2013 wherein the Tribunal stated ‘</w:t>
      </w:r>
      <w:r w:rsidR="009D52D5" w:rsidRPr="009D52D5">
        <w:rPr>
          <w:sz w:val="20"/>
          <w:szCs w:val="20"/>
        </w:rPr>
        <w:t>Precautionary principle is one of the most important concepts of sustainable development. This principle essentially has the element of prevention as well as prohibition. In order to protect the environment, it may become necessary to take some preventive measures as well as to prohibit certain activities. These decisions should be based on best possible scientific information and analysis of risks. Precautionary measures may still have to be taken where there is uncertainty but potential risk exists</w:t>
      </w:r>
      <w:r w:rsidR="009D52D5">
        <w:rPr>
          <w:sz w:val="28"/>
          <w:szCs w:val="28"/>
        </w:rPr>
        <w:t>.’</w:t>
      </w:r>
    </w:p>
    <w:p w:rsidR="00B44666" w:rsidRDefault="00B44666">
      <w:pPr>
        <w:pStyle w:val="FootnoteText"/>
      </w:pPr>
    </w:p>
  </w:footnote>
  <w:footnote w:id="103">
    <w:p w:rsidR="00F75528" w:rsidRDefault="00F75528">
      <w:pPr>
        <w:pStyle w:val="FootnoteText"/>
      </w:pPr>
      <w:r>
        <w:rPr>
          <w:rStyle w:val="FootnoteReference"/>
        </w:rPr>
        <w:footnoteRef/>
      </w:r>
      <w:r>
        <w:t xml:space="preserve"> </w:t>
      </w:r>
      <w:r w:rsidR="008044F7">
        <w:t>See Kiss and Shelton,</w:t>
      </w:r>
      <w:r w:rsidR="0076647F">
        <w:t xml:space="preserve"> above</w:t>
      </w:r>
      <w:r w:rsidR="008044F7">
        <w:t xml:space="preserve"> n.4 at </w:t>
      </w:r>
      <w:r>
        <w:t>119</w:t>
      </w:r>
    </w:p>
  </w:footnote>
  <w:footnote w:id="104">
    <w:p w:rsidR="00AE11A5" w:rsidRDefault="00AE11A5">
      <w:pPr>
        <w:pStyle w:val="FootnoteText"/>
      </w:pPr>
      <w:r>
        <w:rPr>
          <w:rStyle w:val="FootnoteReference"/>
        </w:rPr>
        <w:footnoteRef/>
      </w:r>
      <w:r>
        <w:t xml:space="preserve"> </w:t>
      </w:r>
      <w:r w:rsidRPr="0076647F">
        <w:rPr>
          <w:i/>
        </w:rPr>
        <w:t xml:space="preserve">Indian Council for </w:t>
      </w:r>
      <w:proofErr w:type="spellStart"/>
      <w:r w:rsidRPr="0076647F">
        <w:rPr>
          <w:i/>
        </w:rPr>
        <w:t>Enviro</w:t>
      </w:r>
      <w:proofErr w:type="spellEnd"/>
      <w:r w:rsidRPr="0076647F">
        <w:rPr>
          <w:i/>
        </w:rPr>
        <w:t>-Legal Action v Union of India</w:t>
      </w:r>
      <w:r>
        <w:t xml:space="preserve"> (1996) 3 SCC 212; </w:t>
      </w:r>
      <w:r w:rsidR="0076647F">
        <w:rPr>
          <w:i/>
        </w:rPr>
        <w:t xml:space="preserve">Karnataka Industrial Area </w:t>
      </w:r>
      <w:r w:rsidRPr="0076647F">
        <w:rPr>
          <w:i/>
        </w:rPr>
        <w:t xml:space="preserve">Development Board v C </w:t>
      </w:r>
      <w:proofErr w:type="spellStart"/>
      <w:r w:rsidRPr="0076647F">
        <w:rPr>
          <w:i/>
        </w:rPr>
        <w:t>Kenchappa</w:t>
      </w:r>
      <w:proofErr w:type="spellEnd"/>
      <w:r>
        <w:t xml:space="preserve"> (2006) 6 SCC 371</w:t>
      </w:r>
      <w:r w:rsidR="00022624">
        <w:t xml:space="preserve">; </w:t>
      </w:r>
      <w:r w:rsidR="00022624" w:rsidRPr="0076647F">
        <w:rPr>
          <w:i/>
        </w:rPr>
        <w:t>M. C. Mehta v Union of India</w:t>
      </w:r>
      <w:r w:rsidR="00022624">
        <w:t xml:space="preserve"> (2006) 3 SCC 399</w:t>
      </w:r>
    </w:p>
  </w:footnote>
  <w:footnote w:id="105">
    <w:p w:rsidR="00723441" w:rsidRDefault="00723441">
      <w:pPr>
        <w:pStyle w:val="FootnoteText"/>
      </w:pPr>
      <w:r>
        <w:rPr>
          <w:rStyle w:val="FootnoteReference"/>
        </w:rPr>
        <w:footnoteRef/>
      </w:r>
      <w:r w:rsidR="008A5C7B">
        <w:t xml:space="preserve"> Judgment dated March 19</w:t>
      </w:r>
      <w:r>
        <w:t xml:space="preserve"> 2012</w:t>
      </w:r>
    </w:p>
  </w:footnote>
  <w:footnote w:id="106">
    <w:p w:rsidR="004B0123" w:rsidRDefault="004B0123">
      <w:pPr>
        <w:pStyle w:val="FootnoteText"/>
      </w:pPr>
      <w:r>
        <w:rPr>
          <w:rStyle w:val="FootnoteReference"/>
        </w:rPr>
        <w:footnoteRef/>
      </w:r>
      <w:r>
        <w:t xml:space="preserve"> Ibid para 17</w:t>
      </w:r>
    </w:p>
  </w:footnote>
  <w:footnote w:id="107">
    <w:p w:rsidR="00AB6CAB" w:rsidRDefault="00AB6CAB">
      <w:pPr>
        <w:pStyle w:val="FootnoteText"/>
      </w:pPr>
      <w:r>
        <w:rPr>
          <w:rStyle w:val="FootnoteReference"/>
        </w:rPr>
        <w:footnoteRef/>
      </w:r>
      <w:r w:rsidR="008952FB">
        <w:t xml:space="preserve"> </w:t>
      </w:r>
      <w:r w:rsidR="008A5C7B">
        <w:t xml:space="preserve"> See,</w:t>
      </w:r>
      <w:r w:rsidR="000A251B">
        <w:t xml:space="preserve"> above</w:t>
      </w:r>
      <w:r w:rsidR="00F5355B">
        <w:t xml:space="preserve"> n.100</w:t>
      </w:r>
    </w:p>
  </w:footnote>
  <w:footnote w:id="108">
    <w:p w:rsidR="00FB7840" w:rsidRDefault="00FB7840">
      <w:pPr>
        <w:pStyle w:val="FootnoteText"/>
      </w:pPr>
      <w:r>
        <w:rPr>
          <w:rStyle w:val="FootnoteReference"/>
        </w:rPr>
        <w:footnoteRef/>
      </w:r>
      <w:r>
        <w:t xml:space="preserve"> As per the figures available, nearly 10,000 people visit the tourist spot per day in the months of May and June and 87.3 percent of total vehicles plying on </w:t>
      </w:r>
      <w:proofErr w:type="spellStart"/>
      <w:r>
        <w:t>Rohtang</w:t>
      </w:r>
      <w:proofErr w:type="spellEnd"/>
      <w:r>
        <w:t xml:space="preserve"> Pa</w:t>
      </w:r>
      <w:r w:rsidR="000A251B">
        <w:t>ss belong to tourists</w:t>
      </w:r>
      <w:r>
        <w:t xml:space="preserve"> </w:t>
      </w:r>
    </w:p>
  </w:footnote>
  <w:footnote w:id="109">
    <w:p w:rsidR="007E3E98" w:rsidRDefault="007E3E98">
      <w:pPr>
        <w:pStyle w:val="FootnoteText"/>
      </w:pPr>
      <w:r>
        <w:rPr>
          <w:rStyle w:val="FootnoteReference"/>
        </w:rPr>
        <w:footnoteRef/>
      </w:r>
      <w:r w:rsidR="00603783">
        <w:t xml:space="preserve"> Judgment dated July 22</w:t>
      </w:r>
      <w:r>
        <w:t xml:space="preserve"> 2013</w:t>
      </w:r>
    </w:p>
  </w:footnote>
  <w:footnote w:id="110">
    <w:p w:rsidR="00C33518" w:rsidRPr="00C33518" w:rsidRDefault="00C33518" w:rsidP="00C33518">
      <w:pPr>
        <w:suppressAutoHyphens/>
        <w:spacing w:after="0"/>
        <w:jc w:val="both"/>
        <w:rPr>
          <w:rFonts w:ascii="Calibri" w:eastAsia="Times New Roman" w:hAnsi="Calibri" w:cs="Calibri"/>
          <w:bCs/>
          <w:sz w:val="20"/>
          <w:szCs w:val="20"/>
          <w:lang w:val="en-US" w:eastAsia="ar-SA"/>
        </w:rPr>
      </w:pPr>
      <w:r>
        <w:rPr>
          <w:rStyle w:val="FootnoteReference"/>
        </w:rPr>
        <w:footnoteRef/>
      </w:r>
      <w:r>
        <w:t xml:space="preserve"> </w:t>
      </w:r>
      <w:proofErr w:type="spellStart"/>
      <w:r w:rsidRPr="00C33518">
        <w:rPr>
          <w:rFonts w:ascii="Calibri" w:eastAsia="Times New Roman" w:hAnsi="Calibri" w:cs="Calibri"/>
          <w:bCs/>
          <w:sz w:val="20"/>
          <w:szCs w:val="20"/>
          <w:lang w:val="en-US" w:eastAsia="ar-SA"/>
        </w:rPr>
        <w:t>Gitanjali</w:t>
      </w:r>
      <w:proofErr w:type="spellEnd"/>
      <w:r w:rsidRPr="00C33518">
        <w:rPr>
          <w:rFonts w:ascii="Calibri" w:eastAsia="Times New Roman" w:hAnsi="Calibri" w:cs="Calibri"/>
          <w:bCs/>
          <w:sz w:val="20"/>
          <w:szCs w:val="20"/>
          <w:lang w:val="en-US" w:eastAsia="ar-SA"/>
        </w:rPr>
        <w:t xml:space="preserve"> Nain Gill, ‘Environmental Protection and Development Interests: A Case Study of the River Yamuna and the Commonwealth Games, Delhi 2010’ </w:t>
      </w:r>
      <w:r w:rsidR="002A0EF0">
        <w:rPr>
          <w:rFonts w:ascii="Calibri" w:eastAsia="Times New Roman" w:hAnsi="Calibri" w:cs="Calibri"/>
          <w:bCs/>
          <w:sz w:val="20"/>
          <w:szCs w:val="20"/>
          <w:lang w:val="en-US" w:eastAsia="ar-SA"/>
        </w:rPr>
        <w:t xml:space="preserve">6 1/2 </w:t>
      </w:r>
      <w:r w:rsidRPr="002A0EF0">
        <w:rPr>
          <w:rFonts w:ascii="Calibri" w:eastAsia="Times New Roman" w:hAnsi="Calibri" w:cs="Calibri"/>
          <w:bCs/>
          <w:i/>
          <w:sz w:val="20"/>
          <w:szCs w:val="20"/>
          <w:lang w:val="en-US" w:eastAsia="ar-SA"/>
        </w:rPr>
        <w:t>The International Journal of Law in Built Environment [Special Issue on Environmental Law]</w:t>
      </w:r>
      <w:r w:rsidR="002A0EF0">
        <w:rPr>
          <w:rFonts w:ascii="Calibri" w:eastAsia="Times New Roman" w:hAnsi="Calibri" w:cs="Calibri"/>
          <w:bCs/>
          <w:sz w:val="20"/>
          <w:szCs w:val="20"/>
          <w:lang w:val="en-US" w:eastAsia="ar-SA"/>
        </w:rPr>
        <w:t xml:space="preserve"> (2014) 69-90 at 70-71</w:t>
      </w:r>
    </w:p>
    <w:p w:rsidR="00C33518" w:rsidRPr="00C33518" w:rsidRDefault="00C33518" w:rsidP="00C33518">
      <w:pPr>
        <w:suppressAutoHyphens/>
        <w:spacing w:after="0"/>
        <w:jc w:val="both"/>
        <w:rPr>
          <w:rFonts w:ascii="Calibri" w:eastAsia="Times New Roman" w:hAnsi="Calibri" w:cs="Calibri"/>
          <w:bCs/>
          <w:sz w:val="20"/>
          <w:szCs w:val="20"/>
          <w:lang w:val="en-US" w:eastAsia="ar-SA"/>
        </w:rPr>
      </w:pPr>
      <w:r>
        <w:rPr>
          <w:rFonts w:ascii="Calibri" w:eastAsia="Times New Roman" w:hAnsi="Calibri" w:cs="Calibri"/>
          <w:bCs/>
          <w:sz w:val="20"/>
          <w:szCs w:val="20"/>
          <w:lang w:val="en-US" w:eastAsia="ar-SA"/>
        </w:rPr>
        <w:t xml:space="preserve"> </w:t>
      </w:r>
    </w:p>
    <w:p w:rsidR="00C33518" w:rsidRPr="00E66256" w:rsidRDefault="00C33518">
      <w:pPr>
        <w:pStyle w:val="FootnoteText"/>
        <w:rPr>
          <w:sz w:val="24"/>
          <w:szCs w:val="24"/>
        </w:rPr>
      </w:pPr>
    </w:p>
  </w:footnote>
  <w:footnote w:id="111">
    <w:p w:rsidR="00190107" w:rsidRDefault="00190107">
      <w:pPr>
        <w:pStyle w:val="FootnoteText"/>
      </w:pPr>
      <w:r>
        <w:rPr>
          <w:rStyle w:val="FootnoteReference"/>
        </w:rPr>
        <w:footnoteRef/>
      </w:r>
      <w:r>
        <w:t xml:space="preserve"> </w:t>
      </w:r>
      <w:hyperlink r:id="rId11" w:history="1">
        <w:r w:rsidRPr="00190107">
          <w:rPr>
            <w:rStyle w:val="Hyperlink"/>
            <w:color w:val="auto"/>
            <w:u w:val="none"/>
          </w:rPr>
          <w:t>http://www.hindustantimes.com/india-news/newdelhi/metro-chokes-yamuna-with-debris/article1-1065100.aspx</w:t>
        </w:r>
      </w:hyperlink>
      <w:r>
        <w:t xml:space="preserve"> accessed 15.2.2014</w:t>
      </w:r>
    </w:p>
  </w:footnote>
  <w:footnote w:id="112">
    <w:p w:rsidR="0073126B" w:rsidRPr="000A7667" w:rsidRDefault="0073126B">
      <w:pPr>
        <w:pStyle w:val="FootnoteText"/>
      </w:pPr>
      <w:r>
        <w:rPr>
          <w:rStyle w:val="FootnoteReference"/>
        </w:rPr>
        <w:footnoteRef/>
      </w:r>
      <w:r w:rsidR="00176577" w:rsidRPr="000A7667">
        <w:t xml:space="preserve"> </w:t>
      </w:r>
      <w:r w:rsidR="00CC1663" w:rsidRPr="000A7667">
        <w:t xml:space="preserve"> See Schlosberg</w:t>
      </w:r>
      <w:r w:rsidR="00B06583" w:rsidRPr="000A7667">
        <w:t>, above n 8</w:t>
      </w:r>
      <w:r w:rsidR="002A75BD" w:rsidRPr="000A7667">
        <w:t xml:space="preserve">. According to Schlosberg </w:t>
      </w:r>
      <w:r w:rsidR="002346A3" w:rsidRPr="000A7667">
        <w:t>‚ participatory mechanisms can help meliorate issues of inequality, recognition, and the larger question of capabilities and functioning of individuals and communities</w:t>
      </w:r>
      <w:r w:rsidR="00163B08" w:rsidRPr="000A7667">
        <w:t xml:space="preserve"> </w:t>
      </w:r>
    </w:p>
  </w:footnote>
  <w:footnote w:id="113">
    <w:p w:rsidR="0073126B" w:rsidRPr="000A7667" w:rsidRDefault="0073126B">
      <w:pPr>
        <w:pStyle w:val="FootnoteText"/>
      </w:pPr>
      <w:r>
        <w:rPr>
          <w:rStyle w:val="FootnoteReference"/>
        </w:rPr>
        <w:footnoteRef/>
      </w:r>
      <w:r w:rsidRPr="000A7667">
        <w:t xml:space="preserve"> </w:t>
      </w:r>
      <w:r w:rsidR="00CC1663" w:rsidRPr="000A7667">
        <w:t xml:space="preserve">See </w:t>
      </w:r>
      <w:r w:rsidR="007E111C" w:rsidRPr="000A7667">
        <w:t>Gill</w:t>
      </w:r>
      <w:r w:rsidR="006C1D47" w:rsidRPr="000A7667">
        <w:t>, above  n 15 at</w:t>
      </w:r>
      <w:r w:rsidR="007E111C" w:rsidRPr="000A7667">
        <w:t xml:space="preserve"> 203-206</w:t>
      </w:r>
    </w:p>
  </w:footnote>
  <w:footnote w:id="114">
    <w:p w:rsidR="007753D9" w:rsidRDefault="007753D9">
      <w:pPr>
        <w:pStyle w:val="FootnoteText"/>
      </w:pPr>
      <w:r>
        <w:rPr>
          <w:rStyle w:val="FootnoteReference"/>
        </w:rPr>
        <w:footnoteRef/>
      </w:r>
      <w:r>
        <w:t xml:space="preserve"> Judgment</w:t>
      </w:r>
      <w:r w:rsidR="006C1D47">
        <w:t xml:space="preserve"> dated February 9 </w:t>
      </w:r>
      <w:r>
        <w:t>2012</w:t>
      </w:r>
    </w:p>
  </w:footnote>
  <w:footnote w:id="115">
    <w:p w:rsidR="009E25CE" w:rsidRDefault="009E25CE">
      <w:pPr>
        <w:pStyle w:val="FootnoteText"/>
      </w:pPr>
      <w:r>
        <w:rPr>
          <w:rStyle w:val="FootnoteReference"/>
        </w:rPr>
        <w:footnoteRef/>
      </w:r>
      <w:r>
        <w:t xml:space="preserve"> </w:t>
      </w:r>
      <w:r w:rsidRPr="007E111C">
        <w:t xml:space="preserve">Ibid </w:t>
      </w:r>
      <w:r>
        <w:t>paras 21 and 22</w:t>
      </w:r>
    </w:p>
  </w:footnote>
  <w:footnote w:id="116">
    <w:p w:rsidR="00522B01" w:rsidRDefault="00522B01">
      <w:pPr>
        <w:pStyle w:val="FootnoteText"/>
      </w:pPr>
      <w:r>
        <w:rPr>
          <w:rStyle w:val="FootnoteReference"/>
        </w:rPr>
        <w:footnoteRef/>
      </w:r>
      <w:r w:rsidR="006C1D47">
        <w:t xml:space="preserve"> Judgment dated December 14</w:t>
      </w:r>
      <w:r>
        <w:t xml:space="preserve"> 2011</w:t>
      </w:r>
    </w:p>
  </w:footnote>
  <w:footnote w:id="117">
    <w:p w:rsidR="00522B01" w:rsidRDefault="00522B01">
      <w:pPr>
        <w:pStyle w:val="FootnoteText"/>
      </w:pPr>
      <w:r>
        <w:rPr>
          <w:rStyle w:val="FootnoteReference"/>
        </w:rPr>
        <w:footnoteRef/>
      </w:r>
      <w:r w:rsidR="006C1D47">
        <w:t xml:space="preserve"> Judgment dated July 18 </w:t>
      </w:r>
      <w:r>
        <w:t>2013</w:t>
      </w:r>
    </w:p>
  </w:footnote>
  <w:footnote w:id="118">
    <w:p w:rsidR="00354113" w:rsidRDefault="00354113">
      <w:pPr>
        <w:pStyle w:val="FootnoteText"/>
      </w:pPr>
      <w:r>
        <w:rPr>
          <w:rStyle w:val="FootnoteReference"/>
        </w:rPr>
        <w:footnoteRef/>
      </w:r>
      <w:r>
        <w:t xml:space="preserve"> </w:t>
      </w:r>
      <w:r w:rsidR="00D25398">
        <w:t>Judgment dated February 14</w:t>
      </w:r>
      <w:r w:rsidR="006F0740">
        <w:t xml:space="preserve"> 2014</w:t>
      </w:r>
    </w:p>
  </w:footnote>
  <w:footnote w:id="119">
    <w:p w:rsidR="00DD2481" w:rsidRPr="00EC11EC" w:rsidRDefault="00DD2481" w:rsidP="00EC11EC">
      <w:pPr>
        <w:autoSpaceDE w:val="0"/>
        <w:autoSpaceDN w:val="0"/>
        <w:adjustRightInd w:val="0"/>
        <w:spacing w:after="0" w:line="240" w:lineRule="auto"/>
        <w:rPr>
          <w:rFonts w:ascii="AdvT143" w:hAnsi="AdvT143" w:cs="AdvT143"/>
          <w:sz w:val="16"/>
          <w:szCs w:val="16"/>
        </w:rPr>
      </w:pPr>
      <w:r>
        <w:rPr>
          <w:rStyle w:val="FootnoteReference"/>
        </w:rPr>
        <w:footnoteRef/>
      </w:r>
      <w:r>
        <w:t xml:space="preserve"> </w:t>
      </w:r>
      <w:r w:rsidR="008D247E">
        <w:rPr>
          <w:rFonts w:cs="AdvT143"/>
          <w:sz w:val="20"/>
          <w:szCs w:val="20"/>
        </w:rPr>
        <w:t>See above, n. 37</w:t>
      </w:r>
    </w:p>
  </w:footnote>
  <w:footnote w:id="120">
    <w:p w:rsidR="00E2390A" w:rsidRPr="00E2390A" w:rsidRDefault="00E2390A" w:rsidP="00E2390A">
      <w:pPr>
        <w:pStyle w:val="Default"/>
        <w:rPr>
          <w:rFonts w:asciiTheme="minorHAnsi" w:hAnsiTheme="minorHAnsi"/>
          <w:iCs/>
          <w:sz w:val="20"/>
          <w:szCs w:val="20"/>
        </w:rPr>
      </w:pPr>
      <w:r w:rsidRPr="00E2390A">
        <w:rPr>
          <w:rStyle w:val="FootnoteReference"/>
          <w:rFonts w:asciiTheme="minorHAnsi" w:hAnsiTheme="minorHAnsi"/>
          <w:sz w:val="20"/>
          <w:szCs w:val="20"/>
        </w:rPr>
        <w:footnoteRef/>
      </w:r>
      <w:r w:rsidRPr="00E2390A">
        <w:rPr>
          <w:rFonts w:asciiTheme="minorHAnsi" w:hAnsiTheme="minorHAnsi"/>
          <w:sz w:val="20"/>
          <w:szCs w:val="20"/>
        </w:rPr>
        <w:t xml:space="preserve"> </w:t>
      </w:r>
      <w:r w:rsidRPr="00E2390A">
        <w:rPr>
          <w:rFonts w:asciiTheme="minorHAnsi" w:hAnsiTheme="minorHAnsi"/>
          <w:bCs/>
          <w:iCs/>
          <w:sz w:val="20"/>
          <w:szCs w:val="20"/>
        </w:rPr>
        <w:t xml:space="preserve">Section </w:t>
      </w:r>
      <w:r w:rsidRPr="00E2390A">
        <w:rPr>
          <w:rFonts w:asciiTheme="minorHAnsi" w:hAnsiTheme="minorHAnsi"/>
          <w:bCs/>
          <w:sz w:val="20"/>
          <w:szCs w:val="20"/>
        </w:rPr>
        <w:t>2</w:t>
      </w:r>
      <w:r w:rsidRPr="00E2390A">
        <w:rPr>
          <w:rFonts w:asciiTheme="minorHAnsi" w:hAnsiTheme="minorHAnsi"/>
          <w:iCs/>
          <w:sz w:val="20"/>
          <w:szCs w:val="20"/>
        </w:rPr>
        <w:t>(1)</w:t>
      </w:r>
      <w:r>
        <w:rPr>
          <w:rFonts w:asciiTheme="minorHAnsi" w:hAnsiTheme="minorHAnsi"/>
          <w:iCs/>
          <w:sz w:val="20"/>
          <w:szCs w:val="20"/>
        </w:rPr>
        <w:t xml:space="preserve"> states</w:t>
      </w:r>
      <w:r w:rsidRPr="00E2390A">
        <w:rPr>
          <w:rFonts w:asciiTheme="minorHAnsi" w:hAnsiTheme="minorHAnsi"/>
          <w:iCs/>
          <w:sz w:val="20"/>
          <w:szCs w:val="20"/>
        </w:rPr>
        <w:t xml:space="preserve"> </w:t>
      </w:r>
      <w:r>
        <w:rPr>
          <w:rFonts w:asciiTheme="minorHAnsi" w:hAnsiTheme="minorHAnsi"/>
          <w:iCs/>
          <w:sz w:val="20"/>
          <w:szCs w:val="20"/>
        </w:rPr>
        <w:t>‘’</w:t>
      </w:r>
      <w:r w:rsidRPr="00E2390A">
        <w:rPr>
          <w:rFonts w:asciiTheme="minorHAnsi" w:hAnsiTheme="minorHAnsi"/>
          <w:iCs/>
          <w:sz w:val="20"/>
          <w:szCs w:val="20"/>
        </w:rPr>
        <w:t xml:space="preserve">In this Act, unless the context otherwise requires,— </w:t>
      </w:r>
    </w:p>
    <w:p w:rsidR="00E2390A" w:rsidRPr="00E2390A" w:rsidRDefault="00E2390A" w:rsidP="00E2390A">
      <w:pPr>
        <w:autoSpaceDE w:val="0"/>
        <w:autoSpaceDN w:val="0"/>
        <w:adjustRightInd w:val="0"/>
        <w:spacing w:after="0" w:line="240" w:lineRule="auto"/>
        <w:rPr>
          <w:rFonts w:cs="Bookman Old Style"/>
          <w:color w:val="000000"/>
          <w:sz w:val="20"/>
          <w:szCs w:val="20"/>
        </w:rPr>
      </w:pPr>
      <w:r w:rsidRPr="00E2390A">
        <w:rPr>
          <w:rFonts w:cs="Bookman Old Style"/>
          <w:iCs/>
          <w:color w:val="000000"/>
          <w:sz w:val="20"/>
          <w:szCs w:val="20"/>
        </w:rPr>
        <w:t xml:space="preserve">(J ) person” includes— </w:t>
      </w:r>
    </w:p>
    <w:p w:rsidR="00E2390A" w:rsidRPr="00E2390A" w:rsidRDefault="00E2390A" w:rsidP="00E2390A">
      <w:pPr>
        <w:autoSpaceDE w:val="0"/>
        <w:autoSpaceDN w:val="0"/>
        <w:adjustRightInd w:val="0"/>
        <w:spacing w:after="196" w:line="240" w:lineRule="auto"/>
        <w:rPr>
          <w:rFonts w:cs="Bookman Old Style"/>
          <w:color w:val="000000"/>
          <w:sz w:val="20"/>
          <w:szCs w:val="20"/>
        </w:rPr>
      </w:pPr>
      <w:r w:rsidRPr="00E2390A">
        <w:rPr>
          <w:rFonts w:cs="Bookman Old Style"/>
          <w:iCs/>
          <w:color w:val="000000"/>
          <w:sz w:val="20"/>
          <w:szCs w:val="20"/>
        </w:rPr>
        <w:t>(</w:t>
      </w:r>
      <w:proofErr w:type="spellStart"/>
      <w:r w:rsidRPr="00E2390A">
        <w:rPr>
          <w:rFonts w:cs="Bookman Old Style"/>
          <w:iCs/>
          <w:color w:val="000000"/>
          <w:sz w:val="20"/>
          <w:szCs w:val="20"/>
        </w:rPr>
        <w:t>i</w:t>
      </w:r>
      <w:proofErr w:type="spellEnd"/>
      <w:r w:rsidRPr="00E2390A">
        <w:rPr>
          <w:rFonts w:cs="Bookman Old Style"/>
          <w:iCs/>
          <w:color w:val="000000"/>
          <w:sz w:val="20"/>
          <w:szCs w:val="20"/>
        </w:rPr>
        <w:t xml:space="preserve">) an individual, (ii) A Hindu undivided family, (iii) A company, (iv) A firm, (v) An association of persons or a body of individuals, whether incorporated or not, (vi) Trustee of a trust, (vii) A local authority, and (viii) Every artificial juridical person, not falling within any of the preceding sub-clauses.” </w:t>
      </w:r>
    </w:p>
    <w:p w:rsidR="00E2390A" w:rsidRDefault="00E2390A">
      <w:pPr>
        <w:pStyle w:val="FootnoteText"/>
      </w:pPr>
    </w:p>
  </w:footnote>
  <w:footnote w:id="121">
    <w:p w:rsidR="00D5731B" w:rsidRDefault="00D5731B">
      <w:pPr>
        <w:pStyle w:val="FootnoteText"/>
      </w:pPr>
      <w:r>
        <w:rPr>
          <w:rStyle w:val="FootnoteReference"/>
        </w:rPr>
        <w:footnoteRef/>
      </w:r>
      <w:r>
        <w:t xml:space="preserve"> </w:t>
      </w:r>
      <w:proofErr w:type="spellStart"/>
      <w:r w:rsidRPr="00915327">
        <w:rPr>
          <w:i/>
        </w:rPr>
        <w:t>Rana</w:t>
      </w:r>
      <w:proofErr w:type="spellEnd"/>
      <w:r w:rsidRPr="00915327">
        <w:rPr>
          <w:i/>
        </w:rPr>
        <w:t xml:space="preserve"> </w:t>
      </w:r>
      <w:proofErr w:type="spellStart"/>
      <w:r w:rsidRPr="00915327">
        <w:rPr>
          <w:i/>
        </w:rPr>
        <w:t>Sengupta</w:t>
      </w:r>
      <w:proofErr w:type="spellEnd"/>
      <w:r w:rsidRPr="00915327">
        <w:rPr>
          <w:i/>
        </w:rPr>
        <w:t xml:space="preserve"> v Union of India</w:t>
      </w:r>
      <w:r>
        <w:t xml:space="preserve"> Judgment dated March 22, 2013; </w:t>
      </w:r>
      <w:proofErr w:type="spellStart"/>
      <w:r w:rsidRPr="00915327">
        <w:rPr>
          <w:i/>
        </w:rPr>
        <w:t>Bajinath</w:t>
      </w:r>
      <w:proofErr w:type="spellEnd"/>
      <w:r w:rsidRPr="00915327">
        <w:rPr>
          <w:i/>
        </w:rPr>
        <w:t xml:space="preserve"> </w:t>
      </w:r>
      <w:proofErr w:type="spellStart"/>
      <w:r w:rsidRPr="00915327">
        <w:rPr>
          <w:i/>
        </w:rPr>
        <w:t>Prajapathi</w:t>
      </w:r>
      <w:proofErr w:type="spellEnd"/>
      <w:r w:rsidRPr="00915327">
        <w:rPr>
          <w:i/>
        </w:rPr>
        <w:t xml:space="preserve"> v Ministry of</w:t>
      </w:r>
      <w:r>
        <w:t xml:space="preserve"> </w:t>
      </w:r>
      <w:r w:rsidRPr="00915327">
        <w:rPr>
          <w:i/>
        </w:rPr>
        <w:t>Environment and Forests</w:t>
      </w:r>
      <w:r>
        <w:t xml:space="preserve"> </w:t>
      </w:r>
      <w:r w:rsidR="00D25398">
        <w:t xml:space="preserve">Judgment dated January 20 </w:t>
      </w:r>
      <w:r w:rsidR="00915327">
        <w:t>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FA1"/>
    <w:multiLevelType w:val="hybridMultilevel"/>
    <w:tmpl w:val="45B6E934"/>
    <w:lvl w:ilvl="0" w:tplc="CD10672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35D27"/>
    <w:multiLevelType w:val="hybridMultilevel"/>
    <w:tmpl w:val="EF007CB6"/>
    <w:lvl w:ilvl="0" w:tplc="3F841C88">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F10FA5"/>
    <w:multiLevelType w:val="hybridMultilevel"/>
    <w:tmpl w:val="9C364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004DB8"/>
    <w:multiLevelType w:val="hybridMultilevel"/>
    <w:tmpl w:val="A7388D0E"/>
    <w:lvl w:ilvl="0" w:tplc="1B0C22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563451"/>
    <w:multiLevelType w:val="hybridMultilevel"/>
    <w:tmpl w:val="8CD8E58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972786"/>
    <w:multiLevelType w:val="hybridMultilevel"/>
    <w:tmpl w:val="AE20B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0D7926"/>
    <w:multiLevelType w:val="hybridMultilevel"/>
    <w:tmpl w:val="35B6E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8CA24E8"/>
    <w:multiLevelType w:val="hybridMultilevel"/>
    <w:tmpl w:val="A4E21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6345A5"/>
    <w:multiLevelType w:val="hybridMultilevel"/>
    <w:tmpl w:val="35B6E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590677"/>
    <w:multiLevelType w:val="hybridMultilevel"/>
    <w:tmpl w:val="8280EC68"/>
    <w:lvl w:ilvl="0" w:tplc="E4AEA0B8">
      <w:start w:val="1"/>
      <w:numFmt w:val="decimal"/>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nsid w:val="58BE4AE7"/>
    <w:multiLevelType w:val="hybridMultilevel"/>
    <w:tmpl w:val="D8FE47CA"/>
    <w:lvl w:ilvl="0" w:tplc="624EC9BE">
      <w:start w:val="1"/>
      <w:numFmt w:val="decimal"/>
      <w:lvlText w:val="%1."/>
      <w:lvlJc w:val="left"/>
      <w:pPr>
        <w:ind w:left="360" w:hanging="360"/>
      </w:pPr>
      <w:rPr>
        <w:rFonts w:asciiTheme="minorHAnsi" w:eastAsiaTheme="minorHAnsi" w:hAnsiTheme="minorHAnsi" w:cstheme="minorBidi"/>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BFF1D18"/>
    <w:multiLevelType w:val="hybridMultilevel"/>
    <w:tmpl w:val="F98CFAE2"/>
    <w:lvl w:ilvl="0" w:tplc="81506E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5F3F90"/>
    <w:multiLevelType w:val="hybridMultilevel"/>
    <w:tmpl w:val="2DEABD50"/>
    <w:lvl w:ilvl="0" w:tplc="71F4FB4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EE11B3"/>
    <w:multiLevelType w:val="hybridMultilevel"/>
    <w:tmpl w:val="28886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7BD0BD8"/>
    <w:multiLevelType w:val="hybridMultilevel"/>
    <w:tmpl w:val="83FA87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0594AE6"/>
    <w:multiLevelType w:val="hybridMultilevel"/>
    <w:tmpl w:val="35B6E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B90085A"/>
    <w:multiLevelType w:val="multilevel"/>
    <w:tmpl w:val="E3A60322"/>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3"/>
  </w:num>
  <w:num w:numId="3">
    <w:abstractNumId w:val="12"/>
  </w:num>
  <w:num w:numId="4">
    <w:abstractNumId w:val="14"/>
  </w:num>
  <w:num w:numId="5">
    <w:abstractNumId w:val="16"/>
  </w:num>
  <w:num w:numId="6">
    <w:abstractNumId w:val="10"/>
  </w:num>
  <w:num w:numId="7">
    <w:abstractNumId w:val="5"/>
  </w:num>
  <w:num w:numId="8">
    <w:abstractNumId w:val="9"/>
  </w:num>
  <w:num w:numId="9">
    <w:abstractNumId w:val="2"/>
  </w:num>
  <w:num w:numId="10">
    <w:abstractNumId w:val="7"/>
  </w:num>
  <w:num w:numId="11">
    <w:abstractNumId w:val="15"/>
  </w:num>
  <w:num w:numId="12">
    <w:abstractNumId w:val="6"/>
  </w:num>
  <w:num w:numId="13">
    <w:abstractNumId w:val="8"/>
  </w:num>
  <w:num w:numId="14">
    <w:abstractNumId w:val="4"/>
  </w:num>
  <w:num w:numId="15">
    <w:abstractNumId w:val="1"/>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69C"/>
    <w:rsid w:val="0000304E"/>
    <w:rsid w:val="0001057D"/>
    <w:rsid w:val="00011943"/>
    <w:rsid w:val="00011B3F"/>
    <w:rsid w:val="00013E86"/>
    <w:rsid w:val="00014C5A"/>
    <w:rsid w:val="00015084"/>
    <w:rsid w:val="00015B1F"/>
    <w:rsid w:val="00021C33"/>
    <w:rsid w:val="00022624"/>
    <w:rsid w:val="0002408D"/>
    <w:rsid w:val="000302AD"/>
    <w:rsid w:val="000377AC"/>
    <w:rsid w:val="000377B3"/>
    <w:rsid w:val="000378FA"/>
    <w:rsid w:val="00046D3C"/>
    <w:rsid w:val="00050D5F"/>
    <w:rsid w:val="00053044"/>
    <w:rsid w:val="0005381E"/>
    <w:rsid w:val="00055344"/>
    <w:rsid w:val="00056254"/>
    <w:rsid w:val="0005658A"/>
    <w:rsid w:val="00063004"/>
    <w:rsid w:val="00066FC8"/>
    <w:rsid w:val="00071B99"/>
    <w:rsid w:val="0007497C"/>
    <w:rsid w:val="00075972"/>
    <w:rsid w:val="00076EC3"/>
    <w:rsid w:val="000828E5"/>
    <w:rsid w:val="00083616"/>
    <w:rsid w:val="00086373"/>
    <w:rsid w:val="0009017E"/>
    <w:rsid w:val="00092651"/>
    <w:rsid w:val="00094C7A"/>
    <w:rsid w:val="00095988"/>
    <w:rsid w:val="00096457"/>
    <w:rsid w:val="000A0E48"/>
    <w:rsid w:val="000A120B"/>
    <w:rsid w:val="000A251B"/>
    <w:rsid w:val="000A3B5B"/>
    <w:rsid w:val="000A4051"/>
    <w:rsid w:val="000A5AFD"/>
    <w:rsid w:val="000A6905"/>
    <w:rsid w:val="000A755F"/>
    <w:rsid w:val="000A7667"/>
    <w:rsid w:val="000B5B76"/>
    <w:rsid w:val="000C02E1"/>
    <w:rsid w:val="000C21C6"/>
    <w:rsid w:val="000C2B5C"/>
    <w:rsid w:val="000C5318"/>
    <w:rsid w:val="000C70B6"/>
    <w:rsid w:val="000D1C23"/>
    <w:rsid w:val="000D4984"/>
    <w:rsid w:val="000D6F68"/>
    <w:rsid w:val="000D7137"/>
    <w:rsid w:val="000E1B15"/>
    <w:rsid w:val="000E2083"/>
    <w:rsid w:val="000E2101"/>
    <w:rsid w:val="000E26D1"/>
    <w:rsid w:val="000E26DF"/>
    <w:rsid w:val="000E3604"/>
    <w:rsid w:val="000E49D8"/>
    <w:rsid w:val="000E52C0"/>
    <w:rsid w:val="000E76B0"/>
    <w:rsid w:val="000F0C72"/>
    <w:rsid w:val="000F17FF"/>
    <w:rsid w:val="000F352D"/>
    <w:rsid w:val="000F3802"/>
    <w:rsid w:val="000F43F0"/>
    <w:rsid w:val="000F4723"/>
    <w:rsid w:val="000F6973"/>
    <w:rsid w:val="000F7D25"/>
    <w:rsid w:val="00100E60"/>
    <w:rsid w:val="001018C2"/>
    <w:rsid w:val="00104D9C"/>
    <w:rsid w:val="0010596F"/>
    <w:rsid w:val="001205B8"/>
    <w:rsid w:val="0012379B"/>
    <w:rsid w:val="00126592"/>
    <w:rsid w:val="00126C96"/>
    <w:rsid w:val="001271E3"/>
    <w:rsid w:val="00130BDD"/>
    <w:rsid w:val="00140AE6"/>
    <w:rsid w:val="001449BF"/>
    <w:rsid w:val="00146293"/>
    <w:rsid w:val="00150CC5"/>
    <w:rsid w:val="00152BA3"/>
    <w:rsid w:val="00152F78"/>
    <w:rsid w:val="0015539F"/>
    <w:rsid w:val="0016061B"/>
    <w:rsid w:val="00161764"/>
    <w:rsid w:val="00161A8A"/>
    <w:rsid w:val="0016297E"/>
    <w:rsid w:val="00163B08"/>
    <w:rsid w:val="00165FA5"/>
    <w:rsid w:val="00170650"/>
    <w:rsid w:val="001707DE"/>
    <w:rsid w:val="00172DFE"/>
    <w:rsid w:val="00175857"/>
    <w:rsid w:val="00176577"/>
    <w:rsid w:val="0017774E"/>
    <w:rsid w:val="00183A61"/>
    <w:rsid w:val="0018571A"/>
    <w:rsid w:val="00190107"/>
    <w:rsid w:val="001928F0"/>
    <w:rsid w:val="00193B24"/>
    <w:rsid w:val="00195148"/>
    <w:rsid w:val="00196AD5"/>
    <w:rsid w:val="001973C7"/>
    <w:rsid w:val="001A0B71"/>
    <w:rsid w:val="001A2232"/>
    <w:rsid w:val="001A544A"/>
    <w:rsid w:val="001B041E"/>
    <w:rsid w:val="001B6C36"/>
    <w:rsid w:val="001B6F99"/>
    <w:rsid w:val="001C131D"/>
    <w:rsid w:val="001C4B82"/>
    <w:rsid w:val="001C6963"/>
    <w:rsid w:val="001C7060"/>
    <w:rsid w:val="001D06A0"/>
    <w:rsid w:val="001D0BCE"/>
    <w:rsid w:val="001D44A3"/>
    <w:rsid w:val="001D6875"/>
    <w:rsid w:val="001D7711"/>
    <w:rsid w:val="001E13F5"/>
    <w:rsid w:val="001E523D"/>
    <w:rsid w:val="001E6D9A"/>
    <w:rsid w:val="001F0418"/>
    <w:rsid w:val="001F55CB"/>
    <w:rsid w:val="002022CC"/>
    <w:rsid w:val="0020449C"/>
    <w:rsid w:val="00204E06"/>
    <w:rsid w:val="00204F66"/>
    <w:rsid w:val="0020722E"/>
    <w:rsid w:val="00207AC4"/>
    <w:rsid w:val="002119F4"/>
    <w:rsid w:val="0022033C"/>
    <w:rsid w:val="00226972"/>
    <w:rsid w:val="002279E7"/>
    <w:rsid w:val="00231086"/>
    <w:rsid w:val="00232A78"/>
    <w:rsid w:val="00234329"/>
    <w:rsid w:val="002346A3"/>
    <w:rsid w:val="00235B80"/>
    <w:rsid w:val="002362E2"/>
    <w:rsid w:val="00236422"/>
    <w:rsid w:val="00236A63"/>
    <w:rsid w:val="00247FEE"/>
    <w:rsid w:val="00250082"/>
    <w:rsid w:val="0025454E"/>
    <w:rsid w:val="00255539"/>
    <w:rsid w:val="00255C4D"/>
    <w:rsid w:val="002575C2"/>
    <w:rsid w:val="00262236"/>
    <w:rsid w:val="002624C9"/>
    <w:rsid w:val="00262AFC"/>
    <w:rsid w:val="00264E54"/>
    <w:rsid w:val="00266964"/>
    <w:rsid w:val="002679A5"/>
    <w:rsid w:val="00270969"/>
    <w:rsid w:val="0027215A"/>
    <w:rsid w:val="00273D39"/>
    <w:rsid w:val="00276BF8"/>
    <w:rsid w:val="00281C68"/>
    <w:rsid w:val="00284FFF"/>
    <w:rsid w:val="0028530E"/>
    <w:rsid w:val="00285D7C"/>
    <w:rsid w:val="00286038"/>
    <w:rsid w:val="00286C80"/>
    <w:rsid w:val="00287493"/>
    <w:rsid w:val="00287769"/>
    <w:rsid w:val="00292D46"/>
    <w:rsid w:val="002931F1"/>
    <w:rsid w:val="00295C53"/>
    <w:rsid w:val="00295D48"/>
    <w:rsid w:val="002A0EF0"/>
    <w:rsid w:val="002A21B8"/>
    <w:rsid w:val="002A3516"/>
    <w:rsid w:val="002A4ADD"/>
    <w:rsid w:val="002A4F6B"/>
    <w:rsid w:val="002A5885"/>
    <w:rsid w:val="002A6BCB"/>
    <w:rsid w:val="002A75BD"/>
    <w:rsid w:val="002B0009"/>
    <w:rsid w:val="002B3004"/>
    <w:rsid w:val="002B3411"/>
    <w:rsid w:val="002B3A29"/>
    <w:rsid w:val="002C3C37"/>
    <w:rsid w:val="002C6540"/>
    <w:rsid w:val="002D0E47"/>
    <w:rsid w:val="002D512F"/>
    <w:rsid w:val="002D5210"/>
    <w:rsid w:val="002D5AD5"/>
    <w:rsid w:val="002D5BB0"/>
    <w:rsid w:val="002E0AEF"/>
    <w:rsid w:val="002E5378"/>
    <w:rsid w:val="002E5521"/>
    <w:rsid w:val="002E57D7"/>
    <w:rsid w:val="002E596B"/>
    <w:rsid w:val="002E5E10"/>
    <w:rsid w:val="002E7145"/>
    <w:rsid w:val="002F124B"/>
    <w:rsid w:val="002F23E7"/>
    <w:rsid w:val="002F3B33"/>
    <w:rsid w:val="002F5D65"/>
    <w:rsid w:val="002F6198"/>
    <w:rsid w:val="00301486"/>
    <w:rsid w:val="00301728"/>
    <w:rsid w:val="003049EB"/>
    <w:rsid w:val="00307AB6"/>
    <w:rsid w:val="00314257"/>
    <w:rsid w:val="00315061"/>
    <w:rsid w:val="003151DD"/>
    <w:rsid w:val="0031597A"/>
    <w:rsid w:val="003164A4"/>
    <w:rsid w:val="003212EB"/>
    <w:rsid w:val="003223B9"/>
    <w:rsid w:val="00324DC2"/>
    <w:rsid w:val="00325EA3"/>
    <w:rsid w:val="00325F2E"/>
    <w:rsid w:val="00327350"/>
    <w:rsid w:val="0032764E"/>
    <w:rsid w:val="003300E9"/>
    <w:rsid w:val="003305E0"/>
    <w:rsid w:val="00330FB6"/>
    <w:rsid w:val="003312C8"/>
    <w:rsid w:val="0033200F"/>
    <w:rsid w:val="00333292"/>
    <w:rsid w:val="00335977"/>
    <w:rsid w:val="00335F2F"/>
    <w:rsid w:val="0033602F"/>
    <w:rsid w:val="00336D3B"/>
    <w:rsid w:val="00336DEC"/>
    <w:rsid w:val="00340FF0"/>
    <w:rsid w:val="00343212"/>
    <w:rsid w:val="00345AE9"/>
    <w:rsid w:val="00350408"/>
    <w:rsid w:val="00350BBF"/>
    <w:rsid w:val="00352ECF"/>
    <w:rsid w:val="00354113"/>
    <w:rsid w:val="00356ED8"/>
    <w:rsid w:val="003572D4"/>
    <w:rsid w:val="003605D4"/>
    <w:rsid w:val="003609B3"/>
    <w:rsid w:val="00362895"/>
    <w:rsid w:val="003665DB"/>
    <w:rsid w:val="00372222"/>
    <w:rsid w:val="00373C55"/>
    <w:rsid w:val="00374B2D"/>
    <w:rsid w:val="003756E2"/>
    <w:rsid w:val="00376E49"/>
    <w:rsid w:val="00377A97"/>
    <w:rsid w:val="00382120"/>
    <w:rsid w:val="0038288B"/>
    <w:rsid w:val="003834E6"/>
    <w:rsid w:val="00387EE0"/>
    <w:rsid w:val="00390782"/>
    <w:rsid w:val="00391A73"/>
    <w:rsid w:val="0039234B"/>
    <w:rsid w:val="003967D9"/>
    <w:rsid w:val="003A00FD"/>
    <w:rsid w:val="003A06F9"/>
    <w:rsid w:val="003A1AFE"/>
    <w:rsid w:val="003A246B"/>
    <w:rsid w:val="003A3FA5"/>
    <w:rsid w:val="003A5076"/>
    <w:rsid w:val="003A6609"/>
    <w:rsid w:val="003B0784"/>
    <w:rsid w:val="003B10A1"/>
    <w:rsid w:val="003B43FA"/>
    <w:rsid w:val="003B4B00"/>
    <w:rsid w:val="003C30CE"/>
    <w:rsid w:val="003C33E7"/>
    <w:rsid w:val="003C37B5"/>
    <w:rsid w:val="003C3E2D"/>
    <w:rsid w:val="003D1AAC"/>
    <w:rsid w:val="003D1CE2"/>
    <w:rsid w:val="003D78D5"/>
    <w:rsid w:val="003E03C6"/>
    <w:rsid w:val="003F05A0"/>
    <w:rsid w:val="003F15E5"/>
    <w:rsid w:val="003F567A"/>
    <w:rsid w:val="003F6D6C"/>
    <w:rsid w:val="0040137C"/>
    <w:rsid w:val="0040165D"/>
    <w:rsid w:val="004018B8"/>
    <w:rsid w:val="00403421"/>
    <w:rsid w:val="00403B3D"/>
    <w:rsid w:val="00410600"/>
    <w:rsid w:val="00412EAD"/>
    <w:rsid w:val="004135BD"/>
    <w:rsid w:val="00416625"/>
    <w:rsid w:val="00421FD2"/>
    <w:rsid w:val="0042436E"/>
    <w:rsid w:val="00430EC5"/>
    <w:rsid w:val="004322B8"/>
    <w:rsid w:val="00433784"/>
    <w:rsid w:val="00434306"/>
    <w:rsid w:val="0043457E"/>
    <w:rsid w:val="00435EDF"/>
    <w:rsid w:val="00437E85"/>
    <w:rsid w:val="00443514"/>
    <w:rsid w:val="00445419"/>
    <w:rsid w:val="00446825"/>
    <w:rsid w:val="00447FF1"/>
    <w:rsid w:val="00451969"/>
    <w:rsid w:val="00451EE8"/>
    <w:rsid w:val="0045259A"/>
    <w:rsid w:val="0045263F"/>
    <w:rsid w:val="00453A51"/>
    <w:rsid w:val="00454407"/>
    <w:rsid w:val="00461465"/>
    <w:rsid w:val="00462790"/>
    <w:rsid w:val="00470CF6"/>
    <w:rsid w:val="00471B28"/>
    <w:rsid w:val="00473C46"/>
    <w:rsid w:val="0047443A"/>
    <w:rsid w:val="00474A35"/>
    <w:rsid w:val="004833D5"/>
    <w:rsid w:val="004834CE"/>
    <w:rsid w:val="00484AC7"/>
    <w:rsid w:val="0048706C"/>
    <w:rsid w:val="004877C2"/>
    <w:rsid w:val="0049383F"/>
    <w:rsid w:val="0049763F"/>
    <w:rsid w:val="004A0752"/>
    <w:rsid w:val="004A0A2E"/>
    <w:rsid w:val="004A5484"/>
    <w:rsid w:val="004A7CFB"/>
    <w:rsid w:val="004B0123"/>
    <w:rsid w:val="004B0A72"/>
    <w:rsid w:val="004B1ADA"/>
    <w:rsid w:val="004B298E"/>
    <w:rsid w:val="004B3A2F"/>
    <w:rsid w:val="004C063D"/>
    <w:rsid w:val="004C20B5"/>
    <w:rsid w:val="004C4EF5"/>
    <w:rsid w:val="004D13FC"/>
    <w:rsid w:val="004D4E50"/>
    <w:rsid w:val="004D550E"/>
    <w:rsid w:val="004D5D58"/>
    <w:rsid w:val="004E1A6C"/>
    <w:rsid w:val="004E2A65"/>
    <w:rsid w:val="004F03F8"/>
    <w:rsid w:val="004F1B6C"/>
    <w:rsid w:val="004F4557"/>
    <w:rsid w:val="004F4C56"/>
    <w:rsid w:val="004F549D"/>
    <w:rsid w:val="004F7DA4"/>
    <w:rsid w:val="00501279"/>
    <w:rsid w:val="0050274C"/>
    <w:rsid w:val="00502C67"/>
    <w:rsid w:val="005065A5"/>
    <w:rsid w:val="0050688E"/>
    <w:rsid w:val="00507592"/>
    <w:rsid w:val="005119E0"/>
    <w:rsid w:val="00511B07"/>
    <w:rsid w:val="00512602"/>
    <w:rsid w:val="00521212"/>
    <w:rsid w:val="00522B01"/>
    <w:rsid w:val="005230FE"/>
    <w:rsid w:val="005250E8"/>
    <w:rsid w:val="00527AC6"/>
    <w:rsid w:val="005372B5"/>
    <w:rsid w:val="00540628"/>
    <w:rsid w:val="00540FEA"/>
    <w:rsid w:val="00541D80"/>
    <w:rsid w:val="005448C2"/>
    <w:rsid w:val="005452AC"/>
    <w:rsid w:val="005468A7"/>
    <w:rsid w:val="00546B4E"/>
    <w:rsid w:val="0055220E"/>
    <w:rsid w:val="005533DB"/>
    <w:rsid w:val="005551B0"/>
    <w:rsid w:val="00557D92"/>
    <w:rsid w:val="00560393"/>
    <w:rsid w:val="00560C04"/>
    <w:rsid w:val="00561B1A"/>
    <w:rsid w:val="00564C74"/>
    <w:rsid w:val="005664C9"/>
    <w:rsid w:val="0056779B"/>
    <w:rsid w:val="00567DF1"/>
    <w:rsid w:val="005708B4"/>
    <w:rsid w:val="00572561"/>
    <w:rsid w:val="00572FFF"/>
    <w:rsid w:val="00575260"/>
    <w:rsid w:val="00576C08"/>
    <w:rsid w:val="0057799C"/>
    <w:rsid w:val="00577A1E"/>
    <w:rsid w:val="0058241D"/>
    <w:rsid w:val="00586321"/>
    <w:rsid w:val="005937EE"/>
    <w:rsid w:val="00593B52"/>
    <w:rsid w:val="005942C8"/>
    <w:rsid w:val="005943D7"/>
    <w:rsid w:val="0059634A"/>
    <w:rsid w:val="005967E8"/>
    <w:rsid w:val="005A0A71"/>
    <w:rsid w:val="005A1A25"/>
    <w:rsid w:val="005A2103"/>
    <w:rsid w:val="005A4EC9"/>
    <w:rsid w:val="005A6074"/>
    <w:rsid w:val="005A7545"/>
    <w:rsid w:val="005A7C8A"/>
    <w:rsid w:val="005B4514"/>
    <w:rsid w:val="005B4CCD"/>
    <w:rsid w:val="005B4D25"/>
    <w:rsid w:val="005B6A6C"/>
    <w:rsid w:val="005C32FF"/>
    <w:rsid w:val="005C3FEE"/>
    <w:rsid w:val="005C74B7"/>
    <w:rsid w:val="005D4754"/>
    <w:rsid w:val="005E1D5C"/>
    <w:rsid w:val="005E23F2"/>
    <w:rsid w:val="005E4726"/>
    <w:rsid w:val="005F28CA"/>
    <w:rsid w:val="0060164D"/>
    <w:rsid w:val="00601885"/>
    <w:rsid w:val="00603783"/>
    <w:rsid w:val="0060559B"/>
    <w:rsid w:val="00605C76"/>
    <w:rsid w:val="006064EE"/>
    <w:rsid w:val="006118C7"/>
    <w:rsid w:val="00611DA4"/>
    <w:rsid w:val="00612D8F"/>
    <w:rsid w:val="00617405"/>
    <w:rsid w:val="00617D5D"/>
    <w:rsid w:val="00620B5D"/>
    <w:rsid w:val="00621804"/>
    <w:rsid w:val="0062318E"/>
    <w:rsid w:val="006247D8"/>
    <w:rsid w:val="00624BAC"/>
    <w:rsid w:val="00624F22"/>
    <w:rsid w:val="00626D24"/>
    <w:rsid w:val="00632FD8"/>
    <w:rsid w:val="00633EAA"/>
    <w:rsid w:val="00634387"/>
    <w:rsid w:val="00634CB6"/>
    <w:rsid w:val="00635008"/>
    <w:rsid w:val="0063569C"/>
    <w:rsid w:val="006376DA"/>
    <w:rsid w:val="00641BB5"/>
    <w:rsid w:val="00641C33"/>
    <w:rsid w:val="00643909"/>
    <w:rsid w:val="00646896"/>
    <w:rsid w:val="00650A1A"/>
    <w:rsid w:val="00652E08"/>
    <w:rsid w:val="0066210F"/>
    <w:rsid w:val="0066261C"/>
    <w:rsid w:val="00667C8E"/>
    <w:rsid w:val="0067013B"/>
    <w:rsid w:val="0067071B"/>
    <w:rsid w:val="00677C9E"/>
    <w:rsid w:val="0068426A"/>
    <w:rsid w:val="00684F1B"/>
    <w:rsid w:val="006853F4"/>
    <w:rsid w:val="006876A5"/>
    <w:rsid w:val="00687E77"/>
    <w:rsid w:val="00690ABA"/>
    <w:rsid w:val="00692448"/>
    <w:rsid w:val="00693946"/>
    <w:rsid w:val="00695AD5"/>
    <w:rsid w:val="006A1B5C"/>
    <w:rsid w:val="006A4AE3"/>
    <w:rsid w:val="006A5805"/>
    <w:rsid w:val="006A70D0"/>
    <w:rsid w:val="006A7A83"/>
    <w:rsid w:val="006B18EA"/>
    <w:rsid w:val="006B19CE"/>
    <w:rsid w:val="006B3142"/>
    <w:rsid w:val="006B6A98"/>
    <w:rsid w:val="006C035A"/>
    <w:rsid w:val="006C1D47"/>
    <w:rsid w:val="006C283E"/>
    <w:rsid w:val="006C4A54"/>
    <w:rsid w:val="006C4A74"/>
    <w:rsid w:val="006C4DC2"/>
    <w:rsid w:val="006C5B8B"/>
    <w:rsid w:val="006C6BCA"/>
    <w:rsid w:val="006D09C5"/>
    <w:rsid w:val="006D0B9E"/>
    <w:rsid w:val="006D294C"/>
    <w:rsid w:val="006D3105"/>
    <w:rsid w:val="006D741E"/>
    <w:rsid w:val="006D7496"/>
    <w:rsid w:val="006D7B7D"/>
    <w:rsid w:val="006E03FC"/>
    <w:rsid w:val="006E074E"/>
    <w:rsid w:val="006E0804"/>
    <w:rsid w:val="006E3823"/>
    <w:rsid w:val="006E477C"/>
    <w:rsid w:val="006E704A"/>
    <w:rsid w:val="006E7B5C"/>
    <w:rsid w:val="006F0740"/>
    <w:rsid w:val="00701336"/>
    <w:rsid w:val="00701C1B"/>
    <w:rsid w:val="00707836"/>
    <w:rsid w:val="0071002F"/>
    <w:rsid w:val="00710359"/>
    <w:rsid w:val="0071061B"/>
    <w:rsid w:val="00712663"/>
    <w:rsid w:val="007131B3"/>
    <w:rsid w:val="007145EA"/>
    <w:rsid w:val="0071489E"/>
    <w:rsid w:val="00714B4F"/>
    <w:rsid w:val="00714BD5"/>
    <w:rsid w:val="00716475"/>
    <w:rsid w:val="00716508"/>
    <w:rsid w:val="00716ADA"/>
    <w:rsid w:val="00720058"/>
    <w:rsid w:val="0072157D"/>
    <w:rsid w:val="00721800"/>
    <w:rsid w:val="00723441"/>
    <w:rsid w:val="00723BA5"/>
    <w:rsid w:val="00724069"/>
    <w:rsid w:val="00724E7C"/>
    <w:rsid w:val="00727314"/>
    <w:rsid w:val="007275D7"/>
    <w:rsid w:val="00727EC0"/>
    <w:rsid w:val="0073126B"/>
    <w:rsid w:val="00737F23"/>
    <w:rsid w:val="00740337"/>
    <w:rsid w:val="00741867"/>
    <w:rsid w:val="00747B92"/>
    <w:rsid w:val="00750B64"/>
    <w:rsid w:val="00751730"/>
    <w:rsid w:val="0076202A"/>
    <w:rsid w:val="007640F6"/>
    <w:rsid w:val="0076647F"/>
    <w:rsid w:val="007677E9"/>
    <w:rsid w:val="007712B7"/>
    <w:rsid w:val="00772BD8"/>
    <w:rsid w:val="007753D9"/>
    <w:rsid w:val="007761AE"/>
    <w:rsid w:val="00777AD1"/>
    <w:rsid w:val="00781B48"/>
    <w:rsid w:val="00782D5D"/>
    <w:rsid w:val="007835A3"/>
    <w:rsid w:val="00784326"/>
    <w:rsid w:val="007900F3"/>
    <w:rsid w:val="00793ABB"/>
    <w:rsid w:val="00794CCD"/>
    <w:rsid w:val="00794FF8"/>
    <w:rsid w:val="00797E3D"/>
    <w:rsid w:val="007A26E7"/>
    <w:rsid w:val="007A399A"/>
    <w:rsid w:val="007A4F3F"/>
    <w:rsid w:val="007B0374"/>
    <w:rsid w:val="007B2667"/>
    <w:rsid w:val="007B2FCD"/>
    <w:rsid w:val="007B4E6A"/>
    <w:rsid w:val="007C07DB"/>
    <w:rsid w:val="007C4B25"/>
    <w:rsid w:val="007C5AE2"/>
    <w:rsid w:val="007C6174"/>
    <w:rsid w:val="007C7C0F"/>
    <w:rsid w:val="007D1AFD"/>
    <w:rsid w:val="007D281A"/>
    <w:rsid w:val="007D3E4A"/>
    <w:rsid w:val="007D5A65"/>
    <w:rsid w:val="007D6CD7"/>
    <w:rsid w:val="007D7470"/>
    <w:rsid w:val="007E111C"/>
    <w:rsid w:val="007E3E98"/>
    <w:rsid w:val="007E5030"/>
    <w:rsid w:val="007E69D9"/>
    <w:rsid w:val="007E71AF"/>
    <w:rsid w:val="007F09FA"/>
    <w:rsid w:val="007F27F9"/>
    <w:rsid w:val="007F3303"/>
    <w:rsid w:val="007F365C"/>
    <w:rsid w:val="007F3FD1"/>
    <w:rsid w:val="007F6471"/>
    <w:rsid w:val="007F68AD"/>
    <w:rsid w:val="007F76F2"/>
    <w:rsid w:val="00801225"/>
    <w:rsid w:val="00804225"/>
    <w:rsid w:val="008044F7"/>
    <w:rsid w:val="00804DC5"/>
    <w:rsid w:val="0080569F"/>
    <w:rsid w:val="00805737"/>
    <w:rsid w:val="00807580"/>
    <w:rsid w:val="00810649"/>
    <w:rsid w:val="00810C82"/>
    <w:rsid w:val="008112BA"/>
    <w:rsid w:val="008116A0"/>
    <w:rsid w:val="008146B2"/>
    <w:rsid w:val="008163D1"/>
    <w:rsid w:val="00816C0A"/>
    <w:rsid w:val="00817BF6"/>
    <w:rsid w:val="008242FE"/>
    <w:rsid w:val="008245DC"/>
    <w:rsid w:val="00825710"/>
    <w:rsid w:val="008267CD"/>
    <w:rsid w:val="00827015"/>
    <w:rsid w:val="00827521"/>
    <w:rsid w:val="00827A24"/>
    <w:rsid w:val="008325BA"/>
    <w:rsid w:val="0083459E"/>
    <w:rsid w:val="008358D8"/>
    <w:rsid w:val="008404CD"/>
    <w:rsid w:val="0084457C"/>
    <w:rsid w:val="008458B9"/>
    <w:rsid w:val="00845E70"/>
    <w:rsid w:val="00852F44"/>
    <w:rsid w:val="00861F87"/>
    <w:rsid w:val="00863B71"/>
    <w:rsid w:val="00864E96"/>
    <w:rsid w:val="008667BE"/>
    <w:rsid w:val="00866CC9"/>
    <w:rsid w:val="00871CBE"/>
    <w:rsid w:val="0087321F"/>
    <w:rsid w:val="008763A4"/>
    <w:rsid w:val="008769E2"/>
    <w:rsid w:val="00877FC2"/>
    <w:rsid w:val="008832E4"/>
    <w:rsid w:val="00885AF9"/>
    <w:rsid w:val="00891BB2"/>
    <w:rsid w:val="00893F7D"/>
    <w:rsid w:val="008952FB"/>
    <w:rsid w:val="00895CE9"/>
    <w:rsid w:val="00897821"/>
    <w:rsid w:val="008A1A8E"/>
    <w:rsid w:val="008A2B7E"/>
    <w:rsid w:val="008A349A"/>
    <w:rsid w:val="008A3ABB"/>
    <w:rsid w:val="008A4A8F"/>
    <w:rsid w:val="008A52A1"/>
    <w:rsid w:val="008A5C7B"/>
    <w:rsid w:val="008A72B1"/>
    <w:rsid w:val="008A77C4"/>
    <w:rsid w:val="008B077F"/>
    <w:rsid w:val="008B24CC"/>
    <w:rsid w:val="008B34A0"/>
    <w:rsid w:val="008B51AF"/>
    <w:rsid w:val="008B6264"/>
    <w:rsid w:val="008B7404"/>
    <w:rsid w:val="008B788D"/>
    <w:rsid w:val="008C26BB"/>
    <w:rsid w:val="008C665B"/>
    <w:rsid w:val="008D1822"/>
    <w:rsid w:val="008D247E"/>
    <w:rsid w:val="008D284F"/>
    <w:rsid w:val="008D4857"/>
    <w:rsid w:val="008D6647"/>
    <w:rsid w:val="008D6B8F"/>
    <w:rsid w:val="008D6D31"/>
    <w:rsid w:val="008E1BBE"/>
    <w:rsid w:val="008E4C79"/>
    <w:rsid w:val="008E72CA"/>
    <w:rsid w:val="008F1AAC"/>
    <w:rsid w:val="008F2677"/>
    <w:rsid w:val="008F40E5"/>
    <w:rsid w:val="008F6515"/>
    <w:rsid w:val="008F6EF9"/>
    <w:rsid w:val="009001EC"/>
    <w:rsid w:val="009017E5"/>
    <w:rsid w:val="0090399A"/>
    <w:rsid w:val="0090541B"/>
    <w:rsid w:val="00905877"/>
    <w:rsid w:val="0090648A"/>
    <w:rsid w:val="0090694F"/>
    <w:rsid w:val="00906BF0"/>
    <w:rsid w:val="00906C86"/>
    <w:rsid w:val="00910674"/>
    <w:rsid w:val="00911F5F"/>
    <w:rsid w:val="009129B2"/>
    <w:rsid w:val="00915327"/>
    <w:rsid w:val="00915807"/>
    <w:rsid w:val="009165B6"/>
    <w:rsid w:val="00925560"/>
    <w:rsid w:val="00925586"/>
    <w:rsid w:val="00925B4C"/>
    <w:rsid w:val="00926583"/>
    <w:rsid w:val="00931F94"/>
    <w:rsid w:val="00933B60"/>
    <w:rsid w:val="0093618E"/>
    <w:rsid w:val="0093638E"/>
    <w:rsid w:val="0093685D"/>
    <w:rsid w:val="00936E44"/>
    <w:rsid w:val="00937D16"/>
    <w:rsid w:val="00943E69"/>
    <w:rsid w:val="00944A5D"/>
    <w:rsid w:val="0095189B"/>
    <w:rsid w:val="009527F7"/>
    <w:rsid w:val="00953AED"/>
    <w:rsid w:val="009542EE"/>
    <w:rsid w:val="00956128"/>
    <w:rsid w:val="009619D8"/>
    <w:rsid w:val="00962776"/>
    <w:rsid w:val="009676BF"/>
    <w:rsid w:val="00967F10"/>
    <w:rsid w:val="00970971"/>
    <w:rsid w:val="00972FC0"/>
    <w:rsid w:val="00974619"/>
    <w:rsid w:val="0097499C"/>
    <w:rsid w:val="00975F1B"/>
    <w:rsid w:val="009761D5"/>
    <w:rsid w:val="009771FB"/>
    <w:rsid w:val="00977E9B"/>
    <w:rsid w:val="00980B8A"/>
    <w:rsid w:val="00980E1A"/>
    <w:rsid w:val="00981ED6"/>
    <w:rsid w:val="0098268F"/>
    <w:rsid w:val="009845C0"/>
    <w:rsid w:val="0098566D"/>
    <w:rsid w:val="0098588A"/>
    <w:rsid w:val="009861A6"/>
    <w:rsid w:val="0098797A"/>
    <w:rsid w:val="009923ED"/>
    <w:rsid w:val="00993AA4"/>
    <w:rsid w:val="009952AB"/>
    <w:rsid w:val="009973A8"/>
    <w:rsid w:val="009974F6"/>
    <w:rsid w:val="009A2716"/>
    <w:rsid w:val="009A3ECA"/>
    <w:rsid w:val="009A5954"/>
    <w:rsid w:val="009A5CC3"/>
    <w:rsid w:val="009A7682"/>
    <w:rsid w:val="009B1C77"/>
    <w:rsid w:val="009C0454"/>
    <w:rsid w:val="009C15AA"/>
    <w:rsid w:val="009C2AF3"/>
    <w:rsid w:val="009C345C"/>
    <w:rsid w:val="009C4899"/>
    <w:rsid w:val="009D1110"/>
    <w:rsid w:val="009D1EFD"/>
    <w:rsid w:val="009D389B"/>
    <w:rsid w:val="009D451D"/>
    <w:rsid w:val="009D4A86"/>
    <w:rsid w:val="009D52D5"/>
    <w:rsid w:val="009D543E"/>
    <w:rsid w:val="009D630B"/>
    <w:rsid w:val="009E25CE"/>
    <w:rsid w:val="009E438F"/>
    <w:rsid w:val="009E4613"/>
    <w:rsid w:val="009E4EAC"/>
    <w:rsid w:val="009F0B82"/>
    <w:rsid w:val="009F20D6"/>
    <w:rsid w:val="009F7DF7"/>
    <w:rsid w:val="00A01C63"/>
    <w:rsid w:val="00A03677"/>
    <w:rsid w:val="00A055E0"/>
    <w:rsid w:val="00A112A9"/>
    <w:rsid w:val="00A11626"/>
    <w:rsid w:val="00A13854"/>
    <w:rsid w:val="00A15265"/>
    <w:rsid w:val="00A156D6"/>
    <w:rsid w:val="00A16439"/>
    <w:rsid w:val="00A167B8"/>
    <w:rsid w:val="00A21639"/>
    <w:rsid w:val="00A21E35"/>
    <w:rsid w:val="00A22BE8"/>
    <w:rsid w:val="00A24761"/>
    <w:rsid w:val="00A24D50"/>
    <w:rsid w:val="00A2649E"/>
    <w:rsid w:val="00A274BB"/>
    <w:rsid w:val="00A3053E"/>
    <w:rsid w:val="00A30FE7"/>
    <w:rsid w:val="00A35AAE"/>
    <w:rsid w:val="00A36812"/>
    <w:rsid w:val="00A445ED"/>
    <w:rsid w:val="00A466B1"/>
    <w:rsid w:val="00A4673E"/>
    <w:rsid w:val="00A503C7"/>
    <w:rsid w:val="00A527D2"/>
    <w:rsid w:val="00A5639A"/>
    <w:rsid w:val="00A60AA9"/>
    <w:rsid w:val="00A60C18"/>
    <w:rsid w:val="00A6181D"/>
    <w:rsid w:val="00A621B9"/>
    <w:rsid w:val="00A6256E"/>
    <w:rsid w:val="00A63A4A"/>
    <w:rsid w:val="00A70A09"/>
    <w:rsid w:val="00A7527F"/>
    <w:rsid w:val="00A76750"/>
    <w:rsid w:val="00A81A23"/>
    <w:rsid w:val="00A83DED"/>
    <w:rsid w:val="00A85F92"/>
    <w:rsid w:val="00A86449"/>
    <w:rsid w:val="00A912CE"/>
    <w:rsid w:val="00A91EF5"/>
    <w:rsid w:val="00A93B26"/>
    <w:rsid w:val="00A95179"/>
    <w:rsid w:val="00A97BF0"/>
    <w:rsid w:val="00AA1601"/>
    <w:rsid w:val="00AA1CB4"/>
    <w:rsid w:val="00AA2019"/>
    <w:rsid w:val="00AA2648"/>
    <w:rsid w:val="00AA2709"/>
    <w:rsid w:val="00AA2E14"/>
    <w:rsid w:val="00AA5558"/>
    <w:rsid w:val="00AA6641"/>
    <w:rsid w:val="00AB1FCD"/>
    <w:rsid w:val="00AB22BD"/>
    <w:rsid w:val="00AB24BC"/>
    <w:rsid w:val="00AB2590"/>
    <w:rsid w:val="00AB44D9"/>
    <w:rsid w:val="00AB4D4D"/>
    <w:rsid w:val="00AB6CAB"/>
    <w:rsid w:val="00AB6D1B"/>
    <w:rsid w:val="00AB7821"/>
    <w:rsid w:val="00AC0FF2"/>
    <w:rsid w:val="00AC47BF"/>
    <w:rsid w:val="00AC4CA0"/>
    <w:rsid w:val="00AD0084"/>
    <w:rsid w:val="00AD05D2"/>
    <w:rsid w:val="00AD1059"/>
    <w:rsid w:val="00AD2C86"/>
    <w:rsid w:val="00AD39F1"/>
    <w:rsid w:val="00AD480C"/>
    <w:rsid w:val="00AD4E07"/>
    <w:rsid w:val="00AD619D"/>
    <w:rsid w:val="00AD66F1"/>
    <w:rsid w:val="00AD68EC"/>
    <w:rsid w:val="00AE11A5"/>
    <w:rsid w:val="00AE542D"/>
    <w:rsid w:val="00AE5C83"/>
    <w:rsid w:val="00AF0DE3"/>
    <w:rsid w:val="00AF237C"/>
    <w:rsid w:val="00AF2B01"/>
    <w:rsid w:val="00AF4057"/>
    <w:rsid w:val="00AF46C4"/>
    <w:rsid w:val="00AF4ACC"/>
    <w:rsid w:val="00AF5C10"/>
    <w:rsid w:val="00AF5E80"/>
    <w:rsid w:val="00AF7857"/>
    <w:rsid w:val="00AF78D6"/>
    <w:rsid w:val="00AF7CB0"/>
    <w:rsid w:val="00B007D6"/>
    <w:rsid w:val="00B0200E"/>
    <w:rsid w:val="00B05C2C"/>
    <w:rsid w:val="00B06583"/>
    <w:rsid w:val="00B07C11"/>
    <w:rsid w:val="00B1143C"/>
    <w:rsid w:val="00B14242"/>
    <w:rsid w:val="00B2065C"/>
    <w:rsid w:val="00B239EA"/>
    <w:rsid w:val="00B26976"/>
    <w:rsid w:val="00B2741C"/>
    <w:rsid w:val="00B303FB"/>
    <w:rsid w:val="00B31CCE"/>
    <w:rsid w:val="00B3233A"/>
    <w:rsid w:val="00B33768"/>
    <w:rsid w:val="00B3497C"/>
    <w:rsid w:val="00B36828"/>
    <w:rsid w:val="00B43596"/>
    <w:rsid w:val="00B44666"/>
    <w:rsid w:val="00B4553E"/>
    <w:rsid w:val="00B45E83"/>
    <w:rsid w:val="00B46931"/>
    <w:rsid w:val="00B50948"/>
    <w:rsid w:val="00B51345"/>
    <w:rsid w:val="00B52F83"/>
    <w:rsid w:val="00B54751"/>
    <w:rsid w:val="00B55785"/>
    <w:rsid w:val="00B55B10"/>
    <w:rsid w:val="00B56631"/>
    <w:rsid w:val="00B61FFD"/>
    <w:rsid w:val="00B63136"/>
    <w:rsid w:val="00B63680"/>
    <w:rsid w:val="00B63ABC"/>
    <w:rsid w:val="00B655AB"/>
    <w:rsid w:val="00B65C38"/>
    <w:rsid w:val="00B6690F"/>
    <w:rsid w:val="00B66EB0"/>
    <w:rsid w:val="00B670A6"/>
    <w:rsid w:val="00B70C72"/>
    <w:rsid w:val="00B719E3"/>
    <w:rsid w:val="00B73619"/>
    <w:rsid w:val="00B759B2"/>
    <w:rsid w:val="00B76798"/>
    <w:rsid w:val="00B77AE2"/>
    <w:rsid w:val="00B80A35"/>
    <w:rsid w:val="00B83932"/>
    <w:rsid w:val="00B83AC6"/>
    <w:rsid w:val="00B850C7"/>
    <w:rsid w:val="00B85E03"/>
    <w:rsid w:val="00B863D6"/>
    <w:rsid w:val="00B87EFA"/>
    <w:rsid w:val="00B9576E"/>
    <w:rsid w:val="00B97D7B"/>
    <w:rsid w:val="00BA1A0C"/>
    <w:rsid w:val="00BA3FBC"/>
    <w:rsid w:val="00BA4C5A"/>
    <w:rsid w:val="00BA5780"/>
    <w:rsid w:val="00BA6BBC"/>
    <w:rsid w:val="00BA7CC5"/>
    <w:rsid w:val="00BB0694"/>
    <w:rsid w:val="00BB1DE3"/>
    <w:rsid w:val="00BB355B"/>
    <w:rsid w:val="00BB51BD"/>
    <w:rsid w:val="00BB5F18"/>
    <w:rsid w:val="00BB774D"/>
    <w:rsid w:val="00BC2394"/>
    <w:rsid w:val="00BD0E3C"/>
    <w:rsid w:val="00BD1A49"/>
    <w:rsid w:val="00BD2305"/>
    <w:rsid w:val="00BD36A8"/>
    <w:rsid w:val="00BD378A"/>
    <w:rsid w:val="00BD6A84"/>
    <w:rsid w:val="00BE1F58"/>
    <w:rsid w:val="00BE5F09"/>
    <w:rsid w:val="00BE6A9B"/>
    <w:rsid w:val="00BF4137"/>
    <w:rsid w:val="00BF4454"/>
    <w:rsid w:val="00BF5746"/>
    <w:rsid w:val="00BF583B"/>
    <w:rsid w:val="00BF5FE2"/>
    <w:rsid w:val="00BF6818"/>
    <w:rsid w:val="00BF71D3"/>
    <w:rsid w:val="00BF7B9C"/>
    <w:rsid w:val="00BF7EE1"/>
    <w:rsid w:val="00C00165"/>
    <w:rsid w:val="00C02CB0"/>
    <w:rsid w:val="00C03393"/>
    <w:rsid w:val="00C0653F"/>
    <w:rsid w:val="00C1265C"/>
    <w:rsid w:val="00C162C3"/>
    <w:rsid w:val="00C17024"/>
    <w:rsid w:val="00C1710F"/>
    <w:rsid w:val="00C202EE"/>
    <w:rsid w:val="00C20500"/>
    <w:rsid w:val="00C20510"/>
    <w:rsid w:val="00C22847"/>
    <w:rsid w:val="00C25BED"/>
    <w:rsid w:val="00C3069D"/>
    <w:rsid w:val="00C33518"/>
    <w:rsid w:val="00C43DB0"/>
    <w:rsid w:val="00C45132"/>
    <w:rsid w:val="00C460AD"/>
    <w:rsid w:val="00C47314"/>
    <w:rsid w:val="00C5057A"/>
    <w:rsid w:val="00C522A5"/>
    <w:rsid w:val="00C52A9F"/>
    <w:rsid w:val="00C53795"/>
    <w:rsid w:val="00C54C89"/>
    <w:rsid w:val="00C654FD"/>
    <w:rsid w:val="00C71D2C"/>
    <w:rsid w:val="00C72200"/>
    <w:rsid w:val="00C72515"/>
    <w:rsid w:val="00C72628"/>
    <w:rsid w:val="00C72AB5"/>
    <w:rsid w:val="00C76B9B"/>
    <w:rsid w:val="00C81521"/>
    <w:rsid w:val="00C815A0"/>
    <w:rsid w:val="00C82C8D"/>
    <w:rsid w:val="00C86C55"/>
    <w:rsid w:val="00C8784A"/>
    <w:rsid w:val="00C902FC"/>
    <w:rsid w:val="00C91140"/>
    <w:rsid w:val="00C9159F"/>
    <w:rsid w:val="00C91630"/>
    <w:rsid w:val="00C952B8"/>
    <w:rsid w:val="00C96038"/>
    <w:rsid w:val="00CA03AC"/>
    <w:rsid w:val="00CA2527"/>
    <w:rsid w:val="00CA2676"/>
    <w:rsid w:val="00CB0D9C"/>
    <w:rsid w:val="00CB10C2"/>
    <w:rsid w:val="00CB2B70"/>
    <w:rsid w:val="00CB495D"/>
    <w:rsid w:val="00CB595A"/>
    <w:rsid w:val="00CB5E98"/>
    <w:rsid w:val="00CC1663"/>
    <w:rsid w:val="00CC1701"/>
    <w:rsid w:val="00CC1925"/>
    <w:rsid w:val="00CC1D63"/>
    <w:rsid w:val="00CC2271"/>
    <w:rsid w:val="00CC7360"/>
    <w:rsid w:val="00CD1878"/>
    <w:rsid w:val="00CE15E1"/>
    <w:rsid w:val="00CE557E"/>
    <w:rsid w:val="00CF19EA"/>
    <w:rsid w:val="00CF339F"/>
    <w:rsid w:val="00CF41D5"/>
    <w:rsid w:val="00CF4F9A"/>
    <w:rsid w:val="00D03426"/>
    <w:rsid w:val="00D035D7"/>
    <w:rsid w:val="00D03B72"/>
    <w:rsid w:val="00D04DC0"/>
    <w:rsid w:val="00D072BC"/>
    <w:rsid w:val="00D25398"/>
    <w:rsid w:val="00D25F58"/>
    <w:rsid w:val="00D27723"/>
    <w:rsid w:val="00D31392"/>
    <w:rsid w:val="00D33C07"/>
    <w:rsid w:val="00D34C2B"/>
    <w:rsid w:val="00D34CFE"/>
    <w:rsid w:val="00D34FD4"/>
    <w:rsid w:val="00D352F0"/>
    <w:rsid w:val="00D36C95"/>
    <w:rsid w:val="00D42777"/>
    <w:rsid w:val="00D43302"/>
    <w:rsid w:val="00D43776"/>
    <w:rsid w:val="00D45F77"/>
    <w:rsid w:val="00D47856"/>
    <w:rsid w:val="00D51416"/>
    <w:rsid w:val="00D53525"/>
    <w:rsid w:val="00D55E21"/>
    <w:rsid w:val="00D569DF"/>
    <w:rsid w:val="00D56D97"/>
    <w:rsid w:val="00D5731B"/>
    <w:rsid w:val="00D61603"/>
    <w:rsid w:val="00D63050"/>
    <w:rsid w:val="00D673B4"/>
    <w:rsid w:val="00D718CE"/>
    <w:rsid w:val="00D71E86"/>
    <w:rsid w:val="00D76E94"/>
    <w:rsid w:val="00D85D74"/>
    <w:rsid w:val="00D917E8"/>
    <w:rsid w:val="00D945D4"/>
    <w:rsid w:val="00D959D1"/>
    <w:rsid w:val="00D97903"/>
    <w:rsid w:val="00DA770A"/>
    <w:rsid w:val="00DA7AFB"/>
    <w:rsid w:val="00DB191F"/>
    <w:rsid w:val="00DB2001"/>
    <w:rsid w:val="00DB228C"/>
    <w:rsid w:val="00DB267C"/>
    <w:rsid w:val="00DB613B"/>
    <w:rsid w:val="00DC0148"/>
    <w:rsid w:val="00DC23FA"/>
    <w:rsid w:val="00DC52B8"/>
    <w:rsid w:val="00DC671B"/>
    <w:rsid w:val="00DC71A4"/>
    <w:rsid w:val="00DD1B78"/>
    <w:rsid w:val="00DD2481"/>
    <w:rsid w:val="00DD2B6A"/>
    <w:rsid w:val="00DD5D01"/>
    <w:rsid w:val="00DD5E18"/>
    <w:rsid w:val="00DD62A0"/>
    <w:rsid w:val="00DD7710"/>
    <w:rsid w:val="00DD7F50"/>
    <w:rsid w:val="00DE10BD"/>
    <w:rsid w:val="00DE431B"/>
    <w:rsid w:val="00DE4BE2"/>
    <w:rsid w:val="00DE6095"/>
    <w:rsid w:val="00DE6373"/>
    <w:rsid w:val="00DE65FE"/>
    <w:rsid w:val="00DE6C22"/>
    <w:rsid w:val="00DE72CC"/>
    <w:rsid w:val="00DE752C"/>
    <w:rsid w:val="00DF14DA"/>
    <w:rsid w:val="00DF2F23"/>
    <w:rsid w:val="00E014C9"/>
    <w:rsid w:val="00E01820"/>
    <w:rsid w:val="00E034F6"/>
    <w:rsid w:val="00E065AD"/>
    <w:rsid w:val="00E11015"/>
    <w:rsid w:val="00E11A29"/>
    <w:rsid w:val="00E137DC"/>
    <w:rsid w:val="00E14067"/>
    <w:rsid w:val="00E1578B"/>
    <w:rsid w:val="00E161B4"/>
    <w:rsid w:val="00E22EF4"/>
    <w:rsid w:val="00E2355A"/>
    <w:rsid w:val="00E2390A"/>
    <w:rsid w:val="00E26CB1"/>
    <w:rsid w:val="00E27088"/>
    <w:rsid w:val="00E3411C"/>
    <w:rsid w:val="00E34134"/>
    <w:rsid w:val="00E34EE9"/>
    <w:rsid w:val="00E42488"/>
    <w:rsid w:val="00E43864"/>
    <w:rsid w:val="00E4435D"/>
    <w:rsid w:val="00E47DE2"/>
    <w:rsid w:val="00E50819"/>
    <w:rsid w:val="00E51040"/>
    <w:rsid w:val="00E531C0"/>
    <w:rsid w:val="00E53FEE"/>
    <w:rsid w:val="00E57346"/>
    <w:rsid w:val="00E57419"/>
    <w:rsid w:val="00E60118"/>
    <w:rsid w:val="00E603A3"/>
    <w:rsid w:val="00E60CEA"/>
    <w:rsid w:val="00E61B3F"/>
    <w:rsid w:val="00E61D6C"/>
    <w:rsid w:val="00E642A5"/>
    <w:rsid w:val="00E6466F"/>
    <w:rsid w:val="00E66256"/>
    <w:rsid w:val="00E70DB8"/>
    <w:rsid w:val="00E7257A"/>
    <w:rsid w:val="00E75743"/>
    <w:rsid w:val="00E76A32"/>
    <w:rsid w:val="00E77762"/>
    <w:rsid w:val="00E77F42"/>
    <w:rsid w:val="00E80507"/>
    <w:rsid w:val="00E817CC"/>
    <w:rsid w:val="00E83D95"/>
    <w:rsid w:val="00E84251"/>
    <w:rsid w:val="00E85701"/>
    <w:rsid w:val="00E85E1E"/>
    <w:rsid w:val="00E866AC"/>
    <w:rsid w:val="00E87B33"/>
    <w:rsid w:val="00E95C5F"/>
    <w:rsid w:val="00E95CB3"/>
    <w:rsid w:val="00EA0D95"/>
    <w:rsid w:val="00EA21E7"/>
    <w:rsid w:val="00EA4201"/>
    <w:rsid w:val="00EA4540"/>
    <w:rsid w:val="00EA4598"/>
    <w:rsid w:val="00EA4997"/>
    <w:rsid w:val="00EB7812"/>
    <w:rsid w:val="00EC03D3"/>
    <w:rsid w:val="00EC111F"/>
    <w:rsid w:val="00EC11EC"/>
    <w:rsid w:val="00EC1BBE"/>
    <w:rsid w:val="00EC2191"/>
    <w:rsid w:val="00EC2ECF"/>
    <w:rsid w:val="00EC697B"/>
    <w:rsid w:val="00ED070C"/>
    <w:rsid w:val="00ED0C9D"/>
    <w:rsid w:val="00ED4FA6"/>
    <w:rsid w:val="00ED5BE4"/>
    <w:rsid w:val="00ED77E7"/>
    <w:rsid w:val="00EE050D"/>
    <w:rsid w:val="00EE0907"/>
    <w:rsid w:val="00EE2A76"/>
    <w:rsid w:val="00EE2EA0"/>
    <w:rsid w:val="00EE3328"/>
    <w:rsid w:val="00EF27CB"/>
    <w:rsid w:val="00EF5BBD"/>
    <w:rsid w:val="00F0001B"/>
    <w:rsid w:val="00F01A55"/>
    <w:rsid w:val="00F048DD"/>
    <w:rsid w:val="00F10D2D"/>
    <w:rsid w:val="00F12521"/>
    <w:rsid w:val="00F12CE2"/>
    <w:rsid w:val="00F14986"/>
    <w:rsid w:val="00F14AFD"/>
    <w:rsid w:val="00F2190F"/>
    <w:rsid w:val="00F224AE"/>
    <w:rsid w:val="00F310E5"/>
    <w:rsid w:val="00F34A83"/>
    <w:rsid w:val="00F35D38"/>
    <w:rsid w:val="00F36275"/>
    <w:rsid w:val="00F42393"/>
    <w:rsid w:val="00F446AE"/>
    <w:rsid w:val="00F44E90"/>
    <w:rsid w:val="00F51D32"/>
    <w:rsid w:val="00F5355B"/>
    <w:rsid w:val="00F54C25"/>
    <w:rsid w:val="00F55284"/>
    <w:rsid w:val="00F56410"/>
    <w:rsid w:val="00F5692A"/>
    <w:rsid w:val="00F56A7C"/>
    <w:rsid w:val="00F577FF"/>
    <w:rsid w:val="00F64C96"/>
    <w:rsid w:val="00F66E7B"/>
    <w:rsid w:val="00F7074A"/>
    <w:rsid w:val="00F70B21"/>
    <w:rsid w:val="00F70C9C"/>
    <w:rsid w:val="00F7336A"/>
    <w:rsid w:val="00F74BB2"/>
    <w:rsid w:val="00F75528"/>
    <w:rsid w:val="00F763A3"/>
    <w:rsid w:val="00F77E3A"/>
    <w:rsid w:val="00F8262E"/>
    <w:rsid w:val="00F83C0D"/>
    <w:rsid w:val="00F84089"/>
    <w:rsid w:val="00F85AB3"/>
    <w:rsid w:val="00F9096B"/>
    <w:rsid w:val="00F9140D"/>
    <w:rsid w:val="00F9256A"/>
    <w:rsid w:val="00F9554B"/>
    <w:rsid w:val="00F96DDE"/>
    <w:rsid w:val="00F975C5"/>
    <w:rsid w:val="00FA0CCF"/>
    <w:rsid w:val="00FA1AF0"/>
    <w:rsid w:val="00FA1F08"/>
    <w:rsid w:val="00FA3678"/>
    <w:rsid w:val="00FA397C"/>
    <w:rsid w:val="00FA39F3"/>
    <w:rsid w:val="00FA4C25"/>
    <w:rsid w:val="00FA4F4A"/>
    <w:rsid w:val="00FA5A8C"/>
    <w:rsid w:val="00FA6308"/>
    <w:rsid w:val="00FB1FB3"/>
    <w:rsid w:val="00FB6DE6"/>
    <w:rsid w:val="00FB7840"/>
    <w:rsid w:val="00FC0E11"/>
    <w:rsid w:val="00FC2707"/>
    <w:rsid w:val="00FC7311"/>
    <w:rsid w:val="00FD067B"/>
    <w:rsid w:val="00FE0D5C"/>
    <w:rsid w:val="00FE13EB"/>
    <w:rsid w:val="00FE1F30"/>
    <w:rsid w:val="00FE2DF4"/>
    <w:rsid w:val="00FE3A42"/>
    <w:rsid w:val="00FE5F7C"/>
    <w:rsid w:val="00FE7297"/>
    <w:rsid w:val="00FE7F6C"/>
    <w:rsid w:val="00FF0C5B"/>
    <w:rsid w:val="00FF0D5A"/>
    <w:rsid w:val="00FF1D6E"/>
    <w:rsid w:val="00FF28ED"/>
    <w:rsid w:val="00FF75C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D0BCE"/>
    <w:pPr>
      <w:spacing w:after="0" w:line="240" w:lineRule="auto"/>
    </w:pPr>
    <w:rPr>
      <w:sz w:val="20"/>
      <w:szCs w:val="20"/>
    </w:rPr>
  </w:style>
  <w:style w:type="character" w:customStyle="1" w:styleId="FootnoteTextChar">
    <w:name w:val="Footnote Text Char"/>
    <w:basedOn w:val="DefaultParagraphFont"/>
    <w:link w:val="FootnoteText"/>
    <w:uiPriority w:val="99"/>
    <w:rsid w:val="001D0BCE"/>
    <w:rPr>
      <w:sz w:val="20"/>
      <w:szCs w:val="20"/>
    </w:rPr>
  </w:style>
  <w:style w:type="character" w:styleId="FootnoteReference">
    <w:name w:val="footnote reference"/>
    <w:basedOn w:val="DefaultParagraphFont"/>
    <w:uiPriority w:val="99"/>
    <w:semiHidden/>
    <w:unhideWhenUsed/>
    <w:rsid w:val="001D0BCE"/>
    <w:rPr>
      <w:vertAlign w:val="superscript"/>
    </w:rPr>
  </w:style>
  <w:style w:type="character" w:styleId="Hyperlink">
    <w:name w:val="Hyperlink"/>
    <w:basedOn w:val="DefaultParagraphFont"/>
    <w:uiPriority w:val="99"/>
    <w:unhideWhenUsed/>
    <w:rsid w:val="00BB1DE3"/>
    <w:rPr>
      <w:color w:val="0000FF" w:themeColor="hyperlink"/>
      <w:u w:val="single"/>
    </w:rPr>
  </w:style>
  <w:style w:type="paragraph" w:styleId="ListParagraph">
    <w:name w:val="List Paragraph"/>
    <w:basedOn w:val="Normal"/>
    <w:uiPriority w:val="34"/>
    <w:qFormat/>
    <w:rsid w:val="0090648A"/>
    <w:pPr>
      <w:ind w:left="720"/>
      <w:contextualSpacing/>
    </w:pPr>
  </w:style>
  <w:style w:type="paragraph" w:customStyle="1" w:styleId="Default">
    <w:name w:val="Default"/>
    <w:rsid w:val="000F352D"/>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AD2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C86"/>
  </w:style>
  <w:style w:type="paragraph" w:styleId="Footer">
    <w:name w:val="footer"/>
    <w:basedOn w:val="Normal"/>
    <w:link w:val="FooterChar"/>
    <w:uiPriority w:val="99"/>
    <w:unhideWhenUsed/>
    <w:rsid w:val="00AD2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C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D0BCE"/>
    <w:pPr>
      <w:spacing w:after="0" w:line="240" w:lineRule="auto"/>
    </w:pPr>
    <w:rPr>
      <w:sz w:val="20"/>
      <w:szCs w:val="20"/>
    </w:rPr>
  </w:style>
  <w:style w:type="character" w:customStyle="1" w:styleId="FootnoteTextChar">
    <w:name w:val="Footnote Text Char"/>
    <w:basedOn w:val="DefaultParagraphFont"/>
    <w:link w:val="FootnoteText"/>
    <w:uiPriority w:val="99"/>
    <w:rsid w:val="001D0BCE"/>
    <w:rPr>
      <w:sz w:val="20"/>
      <w:szCs w:val="20"/>
    </w:rPr>
  </w:style>
  <w:style w:type="character" w:styleId="FootnoteReference">
    <w:name w:val="footnote reference"/>
    <w:basedOn w:val="DefaultParagraphFont"/>
    <w:uiPriority w:val="99"/>
    <w:semiHidden/>
    <w:unhideWhenUsed/>
    <w:rsid w:val="001D0BCE"/>
    <w:rPr>
      <w:vertAlign w:val="superscript"/>
    </w:rPr>
  </w:style>
  <w:style w:type="character" w:styleId="Hyperlink">
    <w:name w:val="Hyperlink"/>
    <w:basedOn w:val="DefaultParagraphFont"/>
    <w:uiPriority w:val="99"/>
    <w:unhideWhenUsed/>
    <w:rsid w:val="00BB1DE3"/>
    <w:rPr>
      <w:color w:val="0000FF" w:themeColor="hyperlink"/>
      <w:u w:val="single"/>
    </w:rPr>
  </w:style>
  <w:style w:type="paragraph" w:styleId="ListParagraph">
    <w:name w:val="List Paragraph"/>
    <w:basedOn w:val="Normal"/>
    <w:uiPriority w:val="34"/>
    <w:qFormat/>
    <w:rsid w:val="0090648A"/>
    <w:pPr>
      <w:ind w:left="720"/>
      <w:contextualSpacing/>
    </w:pPr>
  </w:style>
  <w:style w:type="paragraph" w:customStyle="1" w:styleId="Default">
    <w:name w:val="Default"/>
    <w:rsid w:val="000F352D"/>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AD2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C86"/>
  </w:style>
  <w:style w:type="paragraph" w:styleId="Footer">
    <w:name w:val="footer"/>
    <w:basedOn w:val="Normal"/>
    <w:link w:val="FooterChar"/>
    <w:uiPriority w:val="99"/>
    <w:unhideWhenUsed/>
    <w:rsid w:val="00AD2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3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data.iucn.org/dbtw-wpd/html/wcs-004/cover.html" TargetMode="External"/><Relationship Id="rId3" Type="http://schemas.openxmlformats.org/officeDocument/2006/relationships/hyperlink" Target="http://www.adb.org/publications/south-asia-conference-environmental-justice" TargetMode="External"/><Relationship Id="rId7" Type="http://schemas.openxmlformats.org/officeDocument/2006/relationships/hyperlink" Target="http://www.oxforddictionaries.com/definition/english/conserve" TargetMode="External"/><Relationship Id="rId2" Type="http://schemas.openxmlformats.org/officeDocument/2006/relationships/hyperlink" Target="http://www.adb.org/publications/south-asia-conference-environmental-justice%20%20accessed%2026.2.2014" TargetMode="External"/><Relationship Id="rId1" Type="http://schemas.openxmlformats.org/officeDocument/2006/relationships/hyperlink" Target="http://www.unep.org/delc/judgesprogramme/GlobalJudgesSymposium/tabid/106158/Default.aspx%20accessed%2025.2.2014" TargetMode="External"/><Relationship Id="rId6" Type="http://schemas.openxmlformats.org/officeDocument/2006/relationships/hyperlink" Target="http://timesofindia.indiatimes.com/city/mumbai/Pollution-board-appointed-panel-to-set-standards-for-horns-sirens/articleshow/28532204.cms" TargetMode="External"/><Relationship Id="rId11" Type="http://schemas.openxmlformats.org/officeDocument/2006/relationships/hyperlink" Target="http://www.hindustantimes.com/india-news/newdelhi/metro-chokes-yamuna-with-debris/article1-1065100.aspx" TargetMode="External"/><Relationship Id="rId5" Type="http://schemas.openxmlformats.org/officeDocument/2006/relationships/hyperlink" Target="http://stats.oecd.org/glossary/detail.asp?ID=836" TargetMode="External"/><Relationship Id="rId10" Type="http://schemas.openxmlformats.org/officeDocument/2006/relationships/hyperlink" Target="http://www.bbc.co.uk/news/magazine-25944792" TargetMode="External"/><Relationship Id="rId4" Type="http://schemas.openxmlformats.org/officeDocument/2006/relationships/hyperlink" Target="http://ahdictionary.com/word/search.html?q=protect" TargetMode="External"/><Relationship Id="rId9" Type="http://schemas.openxmlformats.org/officeDocument/2006/relationships/hyperlink" Target="http://www.nytimes.com/2014/02/14/opinion/indias-air-pollution-emergency.html?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C5197-905E-47BE-86BC-6D7DD2075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9025</Words>
  <Characters>51449</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dc:creator>
  <cp:lastModifiedBy>Becky Skoyles</cp:lastModifiedBy>
  <cp:revision>2</cp:revision>
  <dcterms:created xsi:type="dcterms:W3CDTF">2015-06-25T11:36:00Z</dcterms:created>
  <dcterms:modified xsi:type="dcterms:W3CDTF">2015-06-25T11:36:00Z</dcterms:modified>
</cp:coreProperties>
</file>