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7F" w:rsidRPr="00F37F6D" w:rsidRDefault="0031441C" w:rsidP="00B02607">
      <w:pPr>
        <w:pStyle w:val="Heading1"/>
        <w:numPr>
          <w:ilvl w:val="0"/>
          <w:numId w:val="0"/>
        </w:numPr>
        <w:ind w:left="720"/>
      </w:pPr>
      <w:bookmarkStart w:id="0" w:name="_GoBack"/>
      <w:bookmarkEnd w:id="0"/>
      <w:r w:rsidRPr="00F37F6D">
        <w:t xml:space="preserve">Educational Mobility in Transition: what can China, Ukraine and the UK learn from one another? </w:t>
      </w:r>
    </w:p>
    <w:p w:rsidR="00CF778A" w:rsidRDefault="00CF778A" w:rsidP="00937111">
      <w:pPr>
        <w:spacing w:line="360" w:lineRule="auto"/>
        <w:rPr>
          <w:rFonts w:cs="Times New Roman"/>
          <w:szCs w:val="24"/>
        </w:rPr>
      </w:pPr>
    </w:p>
    <w:p w:rsidR="00EA7F78" w:rsidRPr="00937111" w:rsidRDefault="00F83ED8" w:rsidP="008336F8">
      <w:pPr>
        <w:spacing w:line="360" w:lineRule="auto"/>
        <w:ind w:firstLine="720"/>
        <w:rPr>
          <w:rFonts w:cs="Times New Roman"/>
          <w:szCs w:val="24"/>
        </w:rPr>
      </w:pPr>
      <w:r w:rsidRPr="00937111">
        <w:rPr>
          <w:rFonts w:cs="Times New Roman"/>
          <w:szCs w:val="24"/>
        </w:rPr>
        <w:t xml:space="preserve">Dr. Rose Quan, </w:t>
      </w:r>
      <w:r w:rsidR="00CC735A">
        <w:rPr>
          <w:rFonts w:cs="Times New Roman"/>
          <w:szCs w:val="24"/>
        </w:rPr>
        <w:t xml:space="preserve">Dr. Alison Pearce, </w:t>
      </w:r>
      <w:r w:rsidRPr="00937111">
        <w:rPr>
          <w:rFonts w:cs="Times New Roman"/>
          <w:szCs w:val="24"/>
        </w:rPr>
        <w:t>Dr. Yevhen Bar</w:t>
      </w:r>
      <w:r w:rsidR="00EA7F78" w:rsidRPr="00937111">
        <w:rPr>
          <w:rFonts w:cs="Times New Roman"/>
          <w:szCs w:val="24"/>
        </w:rPr>
        <w:t xml:space="preserve">anchenko, Northumbria University </w:t>
      </w:r>
    </w:p>
    <w:p w:rsidR="00EA7F78" w:rsidRDefault="00EA7F78" w:rsidP="00B02607">
      <w:pPr>
        <w:pStyle w:val="Heading1"/>
      </w:pPr>
      <w:r w:rsidRPr="00B02607">
        <w:t>Introduction</w:t>
      </w:r>
    </w:p>
    <w:p w:rsidR="0019428D" w:rsidRDefault="0019428D" w:rsidP="00C15B77">
      <w:pPr>
        <w:pStyle w:val="ListParagraph"/>
      </w:pPr>
    </w:p>
    <w:p w:rsidR="00E00340" w:rsidRDefault="009B0E74" w:rsidP="00C15B77">
      <w:pPr>
        <w:pStyle w:val="ListParagraph"/>
      </w:pPr>
      <w:r w:rsidRPr="00937111">
        <w:t>UK, Ukraine and China are countries in transition.</w:t>
      </w:r>
      <w:r w:rsidR="00E00340" w:rsidRPr="00937111">
        <w:t xml:space="preserve"> T</w:t>
      </w:r>
      <w:r w:rsidRPr="00937111">
        <w:t xml:space="preserve">he Chinese’ paradoxical culture </w:t>
      </w:r>
      <w:r w:rsidR="007364D1" w:rsidRPr="00937111">
        <w:t xml:space="preserve">(Fang 2003) </w:t>
      </w:r>
      <w:r w:rsidRPr="00937111">
        <w:t>allows them to develop their own interpretation of capitalism under a communist party</w:t>
      </w:r>
      <w:r w:rsidR="00E00340" w:rsidRPr="00937111">
        <w:t xml:space="preserve"> and the country turns outward to the international stage.</w:t>
      </w:r>
      <w:r w:rsidRPr="00937111">
        <w:t xml:space="preserve"> Ukraine</w:t>
      </w:r>
      <w:r w:rsidR="00E00340" w:rsidRPr="00937111">
        <w:t>’s diverse population</w:t>
      </w:r>
      <w:r w:rsidRPr="00937111">
        <w:t xml:space="preserve"> is pulled in two </w:t>
      </w:r>
      <w:r w:rsidR="00E00340" w:rsidRPr="00937111">
        <w:t xml:space="preserve">opposite </w:t>
      </w:r>
      <w:r w:rsidRPr="00937111">
        <w:t>directions - East and West – with tragic results. The United Kingdom is</w:t>
      </w:r>
      <w:r w:rsidR="00E00340" w:rsidRPr="00937111">
        <w:t xml:space="preserve"> no longer</w:t>
      </w:r>
      <w:r w:rsidRPr="00937111">
        <w:t xml:space="preserve"> united</w:t>
      </w:r>
      <w:r w:rsidR="00E00340" w:rsidRPr="00937111">
        <w:t>: the Scottish referendum in 2014 came close to dissolving the union</w:t>
      </w:r>
      <w:r w:rsidRPr="00937111">
        <w:t xml:space="preserve"> and</w:t>
      </w:r>
      <w:r w:rsidR="00CF778A">
        <w:t xml:space="preserve"> that planned for June 2015 </w:t>
      </w:r>
      <w:r w:rsidR="00E00340" w:rsidRPr="00937111">
        <w:t>could force exit from the European Union.  Despite very different histories, all three are searching for a new position in the world.</w:t>
      </w:r>
    </w:p>
    <w:p w:rsidR="00B02607" w:rsidRPr="00937111" w:rsidRDefault="00B02607" w:rsidP="00C15B77">
      <w:pPr>
        <w:pStyle w:val="ListParagraph"/>
      </w:pPr>
    </w:p>
    <w:p w:rsidR="00A87B91" w:rsidRPr="00937111" w:rsidRDefault="00E00340" w:rsidP="00C15B77">
      <w:pPr>
        <w:pStyle w:val="ListParagraph"/>
      </w:pPr>
      <w:r w:rsidRPr="00937111">
        <w:t xml:space="preserve">Our students are </w:t>
      </w:r>
      <w:r w:rsidR="003841C5" w:rsidRPr="00937111">
        <w:t xml:space="preserve">also </w:t>
      </w:r>
      <w:r w:rsidRPr="00937111">
        <w:t xml:space="preserve">in transition. Despite the </w:t>
      </w:r>
      <w:r w:rsidR="001E46D7" w:rsidRPr="00937111">
        <w:t xml:space="preserve">higher-level debate concerning their home countries’ integration in the outside world, students are </w:t>
      </w:r>
      <w:r w:rsidR="00297BF7" w:rsidRPr="00937111">
        <w:t xml:space="preserve">increasingly, inexorably </w:t>
      </w:r>
      <w:r w:rsidR="001E46D7" w:rsidRPr="00937111">
        <w:t>moving across borders, but not always in both directions. China’s youth travel across the world in search of the best higher education, but many fewer international students seek out China’s universities.</w:t>
      </w:r>
      <w:r w:rsidRPr="00937111">
        <w:t xml:space="preserve"> </w:t>
      </w:r>
      <w:r w:rsidR="0085167F" w:rsidRPr="00C15B77">
        <w:rPr>
          <w:rFonts w:eastAsia="Times New Roman"/>
        </w:rPr>
        <w:t>Ukraine’s system of higher education is going through a period of transformation at a time of economic austerity.  De</w:t>
      </w:r>
      <w:r w:rsidR="00CF778A">
        <w:rPr>
          <w:rFonts w:eastAsia="Times New Roman"/>
        </w:rPr>
        <w:t xml:space="preserve">spite the high demand </w:t>
      </w:r>
      <w:r w:rsidR="0085167F" w:rsidRPr="00C15B77">
        <w:rPr>
          <w:rFonts w:eastAsia="Times New Roman"/>
        </w:rPr>
        <w:t>from Ukrainian students to go abroad dur</w:t>
      </w:r>
      <w:r w:rsidR="00F83ED8" w:rsidRPr="00C15B77">
        <w:rPr>
          <w:rFonts w:eastAsia="Times New Roman"/>
        </w:rPr>
        <w:t>ing</w:t>
      </w:r>
      <w:r w:rsidR="00CF778A">
        <w:rPr>
          <w:rFonts w:eastAsia="Times New Roman"/>
        </w:rPr>
        <w:t xml:space="preserve"> their studies, </w:t>
      </w:r>
      <w:r w:rsidR="0085167F" w:rsidRPr="00C15B77">
        <w:rPr>
          <w:rFonts w:eastAsia="Times New Roman"/>
        </w:rPr>
        <w:t xml:space="preserve">inward student mobility of EU nationals to Ukraine remains exceptionally low.  </w:t>
      </w:r>
      <w:r w:rsidR="001E46D7" w:rsidRPr="00937111">
        <w:t xml:space="preserve">Meanwhile, British universities are heavily subsidised by </w:t>
      </w:r>
      <w:r w:rsidR="0085167F" w:rsidRPr="00937111">
        <w:t xml:space="preserve">lucrative incoming </w:t>
      </w:r>
      <w:r w:rsidR="001E46D7" w:rsidRPr="00937111">
        <w:t>international students, but famously low numbers of British students study abroad</w:t>
      </w:r>
      <w:r w:rsidR="00CC735A">
        <w:t xml:space="preserve"> (British Council, 2016).</w:t>
      </w:r>
      <w:r w:rsidR="001E46D7" w:rsidRPr="00937111">
        <w:t xml:space="preserve"> </w:t>
      </w:r>
    </w:p>
    <w:p w:rsidR="00297BF7" w:rsidRPr="00937111" w:rsidRDefault="00073B41" w:rsidP="00B02607">
      <w:pPr>
        <w:ind w:left="720"/>
      </w:pPr>
      <w:r w:rsidRPr="00937111">
        <w:t>Uniquely, t</w:t>
      </w:r>
      <w:r w:rsidR="00297BF7" w:rsidRPr="00937111">
        <w:t>his study explor</w:t>
      </w:r>
      <w:r w:rsidR="001E46D7" w:rsidRPr="00937111">
        <w:t xml:space="preserve">es the differences </w:t>
      </w:r>
      <w:r w:rsidR="003F370E">
        <w:t xml:space="preserve">in </w:t>
      </w:r>
      <w:r w:rsidR="00297BF7" w:rsidRPr="00937111">
        <w:t xml:space="preserve">international student mobility in these </w:t>
      </w:r>
      <w:r w:rsidRPr="00937111">
        <w:t xml:space="preserve">three </w:t>
      </w:r>
      <w:r w:rsidR="00297BF7" w:rsidRPr="00937111">
        <w:t>contrasting countries. Analysing</w:t>
      </w:r>
      <w:r w:rsidR="003841C5" w:rsidRPr="00937111">
        <w:t xml:space="preserve"> the phenomenon of student mobility</w:t>
      </w:r>
      <w:r w:rsidR="00207DFD" w:rsidRPr="00937111">
        <w:t xml:space="preserve"> </w:t>
      </w:r>
      <w:r w:rsidR="00CF778A">
        <w:t>at</w:t>
      </w:r>
      <w:r w:rsidR="00297BF7" w:rsidRPr="00937111">
        <w:t xml:space="preserve"> national</w:t>
      </w:r>
      <w:r w:rsidR="00CF778A">
        <w:t>, institutional</w:t>
      </w:r>
      <w:r w:rsidR="00297BF7" w:rsidRPr="00937111">
        <w:t xml:space="preserve"> and personal level</w:t>
      </w:r>
      <w:r w:rsidR="00CF778A">
        <w:t>s</w:t>
      </w:r>
      <w:r w:rsidR="00297BF7" w:rsidRPr="00937111">
        <w:t xml:space="preserve">, </w:t>
      </w:r>
      <w:r w:rsidR="003841C5" w:rsidRPr="00937111">
        <w:t xml:space="preserve">we attempt to discover </w:t>
      </w:r>
      <w:r w:rsidR="00297BF7" w:rsidRPr="00937111">
        <w:t xml:space="preserve">what </w:t>
      </w:r>
      <w:r w:rsidR="00CF778A">
        <w:t xml:space="preserve">these </w:t>
      </w:r>
      <w:r w:rsidR="00207DFD" w:rsidRPr="00937111">
        <w:t xml:space="preserve">three countries </w:t>
      </w:r>
      <w:r w:rsidR="003841C5" w:rsidRPr="00937111">
        <w:t>can</w:t>
      </w:r>
      <w:r w:rsidR="00297BF7" w:rsidRPr="00937111">
        <w:t xml:space="preserve"> learn from one another</w:t>
      </w:r>
      <w:r w:rsidR="003F370E">
        <w:t xml:space="preserve"> about the challenges in encouraging and managing educational mobility.</w:t>
      </w:r>
      <w:r w:rsidR="003841C5" w:rsidRPr="00937111">
        <w:t xml:space="preserve"> </w:t>
      </w:r>
    </w:p>
    <w:p w:rsidR="002151CE" w:rsidRPr="00B02607" w:rsidRDefault="002151CE" w:rsidP="00B02607">
      <w:pPr>
        <w:pStyle w:val="Heading2"/>
        <w:numPr>
          <w:ilvl w:val="1"/>
          <w:numId w:val="18"/>
        </w:numPr>
      </w:pPr>
      <w:r w:rsidRPr="00B02607">
        <w:t>Context of Student Mobility</w:t>
      </w:r>
    </w:p>
    <w:p w:rsidR="00091926" w:rsidRDefault="006E1036" w:rsidP="00C15B77">
      <w:pPr>
        <w:pStyle w:val="ListParagraph"/>
      </w:pPr>
      <w:r>
        <w:t xml:space="preserve">Higher education has emerged as a universal agency, which provides guiding </w:t>
      </w:r>
      <w:r w:rsidRPr="006E1036">
        <w:t>principles</w:t>
      </w:r>
      <w:r>
        <w:t xml:space="preserve"> </w:t>
      </w:r>
      <w:r w:rsidRPr="006E1036">
        <w:t xml:space="preserve">not only </w:t>
      </w:r>
      <w:r>
        <w:t xml:space="preserve">how to </w:t>
      </w:r>
      <w:r w:rsidR="00B02607">
        <w:t xml:space="preserve">gain knowledge, but also </w:t>
      </w:r>
      <w:r w:rsidRPr="006E1036">
        <w:t xml:space="preserve">as a </w:t>
      </w:r>
      <w:r>
        <w:t>mean</w:t>
      </w:r>
      <w:r w:rsidR="00B02607">
        <w:t>s</w:t>
      </w:r>
      <w:r w:rsidR="00775271">
        <w:t xml:space="preserve"> for </w:t>
      </w:r>
      <w:r>
        <w:t xml:space="preserve">scholars </w:t>
      </w:r>
      <w:r w:rsidRPr="006E1036">
        <w:t>to learn how to live, realise their full potential and use the</w:t>
      </w:r>
      <w:r w:rsidR="00091926">
        <w:t>ir skills for the greater good, thus overcoming the disadvantages associated with the socio-economic conditions (</w:t>
      </w:r>
      <w:r w:rsidRPr="000342B8">
        <w:t>Dewey</w:t>
      </w:r>
      <w:r w:rsidR="008336F8" w:rsidRPr="000342B8">
        <w:t>)</w:t>
      </w:r>
      <w:r w:rsidR="00091926" w:rsidRPr="000342B8">
        <w:t>. More recently</w:t>
      </w:r>
      <w:r w:rsidR="00091926">
        <w:t xml:space="preserve"> t</w:t>
      </w:r>
      <w:r w:rsidRPr="006E1036">
        <w:t xml:space="preserve">he need for intercultural understanding and international knowledge has become an urgent priority </w:t>
      </w:r>
      <w:r w:rsidR="004153B6">
        <w:fldChar w:fldCharType="begin"/>
      </w:r>
      <w:r w:rsidR="000152A6">
        <w:instrText xml:space="preserve"> ADDIN EN.CITE &lt;EndNote&gt;&lt;Cite&gt;&lt;Author&gt;Bartell&lt;/Author&gt;&lt;Year&gt;2003&lt;/Year&gt;&lt;RecNum&gt;338&lt;/RecNum&gt;&lt;DisplayText&gt;(Bartell, 2003)&lt;/DisplayText&gt;&lt;record&gt;&lt;rec-number&gt;338&lt;/rec-number&gt;&lt;foreign-keys&gt;&lt;key app="EN" db-id="dztp9afped955jed0r65r0afsas2t09fvpzw"&gt;338&lt;/key&gt;&lt;/foreign-keys&gt;&lt;ref-type name="Journal Article"&gt;17&lt;/ref-type&gt;&lt;contributors&gt;&lt;authors&gt;&lt;author&gt;Bartell, M&lt;/author&gt;&lt;/authors&gt;&lt;/contributors&gt;&lt;titles&gt;&lt;title&gt;Internationalization of universities: A university culture-based framework&lt;/title&gt;&lt;secondary-title&gt;Higher Education&lt;/secondary-title&gt;&lt;/titles&gt;&lt;periodical&gt;&lt;full-title&gt;Higher Education&lt;/full-title&gt;&lt;/periodical&gt;&lt;pages&gt;43-70&lt;/pages&gt;&lt;volume&gt;45&lt;/volume&gt;&lt;dates&gt;&lt;year&gt;2003&lt;/year&gt;&lt;/dates&gt;&lt;urls&gt;&lt;/urls&gt;&lt;/record&gt;&lt;/Cite&gt;&lt;/EndNote&gt;</w:instrText>
      </w:r>
      <w:r w:rsidR="004153B6">
        <w:fldChar w:fldCharType="separate"/>
      </w:r>
      <w:r w:rsidR="000152A6">
        <w:rPr>
          <w:noProof/>
        </w:rPr>
        <w:t>(</w:t>
      </w:r>
      <w:hyperlink w:anchor="_ENREF_2" w:tooltip="Bartell, 2003 #338" w:history="1">
        <w:r w:rsidR="003063FA">
          <w:rPr>
            <w:noProof/>
          </w:rPr>
          <w:t>Bartell, 2003</w:t>
        </w:r>
      </w:hyperlink>
      <w:r w:rsidR="000152A6">
        <w:rPr>
          <w:noProof/>
        </w:rPr>
        <w:t>)</w:t>
      </w:r>
      <w:r w:rsidR="004153B6">
        <w:fldChar w:fldCharType="end"/>
      </w:r>
      <w:r w:rsidRPr="006E1036">
        <w:t xml:space="preserve">. International competence is now critical to a nation’s health – “a </w:t>
      </w:r>
      <w:r w:rsidRPr="00C15B77">
        <w:rPr>
          <w:i/>
          <w:iCs/>
        </w:rPr>
        <w:t xml:space="preserve">generalized necessity rather than an option for the tier of societal elites as in the past” </w:t>
      </w:r>
      <w:r w:rsidRPr="006E1036">
        <w:t xml:space="preserve">(p.49). </w:t>
      </w:r>
      <w:r w:rsidR="00091926">
        <w:t xml:space="preserve">  </w:t>
      </w:r>
      <w:r w:rsidR="00B02607">
        <w:t xml:space="preserve">The </w:t>
      </w:r>
      <w:r w:rsidR="00091926" w:rsidRPr="006E1036">
        <w:t>involvement of h</w:t>
      </w:r>
      <w:r w:rsidR="00B02607">
        <w:t xml:space="preserve">igher education institutions in international activities is </w:t>
      </w:r>
      <w:r w:rsidR="00091926" w:rsidRPr="006E1036">
        <w:t xml:space="preserve">influenced by a variety of external environment pressures </w:t>
      </w:r>
      <w:r w:rsidR="004153B6" w:rsidRPr="00C15B77">
        <w:rPr>
          <w:color w:val="000000" w:themeColor="text1"/>
        </w:rPr>
        <w:fldChar w:fldCharType="begin"/>
      </w:r>
      <w:r w:rsidR="00091926" w:rsidRPr="00C15B77">
        <w:rPr>
          <w:color w:val="000000" w:themeColor="text1"/>
        </w:rPr>
        <w:instrText xml:space="preserve"> ADDIN EN.CITE &lt;EndNote&gt;&lt;Cite&gt;&lt;Author&gt;Schofer&lt;/Author&gt;&lt;Year&gt;2005&lt;/Year&gt;&lt;RecNum&gt;225&lt;/RecNum&gt;&lt;DisplayText&gt;(Altbach &amp;amp; Knight, 2007; Schofer &amp;amp; Meyer, 2005)&lt;/DisplayText&gt;&lt;record&gt;&lt;rec-number&gt;225&lt;/rec-number&gt;&lt;foreign-keys&gt;&lt;key app="EN" db-id="dztp9afped955jed0r65r0afsas2t09fvpzw"&gt;225&lt;/key&gt;&lt;/foreign-keys&gt;&lt;ref-type name="Journal Article"&gt;17&lt;/ref-type&gt;&lt;contributors&gt;&lt;authors&gt;&lt;author&gt;Schofer, E&lt;/author&gt;&lt;author&gt;Meyer, J&lt;/author&gt;&lt;/authors&gt;&lt;/contributors&gt;&lt;titles&gt;&lt;title&gt;The worldwide expansion of higher education in the twenties century&lt;/title&gt;&lt;secondary-title&gt;American Sociological Review&lt;/secondary-title&gt;&lt;/titles&gt;&lt;pages&gt;898-920&lt;/pages&gt;&lt;volume&gt;70&lt;/volume&gt;&lt;dates&gt;&lt;year&gt;2005&lt;/year&gt;&lt;/dates&gt;&lt;urls&gt;&lt;/urls&gt;&lt;/record&gt;&lt;/Cite&gt;&lt;Cite&gt;&lt;Author&gt;Altbach&lt;/Author&gt;&lt;Year&gt;2007&lt;/Year&gt;&lt;RecNum&gt;187&lt;/RecNum&gt;&lt;record&gt;&lt;rec-number&gt;187&lt;/rec-number&gt;&lt;foreign-keys&gt;&lt;key app="EN" db-id="dztp9afped955jed0r65r0afsas2t09fvpzw"&gt;187&lt;/key&gt;&lt;/foreign-keys&gt;&lt;ref-type name="Journal Article"&gt;17&lt;/ref-type&gt;&lt;contributors&gt;&lt;authors&gt;&lt;author&gt;Altbach, Philip G.&lt;/author&gt;&lt;author&gt;Knight, J.&lt;/author&gt;&lt;/authors&gt;&lt;/contributors&gt;&lt;titles&gt;&lt;title&gt;The internationalization of higher education: motivation and realities&lt;/title&gt;&lt;secondary-title&gt;Journal of Studies in International Education&lt;/secondary-title&gt;&lt;/titles&gt;&lt;pages&gt;290-305&lt;/pages&gt;&lt;volume&gt;11&lt;/volume&gt;&lt;number&gt;3-4&lt;/number&gt;&lt;dates&gt;&lt;year&gt;2007&lt;/year&gt;&lt;/dates&gt;&lt;urls&gt;&lt;/urls&gt;&lt;/record&gt;&lt;/Cite&gt;&lt;/EndNote&gt;</w:instrText>
      </w:r>
      <w:r w:rsidR="004153B6" w:rsidRPr="00C15B77">
        <w:rPr>
          <w:color w:val="000000" w:themeColor="text1"/>
        </w:rPr>
        <w:fldChar w:fldCharType="separate"/>
      </w:r>
      <w:r w:rsidR="00091926" w:rsidRPr="00C15B77">
        <w:rPr>
          <w:color w:val="000000" w:themeColor="text1"/>
        </w:rPr>
        <w:t>(</w:t>
      </w:r>
      <w:hyperlink w:anchor="_ENREF_1" w:tooltip="Altbach, 2007 #187" w:history="1">
        <w:r w:rsidR="003063FA" w:rsidRPr="00C15B77">
          <w:rPr>
            <w:color w:val="000000" w:themeColor="text1"/>
          </w:rPr>
          <w:t>Altbach &amp; Knight, 2007</w:t>
        </w:r>
      </w:hyperlink>
      <w:r w:rsidR="00091926" w:rsidRPr="00C15B77">
        <w:rPr>
          <w:color w:val="000000" w:themeColor="text1"/>
        </w:rPr>
        <w:t xml:space="preserve">; </w:t>
      </w:r>
      <w:hyperlink w:anchor="_ENREF_16" w:tooltip="Schofer, 2005 #225" w:history="1">
        <w:r w:rsidR="003063FA" w:rsidRPr="00C15B77">
          <w:rPr>
            <w:color w:val="000000" w:themeColor="text1"/>
          </w:rPr>
          <w:t>Schofer &amp; Meyer, 2005</w:t>
        </w:r>
      </w:hyperlink>
      <w:r w:rsidR="00091926" w:rsidRPr="00C15B77">
        <w:rPr>
          <w:color w:val="000000" w:themeColor="text1"/>
        </w:rPr>
        <w:t>)</w:t>
      </w:r>
      <w:r w:rsidR="004153B6" w:rsidRPr="00C15B77">
        <w:rPr>
          <w:color w:val="000000" w:themeColor="text1"/>
        </w:rPr>
        <w:fldChar w:fldCharType="end"/>
      </w:r>
      <w:r w:rsidR="00091926" w:rsidRPr="006E1036">
        <w:t xml:space="preserve">. </w:t>
      </w:r>
      <w:r w:rsidR="00B02607">
        <w:t xml:space="preserve">Such </w:t>
      </w:r>
      <w:r w:rsidR="00091926" w:rsidRPr="006E1036">
        <w:t xml:space="preserve">internationalisation activities in higher education include student and staff mobility, </w:t>
      </w:r>
      <w:r w:rsidR="00091926" w:rsidRPr="006E1036">
        <w:lastRenderedPageBreak/>
        <w:t xml:space="preserve">institutional cooperation and co-optation, standardisation of the curricula and adoption of the best research practices.  </w:t>
      </w:r>
    </w:p>
    <w:p w:rsidR="00B02607" w:rsidRDefault="00B02607" w:rsidP="00C15B77">
      <w:pPr>
        <w:pStyle w:val="ListParagraph"/>
      </w:pPr>
    </w:p>
    <w:p w:rsidR="001274A3" w:rsidRDefault="001274A3" w:rsidP="00C15B77">
      <w:pPr>
        <w:pStyle w:val="ListParagraph"/>
      </w:pPr>
      <w:r w:rsidRPr="00304753">
        <w:t xml:space="preserve">Dewey (1938) believed that students thrive in an environment where they are allowed to experience and interact with the curriculum, and all students should have the opportunity to take part in their own learning.  A holistic approach to internationalisation offers enhanced opportunities for authentic experience and learning. Authentic-learning means that students are motivated by its relevance to their lives outside, are exposed to different settings and perspectives, learn to assimilate and connect unfamiliar knowledge and they develop the flexibility to work across disciplinary and cultural boundaries (international competence). This cannot be provided through conventional teaching methods. </w:t>
      </w:r>
    </w:p>
    <w:p w:rsidR="00B02607" w:rsidRPr="00304753" w:rsidRDefault="00B02607" w:rsidP="00C15B77">
      <w:pPr>
        <w:pStyle w:val="ListParagraph"/>
      </w:pPr>
    </w:p>
    <w:p w:rsidR="001B2575" w:rsidRDefault="001B2575" w:rsidP="00C15B77">
      <w:pPr>
        <w:pStyle w:val="ListParagraph"/>
      </w:pPr>
      <w:r w:rsidRPr="000152A6">
        <w:t>In the various research studies conducted into higher education and its</w:t>
      </w:r>
      <w:r w:rsidR="00B02607">
        <w:t xml:space="preserve"> internationalisation, considerable attention is </w:t>
      </w:r>
      <w:r w:rsidRPr="000152A6">
        <w:t xml:space="preserve">paid to student mobility </w:t>
      </w:r>
      <w:r w:rsidR="004153B6" w:rsidRPr="000152A6">
        <w:fldChar w:fldCharType="begin">
          <w:fldData xml:space="preserve">PEVuZE5vdGU+PENpdGU+PEF1dGhvcj5SaXZ6YTwvQXV0aG9yPjxZZWFyPjIwMDc8L1llYXI+PFJl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</w:fldData>
        </w:fldChar>
      </w:r>
      <w:r w:rsidR="000152A6" w:rsidRPr="000152A6">
        <w:instrText xml:space="preserve"> ADDIN EN.CITE </w:instrText>
      </w:r>
      <w:r w:rsidR="004153B6" w:rsidRPr="000152A6">
        <w:fldChar w:fldCharType="begin">
          <w:fldData xml:space="preserve">PEVuZE5vdGU+PENpdGU+PEF1dGhvcj5SaXZ6YTwvQXV0aG9yPjxZZWFyPjIwMDc8L1llYXI+PFJl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</w:fldData>
        </w:fldChar>
      </w:r>
      <w:r w:rsidR="000152A6" w:rsidRPr="000152A6">
        <w:instrText xml:space="preserve"> ADDIN EN.CITE.DATA </w:instrText>
      </w:r>
      <w:r w:rsidR="004153B6" w:rsidRPr="000152A6">
        <w:fldChar w:fldCharType="end"/>
      </w:r>
      <w:r w:rsidR="004153B6" w:rsidRPr="000152A6">
        <w:fldChar w:fldCharType="separate"/>
      </w:r>
      <w:r w:rsidR="000152A6" w:rsidRPr="000152A6">
        <w:t>(</w:t>
      </w:r>
      <w:hyperlink w:anchor="_ENREF_10" w:tooltip="Guruz, 2011 #326" w:history="1">
        <w:r w:rsidR="003063FA" w:rsidRPr="000152A6">
          <w:t>Guruz, 2011</w:t>
        </w:r>
      </w:hyperlink>
      <w:r w:rsidR="000152A6" w:rsidRPr="000152A6">
        <w:t xml:space="preserve">; </w:t>
      </w:r>
      <w:hyperlink w:anchor="_ENREF_15" w:tooltip="Rivza, 2007 #12" w:history="1">
        <w:r w:rsidR="003063FA" w:rsidRPr="000152A6">
          <w:t>Rivza &amp; Teichler, 2007</w:t>
        </w:r>
      </w:hyperlink>
      <w:r w:rsidR="000152A6" w:rsidRPr="000152A6">
        <w:t xml:space="preserve">; </w:t>
      </w:r>
      <w:hyperlink w:anchor="_ENREF_20" w:tooltip="West, 2009 #1" w:history="1">
        <w:r w:rsidR="003063FA" w:rsidRPr="000152A6">
          <w:t>A. West &amp; Barham, 2009</w:t>
        </w:r>
      </w:hyperlink>
      <w:r w:rsidR="000152A6" w:rsidRPr="000152A6">
        <w:t>)</w:t>
      </w:r>
      <w:r w:rsidR="004153B6" w:rsidRPr="000152A6">
        <w:fldChar w:fldCharType="end"/>
      </w:r>
      <w:r w:rsidR="00B02607">
        <w:t xml:space="preserve">.  However, scholarly </w:t>
      </w:r>
      <w:r w:rsidRPr="000152A6">
        <w:t>controversy l exists</w:t>
      </w:r>
      <w:r w:rsidR="00B02607">
        <w:t xml:space="preserve"> around the ‘brain drain’ phenomenon and</w:t>
      </w:r>
      <w:r w:rsidRPr="000152A6">
        <w:t xml:space="preserve"> commercialisation of education</w:t>
      </w:r>
      <w:r w:rsidR="00B02607">
        <w:t>,</w:t>
      </w:r>
      <w:r w:rsidRPr="000152A6">
        <w:t xml:space="preserve"> as well as </w:t>
      </w:r>
      <w:r w:rsidR="00B02607">
        <w:t>the risk of</w:t>
      </w:r>
      <w:r w:rsidRPr="000152A6">
        <w:t xml:space="preserve"> diminishing the quality of higher education </w:t>
      </w:r>
      <w:r w:rsidR="004153B6" w:rsidRPr="000152A6">
        <w:fldChar w:fldCharType="begin"/>
      </w:r>
      <w:r w:rsidR="000152A6" w:rsidRPr="000152A6">
        <w:instrText xml:space="preserve"> ADDIN EN.CITE &lt;EndNote&gt;&lt;Cite&gt;&lt;Author&gt;Rivza&lt;/Author&gt;&lt;Year&gt;2007&lt;/Year&gt;&lt;RecNum&gt;12&lt;/RecNum&gt;&lt;DisplayText&gt;(Rivza &amp;amp; Teichler, 2007)&lt;/DisplayText&gt;&lt;record&gt;&lt;rec-number&gt;12&lt;/rec-number&gt;&lt;foreign-keys&gt;&lt;key app="EN" db-id="dztp9afped955jed0r65r0afsas2t09fvpzw"&gt;12&lt;/key&gt;&lt;/foreign-keys&gt;&lt;ref-type name="Journal Article"&gt;17&lt;/ref-type&gt;&lt;contributors&gt;&lt;authors&gt;&lt;author&gt;Rivza, B&lt;/author&gt;&lt;author&gt;Teichler, U&lt;/author&gt;&lt;/authors&gt;&lt;/contributors&gt;&lt;titles&gt;&lt;title&gt;The changing role of student mobility&lt;/title&gt;&lt;secondary-title&gt;Higher Education Policy&lt;/secondary-title&gt;&lt;/titles&gt;&lt;periodical&gt;&lt;full-title&gt;Higher Education Policy&lt;/full-title&gt;&lt;/periodical&gt;&lt;pages&gt;457-475&lt;/pages&gt;&lt;volume&gt;20&lt;/volume&gt;&lt;number&gt;4&lt;/number&gt;&lt;dates&gt;&lt;year&gt;2007&lt;/year&gt;&lt;/dates&gt;&lt;urls&gt;&lt;/urls&gt;&lt;/record&gt;&lt;/Cite&gt;&lt;/EndNote&gt;</w:instrText>
      </w:r>
      <w:r w:rsidR="004153B6" w:rsidRPr="000152A6">
        <w:fldChar w:fldCharType="separate"/>
      </w:r>
      <w:r w:rsidRPr="000152A6">
        <w:t>(</w:t>
      </w:r>
      <w:hyperlink w:anchor="_ENREF_15" w:tooltip="Rivza, 2007 #12" w:history="1">
        <w:r w:rsidR="003063FA" w:rsidRPr="000152A6">
          <w:t>Rivza &amp; Teichler, 2007</w:t>
        </w:r>
      </w:hyperlink>
      <w:r w:rsidRPr="000152A6">
        <w:t>)</w:t>
      </w:r>
      <w:r w:rsidR="004153B6" w:rsidRPr="000152A6">
        <w:fldChar w:fldCharType="end"/>
      </w:r>
      <w:r w:rsidR="00690833">
        <w:t>. N</w:t>
      </w:r>
      <w:r w:rsidRPr="000152A6">
        <w:t>o</w:t>
      </w:r>
      <w:r w:rsidR="00690833">
        <w:t>netheless, advantages are generally accepted to exceed drawbacks. S</w:t>
      </w:r>
      <w:r w:rsidRPr="000152A6">
        <w:t>tuden</w:t>
      </w:r>
      <w:r w:rsidR="00690833">
        <w:t xml:space="preserve">t mobility can be considered </w:t>
      </w:r>
      <w:r w:rsidR="008A7B33">
        <w:t>a specific form of migration. I</w:t>
      </w:r>
      <w:r w:rsidRPr="000152A6">
        <w:t xml:space="preserve">n contrast to labour migration, for </w:t>
      </w:r>
      <w:r w:rsidR="008A7B33">
        <w:t xml:space="preserve">instance, it is </w:t>
      </w:r>
      <w:r w:rsidRPr="000152A6">
        <w:t xml:space="preserve">not driven by economic motives, but rather </w:t>
      </w:r>
      <w:r w:rsidR="008A7B33">
        <w:t xml:space="preserve">by </w:t>
      </w:r>
      <w:r w:rsidRPr="000152A6">
        <w:t>students</w:t>
      </w:r>
      <w:r w:rsidR="008A7B33">
        <w:t xml:space="preserve"> wishing</w:t>
      </w:r>
      <w:r w:rsidRPr="000152A6">
        <w:t xml:space="preserve"> to gain experience: educational, travel, cultural and leisure </w:t>
      </w:r>
      <w:r w:rsidR="004153B6" w:rsidRPr="000152A6">
        <w:fldChar w:fldCharType="begin"/>
      </w:r>
      <w:r w:rsidRPr="000152A6">
        <w:instrText xml:space="preserve"> ADDIN EN.CITE &lt;EndNote&gt;&lt;Cite&gt;&lt;Author&gt;Van Mol&lt;/Author&gt;&lt;Year&gt;2013&lt;/Year&gt;&lt;RecNum&gt;368&lt;/RecNum&gt;&lt;DisplayText&gt;(Di Pietro &amp;amp; Page, 2008; Van Mol, 2013)&lt;/DisplayText&gt;&lt;record&gt;&lt;rec-number&gt;368&lt;/rec-number&gt;&lt;foreign-keys&gt;&lt;key app="EN" db-id="dztp9afped955jed0r65r0afsas2t09fvpzw"&gt;368&lt;/key&gt;&lt;/foreign-keys&gt;&lt;ref-type name="Journal Article"&gt;17&lt;/ref-type&gt;&lt;contributors&gt;&lt;authors&gt;&lt;author&gt;Van Mol, C&lt;/author&gt;&lt;/authors&gt;&lt;/contributors&gt;&lt;titles&gt;&lt;title&gt;Intre-European student mobility and European identity: a successfull marriage?&lt;/title&gt;&lt;secondary-title&gt;Population, Space and Place&lt;/secondary-title&gt;&lt;/titles&gt;&lt;pages&gt;209-222&lt;/pages&gt;&lt;volume&gt;19&lt;/volume&gt;&lt;dates&gt;&lt;year&gt;2013&lt;/year&gt;&lt;/dates&gt;&lt;urls&gt;&lt;/urls&gt;&lt;/record&gt;&lt;/Cite&gt;&lt;Cite&gt;&lt;Author&gt;Di Pietro&lt;/Author&gt;&lt;Year&gt;2008&lt;/Year&gt;&lt;RecNum&gt;369&lt;/RecNum&gt;&lt;record&gt;&lt;rec-number&gt;369&lt;/rec-number&gt;&lt;foreign-keys&gt;&lt;key app="EN" db-id="dztp9afped955jed0r65r0afsas2t09fvpzw"&gt;369&lt;/key&gt;&lt;/foreign-keys&gt;&lt;ref-type name="Journal Article"&gt;17&lt;/ref-type&gt;&lt;contributors&gt;&lt;authors&gt;&lt;author&gt;Di Pietro, G&lt;/author&gt;&lt;author&gt;Page, L&lt;/author&gt;&lt;/authors&gt;&lt;/contributors&gt;&lt;titles&gt;&lt;title&gt;Who studies abroad?  Evidence from France and Italy&lt;/title&gt;&lt;secondary-title&gt;European Journal of Education&lt;/secondary-title&gt;&lt;/titles&gt;&lt;pages&gt;389-398&lt;/pages&gt;&lt;volume&gt;43&lt;/volume&gt;&lt;number&gt;3&lt;/number&gt;&lt;dates&gt;&lt;year&gt;2008&lt;/year&gt;&lt;/dates&gt;&lt;urls&gt;&lt;/urls&gt;&lt;/record&gt;&lt;/Cite&gt;&lt;/EndNote&gt;</w:instrText>
      </w:r>
      <w:r w:rsidR="004153B6" w:rsidRPr="000152A6">
        <w:fldChar w:fldCharType="separate"/>
      </w:r>
      <w:r w:rsidRPr="000152A6">
        <w:t>(</w:t>
      </w:r>
      <w:hyperlink w:anchor="_ENREF_6" w:tooltip="Di Pietro, 2008 #369" w:history="1">
        <w:r w:rsidR="003063FA" w:rsidRPr="000152A6">
          <w:t>Di Pietro &amp; Page, 2008</w:t>
        </w:r>
      </w:hyperlink>
      <w:r w:rsidRPr="000152A6">
        <w:t xml:space="preserve">; </w:t>
      </w:r>
      <w:hyperlink w:anchor="_ENREF_19" w:tooltip="Van Mol, 2013 #368" w:history="1">
        <w:r w:rsidR="003063FA" w:rsidRPr="000152A6">
          <w:t>Van Mol, 2013</w:t>
        </w:r>
      </w:hyperlink>
      <w:r w:rsidRPr="000152A6">
        <w:t>)</w:t>
      </w:r>
      <w:r w:rsidR="004153B6" w:rsidRPr="000152A6">
        <w:fldChar w:fldCharType="end"/>
      </w:r>
      <w:r w:rsidRPr="000152A6">
        <w:t xml:space="preserve">. </w:t>
      </w:r>
    </w:p>
    <w:p w:rsidR="006563BA" w:rsidRDefault="006563BA" w:rsidP="00C15B77">
      <w:pPr>
        <w:pStyle w:val="ListParagraph"/>
      </w:pPr>
    </w:p>
    <w:p w:rsidR="009E074D" w:rsidRDefault="006563BA" w:rsidP="00C15B77">
      <w:pPr>
        <w:pStyle w:val="ListParagraph"/>
      </w:pPr>
      <w:r>
        <w:t>There are two ma</w:t>
      </w:r>
      <w:r w:rsidR="001B2575" w:rsidRPr="000152A6">
        <w:t>in categories of mobility: students enrolling in a full</w:t>
      </w:r>
      <w:r>
        <w:t>-time</w:t>
      </w:r>
      <w:r w:rsidR="001B2575" w:rsidRPr="000152A6">
        <w:t xml:space="preserve"> degree in a foreign country and those seeking to study abroad for a certain period of time through a </w:t>
      </w:r>
      <w:r>
        <w:t xml:space="preserve">specific programme or bi- </w:t>
      </w:r>
      <w:r w:rsidR="001B2575" w:rsidRPr="000152A6">
        <w:t xml:space="preserve">lateral agreements.  Recent studies </w:t>
      </w:r>
      <w:r w:rsidR="004153B6" w:rsidRPr="000152A6">
        <w:fldChar w:fldCharType="begin"/>
      </w:r>
      <w:r w:rsidR="000152A6" w:rsidRPr="000152A6">
        <w:instrText xml:space="preserve"> ADDIN EN.CITE &lt;EndNote&gt;&lt;Cite&gt;&lt;Author&gt;Gonzalez&lt;/Author&gt;&lt;Year&gt;2011&lt;/Year&gt;&lt;RecNum&gt;330&lt;/RecNum&gt;&lt;DisplayText&gt;(Gonzalez, Mesanza, &amp;amp; Mariel, 2011; Teichler, 2012)&lt;/DisplayText&gt;&lt;record&gt;&lt;rec-number&gt;330&lt;/rec-number&gt;&lt;foreign-keys&gt;&lt;key app="EN" db-id="dztp9afped955jed0r65r0afsas2t09fvpzw"&gt;330&lt;/key&gt;&lt;/foreign-keys&gt;&lt;ref-type name="Journal Article"&gt;17&lt;/ref-type&gt;&lt;contributors&gt;&lt;authors&gt;&lt;author&gt;Gonzalez, C.R.&lt;/author&gt;&lt;author&gt;Mesanza, R.B.&lt;/author&gt;&lt;author&gt;Mariel, P&lt;/author&gt;&lt;/authors&gt;&lt;/contributors&gt;&lt;titles&gt;&lt;title&gt;The determinants of international studnet mobility flows: an emperical study on the Erasmus programme&lt;/title&gt;&lt;secondary-title&gt;Higher EDucation&lt;/secondary-title&gt;&lt;/titles&gt;&lt;periodical&gt;&lt;full-title&gt;Higher Education&lt;/full-title&gt;&lt;/periodical&gt;&lt;pages&gt;413-430&lt;/pages&gt;&lt;volume&gt;62&lt;/volume&gt;&lt;number&gt;4&lt;/number&gt;&lt;dates&gt;&lt;year&gt;2011&lt;/year&gt;&lt;/dates&gt;&lt;urls&gt;&lt;/urls&gt;&lt;/record&gt;&lt;/Cite&gt;&lt;Cite&gt;&lt;Author&gt;Teichler&lt;/Author&gt;&lt;Year&gt;2012&lt;/Year&gt;&lt;RecNum&gt;458&lt;/RecNum&gt;&lt;record&gt;&lt;rec-number&gt;458&lt;/rec-number&gt;&lt;foreign-keys&gt;&lt;key app="EN" db-id="dztp9afped955jed0r65r0afsas2t09fvpzw"&gt;458&lt;/key&gt;&lt;/foreign-keys&gt;&lt;ref-type name="Journal Article"&gt;17&lt;/ref-type&gt;&lt;contributors&gt;&lt;authors&gt;&lt;author&gt;Teichler, U&lt;/author&gt;&lt;/authors&gt;&lt;/contributors&gt;&lt;titles&gt;&lt;title&gt;International student mobility in Europe in the Context of the Bologna Process&lt;/title&gt;&lt;secondary-title&gt;Journal of International Education and Leadership&lt;/secondary-title&gt;&lt;/titles&gt;&lt;periodical&gt;&lt;full-title&gt;Journal of International Education and Leadership&lt;/full-title&gt;&lt;/periodical&gt;&lt;volume&gt;2&lt;/volume&gt;&lt;number&gt;1&lt;/number&gt;&lt;dates&gt;&lt;year&gt;2012&lt;/year&gt;&lt;/dates&gt;&lt;urls&gt;&lt;/urls&gt;&lt;/record&gt;&lt;/Cite&gt;&lt;/EndNote&gt;</w:instrText>
      </w:r>
      <w:r w:rsidR="004153B6" w:rsidRPr="000152A6">
        <w:fldChar w:fldCharType="separate"/>
      </w:r>
      <w:r w:rsidR="000152A6" w:rsidRPr="000152A6">
        <w:t>(</w:t>
      </w:r>
      <w:hyperlink w:anchor="_ENREF_9" w:tooltip="Gonzalez, 2011 #330" w:history="1">
        <w:r w:rsidR="003063FA" w:rsidRPr="000152A6">
          <w:t>Gonzalez, Mesanza, &amp; Mariel, 2011</w:t>
        </w:r>
      </w:hyperlink>
      <w:r w:rsidR="000152A6" w:rsidRPr="000152A6">
        <w:t xml:space="preserve">; </w:t>
      </w:r>
      <w:hyperlink w:anchor="_ENREF_18" w:tooltip="Teichler, 2012 #458" w:history="1">
        <w:r w:rsidR="003063FA" w:rsidRPr="000152A6">
          <w:t>Teichler, 2012</w:t>
        </w:r>
      </w:hyperlink>
      <w:r w:rsidR="000152A6" w:rsidRPr="000152A6">
        <w:t>)</w:t>
      </w:r>
      <w:r w:rsidR="004153B6" w:rsidRPr="000152A6">
        <w:fldChar w:fldCharType="end"/>
      </w:r>
      <w:r w:rsidR="000152A6" w:rsidRPr="000152A6">
        <w:t xml:space="preserve"> </w:t>
      </w:r>
      <w:r w:rsidR="001B2575" w:rsidRPr="000152A6">
        <w:t>demons</w:t>
      </w:r>
      <w:r>
        <w:t xml:space="preserve">trate that the major steps have been made by agencies at both institutional and national level in recognition of </w:t>
      </w:r>
      <w:r w:rsidR="001B2575" w:rsidRPr="000152A6">
        <w:t>academic qualifications across borders and student mobility in general, despite the divergence in the perception of the importance of mobility initiatives.  Ge</w:t>
      </w:r>
      <w:r w:rsidR="003F370E">
        <w:t>rmany</w:t>
      </w:r>
      <w:r>
        <w:t>, for example, strongly promotes</w:t>
      </w:r>
      <w:r w:rsidR="003F370E">
        <w:t xml:space="preserve"> </w:t>
      </w:r>
      <w:r w:rsidR="001B2575" w:rsidRPr="000152A6">
        <w:t>outward mobility, facilitating recognition of curricula and continuing to provide funding for their students while abroad (West and Barham, 2009).  In contrast, the Un</w:t>
      </w:r>
      <w:r>
        <w:t>ited Kingdom and France focus</w:t>
      </w:r>
      <w:r w:rsidR="001B2575" w:rsidRPr="000152A6">
        <w:t xml:space="preserve"> their effo</w:t>
      </w:r>
      <w:r w:rsidR="00267744">
        <w:t xml:space="preserve">rts on inward student mobility from </w:t>
      </w:r>
      <w:r w:rsidR="003F370E">
        <w:t>outside the European Union</w:t>
      </w:r>
      <w:r w:rsidR="00267744">
        <w:t xml:space="preserve"> in order to build an income stream</w:t>
      </w:r>
      <w:r w:rsidR="009E074D">
        <w:t xml:space="preserve"> </w:t>
      </w:r>
      <w:r w:rsidR="009E074D" w:rsidRPr="000152A6">
        <w:t>(</w:t>
      </w:r>
      <w:hyperlink w:anchor="_ENREF_13" w:tooltip="Kondakci, 2011 #370" w:history="1">
        <w:r w:rsidR="009E074D" w:rsidRPr="000152A6">
          <w:t>Kondakci, 2011</w:t>
        </w:r>
      </w:hyperlink>
      <w:r w:rsidR="009E074D">
        <w:t xml:space="preserve">). </w:t>
      </w:r>
      <w:r w:rsidR="003F370E">
        <w:t>T</w:t>
      </w:r>
      <w:r w:rsidR="00267744">
        <w:t xml:space="preserve">his is </w:t>
      </w:r>
      <w:r w:rsidR="001B2575" w:rsidRPr="000152A6">
        <w:t>due to</w:t>
      </w:r>
      <w:r w:rsidR="003F370E">
        <w:t xml:space="preserve"> the</w:t>
      </w:r>
      <w:r w:rsidR="001B2575" w:rsidRPr="000152A6">
        <w:t xml:space="preserve"> intention of these two educational systems to focus on wider global market for students as well as the overall promotion of economic, political and cultural</w:t>
      </w:r>
      <w:r w:rsidR="00267744">
        <w:t xml:space="preserve"> features of these countries.  </w:t>
      </w:r>
      <w:r w:rsidR="009E074D">
        <w:t>Sweden supports both</w:t>
      </w:r>
      <w:r w:rsidR="001B2575" w:rsidRPr="000152A6">
        <w:t xml:space="preserve"> inward and outward student mobility programmes with a number of financial support schemes in place, whereas Turkey is seen primarily </w:t>
      </w:r>
      <w:r w:rsidR="009E074D">
        <w:t xml:space="preserve">as </w:t>
      </w:r>
      <w:r w:rsidR="001B2575" w:rsidRPr="000152A6">
        <w:t xml:space="preserve">a sending country. </w:t>
      </w:r>
      <w:r w:rsidR="00E75CA1">
        <w:t xml:space="preserve"> </w:t>
      </w:r>
    </w:p>
    <w:p w:rsidR="009E074D" w:rsidRDefault="009E074D" w:rsidP="00C15B77">
      <w:pPr>
        <w:pStyle w:val="ListParagraph"/>
      </w:pPr>
    </w:p>
    <w:p w:rsidR="00E75CA1" w:rsidRDefault="003F370E" w:rsidP="00C15B77">
      <w:pPr>
        <w:pStyle w:val="ListParagraph"/>
        <w:rPr>
          <w:color w:val="000000" w:themeColor="text1"/>
        </w:rPr>
      </w:pPr>
      <w:r w:rsidRPr="00C15B77">
        <w:rPr>
          <w:color w:val="000000" w:themeColor="text1"/>
        </w:rPr>
        <w:t>W</w:t>
      </w:r>
      <w:r w:rsidR="00E75CA1" w:rsidRPr="00C15B77">
        <w:rPr>
          <w:color w:val="000000" w:themeColor="text1"/>
        </w:rPr>
        <w:t xml:space="preserve">hether </w:t>
      </w:r>
      <w:r w:rsidRPr="00C15B77">
        <w:rPr>
          <w:color w:val="000000" w:themeColor="text1"/>
        </w:rPr>
        <w:t xml:space="preserve">or not to participate in a </w:t>
      </w:r>
      <w:r w:rsidR="00E75CA1" w:rsidRPr="00C15B77">
        <w:rPr>
          <w:color w:val="000000" w:themeColor="text1"/>
        </w:rPr>
        <w:t xml:space="preserve">student mobility programme is determined by a number of factors, among which Rivza and Teichler </w:t>
      </w:r>
      <w:r w:rsidR="004153B6" w:rsidRPr="00C15B77">
        <w:rPr>
          <w:color w:val="000000" w:themeColor="text1"/>
        </w:rPr>
        <w:fldChar w:fldCharType="begin"/>
      </w:r>
      <w:r w:rsidR="00E75CA1" w:rsidRPr="00C15B77">
        <w:rPr>
          <w:color w:val="000000" w:themeColor="text1"/>
        </w:rPr>
        <w:instrText xml:space="preserve"> ADDIN EN.CITE &lt;EndNote&gt;&lt;Cite ExcludeAuth="1"&gt;&lt;Author&gt;Rivza&lt;/Author&gt;&lt;Year&gt;2007&lt;/Year&gt;&lt;RecNum&gt;12&lt;/RecNum&gt;&lt;DisplayText&gt;(2007)&lt;/DisplayText&gt;&lt;record&gt;&lt;rec-number&gt;12&lt;/rec-number&gt;&lt;foreign-keys&gt;&lt;key app="EN" db-id="dztp9afped955jed0r65r0afsas2t09fvpzw"&gt;12&lt;/key&gt;&lt;/foreign-keys&gt;&lt;ref-type name="Journal Article"&gt;17&lt;/ref-type&gt;&lt;contributors&gt;&lt;authors&gt;&lt;author&gt;Rivza, B&lt;/author&gt;&lt;author&gt;Teichler, U&lt;/author&gt;&lt;/authors&gt;&lt;/contributors&gt;&lt;titles&gt;&lt;title&gt;The changing role of student mobility&lt;/title&gt;&lt;secondary-title&gt;Higher Education Policy&lt;/secondary-title&gt;&lt;/titles&gt;&lt;periodical&gt;&lt;full-title&gt;Higher Education Policy&lt;/full-title&gt;&lt;/periodical&gt;&lt;pages&gt;457-475&lt;/pages&gt;&lt;volume&gt;20&lt;/volume&gt;&lt;number&gt;4&lt;/number&gt;&lt;dates&gt;&lt;year&gt;2007&lt;/year&gt;&lt;/dates&gt;&lt;urls&gt;&lt;/urls&gt;&lt;/record&gt;&lt;/Cite&gt;&lt;/EndNote&gt;</w:instrText>
      </w:r>
      <w:r w:rsidR="004153B6" w:rsidRPr="00C15B77">
        <w:rPr>
          <w:color w:val="000000" w:themeColor="text1"/>
        </w:rPr>
        <w:fldChar w:fldCharType="separate"/>
      </w:r>
      <w:r w:rsidR="00E75CA1" w:rsidRPr="00C15B77">
        <w:rPr>
          <w:noProof/>
          <w:color w:val="000000" w:themeColor="text1"/>
        </w:rPr>
        <w:t>(</w:t>
      </w:r>
      <w:hyperlink w:anchor="_ENREF_15" w:tooltip="Rivza, 2007 #12" w:history="1">
        <w:r w:rsidR="003063FA" w:rsidRPr="00C15B77">
          <w:rPr>
            <w:noProof/>
            <w:color w:val="000000" w:themeColor="text1"/>
          </w:rPr>
          <w:t>2007</w:t>
        </w:r>
      </w:hyperlink>
      <w:r w:rsidR="00E75CA1" w:rsidRPr="00C15B77">
        <w:rPr>
          <w:noProof/>
          <w:color w:val="000000" w:themeColor="text1"/>
        </w:rPr>
        <w:t>)</w:t>
      </w:r>
      <w:r w:rsidR="004153B6" w:rsidRPr="00C15B77">
        <w:rPr>
          <w:color w:val="000000" w:themeColor="text1"/>
        </w:rPr>
        <w:fldChar w:fldCharType="end"/>
      </w:r>
      <w:r w:rsidR="008336F8">
        <w:rPr>
          <w:color w:val="000000" w:themeColor="text1"/>
        </w:rPr>
        <w:t xml:space="preserve"> identified</w:t>
      </w:r>
      <w:r w:rsidRPr="00C15B77">
        <w:rPr>
          <w:color w:val="000000" w:themeColor="text1"/>
        </w:rPr>
        <w:t xml:space="preserve"> students’ ability to access courses of higher quality</w:t>
      </w:r>
      <w:r w:rsidR="00E75CA1" w:rsidRPr="00C15B77">
        <w:rPr>
          <w:color w:val="000000" w:themeColor="text1"/>
        </w:rPr>
        <w:t xml:space="preserve"> than domestic education institutions can provide.  Thus, academically and economically, </w:t>
      </w:r>
      <w:r w:rsidR="00E75CA1" w:rsidRPr="00C15B77">
        <w:rPr>
          <w:i/>
          <w:color w:val="000000" w:themeColor="text1"/>
        </w:rPr>
        <w:t>vertical</w:t>
      </w:r>
      <w:r w:rsidRPr="00C15B77">
        <w:rPr>
          <w:color w:val="000000" w:themeColor="text1"/>
        </w:rPr>
        <w:t xml:space="preserve"> mobility </w:t>
      </w:r>
      <w:r w:rsidR="00E75CA1" w:rsidRPr="00C15B77">
        <w:rPr>
          <w:color w:val="000000" w:themeColor="text1"/>
        </w:rPr>
        <w:t xml:space="preserve">occurs between developing countries (or countries in transition) and their more advanced counterparts, whereas </w:t>
      </w:r>
      <w:r w:rsidR="00E75CA1" w:rsidRPr="00C15B77">
        <w:rPr>
          <w:i/>
          <w:color w:val="000000" w:themeColor="text1"/>
        </w:rPr>
        <w:t>horizontal</w:t>
      </w:r>
      <w:r w:rsidRPr="00C15B77">
        <w:rPr>
          <w:color w:val="000000" w:themeColor="text1"/>
        </w:rPr>
        <w:t xml:space="preserve"> mobility provides opportunities</w:t>
      </w:r>
      <w:r w:rsidR="00E75CA1" w:rsidRPr="00C15B77">
        <w:rPr>
          <w:color w:val="000000" w:themeColor="text1"/>
        </w:rPr>
        <w:t xml:space="preserve"> to experience the differences between academic environments and cultures.  </w:t>
      </w:r>
      <w:r w:rsidRPr="00C15B77">
        <w:rPr>
          <w:color w:val="000000" w:themeColor="text1"/>
        </w:rPr>
        <w:t>S</w:t>
      </w:r>
      <w:r w:rsidR="00E75CA1" w:rsidRPr="00C15B77">
        <w:rPr>
          <w:color w:val="000000" w:themeColor="text1"/>
        </w:rPr>
        <w:t xml:space="preserve">tudents also benefit from learning </w:t>
      </w:r>
      <w:r w:rsidR="008336F8">
        <w:rPr>
          <w:color w:val="000000" w:themeColor="text1"/>
        </w:rPr>
        <w:t xml:space="preserve">a foreign language and experiencing an </w:t>
      </w:r>
      <w:r w:rsidR="00E75CA1" w:rsidRPr="00C15B77">
        <w:rPr>
          <w:color w:val="000000" w:themeColor="text1"/>
        </w:rPr>
        <w:t xml:space="preserve">exciting extracurricular life during the </w:t>
      </w:r>
      <w:r w:rsidRPr="00C15B77">
        <w:rPr>
          <w:color w:val="000000" w:themeColor="text1"/>
        </w:rPr>
        <w:t xml:space="preserve">mobility </w:t>
      </w:r>
      <w:r w:rsidR="00E75CA1" w:rsidRPr="00C15B77">
        <w:rPr>
          <w:color w:val="000000" w:themeColor="text1"/>
        </w:rPr>
        <w:t>period</w:t>
      </w:r>
      <w:r w:rsidRPr="00C15B77">
        <w:rPr>
          <w:color w:val="000000" w:themeColor="text1"/>
        </w:rPr>
        <w:t>.</w:t>
      </w:r>
    </w:p>
    <w:p w:rsidR="0019428D" w:rsidRDefault="0019428D" w:rsidP="00C15B77">
      <w:pPr>
        <w:pStyle w:val="ListParagraph"/>
        <w:rPr>
          <w:color w:val="000000" w:themeColor="text1"/>
        </w:rPr>
      </w:pPr>
    </w:p>
    <w:p w:rsidR="0019428D" w:rsidRPr="00C15B77" w:rsidRDefault="0019428D" w:rsidP="0019428D">
      <w:pPr>
        <w:pStyle w:val="Heading1"/>
      </w:pPr>
      <w:r w:rsidRPr="00C15B77">
        <w:lastRenderedPageBreak/>
        <w:t>Methodology</w:t>
      </w:r>
    </w:p>
    <w:p w:rsidR="0019428D" w:rsidRDefault="0019428D" w:rsidP="0019428D">
      <w:pPr>
        <w:pStyle w:val="ListParagraph"/>
      </w:pPr>
      <w:r w:rsidRPr="006718FE">
        <w:t xml:space="preserve">The purpose of this </w:t>
      </w:r>
      <w:r>
        <w:t xml:space="preserve">study is to explore </w:t>
      </w:r>
      <w:r w:rsidRPr="006718FE">
        <w:t>student mobility mechanism</w:t>
      </w:r>
      <w:r>
        <w:t>s</w:t>
      </w:r>
      <w:r w:rsidRPr="006718FE">
        <w:t xml:space="preserve"> in </w:t>
      </w:r>
      <w:r>
        <w:t xml:space="preserve">the UK, </w:t>
      </w:r>
      <w:r w:rsidRPr="006718FE">
        <w:t xml:space="preserve">Ukraine </w:t>
      </w:r>
      <w:r>
        <w:t>and China through the comparis</w:t>
      </w:r>
      <w:r w:rsidRPr="006718FE">
        <w:t xml:space="preserve">on of </w:t>
      </w:r>
      <w:r>
        <w:t>a single case study per country</w:t>
      </w:r>
      <w:r w:rsidR="009C2601">
        <w:t>, producing</w:t>
      </w:r>
      <w:r w:rsidRPr="006718FE">
        <w:t>.  The aut</w:t>
      </w:r>
      <w:r>
        <w:t>hors asseverate that the lived experience of individuals and institutions</w:t>
      </w:r>
      <w:r w:rsidRPr="006718FE">
        <w:t xml:space="preserve"> can provide an epistemological advantage over othe</w:t>
      </w:r>
      <w:r>
        <w:t xml:space="preserve">r methodologies and improve </w:t>
      </w:r>
      <w:r w:rsidRPr="006718FE">
        <w:t>understanding of the phenomenon.</w:t>
      </w:r>
    </w:p>
    <w:p w:rsidR="0019428D" w:rsidRDefault="0019428D" w:rsidP="0019428D">
      <w:pPr>
        <w:pStyle w:val="ListParagraph"/>
      </w:pPr>
    </w:p>
    <w:p w:rsidR="0019428D" w:rsidRDefault="0019428D" w:rsidP="0019428D">
      <w:pPr>
        <w:pStyle w:val="ListParagraph"/>
      </w:pPr>
      <w:r>
        <w:t xml:space="preserve">For the </w:t>
      </w:r>
      <w:r w:rsidRPr="00937111">
        <w:t>exploratory nature of this study, we employed an inductive approach to understand</w:t>
      </w:r>
      <w:r w:rsidR="00EF7901">
        <w:t xml:space="preserve"> real-life context via multiple </w:t>
      </w:r>
      <w:r w:rsidRPr="00937111">
        <w:t xml:space="preserve">case studies. According to Yin (2003), a case study investigates a contemporary and dynamic phenomenon and allows researchers to conduct an in-depth investigation of the topic </w:t>
      </w:r>
      <w:r w:rsidR="004153B6">
        <w:fldChar w:fldCharType="begin"/>
      </w:r>
      <w:r>
        <w:instrText xml:space="preserve"> ADDIN EN.CITE &lt;EndNote&gt;&lt;Cite&gt;&lt;Author&gt;Creswell&lt;/Author&gt;&lt;Year&gt;2003&lt;/Year&gt;&lt;RecNum&gt;102&lt;/RecNum&gt;&lt;DisplayText&gt;(Creswell, 2003)&lt;/DisplayText&gt;&lt;record&gt;&lt;rec-number&gt;102&lt;/rec-number&gt;&lt;foreign-keys&gt;&lt;key app="EN" db-id="dztp9afped955jed0r65r0afsas2t09fvpzw"&gt;102&lt;/key&gt;&lt;/foreign-keys&gt;&lt;ref-type name="Book"&gt;6&lt;/ref-type&gt;&lt;contributors&gt;&lt;authors&gt;&lt;author&gt;Creswell, John W.&lt;/author&gt;&lt;/authors&gt;&lt;/contributors&gt;&lt;titles&gt;&lt;title&gt;Research design : qualitative, quantitative, and mixed methods approaches&lt;/title&gt;&lt;/titles&gt;&lt;edition&gt;2nd ed.&lt;/edition&gt;&lt;keywords&gt;&lt;keyword&gt;Social sciences Research Methodology.&lt;/keyword&gt;&lt;keyword&gt;Social sciences Statistical methods.&lt;/keyword&gt;&lt;/keywords&gt;&lt;dates&gt;&lt;year&gt;2003&lt;/year&gt;&lt;/dates&gt;&lt;pub-location&gt;Thousand Oaks, Calif. ; London&lt;/pub-location&gt;&lt;publisher&gt;Sage&lt;/publisher&gt;&lt;isbn&gt;0761924418 : No price&amp;#xD;0761924426 (pbk.) : No price&lt;/isbn&gt;&lt;accession-num&gt;bA270934&lt;/accession-num&gt;&lt;call-num&gt;300.72 21&amp;#xD;British Library DSC m03/17811&amp;#xD;British Library HMNTS YC.2006.a.5046&lt;/call-num&gt;&lt;urls&gt;&lt;/urls&gt;&lt;/record&gt;&lt;/Cite&gt;&lt;/EndNote&gt;</w:instrText>
      </w:r>
      <w:r w:rsidR="004153B6">
        <w:fldChar w:fldCharType="separate"/>
      </w:r>
      <w:r>
        <w:rPr>
          <w:noProof/>
        </w:rPr>
        <w:t>(</w:t>
      </w:r>
      <w:hyperlink w:anchor="_ENREF_4" w:tooltip="Creswell, 2003 #102" w:history="1">
        <w:r>
          <w:rPr>
            <w:noProof/>
          </w:rPr>
          <w:t>Creswell, 2003</w:t>
        </w:r>
      </w:hyperlink>
      <w:r>
        <w:rPr>
          <w:noProof/>
        </w:rPr>
        <w:t>)</w:t>
      </w:r>
      <w:r w:rsidR="004153B6">
        <w:fldChar w:fldCharType="end"/>
      </w:r>
      <w:r>
        <w:t>. W</w:t>
      </w:r>
      <w:r w:rsidRPr="00937111">
        <w:t>e utilised a single case study research method in each selected country (</w:t>
      </w:r>
      <w:r w:rsidR="00EF7901">
        <w:t>UK, Ukraine and</w:t>
      </w:r>
      <w:r w:rsidRPr="00937111">
        <w:t xml:space="preserve"> China), but employed the multi-case approach to analyse our data comparatively. Its inextricable connection to experiential learning makes </w:t>
      </w:r>
      <w:r>
        <w:t xml:space="preserve">a case study approach </w:t>
      </w:r>
      <w:r w:rsidRPr="00937111">
        <w:t xml:space="preserve">particularly suited for research into </w:t>
      </w:r>
      <w:r>
        <w:t xml:space="preserve">student </w:t>
      </w:r>
      <w:r w:rsidRPr="00937111">
        <w:t>mobility. The comparison and co</w:t>
      </w:r>
      <w:r>
        <w:t>ntrasting of findings from the three</w:t>
      </w:r>
      <w:r w:rsidRPr="00937111">
        <w:t xml:space="preserve"> individual case</w:t>
      </w:r>
      <w:r>
        <w:t>s</w:t>
      </w:r>
      <w:r w:rsidRPr="00937111">
        <w:t xml:space="preserve"> provide</w:t>
      </w:r>
      <w:r>
        <w:t>d</w:t>
      </w:r>
      <w:r w:rsidRPr="00937111">
        <w:t xml:space="preserve"> </w:t>
      </w:r>
      <w:r>
        <w:t xml:space="preserve">new insights into </w:t>
      </w:r>
      <w:r w:rsidRPr="00937111">
        <w:t>international student mobility.</w:t>
      </w:r>
      <w:r>
        <w:t xml:space="preserve">   To collect data, </w:t>
      </w:r>
      <w:r w:rsidRPr="003C1DB0">
        <w:t xml:space="preserve">the </w:t>
      </w:r>
      <w:r>
        <w:t>autho</w:t>
      </w:r>
      <w:r w:rsidRPr="003C1DB0">
        <w:t xml:space="preserve">rs used </w:t>
      </w:r>
      <w:r>
        <w:t xml:space="preserve">participant observation and interview </w:t>
      </w:r>
      <w:r w:rsidRPr="003C1DB0">
        <w:t xml:space="preserve">methods </w:t>
      </w:r>
      <w:r w:rsidR="004153B6" w:rsidRPr="003C1DB0">
        <w:fldChar w:fldCharType="begin"/>
      </w:r>
      <w:r w:rsidRPr="003C1DB0">
        <w:instrText xml:space="preserve"> ADDIN EN.CITE &lt;EndNote&gt;&lt;Cite&gt;&lt;Author&gt;Gillham&lt;/Author&gt;&lt;Year&gt;2000&lt;/Year&gt;&lt;RecNum&gt;61&lt;/RecNum&gt;&lt;DisplayText&gt;(Creswell, 2007; Gillham, 2000)&lt;/DisplayText&gt;&lt;record&gt;&lt;rec-number&gt;61&lt;/rec-number&gt;&lt;foreign-keys&gt;&lt;key app="EN" db-id="dztp9afped955jed0r65r0afsas2t09fvpzw"&gt;61&lt;/key&gt;&lt;/foreign-keys&gt;&lt;ref-type name="Book"&gt;6&lt;/ref-type&gt;&lt;contributors&gt;&lt;authors&gt;&lt;author&gt;Gillham, Bill&lt;/author&gt;&lt;/authors&gt;&lt;/contributors&gt;&lt;titles&gt;&lt;title&gt;Case study research methods&lt;/title&gt;&lt;/titles&gt;&lt;keywords&gt;&lt;keyword&gt;Case method.&lt;/keyword&gt;&lt;keyword&gt;Research Methodology.&lt;/keyword&gt;&lt;keyword&gt;Electronic books.&lt;/keyword&gt;&lt;/keywords&gt;&lt;dates&gt;&lt;year&gt;2000&lt;/year&gt;&lt;/dates&gt;&lt;pub-location&gt;London&lt;/pub-location&gt;&lt;publisher&gt;Continuum&lt;/publisher&gt;&lt;isbn&gt;1441159061&amp;#xD;9781441159069&lt;/isbn&gt;&lt;accession-num&gt;1663027&lt;/accession-num&gt;&lt;urls&gt;&lt;/urls&gt;&lt;/record&gt;&lt;/Cite&gt;&lt;Cite&gt;&lt;Author&gt;Creswell&lt;/Author&gt;&lt;Year&gt;2007&lt;/Year&gt;&lt;RecNum&gt;42&lt;/RecNum&gt;&lt;record&gt;&lt;rec-number&gt;42&lt;/rec-number&gt;&lt;foreign-keys&gt;&lt;key app="EN" db-id="dztp9afped955jed0r65r0afsas2t09fvpzw"&gt;42&lt;/key&gt;&lt;/foreign-keys&gt;&lt;ref-type name="Book"&gt;6&lt;/ref-type&gt;&lt;contributors&gt;&lt;authors&gt;&lt;author&gt;Creswell, John W.&lt;/author&gt;&lt;/authors&gt;&lt;/contributors&gt;&lt;titles&gt;&lt;title&gt;Qualitative inquiry &amp;amp; research design : choosing among five approaches&lt;/title&gt;&lt;/titles&gt;&lt;edition&gt;2nd&lt;/edition&gt;&lt;keywords&gt;&lt;keyword&gt;Social sciences Methodology.&lt;/keyword&gt;&lt;/keywords&gt;&lt;dates&gt;&lt;year&gt;2007&lt;/year&gt;&lt;/dates&gt;&lt;pub-location&gt;Thousand Oaks&lt;/pub-location&gt;&lt;publisher&gt;Sage Publications&lt;/publisher&gt;&lt;isbn&gt;9781412916066 (hbk.)&amp;#xD;1412916062 (hbk.)&amp;#xD;9781412916073 (pbk.)&amp;#xD;1412916070 (pbk.)&lt;/isbn&gt;&lt;accession-num&gt;1293555&lt;/accession-num&gt;&lt;urls&gt;&lt;/urls&gt;&lt;/record&gt;&lt;/Cite&gt;&lt;/EndNote&gt;</w:instrText>
      </w:r>
      <w:r w:rsidR="004153B6" w:rsidRPr="003C1DB0">
        <w:fldChar w:fldCharType="separate"/>
      </w:r>
      <w:r w:rsidRPr="003C1DB0">
        <w:t>(</w:t>
      </w:r>
      <w:hyperlink w:anchor="_ENREF_5" w:tooltip="Creswell, 2007 #42" w:history="1">
        <w:r w:rsidRPr="003C1DB0">
          <w:t>Creswell, 2007</w:t>
        </w:r>
      </w:hyperlink>
      <w:r w:rsidRPr="003C1DB0">
        <w:t xml:space="preserve">; </w:t>
      </w:r>
      <w:hyperlink w:anchor="_ENREF_8" w:tooltip="Gillham, 2000 #61" w:history="1">
        <w:r w:rsidRPr="003C1DB0">
          <w:t>Gillham, 2000</w:t>
        </w:r>
      </w:hyperlink>
      <w:r w:rsidRPr="003C1DB0">
        <w:t>)</w:t>
      </w:r>
      <w:r w:rsidR="004153B6" w:rsidRPr="003C1DB0">
        <w:fldChar w:fldCharType="end"/>
      </w:r>
      <w:r>
        <w:t xml:space="preserve"> </w:t>
      </w:r>
      <w:r w:rsidRPr="003C1DB0">
        <w:t xml:space="preserve">which </w:t>
      </w:r>
      <w:r>
        <w:t xml:space="preserve">combined to </w:t>
      </w:r>
      <w:r w:rsidRPr="003C1DB0">
        <w:t>form a set of</w:t>
      </w:r>
      <w:r>
        <w:t xml:space="preserve"> evidence from multiple sources about the challenges</w:t>
      </w:r>
      <w:r w:rsidRPr="003C1DB0">
        <w:t>.</w:t>
      </w:r>
    </w:p>
    <w:p w:rsidR="00EF7901" w:rsidRDefault="00EF7901" w:rsidP="0019428D">
      <w:pPr>
        <w:pStyle w:val="ListParagraph"/>
      </w:pPr>
    </w:p>
    <w:p w:rsidR="0019428D" w:rsidRPr="007B57BF" w:rsidRDefault="0019428D" w:rsidP="0019428D">
      <w:pPr>
        <w:pStyle w:val="ListParagraph"/>
      </w:pPr>
      <w:r>
        <w:t>D</w:t>
      </w:r>
      <w:r w:rsidRPr="007B57BF">
        <w:t>ata were then processed using thematic analysis</w:t>
      </w:r>
      <w:r>
        <w:t xml:space="preserve"> </w:t>
      </w:r>
      <w:r w:rsidR="004153B6">
        <w:fldChar w:fldCharType="begin"/>
      </w:r>
      <w:r>
        <w:instrText xml:space="preserve"> ADDIN EN.CITE &lt;EndNote&gt;&lt;Cite&gt;&lt;Author&gt;King&lt;/Author&gt;&lt;Year&gt;2010&lt;/Year&gt;&lt;RecNum&gt;117&lt;/RecNum&gt;&lt;DisplayText&gt;(King &amp;amp; Horrocks, 2010)&lt;/DisplayText&gt;&lt;record&gt;&lt;rec-number&gt;117&lt;/rec-number&gt;&lt;foreign-keys&gt;&lt;key app="EN" db-id="dztp9afped955jed0r65r0afsas2t09fvpzw"&gt;117&lt;/key&gt;&lt;/foreign-keys&gt;&lt;ref-type name="Book"&gt;6&lt;/ref-type&gt;&lt;contributors&gt;&lt;authors&gt;&lt;author&gt;King, Nigel&lt;/author&gt;&lt;author&gt;Horrocks, C&lt;/author&gt;&lt;/authors&gt;&lt;/contributors&gt;&lt;titles&gt;&lt;title&gt;Interviews in qualitative research&lt;/title&gt;&lt;/titles&gt;&lt;keywords&gt;&lt;keyword&gt;Interviewing in sociology.&lt;/keyword&gt;&lt;keyword&gt;Sociology Research Methodology.&lt;/keyword&gt;&lt;keyword&gt;Qualitative research.&lt;/keyword&gt;&lt;/keywords&gt;&lt;dates&gt;&lt;year&gt;2010&lt;/year&gt;&lt;/dates&gt;&lt;pub-location&gt;Los Angeles&lt;/pub-location&gt;&lt;publisher&gt;SAGE&lt;/publisher&gt;&lt;isbn&gt;9781412912563 (hbk.) : ¹60.00&amp;#xD;1412912563 (hbk.) : ¹60.00&amp;#xD;9781412912570 (pbk.) : ¹19.99&amp;#xD;1412912571 (pbk.) : ¹19.99&lt;/isbn&gt;&lt;call-num&gt;301.0723 22&amp;#xD;British Library DSC m10/.13824&amp;#xD;British Library HMNTS YC.2013.a.8232&lt;/call-num&gt;&lt;urls&gt;&lt;/urls&gt;&lt;/record&gt;&lt;/Cite&gt;&lt;/EndNote&gt;</w:instrText>
      </w:r>
      <w:r w:rsidR="004153B6">
        <w:fldChar w:fldCharType="separate"/>
      </w:r>
      <w:r>
        <w:rPr>
          <w:noProof/>
        </w:rPr>
        <w:t>(</w:t>
      </w:r>
      <w:hyperlink w:anchor="_ENREF_12" w:tooltip="King, 2010 #117" w:history="1">
        <w:r>
          <w:rPr>
            <w:noProof/>
          </w:rPr>
          <w:t>King &amp; Horrocks, 2010</w:t>
        </w:r>
      </w:hyperlink>
      <w:r>
        <w:rPr>
          <w:noProof/>
        </w:rPr>
        <w:t>)</w:t>
      </w:r>
      <w:r w:rsidR="004153B6">
        <w:fldChar w:fldCharType="end"/>
      </w:r>
      <w:r w:rsidRPr="007B57BF">
        <w:t xml:space="preserve">, which enabled us to conduct the analysis iteratively, revealing a set of key themes relating to the issues under investigation </w:t>
      </w:r>
      <w:r w:rsidR="004153B6">
        <w:fldChar w:fldCharType="begin"/>
      </w:r>
      <w:r>
        <w:instrText xml:space="preserve"> ADDIN EN.CITE &lt;EndNote&gt;&lt;Cite&gt;&lt;Author&gt;Huberman&lt;/Author&gt;&lt;Year&gt;2002&lt;/Year&gt;&lt;RecNum&gt;116&lt;/RecNum&gt;&lt;DisplayText&gt;(Huberman &amp;amp; Miles, 2002)&lt;/DisplayText&gt;&lt;record&gt;&lt;rec-number&gt;116&lt;/rec-number&gt;&lt;foreign-keys&gt;&lt;key app="EN" db-id="dztp9afped955jed0r65r0afsas2t09fvpzw"&gt;116&lt;/key&gt;&lt;/foreign-keys&gt;&lt;ref-type name="Book"&gt;6&lt;/ref-type&gt;&lt;contributors&gt;&lt;authors&gt;&lt;author&gt;Huberman, A. Michael&lt;/author&gt;&lt;author&gt;Miles, Matthew B.&lt;/author&gt;&lt;/authors&gt;&lt;/contributors&gt;&lt;titles&gt;&lt;title&gt;The qualitative researcher&amp;apos;s companion&lt;/title&gt;&lt;/titles&gt;&lt;keywords&gt;&lt;keyword&gt;Social sciences Research Methodology.&lt;/keyword&gt;&lt;keyword&gt;Qualitative research Methodology.&lt;/keyword&gt;&lt;/keywords&gt;&lt;dates&gt;&lt;year&gt;2002&lt;/year&gt;&lt;/dates&gt;&lt;pub-location&gt;Thousand Oaks ; London&lt;/pub-location&gt;&lt;publisher&gt;Sage Publications&lt;/publisher&gt;&lt;isbn&gt;076191191X (pbk.) : ¹22.00&amp;#xD;0761911901 (cased) : ¹48.00&lt;/isbn&gt;&lt;accession-num&gt;bA234500&lt;/accession-num&gt;&lt;call-num&gt;300.723 21&amp;#xD;British Library DSC m02/27112&amp;#xD;British Library HMNTS YC.2006.a.5037&lt;/call-num&gt;&lt;urls&gt;&lt;/urls&gt;&lt;/record&gt;&lt;/Cite&gt;&lt;/EndNote&gt;</w:instrText>
      </w:r>
      <w:r w:rsidR="004153B6">
        <w:fldChar w:fldCharType="separate"/>
      </w:r>
      <w:r>
        <w:rPr>
          <w:noProof/>
        </w:rPr>
        <w:t>(</w:t>
      </w:r>
      <w:hyperlink w:anchor="_ENREF_11" w:tooltip="Huberman, 2002 #116" w:history="1">
        <w:r>
          <w:rPr>
            <w:noProof/>
          </w:rPr>
          <w:t>Huberman &amp; Miles, 2002</w:t>
        </w:r>
      </w:hyperlink>
      <w:r>
        <w:rPr>
          <w:noProof/>
        </w:rPr>
        <w:t>)</w:t>
      </w:r>
      <w:r w:rsidR="004153B6">
        <w:fldChar w:fldCharType="end"/>
      </w:r>
      <w:r w:rsidRPr="007B57BF">
        <w:t xml:space="preserve">.  </w:t>
      </w:r>
      <w:r>
        <w:t xml:space="preserve">We were able to </w:t>
      </w:r>
      <w:r w:rsidRPr="007B57BF">
        <w:t>categoris</w:t>
      </w:r>
      <w:r>
        <w:t xml:space="preserve">e </w:t>
      </w:r>
      <w:r w:rsidRPr="007B57BF">
        <w:t>and retriev</w:t>
      </w:r>
      <w:r>
        <w:t xml:space="preserve">e </w:t>
      </w:r>
      <w:r w:rsidRPr="007B57BF">
        <w:t xml:space="preserve">similar data, thus allowing the reduction of raw data and the subsequent categorisation of </w:t>
      </w:r>
      <w:r>
        <w:t xml:space="preserve">the </w:t>
      </w:r>
      <w:r w:rsidRPr="007B57BF">
        <w:t xml:space="preserve">findings into the main themes of </w:t>
      </w:r>
      <w:r>
        <w:t xml:space="preserve">the </w:t>
      </w:r>
      <w:r w:rsidRPr="007B57BF">
        <w:t>research</w:t>
      </w:r>
      <w:r>
        <w:t xml:space="preserve">. </w:t>
      </w:r>
      <w:r w:rsidRPr="007B57BF">
        <w:t xml:space="preserve"> </w:t>
      </w:r>
    </w:p>
    <w:p w:rsidR="0019428D" w:rsidRDefault="0019428D" w:rsidP="00C15B77">
      <w:pPr>
        <w:pStyle w:val="ListParagraph"/>
      </w:pPr>
    </w:p>
    <w:p w:rsidR="00ED57CD" w:rsidRPr="0019428D" w:rsidRDefault="00B2117B" w:rsidP="0019428D">
      <w:pPr>
        <w:pStyle w:val="Heading2"/>
        <w:numPr>
          <w:ilvl w:val="1"/>
          <w:numId w:val="18"/>
        </w:numPr>
      </w:pPr>
      <w:r w:rsidRPr="0019428D">
        <w:t xml:space="preserve">Background to the </w:t>
      </w:r>
      <w:r w:rsidR="00ED57CD" w:rsidRPr="0019428D">
        <w:t xml:space="preserve">UK </w:t>
      </w:r>
      <w:r w:rsidR="003F370E" w:rsidRPr="0019428D">
        <w:t>C</w:t>
      </w:r>
      <w:r w:rsidR="00ED57CD" w:rsidRPr="0019428D">
        <w:t xml:space="preserve">ase </w:t>
      </w:r>
    </w:p>
    <w:p w:rsidR="00365CFC" w:rsidRPr="00CE3E7E" w:rsidRDefault="00365CFC" w:rsidP="00C15B77">
      <w:pPr>
        <w:pStyle w:val="Default"/>
        <w:ind w:left="720"/>
        <w:rPr>
          <w:rFonts w:ascii="Times New Roman" w:hAnsi="Times New Roman" w:cs="Times New Roman"/>
          <w:color w:val="auto"/>
        </w:rPr>
      </w:pPr>
      <w:r w:rsidRPr="00CE3E7E">
        <w:rPr>
          <w:rFonts w:ascii="Times New Roman" w:hAnsi="Times New Roman" w:cs="Times New Roman"/>
        </w:rPr>
        <w:t>Outward mobility is recognised as essential by the UK government</w:t>
      </w:r>
      <w:r w:rsidR="00EF7901" w:rsidRPr="00CE3E7E">
        <w:rPr>
          <w:rFonts w:ascii="Times New Roman" w:hAnsi="Times New Roman" w:cs="Times New Roman"/>
        </w:rPr>
        <w:t xml:space="preserve"> (British Council, 2016)</w:t>
      </w:r>
      <w:r w:rsidRPr="00CE3E7E">
        <w:rPr>
          <w:rFonts w:ascii="Times New Roman" w:hAnsi="Times New Roman" w:cs="Times New Roman"/>
        </w:rPr>
        <w:t xml:space="preserve">. </w:t>
      </w:r>
      <w:r w:rsidR="00EF7901" w:rsidRPr="00CE3E7E">
        <w:rPr>
          <w:rFonts w:ascii="Times New Roman" w:hAnsi="Times New Roman" w:cs="Times New Roman"/>
        </w:rPr>
        <w:t>British HE institu</w:t>
      </w:r>
      <w:r w:rsidR="00CC735A">
        <w:rPr>
          <w:rFonts w:ascii="Times New Roman" w:hAnsi="Times New Roman" w:cs="Times New Roman"/>
        </w:rPr>
        <w:t>t</w:t>
      </w:r>
      <w:r w:rsidR="00EF7901" w:rsidRPr="00CE3E7E">
        <w:rPr>
          <w:rFonts w:ascii="Times New Roman" w:hAnsi="Times New Roman" w:cs="Times New Roman"/>
        </w:rPr>
        <w:t>ions</w:t>
      </w:r>
      <w:r w:rsidRPr="00CE3E7E">
        <w:rPr>
          <w:rFonts w:ascii="Times New Roman" w:hAnsi="Times New Roman" w:cs="Times New Roman"/>
        </w:rPr>
        <w:t xml:space="preserve"> are under growing pressure to differentiate themselves from their competitors in a rapidly developing higher education market in order to attract prospective students. Institutions recognise the value o</w:t>
      </w:r>
      <w:r w:rsidR="00EF7901" w:rsidRPr="00CE3E7E">
        <w:rPr>
          <w:rFonts w:ascii="Times New Roman" w:hAnsi="Times New Roman" w:cs="Times New Roman"/>
        </w:rPr>
        <w:t xml:space="preserve">f international experience </w:t>
      </w:r>
      <w:r w:rsidRPr="00CE3E7E">
        <w:rPr>
          <w:rFonts w:ascii="Times New Roman" w:hAnsi="Times New Roman" w:cs="Times New Roman"/>
        </w:rPr>
        <w:t>for the student</w:t>
      </w:r>
      <w:r w:rsidR="00EF7901" w:rsidRPr="00CE3E7E">
        <w:rPr>
          <w:rFonts w:ascii="Times New Roman" w:hAnsi="Times New Roman" w:cs="Times New Roman"/>
        </w:rPr>
        <w:t>, i</w:t>
      </w:r>
      <w:r w:rsidRPr="00CE3E7E">
        <w:rPr>
          <w:rFonts w:ascii="Times New Roman" w:hAnsi="Times New Roman" w:cs="Times New Roman"/>
        </w:rPr>
        <w:t xml:space="preserve">t is often difficult to achieve in practice. </w:t>
      </w:r>
      <w:r w:rsidR="00EF7901" w:rsidRPr="00CE3E7E">
        <w:rPr>
          <w:rFonts w:ascii="Times New Roman" w:hAnsi="Times New Roman" w:cs="Times New Roman"/>
          <w:color w:val="auto"/>
        </w:rPr>
        <w:t>A sector-led s</w:t>
      </w:r>
      <w:r w:rsidRPr="00CE3E7E">
        <w:rPr>
          <w:rFonts w:ascii="Times New Roman" w:hAnsi="Times New Roman" w:cs="Times New Roman"/>
          <w:color w:val="auto"/>
        </w:rPr>
        <w:t>trategy for outward mobility</w:t>
      </w:r>
      <w:r w:rsidR="00EF7901" w:rsidRPr="00CE3E7E">
        <w:rPr>
          <w:rFonts w:ascii="Times New Roman" w:hAnsi="Times New Roman" w:cs="Times New Roman"/>
          <w:color w:val="auto"/>
        </w:rPr>
        <w:t xml:space="preserve"> has therefore been developed, </w:t>
      </w:r>
      <w:r w:rsidR="00EF7901" w:rsidRPr="00CE3E7E">
        <w:rPr>
          <w:rFonts w:ascii="Times New Roman" w:hAnsi="Times New Roman" w:cs="Times New Roman"/>
        </w:rPr>
        <w:t>recognising</w:t>
      </w:r>
      <w:r w:rsidRPr="00CE3E7E">
        <w:rPr>
          <w:rFonts w:ascii="Times New Roman" w:hAnsi="Times New Roman" w:cs="Times New Roman"/>
        </w:rPr>
        <w:t xml:space="preserve"> internal institutiona</w:t>
      </w:r>
      <w:r w:rsidR="00CE3E7E" w:rsidRPr="00CE3E7E">
        <w:rPr>
          <w:rFonts w:ascii="Times New Roman" w:hAnsi="Times New Roman" w:cs="Times New Roman"/>
        </w:rPr>
        <w:t xml:space="preserve">l barriers to outward mobility. </w:t>
      </w:r>
      <w:r w:rsidRPr="00CE3E7E">
        <w:rPr>
          <w:rFonts w:ascii="Times New Roman" w:hAnsi="Times New Roman" w:cs="Times New Roman"/>
          <w:color w:val="auto"/>
        </w:rPr>
        <w:t>In 2011/12, approximately 6% of UK domiciled studen</w:t>
      </w:r>
      <w:r w:rsidR="00CE3E7E" w:rsidRPr="00CE3E7E">
        <w:rPr>
          <w:rFonts w:ascii="Times New Roman" w:hAnsi="Times New Roman" w:cs="Times New Roman"/>
          <w:color w:val="auto"/>
        </w:rPr>
        <w:t xml:space="preserve">ts </w:t>
      </w:r>
      <w:r w:rsidRPr="00CE3E7E">
        <w:rPr>
          <w:rFonts w:ascii="Times New Roman" w:hAnsi="Times New Roman" w:cs="Times New Roman"/>
          <w:color w:val="auto"/>
        </w:rPr>
        <w:t>undertook a mobility placement overseas</w:t>
      </w:r>
      <w:r w:rsidR="00CE3E7E" w:rsidRPr="00CE3E7E">
        <w:rPr>
          <w:rFonts w:ascii="Times New Roman" w:hAnsi="Times New Roman" w:cs="Times New Roman"/>
          <w:color w:val="auto"/>
        </w:rPr>
        <w:t xml:space="preserve"> (HESA)</w:t>
      </w:r>
      <w:r w:rsidRPr="00CE3E7E">
        <w:rPr>
          <w:rFonts w:ascii="Times New Roman" w:hAnsi="Times New Roman" w:cs="Times New Roman"/>
          <w:color w:val="auto"/>
        </w:rPr>
        <w:t>. The majority of outgoing UK students access study and work opportunities overseas through the European Union’s (EU) Erasmus Mobility Programme</w:t>
      </w:r>
      <w:r w:rsidR="00CE3E7E" w:rsidRPr="00CE3E7E">
        <w:rPr>
          <w:rFonts w:ascii="Times New Roman" w:hAnsi="Times New Roman" w:cs="Times New Roman"/>
          <w:color w:val="auto"/>
        </w:rPr>
        <w:t xml:space="preserve">. The UK currently </w:t>
      </w:r>
      <w:r w:rsidRPr="00CE3E7E">
        <w:rPr>
          <w:rFonts w:ascii="Times New Roman" w:hAnsi="Times New Roman" w:cs="Times New Roman"/>
          <w:color w:val="auto"/>
        </w:rPr>
        <w:t>ranks only sixth in terms of the overall number of outgoing students taking part in the Erasmus Programme</w:t>
      </w:r>
      <w:r w:rsidR="00CE3E7E">
        <w:rPr>
          <w:rFonts w:ascii="Times New Roman" w:hAnsi="Times New Roman" w:cs="Times New Roman"/>
          <w:color w:val="auto"/>
        </w:rPr>
        <w:t xml:space="preserve">. Beyond Europe, the UK is </w:t>
      </w:r>
      <w:r w:rsidRPr="00CE3E7E">
        <w:rPr>
          <w:rFonts w:ascii="Times New Roman" w:hAnsi="Times New Roman" w:cs="Times New Roman"/>
          <w:color w:val="auto"/>
        </w:rPr>
        <w:t xml:space="preserve">13th in countries of origin for foreign students in the US, </w:t>
      </w:r>
      <w:r w:rsidR="00CE3E7E">
        <w:rPr>
          <w:rFonts w:ascii="Times New Roman" w:hAnsi="Times New Roman" w:cs="Times New Roman"/>
          <w:color w:val="auto"/>
        </w:rPr>
        <w:t>for example.</w:t>
      </w:r>
    </w:p>
    <w:p w:rsidR="003F370E" w:rsidRDefault="003F370E" w:rsidP="00C15B77">
      <w:pPr>
        <w:pStyle w:val="ListParagraph"/>
        <w:rPr>
          <w:rFonts w:eastAsia="Times New Roman"/>
        </w:rPr>
      </w:pPr>
      <w:r w:rsidRPr="00CE3E7E">
        <w:rPr>
          <w:rFonts w:cs="Times New Roman"/>
          <w:szCs w:val="24"/>
        </w:rPr>
        <w:t xml:space="preserve">The </w:t>
      </w:r>
      <w:r w:rsidR="00DB50EA">
        <w:rPr>
          <w:rFonts w:cs="Times New Roman"/>
          <w:szCs w:val="24"/>
        </w:rPr>
        <w:t xml:space="preserve">institutional </w:t>
      </w:r>
      <w:r w:rsidRPr="00CE3E7E">
        <w:rPr>
          <w:rFonts w:cs="Times New Roman"/>
          <w:szCs w:val="24"/>
        </w:rPr>
        <w:t>case</w:t>
      </w:r>
      <w:r w:rsidR="00DB50EA">
        <w:rPr>
          <w:rFonts w:cs="Times New Roman"/>
          <w:szCs w:val="24"/>
        </w:rPr>
        <w:t xml:space="preserve"> in this study</w:t>
      </w:r>
      <w:r w:rsidRPr="00CE3E7E">
        <w:rPr>
          <w:rFonts w:cs="Times New Roman"/>
          <w:szCs w:val="24"/>
        </w:rPr>
        <w:t xml:space="preserve"> is a provincial, post-1992 university where a third of students are local, a third from working-class homes and 15% from areas with little tradition of HE. 91% come from state schools. Subject to the forces of globalisation, the university was developing an internationalisation strategy. </w:t>
      </w:r>
      <w:r w:rsidRPr="00C15B77">
        <w:rPr>
          <w:shd w:val="clear" w:color="auto" w:fill="FFFFFF"/>
        </w:rPr>
        <w:t xml:space="preserve">To develop international experience in ‘home’ students, the University sought out methods of experiential-and situated-learning (Lave &amp; Wenger, 1991), in which the teacher acts as facilitator and supporter.  Experimenting with integrating such students with incoming international students in various ways, none was found to be adequate to develop authentic global citizens. Instead, they set out to build students’ self-efficacy </w:t>
      </w:r>
      <w:r w:rsidRPr="00C15B77">
        <w:rPr>
          <w:shd w:val="clear" w:color="auto" w:fill="FFFFFF"/>
        </w:rPr>
        <w:lastRenderedPageBreak/>
        <w:t xml:space="preserve">(Bandura, 1993) - the motivation and confidence - to participate in a work/study abroad programme and to provide them with appropriate opportunities. In situated-learning, achievement is attained through authentic experience of real situations (such as living abroad) and success is directly related to effort and support received. The vicarious experiences of social role models are important as motivators, as is verbal persuasion from a knowledgeable, credible supporter. </w:t>
      </w:r>
      <w:r w:rsidRPr="00C15B77">
        <w:rPr>
          <w:rFonts w:eastAsia="Times New Roman"/>
        </w:rPr>
        <w:t xml:space="preserve">The result was an increase in participation in outward mobility from 10 to 300 students.  </w:t>
      </w:r>
    </w:p>
    <w:p w:rsidR="00DB50EA" w:rsidRPr="00C15B77" w:rsidRDefault="00DB50EA" w:rsidP="00C15B77">
      <w:pPr>
        <w:pStyle w:val="ListParagraph"/>
        <w:rPr>
          <w:rFonts w:eastAsia="Times New Roman"/>
        </w:rPr>
      </w:pPr>
    </w:p>
    <w:p w:rsidR="00E75CA1" w:rsidRDefault="003F370E" w:rsidP="00C15B77">
      <w:pPr>
        <w:pStyle w:val="ListParagraph"/>
      </w:pPr>
      <w:r>
        <w:t xml:space="preserve">Fundamentally, </w:t>
      </w:r>
      <w:r w:rsidR="00E75CA1" w:rsidRPr="00937111">
        <w:t>the nationwide belief that British students are reluctant to go abroad (eg in Shepherd, 2010)</w:t>
      </w:r>
      <w:r>
        <w:t xml:space="preserve"> was rejected. </w:t>
      </w:r>
      <w:r w:rsidR="00E75CA1" w:rsidRPr="00937111">
        <w:t>T</w:t>
      </w:r>
      <w:r>
        <w:t>his conviction came from the author’s</w:t>
      </w:r>
      <w:r w:rsidR="00E75CA1" w:rsidRPr="00937111">
        <w:t xml:space="preserve"> personal experienc</w:t>
      </w:r>
      <w:r>
        <w:t>e</w:t>
      </w:r>
      <w:r w:rsidR="00DB50EA">
        <w:t xml:space="preserve">s as an exchange student and </w:t>
      </w:r>
      <w:r w:rsidR="00E75CA1" w:rsidRPr="00937111">
        <w:t>knowledge of the value they brought p</w:t>
      </w:r>
      <w:r w:rsidR="00710B90">
        <w:t>er</w:t>
      </w:r>
      <w:r w:rsidR="00DB50EA">
        <w:t>son</w:t>
      </w:r>
      <w:r w:rsidR="00DE60FA">
        <w:t xml:space="preserve">ally and professionally. It was </w:t>
      </w:r>
      <w:r w:rsidR="00DB50EA">
        <w:t xml:space="preserve">also </w:t>
      </w:r>
      <w:r w:rsidR="00E75CA1" w:rsidRPr="00937111">
        <w:t>understood that the negative attitude within</w:t>
      </w:r>
      <w:r w:rsidR="00DB50EA">
        <w:t xml:space="preserve"> the school was self-fulfilling and t</w:t>
      </w:r>
      <w:r w:rsidR="00E75CA1" w:rsidRPr="00937111">
        <w:t>he real barriers to mobility did not li</w:t>
      </w:r>
      <w:r w:rsidR="00710B90">
        <w:t xml:space="preserve">e with the students. </w:t>
      </w:r>
      <w:r w:rsidR="00E75CA1" w:rsidRPr="00937111">
        <w:t>Such questioning of established practice may have organisational benefits when a ‘step-change’ is required (Blackwell &amp; Blackmore, 2003). Going beyond the ‘encouragement’ of mobility so often fo</w:t>
      </w:r>
      <w:r w:rsidR="00710B90">
        <w:t>und in HE strategy documents, this</w:t>
      </w:r>
      <w:r w:rsidR="00E75CA1" w:rsidRPr="00937111">
        <w:t xml:space="preserve"> work focussed on implementation and impact.</w:t>
      </w:r>
    </w:p>
    <w:p w:rsidR="006D5062" w:rsidRPr="00C15B77" w:rsidRDefault="006D5062" w:rsidP="00C15B77">
      <w:pPr>
        <w:pStyle w:val="ListParagraph"/>
        <w:spacing w:line="360" w:lineRule="auto"/>
        <w:rPr>
          <w:rFonts w:cs="Times New Roman"/>
          <w:szCs w:val="24"/>
        </w:rPr>
      </w:pPr>
      <w:r w:rsidRPr="00C15B77">
        <w:rPr>
          <w:rFonts w:cs="Times New Roman"/>
          <w:szCs w:val="24"/>
        </w:rPr>
        <w:t>            </w:t>
      </w:r>
      <w:r w:rsidR="00ED57CD" w:rsidRPr="00C15B77">
        <w:rPr>
          <w:rFonts w:cs="Times New Roman"/>
          <w:szCs w:val="24"/>
        </w:rPr>
        <w:t xml:space="preserve">                       </w:t>
      </w:r>
    </w:p>
    <w:p w:rsidR="00CA7AA2" w:rsidRPr="002151CE" w:rsidRDefault="00B2117B" w:rsidP="0019428D">
      <w:pPr>
        <w:pStyle w:val="Heading2"/>
        <w:numPr>
          <w:ilvl w:val="1"/>
          <w:numId w:val="18"/>
        </w:numPr>
      </w:pPr>
      <w:r w:rsidRPr="002151CE">
        <w:t>Background to t</w:t>
      </w:r>
      <w:r w:rsidR="00CA7AA2" w:rsidRPr="002151CE">
        <w:t>he Ukraine Case</w:t>
      </w:r>
    </w:p>
    <w:p w:rsidR="00CA7AA2" w:rsidRDefault="00710B90" w:rsidP="00C15B77">
      <w:pPr>
        <w:pStyle w:val="ListParagraph"/>
      </w:pPr>
      <w:r>
        <w:t>The</w:t>
      </w:r>
      <w:r w:rsidR="00CA7AA2" w:rsidRPr="00937111">
        <w:t xml:space="preserve"> transformation process</w:t>
      </w:r>
      <w:r w:rsidR="00775271">
        <w:t xml:space="preserve"> in Ukrainian HE</w:t>
      </w:r>
      <w:r w:rsidR="00CA7AA2" w:rsidRPr="00937111">
        <w:t xml:space="preserve"> </w:t>
      </w:r>
      <w:r>
        <w:t>encompassed</w:t>
      </w:r>
      <w:r w:rsidR="00CA7AA2" w:rsidRPr="00937111">
        <w:t xml:space="preserve"> a wide array of initiatives aiming to </w:t>
      </w:r>
      <w:r>
        <w:t xml:space="preserve">move away from the </w:t>
      </w:r>
      <w:r w:rsidR="00A245F2">
        <w:t>c</w:t>
      </w:r>
      <w:r w:rsidR="00CA7AA2" w:rsidRPr="00937111">
        <w:t xml:space="preserve">ommunist regime </w:t>
      </w:r>
      <w:r w:rsidR="004153B6" w:rsidRPr="00937111">
        <w:fldChar w:fldCharType="begin"/>
      </w:r>
      <w:r w:rsidR="00CA7AA2" w:rsidRPr="00937111">
        <w:instrText xml:space="preserve"> ADDIN EN.CITE &lt;EndNote&gt;&lt;Cite&gt;&lt;Author&gt;Oleksiyenko&lt;/Author&gt;&lt;Year&gt;2014&lt;/Year&gt;&lt;RecNum&gt;12&lt;/RecNum&gt;&lt;DisplayText&gt;(Oleksiyenko, 2014)&lt;/DisplayText&gt;&lt;record&gt;&lt;rec-number&gt;12&lt;/rec-number&gt;&lt;foreign-keys&gt;&lt;key app="EN" db-id="22xzr09do0v599e2eznv95pwdp0apttp5zvw" timestamp="1430739701"&gt;12&lt;/key&gt;&lt;/foreign-keys&gt;&lt;ref-type name="Journal Article"&gt;17&lt;/ref-type&gt;&lt;contributors&gt;&lt;authors&gt;&lt;author&gt;Oleksiyenko, A&lt;/author&gt;&lt;/authors&gt;&lt;/contributors&gt;&lt;titles&gt;&lt;title&gt;Socio-economic forces and the rise of the world-class research university in the post-Soviet higher education space: the case of Ukraine&lt;/title&gt;&lt;secondary-title&gt;European Journal of Higher Education&lt;/secondary-title&gt;&lt;/titles&gt;&lt;periodical&gt;&lt;full-title&gt;European Journal of Higher Education&lt;/full-title&gt;&lt;/periodical&gt;&lt;pages&gt;249-265&lt;/pages&gt;&lt;volume&gt;4&lt;/volume&gt;&lt;number&gt;3&lt;/number&gt;&lt;dates&gt;&lt;year&gt;2014&lt;/year&gt;&lt;/dates&gt;&lt;urls&gt;&lt;/urls&gt;&lt;/record&gt;&lt;/Cite&gt;&lt;/EndNote&gt;</w:instrText>
      </w:r>
      <w:r w:rsidR="004153B6" w:rsidRPr="00937111">
        <w:fldChar w:fldCharType="separate"/>
      </w:r>
      <w:r w:rsidR="00CA7AA2" w:rsidRPr="00937111">
        <w:rPr>
          <w:noProof/>
        </w:rPr>
        <w:t>(</w:t>
      </w:r>
      <w:hyperlink w:anchor="_ENREF_14" w:tooltip="Oleksiyenko, 2014 #12" w:history="1">
        <w:r w:rsidR="003063FA" w:rsidRPr="00937111">
          <w:rPr>
            <w:noProof/>
          </w:rPr>
          <w:t>Oleksiyenko, 2014</w:t>
        </w:r>
      </w:hyperlink>
      <w:r w:rsidR="00CA7AA2" w:rsidRPr="00937111">
        <w:rPr>
          <w:noProof/>
        </w:rPr>
        <w:t>)</w:t>
      </w:r>
      <w:r w:rsidR="004153B6" w:rsidRPr="00937111">
        <w:fldChar w:fldCharType="end"/>
      </w:r>
      <w:r>
        <w:t>. These included</w:t>
      </w:r>
      <w:r w:rsidR="00CA7AA2" w:rsidRPr="00937111">
        <w:t xml:space="preserve"> standardisation of the curriculum, shifting to </w:t>
      </w:r>
      <w:r>
        <w:t xml:space="preserve">a three-cycle degree framework and </w:t>
      </w:r>
      <w:r w:rsidR="00CA7AA2" w:rsidRPr="00937111">
        <w:t>adoption o</w:t>
      </w:r>
      <w:r w:rsidR="00775271">
        <w:t xml:space="preserve">f the best practices </w:t>
      </w:r>
      <w:r w:rsidR="00CA7AA2" w:rsidRPr="00937111">
        <w:t>assuring the quality of teaching and research</w:t>
      </w:r>
      <w:r>
        <w:t>.</w:t>
      </w:r>
      <w:r w:rsidR="00CA7AA2" w:rsidRPr="00937111">
        <w:t xml:space="preserve">  Despite joining the Bologna process in 2005, seen by many as a breakthrough in gaining international legitimacy for the national highe</w:t>
      </w:r>
      <w:r>
        <w:t xml:space="preserve">r education system, the </w:t>
      </w:r>
      <w:r w:rsidR="00CA7AA2" w:rsidRPr="00937111">
        <w:t xml:space="preserve">Ukrainian </w:t>
      </w:r>
      <w:r>
        <w:t>system struggled to adapt to this new independent</w:t>
      </w:r>
      <w:r w:rsidR="00CA7AA2" w:rsidRPr="00937111">
        <w:t xml:space="preserve"> environmental reality </w:t>
      </w:r>
      <w:r w:rsidR="004153B6" w:rsidRPr="00937111">
        <w:fldChar w:fldCharType="begin"/>
      </w:r>
      <w:r w:rsidR="00CA7AA2" w:rsidRPr="00937111">
        <w:instrText xml:space="preserve"> ADDIN EN.CITE &lt;EndNote&gt;&lt;Cite&gt;&lt;Author&gt;Shaw&lt;/Author&gt;&lt;Year&gt;2013&lt;/Year&gt;&lt;RecNum&gt;2&lt;/RecNum&gt;&lt;DisplayText&gt;(Oleksiyenko, 2014; Shaw, Chapman, &amp;amp; Rumyantseva, 2013)&lt;/DisplayText&gt;&lt;record&gt;&lt;rec-number&gt;2&lt;/rec-number&gt;&lt;foreign-keys&gt;&lt;key app="EN" db-id="22xzr09do0v599e2eznv95pwdp0apttp5zvw" timestamp="1430320749"&gt;2&lt;/key&gt;&lt;/foreign-keys&gt;&lt;ref-type name="Journal Article"&gt;17&lt;/ref-type&gt;&lt;contributors&gt;&lt;authors&gt;&lt;author&gt;Shaw, M&lt;/author&gt;&lt;author&gt;Chapman, D&lt;/author&gt;&lt;author&gt;Rumyantseva, N&lt;/author&gt;&lt;/authors&gt;&lt;/contributors&gt;&lt;titles&gt;&lt;title&gt;Organizational culture in the adoption of the Bologna process: A study of acadmeic staff at a Ukrainian university&lt;/title&gt;&lt;secondary-title&gt;Studies in Higher Education&lt;/secondary-title&gt;&lt;/titles&gt;&lt;periodical&gt;&lt;full-title&gt;Studies in Higher Education&lt;/full-title&gt;&lt;/periodical&gt;&lt;pages&gt;898-1003&lt;/pages&gt;&lt;volume&gt;38&lt;/volume&gt;&lt;number&gt;7&lt;/number&gt;&lt;dates&gt;&lt;year&gt;2013&lt;/year&gt;&lt;/dates&gt;&lt;urls&gt;&lt;/urls&gt;&lt;/record&gt;&lt;/Cite&gt;&lt;Cite&gt;&lt;Author&gt;Oleksiyenko&lt;/Author&gt;&lt;Year&gt;2014&lt;/Year&gt;&lt;RecNum&gt;12&lt;/RecNum&gt;&lt;record&gt;&lt;rec-number&gt;12&lt;/rec-number&gt;&lt;foreign-keys&gt;&lt;key app="EN" db-id="22xzr09do0v599e2eznv95pwdp0apttp5zvw" timestamp="1430739701"&gt;12&lt;/key&gt;&lt;/foreign-keys&gt;&lt;ref-type name="Journal Article"&gt;17&lt;/ref-type&gt;&lt;contributors&gt;&lt;authors&gt;&lt;author&gt;Oleksiyenko, A&lt;/author&gt;&lt;/authors&gt;&lt;/contributors&gt;&lt;titles&gt;&lt;title&gt;Socio-economic forces and the rise of the world-class research university in the post-Soviet higher education space: the case of Ukraine&lt;/title&gt;&lt;secondary-title&gt;European Journal of Higher Education&lt;/secondary-title&gt;&lt;/titles&gt;&lt;periodical&gt;&lt;full-title&gt;European Journal of Higher Education&lt;/full-title&gt;&lt;/periodical&gt;&lt;pages&gt;249-265&lt;/pages&gt;&lt;volume&gt;4&lt;/volume&gt;&lt;number&gt;3&lt;/number&gt;&lt;dates&gt;&lt;year&gt;2014&lt;/year&gt;&lt;/dates&gt;&lt;urls&gt;&lt;/urls&gt;&lt;/record&gt;&lt;/Cite&gt;&lt;/EndNote&gt;</w:instrText>
      </w:r>
      <w:r w:rsidR="004153B6" w:rsidRPr="00937111">
        <w:fldChar w:fldCharType="separate"/>
      </w:r>
      <w:r w:rsidR="00CA7AA2" w:rsidRPr="00937111">
        <w:rPr>
          <w:noProof/>
        </w:rPr>
        <w:t>(</w:t>
      </w:r>
      <w:hyperlink w:anchor="_ENREF_14" w:tooltip="Oleksiyenko, 2014 #12" w:history="1">
        <w:r w:rsidR="003063FA" w:rsidRPr="00937111">
          <w:rPr>
            <w:noProof/>
          </w:rPr>
          <w:t>Oleksiyenko, 2014</w:t>
        </w:r>
      </w:hyperlink>
      <w:r w:rsidR="00CA7AA2" w:rsidRPr="00937111">
        <w:rPr>
          <w:noProof/>
        </w:rPr>
        <w:t xml:space="preserve">; </w:t>
      </w:r>
      <w:hyperlink w:anchor="_ENREF_17" w:tooltip="Shaw, 2013 #2" w:history="1">
        <w:r w:rsidR="003063FA" w:rsidRPr="00937111">
          <w:rPr>
            <w:noProof/>
          </w:rPr>
          <w:t>Shaw, Chapman, &amp; Rumyantseva, 2013</w:t>
        </w:r>
      </w:hyperlink>
      <w:r w:rsidR="00CA7AA2" w:rsidRPr="00937111">
        <w:rPr>
          <w:noProof/>
        </w:rPr>
        <w:t>)</w:t>
      </w:r>
      <w:r w:rsidR="004153B6" w:rsidRPr="00937111">
        <w:fldChar w:fldCharType="end"/>
      </w:r>
      <w:r>
        <w:t>. Ukraine lagged behind E</w:t>
      </w:r>
      <w:r w:rsidR="00CA7AA2" w:rsidRPr="00937111">
        <w:t>astern European counterparts to create attractive conditions for academic performance and support effective regulatory mechanisms that would enhance competitiveness, encouraging the adoption of th</w:t>
      </w:r>
      <w:r w:rsidR="00775271">
        <w:t>e world-class standards.  T</w:t>
      </w:r>
      <w:r w:rsidR="00CA7AA2" w:rsidRPr="00937111">
        <w:t xml:space="preserve">he recognition of qualifications is seen as one of the key pillars of student mobility </w:t>
      </w:r>
      <w:r w:rsidR="004153B6" w:rsidRPr="00937111">
        <w:fldChar w:fldCharType="begin"/>
      </w:r>
      <w:r w:rsidR="00CA7AA2">
        <w:instrText xml:space="preserve"> ADDIN EN.CITE &lt;EndNote&gt;&lt;Cite&gt;&lt;Author&gt;Rivza&lt;/Author&gt;&lt;Year&gt;2007&lt;/Year&gt;&lt;RecNum&gt;12&lt;/RecNum&gt;&lt;DisplayText&gt;(Rivza &amp;amp; Teichler, 2007)&lt;/DisplayText&gt;&lt;record&gt;&lt;rec-number&gt;12&lt;/rec-number&gt;&lt;foreign-keys&gt;&lt;key app="EN" db-id="dztp9afped955jed0r65r0afsas2t09fvpzw"&gt;12&lt;/key&gt;&lt;/foreign-keys&gt;&lt;ref-type name="Journal Article"&gt;17&lt;/ref-type&gt;&lt;contributors&gt;&lt;authors&gt;&lt;author&gt;Rivza, B&lt;/author&gt;&lt;author&gt;Teichler, U&lt;/author&gt;&lt;/authors&gt;&lt;/contributors&gt;&lt;titles&gt;&lt;title&gt;The changing role of student mobility&lt;/title&gt;&lt;secondary-title&gt;Higher Education Policy&lt;/secondary-title&gt;&lt;/titles&gt;&lt;periodical&gt;&lt;full-title&gt;Higher Education Policy&lt;/full-title&gt;&lt;/periodical&gt;&lt;pages&gt;457-475&lt;/pages&gt;&lt;volume&gt;20&lt;/volume&gt;&lt;number&gt;4&lt;/number&gt;&lt;dates&gt;&lt;year&gt;2007&lt;/year&gt;&lt;/dates&gt;&lt;urls&gt;&lt;/urls&gt;&lt;/record&gt;&lt;/Cite&gt;&lt;/EndNote&gt;</w:instrText>
      </w:r>
      <w:r w:rsidR="004153B6" w:rsidRPr="00937111">
        <w:fldChar w:fldCharType="separate"/>
      </w:r>
      <w:r w:rsidR="00CA7AA2" w:rsidRPr="00937111">
        <w:rPr>
          <w:noProof/>
        </w:rPr>
        <w:t>(</w:t>
      </w:r>
      <w:hyperlink w:anchor="_ENREF_15" w:tooltip="Rivza, 2007 #12" w:history="1">
        <w:r w:rsidR="003063FA" w:rsidRPr="00937111">
          <w:rPr>
            <w:noProof/>
          </w:rPr>
          <w:t>Rivza &amp; Teichler, 2007</w:t>
        </w:r>
      </w:hyperlink>
      <w:r w:rsidR="00CA7AA2" w:rsidRPr="00937111">
        <w:rPr>
          <w:noProof/>
        </w:rPr>
        <w:t>)</w:t>
      </w:r>
      <w:r w:rsidR="004153B6" w:rsidRPr="00937111">
        <w:fldChar w:fldCharType="end"/>
      </w:r>
      <w:r w:rsidR="00CA7AA2" w:rsidRPr="00937111">
        <w:t>. The transformation of the Erasmus mobility programme, through Erasmus Mundus to wider Erasmus+</w:t>
      </w:r>
      <w:r>
        <w:t>, enabled</w:t>
      </w:r>
      <w:r w:rsidR="00CA7AA2" w:rsidRPr="00937111">
        <w:t xml:space="preserve"> students from non-EU countries to study</w:t>
      </w:r>
      <w:r>
        <w:t xml:space="preserve"> in Europe</w:t>
      </w:r>
      <w:r w:rsidR="00775271">
        <w:t xml:space="preserve"> and </w:t>
      </w:r>
      <w:r w:rsidR="00CA7AA2" w:rsidRPr="00937111">
        <w:t>encourage</w:t>
      </w:r>
      <w:r w:rsidR="00775271">
        <w:t>d</w:t>
      </w:r>
      <w:r w:rsidR="00CA7AA2" w:rsidRPr="00937111">
        <w:t xml:space="preserve"> EU students to go outside Europe</w:t>
      </w:r>
      <w:r>
        <w:t>,</w:t>
      </w:r>
      <w:r w:rsidR="00CA7AA2" w:rsidRPr="00937111">
        <w:t xml:space="preserve"> within the frameworks of wider university co-operation </w:t>
      </w:r>
      <w:r w:rsidR="004153B6" w:rsidRPr="00937111">
        <w:fldChar w:fldCharType="begin">
          <w:fldData xml:space="preserve">PEVuZE5vdGU+PENpdGU+PEF1dGhvcj5XZXN0PC9BdXRob3I+PFllYXI+MjAwOTwvWWVhcj48UmVj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=
</w:fldData>
        </w:fldChar>
      </w:r>
      <w:r w:rsidR="00CA7AA2">
        <w:instrText xml:space="preserve"> ADDIN EN.CITE </w:instrText>
      </w:r>
      <w:r w:rsidR="004153B6">
        <w:fldChar w:fldCharType="begin">
          <w:fldData xml:space="preserve">PEVuZE5vdGU+PENpdGU+PEF1dGhvcj5XZXN0PC9BdXRob3I+PFllYXI+MjAwOTwvWWVhcj48UmVj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=
</w:fldData>
        </w:fldChar>
      </w:r>
      <w:r w:rsidR="00CA7AA2">
        <w:instrText xml:space="preserve"> ADDIN EN.CITE.DATA </w:instrText>
      </w:r>
      <w:r w:rsidR="004153B6">
        <w:fldChar w:fldCharType="end"/>
      </w:r>
      <w:r w:rsidR="004153B6" w:rsidRPr="00937111">
        <w:fldChar w:fldCharType="separate"/>
      </w:r>
      <w:r w:rsidR="00CA7AA2">
        <w:rPr>
          <w:noProof/>
        </w:rPr>
        <w:t>(</w:t>
      </w:r>
      <w:hyperlink w:anchor="_ENREF_7" w:tooltip="European Comission, 2014 #9" w:history="1">
        <w:r w:rsidR="003063FA">
          <w:rPr>
            <w:noProof/>
          </w:rPr>
          <w:t>European Comission, 2014</w:t>
        </w:r>
      </w:hyperlink>
      <w:r w:rsidR="00CA7AA2">
        <w:rPr>
          <w:noProof/>
        </w:rPr>
        <w:t xml:space="preserve">; </w:t>
      </w:r>
      <w:hyperlink w:anchor="_ENREF_21" w:tooltip="West, 2009 #8" w:history="1">
        <w:r w:rsidR="00775271">
          <w:rPr>
            <w:noProof/>
          </w:rPr>
          <w:t>West &amp; Barha</w:t>
        </w:r>
        <w:r w:rsidR="003063FA">
          <w:rPr>
            <w:noProof/>
          </w:rPr>
          <w:t>m, 2009</w:t>
        </w:r>
      </w:hyperlink>
      <w:r w:rsidR="00CA7AA2">
        <w:rPr>
          <w:noProof/>
        </w:rPr>
        <w:t>)</w:t>
      </w:r>
      <w:r w:rsidR="004153B6" w:rsidRPr="00937111">
        <w:fldChar w:fldCharType="end"/>
      </w:r>
      <w:r w:rsidR="00CA7AA2" w:rsidRPr="00937111">
        <w:t xml:space="preserve">. </w:t>
      </w:r>
    </w:p>
    <w:p w:rsidR="00775271" w:rsidRDefault="00775271" w:rsidP="00C15B77">
      <w:pPr>
        <w:pStyle w:val="ListParagraph"/>
      </w:pPr>
    </w:p>
    <w:p w:rsidR="00E75CA1" w:rsidRDefault="00E75CA1" w:rsidP="00C15B77">
      <w:pPr>
        <w:pStyle w:val="ListParagraph"/>
        <w:rPr>
          <w:color w:val="000000" w:themeColor="text1"/>
        </w:rPr>
      </w:pPr>
      <w:r w:rsidRPr="00C15B77">
        <w:rPr>
          <w:color w:val="000000" w:themeColor="text1"/>
        </w:rPr>
        <w:t>The recent elaboration of the Erasmus programme enabled students outside of the Europ</w:t>
      </w:r>
      <w:r w:rsidR="00710B90" w:rsidRPr="00C15B77">
        <w:rPr>
          <w:color w:val="000000" w:themeColor="text1"/>
        </w:rPr>
        <w:t xml:space="preserve">ean Union to participate in this mobility programme.  Student mobility is </w:t>
      </w:r>
      <w:r w:rsidRPr="00C15B77">
        <w:rPr>
          <w:color w:val="000000" w:themeColor="text1"/>
        </w:rPr>
        <w:t>seen as an extra to</w:t>
      </w:r>
      <w:r w:rsidR="00775271">
        <w:rPr>
          <w:color w:val="000000" w:themeColor="text1"/>
        </w:rPr>
        <w:t xml:space="preserve">ol for the transformation of </w:t>
      </w:r>
      <w:r w:rsidR="00710B90" w:rsidRPr="00C15B77">
        <w:rPr>
          <w:color w:val="000000" w:themeColor="text1"/>
        </w:rPr>
        <w:t>Eastern European</w:t>
      </w:r>
      <w:r w:rsidRPr="00C15B77">
        <w:rPr>
          <w:color w:val="000000" w:themeColor="text1"/>
        </w:rPr>
        <w:t xml:space="preserve"> system</w:t>
      </w:r>
      <w:r w:rsidR="00775271">
        <w:rPr>
          <w:color w:val="000000" w:themeColor="text1"/>
        </w:rPr>
        <w:t>s</w:t>
      </w:r>
      <w:r w:rsidRPr="00C15B77">
        <w:rPr>
          <w:color w:val="000000" w:themeColor="text1"/>
        </w:rPr>
        <w:t xml:space="preserve"> of higher education</w:t>
      </w:r>
      <w:r w:rsidR="00775271">
        <w:rPr>
          <w:color w:val="000000" w:themeColor="text1"/>
        </w:rPr>
        <w:t>,</w:t>
      </w:r>
      <w:r w:rsidR="00710B90" w:rsidRPr="00C15B77">
        <w:rPr>
          <w:color w:val="000000" w:themeColor="text1"/>
        </w:rPr>
        <w:t xml:space="preserve"> adapting</w:t>
      </w:r>
      <w:r w:rsidR="00775271">
        <w:rPr>
          <w:color w:val="000000" w:themeColor="text1"/>
        </w:rPr>
        <w:t xml:space="preserve"> them</w:t>
      </w:r>
      <w:r w:rsidRPr="00C15B77">
        <w:rPr>
          <w:color w:val="000000" w:themeColor="text1"/>
        </w:rPr>
        <w:t xml:space="preserve"> to Western institutions.  </w:t>
      </w:r>
      <w:r w:rsidR="00775271">
        <w:rPr>
          <w:color w:val="000000" w:themeColor="text1"/>
        </w:rPr>
        <w:t xml:space="preserve">However, </w:t>
      </w:r>
      <w:r w:rsidRPr="00C15B77">
        <w:rPr>
          <w:color w:val="000000" w:themeColor="text1"/>
        </w:rPr>
        <w:t>Western Europe</w:t>
      </w:r>
      <w:r w:rsidR="00775271">
        <w:rPr>
          <w:color w:val="000000" w:themeColor="text1"/>
        </w:rPr>
        <w:t xml:space="preserve">an students are historically not </w:t>
      </w:r>
      <w:r w:rsidR="00710B90" w:rsidRPr="00C15B77">
        <w:rPr>
          <w:color w:val="000000" w:themeColor="text1"/>
        </w:rPr>
        <w:t xml:space="preserve">interested in studying in </w:t>
      </w:r>
      <w:r w:rsidRPr="00C15B77">
        <w:rPr>
          <w:color w:val="000000" w:themeColor="text1"/>
        </w:rPr>
        <w:t xml:space="preserve">Eastern Europe </w:t>
      </w:r>
      <w:r w:rsidR="004153B6" w:rsidRPr="00C15B77">
        <w:rPr>
          <w:color w:val="000000" w:themeColor="text1"/>
        </w:rPr>
        <w:fldChar w:fldCharType="begin"/>
      </w:r>
      <w:r w:rsidRPr="00C15B77">
        <w:rPr>
          <w:color w:val="000000" w:themeColor="text1"/>
        </w:rPr>
        <w:instrText xml:space="preserve"> ADDIN EN.CITE &lt;EndNote&gt;&lt;Cite&gt;&lt;Author&gt;Rivza&lt;/Author&gt;&lt;Year&gt;2007&lt;/Year&gt;&lt;RecNum&gt;12&lt;/RecNum&gt;&lt;DisplayText&gt;(Rivza &amp;amp; Teichler, 2007)&lt;/DisplayText&gt;&lt;record&gt;&lt;rec-number&gt;12&lt;/rec-number&gt;&lt;foreign-keys&gt;&lt;key app="EN" db-id="dztp9afped955jed0r65r0afsas2t09fvpzw"&gt;12&lt;/key&gt;&lt;/foreign-keys&gt;&lt;ref-type name="Journal Article"&gt;17&lt;/ref-type&gt;&lt;contributors&gt;&lt;authors&gt;&lt;author&gt;Rivza, B&lt;/author&gt;&lt;author&gt;Teichler, U&lt;/author&gt;&lt;/authors&gt;&lt;/contributors&gt;&lt;titles&gt;&lt;title&gt;The changing role of student mobility&lt;/title&gt;&lt;secondary-title&gt;Higher Education Policy&lt;/secondary-title&gt;&lt;/titles&gt;&lt;periodical&gt;&lt;full-title&gt;Higher Education Policy&lt;/full-title&gt;&lt;/periodical&gt;&lt;pages&gt;457-475&lt;/pages&gt;&lt;volume&gt;20&lt;/volume&gt;&lt;number&gt;4&lt;/number&gt;&lt;dates&gt;&lt;year&gt;2007&lt;/year&gt;&lt;/dates&gt;&lt;urls&gt;&lt;/urls&gt;&lt;/record&gt;&lt;/Cite&gt;&lt;/EndNote&gt;</w:instrText>
      </w:r>
      <w:r w:rsidR="004153B6" w:rsidRPr="00C15B77">
        <w:rPr>
          <w:color w:val="000000" w:themeColor="text1"/>
        </w:rPr>
        <w:fldChar w:fldCharType="separate"/>
      </w:r>
      <w:r w:rsidRPr="00C15B77">
        <w:rPr>
          <w:noProof/>
          <w:color w:val="000000" w:themeColor="text1"/>
        </w:rPr>
        <w:t>(</w:t>
      </w:r>
      <w:hyperlink w:anchor="_ENREF_15" w:tooltip="Rivza, 2007 #12" w:history="1">
        <w:r w:rsidR="003063FA" w:rsidRPr="00C15B77">
          <w:rPr>
            <w:noProof/>
            <w:color w:val="000000" w:themeColor="text1"/>
          </w:rPr>
          <w:t>Rivza &amp; Teichler, 2007</w:t>
        </w:r>
      </w:hyperlink>
      <w:r w:rsidRPr="00C15B77">
        <w:rPr>
          <w:noProof/>
          <w:color w:val="000000" w:themeColor="text1"/>
        </w:rPr>
        <w:t>)</w:t>
      </w:r>
      <w:r w:rsidR="004153B6" w:rsidRPr="00C15B77">
        <w:rPr>
          <w:color w:val="000000" w:themeColor="text1"/>
        </w:rPr>
        <w:fldChar w:fldCharType="end"/>
      </w:r>
      <w:r w:rsidRPr="00C15B77">
        <w:rPr>
          <w:color w:val="000000" w:themeColor="text1"/>
        </w:rPr>
        <w:t>.  At the same time</w:t>
      </w:r>
      <w:r w:rsidR="00710B90" w:rsidRPr="00C15B77">
        <w:rPr>
          <w:color w:val="000000" w:themeColor="text1"/>
        </w:rPr>
        <w:t>, Eastern European students</w:t>
      </w:r>
      <w:r w:rsidRPr="00C15B77">
        <w:rPr>
          <w:color w:val="000000" w:themeColor="text1"/>
        </w:rPr>
        <w:t xml:space="preserve"> experienced difficu</w:t>
      </w:r>
      <w:r w:rsidR="00710B90" w:rsidRPr="00C15B77">
        <w:rPr>
          <w:color w:val="000000" w:themeColor="text1"/>
        </w:rPr>
        <w:t xml:space="preserve">lties with the </w:t>
      </w:r>
      <w:r w:rsidRPr="00C15B77">
        <w:rPr>
          <w:color w:val="000000" w:themeColor="text1"/>
        </w:rPr>
        <w:t xml:space="preserve">approval process as well as provision of financial support as stipulated in the programme.  </w:t>
      </w:r>
    </w:p>
    <w:p w:rsidR="00775271" w:rsidRPr="00C15B77" w:rsidRDefault="00775271" w:rsidP="00C15B77">
      <w:pPr>
        <w:pStyle w:val="ListParagraph"/>
        <w:rPr>
          <w:color w:val="000000" w:themeColor="text1"/>
        </w:rPr>
      </w:pPr>
    </w:p>
    <w:p w:rsidR="00E75CA1" w:rsidRDefault="00E75CA1" w:rsidP="00C15B77">
      <w:pPr>
        <w:pStyle w:val="ListParagraph"/>
        <w:rPr>
          <w:color w:val="000000" w:themeColor="text1"/>
        </w:rPr>
      </w:pPr>
      <w:r w:rsidRPr="00C15B77">
        <w:rPr>
          <w:color w:val="000000" w:themeColor="text1"/>
        </w:rPr>
        <w:t>Despite significant promotion</w:t>
      </w:r>
      <w:r w:rsidR="00E834F7">
        <w:rPr>
          <w:color w:val="000000" w:themeColor="text1"/>
        </w:rPr>
        <w:t>al</w:t>
      </w:r>
      <w:r w:rsidRPr="00C15B77">
        <w:rPr>
          <w:color w:val="000000" w:themeColor="text1"/>
        </w:rPr>
        <w:t xml:space="preserve"> activity and availability of funding</w:t>
      </w:r>
      <w:r w:rsidR="00710B90" w:rsidRPr="00C15B77">
        <w:rPr>
          <w:color w:val="000000" w:themeColor="text1"/>
        </w:rPr>
        <w:t>,</w:t>
      </w:r>
      <w:r w:rsidRPr="00C15B77">
        <w:rPr>
          <w:color w:val="000000" w:themeColor="text1"/>
        </w:rPr>
        <w:t xml:space="preserve"> universities i</w:t>
      </w:r>
      <w:r w:rsidR="00E834F7">
        <w:rPr>
          <w:color w:val="000000" w:themeColor="text1"/>
        </w:rPr>
        <w:t>n Ukraine experience</w:t>
      </w:r>
      <w:r w:rsidR="00710B90" w:rsidRPr="00C15B77">
        <w:rPr>
          <w:color w:val="000000" w:themeColor="text1"/>
        </w:rPr>
        <w:t xml:space="preserve"> serious challenges</w:t>
      </w:r>
      <w:r w:rsidRPr="00C15B77">
        <w:rPr>
          <w:color w:val="000000" w:themeColor="text1"/>
        </w:rPr>
        <w:t xml:space="preserve"> </w:t>
      </w:r>
      <w:r w:rsidR="00710B90" w:rsidRPr="00C15B77">
        <w:rPr>
          <w:color w:val="000000" w:themeColor="text1"/>
        </w:rPr>
        <w:t xml:space="preserve">in attracting students from </w:t>
      </w:r>
      <w:r w:rsidRPr="00C15B77">
        <w:rPr>
          <w:color w:val="000000" w:themeColor="text1"/>
        </w:rPr>
        <w:t xml:space="preserve">Western Europe.  </w:t>
      </w:r>
      <w:r w:rsidR="00E834F7">
        <w:rPr>
          <w:color w:val="000000" w:themeColor="text1"/>
        </w:rPr>
        <w:t>A recent report by</w:t>
      </w:r>
      <w:r w:rsidRPr="00C15B77">
        <w:rPr>
          <w:color w:val="000000" w:themeColor="text1"/>
        </w:rPr>
        <w:t xml:space="preserve"> the European Commission </w:t>
      </w:r>
      <w:r w:rsidR="004153B6" w:rsidRPr="00C15B77">
        <w:rPr>
          <w:color w:val="000000" w:themeColor="text1"/>
        </w:rPr>
        <w:fldChar w:fldCharType="begin"/>
      </w:r>
      <w:r w:rsidRPr="00C15B77">
        <w:rPr>
          <w:color w:val="000000" w:themeColor="text1"/>
        </w:rPr>
        <w:instrText xml:space="preserve"> ADDIN EN.CITE &lt;EndNote&gt;&lt;Cite ExcludeAuth="1"&gt;&lt;Author&gt;Comission&lt;/Author&gt;&lt;Year&gt;2013&lt;/Year&gt;&lt;RecNum&gt;257&lt;/RecNum&gt;&lt;DisplayText&gt;(2013)&lt;/DisplayText&gt;&lt;record&gt;&lt;rec-number&gt;257&lt;/rec-number&gt;&lt;foreign-keys&gt;&lt;key app="EN" db-id="dztp9afped955jed0r65r0afsas2t09fvpzw"&gt;257&lt;/key&gt;&lt;/foreign-keys&gt;&lt;ref-type name="Book"&gt;6&lt;/ref-type&gt;&lt;contributors&gt;&lt;authors&gt;&lt;author&gt;European Comission&lt;/author&gt;&lt;/authors&gt;&lt;/contributors&gt;&lt;titles&gt;&lt;title&gt;Erasmus Mundus in Eastern Partnership countiries &lt;/title&gt;&lt;/titles&gt;&lt;dates&gt;&lt;year&gt;2013&lt;/year&gt;&lt;/dates&gt;&lt;publisher&gt;European Comission&lt;/publisher&gt;&lt;urls&gt;&lt;related-urls&gt;&lt;url&gt;http://eacea.ec.europa.eu/erasmus_mundus/tools/documents/repository/em_eastern_partnership_final.pdf&lt;/url&gt;&lt;/related-urls&gt;&lt;/urls&gt;&lt;/record&gt;&lt;/Cite&gt;&lt;/EndNote&gt;</w:instrText>
      </w:r>
      <w:r w:rsidR="004153B6" w:rsidRPr="00C15B77">
        <w:rPr>
          <w:color w:val="000000" w:themeColor="text1"/>
        </w:rPr>
        <w:fldChar w:fldCharType="separate"/>
      </w:r>
      <w:r w:rsidRPr="00C15B77">
        <w:rPr>
          <w:noProof/>
          <w:color w:val="000000" w:themeColor="text1"/>
        </w:rPr>
        <w:t>(</w:t>
      </w:r>
      <w:hyperlink w:anchor="_ENREF_3" w:tooltip="Comission, 2013 #257" w:history="1">
        <w:r w:rsidR="003063FA" w:rsidRPr="00C15B77">
          <w:rPr>
            <w:noProof/>
            <w:color w:val="000000" w:themeColor="text1"/>
          </w:rPr>
          <w:t>2013</w:t>
        </w:r>
      </w:hyperlink>
      <w:r w:rsidRPr="00C15B77">
        <w:rPr>
          <w:noProof/>
          <w:color w:val="000000" w:themeColor="text1"/>
        </w:rPr>
        <w:t>)</w:t>
      </w:r>
      <w:r w:rsidR="004153B6" w:rsidRPr="00C15B77">
        <w:rPr>
          <w:color w:val="000000" w:themeColor="text1"/>
        </w:rPr>
        <w:fldChar w:fldCharType="end"/>
      </w:r>
      <w:r w:rsidR="001C35F4" w:rsidRPr="00C15B77">
        <w:rPr>
          <w:color w:val="000000" w:themeColor="text1"/>
        </w:rPr>
        <w:t xml:space="preserve"> shows</w:t>
      </w:r>
      <w:r w:rsidRPr="00C15B77">
        <w:rPr>
          <w:color w:val="000000" w:themeColor="text1"/>
        </w:rPr>
        <w:t xml:space="preserve"> that </w:t>
      </w:r>
      <w:r w:rsidR="001C35F4" w:rsidRPr="00C15B77">
        <w:rPr>
          <w:color w:val="000000" w:themeColor="text1"/>
        </w:rPr>
        <w:t xml:space="preserve">inward </w:t>
      </w:r>
      <w:r w:rsidRPr="00C15B77">
        <w:rPr>
          <w:color w:val="000000" w:themeColor="text1"/>
        </w:rPr>
        <w:t xml:space="preserve">mobility </w:t>
      </w:r>
      <w:r w:rsidR="001C35F4" w:rsidRPr="00C15B77">
        <w:rPr>
          <w:color w:val="000000" w:themeColor="text1"/>
        </w:rPr>
        <w:t>from EU to</w:t>
      </w:r>
      <w:r w:rsidR="00E834F7">
        <w:rPr>
          <w:color w:val="000000" w:themeColor="text1"/>
        </w:rPr>
        <w:t xml:space="preserve"> Ukraine remains</w:t>
      </w:r>
      <w:r w:rsidRPr="00C15B77">
        <w:rPr>
          <w:color w:val="000000" w:themeColor="text1"/>
        </w:rPr>
        <w:t xml:space="preserve"> low at undergraduate level (Table 1). The number of Erasmus awards</w:t>
      </w:r>
      <w:r w:rsidR="001C35F4" w:rsidRPr="00C15B77">
        <w:rPr>
          <w:color w:val="000000" w:themeColor="text1"/>
        </w:rPr>
        <w:t xml:space="preserve"> available</w:t>
      </w:r>
      <w:r w:rsidRPr="00C15B77">
        <w:rPr>
          <w:color w:val="000000" w:themeColor="text1"/>
        </w:rPr>
        <w:t xml:space="preserve"> is significantly higher than the number of students wishing to </w:t>
      </w:r>
      <w:r w:rsidR="00775271">
        <w:rPr>
          <w:color w:val="000000" w:themeColor="text1"/>
        </w:rPr>
        <w:t>travel to</w:t>
      </w:r>
      <w:r w:rsidRPr="00C15B77">
        <w:rPr>
          <w:color w:val="000000" w:themeColor="text1"/>
        </w:rPr>
        <w:t xml:space="preserve"> Ukraine. </w:t>
      </w:r>
    </w:p>
    <w:p w:rsidR="00E834F7" w:rsidRDefault="00E834F7" w:rsidP="00C15B77">
      <w:pPr>
        <w:pStyle w:val="ListParagraph"/>
        <w:rPr>
          <w:color w:val="000000" w:themeColor="text1"/>
        </w:rPr>
      </w:pPr>
    </w:p>
    <w:p w:rsidR="00775271" w:rsidRPr="00C15B77" w:rsidRDefault="00775271" w:rsidP="00C15B77">
      <w:pPr>
        <w:pStyle w:val="ListParagraph"/>
        <w:rPr>
          <w:color w:val="000000" w:themeColor="text1"/>
        </w:rPr>
      </w:pPr>
    </w:p>
    <w:p w:rsidR="00E75CA1" w:rsidRPr="00C15B77" w:rsidRDefault="00E75CA1" w:rsidP="00C15B77">
      <w:pPr>
        <w:pStyle w:val="ListParagraph"/>
        <w:spacing w:line="360" w:lineRule="auto"/>
        <w:jc w:val="both"/>
        <w:rPr>
          <w:rFonts w:cs="Times New Roman"/>
          <w:b/>
          <w:szCs w:val="24"/>
        </w:rPr>
      </w:pPr>
      <w:r w:rsidRPr="00C15B77">
        <w:rPr>
          <w:rFonts w:cs="Times New Roman"/>
          <w:b/>
          <w:szCs w:val="24"/>
        </w:rPr>
        <w:t xml:space="preserve">Table 1: </w:t>
      </w:r>
      <w:r w:rsidRPr="00C15B77">
        <w:rPr>
          <w:rFonts w:cs="Times New Roman"/>
          <w:szCs w:val="24"/>
        </w:rPr>
        <w:t>The number</w:t>
      </w:r>
      <w:r w:rsidRPr="00C15B77">
        <w:rPr>
          <w:rFonts w:cs="Times New Roman"/>
          <w:b/>
          <w:szCs w:val="24"/>
        </w:rPr>
        <w:t xml:space="preserve"> </w:t>
      </w:r>
      <w:r w:rsidRPr="00C15B77">
        <w:rPr>
          <w:rFonts w:cs="Times New Roman"/>
          <w:szCs w:val="24"/>
        </w:rPr>
        <w:t>of European Erasmus students in Ukraine</w:t>
      </w:r>
      <w:r w:rsidRPr="00C15B77">
        <w:rPr>
          <w:rFonts w:cs="Times New Roman"/>
          <w:b/>
          <w:szCs w:val="24"/>
        </w:rPr>
        <w:t xml:space="preserve">  </w:t>
      </w:r>
    </w:p>
    <w:tbl>
      <w:tblPr>
        <w:tblStyle w:val="TableGrid"/>
        <w:tblW w:w="6035" w:type="dxa"/>
        <w:jc w:val="center"/>
        <w:tblLook w:val="04A0" w:firstRow="1" w:lastRow="0" w:firstColumn="1" w:lastColumn="0" w:noHBand="0" w:noVBand="1"/>
      </w:tblPr>
      <w:tblGrid>
        <w:gridCol w:w="2051"/>
        <w:gridCol w:w="3984"/>
      </w:tblGrid>
      <w:tr w:rsidR="00E75CA1" w:rsidRPr="006718FE" w:rsidTr="00B45986">
        <w:trPr>
          <w:trHeight w:val="275"/>
          <w:jc w:val="center"/>
        </w:trPr>
        <w:tc>
          <w:tcPr>
            <w:tcW w:w="0" w:type="auto"/>
          </w:tcPr>
          <w:p w:rsidR="00E75CA1" w:rsidRPr="00C15B77" w:rsidRDefault="00E75CA1" w:rsidP="00AB503F">
            <w:pPr>
              <w:pStyle w:val="ListParagraph"/>
              <w:spacing w:line="360" w:lineRule="auto"/>
              <w:jc w:val="both"/>
              <w:rPr>
                <w:rFonts w:cs="Times New Roman"/>
                <w:szCs w:val="24"/>
              </w:rPr>
            </w:pPr>
            <w:r w:rsidRPr="00C15B77">
              <w:rPr>
                <w:rFonts w:cs="Times New Roman"/>
                <w:szCs w:val="24"/>
              </w:rPr>
              <w:t>Year</w:t>
            </w:r>
          </w:p>
        </w:tc>
        <w:tc>
          <w:tcPr>
            <w:tcW w:w="0" w:type="auto"/>
          </w:tcPr>
          <w:p w:rsidR="00E75CA1" w:rsidRPr="00C15B77" w:rsidRDefault="00E75CA1" w:rsidP="00AB503F">
            <w:pPr>
              <w:pStyle w:val="ListParagraph"/>
              <w:spacing w:line="360" w:lineRule="auto"/>
              <w:rPr>
                <w:rFonts w:cs="Times New Roman"/>
                <w:szCs w:val="24"/>
              </w:rPr>
            </w:pPr>
            <w:r w:rsidRPr="00C15B77">
              <w:rPr>
                <w:rFonts w:cs="Times New Roman"/>
                <w:szCs w:val="24"/>
              </w:rPr>
              <w:t>Number of students</w:t>
            </w:r>
          </w:p>
        </w:tc>
      </w:tr>
      <w:tr w:rsidR="00E75CA1" w:rsidRPr="006718FE" w:rsidTr="00B45986">
        <w:trPr>
          <w:trHeight w:val="275"/>
          <w:jc w:val="center"/>
        </w:trPr>
        <w:tc>
          <w:tcPr>
            <w:tcW w:w="0" w:type="auto"/>
          </w:tcPr>
          <w:p w:rsidR="00E75CA1" w:rsidRPr="00C15B77" w:rsidRDefault="00E75CA1" w:rsidP="00AB503F">
            <w:pPr>
              <w:pStyle w:val="ListParagraph"/>
              <w:spacing w:line="360" w:lineRule="auto"/>
              <w:jc w:val="both"/>
              <w:rPr>
                <w:rFonts w:cs="Times New Roman"/>
                <w:szCs w:val="24"/>
              </w:rPr>
            </w:pPr>
            <w:r w:rsidRPr="00C15B77">
              <w:rPr>
                <w:rFonts w:cs="Times New Roman"/>
                <w:szCs w:val="24"/>
              </w:rPr>
              <w:t>2007</w:t>
            </w:r>
          </w:p>
        </w:tc>
        <w:tc>
          <w:tcPr>
            <w:tcW w:w="0" w:type="auto"/>
          </w:tcPr>
          <w:p w:rsidR="00E75CA1" w:rsidRPr="00C15B77" w:rsidRDefault="00E75CA1" w:rsidP="00AB503F">
            <w:pPr>
              <w:pStyle w:val="ListParagraph"/>
              <w:spacing w:line="360" w:lineRule="auto"/>
              <w:rPr>
                <w:rFonts w:cs="Times New Roman"/>
                <w:szCs w:val="24"/>
              </w:rPr>
            </w:pPr>
            <w:r w:rsidRPr="00C15B77">
              <w:rPr>
                <w:rFonts w:cs="Times New Roman"/>
                <w:szCs w:val="24"/>
              </w:rPr>
              <w:t>6</w:t>
            </w:r>
          </w:p>
        </w:tc>
      </w:tr>
      <w:tr w:rsidR="00E75CA1" w:rsidRPr="006718FE" w:rsidTr="00B45986">
        <w:trPr>
          <w:trHeight w:val="275"/>
          <w:jc w:val="center"/>
        </w:trPr>
        <w:tc>
          <w:tcPr>
            <w:tcW w:w="0" w:type="auto"/>
          </w:tcPr>
          <w:p w:rsidR="00E75CA1" w:rsidRPr="00C15B77" w:rsidRDefault="00E75CA1" w:rsidP="00AB503F">
            <w:pPr>
              <w:pStyle w:val="ListParagraph"/>
              <w:spacing w:line="360" w:lineRule="auto"/>
              <w:jc w:val="both"/>
              <w:rPr>
                <w:rFonts w:cs="Times New Roman"/>
                <w:szCs w:val="24"/>
              </w:rPr>
            </w:pPr>
            <w:r w:rsidRPr="00C15B77">
              <w:rPr>
                <w:rFonts w:cs="Times New Roman"/>
                <w:szCs w:val="24"/>
              </w:rPr>
              <w:t>2008</w:t>
            </w:r>
          </w:p>
        </w:tc>
        <w:tc>
          <w:tcPr>
            <w:tcW w:w="0" w:type="auto"/>
          </w:tcPr>
          <w:p w:rsidR="00E75CA1" w:rsidRPr="00C15B77" w:rsidRDefault="00E75CA1" w:rsidP="00AB503F">
            <w:pPr>
              <w:pStyle w:val="ListParagraph"/>
              <w:spacing w:line="360" w:lineRule="auto"/>
              <w:rPr>
                <w:rFonts w:cs="Times New Roman"/>
                <w:szCs w:val="24"/>
              </w:rPr>
            </w:pPr>
            <w:r w:rsidRPr="00C15B77">
              <w:rPr>
                <w:rFonts w:cs="Times New Roman"/>
                <w:szCs w:val="24"/>
              </w:rPr>
              <w:t>5</w:t>
            </w:r>
          </w:p>
        </w:tc>
      </w:tr>
      <w:tr w:rsidR="00E75CA1" w:rsidRPr="006718FE" w:rsidTr="00B45986">
        <w:trPr>
          <w:trHeight w:val="291"/>
          <w:jc w:val="center"/>
        </w:trPr>
        <w:tc>
          <w:tcPr>
            <w:tcW w:w="0" w:type="auto"/>
          </w:tcPr>
          <w:p w:rsidR="00E75CA1" w:rsidRPr="00C15B77" w:rsidRDefault="00E75CA1" w:rsidP="00AB503F">
            <w:pPr>
              <w:pStyle w:val="ListParagraph"/>
              <w:spacing w:line="360" w:lineRule="auto"/>
              <w:jc w:val="both"/>
              <w:rPr>
                <w:rFonts w:cs="Times New Roman"/>
                <w:szCs w:val="24"/>
              </w:rPr>
            </w:pPr>
            <w:r w:rsidRPr="00C15B77">
              <w:rPr>
                <w:rFonts w:cs="Times New Roman"/>
                <w:szCs w:val="24"/>
              </w:rPr>
              <w:t>2009</w:t>
            </w:r>
          </w:p>
        </w:tc>
        <w:tc>
          <w:tcPr>
            <w:tcW w:w="0" w:type="auto"/>
          </w:tcPr>
          <w:p w:rsidR="00E75CA1" w:rsidRPr="00C15B77" w:rsidRDefault="00E75CA1" w:rsidP="00AB503F">
            <w:pPr>
              <w:pStyle w:val="ListParagraph"/>
              <w:spacing w:line="360" w:lineRule="auto"/>
              <w:rPr>
                <w:rFonts w:cs="Times New Roman"/>
                <w:szCs w:val="24"/>
              </w:rPr>
            </w:pPr>
            <w:r w:rsidRPr="00C15B77">
              <w:rPr>
                <w:rFonts w:cs="Times New Roman"/>
                <w:szCs w:val="24"/>
              </w:rPr>
              <w:t>1</w:t>
            </w:r>
          </w:p>
        </w:tc>
      </w:tr>
      <w:tr w:rsidR="00E75CA1" w:rsidRPr="006718FE" w:rsidTr="00B45986">
        <w:trPr>
          <w:trHeight w:val="291"/>
          <w:jc w:val="center"/>
        </w:trPr>
        <w:tc>
          <w:tcPr>
            <w:tcW w:w="0" w:type="auto"/>
          </w:tcPr>
          <w:p w:rsidR="00E75CA1" w:rsidRPr="00C15B77" w:rsidRDefault="00E75CA1" w:rsidP="00AB503F">
            <w:pPr>
              <w:pStyle w:val="ListParagraph"/>
              <w:spacing w:line="360" w:lineRule="auto"/>
              <w:jc w:val="both"/>
              <w:rPr>
                <w:rFonts w:cs="Times New Roman"/>
                <w:szCs w:val="24"/>
              </w:rPr>
            </w:pPr>
            <w:r w:rsidRPr="00C15B77">
              <w:rPr>
                <w:rFonts w:cs="Times New Roman"/>
                <w:szCs w:val="24"/>
              </w:rPr>
              <w:t>2010</w:t>
            </w:r>
          </w:p>
        </w:tc>
        <w:tc>
          <w:tcPr>
            <w:tcW w:w="0" w:type="auto"/>
          </w:tcPr>
          <w:p w:rsidR="00E75CA1" w:rsidRPr="00C15B77" w:rsidRDefault="00E75CA1" w:rsidP="00AB503F">
            <w:pPr>
              <w:pStyle w:val="ListParagraph"/>
              <w:spacing w:line="360" w:lineRule="auto"/>
              <w:rPr>
                <w:rFonts w:cs="Times New Roman"/>
                <w:szCs w:val="24"/>
              </w:rPr>
            </w:pPr>
            <w:r w:rsidRPr="00C15B77">
              <w:rPr>
                <w:rFonts w:cs="Times New Roman"/>
                <w:szCs w:val="24"/>
              </w:rPr>
              <w:t>10</w:t>
            </w:r>
          </w:p>
        </w:tc>
      </w:tr>
    </w:tbl>
    <w:p w:rsidR="00E75CA1" w:rsidRPr="00C15B77" w:rsidRDefault="00E75CA1" w:rsidP="00C15B77">
      <w:pPr>
        <w:pStyle w:val="ListParagraph"/>
        <w:spacing w:before="120" w:after="120" w:line="360" w:lineRule="auto"/>
        <w:jc w:val="both"/>
        <w:rPr>
          <w:rFonts w:cs="Times New Roman"/>
          <w:szCs w:val="24"/>
        </w:rPr>
      </w:pPr>
      <w:r w:rsidRPr="00C15B77">
        <w:rPr>
          <w:rFonts w:cs="Times New Roman"/>
          <w:szCs w:val="24"/>
        </w:rPr>
        <w:t>Source: European Commission (2013)</w:t>
      </w:r>
    </w:p>
    <w:p w:rsidR="00E75CA1" w:rsidRPr="002151CE" w:rsidRDefault="0019428D" w:rsidP="0019428D">
      <w:pPr>
        <w:pStyle w:val="Heading2"/>
        <w:numPr>
          <w:ilvl w:val="0"/>
          <w:numId w:val="0"/>
        </w:numPr>
        <w:ind w:left="1080"/>
      </w:pPr>
      <w:r>
        <w:t xml:space="preserve">2.3 </w:t>
      </w:r>
      <w:r w:rsidR="00B2117B" w:rsidRPr="002151CE">
        <w:t xml:space="preserve">Background to the </w:t>
      </w:r>
      <w:r w:rsidR="00E75CA1" w:rsidRPr="002151CE">
        <w:t>China Case</w:t>
      </w:r>
    </w:p>
    <w:p w:rsidR="00245A5A" w:rsidRPr="00551AB0" w:rsidRDefault="001C35F4" w:rsidP="00AB503F">
      <w:pPr>
        <w:pStyle w:val="ListParagraph"/>
      </w:pPr>
      <w:r>
        <w:t xml:space="preserve">Educational migration from China has attracted considerable attention from </w:t>
      </w:r>
      <w:r w:rsidR="00245A5A" w:rsidRPr="00551AB0">
        <w:t>both international business and pedagogical researchers since the Chinese government introduced</w:t>
      </w:r>
      <w:r>
        <w:t xml:space="preserve"> the ‘open door’ policy in 1979. </w:t>
      </w:r>
      <w:r w:rsidR="00551AB0">
        <w:t xml:space="preserve"> </w:t>
      </w:r>
      <w:r>
        <w:t xml:space="preserve">According to </w:t>
      </w:r>
      <w:r w:rsidR="00E834F7">
        <w:t xml:space="preserve">the </w:t>
      </w:r>
      <w:r>
        <w:t xml:space="preserve">UKCISA (2012), </w:t>
      </w:r>
      <w:r w:rsidR="00245A5A" w:rsidRPr="00551AB0">
        <w:t>C</w:t>
      </w:r>
      <w:r>
        <w:t>hinese students entering the UK in 2011-12 totalled</w:t>
      </w:r>
      <w:r w:rsidR="00245A5A" w:rsidRPr="00551AB0">
        <w:t xml:space="preserve"> 78,715.</w:t>
      </w:r>
      <w:r w:rsidR="00551AB0">
        <w:t xml:space="preserve">  </w:t>
      </w:r>
      <w:r w:rsidR="00245A5A" w:rsidRPr="00551AB0">
        <w:t>The Royal Institute of International Affai</w:t>
      </w:r>
      <w:r w:rsidR="00E834F7">
        <w:t>rs (2004) predicted</w:t>
      </w:r>
      <w:r w:rsidR="00245A5A" w:rsidRPr="00551AB0">
        <w:t xml:space="preserve"> that</w:t>
      </w:r>
      <w:r>
        <w:t xml:space="preserve"> the</w:t>
      </w:r>
      <w:r w:rsidR="00245A5A" w:rsidRPr="00551AB0">
        <w:t xml:space="preserve"> total </w:t>
      </w:r>
      <w:r>
        <w:t xml:space="preserve">number of </w:t>
      </w:r>
      <w:r w:rsidR="00245A5A" w:rsidRPr="00551AB0">
        <w:t>ma</w:t>
      </w:r>
      <w:r w:rsidR="00E834F7">
        <w:t xml:space="preserve">inland Chinese students </w:t>
      </w:r>
      <w:r w:rsidR="00245A5A" w:rsidRPr="00551AB0">
        <w:t xml:space="preserve">in the UK will reach 130,900 in 2020. </w:t>
      </w:r>
      <w:r>
        <w:t>N</w:t>
      </w:r>
      <w:r w:rsidR="00245A5A" w:rsidRPr="00551AB0">
        <w:t>umerou</w:t>
      </w:r>
      <w:r>
        <w:t xml:space="preserve">s studies have claimed that </w:t>
      </w:r>
      <w:r w:rsidR="00E834F7">
        <w:t>outbound Chinese student</w:t>
      </w:r>
      <w:r w:rsidR="00245A5A" w:rsidRPr="00551AB0">
        <w:t xml:space="preserve"> migration has brought enormous benefits for </w:t>
      </w:r>
      <w:r>
        <w:t>the h</w:t>
      </w:r>
      <w:r w:rsidR="00245A5A" w:rsidRPr="00551AB0">
        <w:t>ost countr</w:t>
      </w:r>
      <w:r>
        <w:t>ies’ economies</w:t>
      </w:r>
      <w:r w:rsidR="00245A5A" w:rsidRPr="00551AB0">
        <w:t xml:space="preserve"> and enhanced students’ cross-cultural learning (Oleksiyenko, </w:t>
      </w:r>
      <w:r w:rsidR="00E834F7">
        <w:t xml:space="preserve">date? </w:t>
      </w:r>
      <w:r w:rsidR="00245A5A" w:rsidRPr="00551AB0">
        <w:t xml:space="preserve">Cheng and Yip, 2013; Dall’Alba and Sidhu, 2015). </w:t>
      </w:r>
    </w:p>
    <w:p w:rsidR="00245A5A" w:rsidRPr="00551AB0" w:rsidRDefault="00245A5A" w:rsidP="00AB503F">
      <w:pPr>
        <w:pStyle w:val="ListParagraph"/>
      </w:pPr>
      <w:r w:rsidRPr="00551AB0">
        <w:t>However, with</w:t>
      </w:r>
      <w:r w:rsidR="00E834F7">
        <w:t xml:space="preserve"> </w:t>
      </w:r>
      <w:r w:rsidR="00517878">
        <w:t xml:space="preserve">continuously </w:t>
      </w:r>
      <w:r w:rsidR="00E834F7">
        <w:t>increasing</w:t>
      </w:r>
      <w:r w:rsidR="00517878">
        <w:t xml:space="preserve"> </w:t>
      </w:r>
      <w:r w:rsidRPr="00551AB0">
        <w:t xml:space="preserve">outbound mobility, </w:t>
      </w:r>
      <w:r w:rsidR="00517878">
        <w:t xml:space="preserve">the </w:t>
      </w:r>
      <w:r w:rsidRPr="00551AB0">
        <w:t>Chinese M</w:t>
      </w:r>
      <w:r w:rsidR="00517878">
        <w:t xml:space="preserve">inistry </w:t>
      </w:r>
      <w:r w:rsidRPr="00551AB0">
        <w:t>o</w:t>
      </w:r>
      <w:r w:rsidR="00517878">
        <w:t xml:space="preserve">f </w:t>
      </w:r>
      <w:r w:rsidRPr="00551AB0">
        <w:t>E</w:t>
      </w:r>
      <w:r w:rsidR="00E834F7">
        <w:t>ducation (MoE) has st</w:t>
      </w:r>
      <w:r w:rsidR="00517878">
        <w:t>a</w:t>
      </w:r>
      <w:r w:rsidR="00E834F7">
        <w:t>r</w:t>
      </w:r>
      <w:r w:rsidR="00517878">
        <w:t xml:space="preserve">ted to focus on </w:t>
      </w:r>
      <w:r w:rsidRPr="00551AB0">
        <w:t>how to ‘diversify the higher education ma</w:t>
      </w:r>
      <w:r w:rsidR="008340B0">
        <w:t>rkets’ in China instead of ‘one-</w:t>
      </w:r>
      <w:r w:rsidRPr="00551AB0">
        <w:t>way direction (outbound)</w:t>
      </w:r>
      <w:r w:rsidR="00517878">
        <w:t>’</w:t>
      </w:r>
      <w:r w:rsidRPr="00551AB0">
        <w:t xml:space="preserve">. This strategic decision by </w:t>
      </w:r>
      <w:r w:rsidR="00517878">
        <w:t xml:space="preserve">the </w:t>
      </w:r>
      <w:r w:rsidRPr="00551AB0">
        <w:t>Chinese MoE reflects the Chinese Yin Yan</w:t>
      </w:r>
      <w:r w:rsidR="00517878">
        <w:t>g philosophical paradox identifie</w:t>
      </w:r>
      <w:r w:rsidRPr="00551AB0">
        <w:t>d by Fang (1999; 2003). Given the uneven development of outbound and inbo</w:t>
      </w:r>
      <w:r w:rsidR="00517878">
        <w:t xml:space="preserve">und education migration </w:t>
      </w:r>
      <w:r w:rsidRPr="00551AB0">
        <w:t>in China, other forms of mobility in Chinese higher education markets emerged, including Chinese</w:t>
      </w:r>
      <w:r w:rsidR="00494CA0">
        <w:t xml:space="preserve"> staff outbound mobility (Pearce</w:t>
      </w:r>
      <w:r w:rsidR="00E834F7">
        <w:t xml:space="preserve"> &amp;</w:t>
      </w:r>
      <w:r w:rsidRPr="00551AB0">
        <w:t xml:space="preserve"> Quan, 2015) and international students inbound mo</w:t>
      </w:r>
      <w:r w:rsidR="00E834F7">
        <w:t>bility (Robert &amp;</w:t>
      </w:r>
      <w:r w:rsidR="00494CA0">
        <w:t xml:space="preserve"> Li, 2014). </w:t>
      </w:r>
    </w:p>
    <w:p w:rsidR="00E834F7" w:rsidRDefault="00494CA0" w:rsidP="00AB503F">
      <w:pPr>
        <w:pStyle w:val="ListParagraph"/>
      </w:pPr>
      <w:r w:rsidRPr="00966913">
        <w:t>S</w:t>
      </w:r>
      <w:r w:rsidR="005A31D6" w:rsidRPr="00966913">
        <w:t>tatistic</w:t>
      </w:r>
      <w:r w:rsidRPr="00966913">
        <w:t>s indicate</w:t>
      </w:r>
      <w:r w:rsidR="00245A5A" w:rsidRPr="00966913">
        <w:t xml:space="preserve"> that the firs</w:t>
      </w:r>
      <w:r w:rsidRPr="00966913">
        <w:t xml:space="preserve">t group of 33 students from </w:t>
      </w:r>
      <w:r w:rsidR="00245A5A" w:rsidRPr="00966913">
        <w:t xml:space="preserve">East European countries studied in China in 1950. Between </w:t>
      </w:r>
      <w:r w:rsidRPr="00966913">
        <w:t>1979 and 2000, the total number of international</w:t>
      </w:r>
      <w:r w:rsidR="00245A5A" w:rsidRPr="00966913">
        <w:t xml:space="preserve"> students studying in China reached </w:t>
      </w:r>
      <w:r w:rsidRPr="00966913">
        <w:t>407,000</w:t>
      </w:r>
      <w:r w:rsidR="00245A5A" w:rsidRPr="00966913">
        <w:t xml:space="preserve">. These international students are from more than 175 countries and are accepted by 353 Chinese universities (Chinese MoE, 2015). </w:t>
      </w:r>
      <w:r w:rsidR="00245A5A" w:rsidRPr="00966913">
        <w:rPr>
          <w:rFonts w:eastAsia="Times New Roman"/>
        </w:rPr>
        <w:t xml:space="preserve">In order to encourage more inward international students, </w:t>
      </w:r>
      <w:r w:rsidRPr="00966913">
        <w:rPr>
          <w:rFonts w:eastAsia="Times New Roman"/>
        </w:rPr>
        <w:t>the Chinese MoE released a new policy relating to inbound students</w:t>
      </w:r>
      <w:r w:rsidR="00E834F7">
        <w:rPr>
          <w:rFonts w:eastAsia="Times New Roman"/>
        </w:rPr>
        <w:t>: “increase the number</w:t>
      </w:r>
      <w:r w:rsidR="00245A5A" w:rsidRPr="00966913">
        <w:rPr>
          <w:rFonts w:eastAsia="Times New Roman"/>
        </w:rPr>
        <w:t>, raise the level, guarantee the quality and regulate management</w:t>
      </w:r>
      <w:r w:rsidRPr="00966913">
        <w:rPr>
          <w:rFonts w:eastAsia="Times New Roman"/>
        </w:rPr>
        <w:t>.”</w:t>
      </w:r>
      <w:r w:rsidR="00245A5A" w:rsidRPr="00966913">
        <w:rPr>
          <w:rFonts w:eastAsia="Times New Roman"/>
        </w:rPr>
        <w:t xml:space="preserve"> </w:t>
      </w:r>
      <w:r w:rsidR="00245A5A" w:rsidRPr="00966913">
        <w:t>(Chinese MoE, 2015)</w:t>
      </w:r>
      <w:r w:rsidR="00E834F7">
        <w:t>.</w:t>
      </w:r>
    </w:p>
    <w:p w:rsidR="00E834F7" w:rsidRDefault="00E834F7" w:rsidP="00AB503F">
      <w:pPr>
        <w:pStyle w:val="ListParagraph"/>
      </w:pPr>
    </w:p>
    <w:p w:rsidR="004B6445" w:rsidRPr="00C15B77" w:rsidRDefault="00197864" w:rsidP="0019428D">
      <w:pPr>
        <w:pStyle w:val="Heading1"/>
      </w:pPr>
      <w:r w:rsidRPr="00C15B77">
        <w:t>Findings</w:t>
      </w:r>
    </w:p>
    <w:p w:rsidR="00532BFF" w:rsidRDefault="00E834F7" w:rsidP="00AB503F">
      <w:pPr>
        <w:pStyle w:val="ListParagraph"/>
      </w:pPr>
      <w:r>
        <w:t>On comparing the three cases</w:t>
      </w:r>
      <w:r w:rsidR="0061414E">
        <w:t>,</w:t>
      </w:r>
      <w:r w:rsidR="00197864" w:rsidRPr="00197864">
        <w:t xml:space="preserve"> </w:t>
      </w:r>
      <w:r w:rsidR="007A352D">
        <w:t xml:space="preserve">a number of </w:t>
      </w:r>
      <w:r w:rsidR="00197864" w:rsidRPr="00197864">
        <w:t xml:space="preserve">broad areas were identified as themes </w:t>
      </w:r>
      <w:r w:rsidR="00532BFF">
        <w:t xml:space="preserve">revealing </w:t>
      </w:r>
      <w:r w:rsidR="00532BFF" w:rsidRPr="00532BFF">
        <w:t>the differences</w:t>
      </w:r>
      <w:r w:rsidR="0061414E">
        <w:t xml:space="preserve"> in the</w:t>
      </w:r>
      <w:r w:rsidR="00532BFF" w:rsidRPr="00532BFF">
        <w:t xml:space="preserve"> challenges to international student mobility in these three contrasting countries</w:t>
      </w:r>
      <w:r w:rsidR="00532BFF">
        <w:t xml:space="preserve">. </w:t>
      </w:r>
    </w:p>
    <w:p w:rsidR="009D673B" w:rsidRDefault="009D673B" w:rsidP="00AB503F">
      <w:pPr>
        <w:pStyle w:val="ListParagraph"/>
      </w:pPr>
    </w:p>
    <w:tbl>
      <w:tblPr>
        <w:tblStyle w:val="TableGrid"/>
        <w:tblW w:w="0" w:type="auto"/>
        <w:tblInd w:w="918" w:type="dxa"/>
        <w:tblLook w:val="04A0" w:firstRow="1" w:lastRow="0" w:firstColumn="1" w:lastColumn="0" w:noHBand="0" w:noVBand="1"/>
      </w:tblPr>
      <w:tblGrid>
        <w:gridCol w:w="1594"/>
        <w:gridCol w:w="2333"/>
        <w:gridCol w:w="2130"/>
        <w:gridCol w:w="2267"/>
      </w:tblGrid>
      <w:tr w:rsidR="008A3027" w:rsidTr="008A3027">
        <w:tc>
          <w:tcPr>
            <w:tcW w:w="1505" w:type="dxa"/>
          </w:tcPr>
          <w:p w:rsidR="009D673B" w:rsidRPr="001D09E0" w:rsidRDefault="009D673B" w:rsidP="00D8094D">
            <w:pPr>
              <w:rPr>
                <w:b/>
                <w:sz w:val="20"/>
                <w:szCs w:val="20"/>
              </w:rPr>
            </w:pPr>
            <w:r w:rsidRPr="001D09E0">
              <w:rPr>
                <w:b/>
                <w:sz w:val="20"/>
                <w:szCs w:val="20"/>
              </w:rPr>
              <w:t>Theme</w:t>
            </w:r>
          </w:p>
        </w:tc>
        <w:tc>
          <w:tcPr>
            <w:tcW w:w="2365" w:type="dxa"/>
          </w:tcPr>
          <w:p w:rsidR="009D673B" w:rsidRPr="001D09E0" w:rsidRDefault="009D673B" w:rsidP="00D8094D">
            <w:pPr>
              <w:rPr>
                <w:b/>
                <w:sz w:val="20"/>
                <w:szCs w:val="20"/>
              </w:rPr>
            </w:pPr>
            <w:r w:rsidRPr="001D09E0">
              <w:rPr>
                <w:b/>
                <w:sz w:val="20"/>
                <w:szCs w:val="20"/>
              </w:rPr>
              <w:t>UK</w:t>
            </w:r>
            <w:r w:rsidR="009055D8" w:rsidRPr="001D09E0">
              <w:rPr>
                <w:b/>
                <w:sz w:val="20"/>
                <w:szCs w:val="20"/>
              </w:rPr>
              <w:t xml:space="preserve"> (Outbound)</w:t>
            </w:r>
          </w:p>
        </w:tc>
        <w:tc>
          <w:tcPr>
            <w:tcW w:w="2160" w:type="dxa"/>
          </w:tcPr>
          <w:p w:rsidR="009D673B" w:rsidRPr="001D09E0" w:rsidRDefault="009D673B" w:rsidP="00D8094D">
            <w:pPr>
              <w:rPr>
                <w:b/>
                <w:sz w:val="20"/>
                <w:szCs w:val="20"/>
              </w:rPr>
            </w:pPr>
            <w:r w:rsidRPr="001D09E0">
              <w:rPr>
                <w:b/>
                <w:sz w:val="20"/>
                <w:szCs w:val="20"/>
              </w:rPr>
              <w:t>Ukraine</w:t>
            </w:r>
            <w:r w:rsidR="009055D8" w:rsidRPr="001D09E0">
              <w:rPr>
                <w:b/>
                <w:sz w:val="20"/>
                <w:szCs w:val="20"/>
              </w:rPr>
              <w:t xml:space="preserve"> (Inbound)</w:t>
            </w:r>
          </w:p>
        </w:tc>
        <w:tc>
          <w:tcPr>
            <w:tcW w:w="2294" w:type="dxa"/>
          </w:tcPr>
          <w:p w:rsidR="009D673B" w:rsidRPr="001D09E0" w:rsidRDefault="009D673B" w:rsidP="00D8094D">
            <w:pPr>
              <w:rPr>
                <w:b/>
                <w:sz w:val="20"/>
                <w:szCs w:val="20"/>
              </w:rPr>
            </w:pPr>
            <w:r w:rsidRPr="001D09E0">
              <w:rPr>
                <w:b/>
                <w:sz w:val="20"/>
                <w:szCs w:val="20"/>
              </w:rPr>
              <w:t>China</w:t>
            </w:r>
            <w:r w:rsidR="009055D8" w:rsidRPr="001D09E0">
              <w:rPr>
                <w:b/>
                <w:sz w:val="20"/>
                <w:szCs w:val="20"/>
              </w:rPr>
              <w:t xml:space="preserve"> (Both)</w:t>
            </w:r>
          </w:p>
        </w:tc>
      </w:tr>
      <w:tr w:rsidR="008A3027" w:rsidTr="008A3027">
        <w:tc>
          <w:tcPr>
            <w:tcW w:w="1505" w:type="dxa"/>
          </w:tcPr>
          <w:p w:rsidR="009D673B" w:rsidRPr="008A3027" w:rsidRDefault="00D626F3" w:rsidP="00D8094D">
            <w:pPr>
              <w:rPr>
                <w:b/>
                <w:sz w:val="20"/>
                <w:szCs w:val="20"/>
              </w:rPr>
            </w:pPr>
            <w:r w:rsidRPr="008A3027">
              <w:rPr>
                <w:b/>
                <w:sz w:val="20"/>
                <w:szCs w:val="20"/>
              </w:rPr>
              <w:t xml:space="preserve">National &amp; </w:t>
            </w:r>
            <w:r w:rsidR="009D673B" w:rsidRPr="008A3027">
              <w:rPr>
                <w:b/>
                <w:sz w:val="20"/>
                <w:szCs w:val="20"/>
              </w:rPr>
              <w:t>Institutional Policy</w:t>
            </w:r>
          </w:p>
        </w:tc>
        <w:tc>
          <w:tcPr>
            <w:tcW w:w="2365" w:type="dxa"/>
          </w:tcPr>
          <w:p w:rsidR="000A263C" w:rsidRPr="00133F76" w:rsidRDefault="000A263C" w:rsidP="00D8094D">
            <w:pPr>
              <w:rPr>
                <w:sz w:val="20"/>
                <w:szCs w:val="20"/>
              </w:rPr>
            </w:pPr>
            <w:r w:rsidRPr="00133F76">
              <w:rPr>
                <w:sz w:val="20"/>
                <w:szCs w:val="20"/>
              </w:rPr>
              <w:t>Government strategy.</w:t>
            </w:r>
          </w:p>
          <w:p w:rsidR="00CF62BF" w:rsidRPr="00133F76" w:rsidRDefault="00E834F7" w:rsidP="00133F76">
            <w:pPr>
              <w:rPr>
                <w:sz w:val="20"/>
                <w:szCs w:val="20"/>
              </w:rPr>
            </w:pPr>
            <w:r w:rsidRPr="00133F76">
              <w:rPr>
                <w:sz w:val="20"/>
                <w:szCs w:val="20"/>
              </w:rPr>
              <w:t>Mandatory international experience</w:t>
            </w:r>
            <w:r w:rsidR="00CF62BF" w:rsidRPr="00133F76">
              <w:rPr>
                <w:sz w:val="20"/>
                <w:szCs w:val="20"/>
              </w:rPr>
              <w:t>.</w:t>
            </w:r>
          </w:p>
        </w:tc>
        <w:tc>
          <w:tcPr>
            <w:tcW w:w="2160" w:type="dxa"/>
          </w:tcPr>
          <w:p w:rsidR="009D673B" w:rsidRPr="00133F76" w:rsidRDefault="009D673B" w:rsidP="00D8094D">
            <w:pPr>
              <w:rPr>
                <w:sz w:val="20"/>
                <w:szCs w:val="20"/>
              </w:rPr>
            </w:pPr>
          </w:p>
        </w:tc>
        <w:tc>
          <w:tcPr>
            <w:tcW w:w="2294" w:type="dxa"/>
          </w:tcPr>
          <w:p w:rsidR="009D673B" w:rsidRPr="00133F76" w:rsidRDefault="00D626F3" w:rsidP="00D626F3">
            <w:pPr>
              <w:rPr>
                <w:sz w:val="20"/>
                <w:szCs w:val="20"/>
              </w:rPr>
            </w:pPr>
            <w:r w:rsidRPr="00133F76">
              <w:rPr>
                <w:sz w:val="20"/>
                <w:szCs w:val="20"/>
              </w:rPr>
              <w:t>Government f</w:t>
            </w:r>
            <w:r w:rsidR="000A263C" w:rsidRPr="00133F76">
              <w:rPr>
                <w:sz w:val="20"/>
                <w:szCs w:val="20"/>
              </w:rPr>
              <w:t>inancial i</w:t>
            </w:r>
            <w:r w:rsidRPr="00133F76">
              <w:rPr>
                <w:sz w:val="20"/>
                <w:szCs w:val="20"/>
              </w:rPr>
              <w:t>ncentives</w:t>
            </w:r>
            <w:r w:rsidR="00347B82">
              <w:rPr>
                <w:sz w:val="20"/>
                <w:szCs w:val="20"/>
              </w:rPr>
              <w:t xml:space="preserve"> (inbound)</w:t>
            </w:r>
          </w:p>
          <w:p w:rsidR="000A263C" w:rsidRPr="00133F76" w:rsidRDefault="000A263C" w:rsidP="00347B82">
            <w:pPr>
              <w:rPr>
                <w:sz w:val="20"/>
                <w:szCs w:val="20"/>
              </w:rPr>
            </w:pPr>
            <w:r w:rsidRPr="00133F76">
              <w:rPr>
                <w:sz w:val="20"/>
                <w:szCs w:val="20"/>
              </w:rPr>
              <w:t>Student support initiatives</w:t>
            </w:r>
            <w:r w:rsidR="00347B82">
              <w:rPr>
                <w:sz w:val="20"/>
                <w:szCs w:val="20"/>
              </w:rPr>
              <w:t xml:space="preserve"> (inbound)</w:t>
            </w:r>
          </w:p>
        </w:tc>
      </w:tr>
      <w:tr w:rsidR="008A3027" w:rsidTr="008A3027">
        <w:tc>
          <w:tcPr>
            <w:tcW w:w="1505" w:type="dxa"/>
          </w:tcPr>
          <w:p w:rsidR="009D673B" w:rsidRPr="008A3027" w:rsidRDefault="009D673B" w:rsidP="00D8094D">
            <w:pPr>
              <w:rPr>
                <w:b/>
                <w:sz w:val="20"/>
                <w:szCs w:val="20"/>
              </w:rPr>
            </w:pPr>
            <w:r w:rsidRPr="008A3027">
              <w:rPr>
                <w:b/>
                <w:sz w:val="20"/>
                <w:szCs w:val="20"/>
              </w:rPr>
              <w:t>Process Familiarity</w:t>
            </w:r>
          </w:p>
        </w:tc>
        <w:tc>
          <w:tcPr>
            <w:tcW w:w="2365" w:type="dxa"/>
          </w:tcPr>
          <w:p w:rsidR="009D673B" w:rsidRPr="00133F76" w:rsidRDefault="00ED1A95" w:rsidP="00D8094D">
            <w:pPr>
              <w:rPr>
                <w:sz w:val="20"/>
                <w:szCs w:val="20"/>
              </w:rPr>
            </w:pPr>
            <w:r w:rsidRPr="00133F76">
              <w:rPr>
                <w:sz w:val="20"/>
                <w:szCs w:val="20"/>
              </w:rPr>
              <w:t>Scaffolding, peer-to-peer learning.</w:t>
            </w:r>
          </w:p>
          <w:p w:rsidR="00CF62BF" w:rsidRPr="00133F76" w:rsidRDefault="00CF62BF" w:rsidP="00D8094D">
            <w:pPr>
              <w:rPr>
                <w:sz w:val="20"/>
                <w:szCs w:val="20"/>
              </w:rPr>
            </w:pPr>
            <w:r w:rsidRPr="00133F76">
              <w:rPr>
                <w:sz w:val="20"/>
                <w:szCs w:val="20"/>
              </w:rPr>
              <w:t>Campus community.</w:t>
            </w:r>
          </w:p>
        </w:tc>
        <w:tc>
          <w:tcPr>
            <w:tcW w:w="2160" w:type="dxa"/>
          </w:tcPr>
          <w:p w:rsidR="009D673B" w:rsidRPr="00133F76" w:rsidRDefault="005A0C89" w:rsidP="00D8094D">
            <w:pPr>
              <w:rPr>
                <w:sz w:val="20"/>
                <w:szCs w:val="20"/>
              </w:rPr>
            </w:pPr>
            <w:r w:rsidRPr="00133F76">
              <w:rPr>
                <w:sz w:val="20"/>
                <w:szCs w:val="20"/>
              </w:rPr>
              <w:t>Unfamiliar process for sending &amp; host institutions, and students</w:t>
            </w:r>
            <w:r w:rsidR="00133F76">
              <w:rPr>
                <w:sz w:val="20"/>
                <w:szCs w:val="20"/>
              </w:rPr>
              <w:t>.</w:t>
            </w:r>
          </w:p>
        </w:tc>
        <w:tc>
          <w:tcPr>
            <w:tcW w:w="2294" w:type="dxa"/>
          </w:tcPr>
          <w:p w:rsidR="009D673B" w:rsidRPr="00133F76" w:rsidRDefault="009D673B" w:rsidP="00D8094D">
            <w:pPr>
              <w:rPr>
                <w:sz w:val="20"/>
                <w:szCs w:val="20"/>
              </w:rPr>
            </w:pPr>
          </w:p>
        </w:tc>
      </w:tr>
      <w:tr w:rsidR="008A3027" w:rsidTr="008A3027">
        <w:tc>
          <w:tcPr>
            <w:tcW w:w="1505" w:type="dxa"/>
          </w:tcPr>
          <w:p w:rsidR="009D673B" w:rsidRPr="008A3027" w:rsidRDefault="00D626F3" w:rsidP="00D8094D">
            <w:pPr>
              <w:rPr>
                <w:b/>
                <w:sz w:val="20"/>
                <w:szCs w:val="20"/>
              </w:rPr>
            </w:pPr>
            <w:r w:rsidRPr="008A3027">
              <w:rPr>
                <w:b/>
                <w:sz w:val="20"/>
                <w:szCs w:val="20"/>
              </w:rPr>
              <w:t xml:space="preserve">Communication </w:t>
            </w:r>
          </w:p>
        </w:tc>
        <w:tc>
          <w:tcPr>
            <w:tcW w:w="2365" w:type="dxa"/>
          </w:tcPr>
          <w:p w:rsidR="009D673B" w:rsidRPr="00133F76" w:rsidRDefault="004A583F" w:rsidP="00D8094D">
            <w:pPr>
              <w:rPr>
                <w:sz w:val="20"/>
                <w:szCs w:val="20"/>
              </w:rPr>
            </w:pPr>
            <w:r w:rsidRPr="00133F76">
              <w:rPr>
                <w:sz w:val="20"/>
                <w:szCs w:val="20"/>
              </w:rPr>
              <w:t>(Technology-enhanced) s</w:t>
            </w:r>
            <w:r w:rsidR="00D626F3" w:rsidRPr="00133F76">
              <w:rPr>
                <w:sz w:val="20"/>
                <w:szCs w:val="20"/>
              </w:rPr>
              <w:t>caffolding</w:t>
            </w:r>
            <w:r w:rsidRPr="00133F76">
              <w:rPr>
                <w:sz w:val="20"/>
                <w:szCs w:val="20"/>
              </w:rPr>
              <w:t>.</w:t>
            </w:r>
          </w:p>
          <w:p w:rsidR="00D626F3" w:rsidRPr="00133F76" w:rsidRDefault="004A583F" w:rsidP="00D8094D">
            <w:pPr>
              <w:rPr>
                <w:sz w:val="20"/>
                <w:szCs w:val="20"/>
              </w:rPr>
            </w:pPr>
            <w:r w:rsidRPr="00133F76">
              <w:rPr>
                <w:sz w:val="20"/>
                <w:szCs w:val="20"/>
              </w:rPr>
              <w:t>‘O</w:t>
            </w:r>
            <w:r w:rsidR="00D626F3" w:rsidRPr="00133F76">
              <w:rPr>
                <w:sz w:val="20"/>
                <w:szCs w:val="20"/>
              </w:rPr>
              <w:t>pen-door’ policy</w:t>
            </w:r>
            <w:r w:rsidR="00485958" w:rsidRPr="00133F76">
              <w:rPr>
                <w:sz w:val="20"/>
                <w:szCs w:val="20"/>
              </w:rPr>
              <w:t>.</w:t>
            </w:r>
          </w:p>
          <w:p w:rsidR="00485958" w:rsidRPr="00133F76" w:rsidRDefault="00485958" w:rsidP="00D8094D">
            <w:pPr>
              <w:rPr>
                <w:sz w:val="20"/>
                <w:szCs w:val="20"/>
              </w:rPr>
            </w:pPr>
            <w:r w:rsidRPr="00133F76">
              <w:rPr>
                <w:sz w:val="20"/>
                <w:szCs w:val="20"/>
              </w:rPr>
              <w:t>Retro-marketing.</w:t>
            </w:r>
          </w:p>
          <w:p w:rsidR="00485958" w:rsidRPr="00133F76" w:rsidRDefault="00485958" w:rsidP="00D8094D">
            <w:pPr>
              <w:rPr>
                <w:sz w:val="20"/>
                <w:szCs w:val="20"/>
              </w:rPr>
            </w:pPr>
            <w:r w:rsidRPr="00133F76">
              <w:rPr>
                <w:sz w:val="20"/>
                <w:szCs w:val="20"/>
              </w:rPr>
              <w:t>Social media.</w:t>
            </w:r>
          </w:p>
          <w:p w:rsidR="00ED1A95" w:rsidRPr="00133F76" w:rsidRDefault="00ED1A95" w:rsidP="00D8094D">
            <w:pPr>
              <w:rPr>
                <w:sz w:val="20"/>
                <w:szCs w:val="20"/>
              </w:rPr>
            </w:pPr>
            <w:r w:rsidRPr="00133F76">
              <w:rPr>
                <w:sz w:val="20"/>
                <w:szCs w:val="20"/>
              </w:rPr>
              <w:t>Peer-to-peer learning.</w:t>
            </w:r>
          </w:p>
        </w:tc>
        <w:tc>
          <w:tcPr>
            <w:tcW w:w="2160" w:type="dxa"/>
          </w:tcPr>
          <w:p w:rsidR="009D673B" w:rsidRPr="00133F76" w:rsidRDefault="00485958" w:rsidP="00D8094D">
            <w:pPr>
              <w:rPr>
                <w:sz w:val="20"/>
                <w:szCs w:val="20"/>
              </w:rPr>
            </w:pPr>
            <w:r w:rsidRPr="00133F76">
              <w:rPr>
                <w:sz w:val="20"/>
                <w:szCs w:val="20"/>
              </w:rPr>
              <w:t>Problems between sending &amp; host institutions.</w:t>
            </w:r>
          </w:p>
          <w:p w:rsidR="00485958" w:rsidRPr="00133F76" w:rsidRDefault="00485958" w:rsidP="00D8094D">
            <w:pPr>
              <w:rPr>
                <w:sz w:val="20"/>
                <w:szCs w:val="20"/>
              </w:rPr>
            </w:pPr>
            <w:r w:rsidRPr="00133F76">
              <w:rPr>
                <w:sz w:val="20"/>
                <w:szCs w:val="20"/>
              </w:rPr>
              <w:t>Problems between host institution and inbound students.</w:t>
            </w:r>
          </w:p>
        </w:tc>
        <w:tc>
          <w:tcPr>
            <w:tcW w:w="2294" w:type="dxa"/>
          </w:tcPr>
          <w:p w:rsidR="009D673B" w:rsidRPr="00133F76" w:rsidRDefault="009D673B" w:rsidP="00D8094D">
            <w:pPr>
              <w:rPr>
                <w:sz w:val="20"/>
                <w:szCs w:val="20"/>
              </w:rPr>
            </w:pPr>
          </w:p>
        </w:tc>
      </w:tr>
      <w:tr w:rsidR="008A3027" w:rsidTr="008A3027">
        <w:tc>
          <w:tcPr>
            <w:tcW w:w="1505" w:type="dxa"/>
          </w:tcPr>
          <w:p w:rsidR="009D673B" w:rsidRPr="008A3027" w:rsidRDefault="009D673B" w:rsidP="00D8094D">
            <w:pPr>
              <w:rPr>
                <w:b/>
                <w:sz w:val="20"/>
                <w:szCs w:val="20"/>
              </w:rPr>
            </w:pPr>
            <w:r w:rsidRPr="008A3027">
              <w:rPr>
                <w:b/>
                <w:sz w:val="20"/>
                <w:szCs w:val="20"/>
              </w:rPr>
              <w:t>Educational Culture</w:t>
            </w:r>
          </w:p>
        </w:tc>
        <w:tc>
          <w:tcPr>
            <w:tcW w:w="2365" w:type="dxa"/>
          </w:tcPr>
          <w:p w:rsidR="009D673B" w:rsidRPr="00F23531" w:rsidRDefault="00F23531" w:rsidP="00D8094D">
            <w:pPr>
              <w:rPr>
                <w:sz w:val="20"/>
                <w:szCs w:val="20"/>
              </w:rPr>
            </w:pPr>
            <w:r w:rsidRPr="00F23531">
              <w:rPr>
                <w:sz w:val="20"/>
                <w:szCs w:val="20"/>
              </w:rPr>
              <w:t>Authentic assessment of adjustment</w:t>
            </w:r>
            <w:r w:rsidR="00CC735A">
              <w:rPr>
                <w:sz w:val="20"/>
                <w:szCs w:val="20"/>
              </w:rPr>
              <w:t>.</w:t>
            </w:r>
          </w:p>
          <w:p w:rsidR="00F23531" w:rsidRPr="00F23531" w:rsidRDefault="00F23531" w:rsidP="00D8094D">
            <w:pPr>
              <w:rPr>
                <w:sz w:val="20"/>
                <w:szCs w:val="20"/>
              </w:rPr>
            </w:pPr>
          </w:p>
        </w:tc>
        <w:tc>
          <w:tcPr>
            <w:tcW w:w="2160" w:type="dxa"/>
          </w:tcPr>
          <w:p w:rsidR="009D673B" w:rsidRPr="00F23531" w:rsidRDefault="00C341ED" w:rsidP="00D8094D">
            <w:pPr>
              <w:rPr>
                <w:sz w:val="20"/>
                <w:szCs w:val="20"/>
              </w:rPr>
            </w:pPr>
            <w:r w:rsidRPr="00F23531">
              <w:rPr>
                <w:sz w:val="20"/>
                <w:szCs w:val="20"/>
              </w:rPr>
              <w:t>Limited facilities and services for students.</w:t>
            </w:r>
          </w:p>
          <w:p w:rsidR="00F23531" w:rsidRPr="00F23531" w:rsidRDefault="00F23531" w:rsidP="00D8094D">
            <w:pPr>
              <w:rPr>
                <w:sz w:val="20"/>
                <w:szCs w:val="20"/>
              </w:rPr>
            </w:pPr>
            <w:r w:rsidRPr="00F23531">
              <w:rPr>
                <w:sz w:val="20"/>
                <w:szCs w:val="20"/>
              </w:rPr>
              <w:t>Difficult adjustment</w:t>
            </w:r>
            <w:r w:rsidR="009055D8">
              <w:rPr>
                <w:sz w:val="20"/>
                <w:szCs w:val="20"/>
              </w:rPr>
              <w:t xml:space="preserve"> for inbound</w:t>
            </w:r>
            <w:r w:rsidRPr="00F23531">
              <w:rPr>
                <w:sz w:val="20"/>
                <w:szCs w:val="20"/>
              </w:rPr>
              <w:t>.</w:t>
            </w:r>
          </w:p>
        </w:tc>
        <w:tc>
          <w:tcPr>
            <w:tcW w:w="2294" w:type="dxa"/>
          </w:tcPr>
          <w:p w:rsidR="009D673B" w:rsidRPr="00133F76" w:rsidRDefault="009055D8" w:rsidP="00D8094D">
            <w:pPr>
              <w:rPr>
                <w:sz w:val="20"/>
                <w:szCs w:val="20"/>
              </w:rPr>
            </w:pPr>
            <w:r>
              <w:rPr>
                <w:sz w:val="20"/>
                <w:szCs w:val="20"/>
              </w:rPr>
              <w:t>External Chinese environment as pull-factor (inbound)</w:t>
            </w:r>
            <w:r w:rsidR="008A3027">
              <w:rPr>
                <w:sz w:val="20"/>
                <w:szCs w:val="20"/>
              </w:rPr>
              <w:t>.</w:t>
            </w:r>
          </w:p>
        </w:tc>
      </w:tr>
      <w:tr w:rsidR="008A3027" w:rsidTr="008A3027">
        <w:tc>
          <w:tcPr>
            <w:tcW w:w="1505" w:type="dxa"/>
          </w:tcPr>
          <w:p w:rsidR="009D673B" w:rsidRPr="008A3027" w:rsidRDefault="009D673B" w:rsidP="00D8094D">
            <w:pPr>
              <w:rPr>
                <w:b/>
                <w:sz w:val="20"/>
                <w:szCs w:val="20"/>
              </w:rPr>
            </w:pPr>
            <w:r w:rsidRPr="008A3027">
              <w:rPr>
                <w:b/>
                <w:sz w:val="20"/>
                <w:szCs w:val="20"/>
              </w:rPr>
              <w:t>Opportunity Value</w:t>
            </w:r>
          </w:p>
        </w:tc>
        <w:tc>
          <w:tcPr>
            <w:tcW w:w="2365" w:type="dxa"/>
          </w:tcPr>
          <w:p w:rsidR="008340B0" w:rsidRDefault="008340B0" w:rsidP="00D8094D">
            <w:pPr>
              <w:rPr>
                <w:sz w:val="20"/>
                <w:szCs w:val="20"/>
              </w:rPr>
            </w:pPr>
            <w:r>
              <w:rPr>
                <w:sz w:val="20"/>
                <w:szCs w:val="20"/>
              </w:rPr>
              <w:t>Credit-transfer</w:t>
            </w:r>
            <w:r w:rsidR="00857CD5">
              <w:rPr>
                <w:sz w:val="20"/>
                <w:szCs w:val="20"/>
              </w:rPr>
              <w:t xml:space="preserve"> programmes.</w:t>
            </w:r>
          </w:p>
          <w:p w:rsidR="00857CD5" w:rsidRDefault="00857CD5" w:rsidP="00D8094D">
            <w:pPr>
              <w:rPr>
                <w:sz w:val="20"/>
                <w:szCs w:val="20"/>
              </w:rPr>
            </w:pPr>
            <w:r>
              <w:rPr>
                <w:sz w:val="20"/>
                <w:szCs w:val="20"/>
              </w:rPr>
              <w:t>Double-degrees.</w:t>
            </w:r>
          </w:p>
          <w:p w:rsidR="009D673B" w:rsidRPr="00133F76" w:rsidRDefault="00E07DDC" w:rsidP="00D8094D">
            <w:pPr>
              <w:rPr>
                <w:sz w:val="20"/>
                <w:szCs w:val="20"/>
              </w:rPr>
            </w:pPr>
            <w:r>
              <w:rPr>
                <w:sz w:val="20"/>
                <w:szCs w:val="20"/>
              </w:rPr>
              <w:t>Experiential education</w:t>
            </w:r>
            <w:r w:rsidR="00857CD5">
              <w:rPr>
                <w:sz w:val="20"/>
                <w:szCs w:val="20"/>
              </w:rPr>
              <w:t>.</w:t>
            </w:r>
          </w:p>
        </w:tc>
        <w:tc>
          <w:tcPr>
            <w:tcW w:w="2160" w:type="dxa"/>
          </w:tcPr>
          <w:p w:rsidR="009D673B" w:rsidRPr="00133F76" w:rsidRDefault="009D673B" w:rsidP="00D8094D">
            <w:pPr>
              <w:rPr>
                <w:sz w:val="20"/>
                <w:szCs w:val="20"/>
              </w:rPr>
            </w:pPr>
          </w:p>
        </w:tc>
        <w:tc>
          <w:tcPr>
            <w:tcW w:w="2294" w:type="dxa"/>
          </w:tcPr>
          <w:p w:rsidR="009D673B" w:rsidRPr="00133F76" w:rsidRDefault="00857CD5" w:rsidP="00D8094D">
            <w:pPr>
              <w:rPr>
                <w:sz w:val="20"/>
                <w:szCs w:val="20"/>
              </w:rPr>
            </w:pPr>
            <w:r>
              <w:rPr>
                <w:sz w:val="20"/>
                <w:szCs w:val="20"/>
              </w:rPr>
              <w:t>Short-term mobility programmes</w:t>
            </w:r>
            <w:r w:rsidR="009055D8">
              <w:rPr>
                <w:sz w:val="20"/>
                <w:szCs w:val="20"/>
              </w:rPr>
              <w:t xml:space="preserve"> eg mini-MBA (outbound)</w:t>
            </w:r>
            <w:r w:rsidR="008A3027">
              <w:rPr>
                <w:sz w:val="20"/>
                <w:szCs w:val="20"/>
              </w:rPr>
              <w:t>.</w:t>
            </w:r>
          </w:p>
        </w:tc>
      </w:tr>
      <w:tr w:rsidR="008A3027" w:rsidTr="008A3027">
        <w:tc>
          <w:tcPr>
            <w:tcW w:w="1505" w:type="dxa"/>
          </w:tcPr>
          <w:p w:rsidR="009D673B" w:rsidRPr="008A3027" w:rsidRDefault="009D673B" w:rsidP="00D8094D">
            <w:pPr>
              <w:rPr>
                <w:b/>
                <w:sz w:val="20"/>
                <w:szCs w:val="20"/>
              </w:rPr>
            </w:pPr>
            <w:r w:rsidRPr="008A3027">
              <w:rPr>
                <w:b/>
                <w:sz w:val="20"/>
                <w:szCs w:val="20"/>
              </w:rPr>
              <w:t>Personal Development</w:t>
            </w:r>
          </w:p>
        </w:tc>
        <w:tc>
          <w:tcPr>
            <w:tcW w:w="2365" w:type="dxa"/>
          </w:tcPr>
          <w:p w:rsidR="009D673B" w:rsidRDefault="00CC735A" w:rsidP="00CC735A">
            <w:pPr>
              <w:rPr>
                <w:sz w:val="20"/>
                <w:szCs w:val="20"/>
              </w:rPr>
            </w:pPr>
            <w:r>
              <w:rPr>
                <w:sz w:val="20"/>
                <w:szCs w:val="20"/>
              </w:rPr>
              <w:t>Authentic-learning for additional critical global competences.</w:t>
            </w:r>
          </w:p>
          <w:p w:rsidR="00CC735A" w:rsidRPr="00133F76" w:rsidRDefault="00CC735A" w:rsidP="00CC735A">
            <w:pPr>
              <w:rPr>
                <w:sz w:val="20"/>
                <w:szCs w:val="20"/>
              </w:rPr>
            </w:pPr>
            <w:r w:rsidRPr="00F23531">
              <w:rPr>
                <w:sz w:val="20"/>
                <w:szCs w:val="20"/>
              </w:rPr>
              <w:t>Self-reflection.</w:t>
            </w:r>
          </w:p>
        </w:tc>
        <w:tc>
          <w:tcPr>
            <w:tcW w:w="2160" w:type="dxa"/>
          </w:tcPr>
          <w:p w:rsidR="009D673B" w:rsidRPr="00133F76" w:rsidRDefault="009D673B" w:rsidP="00D8094D">
            <w:pPr>
              <w:rPr>
                <w:sz w:val="20"/>
                <w:szCs w:val="20"/>
              </w:rPr>
            </w:pPr>
          </w:p>
        </w:tc>
        <w:tc>
          <w:tcPr>
            <w:tcW w:w="2294" w:type="dxa"/>
          </w:tcPr>
          <w:p w:rsidR="009D673B" w:rsidRDefault="00861697" w:rsidP="00D8094D">
            <w:pPr>
              <w:rPr>
                <w:sz w:val="20"/>
                <w:szCs w:val="20"/>
              </w:rPr>
            </w:pPr>
            <w:r>
              <w:rPr>
                <w:sz w:val="20"/>
                <w:szCs w:val="20"/>
              </w:rPr>
              <w:t>Social capital, soft employability-skills and confidence-building</w:t>
            </w:r>
            <w:r w:rsidR="006D7282">
              <w:rPr>
                <w:sz w:val="20"/>
                <w:szCs w:val="20"/>
              </w:rPr>
              <w:t xml:space="preserve"> (inbound).</w:t>
            </w:r>
          </w:p>
          <w:p w:rsidR="00191CA5" w:rsidRPr="00133F76" w:rsidRDefault="00191CA5" w:rsidP="00D8094D">
            <w:pPr>
              <w:rPr>
                <w:sz w:val="20"/>
                <w:szCs w:val="20"/>
              </w:rPr>
            </w:pPr>
            <w:r>
              <w:rPr>
                <w:sz w:val="20"/>
                <w:szCs w:val="20"/>
              </w:rPr>
              <w:t>Cultural awareness, cr</w:t>
            </w:r>
            <w:r w:rsidR="00CC735A">
              <w:rPr>
                <w:sz w:val="20"/>
                <w:szCs w:val="20"/>
              </w:rPr>
              <w:t>i</w:t>
            </w:r>
            <w:r>
              <w:rPr>
                <w:sz w:val="20"/>
                <w:szCs w:val="20"/>
              </w:rPr>
              <w:t>tical-thinking (outbound).</w:t>
            </w:r>
          </w:p>
        </w:tc>
      </w:tr>
      <w:tr w:rsidR="008A3027" w:rsidTr="008A3027">
        <w:tc>
          <w:tcPr>
            <w:tcW w:w="1505" w:type="dxa"/>
          </w:tcPr>
          <w:p w:rsidR="009D673B" w:rsidRPr="008A3027" w:rsidRDefault="009D673B" w:rsidP="00D8094D">
            <w:pPr>
              <w:rPr>
                <w:b/>
                <w:sz w:val="20"/>
                <w:szCs w:val="20"/>
              </w:rPr>
            </w:pPr>
            <w:r w:rsidRPr="008A3027">
              <w:rPr>
                <w:b/>
                <w:sz w:val="20"/>
                <w:szCs w:val="20"/>
              </w:rPr>
              <w:t>Family Support</w:t>
            </w:r>
          </w:p>
        </w:tc>
        <w:tc>
          <w:tcPr>
            <w:tcW w:w="2365" w:type="dxa"/>
          </w:tcPr>
          <w:p w:rsidR="009D673B" w:rsidRPr="00133F76" w:rsidRDefault="009D673B" w:rsidP="00D8094D">
            <w:pPr>
              <w:rPr>
                <w:sz w:val="20"/>
                <w:szCs w:val="20"/>
              </w:rPr>
            </w:pPr>
          </w:p>
        </w:tc>
        <w:tc>
          <w:tcPr>
            <w:tcW w:w="2160" w:type="dxa"/>
          </w:tcPr>
          <w:p w:rsidR="009D673B" w:rsidRPr="00133F76" w:rsidRDefault="009D673B" w:rsidP="00D8094D">
            <w:pPr>
              <w:rPr>
                <w:sz w:val="20"/>
                <w:szCs w:val="20"/>
              </w:rPr>
            </w:pPr>
          </w:p>
        </w:tc>
        <w:tc>
          <w:tcPr>
            <w:tcW w:w="2294" w:type="dxa"/>
          </w:tcPr>
          <w:p w:rsidR="009D673B" w:rsidRPr="00133F76" w:rsidRDefault="00347B82" w:rsidP="00D8094D">
            <w:pPr>
              <w:rPr>
                <w:sz w:val="20"/>
                <w:szCs w:val="20"/>
              </w:rPr>
            </w:pPr>
            <w:r>
              <w:rPr>
                <w:sz w:val="20"/>
                <w:szCs w:val="20"/>
              </w:rPr>
              <w:t>Financial and emotional (outbound)</w:t>
            </w:r>
          </w:p>
        </w:tc>
      </w:tr>
    </w:tbl>
    <w:p w:rsidR="009D673B" w:rsidRDefault="009D673B" w:rsidP="00AB503F">
      <w:pPr>
        <w:pStyle w:val="ListParagraph"/>
      </w:pPr>
    </w:p>
    <w:p w:rsidR="001245A5" w:rsidRPr="00AB503F" w:rsidRDefault="00485958" w:rsidP="00485958">
      <w:pPr>
        <w:pStyle w:val="Heading2"/>
        <w:numPr>
          <w:ilvl w:val="0"/>
          <w:numId w:val="0"/>
        </w:numPr>
        <w:ind w:left="1080" w:hanging="360"/>
      </w:pPr>
      <w:r>
        <w:t xml:space="preserve">3.1 </w:t>
      </w:r>
      <w:r w:rsidR="000A263C">
        <w:t xml:space="preserve">Government and Institutional Policy and </w:t>
      </w:r>
      <w:r w:rsidR="001245A5" w:rsidRPr="00AB503F">
        <w:t>Support (UK</w:t>
      </w:r>
      <w:r w:rsidR="000A263C">
        <w:t xml:space="preserve"> &amp; China</w:t>
      </w:r>
      <w:r w:rsidR="001245A5" w:rsidRPr="00AB503F">
        <w:t>)</w:t>
      </w:r>
    </w:p>
    <w:p w:rsidR="00711C15" w:rsidRDefault="00711C15" w:rsidP="00AB503F">
      <w:pPr>
        <w:pStyle w:val="ListParagraph"/>
      </w:pPr>
    </w:p>
    <w:p w:rsidR="001245A5" w:rsidRDefault="001245A5" w:rsidP="00AB503F">
      <w:pPr>
        <w:pStyle w:val="ListParagraph"/>
      </w:pPr>
      <w:r>
        <w:t xml:space="preserve">In the UK, a semester abroad was made </w:t>
      </w:r>
      <w:r w:rsidRPr="006D5062">
        <w:t xml:space="preserve">mandatory </w:t>
      </w:r>
      <w:r w:rsidR="00CF62BF">
        <w:t xml:space="preserve">for </w:t>
      </w:r>
      <w:r w:rsidRPr="006D5062">
        <w:t xml:space="preserve">students studying international business management, which boosted recruitment to that programme. This </w:t>
      </w:r>
      <w:r>
        <w:t>w</w:t>
      </w:r>
      <w:r w:rsidRPr="006D5062">
        <w:t xml:space="preserve">as </w:t>
      </w:r>
      <w:r>
        <w:t xml:space="preserve">then </w:t>
      </w:r>
      <w:r w:rsidRPr="006D5062">
        <w:t xml:space="preserve">extended to two mandatory semesters abroad. </w:t>
      </w:r>
      <w:r>
        <w:t xml:space="preserve"> S</w:t>
      </w:r>
      <w:r w:rsidRPr="006D5062">
        <w:t>enior management in the school</w:t>
      </w:r>
      <w:r>
        <w:t xml:space="preserve"> were persuaded by the team</w:t>
      </w:r>
      <w:r w:rsidRPr="006D5062">
        <w:t xml:space="preserve"> that a new attitude and communication approach were worthwhile</w:t>
      </w:r>
      <w:r w:rsidR="00485958">
        <w:t xml:space="preserve"> (described in Section 3.2)</w:t>
      </w:r>
      <w:r w:rsidRPr="006D5062">
        <w:t xml:space="preserve">. As the programme snowballed, </w:t>
      </w:r>
      <w:r w:rsidR="00E834F7">
        <w:t>academics were brought on board</w:t>
      </w:r>
      <w:r w:rsidRPr="006D5062">
        <w:t>. The challenge of scaling up, as well as improving quality over a broader range of L&amp;T innovations throughout the process was met by increasing involvement of a greater number of colleagues from a wider range of departments, functions and external partners, creating challenges in consistency and focus.</w:t>
      </w:r>
      <w:r>
        <w:t xml:space="preserve"> </w:t>
      </w:r>
      <w:r w:rsidRPr="006D5062">
        <w:t xml:space="preserve">As attitudes changed, it had a positive impact on the school’s confidence and work/study abroad opportunities were opened across the UG portfolio. </w:t>
      </w:r>
      <w:r>
        <w:t>A</w:t>
      </w:r>
      <w:r w:rsidRPr="006D5062">
        <w:t xml:space="preserve"> much larger number of programme leaders and directors</w:t>
      </w:r>
      <w:r>
        <w:t xml:space="preserve"> were involved</w:t>
      </w:r>
      <w:r w:rsidRPr="006D5062">
        <w:t xml:space="preserve">. </w:t>
      </w:r>
      <w:r>
        <w:t>R</w:t>
      </w:r>
      <w:r w:rsidRPr="006D5062">
        <w:t>egular updates to formal management meetings and attended committee meetings with student representati</w:t>
      </w:r>
      <w:r>
        <w:t>ves took place</w:t>
      </w:r>
      <w:r w:rsidRPr="006D5062">
        <w:t>. Applying the ‘scaffolding</w:t>
      </w:r>
      <w:r>
        <w:t xml:space="preserve">’ approach to this wider team, </w:t>
      </w:r>
      <w:r w:rsidRPr="006D5062">
        <w:t>support points for academic staff</w:t>
      </w:r>
      <w:r>
        <w:t xml:space="preserve"> were identified</w:t>
      </w:r>
      <w:r w:rsidRPr="006D5062">
        <w:t xml:space="preserve"> </w:t>
      </w:r>
      <w:r>
        <w:t>the core team</w:t>
      </w:r>
      <w:r w:rsidRPr="006D5062">
        <w:t xml:space="preserve"> acted as mentor</w:t>
      </w:r>
      <w:r>
        <w:t>s</w:t>
      </w:r>
      <w:r w:rsidRPr="006D5062">
        <w:t xml:space="preserve"> as they became more involved in promoting study abroad at open days, dealing with students’ concerns and developing initiatives with partner institutions. </w:t>
      </w:r>
      <w:r>
        <w:t xml:space="preserve">As the programme has now become </w:t>
      </w:r>
      <w:r w:rsidRPr="006D5062">
        <w:t xml:space="preserve">institutionalised and developed in other faculties, </w:t>
      </w:r>
    </w:p>
    <w:p w:rsidR="00D626F3" w:rsidRDefault="00D626F3" w:rsidP="00AB503F">
      <w:pPr>
        <w:pStyle w:val="ListParagraph"/>
      </w:pPr>
    </w:p>
    <w:p w:rsidR="001245A5" w:rsidRDefault="001245A5" w:rsidP="00AB503F">
      <w:pPr>
        <w:pStyle w:val="ListParagraph"/>
      </w:pPr>
      <w:r w:rsidRPr="00AE75E1">
        <w:t>Our China case shows that the motivation of inbound student mobility in China is closely r</w:t>
      </w:r>
      <w:r w:rsidR="00D626F3">
        <w:t>elated to institutional support</w:t>
      </w:r>
      <w:r w:rsidRPr="00AE75E1">
        <w:t xml:space="preserve"> from </w:t>
      </w:r>
      <w:r w:rsidR="00D626F3">
        <w:t xml:space="preserve">the Chinese government: it released a series of </w:t>
      </w:r>
      <w:r w:rsidRPr="00AE75E1">
        <w:t xml:space="preserve">policies to encourage Chinese HE institutions </w:t>
      </w:r>
      <w:r w:rsidR="00D626F3">
        <w:t xml:space="preserve">to </w:t>
      </w:r>
      <w:r w:rsidRPr="00AE75E1">
        <w:t xml:space="preserve">recruit overseas students. For example, </w:t>
      </w:r>
      <w:r w:rsidR="00D626F3">
        <w:t xml:space="preserve">the </w:t>
      </w:r>
      <w:r w:rsidRPr="00AE75E1">
        <w:t xml:space="preserve">Chinese </w:t>
      </w:r>
      <w:r w:rsidR="00D626F3">
        <w:t>MoE provides financial</w:t>
      </w:r>
      <w:r w:rsidRPr="00AE75E1">
        <w:t xml:space="preserve"> support for HE institutions if they recruit </w:t>
      </w:r>
      <w:r w:rsidR="00D626F3">
        <w:t>a certain number</w:t>
      </w:r>
      <w:r w:rsidRPr="00AE75E1">
        <w:t xml:space="preserve"> of foreign students from overseas. Encouraged by the Chinese MoE, many Chinese universities restructured their organisation and created a new school called </w:t>
      </w:r>
      <w:r w:rsidRPr="00C15B77">
        <w:rPr>
          <w:i/>
        </w:rPr>
        <w:t>the School of International Education</w:t>
      </w:r>
      <w:r w:rsidRPr="00AE75E1">
        <w:t xml:space="preserve"> which is regarded as ‘</w:t>
      </w:r>
      <w:r w:rsidRPr="00C15B77">
        <w:rPr>
          <w:i/>
        </w:rPr>
        <w:t>the school of international students’</w:t>
      </w:r>
      <w:r w:rsidR="00D626F3">
        <w:t xml:space="preserve">. The number of </w:t>
      </w:r>
      <w:r w:rsidRPr="00AE75E1">
        <w:t>overseas students</w:t>
      </w:r>
      <w:r w:rsidR="00D626F3">
        <w:t xml:space="preserve"> recruited has</w:t>
      </w:r>
      <w:r w:rsidRPr="00AE75E1">
        <w:t xml:space="preserve"> been used as an indicator to measure the internationalisation performance of HE institutions by MoE in China. </w:t>
      </w:r>
    </w:p>
    <w:p w:rsidR="00711C15" w:rsidRDefault="00711C15" w:rsidP="00AB503F">
      <w:pPr>
        <w:pStyle w:val="ListParagraph"/>
      </w:pPr>
    </w:p>
    <w:p w:rsidR="001245A5" w:rsidRPr="00AE75E1" w:rsidRDefault="00D626F3" w:rsidP="00AB503F">
      <w:pPr>
        <w:pStyle w:val="ListParagraph"/>
      </w:pPr>
      <w:r>
        <w:t xml:space="preserve">Overseas </w:t>
      </w:r>
      <w:r w:rsidR="001245A5" w:rsidRPr="00AE75E1">
        <w:t xml:space="preserve">students studying at Chinese universities are provided </w:t>
      </w:r>
      <w:r>
        <w:t xml:space="preserve">with enhanced </w:t>
      </w:r>
      <w:r w:rsidR="001245A5" w:rsidRPr="00AE75E1">
        <w:t>services</w:t>
      </w:r>
      <w:r>
        <w:t xml:space="preserve"> than local</w:t>
      </w:r>
      <w:r w:rsidR="001245A5" w:rsidRPr="00AE75E1">
        <w:t xml:space="preserve"> student</w:t>
      </w:r>
      <w:r>
        <w:t>s, such as better accommodation, student well-being services, language learning and cultural</w:t>
      </w:r>
      <w:r w:rsidR="001245A5" w:rsidRPr="00AE75E1">
        <w:t xml:space="preserve"> visits</w:t>
      </w:r>
      <w:r>
        <w:t xml:space="preserve">. Staff </w:t>
      </w:r>
      <w:r w:rsidR="001245A5" w:rsidRPr="00AE75E1">
        <w:t xml:space="preserve">involved in the </w:t>
      </w:r>
      <w:r>
        <w:t>support of overseas students</w:t>
      </w:r>
      <w:r w:rsidR="001245A5" w:rsidRPr="00AE75E1">
        <w:t xml:space="preserve"> emphasised </w:t>
      </w:r>
      <w:r>
        <w:t>this improvement as a key driver.</w:t>
      </w:r>
      <w:r w:rsidR="001245A5" w:rsidRPr="00AE75E1">
        <w:t xml:space="preserve"> Professors from other faculties within universities are invited to deliver a wide range of lectures to overseas students in addition to language studies. A famous professor from a prestige university in Beijing recalled her experience working with overseas students: </w:t>
      </w:r>
    </w:p>
    <w:p w:rsidR="001245A5" w:rsidRPr="00AE75E1" w:rsidRDefault="000B0D1E" w:rsidP="001245A5">
      <w:r>
        <w:rPr>
          <w:noProof/>
          <w:lang w:eastAsia="en-GB"/>
        </w:rPr>
        <mc:AlternateContent>
          <mc:Choice Requires="wps">
            <w:drawing>
              <wp:anchor distT="0" distB="0" distL="114300" distR="114300" simplePos="0" relativeHeight="251667456" behindDoc="0" locked="0" layoutInCell="1" allowOverlap="1" wp14:anchorId="0765E964">
                <wp:simplePos x="0" y="0"/>
                <wp:positionH relativeFrom="column">
                  <wp:posOffset>458470</wp:posOffset>
                </wp:positionH>
                <wp:positionV relativeFrom="paragraph">
                  <wp:posOffset>95885</wp:posOffset>
                </wp:positionV>
                <wp:extent cx="2531110" cy="48514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110" cy="48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94D" w:rsidRDefault="00D8094D" w:rsidP="001245A5">
                            <w:pPr>
                              <w:jc w:val="both"/>
                              <w:rPr>
                                <w:rFonts w:cs="Times New Roman"/>
                                <w:i/>
                              </w:rPr>
                            </w:pPr>
                            <w:r w:rsidRPr="009071DE">
                              <w:rPr>
                                <w:rFonts w:cs="Times New Roman"/>
                                <w:i/>
                              </w:rPr>
                              <w:t>‘I have taught many overseas students in our university. I have paid extra attention to those students. Our university takes really good care of these students ...it is difficult for them studying and living a country where language and culture are different from their own home countries. The university should provide all possible supports where they are necessary’.</w:t>
                            </w:r>
                          </w:p>
                          <w:p w:rsidR="00D8094D" w:rsidRDefault="00D8094D" w:rsidP="001245A5">
                            <w:pPr>
                              <w:jc w:val="both"/>
                              <w:rPr>
                                <w:rFonts w:cs="Times New Roman"/>
                                <w:i/>
                              </w:rPr>
                            </w:pPr>
                          </w:p>
                          <w:p w:rsidR="00D8094D" w:rsidRDefault="00D8094D" w:rsidP="001245A5">
                            <w:pPr>
                              <w:jc w:val="both"/>
                              <w:rPr>
                                <w:rFonts w:cs="Times New Roman"/>
                                <w:i/>
                              </w:rPr>
                            </w:pPr>
                          </w:p>
                          <w:p w:rsidR="00D8094D" w:rsidRDefault="00D8094D" w:rsidP="001245A5">
                            <w:pPr>
                              <w:jc w:val="both"/>
                              <w:rPr>
                                <w:rFonts w:cs="Times New Roman"/>
                                <w:i/>
                              </w:rPr>
                            </w:pPr>
                          </w:p>
                          <w:p w:rsidR="00D8094D" w:rsidRPr="009071DE" w:rsidRDefault="00D8094D" w:rsidP="001245A5">
                            <w:pPr>
                              <w:jc w:val="both"/>
                              <w:rPr>
                                <w:rFonts w:cs="Times New Roman"/>
                                <w:i/>
                              </w:rPr>
                            </w:pPr>
                            <w:r w:rsidRPr="009071DE">
                              <w:rPr>
                                <w:rFonts w:cs="Times New Roman"/>
                                <w:i/>
                              </w:rPr>
                              <w:t xml:space="preserve"> </w:t>
                            </w:r>
                          </w:p>
                          <w:p w:rsidR="00D8094D" w:rsidRPr="009071DE" w:rsidRDefault="00D8094D" w:rsidP="001245A5">
                            <w:pPr>
                              <w:rPr>
                                <w:rFonts w:cs="Times New Roman"/>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5E964" id="Rectangle 5" o:spid="_x0000_s1026" style="position:absolute;margin-left:36.1pt;margin-top:7.55pt;width:199.3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" stroked="f">
                <v:textbox>
                  <w:txbxContent>
                    <w:p w:rsidR="00D8094D" w:rsidRDefault="00D8094D" w:rsidP="001245A5">
                      <w:pPr>
                        <w:jc w:val="both"/>
                        <w:rPr>
                          <w:rFonts w:cs="Times New Roman"/>
                          <w:i/>
                        </w:rPr>
                      </w:pPr>
                      <w:r w:rsidRPr="009071DE">
                        <w:rPr>
                          <w:rFonts w:cs="Times New Roman"/>
                          <w:i/>
                        </w:rPr>
                        <w:t>‘I have taught many overseas students in our university. I have paid extra attention to those students. Our university takes really good care of these students ...it is difficult for them studying and living a country where language and culture are different from their own home countries. The university should provide all possible supports where they are necessary’.</w:t>
                      </w:r>
                    </w:p>
                    <w:p w:rsidR="00D8094D" w:rsidRDefault="00D8094D" w:rsidP="001245A5">
                      <w:pPr>
                        <w:jc w:val="both"/>
                        <w:rPr>
                          <w:rFonts w:cs="Times New Roman"/>
                          <w:i/>
                        </w:rPr>
                      </w:pPr>
                    </w:p>
                    <w:p w:rsidR="00D8094D" w:rsidRDefault="00D8094D" w:rsidP="001245A5">
                      <w:pPr>
                        <w:jc w:val="both"/>
                        <w:rPr>
                          <w:rFonts w:cs="Times New Roman"/>
                          <w:i/>
                        </w:rPr>
                      </w:pPr>
                    </w:p>
                    <w:p w:rsidR="00D8094D" w:rsidRDefault="00D8094D" w:rsidP="001245A5">
                      <w:pPr>
                        <w:jc w:val="both"/>
                        <w:rPr>
                          <w:rFonts w:cs="Times New Roman"/>
                          <w:i/>
                        </w:rPr>
                      </w:pPr>
                    </w:p>
                    <w:p w:rsidR="00D8094D" w:rsidRPr="009071DE" w:rsidRDefault="00D8094D" w:rsidP="001245A5">
                      <w:pPr>
                        <w:jc w:val="both"/>
                        <w:rPr>
                          <w:rFonts w:cs="Times New Roman"/>
                          <w:i/>
                        </w:rPr>
                      </w:pPr>
                      <w:r w:rsidRPr="009071DE">
                        <w:rPr>
                          <w:rFonts w:cs="Times New Roman"/>
                          <w:i/>
                        </w:rPr>
                        <w:t xml:space="preserve"> </w:t>
                      </w:r>
                    </w:p>
                    <w:p w:rsidR="00D8094D" w:rsidRPr="009071DE" w:rsidRDefault="00D8094D" w:rsidP="001245A5">
                      <w:pPr>
                        <w:rPr>
                          <w:rFonts w:cs="Times New Roman"/>
                          <w:i/>
                        </w:rPr>
                      </w:pPr>
                    </w:p>
                  </w:txbxContent>
                </v:textbox>
              </v:rect>
            </w:pict>
          </mc:Fallback>
        </mc:AlternateContent>
      </w:r>
    </w:p>
    <w:p w:rsidR="001245A5" w:rsidRPr="00AE75E1" w:rsidRDefault="001245A5" w:rsidP="001245A5"/>
    <w:p w:rsidR="001245A5" w:rsidRDefault="001245A5" w:rsidP="001245A5"/>
    <w:p w:rsidR="001245A5" w:rsidRDefault="001245A5" w:rsidP="001245A5"/>
    <w:p w:rsidR="001245A5" w:rsidRPr="002A6FCD" w:rsidRDefault="00D626F3" w:rsidP="001245A5">
      <w:pPr>
        <w:rPr>
          <w:i/>
        </w:rPr>
      </w:pPr>
      <w:r>
        <w:tab/>
      </w:r>
      <w:r w:rsidRPr="002A6FCD">
        <w:rPr>
          <w:i/>
        </w:rPr>
        <w:tab/>
      </w:r>
      <w:r w:rsidR="0061462E">
        <w:rPr>
          <w:i/>
        </w:rPr>
        <w:t xml:space="preserve">Staff </w:t>
      </w:r>
      <w:r w:rsidR="00485958">
        <w:rPr>
          <w:i/>
        </w:rPr>
        <w:t>Member (i</w:t>
      </w:r>
      <w:r w:rsidRPr="002A6FCD">
        <w:rPr>
          <w:i/>
        </w:rPr>
        <w:t>nterviewee</w:t>
      </w:r>
      <w:r w:rsidR="00485958">
        <w:rPr>
          <w:i/>
        </w:rPr>
        <w:t xml:space="preserve"> - China)</w:t>
      </w:r>
    </w:p>
    <w:p w:rsidR="001245A5" w:rsidRDefault="001245A5" w:rsidP="00AB503F">
      <w:pPr>
        <w:pStyle w:val="ListParagraph"/>
      </w:pPr>
      <w:r w:rsidRPr="00AE75E1">
        <w:t>It is evi</w:t>
      </w:r>
      <w:r w:rsidR="009B700A">
        <w:t xml:space="preserve">dent that institutional support is influential </w:t>
      </w:r>
      <w:r w:rsidRPr="00AE75E1">
        <w:t xml:space="preserve">in attracting more overseas students </w:t>
      </w:r>
      <w:r w:rsidR="009B700A">
        <w:t>to studying at</w:t>
      </w:r>
      <w:r w:rsidRPr="00AE75E1">
        <w:t xml:space="preserve"> Chinese universities. </w:t>
      </w:r>
    </w:p>
    <w:p w:rsidR="00CA66FD" w:rsidRDefault="00CA66FD" w:rsidP="00AB503F">
      <w:pPr>
        <w:pStyle w:val="Heading3"/>
        <w:ind w:left="720"/>
      </w:pPr>
    </w:p>
    <w:p w:rsidR="001245A5" w:rsidRPr="00C15B77" w:rsidRDefault="001245A5" w:rsidP="00485958">
      <w:pPr>
        <w:pStyle w:val="Heading2"/>
        <w:numPr>
          <w:ilvl w:val="1"/>
          <w:numId w:val="19"/>
        </w:numPr>
      </w:pPr>
      <w:r w:rsidRPr="00C15B77">
        <w:t xml:space="preserve">Communication Challenges </w:t>
      </w:r>
    </w:p>
    <w:p w:rsidR="00CA66FD" w:rsidRDefault="00CA66FD" w:rsidP="00BC6229">
      <w:pPr>
        <w:ind w:left="720"/>
        <w:jc w:val="both"/>
        <w:rPr>
          <w:rFonts w:cs="Times New Roman"/>
          <w:color w:val="000000" w:themeColor="text1"/>
          <w:szCs w:val="24"/>
        </w:rPr>
      </w:pPr>
    </w:p>
    <w:p w:rsidR="00BC6229" w:rsidRDefault="00BC6229" w:rsidP="00BC6229">
      <w:pPr>
        <w:ind w:left="720"/>
        <w:jc w:val="both"/>
        <w:rPr>
          <w:rFonts w:cs="Times New Roman"/>
          <w:color w:val="000000" w:themeColor="text1"/>
          <w:szCs w:val="24"/>
        </w:rPr>
      </w:pPr>
      <w:r>
        <w:rPr>
          <w:rFonts w:cs="Times New Roman"/>
          <w:color w:val="000000" w:themeColor="text1"/>
          <w:szCs w:val="24"/>
        </w:rPr>
        <w:t xml:space="preserve">The second theme emerging from our case comparison concerns communication. In Ukraine, this involves communication between sending and </w:t>
      </w:r>
      <w:r w:rsidR="001245A5" w:rsidRPr="00AB503F">
        <w:rPr>
          <w:rFonts w:cs="Times New Roman"/>
          <w:color w:val="000000" w:themeColor="text1"/>
          <w:szCs w:val="24"/>
        </w:rPr>
        <w:t xml:space="preserve">host University, as well as internal communication between the departments of the host university. </w:t>
      </w:r>
    </w:p>
    <w:p w:rsidR="001245A5" w:rsidRPr="00C15B77" w:rsidRDefault="001245A5" w:rsidP="00BC6229">
      <w:pPr>
        <w:ind w:left="720"/>
        <w:jc w:val="both"/>
        <w:rPr>
          <w:rFonts w:eastAsiaTheme="minorHAnsi" w:cs="Times New Roman"/>
          <w:i/>
          <w:color w:val="000000" w:themeColor="text1"/>
          <w:szCs w:val="24"/>
          <w:lang w:eastAsia="en-US"/>
        </w:rPr>
      </w:pPr>
      <w:r w:rsidRPr="00C15B77">
        <w:rPr>
          <w:rFonts w:cs="Times New Roman"/>
          <w:i/>
          <w:color w:val="000000" w:themeColor="text1"/>
          <w:szCs w:val="24"/>
        </w:rPr>
        <w:t xml:space="preserve">‘In my opinion, a lot in this programme depends on the support from the co-ordinating institution and host institution.  </w:t>
      </w:r>
      <w:r w:rsidRPr="00C15B77">
        <w:rPr>
          <w:rFonts w:eastAsiaTheme="minorHAnsi" w:cs="Times New Roman"/>
          <w:i/>
          <w:color w:val="000000" w:themeColor="text1"/>
          <w:szCs w:val="24"/>
          <w:lang w:eastAsia="en-US"/>
        </w:rPr>
        <w:t xml:space="preserve">I didn’t know who to communicate with in the co-ordinating institution.  Nobody ever asked me about my satisfaction and the level of the fulfilment of my expectations’. </w:t>
      </w:r>
    </w:p>
    <w:p w:rsidR="00BC6229" w:rsidRDefault="001245A5" w:rsidP="00BC6229">
      <w:pPr>
        <w:pStyle w:val="ListParagraph"/>
        <w:ind w:left="1440" w:right="567"/>
        <w:jc w:val="both"/>
        <w:rPr>
          <w:rFonts w:cs="Times New Roman"/>
          <w:i/>
          <w:color w:val="000000" w:themeColor="text1"/>
          <w:szCs w:val="24"/>
        </w:rPr>
      </w:pPr>
      <w:r w:rsidRPr="00C15B77">
        <w:rPr>
          <w:rFonts w:cs="Times New Roman"/>
          <w:i/>
          <w:color w:val="000000" w:themeColor="text1"/>
          <w:szCs w:val="24"/>
        </w:rPr>
        <w:t>Student Applicant (interviewee</w:t>
      </w:r>
      <w:r w:rsidR="00485958">
        <w:rPr>
          <w:rFonts w:cs="Times New Roman"/>
          <w:i/>
          <w:color w:val="000000" w:themeColor="text1"/>
          <w:szCs w:val="24"/>
        </w:rPr>
        <w:t xml:space="preserve"> - Ukraine</w:t>
      </w:r>
      <w:r w:rsidRPr="00C15B77">
        <w:rPr>
          <w:rFonts w:cs="Times New Roman"/>
          <w:i/>
          <w:color w:val="000000" w:themeColor="text1"/>
          <w:szCs w:val="24"/>
        </w:rPr>
        <w:t>)</w:t>
      </w:r>
    </w:p>
    <w:p w:rsidR="001245A5" w:rsidRPr="00C15B77" w:rsidRDefault="001245A5" w:rsidP="00BC6229">
      <w:pPr>
        <w:pStyle w:val="ListParagraph"/>
        <w:ind w:left="1440" w:right="567"/>
        <w:jc w:val="both"/>
        <w:rPr>
          <w:rFonts w:cs="Times New Roman"/>
          <w:i/>
          <w:color w:val="000000" w:themeColor="text1"/>
          <w:szCs w:val="24"/>
        </w:rPr>
      </w:pPr>
      <w:r w:rsidRPr="00C15B77">
        <w:rPr>
          <w:rFonts w:eastAsiaTheme="minorHAnsi" w:cs="Times New Roman"/>
          <w:i/>
          <w:color w:val="000000" w:themeColor="text1"/>
          <w:szCs w:val="24"/>
          <w:lang w:eastAsia="en-US"/>
        </w:rPr>
        <w:t xml:space="preserve"> </w:t>
      </w:r>
    </w:p>
    <w:p w:rsidR="001245A5" w:rsidRPr="00C15B77" w:rsidRDefault="001245A5" w:rsidP="00AB503F">
      <w:pPr>
        <w:pStyle w:val="ListParagraph"/>
        <w:jc w:val="both"/>
        <w:rPr>
          <w:rFonts w:eastAsiaTheme="minorHAnsi" w:cs="Times New Roman"/>
          <w:color w:val="000000" w:themeColor="text1"/>
          <w:szCs w:val="24"/>
          <w:lang w:eastAsia="en-US"/>
        </w:rPr>
      </w:pPr>
      <w:r w:rsidRPr="00C15B77">
        <w:rPr>
          <w:rFonts w:eastAsiaTheme="minorHAnsi" w:cs="Times New Roman"/>
          <w:color w:val="000000" w:themeColor="text1"/>
          <w:szCs w:val="24"/>
          <w:lang w:eastAsia="en-US"/>
        </w:rPr>
        <w:t xml:space="preserve">In Ukraine, staff at the host department were not aware of the Erasmus programme, its rules and requirements. The only point of contact for the student was the university’s department of international affairs.  Thus, any information requested by the student had to be passed through this department, which often caused delays and late responses.  </w:t>
      </w:r>
    </w:p>
    <w:p w:rsidR="00ED175F" w:rsidRDefault="00ED175F" w:rsidP="00AB503F">
      <w:pPr>
        <w:pStyle w:val="ListParagraph"/>
        <w:ind w:right="567"/>
        <w:jc w:val="both"/>
        <w:rPr>
          <w:rFonts w:eastAsiaTheme="minorHAnsi" w:cs="Times New Roman"/>
          <w:i/>
          <w:color w:val="000000" w:themeColor="text1"/>
          <w:szCs w:val="24"/>
          <w:lang w:eastAsia="en-US"/>
        </w:rPr>
      </w:pPr>
    </w:p>
    <w:p w:rsidR="001245A5" w:rsidRPr="00C15B77" w:rsidRDefault="001245A5" w:rsidP="00AB503F">
      <w:pPr>
        <w:pStyle w:val="ListParagraph"/>
        <w:ind w:right="567"/>
        <w:jc w:val="both"/>
        <w:rPr>
          <w:rFonts w:eastAsiaTheme="minorHAnsi" w:cs="Times New Roman"/>
          <w:i/>
          <w:color w:val="000000" w:themeColor="text1"/>
          <w:szCs w:val="24"/>
          <w:lang w:eastAsia="en-US"/>
        </w:rPr>
      </w:pPr>
      <w:r w:rsidRPr="00C15B77">
        <w:rPr>
          <w:rFonts w:eastAsiaTheme="minorHAnsi" w:cs="Times New Roman"/>
          <w:i/>
          <w:color w:val="000000" w:themeColor="text1"/>
          <w:szCs w:val="24"/>
          <w:lang w:eastAsia="en-US"/>
        </w:rPr>
        <w:t>‘Even the social events which took place within the university… I become aware of them from the students, but not from anybody from the coordinating department or host department.  Often the information about the event came through when the actual event is over.’</w:t>
      </w:r>
    </w:p>
    <w:p w:rsidR="008005EA" w:rsidRDefault="008005EA" w:rsidP="00ED175F">
      <w:pPr>
        <w:pStyle w:val="ListParagraph"/>
        <w:ind w:right="567" w:firstLine="720"/>
        <w:jc w:val="both"/>
        <w:rPr>
          <w:rFonts w:eastAsiaTheme="minorHAnsi" w:cs="Times New Roman"/>
          <w:i/>
          <w:color w:val="000000" w:themeColor="text1"/>
          <w:szCs w:val="24"/>
          <w:lang w:eastAsia="en-US"/>
        </w:rPr>
      </w:pPr>
    </w:p>
    <w:p w:rsidR="001245A5" w:rsidRDefault="008005EA" w:rsidP="00ED175F">
      <w:pPr>
        <w:pStyle w:val="ListParagraph"/>
        <w:ind w:right="567" w:firstLine="720"/>
        <w:jc w:val="both"/>
        <w:rPr>
          <w:rFonts w:eastAsiaTheme="minorHAnsi" w:cs="Times New Roman"/>
          <w:i/>
          <w:color w:val="000000" w:themeColor="text1"/>
          <w:szCs w:val="24"/>
          <w:lang w:eastAsia="en-US"/>
        </w:rPr>
      </w:pPr>
      <w:r>
        <w:rPr>
          <w:rFonts w:eastAsiaTheme="minorHAnsi" w:cs="Times New Roman"/>
          <w:i/>
          <w:color w:val="000000" w:themeColor="text1"/>
          <w:szCs w:val="24"/>
          <w:lang w:eastAsia="en-US"/>
        </w:rPr>
        <w:t xml:space="preserve">Inbound </w:t>
      </w:r>
      <w:r w:rsidR="001245A5" w:rsidRPr="00C15B77">
        <w:rPr>
          <w:rFonts w:eastAsiaTheme="minorHAnsi" w:cs="Times New Roman"/>
          <w:i/>
          <w:color w:val="000000" w:themeColor="text1"/>
          <w:szCs w:val="24"/>
          <w:lang w:eastAsia="en-US"/>
        </w:rPr>
        <w:t>Student (interviewee</w:t>
      </w:r>
      <w:r w:rsidR="00485958">
        <w:rPr>
          <w:rFonts w:eastAsiaTheme="minorHAnsi" w:cs="Times New Roman"/>
          <w:i/>
          <w:color w:val="000000" w:themeColor="text1"/>
          <w:szCs w:val="24"/>
          <w:lang w:eastAsia="en-US"/>
        </w:rPr>
        <w:t xml:space="preserve"> - Ukraine</w:t>
      </w:r>
      <w:r w:rsidR="001245A5" w:rsidRPr="00C15B77">
        <w:rPr>
          <w:rFonts w:eastAsiaTheme="minorHAnsi" w:cs="Times New Roman"/>
          <w:i/>
          <w:color w:val="000000" w:themeColor="text1"/>
          <w:szCs w:val="24"/>
          <w:lang w:eastAsia="en-US"/>
        </w:rPr>
        <w:t>)</w:t>
      </w:r>
    </w:p>
    <w:p w:rsidR="00ED175F" w:rsidRPr="00C15B77" w:rsidRDefault="00ED175F" w:rsidP="00AB503F">
      <w:pPr>
        <w:pStyle w:val="ListParagraph"/>
        <w:ind w:right="567"/>
        <w:jc w:val="both"/>
        <w:rPr>
          <w:rFonts w:cs="Times New Roman"/>
          <w:i/>
          <w:color w:val="000000" w:themeColor="text1"/>
          <w:szCs w:val="24"/>
        </w:rPr>
      </w:pPr>
    </w:p>
    <w:p w:rsidR="00485958" w:rsidRDefault="00485958" w:rsidP="00AB503F">
      <w:pPr>
        <w:pStyle w:val="ListParagraph"/>
        <w:ind w:right="567"/>
        <w:jc w:val="both"/>
        <w:rPr>
          <w:rFonts w:cs="Times New Roman"/>
          <w:color w:val="000000" w:themeColor="text1"/>
          <w:szCs w:val="24"/>
        </w:rPr>
      </w:pPr>
      <w:r>
        <w:rPr>
          <w:rFonts w:cs="Times New Roman"/>
          <w:color w:val="000000" w:themeColor="text1"/>
          <w:szCs w:val="24"/>
        </w:rPr>
        <w:t>Because participation in the Erasmus scheme</w:t>
      </w:r>
      <w:r w:rsidR="001245A5" w:rsidRPr="00C15B77">
        <w:rPr>
          <w:rFonts w:cs="Times New Roman"/>
          <w:color w:val="000000" w:themeColor="text1"/>
          <w:szCs w:val="24"/>
        </w:rPr>
        <w:t xml:space="preserve"> was limited to a single student, he experienced some disconnectedness from the wider student community.  This impacted </w:t>
      </w:r>
      <w:r>
        <w:rPr>
          <w:rFonts w:cs="Times New Roman"/>
          <w:color w:val="000000" w:themeColor="text1"/>
          <w:szCs w:val="24"/>
        </w:rPr>
        <w:t xml:space="preserve">on </w:t>
      </w:r>
      <w:r w:rsidR="001245A5" w:rsidRPr="00C15B77">
        <w:rPr>
          <w:rFonts w:cs="Times New Roman"/>
          <w:color w:val="000000" w:themeColor="text1"/>
          <w:szCs w:val="24"/>
        </w:rPr>
        <w:t xml:space="preserve">his participation in the social life of the faculty and the university.  Although the student union was effective in arranging various events at both the university and the faculty levels, communication with the Erasmus student was difficult as he belonged to various groups of student at various levels and to no specific programme. Belonging to a smaller student group was not possible for practical reasons. </w:t>
      </w:r>
    </w:p>
    <w:p w:rsidR="001245A5" w:rsidRPr="00C15B77" w:rsidRDefault="001245A5" w:rsidP="00AB503F">
      <w:pPr>
        <w:pStyle w:val="ListParagraph"/>
        <w:ind w:right="567"/>
        <w:jc w:val="both"/>
        <w:rPr>
          <w:rFonts w:cs="Times New Roman"/>
          <w:color w:val="000000" w:themeColor="text1"/>
          <w:szCs w:val="24"/>
        </w:rPr>
      </w:pPr>
      <w:r w:rsidRPr="00C15B77">
        <w:rPr>
          <w:rFonts w:cs="Times New Roman"/>
          <w:color w:val="000000" w:themeColor="text1"/>
          <w:szCs w:val="24"/>
        </w:rPr>
        <w:t xml:space="preserve">  </w:t>
      </w:r>
    </w:p>
    <w:p w:rsidR="001245A5" w:rsidRDefault="00485958" w:rsidP="00AB503F">
      <w:pPr>
        <w:pStyle w:val="ListParagraph"/>
      </w:pPr>
      <w:r>
        <w:t>Meanwhile, i</w:t>
      </w:r>
      <w:r w:rsidR="001245A5">
        <w:t xml:space="preserve">n the UK, an important change </w:t>
      </w:r>
      <w:r w:rsidR="001245A5" w:rsidRPr="006D5062">
        <w:t>introduced initially was a reversal of the way in which ‘study abroad’ opportunities were communicated to students. Using ‘retro-marketing’ (McCole, 2004) communication techniques</w:t>
      </w:r>
      <w:r w:rsidR="001245A5">
        <w:t xml:space="preserve">, </w:t>
      </w:r>
      <w:r w:rsidR="001245A5" w:rsidRPr="006D5062">
        <w:t xml:space="preserve">the ‘year abroad’ </w:t>
      </w:r>
      <w:r w:rsidR="001245A5">
        <w:t xml:space="preserve">was presented </w:t>
      </w:r>
      <w:r w:rsidR="001245A5" w:rsidRPr="006D5062">
        <w:t>as straightforward, aspirational and competitive, replacing the previous apologetic tone, in which it was a second-rate inconvenience into which students must b</w:t>
      </w:r>
      <w:r w:rsidR="001245A5">
        <w:t>e pressured. Retro-marketing was</w:t>
      </w:r>
      <w:r w:rsidR="001245A5" w:rsidRPr="006D5062">
        <w:t xml:space="preserve"> developed to appeal to a complex, post-modern world overwhelmed by choice and information and cynical of marketing messages, efficiently using new technology. </w:t>
      </w:r>
      <w:r w:rsidR="001245A5">
        <w:t>For study abroad, t</w:t>
      </w:r>
      <w:r w:rsidR="001245A5" w:rsidRPr="006D5062">
        <w:t>his inc</w:t>
      </w:r>
      <w:r>
        <w:t xml:space="preserve">luded an interactive e-learning </w:t>
      </w:r>
      <w:r w:rsidR="001245A5" w:rsidRPr="006D5062">
        <w:t xml:space="preserve">site with a database decision tool, a suite of country-specific, student-led Facebook Groups and a Twitter feed. </w:t>
      </w:r>
    </w:p>
    <w:p w:rsidR="00485958" w:rsidRDefault="00485958" w:rsidP="00AB503F">
      <w:pPr>
        <w:pStyle w:val="ListParagraph"/>
      </w:pPr>
    </w:p>
    <w:p w:rsidR="001245A5" w:rsidRPr="006D5062" w:rsidRDefault="001245A5" w:rsidP="00AB503F">
      <w:pPr>
        <w:pStyle w:val="ListParagraph"/>
      </w:pPr>
      <w:r w:rsidRPr="006D5062">
        <w:t>Combining ‘retro-marketing’ and a psychographic segmentation of student motivations with the ‘scaffolding’ L&amp;T</w:t>
      </w:r>
      <w:r>
        <w:t xml:space="preserve"> approach (Bruner, 1960), </w:t>
      </w:r>
      <w:r w:rsidRPr="006D5062">
        <w:t xml:space="preserve">the </w:t>
      </w:r>
      <w:r>
        <w:t xml:space="preserve">dedicated </w:t>
      </w:r>
      <w:r w:rsidRPr="006D5062">
        <w:t>team design</w:t>
      </w:r>
      <w:r>
        <w:t>ed</w:t>
      </w:r>
      <w:r w:rsidRPr="006D5062">
        <w:t xml:space="preserve"> and implement</w:t>
      </w:r>
      <w:r>
        <w:t>ed</w:t>
      </w:r>
      <w:r w:rsidRPr="006D5062">
        <w:t xml:space="preserve"> a new promotion, recruitment and allocation process, informed by the work of Kruse &amp; Brubaker (2007) and other best practice. This pinpointed a series of ‘support points’ required by a student in the process of application / preparation and identified the importance of guidance from a teacher or more competent peer as students entered their ‘zones of proximal development’ (Vygotsky, 1978) to consider and manage living abroad. The new process introduced detailed briefing events of increasing specificity with enthusiastic and knowledgeable staff, alumni and incoming exchange students, ‘buddying’ events, personal consultation opportunities and careful destination-matching on a wide range of criteria. It started with pre-application Open Days and continued through Years 1 and 2, as students made applications, and into Year 3, when students were abroad. </w:t>
      </w:r>
    </w:p>
    <w:p w:rsidR="001245A5" w:rsidRDefault="001245A5" w:rsidP="00AB503F">
      <w:pPr>
        <w:pStyle w:val="ListParagraph"/>
      </w:pPr>
      <w:r w:rsidRPr="006D5062">
        <w:t xml:space="preserve">An important element was the introduction of ‘Pre-departure Briefing’ sessions, including cross-cultural exercises, dealing with culture shock and opportunities to meet incoming students as recommended by Kruse &amp; Brubaker (2007). These responded to a small but growing number of students who returned early, culture-shocked and homesick, causing serious problems personally and for the institutions. In the last three years we attained a “zero return” rate, maintaining ‘technology-enhanced scaffolding’ (Pea, 2004) beyond the student’s arrival abroad through the use of social media. </w:t>
      </w:r>
    </w:p>
    <w:p w:rsidR="004A583F" w:rsidRDefault="004A583F" w:rsidP="00AB503F">
      <w:pPr>
        <w:pStyle w:val="ListParagraph"/>
      </w:pPr>
    </w:p>
    <w:p w:rsidR="001245A5" w:rsidRPr="00061283" w:rsidRDefault="001245A5" w:rsidP="00AB503F">
      <w:pPr>
        <w:pStyle w:val="ListParagraph"/>
      </w:pPr>
      <w:r w:rsidRPr="00061283">
        <w:t>Initially faced with cynicism (at worst) and apathy (at best) from many academic</w:t>
      </w:r>
      <w:r>
        <w:t>s</w:t>
      </w:r>
      <w:r w:rsidRPr="00061283">
        <w:t>, a polic</w:t>
      </w:r>
      <w:r>
        <w:t>y of ‘working with the willing’ was adopted by the team in the UK.</w:t>
      </w:r>
      <w:r w:rsidRPr="00061283">
        <w:t xml:space="preserve"> Developing an area from scratch meant there were no formal roles defined so experiment</w:t>
      </w:r>
      <w:r>
        <w:t>ation and innovation were not only desirable but necessary. P</w:t>
      </w:r>
      <w:r w:rsidRPr="00061283">
        <w:t xml:space="preserve">eer-to-peer learning </w:t>
      </w:r>
      <w:r>
        <w:t xml:space="preserve">was </w:t>
      </w:r>
      <w:r w:rsidRPr="00061283">
        <w:t xml:space="preserve">increasingly effective and efficient: students and interested academic colleagues were organised into communities-of-practice from Year 1. Returning students in Year 4, working with incoming students and interested staff, volunteered to co-ordinate meetings, social events and to run social media groups which could then include alumni and students currently abroad. Developing peer-to-peer learning allows students and staff to provide up-to-date detail and colour to a briefing and support process. </w:t>
      </w:r>
      <w:r w:rsidR="004A583F">
        <w:t xml:space="preserve">(Pearce, Powell &amp; Burns, 2016). </w:t>
      </w:r>
      <w:r w:rsidRPr="00061283">
        <w:t>These democratic groups</w:t>
      </w:r>
      <w:r w:rsidR="00AC228F">
        <w:t xml:space="preserve"> – a campus</w:t>
      </w:r>
      <w:r w:rsidRPr="00061283">
        <w:t xml:space="preserve"> </w:t>
      </w:r>
      <w:r w:rsidR="00AC228F">
        <w:t xml:space="preserve">community - </w:t>
      </w:r>
      <w:r w:rsidRPr="00061283">
        <w:t>impacted the learning of students and staff alike.</w:t>
      </w:r>
      <w:r w:rsidR="00ED1A95" w:rsidRPr="00ED1A95">
        <w:t xml:space="preserve"> </w:t>
      </w:r>
      <w:r w:rsidR="00ED1A95">
        <w:t>The</w:t>
      </w:r>
      <w:r w:rsidR="00ED1A95" w:rsidRPr="006D5062">
        <w:t xml:space="preserve"> resulting confidence in implementing an ‘open-door’ policy for advice was so successful that </w:t>
      </w:r>
      <w:r w:rsidR="00ED1A95">
        <w:t xml:space="preserve">team </w:t>
      </w:r>
      <w:r w:rsidR="00ED1A95" w:rsidRPr="006D5062">
        <w:t xml:space="preserve">members </w:t>
      </w:r>
      <w:r w:rsidR="00ED1A95">
        <w:t xml:space="preserve">were </w:t>
      </w:r>
      <w:r w:rsidR="00ED1A95" w:rsidRPr="006D5062">
        <w:t>interchangeable as self-efficacy supporters, providing high accessibility for maximum impact on a growing number of students.</w:t>
      </w:r>
    </w:p>
    <w:p w:rsidR="004A583F" w:rsidRDefault="004A583F" w:rsidP="00AB503F">
      <w:pPr>
        <w:pStyle w:val="ListParagraph"/>
        <w:rPr>
          <w:i/>
          <w:iCs/>
        </w:rPr>
      </w:pPr>
    </w:p>
    <w:p w:rsidR="001245A5" w:rsidRPr="00C15B77" w:rsidRDefault="001245A5" w:rsidP="00AB503F">
      <w:pPr>
        <w:pStyle w:val="ListParagraph"/>
        <w:rPr>
          <w:i/>
          <w:iCs/>
        </w:rPr>
      </w:pPr>
      <w:r w:rsidRPr="00C15B77">
        <w:rPr>
          <w:i/>
          <w:iCs/>
        </w:rPr>
        <w:t xml:space="preserve">The most important thing for me was having a connection to people back home, such as lecturers, who were there to offer support and gave me the strength to get through the hard parts in Hong Kong. </w:t>
      </w:r>
    </w:p>
    <w:p w:rsidR="00AB503F" w:rsidRPr="00AB503F" w:rsidRDefault="00AB503F" w:rsidP="00AB503F">
      <w:pPr>
        <w:pStyle w:val="ListParagraph"/>
      </w:pPr>
    </w:p>
    <w:p w:rsidR="001245A5" w:rsidRPr="00061283" w:rsidRDefault="00790AB5" w:rsidP="00AB503F">
      <w:pPr>
        <w:pStyle w:val="ListParagraph"/>
      </w:pPr>
      <w:r w:rsidRPr="00C15B77">
        <w:rPr>
          <w:i/>
          <w:iCs/>
        </w:rPr>
        <w:t>Outward bound student (interview</w:t>
      </w:r>
      <w:r w:rsidR="004A583F">
        <w:rPr>
          <w:i/>
          <w:iCs/>
        </w:rPr>
        <w:t>ee - UK</w:t>
      </w:r>
      <w:r w:rsidRPr="00C15B77">
        <w:rPr>
          <w:i/>
          <w:iCs/>
        </w:rPr>
        <w:t>)</w:t>
      </w:r>
    </w:p>
    <w:p w:rsidR="001245A5" w:rsidRDefault="008005EA" w:rsidP="008005EA">
      <w:pPr>
        <w:pStyle w:val="Heading2"/>
        <w:numPr>
          <w:ilvl w:val="0"/>
          <w:numId w:val="0"/>
        </w:numPr>
        <w:ind w:left="1080" w:hanging="360"/>
      </w:pPr>
      <w:r>
        <w:t xml:space="preserve">3.3 </w:t>
      </w:r>
      <w:r w:rsidR="00AB503F">
        <w:t>Process Familiarity</w:t>
      </w:r>
    </w:p>
    <w:p w:rsidR="008005EA" w:rsidRDefault="008005EA" w:rsidP="00AB503F">
      <w:pPr>
        <w:pStyle w:val="ListParagraph"/>
      </w:pPr>
    </w:p>
    <w:p w:rsidR="001245A5" w:rsidRPr="00C15B77" w:rsidRDefault="001245A5" w:rsidP="00AB503F">
      <w:pPr>
        <w:pStyle w:val="ListParagraph"/>
        <w:rPr>
          <w:rFonts w:cs="Times New Roman"/>
          <w:color w:val="000000" w:themeColor="text1"/>
          <w:szCs w:val="24"/>
        </w:rPr>
      </w:pPr>
      <w:r>
        <w:t xml:space="preserve">The Ukrainian case </w:t>
      </w:r>
      <w:r w:rsidRPr="006718FE">
        <w:t>identified the lack of the transparency of the entire mobility process an</w:t>
      </w:r>
      <w:r>
        <w:t xml:space="preserve">d its particulars.  Despite </w:t>
      </w:r>
      <w:r w:rsidRPr="006718FE">
        <w:t xml:space="preserve">numerous attempts </w:t>
      </w:r>
      <w:r>
        <w:t xml:space="preserve">by </w:t>
      </w:r>
      <w:r w:rsidRPr="006718FE">
        <w:t>the student to obtain</w:t>
      </w:r>
      <w:r>
        <w:t xml:space="preserve"> information about application and</w:t>
      </w:r>
      <w:r w:rsidRPr="006718FE">
        <w:t xml:space="preserve"> submission of the supporting documents, it was not</w:t>
      </w:r>
      <w:r>
        <w:t xml:space="preserve"> provided by </w:t>
      </w:r>
      <w:r w:rsidRPr="006718FE">
        <w:t>the co</w:t>
      </w:r>
      <w:r>
        <w:t>-</w:t>
      </w:r>
      <w:r w:rsidRPr="006718FE">
        <w:t>ordi</w:t>
      </w:r>
      <w:r>
        <w:t>nating institution</w:t>
      </w:r>
      <w:r w:rsidRPr="006718FE">
        <w:t xml:space="preserve">. </w:t>
      </w:r>
      <w:r>
        <w:t xml:space="preserve"> T</w:t>
      </w:r>
      <w:r w:rsidRPr="00C15B77">
        <w:rPr>
          <w:rFonts w:cs="Times New Roman"/>
          <w:color w:val="000000" w:themeColor="text1"/>
          <w:szCs w:val="24"/>
        </w:rPr>
        <w:t>he information that was available at the time of considering the mobility option was scarce: less than that needed to participate in the progr</w:t>
      </w:r>
      <w:r w:rsidR="00AC66D7">
        <w:rPr>
          <w:rFonts w:cs="Times New Roman"/>
          <w:color w:val="000000" w:themeColor="text1"/>
          <w:szCs w:val="24"/>
        </w:rPr>
        <w:t xml:space="preserve">amme.  Furthermore, without clear guidance about </w:t>
      </w:r>
      <w:r w:rsidRPr="00C15B77">
        <w:rPr>
          <w:rFonts w:cs="Times New Roman"/>
          <w:color w:val="000000" w:themeColor="text1"/>
          <w:szCs w:val="24"/>
        </w:rPr>
        <w:t>the timescales of the various milestones of the pro</w:t>
      </w:r>
      <w:r w:rsidR="00AC66D7">
        <w:rPr>
          <w:rFonts w:cs="Times New Roman"/>
          <w:color w:val="000000" w:themeColor="text1"/>
          <w:szCs w:val="24"/>
        </w:rPr>
        <w:t xml:space="preserve">gramme, </w:t>
      </w:r>
      <w:r w:rsidRPr="00C15B77">
        <w:rPr>
          <w:rFonts w:cs="Times New Roman"/>
          <w:color w:val="000000" w:themeColor="text1"/>
          <w:szCs w:val="24"/>
        </w:rPr>
        <w:t>actions were often taken in a rush, th</w:t>
      </w:r>
      <w:r w:rsidR="00AC66D7">
        <w:rPr>
          <w:rFonts w:cs="Times New Roman"/>
          <w:color w:val="000000" w:themeColor="text1"/>
          <w:szCs w:val="24"/>
        </w:rPr>
        <w:t xml:space="preserve">us leaving limited time for </w:t>
      </w:r>
      <w:r w:rsidRPr="00C15B77">
        <w:rPr>
          <w:rFonts w:cs="Times New Roman"/>
          <w:color w:val="000000" w:themeColor="text1"/>
          <w:szCs w:val="24"/>
        </w:rPr>
        <w:t xml:space="preserve">evaluation to be made by the student, his parents and the staff at home university.   </w:t>
      </w:r>
    </w:p>
    <w:p w:rsidR="00AC66D7" w:rsidRDefault="00AC66D7" w:rsidP="00AB503F">
      <w:pPr>
        <w:pStyle w:val="ListParagraph"/>
        <w:ind w:right="567"/>
        <w:jc w:val="both"/>
        <w:rPr>
          <w:rFonts w:cs="Times New Roman"/>
          <w:i/>
          <w:color w:val="000000" w:themeColor="text1"/>
          <w:szCs w:val="24"/>
        </w:rPr>
      </w:pPr>
    </w:p>
    <w:p w:rsidR="001245A5" w:rsidRPr="00C15B77" w:rsidRDefault="001245A5" w:rsidP="00AB503F">
      <w:pPr>
        <w:pStyle w:val="ListParagraph"/>
        <w:ind w:right="567"/>
        <w:jc w:val="both"/>
        <w:rPr>
          <w:rFonts w:cs="Times New Roman"/>
          <w:i/>
          <w:color w:val="000000" w:themeColor="text1"/>
          <w:szCs w:val="24"/>
        </w:rPr>
      </w:pPr>
      <w:r w:rsidRPr="00C15B77">
        <w:rPr>
          <w:rFonts w:cs="Times New Roman"/>
          <w:i/>
          <w:color w:val="000000" w:themeColor="text1"/>
          <w:szCs w:val="24"/>
        </w:rPr>
        <w:t>‘I would say that a potential Erasmus student would withdraw from the programme at this stage.  In my case it was different, because I really wanted to participate in this student mobility programme and I was enthusiastic.  Even when the process was not explained in details, I said to myself, that it is worth of trying to get things sorted. But if you ask other students at my university, they certainly would not be so much committed and very likely that they give up at this stage.’</w:t>
      </w:r>
    </w:p>
    <w:p w:rsidR="00AC66D7" w:rsidRDefault="00AC66D7" w:rsidP="00AB503F">
      <w:pPr>
        <w:pStyle w:val="ListParagraph"/>
        <w:ind w:right="567"/>
        <w:jc w:val="both"/>
        <w:rPr>
          <w:rFonts w:cs="Times New Roman"/>
          <w:i/>
          <w:color w:val="000000" w:themeColor="text1"/>
          <w:szCs w:val="24"/>
        </w:rPr>
      </w:pPr>
    </w:p>
    <w:p w:rsidR="001245A5" w:rsidRDefault="00AC66D7" w:rsidP="00AB503F">
      <w:pPr>
        <w:pStyle w:val="ListParagraph"/>
        <w:ind w:right="567"/>
        <w:jc w:val="both"/>
        <w:rPr>
          <w:rFonts w:cs="Times New Roman"/>
          <w:i/>
          <w:color w:val="000000" w:themeColor="text1"/>
          <w:szCs w:val="24"/>
        </w:rPr>
      </w:pPr>
      <w:r>
        <w:rPr>
          <w:rFonts w:cs="Times New Roman"/>
          <w:i/>
          <w:color w:val="000000" w:themeColor="text1"/>
          <w:szCs w:val="24"/>
        </w:rPr>
        <w:t xml:space="preserve">Inbound </w:t>
      </w:r>
      <w:r w:rsidR="001245A5" w:rsidRPr="00C15B77">
        <w:rPr>
          <w:rFonts w:cs="Times New Roman"/>
          <w:i/>
          <w:color w:val="000000" w:themeColor="text1"/>
          <w:szCs w:val="24"/>
        </w:rPr>
        <w:t>Student (interviewee</w:t>
      </w:r>
      <w:r>
        <w:rPr>
          <w:rFonts w:cs="Times New Roman"/>
          <w:i/>
          <w:color w:val="000000" w:themeColor="text1"/>
          <w:szCs w:val="24"/>
        </w:rPr>
        <w:t xml:space="preserve"> - Ukraine</w:t>
      </w:r>
      <w:r w:rsidR="001245A5" w:rsidRPr="00C15B77">
        <w:rPr>
          <w:rFonts w:cs="Times New Roman"/>
          <w:i/>
          <w:color w:val="000000" w:themeColor="text1"/>
          <w:szCs w:val="24"/>
        </w:rPr>
        <w:t>)</w:t>
      </w:r>
    </w:p>
    <w:p w:rsidR="00ED1A95" w:rsidRDefault="00ED1A95" w:rsidP="00AB503F">
      <w:pPr>
        <w:pStyle w:val="ListParagraph"/>
        <w:ind w:right="567"/>
        <w:jc w:val="both"/>
        <w:rPr>
          <w:rFonts w:cs="Times New Roman"/>
          <w:i/>
          <w:color w:val="000000" w:themeColor="text1"/>
          <w:szCs w:val="24"/>
        </w:rPr>
      </w:pPr>
    </w:p>
    <w:p w:rsidR="00ED1A95" w:rsidRPr="00C15B77" w:rsidRDefault="00ED1A95" w:rsidP="00AB503F">
      <w:pPr>
        <w:pStyle w:val="ListParagraph"/>
        <w:ind w:right="567"/>
        <w:jc w:val="both"/>
        <w:rPr>
          <w:rFonts w:cs="Times New Roman"/>
          <w:i/>
          <w:color w:val="000000" w:themeColor="text1"/>
          <w:szCs w:val="24"/>
        </w:rPr>
      </w:pPr>
      <w:r>
        <w:t xml:space="preserve">In the UK, applying the ‘scaffolding’ concept to </w:t>
      </w:r>
      <w:r w:rsidRPr="006D5062">
        <w:t xml:space="preserve">administrative </w:t>
      </w:r>
      <w:r>
        <w:t xml:space="preserve">staff </w:t>
      </w:r>
      <w:r w:rsidRPr="006D5062">
        <w:t xml:space="preserve">colleagues, operational expertise </w:t>
      </w:r>
      <w:r>
        <w:t xml:space="preserve">was developed </w:t>
      </w:r>
      <w:r w:rsidRPr="006D5062">
        <w:t xml:space="preserve">in a </w:t>
      </w:r>
      <w:r>
        <w:t xml:space="preserve">focussed </w:t>
      </w:r>
      <w:r w:rsidRPr="006D5062">
        <w:t>team</w:t>
      </w:r>
      <w:r w:rsidR="00CF62BF">
        <w:t xml:space="preserve"> and extended to students, creating a campus community with process experience (Pearce, Powell &amp; Burns, 2016).</w:t>
      </w:r>
      <w:r w:rsidRPr="006D5062">
        <w:t xml:space="preserve"> </w:t>
      </w:r>
      <w:r>
        <w:t xml:space="preserve">They were involved </w:t>
      </w:r>
      <w:r w:rsidRPr="006D5062">
        <w:t>in the management of the area</w:t>
      </w:r>
      <w:r>
        <w:t xml:space="preserve"> as </w:t>
      </w:r>
      <w:r w:rsidRPr="006D5062">
        <w:t>the challenge of scaling up from ten to three hundred students</w:t>
      </w:r>
      <w:r>
        <w:t xml:space="preserve"> was met</w:t>
      </w:r>
      <w:r w:rsidRPr="006D5062">
        <w:t>.</w:t>
      </w:r>
      <w:r w:rsidR="00CF62BF">
        <w:t xml:space="preserve"> </w:t>
      </w:r>
    </w:p>
    <w:p w:rsidR="001245A5" w:rsidRDefault="001245A5" w:rsidP="009F22B1"/>
    <w:p w:rsidR="00532BFF" w:rsidRPr="00CF62BF" w:rsidRDefault="00295594" w:rsidP="00CF62BF">
      <w:pPr>
        <w:pStyle w:val="Heading2"/>
        <w:numPr>
          <w:ilvl w:val="1"/>
          <w:numId w:val="19"/>
        </w:numPr>
      </w:pPr>
      <w:r w:rsidRPr="00CF62BF">
        <w:t xml:space="preserve">Differences in </w:t>
      </w:r>
      <w:r w:rsidR="004762F3" w:rsidRPr="00CF62BF">
        <w:t>Education</w:t>
      </w:r>
      <w:r w:rsidRPr="00CF62BF">
        <w:t>al</w:t>
      </w:r>
      <w:r w:rsidR="004762F3" w:rsidRPr="00CF62BF">
        <w:t xml:space="preserve"> Culture</w:t>
      </w:r>
    </w:p>
    <w:p w:rsidR="00B50E9D" w:rsidRDefault="00B50E9D" w:rsidP="00AB503F">
      <w:pPr>
        <w:pStyle w:val="ListParagraph"/>
        <w:ind w:right="567"/>
        <w:jc w:val="both"/>
        <w:rPr>
          <w:rFonts w:cs="Times New Roman"/>
          <w:color w:val="000000" w:themeColor="text1"/>
          <w:szCs w:val="24"/>
        </w:rPr>
      </w:pPr>
    </w:p>
    <w:p w:rsidR="003A3CA7" w:rsidRDefault="00532BFF" w:rsidP="003E4175">
      <w:pPr>
        <w:pStyle w:val="ListParagraph"/>
        <w:ind w:right="567"/>
        <w:rPr>
          <w:rFonts w:cs="Times New Roman"/>
          <w:color w:val="000000" w:themeColor="text1"/>
          <w:szCs w:val="24"/>
        </w:rPr>
      </w:pPr>
      <w:r w:rsidRPr="00C15B77">
        <w:rPr>
          <w:rFonts w:cs="Times New Roman"/>
          <w:color w:val="000000" w:themeColor="text1"/>
          <w:szCs w:val="24"/>
        </w:rPr>
        <w:t xml:space="preserve">The </w:t>
      </w:r>
      <w:r w:rsidR="008C78C8" w:rsidRPr="00C15B77">
        <w:rPr>
          <w:rFonts w:cs="Times New Roman"/>
          <w:color w:val="000000" w:themeColor="text1"/>
          <w:szCs w:val="24"/>
        </w:rPr>
        <w:t xml:space="preserve">third </w:t>
      </w:r>
      <w:r w:rsidR="004762F3" w:rsidRPr="00C15B77">
        <w:rPr>
          <w:rFonts w:cs="Times New Roman"/>
          <w:color w:val="000000" w:themeColor="text1"/>
          <w:szCs w:val="24"/>
        </w:rPr>
        <w:t>theme, centred on</w:t>
      </w:r>
      <w:r w:rsidRPr="00C15B77">
        <w:rPr>
          <w:rFonts w:cs="Times New Roman"/>
          <w:color w:val="000000" w:themeColor="text1"/>
          <w:szCs w:val="24"/>
        </w:rPr>
        <w:t xml:space="preserve"> the learning process and </w:t>
      </w:r>
      <w:r w:rsidR="00CF62BF">
        <w:rPr>
          <w:rFonts w:cs="Times New Roman"/>
          <w:color w:val="000000" w:themeColor="text1"/>
          <w:szCs w:val="24"/>
        </w:rPr>
        <w:t xml:space="preserve">institutional </w:t>
      </w:r>
      <w:r w:rsidRPr="00C15B77">
        <w:rPr>
          <w:rFonts w:cs="Times New Roman"/>
          <w:color w:val="000000" w:themeColor="text1"/>
          <w:szCs w:val="24"/>
        </w:rPr>
        <w:t>facilities, was developed by</w:t>
      </w:r>
      <w:r w:rsidR="004762F3" w:rsidRPr="00C15B77">
        <w:rPr>
          <w:rFonts w:cs="Times New Roman"/>
          <w:color w:val="000000" w:themeColor="text1"/>
          <w:szCs w:val="24"/>
        </w:rPr>
        <w:t xml:space="preserve"> com</w:t>
      </w:r>
      <w:r w:rsidR="00A851E6" w:rsidRPr="00C15B77">
        <w:rPr>
          <w:rFonts w:cs="Times New Roman"/>
          <w:color w:val="000000" w:themeColor="text1"/>
          <w:szCs w:val="24"/>
        </w:rPr>
        <w:t xml:space="preserve">bining learnings from the Ukrainian and British </w:t>
      </w:r>
      <w:r w:rsidR="004762F3" w:rsidRPr="00C15B77">
        <w:rPr>
          <w:rFonts w:cs="Times New Roman"/>
          <w:color w:val="000000" w:themeColor="text1"/>
          <w:szCs w:val="24"/>
        </w:rPr>
        <w:t>cases.</w:t>
      </w:r>
      <w:r w:rsidRPr="00C15B77">
        <w:rPr>
          <w:rFonts w:cs="Times New Roman"/>
          <w:color w:val="000000" w:themeColor="text1"/>
          <w:szCs w:val="24"/>
        </w:rPr>
        <w:t xml:space="preserve"> The adaptation to the host country and </w:t>
      </w:r>
      <w:r w:rsidR="00CF62BF">
        <w:rPr>
          <w:rFonts w:cs="Times New Roman"/>
          <w:color w:val="000000" w:themeColor="text1"/>
          <w:szCs w:val="24"/>
        </w:rPr>
        <w:t xml:space="preserve">institution environment is of great importance for </w:t>
      </w:r>
      <w:r w:rsidRPr="00C15B77">
        <w:rPr>
          <w:rFonts w:cs="Times New Roman"/>
          <w:color w:val="000000" w:themeColor="text1"/>
          <w:szCs w:val="24"/>
        </w:rPr>
        <w:t xml:space="preserve">Erasmus students. </w:t>
      </w:r>
      <w:r w:rsidR="00EB5456" w:rsidRPr="00C15B77">
        <w:rPr>
          <w:rFonts w:cs="Times New Roman"/>
          <w:color w:val="000000" w:themeColor="text1"/>
          <w:szCs w:val="24"/>
        </w:rPr>
        <w:t xml:space="preserve">Various challenging differences are evident </w:t>
      </w:r>
      <w:r w:rsidR="00CF62BF">
        <w:rPr>
          <w:rFonts w:cs="Times New Roman"/>
          <w:color w:val="000000" w:themeColor="text1"/>
          <w:szCs w:val="24"/>
        </w:rPr>
        <w:t xml:space="preserve">through the </w:t>
      </w:r>
      <w:r w:rsidR="00EB5456" w:rsidRPr="00C15B77">
        <w:rPr>
          <w:rFonts w:cs="Times New Roman"/>
          <w:color w:val="000000" w:themeColor="text1"/>
          <w:szCs w:val="24"/>
        </w:rPr>
        <w:t xml:space="preserve">analysis of the cases, </w:t>
      </w:r>
      <w:r w:rsidRPr="00C15B77">
        <w:rPr>
          <w:rFonts w:cs="Times New Roman"/>
          <w:color w:val="000000" w:themeColor="text1"/>
          <w:szCs w:val="24"/>
        </w:rPr>
        <w:t>including</w:t>
      </w:r>
      <w:r w:rsidR="00CF62BF">
        <w:rPr>
          <w:rFonts w:cs="Times New Roman"/>
          <w:color w:val="000000" w:themeColor="text1"/>
          <w:szCs w:val="24"/>
        </w:rPr>
        <w:t xml:space="preserve"> </w:t>
      </w:r>
      <w:r w:rsidRPr="00C15B77">
        <w:rPr>
          <w:rFonts w:cs="Times New Roman"/>
          <w:color w:val="000000" w:themeColor="text1"/>
          <w:szCs w:val="24"/>
        </w:rPr>
        <w:t>compulsory attendance</w:t>
      </w:r>
      <w:r w:rsidR="00CF62BF">
        <w:rPr>
          <w:rFonts w:cs="Times New Roman"/>
          <w:color w:val="000000" w:themeColor="text1"/>
          <w:szCs w:val="24"/>
        </w:rPr>
        <w:t xml:space="preserve"> in Ukraine</w:t>
      </w:r>
      <w:r w:rsidRPr="00C15B77">
        <w:rPr>
          <w:rFonts w:cs="Times New Roman"/>
          <w:color w:val="000000" w:themeColor="text1"/>
          <w:szCs w:val="24"/>
        </w:rPr>
        <w:t xml:space="preserve"> with extensive </w:t>
      </w:r>
      <w:r w:rsidR="005F6DB1" w:rsidRPr="00C15B77">
        <w:rPr>
          <w:rFonts w:cs="Times New Roman"/>
          <w:color w:val="000000" w:themeColor="text1"/>
          <w:szCs w:val="24"/>
        </w:rPr>
        <w:t>attendance monitoring</w:t>
      </w:r>
      <w:r w:rsidR="00CF62BF">
        <w:rPr>
          <w:rFonts w:cs="Times New Roman"/>
          <w:color w:val="000000" w:themeColor="text1"/>
          <w:szCs w:val="24"/>
        </w:rPr>
        <w:t xml:space="preserve"> and </w:t>
      </w:r>
      <w:r w:rsidR="005F6DB1" w:rsidRPr="00C15B77">
        <w:rPr>
          <w:rFonts w:cs="Times New Roman"/>
          <w:color w:val="000000" w:themeColor="text1"/>
          <w:szCs w:val="24"/>
        </w:rPr>
        <w:t>an</w:t>
      </w:r>
      <w:r w:rsidRPr="00C15B77">
        <w:rPr>
          <w:rFonts w:cs="Times New Roman"/>
          <w:color w:val="000000" w:themeColor="text1"/>
          <w:szCs w:val="24"/>
        </w:rPr>
        <w:t xml:space="preserve"> inabi</w:t>
      </w:r>
      <w:r w:rsidR="00CF62BF">
        <w:rPr>
          <w:rFonts w:cs="Times New Roman"/>
          <w:color w:val="000000" w:themeColor="text1"/>
          <w:szCs w:val="24"/>
        </w:rPr>
        <w:t>lity to obtain feedback from</w:t>
      </w:r>
      <w:r w:rsidRPr="00C15B77">
        <w:rPr>
          <w:rFonts w:cs="Times New Roman"/>
          <w:color w:val="000000" w:themeColor="text1"/>
          <w:szCs w:val="24"/>
        </w:rPr>
        <w:t xml:space="preserve"> tutors </w:t>
      </w:r>
      <w:r w:rsidR="005F6DB1" w:rsidRPr="00C15B77">
        <w:rPr>
          <w:rFonts w:cs="Times New Roman"/>
          <w:color w:val="000000" w:themeColor="text1"/>
          <w:szCs w:val="24"/>
        </w:rPr>
        <w:t xml:space="preserve">about assessed work. </w:t>
      </w:r>
      <w:r w:rsidR="003A3CA7" w:rsidRPr="00C15B77">
        <w:rPr>
          <w:rFonts w:cs="Times New Roman"/>
          <w:color w:val="000000" w:themeColor="text1"/>
          <w:szCs w:val="24"/>
        </w:rPr>
        <w:t>The opening hours of the library and other buildings,</w:t>
      </w:r>
      <w:r w:rsidR="00CF62BF">
        <w:rPr>
          <w:rFonts w:cs="Times New Roman"/>
          <w:color w:val="000000" w:themeColor="text1"/>
          <w:szCs w:val="24"/>
        </w:rPr>
        <w:t xml:space="preserve"> as well as little availability for individual studying and team working</w:t>
      </w:r>
      <w:r w:rsidR="00B50E9D">
        <w:rPr>
          <w:rFonts w:cs="Times New Roman"/>
          <w:color w:val="000000" w:themeColor="text1"/>
          <w:szCs w:val="24"/>
        </w:rPr>
        <w:t>,</w:t>
      </w:r>
      <w:r w:rsidR="00CF62BF">
        <w:rPr>
          <w:rFonts w:cs="Times New Roman"/>
          <w:color w:val="000000" w:themeColor="text1"/>
          <w:szCs w:val="24"/>
        </w:rPr>
        <w:t xml:space="preserve"> are </w:t>
      </w:r>
      <w:r w:rsidR="003A3CA7" w:rsidRPr="00C15B77">
        <w:rPr>
          <w:rFonts w:cs="Times New Roman"/>
          <w:color w:val="000000" w:themeColor="text1"/>
          <w:szCs w:val="24"/>
        </w:rPr>
        <w:t>limited in Ukraine. A very small number of the wireless internet ‘hot-spots’ and lack of IT support in the University necessitated adjustment from incoming students.</w:t>
      </w:r>
    </w:p>
    <w:p w:rsidR="00420E60" w:rsidRDefault="00420E60" w:rsidP="00CF62BF">
      <w:pPr>
        <w:pStyle w:val="ListParagraph"/>
        <w:ind w:left="1440" w:right="567"/>
        <w:jc w:val="both"/>
        <w:rPr>
          <w:rFonts w:cs="Times New Roman"/>
          <w:color w:val="000000" w:themeColor="text1"/>
          <w:szCs w:val="24"/>
        </w:rPr>
      </w:pPr>
    </w:p>
    <w:p w:rsidR="00B50E9D" w:rsidRDefault="003A3CA7" w:rsidP="00CF62BF">
      <w:pPr>
        <w:pStyle w:val="ListParagraph"/>
        <w:ind w:left="1440" w:right="567"/>
        <w:jc w:val="both"/>
        <w:rPr>
          <w:rFonts w:cs="Times New Roman"/>
          <w:i/>
          <w:color w:val="000000" w:themeColor="text1"/>
          <w:szCs w:val="24"/>
        </w:rPr>
      </w:pPr>
      <w:r w:rsidRPr="00C15B77">
        <w:rPr>
          <w:rFonts w:cs="Times New Roman"/>
          <w:i/>
          <w:color w:val="000000" w:themeColor="text1"/>
          <w:szCs w:val="24"/>
        </w:rPr>
        <w:t>‘I hav</w:t>
      </w:r>
      <w:r w:rsidR="00B50E9D">
        <w:rPr>
          <w:rFonts w:cs="Times New Roman"/>
          <w:i/>
          <w:color w:val="000000" w:themeColor="text1"/>
          <w:szCs w:val="24"/>
        </w:rPr>
        <w:t>e experienced the lack of space</w:t>
      </w:r>
      <w:r w:rsidRPr="00C15B77">
        <w:rPr>
          <w:rFonts w:cs="Times New Roman"/>
          <w:i/>
          <w:color w:val="000000" w:themeColor="text1"/>
          <w:szCs w:val="24"/>
        </w:rPr>
        <w:t xml:space="preserve"> where I can study or sit.  The places are very limited. If you are not at the class, but still would like to study, you don’t have any opportunity because there is no space at all. What if a student needs to work on the assignment after the classes? </w:t>
      </w:r>
      <w:r w:rsidR="00E748D5">
        <w:rPr>
          <w:rFonts w:cs="Times New Roman"/>
          <w:i/>
          <w:color w:val="000000" w:themeColor="text1"/>
          <w:szCs w:val="24"/>
        </w:rPr>
        <w:t>The library is open only till 5</w:t>
      </w:r>
      <w:r w:rsidRPr="00C15B77">
        <w:rPr>
          <w:rFonts w:cs="Times New Roman"/>
          <w:i/>
          <w:color w:val="000000" w:themeColor="text1"/>
          <w:szCs w:val="24"/>
        </w:rPr>
        <w:t>. How can you visit it if you’ve got classes in the afternoon?</w:t>
      </w:r>
    </w:p>
    <w:p w:rsidR="003A3CA7" w:rsidRPr="00C15B77" w:rsidRDefault="003A3CA7" w:rsidP="00CF62BF">
      <w:pPr>
        <w:pStyle w:val="ListParagraph"/>
        <w:ind w:left="1440" w:right="567"/>
        <w:jc w:val="both"/>
        <w:rPr>
          <w:rFonts w:cs="Times New Roman"/>
          <w:i/>
          <w:color w:val="000000" w:themeColor="text1"/>
          <w:szCs w:val="24"/>
        </w:rPr>
      </w:pPr>
      <w:r w:rsidRPr="00C15B77">
        <w:rPr>
          <w:rFonts w:cs="Times New Roman"/>
          <w:i/>
          <w:color w:val="000000" w:themeColor="text1"/>
          <w:szCs w:val="24"/>
        </w:rPr>
        <w:t xml:space="preserve">  </w:t>
      </w:r>
    </w:p>
    <w:p w:rsidR="003A3CA7" w:rsidRDefault="003A3CA7" w:rsidP="00B50E9D">
      <w:pPr>
        <w:pStyle w:val="ListParagraph"/>
        <w:ind w:left="1440" w:right="567"/>
        <w:jc w:val="both"/>
        <w:rPr>
          <w:rFonts w:cs="Times New Roman"/>
          <w:i/>
          <w:color w:val="000000" w:themeColor="text1"/>
          <w:szCs w:val="24"/>
        </w:rPr>
      </w:pPr>
      <w:r w:rsidRPr="00C15B77">
        <w:rPr>
          <w:rFonts w:cs="Times New Roman"/>
          <w:i/>
          <w:color w:val="000000" w:themeColor="text1"/>
          <w:szCs w:val="24"/>
        </w:rPr>
        <w:t>In</w:t>
      </w:r>
      <w:r w:rsidR="00B50E9D">
        <w:rPr>
          <w:rFonts w:cs="Times New Roman"/>
          <w:i/>
          <w:color w:val="000000" w:themeColor="text1"/>
          <w:szCs w:val="24"/>
        </w:rPr>
        <w:t>bound</w:t>
      </w:r>
      <w:r w:rsidRPr="00C15B77">
        <w:rPr>
          <w:rFonts w:cs="Times New Roman"/>
          <w:i/>
          <w:color w:val="000000" w:themeColor="text1"/>
          <w:szCs w:val="24"/>
        </w:rPr>
        <w:t xml:space="preserve"> Student</w:t>
      </w:r>
      <w:r w:rsidR="00B50E9D">
        <w:rPr>
          <w:rFonts w:cs="Times New Roman"/>
          <w:i/>
          <w:color w:val="000000" w:themeColor="text1"/>
          <w:szCs w:val="24"/>
        </w:rPr>
        <w:t xml:space="preserve"> (interviewee -</w:t>
      </w:r>
      <w:r w:rsidRPr="00C15B77">
        <w:rPr>
          <w:rFonts w:cs="Times New Roman"/>
          <w:i/>
          <w:color w:val="000000" w:themeColor="text1"/>
          <w:szCs w:val="24"/>
        </w:rPr>
        <w:t xml:space="preserve"> Ukraine</w:t>
      </w:r>
      <w:r w:rsidR="00B50E9D">
        <w:rPr>
          <w:rFonts w:cs="Times New Roman"/>
          <w:i/>
          <w:color w:val="000000" w:themeColor="text1"/>
          <w:szCs w:val="24"/>
        </w:rPr>
        <w:t>)</w:t>
      </w:r>
      <w:r w:rsidRPr="00C15B77">
        <w:rPr>
          <w:rFonts w:cs="Times New Roman"/>
          <w:i/>
          <w:color w:val="000000" w:themeColor="text1"/>
          <w:szCs w:val="24"/>
        </w:rPr>
        <w:t xml:space="preserve"> </w:t>
      </w:r>
    </w:p>
    <w:p w:rsidR="00B50E9D" w:rsidRPr="00C15B77" w:rsidRDefault="00B50E9D" w:rsidP="00B50E9D">
      <w:pPr>
        <w:pStyle w:val="ListParagraph"/>
        <w:ind w:left="1440" w:right="567"/>
        <w:jc w:val="both"/>
        <w:rPr>
          <w:rFonts w:cs="Times New Roman"/>
          <w:i/>
          <w:color w:val="000000" w:themeColor="text1"/>
          <w:szCs w:val="24"/>
        </w:rPr>
      </w:pPr>
    </w:p>
    <w:p w:rsidR="00C341ED" w:rsidRDefault="005F6DB1" w:rsidP="00AB503F">
      <w:pPr>
        <w:pStyle w:val="ListParagraph"/>
        <w:jc w:val="both"/>
        <w:rPr>
          <w:rFonts w:cs="Times New Roman"/>
          <w:color w:val="000000" w:themeColor="text1"/>
          <w:szCs w:val="24"/>
        </w:rPr>
      </w:pPr>
      <w:r w:rsidRPr="00C15B77">
        <w:rPr>
          <w:rFonts w:cs="Times New Roman"/>
          <w:color w:val="000000" w:themeColor="text1"/>
          <w:szCs w:val="24"/>
        </w:rPr>
        <w:t xml:space="preserve">This illustrates </w:t>
      </w:r>
      <w:r w:rsidR="00532BFF" w:rsidRPr="00C15B77">
        <w:rPr>
          <w:rFonts w:cs="Times New Roman"/>
          <w:color w:val="000000" w:themeColor="text1"/>
          <w:szCs w:val="24"/>
        </w:rPr>
        <w:t xml:space="preserve">a considerably broader challenge </w:t>
      </w:r>
      <w:r w:rsidRPr="00C15B77">
        <w:rPr>
          <w:rFonts w:cs="Times New Roman"/>
          <w:color w:val="000000" w:themeColor="text1"/>
          <w:szCs w:val="24"/>
        </w:rPr>
        <w:t xml:space="preserve">faced by the integration of </w:t>
      </w:r>
      <w:r w:rsidR="00532BFF" w:rsidRPr="00C15B77">
        <w:rPr>
          <w:rFonts w:cs="Times New Roman"/>
          <w:color w:val="000000" w:themeColor="text1"/>
          <w:szCs w:val="24"/>
        </w:rPr>
        <w:t>higher education</w:t>
      </w:r>
      <w:r w:rsidRPr="00C15B77">
        <w:rPr>
          <w:rFonts w:cs="Times New Roman"/>
          <w:color w:val="000000" w:themeColor="text1"/>
          <w:szCs w:val="24"/>
        </w:rPr>
        <w:t xml:space="preserve"> systems</w:t>
      </w:r>
      <w:r w:rsidR="00532BFF" w:rsidRPr="00C15B77">
        <w:rPr>
          <w:rFonts w:cs="Times New Roman"/>
          <w:color w:val="000000" w:themeColor="text1"/>
          <w:szCs w:val="24"/>
        </w:rPr>
        <w:t xml:space="preserve">.  </w:t>
      </w:r>
      <w:r w:rsidR="00C341ED">
        <w:rPr>
          <w:rFonts w:cs="Times New Roman"/>
          <w:color w:val="000000" w:themeColor="text1"/>
          <w:szCs w:val="24"/>
        </w:rPr>
        <w:t>Staff and student r</w:t>
      </w:r>
      <w:r w:rsidR="003A3CA7" w:rsidRPr="00C15B77">
        <w:rPr>
          <w:rFonts w:cs="Times New Roman"/>
          <w:color w:val="000000" w:themeColor="text1"/>
          <w:szCs w:val="24"/>
        </w:rPr>
        <w:t xml:space="preserve">espondents questioned </w:t>
      </w:r>
      <w:r w:rsidR="00532BFF" w:rsidRPr="00C15B77">
        <w:rPr>
          <w:rFonts w:cs="Times New Roman"/>
          <w:color w:val="000000" w:themeColor="text1"/>
          <w:szCs w:val="24"/>
        </w:rPr>
        <w:t>t</w:t>
      </w:r>
      <w:r w:rsidR="00C341ED">
        <w:rPr>
          <w:rFonts w:cs="Times New Roman"/>
          <w:color w:val="000000" w:themeColor="text1"/>
          <w:szCs w:val="24"/>
        </w:rPr>
        <w:t xml:space="preserve">he ability and readiness of </w:t>
      </w:r>
      <w:r w:rsidR="00532BFF" w:rsidRPr="00C15B77">
        <w:rPr>
          <w:rFonts w:cs="Times New Roman"/>
          <w:color w:val="000000" w:themeColor="text1"/>
          <w:szCs w:val="24"/>
        </w:rPr>
        <w:t>Ukrainian universities to integrate into the European ‘system of knowledge creation’ as a re</w:t>
      </w:r>
      <w:r w:rsidR="003A3CA7" w:rsidRPr="00C15B77">
        <w:rPr>
          <w:rFonts w:cs="Times New Roman"/>
          <w:color w:val="000000" w:themeColor="text1"/>
          <w:szCs w:val="24"/>
        </w:rPr>
        <w:t>sult of the Bologna initiatives but this issue is more complex and multidimensional</w:t>
      </w:r>
      <w:r w:rsidR="00C341ED">
        <w:rPr>
          <w:rFonts w:cs="Times New Roman"/>
          <w:color w:val="000000" w:themeColor="text1"/>
          <w:szCs w:val="24"/>
        </w:rPr>
        <w:t>.</w:t>
      </w:r>
    </w:p>
    <w:p w:rsidR="00532BFF" w:rsidRPr="00C15B77" w:rsidRDefault="00532BFF" w:rsidP="00AB503F">
      <w:pPr>
        <w:pStyle w:val="ListParagraph"/>
        <w:jc w:val="both"/>
        <w:rPr>
          <w:rFonts w:cs="Times New Roman"/>
          <w:color w:val="000000" w:themeColor="text1"/>
          <w:szCs w:val="24"/>
        </w:rPr>
      </w:pPr>
      <w:r w:rsidRPr="00C15B77">
        <w:rPr>
          <w:rFonts w:cs="Times New Roman"/>
          <w:color w:val="000000" w:themeColor="text1"/>
          <w:szCs w:val="24"/>
        </w:rPr>
        <w:t xml:space="preserve">     </w:t>
      </w:r>
    </w:p>
    <w:p w:rsidR="004762F3" w:rsidRPr="00C15B77" w:rsidRDefault="00CC735A" w:rsidP="00CC735A">
      <w:pPr>
        <w:pStyle w:val="ListParagraph"/>
        <w:rPr>
          <w:i/>
          <w:iCs/>
        </w:rPr>
      </w:pPr>
      <w:r>
        <w:t>In the UK,</w:t>
      </w:r>
      <w:r w:rsidR="004762F3" w:rsidRPr="006D5062">
        <w:t xml:space="preserve"> the ‘authentic-learning’ circle, actively engaging students in higher-order thinking to analyse their own real-world experience and apply it outside the classroom. The learning outcomes cannot be pre-determined but can be focussed on global citizenship. </w:t>
      </w:r>
    </w:p>
    <w:p w:rsidR="00420E60" w:rsidRDefault="00420E60" w:rsidP="00AB503F">
      <w:pPr>
        <w:pStyle w:val="ListParagraph"/>
      </w:pPr>
    </w:p>
    <w:p w:rsidR="004762F3" w:rsidRDefault="004605A4" w:rsidP="00AB503F">
      <w:pPr>
        <w:pStyle w:val="ListParagraph"/>
      </w:pPr>
      <w:r>
        <w:t>I</w:t>
      </w:r>
      <w:r w:rsidR="004762F3" w:rsidRPr="006D5062">
        <w:t>nspired by the concept of ‘authentic assessment’ (Scheurman &amp; Newman, 1998</w:t>
      </w:r>
      <w:r>
        <w:t xml:space="preserve">), the team in the UK case developed </w:t>
      </w:r>
      <w:r w:rsidR="004762F3" w:rsidRPr="006D5062">
        <w:t xml:space="preserve">an integrated preparation and reflection assessment strategy using on-line portfolio technology, with appropriate interventions from </w:t>
      </w:r>
      <w:r>
        <w:t xml:space="preserve">that </w:t>
      </w:r>
      <w:r w:rsidR="004762F3" w:rsidRPr="006D5062">
        <w:t>team pre-departure, in-country and post-return. Giving students the opportunity to reflect upon and monitor progress is essential to authentic-learning’s metacognition: assessment is integrated seamlessly into the learning task (working/studying abroad) in order to reflect ‘real-world’ assessment. Much of what students learn</w:t>
      </w:r>
      <w:r>
        <w:t>ed</w:t>
      </w:r>
      <w:r w:rsidR="004762F3" w:rsidRPr="006D5062">
        <w:t xml:space="preserve"> while abroad is unintended and s</w:t>
      </w:r>
      <w:r>
        <w:t xml:space="preserve">o setting learning outcomes was challenging and flexibility was allowed to accommodate </w:t>
      </w:r>
      <w:r w:rsidR="004762F3" w:rsidRPr="006D5062">
        <w:t xml:space="preserve">students’ experiences. </w:t>
      </w:r>
    </w:p>
    <w:p w:rsidR="00857CD5" w:rsidRDefault="00857CD5" w:rsidP="00857CD5">
      <w:pPr>
        <w:pStyle w:val="ListParagraph"/>
      </w:pPr>
    </w:p>
    <w:p w:rsidR="00857CD5" w:rsidRPr="00AE75E1" w:rsidRDefault="00857CD5" w:rsidP="00857CD5">
      <w:pPr>
        <w:pStyle w:val="ListParagraph"/>
      </w:pPr>
      <w:r w:rsidRPr="00AE75E1">
        <w:t>F</w:t>
      </w:r>
      <w:r>
        <w:t xml:space="preserve">or incoming students to China, </w:t>
      </w:r>
      <w:r w:rsidRPr="00AE75E1">
        <w:t xml:space="preserve">it seems clear that the institutional environment </w:t>
      </w:r>
      <w:r>
        <w:t>is a key driver when selecting a country for study abroad</w:t>
      </w:r>
      <w:r w:rsidRPr="00AE75E1">
        <w:t xml:space="preserve">. It was indicated that the social environment, political stability, and rapid economic growth in China have played important roles encouraging international students </w:t>
      </w:r>
      <w:r>
        <w:t xml:space="preserve">to </w:t>
      </w:r>
      <w:r w:rsidRPr="00AE75E1">
        <w:t xml:space="preserve">study in Chinese universities. A student who was born in France, graduated from a British University as an undergraduate student, now studying in a Chinese university in Beijing, explained: </w:t>
      </w:r>
    </w:p>
    <w:p w:rsidR="00857CD5" w:rsidRPr="00AE75E1" w:rsidRDefault="000B0D1E" w:rsidP="00857CD5">
      <w:r>
        <w:rPr>
          <w:noProof/>
          <w:lang w:eastAsia="en-GB"/>
        </w:rPr>
        <mc:AlternateContent>
          <mc:Choice Requires="wps">
            <w:drawing>
              <wp:anchor distT="0" distB="0" distL="114300" distR="114300" simplePos="0" relativeHeight="251669504" behindDoc="0" locked="0" layoutInCell="1" allowOverlap="1" wp14:anchorId="6A4512A1">
                <wp:simplePos x="0" y="0"/>
                <wp:positionH relativeFrom="column">
                  <wp:posOffset>527050</wp:posOffset>
                </wp:positionH>
                <wp:positionV relativeFrom="paragraph">
                  <wp:posOffset>194945</wp:posOffset>
                </wp:positionV>
                <wp:extent cx="2498090" cy="4445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CD5" w:rsidRDefault="00857CD5" w:rsidP="00857CD5">
                            <w:pPr>
                              <w:rPr>
                                <w:rFonts w:cs="Times New Roman"/>
                                <w:i/>
                              </w:rPr>
                            </w:pPr>
                            <w:r>
                              <w:rPr>
                                <w:rFonts w:cs="Times New Roman"/>
                                <w:i/>
                              </w:rPr>
                              <w:t>I really wanted to go to China, it is an interesting country to know more about it. Its fast economic growth is impressive. I believed that I could learn a lot of interesting thi</w:t>
                            </w:r>
                            <w:r w:rsidR="009055D8">
                              <w:rPr>
                                <w:rFonts w:cs="Times New Roman"/>
                                <w:i/>
                              </w:rPr>
                              <w:t xml:space="preserve">ngs before I came here. It is </w:t>
                            </w:r>
                            <w:r>
                              <w:rPr>
                                <w:rFonts w:cs="Times New Roman"/>
                                <w:i/>
                              </w:rPr>
                              <w:t xml:space="preserve">proved that my initial thought was correct. Here I am, in China 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512A1" id="Rectangle 2" o:spid="_x0000_s1027" style="position:absolute;margin-left:41.5pt;margin-top:15.35pt;width:196.7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" stroked="f">
                <v:textbox>
                  <w:txbxContent>
                    <w:p w:rsidR="00857CD5" w:rsidRDefault="00857CD5" w:rsidP="00857CD5">
                      <w:pPr>
                        <w:rPr>
                          <w:rFonts w:cs="Times New Roman"/>
                          <w:i/>
                        </w:rPr>
                      </w:pPr>
                      <w:r>
                        <w:rPr>
                          <w:rFonts w:cs="Times New Roman"/>
                          <w:i/>
                        </w:rPr>
                        <w:t>I really wanted to go to China, it is an interesting country to know more about it. Its fast economic growth is impressive. I believed that I could learn a lot of interesting thi</w:t>
                      </w:r>
                      <w:r w:rsidR="009055D8">
                        <w:rPr>
                          <w:rFonts w:cs="Times New Roman"/>
                          <w:i/>
                        </w:rPr>
                        <w:t xml:space="preserve">ngs before I came here. It is </w:t>
                      </w:r>
                      <w:r>
                        <w:rPr>
                          <w:rFonts w:cs="Times New Roman"/>
                          <w:i/>
                        </w:rPr>
                        <w:t xml:space="preserve">proved that my initial thought was correct. Here I am, in China now. </w:t>
                      </w:r>
                    </w:p>
                  </w:txbxContent>
                </v:textbox>
              </v:rect>
            </w:pict>
          </mc:Fallback>
        </mc:AlternateContent>
      </w:r>
    </w:p>
    <w:p w:rsidR="00857CD5" w:rsidRPr="00AE75E1" w:rsidRDefault="00857CD5" w:rsidP="00857CD5">
      <w:pPr>
        <w:rPr>
          <w:color w:val="0070C0"/>
        </w:rPr>
      </w:pPr>
    </w:p>
    <w:p w:rsidR="00857CD5" w:rsidRPr="00AE75E1" w:rsidRDefault="00857CD5" w:rsidP="00857CD5">
      <w:pPr>
        <w:rPr>
          <w:color w:val="0070C0"/>
        </w:rPr>
      </w:pPr>
    </w:p>
    <w:p w:rsidR="00857CD5" w:rsidRPr="00AE75E1" w:rsidRDefault="00857CD5" w:rsidP="00857CD5">
      <w:pPr>
        <w:rPr>
          <w:color w:val="0070C0"/>
        </w:rPr>
      </w:pPr>
    </w:p>
    <w:p w:rsidR="00857CD5" w:rsidRPr="00857CD5" w:rsidRDefault="00857CD5" w:rsidP="00857CD5">
      <w:pPr>
        <w:pStyle w:val="ListParagraph"/>
        <w:rPr>
          <w:i/>
        </w:rPr>
      </w:pPr>
      <w:r w:rsidRPr="00857CD5">
        <w:rPr>
          <w:i/>
        </w:rPr>
        <w:t>Inbound student (interviewee - China)</w:t>
      </w:r>
    </w:p>
    <w:p w:rsidR="00AB503F" w:rsidRDefault="00AB503F" w:rsidP="00AB503F">
      <w:pPr>
        <w:pStyle w:val="ListParagraph"/>
      </w:pPr>
    </w:p>
    <w:p w:rsidR="003C4A8B" w:rsidRDefault="00F23531" w:rsidP="00F23531">
      <w:pPr>
        <w:pStyle w:val="Heading2"/>
        <w:numPr>
          <w:ilvl w:val="0"/>
          <w:numId w:val="0"/>
        </w:numPr>
        <w:ind w:left="1080" w:hanging="360"/>
      </w:pPr>
      <w:r>
        <w:t xml:space="preserve">3.4 </w:t>
      </w:r>
      <w:r w:rsidR="00AB503F">
        <w:t>Opportunity Value</w:t>
      </w:r>
    </w:p>
    <w:p w:rsidR="00F23531" w:rsidRPr="00F23531" w:rsidRDefault="00F23531" w:rsidP="00F23531"/>
    <w:p w:rsidR="007A352D" w:rsidRPr="006D5062" w:rsidRDefault="007A352D" w:rsidP="00AB503F">
      <w:pPr>
        <w:pStyle w:val="ListParagraph"/>
      </w:pPr>
      <w:r w:rsidRPr="006D5062">
        <w:t xml:space="preserve">In </w:t>
      </w:r>
      <w:r w:rsidR="00295594">
        <w:t>the UK cas</w:t>
      </w:r>
      <w:r w:rsidRPr="006D5062">
        <w:t>e</w:t>
      </w:r>
      <w:r w:rsidR="00295594">
        <w:t xml:space="preserve">, </w:t>
      </w:r>
      <w:r w:rsidRPr="006D5062">
        <w:t>the first ‘credit-transfer’ scheme</w:t>
      </w:r>
      <w:r w:rsidR="00295594">
        <w:t xml:space="preserve"> was introduced in 2009</w:t>
      </w:r>
      <w:r w:rsidRPr="006D5062">
        <w:t>, allowing students to study abroad for a semester in their second year (rather than adding a sandwich year) and opportunities were made available</w:t>
      </w:r>
      <w:r w:rsidR="00E07DDC">
        <w:t xml:space="preserve"> to all undergraduate students</w:t>
      </w:r>
      <w:r w:rsidRPr="006D5062">
        <w:t xml:space="preserve">. This allowed students on three-year programmes and those with a UK work placement in their sandwich year to participate in the </w:t>
      </w:r>
      <w:r w:rsidR="00E07DDC">
        <w:t>study ab</w:t>
      </w:r>
      <w:r w:rsidR="00295594">
        <w:t>r</w:t>
      </w:r>
      <w:r w:rsidR="00E07DDC">
        <w:t>o</w:t>
      </w:r>
      <w:r w:rsidR="00295594">
        <w:t xml:space="preserve">ad </w:t>
      </w:r>
      <w:r w:rsidRPr="006D5062">
        <w:t xml:space="preserve">programme. To develop </w:t>
      </w:r>
      <w:r w:rsidR="00295594">
        <w:t>the credit-transfer programme, a</w:t>
      </w:r>
      <w:r w:rsidRPr="006D5062">
        <w:t xml:space="preserve"> flexible, semester-based modul</w:t>
      </w:r>
      <w:r w:rsidR="00295594">
        <w:t>e structure was proposed</w:t>
      </w:r>
      <w:r w:rsidRPr="006D5062">
        <w:t xml:space="preserve"> and </w:t>
      </w:r>
      <w:r w:rsidR="00295594">
        <w:t xml:space="preserve">a single trusted partner chosen to </w:t>
      </w:r>
      <w:r w:rsidRPr="006D5062">
        <w:t>introduce an English programme for stude</w:t>
      </w:r>
      <w:r w:rsidR="00295594">
        <w:t xml:space="preserve">nts with no foreign language. Members of the UK-based team </w:t>
      </w:r>
      <w:r w:rsidRPr="006D5062">
        <w:t>worked at the French partner for six months (</w:t>
      </w:r>
      <w:r w:rsidR="00295594">
        <w:t>funded by Er</w:t>
      </w:r>
      <w:r w:rsidRPr="006D5062">
        <w:t>asmus</w:t>
      </w:r>
      <w:r w:rsidR="00295594">
        <w:t>)</w:t>
      </w:r>
      <w:r w:rsidRPr="006D5062">
        <w:t xml:space="preserve"> to implement the new programme and have delivered a module on it every year since. An increasing number of students now complete three semesters abroad, sometimes on three different continents.</w:t>
      </w:r>
    </w:p>
    <w:p w:rsidR="007A352D" w:rsidRPr="006D5062" w:rsidRDefault="007A352D" w:rsidP="00AB503F">
      <w:pPr>
        <w:pStyle w:val="ListParagraph"/>
      </w:pPr>
      <w:r w:rsidRPr="006D5062">
        <w:t xml:space="preserve">An important extension of </w:t>
      </w:r>
      <w:r w:rsidR="0022701F">
        <w:t>this</w:t>
      </w:r>
      <w:r w:rsidRPr="006D5062">
        <w:t xml:space="preserve"> strategy </w:t>
      </w:r>
      <w:r w:rsidR="0022701F">
        <w:t>was</w:t>
      </w:r>
      <w:r w:rsidRPr="006D5062">
        <w:t xml:space="preserve"> a focus on the development of ‘double degrees’, in which students join the final year of a partner institution’s degree and graduate at the end of this year, bef</w:t>
      </w:r>
      <w:r w:rsidR="0022701F">
        <w:t>ore returning to their home institution</w:t>
      </w:r>
      <w:r w:rsidRPr="006D5062">
        <w:t xml:space="preserve"> to graduate a second time. This provides a tangible outcome valued by students and lends credibility to their activities, particularly important as tuition fees increased.</w:t>
      </w:r>
    </w:p>
    <w:p w:rsidR="007A352D" w:rsidRDefault="007A352D" w:rsidP="00AB503F">
      <w:pPr>
        <w:pStyle w:val="ListParagraph"/>
      </w:pPr>
      <w:r w:rsidRPr="006D5062">
        <w:t>To further widen the appeal of ‘study abroad’,</w:t>
      </w:r>
      <w:r w:rsidR="0022701F">
        <w:t xml:space="preserve"> </w:t>
      </w:r>
      <w:r w:rsidRPr="006D5062">
        <w:t>internships</w:t>
      </w:r>
      <w:r w:rsidR="0022701F">
        <w:t xml:space="preserve"> were introduced</w:t>
      </w:r>
      <w:r w:rsidRPr="006D5062">
        <w:t xml:space="preserve"> </w:t>
      </w:r>
      <w:r w:rsidR="0022701F" w:rsidRPr="006D5062">
        <w:t xml:space="preserve">into exchange schemes </w:t>
      </w:r>
      <w:r w:rsidRPr="006D5062">
        <w:t>as ‘experiential education’ (Steinberg, 2002). Students were originally forced to choose between studying abroad or gaining work experience in the UK. Now, almost half of students on “exchange” are on a scheme combini</w:t>
      </w:r>
      <w:r w:rsidR="0022701F">
        <w:t>ng work and study. This was</w:t>
      </w:r>
      <w:r w:rsidRPr="006D5062">
        <w:t xml:space="preserve"> achieved by working with existing international partners to develop new schemes and selecting new partners for the internship opportunities they offer. </w:t>
      </w:r>
    </w:p>
    <w:p w:rsidR="00E07DDC" w:rsidRDefault="00E07DDC" w:rsidP="00AB503F">
      <w:pPr>
        <w:pStyle w:val="ListParagraph"/>
      </w:pPr>
    </w:p>
    <w:p w:rsidR="0025614A" w:rsidRDefault="0025614A" w:rsidP="00AB503F">
      <w:pPr>
        <w:pStyle w:val="ListParagraph"/>
      </w:pPr>
      <w:r w:rsidRPr="00AE75E1">
        <w:t>In</w:t>
      </w:r>
      <w:r w:rsidR="0022701F">
        <w:t xml:space="preserve"> China, in addition to </w:t>
      </w:r>
      <w:r w:rsidRPr="00AE75E1">
        <w:t>large numbers of Chinese students studying at Western Universities for degrees as lon</w:t>
      </w:r>
      <w:r w:rsidR="0022701F">
        <w:t xml:space="preserve">g term academic sojourners, </w:t>
      </w:r>
      <w:r w:rsidR="00857CD5">
        <w:t>short-term</w:t>
      </w:r>
      <w:r w:rsidRPr="00AE75E1">
        <w:t xml:space="preserve"> mobility increas</w:t>
      </w:r>
      <w:r w:rsidR="0022701F">
        <w:t>ed</w:t>
      </w:r>
      <w:r w:rsidRPr="00AE75E1">
        <w:t xml:space="preserve"> as well, such as summer schools for unive</w:t>
      </w:r>
      <w:r w:rsidR="00857CD5">
        <w:t>rsity students (especially in the first</w:t>
      </w:r>
      <w:r w:rsidRPr="00AE75E1">
        <w:t xml:space="preserve"> and </w:t>
      </w:r>
      <w:r w:rsidR="00857CD5">
        <w:t>second</w:t>
      </w:r>
      <w:r w:rsidR="0009462B">
        <w:t xml:space="preserve"> year),</w:t>
      </w:r>
      <w:r w:rsidRPr="00AE75E1">
        <w:t xml:space="preserve"> short training programme</w:t>
      </w:r>
      <w:r w:rsidR="0022701F">
        <w:t>s</w:t>
      </w:r>
      <w:r w:rsidR="0009462B">
        <w:t xml:space="preserve"> (e.g. mini MBA) and</w:t>
      </w:r>
      <w:r w:rsidRPr="00AE75E1">
        <w:t xml:space="preserve"> one</w:t>
      </w:r>
      <w:r w:rsidR="0022701F">
        <w:t xml:space="preserve">–semester exchange students.  As a new trend, </w:t>
      </w:r>
      <w:r w:rsidRPr="00AE75E1">
        <w:t xml:space="preserve">outbound Chinese student mobility tends to be more short-time oriented and more diversified than before. </w:t>
      </w:r>
      <w:r w:rsidR="00F029CE">
        <w:t>The evidence</w:t>
      </w:r>
      <w:r w:rsidRPr="00AE75E1">
        <w:t xml:space="preserve"> suggests that, for this short-term oriented outbound student mobility, the m</w:t>
      </w:r>
      <w:r w:rsidR="004F13FC">
        <w:t xml:space="preserve">ain purpose is to develop </w:t>
      </w:r>
      <w:r w:rsidRPr="00AE75E1">
        <w:t>inter-cultu</w:t>
      </w:r>
      <w:r w:rsidR="004F13FC">
        <w:t xml:space="preserve">ral awareness and enhance </w:t>
      </w:r>
      <w:r w:rsidRPr="00AE75E1">
        <w:t>awareness of global citizen</w:t>
      </w:r>
      <w:r w:rsidR="00857CD5">
        <w:t>ship</w:t>
      </w:r>
      <w:r w:rsidRPr="00AE75E1">
        <w:t>. For example, in our one Chinese Mini MBA programme delivered in the author</w:t>
      </w:r>
      <w:r w:rsidR="00857CD5">
        <w:t>’</w:t>
      </w:r>
      <w:r w:rsidRPr="00AE75E1">
        <w:t xml:space="preserve">s institution, </w:t>
      </w:r>
      <w:r w:rsidR="00857CD5">
        <w:t>none of the students had been to</w:t>
      </w:r>
      <w:r w:rsidRPr="00AE75E1">
        <w:t xml:space="preserve"> the UK before. One Mini MBA student claimed that: ‘</w:t>
      </w:r>
      <w:r w:rsidRPr="00C15B77">
        <w:rPr>
          <w:i/>
        </w:rPr>
        <w:t>Seeing is believing….many things I saw are different from what I thought (about British culture) before. I wouldn’t kn</w:t>
      </w:r>
      <w:r w:rsidR="00857CD5">
        <w:rPr>
          <w:i/>
        </w:rPr>
        <w:t xml:space="preserve">ow that if I did not come here to </w:t>
      </w:r>
      <w:r w:rsidRPr="00C15B77">
        <w:rPr>
          <w:i/>
        </w:rPr>
        <w:t>the UK)</w:t>
      </w:r>
      <w:r w:rsidRPr="00AE75E1">
        <w:t>’. China is the country with largest population in the world. There are still large numbers of Chinese students (their family) cannot afford the expensive tui</w:t>
      </w:r>
      <w:r w:rsidR="00857CD5">
        <w:t>tion fees studying abroad. Such</w:t>
      </w:r>
      <w:r w:rsidRPr="00AE75E1">
        <w:t xml:space="preserve"> short-term student mobility programmes have provided great opportunities which enable and encourage more Chinese student developing their inter-cultural knowledge and enhancing their employability skills, such as communication skill. </w:t>
      </w:r>
    </w:p>
    <w:p w:rsidR="00AB503F" w:rsidRDefault="00AB503F" w:rsidP="00AB503F">
      <w:pPr>
        <w:pStyle w:val="ListParagraph"/>
      </w:pPr>
    </w:p>
    <w:p w:rsidR="001245A5" w:rsidRDefault="00857CD5" w:rsidP="00857CD5">
      <w:pPr>
        <w:pStyle w:val="Heading2"/>
        <w:numPr>
          <w:ilvl w:val="0"/>
          <w:numId w:val="0"/>
        </w:numPr>
        <w:ind w:left="1080"/>
      </w:pPr>
      <w:r>
        <w:t xml:space="preserve">3.5 </w:t>
      </w:r>
      <w:r w:rsidR="001245A5" w:rsidRPr="00C15B77">
        <w:t>Personal Development</w:t>
      </w:r>
    </w:p>
    <w:p w:rsidR="009B700A" w:rsidRDefault="009B700A" w:rsidP="009B700A"/>
    <w:p w:rsidR="00F2480E" w:rsidRDefault="003E4175" w:rsidP="00AB503F">
      <w:pPr>
        <w:pStyle w:val="ListParagraph"/>
      </w:pPr>
      <w:r>
        <w:t xml:space="preserve">Self-driven motivation </w:t>
      </w:r>
      <w:r w:rsidR="009B700A" w:rsidRPr="00AE75E1">
        <w:t>played an important role motivating foreign students to</w:t>
      </w:r>
      <w:r>
        <w:t xml:space="preserve"> go to</w:t>
      </w:r>
      <w:r w:rsidR="009B700A" w:rsidRPr="00AE75E1">
        <w:t xml:space="preserve"> China.  </w:t>
      </w:r>
      <w:r w:rsidR="00F2480E" w:rsidRPr="00AE75E1">
        <w:t>According t</w:t>
      </w:r>
      <w:r>
        <w:t xml:space="preserve">o students’ narratives, </w:t>
      </w:r>
      <w:r w:rsidR="00F2480E" w:rsidRPr="00AE75E1">
        <w:t>self-motivated drivers for inbo</w:t>
      </w:r>
      <w:r>
        <w:t>und student mobility are connected</w:t>
      </w:r>
      <w:r w:rsidR="00F2480E" w:rsidRPr="00AE75E1">
        <w:t xml:space="preserve"> to personal development, including 1) gaining cultural and social capital; 2) seeking personally rewarding experience</w:t>
      </w:r>
      <w:r>
        <w:t>s</w:t>
      </w:r>
      <w:r w:rsidR="00F2480E" w:rsidRPr="00AE75E1">
        <w:t>; 3) maximising educational and employment opportunitie</w:t>
      </w:r>
      <w:r w:rsidR="00A9580D">
        <w:t>s.</w:t>
      </w:r>
      <w:r w:rsidR="00F2480E" w:rsidRPr="00AE75E1">
        <w:t xml:space="preserve"> Our findings show that studying overseas gave students a global mindset, as well as a sense of intelle</w:t>
      </w:r>
      <w:r w:rsidR="00861697">
        <w:t>ctual awareness of their career</w:t>
      </w:r>
      <w:r w:rsidR="00F2480E" w:rsidRPr="00AE75E1">
        <w:t xml:space="preserve"> development. Many multi-national enterprises </w:t>
      </w:r>
      <w:r w:rsidR="00861697">
        <w:t>are present in China so</w:t>
      </w:r>
      <w:r w:rsidR="00F2480E" w:rsidRPr="00AE75E1">
        <w:t xml:space="preserve"> language</w:t>
      </w:r>
      <w:r w:rsidR="00861697">
        <w:t>-learning</w:t>
      </w:r>
      <w:r w:rsidR="00F2480E" w:rsidRPr="00AE75E1">
        <w:t xml:space="preserve"> and inter-cultural competencies certainly enable students</w:t>
      </w:r>
      <w:r w:rsidR="00861697">
        <w:t xml:space="preserve"> to</w:t>
      </w:r>
      <w:r w:rsidR="00F2480E" w:rsidRPr="00AE75E1">
        <w:t xml:space="preserve"> understand Chinese culture and business management practices. Those are regarded as ‘</w:t>
      </w:r>
      <w:r w:rsidR="00F2480E" w:rsidRPr="00C15B77">
        <w:rPr>
          <w:i/>
        </w:rPr>
        <w:t>advanced soft skills when competing with other graduates, especially those who intend to work for multi-national companies</w:t>
      </w:r>
      <w:r w:rsidR="00F2480E">
        <w:t>’.</w:t>
      </w:r>
      <w:r w:rsidR="00861697">
        <w:t xml:space="preserve"> One</w:t>
      </w:r>
      <w:r w:rsidR="00F2480E" w:rsidRPr="00AE75E1">
        <w:t xml:space="preserve"> professor </w:t>
      </w:r>
      <w:r w:rsidR="00861697">
        <w:t>recommend</w:t>
      </w:r>
      <w:r w:rsidR="00F2480E" w:rsidRPr="00AE75E1">
        <w:t>ed</w:t>
      </w:r>
      <w:r w:rsidR="00861697">
        <w:t xml:space="preserve"> his</w:t>
      </w:r>
      <w:r w:rsidR="00F2480E" w:rsidRPr="00AE75E1">
        <w:t xml:space="preserve"> French student </w:t>
      </w:r>
      <w:r w:rsidR="00861697">
        <w:t xml:space="preserve">for </w:t>
      </w:r>
      <w:r w:rsidR="00F2480E" w:rsidRPr="00AE75E1">
        <w:t>a part</w:t>
      </w:r>
      <w:r w:rsidR="00861697">
        <w:t>-</w:t>
      </w:r>
      <w:r w:rsidR="00F2480E" w:rsidRPr="00AE75E1">
        <w:t xml:space="preserve">time job, working for a French company located in Beijing. His main job </w:t>
      </w:r>
      <w:r w:rsidR="00861697">
        <w:t>wa</w:t>
      </w:r>
      <w:r w:rsidR="00F2480E" w:rsidRPr="00AE75E1">
        <w:t>s to file French document</w:t>
      </w:r>
      <w:r w:rsidR="00861697">
        <w:t xml:space="preserve">s. Although it is </w:t>
      </w:r>
      <w:r w:rsidR="00F2480E" w:rsidRPr="00AE75E1">
        <w:t>a simple job, he claimed that he developed his busines</w:t>
      </w:r>
      <w:r w:rsidR="00861697">
        <w:t xml:space="preserve">s networks (as social capital) and </w:t>
      </w:r>
      <w:r w:rsidR="00F2480E" w:rsidRPr="00AE75E1">
        <w:t>gained soft employability skills, such as</w:t>
      </w:r>
      <w:r w:rsidR="00861697">
        <w:t xml:space="preserve"> communication and team work</w:t>
      </w:r>
      <w:r w:rsidR="00F2480E" w:rsidRPr="00AE75E1">
        <w:t>. He felt ‘</w:t>
      </w:r>
      <w:r w:rsidR="00F2480E" w:rsidRPr="00C15B77">
        <w:rPr>
          <w:i/>
        </w:rPr>
        <w:t>much more confidence</w:t>
      </w:r>
      <w:r w:rsidR="00F2480E" w:rsidRPr="00AE75E1">
        <w:t xml:space="preserve">’ </w:t>
      </w:r>
      <w:r w:rsidR="00861697">
        <w:t xml:space="preserve">about </w:t>
      </w:r>
      <w:r w:rsidR="00F2480E" w:rsidRPr="00AE75E1">
        <w:t>find</w:t>
      </w:r>
      <w:r w:rsidR="00861697">
        <w:t>ing</w:t>
      </w:r>
      <w:r w:rsidR="00F2480E" w:rsidRPr="00AE75E1">
        <w:t xml:space="preserve"> a job </w:t>
      </w:r>
      <w:r w:rsidR="00861697">
        <w:t>on completing his studies</w:t>
      </w:r>
      <w:r w:rsidR="00F2480E" w:rsidRPr="00AE75E1">
        <w:t xml:space="preserve"> in Chin</w:t>
      </w:r>
      <w:r w:rsidR="00861697">
        <w:t>a. For him, studying in China was</w:t>
      </w:r>
      <w:r w:rsidR="00F2480E" w:rsidRPr="00AE75E1">
        <w:t xml:space="preserve"> transformative</w:t>
      </w:r>
      <w:r w:rsidR="00861697">
        <w:t>:</w:t>
      </w:r>
      <w:r w:rsidR="00F2480E" w:rsidRPr="00AE75E1">
        <w:t xml:space="preserve"> it change</w:t>
      </w:r>
      <w:r w:rsidR="00861697">
        <w:t>d</w:t>
      </w:r>
      <w:r w:rsidR="00F2480E" w:rsidRPr="00AE75E1">
        <w:t xml:space="preserve"> his life. ‘</w:t>
      </w:r>
      <w:r w:rsidR="00F2480E" w:rsidRPr="00C15B77">
        <w:rPr>
          <w:i/>
        </w:rPr>
        <w:t>That is what the higher education about’</w:t>
      </w:r>
      <w:r w:rsidR="00F2480E" w:rsidRPr="00AE75E1">
        <w:t xml:space="preserve">, he stated. In addition to the benefit of studying abroad, the student also mentioned the extra financial costs, family concern and language barriers he faced when studying in China. These barriers may need to be taken into consideration and students who are intending to study abroad may need to plan well in advance. </w:t>
      </w:r>
    </w:p>
    <w:p w:rsidR="00AB503F" w:rsidRDefault="00AB503F" w:rsidP="00AB503F">
      <w:pPr>
        <w:pStyle w:val="ListParagraph"/>
      </w:pPr>
    </w:p>
    <w:p w:rsidR="001245A5" w:rsidRDefault="006D7282" w:rsidP="00AB503F">
      <w:pPr>
        <w:pStyle w:val="ListParagraph"/>
      </w:pPr>
      <w:r>
        <w:t xml:space="preserve">For outbound </w:t>
      </w:r>
      <w:r w:rsidR="00FD347E">
        <w:t>Chinese students</w:t>
      </w:r>
      <w:r w:rsidR="001245A5" w:rsidRPr="00AE75E1">
        <w:t>, studying abroad bring</w:t>
      </w:r>
      <w:r w:rsidR="00790AB5">
        <w:t>s</w:t>
      </w:r>
      <w:r>
        <w:t xml:space="preserve"> them </w:t>
      </w:r>
      <w:r w:rsidR="001245A5" w:rsidRPr="00AE75E1">
        <w:t xml:space="preserve">educational and personal benefits in relation to </w:t>
      </w:r>
      <w:r w:rsidR="00FD347E">
        <w:t xml:space="preserve">the </w:t>
      </w:r>
      <w:r w:rsidR="00790AB5">
        <w:t xml:space="preserve">acquisition of </w:t>
      </w:r>
      <w:r w:rsidR="001245A5" w:rsidRPr="00AE75E1">
        <w:t>knowledge</w:t>
      </w:r>
      <w:r w:rsidR="00FD347E">
        <w:t>, cultu</w:t>
      </w:r>
      <w:r>
        <w:t>ral awareness, English language proficiency</w:t>
      </w:r>
      <w:r w:rsidR="00FD347E">
        <w:t xml:space="preserve"> and </w:t>
      </w:r>
      <w:r w:rsidR="001245A5" w:rsidRPr="00AE75E1">
        <w:t>development</w:t>
      </w:r>
      <w:r w:rsidR="00FD347E">
        <w:t xml:space="preserve"> of skills</w:t>
      </w:r>
      <w:r w:rsidR="001245A5" w:rsidRPr="00AE75E1">
        <w:t xml:space="preserve"> such as communication, critical thinking and problem solving.  Our findings indicate that </w:t>
      </w:r>
      <w:r w:rsidR="00FD347E">
        <w:t xml:space="preserve">the </w:t>
      </w:r>
      <w:r w:rsidR="001245A5" w:rsidRPr="00AE75E1">
        <w:t>majority of Chinese students bec</w:t>
      </w:r>
      <w:r w:rsidR="00FD347E">
        <w:t xml:space="preserve">ome more confident and </w:t>
      </w:r>
      <w:r w:rsidR="001245A5" w:rsidRPr="00AE75E1">
        <w:t>their ability to get on with people</w:t>
      </w:r>
      <w:r w:rsidR="00FD347E">
        <w:t xml:space="preserve"> is enhanced. They manage </w:t>
      </w:r>
      <w:r w:rsidR="001245A5" w:rsidRPr="00AE75E1">
        <w:t xml:space="preserve">unpredictable situations </w:t>
      </w:r>
      <w:r w:rsidR="00FD347E">
        <w:t xml:space="preserve">better </w:t>
      </w:r>
      <w:r w:rsidR="00E911AC">
        <w:t>and become more mature. The following quotes illustrate</w:t>
      </w:r>
      <w:r w:rsidR="001245A5" w:rsidRPr="00AE75E1">
        <w:t xml:space="preserve"> the mobility benefits for Chinese students study</w:t>
      </w:r>
      <w:r w:rsidR="00E911AC">
        <w:t>ing</w:t>
      </w:r>
      <w:r w:rsidR="001245A5" w:rsidRPr="00AE75E1">
        <w:t xml:space="preserve"> abroad: </w:t>
      </w:r>
    </w:p>
    <w:p w:rsidR="006D7282" w:rsidRDefault="006D7282" w:rsidP="00AB503F">
      <w:pPr>
        <w:pStyle w:val="ListParagraph"/>
        <w:rPr>
          <w:rFonts w:cs="Times New Roman"/>
          <w:i/>
        </w:rPr>
      </w:pPr>
    </w:p>
    <w:p w:rsidR="00FD52D4" w:rsidRDefault="00FD52D4" w:rsidP="00AB503F">
      <w:pPr>
        <w:pStyle w:val="ListParagraph"/>
        <w:rPr>
          <w:rFonts w:cs="Times New Roman"/>
          <w:i/>
        </w:rPr>
      </w:pPr>
      <w:r w:rsidRPr="00C15B77">
        <w:rPr>
          <w:rFonts w:cs="Times New Roman"/>
          <w:i/>
        </w:rPr>
        <w:t>I rarely spoke to foreigners when I was in China. Now I won’t be afraid to talk to foreigners</w:t>
      </w:r>
      <w:r w:rsidR="006D7282">
        <w:rPr>
          <w:rFonts w:cs="Times New Roman"/>
          <w:i/>
        </w:rPr>
        <w:t xml:space="preserve">. </w:t>
      </w:r>
      <w:r w:rsidRPr="00C15B77">
        <w:rPr>
          <w:rFonts w:cs="Times New Roman"/>
          <w:i/>
        </w:rPr>
        <w:t xml:space="preserve">Opening a bank account, cooking </w:t>
      </w:r>
      <w:r w:rsidR="006D7282">
        <w:rPr>
          <w:rFonts w:cs="Times New Roman"/>
          <w:i/>
        </w:rPr>
        <w:t>and shopping, washing clothes…</w:t>
      </w:r>
      <w:r w:rsidRPr="00C15B77">
        <w:rPr>
          <w:rFonts w:cs="Times New Roman"/>
          <w:i/>
        </w:rPr>
        <w:t xml:space="preserve">  I had to deal with all those things after I came here. They used to be my parents</w:t>
      </w:r>
      <w:r w:rsidR="006D7282">
        <w:rPr>
          <w:rFonts w:cs="Times New Roman"/>
          <w:i/>
        </w:rPr>
        <w:t>’ business</w:t>
      </w:r>
      <w:r w:rsidRPr="00C15B77">
        <w:rPr>
          <w:rFonts w:cs="Times New Roman"/>
          <w:i/>
        </w:rPr>
        <w:t>- tough at the beginning, but you will learn eventually</w:t>
      </w:r>
      <w:r w:rsidR="006D7282">
        <w:rPr>
          <w:rFonts w:cs="Times New Roman"/>
          <w:i/>
        </w:rPr>
        <w:t>. Critical thinking: I kne</w:t>
      </w:r>
      <w:r w:rsidRPr="00C15B77">
        <w:rPr>
          <w:rFonts w:cs="Times New Roman"/>
          <w:i/>
        </w:rPr>
        <w:t>w very little about it before I came here. If I had not studied in this University (in the UK), I would not know about this.</w:t>
      </w:r>
    </w:p>
    <w:p w:rsidR="006D7282" w:rsidRDefault="006D7282" w:rsidP="00AB503F">
      <w:pPr>
        <w:pStyle w:val="ListParagraph"/>
        <w:rPr>
          <w:rFonts w:cs="Times New Roman"/>
          <w:i/>
        </w:rPr>
      </w:pPr>
    </w:p>
    <w:p w:rsidR="006D7282" w:rsidRDefault="006D7282" w:rsidP="00AB503F">
      <w:pPr>
        <w:pStyle w:val="ListParagraph"/>
        <w:rPr>
          <w:rFonts w:cs="Times New Roman"/>
          <w:i/>
        </w:rPr>
      </w:pPr>
      <w:r>
        <w:rPr>
          <w:rFonts w:cs="Times New Roman"/>
          <w:i/>
        </w:rPr>
        <w:t>Outbound student (interviewee</w:t>
      </w:r>
      <w:r w:rsidR="00DC28FC">
        <w:rPr>
          <w:rFonts w:cs="Times New Roman"/>
          <w:i/>
        </w:rPr>
        <w:t xml:space="preserve"> </w:t>
      </w:r>
      <w:r>
        <w:rPr>
          <w:rFonts w:cs="Times New Roman"/>
          <w:i/>
        </w:rPr>
        <w:t>-</w:t>
      </w:r>
      <w:r w:rsidR="00DC28FC">
        <w:rPr>
          <w:rFonts w:cs="Times New Roman"/>
          <w:i/>
        </w:rPr>
        <w:t xml:space="preserve"> </w:t>
      </w:r>
      <w:r>
        <w:rPr>
          <w:rFonts w:cs="Times New Roman"/>
          <w:i/>
        </w:rPr>
        <w:t>China)</w:t>
      </w:r>
    </w:p>
    <w:p w:rsidR="006D7282" w:rsidRPr="00C15B77" w:rsidRDefault="006D7282" w:rsidP="00AB503F">
      <w:pPr>
        <w:pStyle w:val="ListParagraph"/>
        <w:rPr>
          <w:rFonts w:cs="Times New Roman"/>
          <w:i/>
        </w:rPr>
      </w:pPr>
    </w:p>
    <w:p w:rsidR="001245A5" w:rsidRPr="00AE75E1" w:rsidRDefault="00FD52D4" w:rsidP="00AB503F">
      <w:pPr>
        <w:pStyle w:val="ListParagraph"/>
      </w:pPr>
      <w:r>
        <w:t>The m</w:t>
      </w:r>
      <w:r w:rsidR="001245A5" w:rsidRPr="00AE75E1">
        <w:t>ajority of Chinese students believed that studying abroad ha</w:t>
      </w:r>
      <w:r>
        <w:t>d</w:t>
      </w:r>
      <w:r w:rsidR="001245A5" w:rsidRPr="00AE75E1">
        <w:t xml:space="preserve"> brought </w:t>
      </w:r>
      <w:r>
        <w:t>many</w:t>
      </w:r>
      <w:r w:rsidR="001245A5" w:rsidRPr="00AE75E1">
        <w:t xml:space="preserve"> benefits for their career de</w:t>
      </w:r>
      <w:r>
        <w:t xml:space="preserve">velopment. They felt more confident and thought they had a </w:t>
      </w:r>
      <w:r w:rsidR="001245A5" w:rsidRPr="00AE75E1">
        <w:t xml:space="preserve">better ability to cope with difficulties and </w:t>
      </w:r>
      <w:r>
        <w:t xml:space="preserve">solve </w:t>
      </w:r>
      <w:r w:rsidR="001245A5" w:rsidRPr="00AE75E1">
        <w:t>problems</w:t>
      </w:r>
      <w:r>
        <w:t>. It was</w:t>
      </w:r>
      <w:r w:rsidR="001245A5" w:rsidRPr="00AE75E1">
        <w:t xml:space="preserve"> also clear that, as a whole, </w:t>
      </w:r>
      <w:r>
        <w:t xml:space="preserve">students felt that studying abroad helped them </w:t>
      </w:r>
      <w:r w:rsidR="001245A5" w:rsidRPr="00AE75E1">
        <w:t>in finding jobs and enhances their employability skills.</w:t>
      </w:r>
    </w:p>
    <w:p w:rsidR="001245A5" w:rsidRDefault="00CC735A" w:rsidP="00CC735A">
      <w:pPr>
        <w:ind w:left="720"/>
      </w:pPr>
      <w:r>
        <w:t xml:space="preserve">Similarly, study abroad students in the UK were encouraged to reflect deeply on their management of such experiences.  </w:t>
      </w:r>
      <w:r w:rsidRPr="006D5062">
        <w:t>To enhance the ‘authentic-learning’ approach,</w:t>
      </w:r>
      <w:r>
        <w:t xml:space="preserve"> </w:t>
      </w:r>
      <w:r w:rsidRPr="006D5062">
        <w:t>post-return ‘Maximising Employability’ sessions, as recommended by Kruse &amp; Brubaker (2002)</w:t>
      </w:r>
      <w:r>
        <w:t xml:space="preserve"> were organised</w:t>
      </w:r>
      <w:r w:rsidRPr="006D5062">
        <w:t>. Some students struggled to realise the value of challenges they had overcome, slipping into negativity because they had not entirely enjoyed their experience abroad. Students who had thoroughly enjoyed themselves could find it even more stretching. These sessions helped students to ‘unpack’ (Gardner et al, 2009) their experiences, positive and negative, and translate them into evidence of the ‘additional critical global competences’ employers seek (Diamond et al, 2011), such as adaptability, resilience, self-reliance and an ability to work internationally with many different people. Students were then guided in improving their job applications and interview preparation, using this evidence.</w:t>
      </w:r>
    </w:p>
    <w:p w:rsidR="00CC735A" w:rsidRDefault="00CC735A" w:rsidP="00CC735A">
      <w:pPr>
        <w:pStyle w:val="ListParagraph"/>
      </w:pPr>
      <w:r w:rsidRPr="006D5062">
        <w:t xml:space="preserve">Students are transformed by their international </w:t>
      </w:r>
      <w:r>
        <w:t xml:space="preserve">exposure, which is a </w:t>
      </w:r>
      <w:r w:rsidRPr="006D5062">
        <w:t xml:space="preserve">life-affirming learning experience. </w:t>
      </w:r>
      <w:r>
        <w:t xml:space="preserve">The </w:t>
      </w:r>
      <w:r w:rsidRPr="006D5062">
        <w:t>studen</w:t>
      </w:r>
      <w:r>
        <w:t xml:space="preserve">ts demonstrated </w:t>
      </w:r>
      <w:r w:rsidRPr="006D5062">
        <w:t>positivity</w:t>
      </w:r>
      <w:r>
        <w:t xml:space="preserve"> and</w:t>
      </w:r>
      <w:r w:rsidRPr="006D5062">
        <w:t xml:space="preserve"> willingness to act as self-efficacy </w:t>
      </w:r>
      <w:r>
        <w:t>role-models to younger students. They wished</w:t>
      </w:r>
      <w:r w:rsidRPr="006D5062">
        <w:t xml:space="preserve"> to remain engaged in the programme long after they return</w:t>
      </w:r>
      <w:r>
        <w:t>ed</w:t>
      </w:r>
      <w:r w:rsidRPr="006D5062">
        <w:t xml:space="preserve"> to the UK and graduate. The tangible effects on their confidence, global outlook and employability are marked: </w:t>
      </w:r>
    </w:p>
    <w:p w:rsidR="00CC735A" w:rsidRPr="006D5062" w:rsidRDefault="00CC735A" w:rsidP="00CC735A">
      <w:pPr>
        <w:pStyle w:val="ListParagraph"/>
      </w:pPr>
    </w:p>
    <w:p w:rsidR="00CC735A" w:rsidRPr="00C15B77" w:rsidRDefault="00CC735A" w:rsidP="00CC735A">
      <w:pPr>
        <w:pStyle w:val="ListParagraph"/>
        <w:rPr>
          <w:i/>
          <w:iCs/>
        </w:rPr>
      </w:pPr>
      <w:r w:rsidRPr="00C15B77">
        <w:rPr>
          <w:i/>
          <w:iCs/>
        </w:rPr>
        <w:t xml:space="preserve">Before my placement in Germany, I was content to finish university and find employment within my hometown, Newcastle. Returning from the placement, I knew that there was no going back to a simple life in Newcastle for me. I moved to London to find a job in the corporate world. My international experience allowed me to obtain long term secondments within my company's offices in Zurich and Miami. Six years later, I have transferred my life to Switzerland where I work internationally for the world’s largest Corporate Insurance Broker. </w:t>
      </w:r>
    </w:p>
    <w:p w:rsidR="00CC735A" w:rsidRDefault="00CC735A" w:rsidP="00CC735A">
      <w:pPr>
        <w:pStyle w:val="ListParagraph"/>
        <w:rPr>
          <w:i/>
          <w:iCs/>
        </w:rPr>
      </w:pPr>
    </w:p>
    <w:p w:rsidR="00CC735A" w:rsidRPr="00C15B77" w:rsidRDefault="00CC735A" w:rsidP="00CC735A">
      <w:pPr>
        <w:pStyle w:val="ListParagraph"/>
        <w:rPr>
          <w:i/>
          <w:iCs/>
        </w:rPr>
      </w:pPr>
      <w:r>
        <w:rPr>
          <w:i/>
          <w:iCs/>
        </w:rPr>
        <w:t>Out</w:t>
      </w:r>
      <w:r w:rsidRPr="00C15B77">
        <w:rPr>
          <w:i/>
          <w:iCs/>
        </w:rPr>
        <w:t xml:space="preserve">bound student </w:t>
      </w:r>
      <w:r>
        <w:rPr>
          <w:i/>
          <w:iCs/>
        </w:rPr>
        <w:t>(</w:t>
      </w:r>
      <w:r w:rsidRPr="00C15B77">
        <w:rPr>
          <w:i/>
          <w:iCs/>
        </w:rPr>
        <w:t>interviewee</w:t>
      </w:r>
      <w:r>
        <w:rPr>
          <w:i/>
          <w:iCs/>
        </w:rPr>
        <w:t xml:space="preserve"> – UK)</w:t>
      </w:r>
      <w:r w:rsidRPr="00C15B77">
        <w:rPr>
          <w:i/>
          <w:iCs/>
        </w:rPr>
        <w:t xml:space="preserve"> </w:t>
      </w:r>
    </w:p>
    <w:p w:rsidR="00CC735A" w:rsidRPr="00AE75E1" w:rsidRDefault="00CC735A" w:rsidP="00CC735A">
      <w:pPr>
        <w:ind w:left="720"/>
      </w:pPr>
    </w:p>
    <w:p w:rsidR="000757E3" w:rsidRDefault="00E01C29" w:rsidP="00E01C29">
      <w:pPr>
        <w:pStyle w:val="Heading2"/>
        <w:numPr>
          <w:ilvl w:val="0"/>
          <w:numId w:val="0"/>
        </w:numPr>
        <w:ind w:left="1080"/>
      </w:pPr>
      <w:r>
        <w:t xml:space="preserve">3.6 </w:t>
      </w:r>
      <w:r w:rsidR="001245A5" w:rsidRPr="001245A5">
        <w:t>Family Support</w:t>
      </w:r>
      <w:r>
        <w:t xml:space="preserve"> </w:t>
      </w:r>
    </w:p>
    <w:p w:rsidR="00AB503F" w:rsidRDefault="00AB503F" w:rsidP="00AB503F"/>
    <w:p w:rsidR="00AB503F" w:rsidRDefault="00CB7A95" w:rsidP="00553C0A">
      <w:pPr>
        <w:pStyle w:val="ListParagraph"/>
        <w:spacing w:after="0"/>
        <w:jc w:val="both"/>
      </w:pPr>
      <w:r>
        <w:t>O</w:t>
      </w:r>
      <w:r w:rsidR="000757E3" w:rsidRPr="00AE75E1">
        <w:t>ut</w:t>
      </w:r>
      <w:r w:rsidR="00553C0A">
        <w:t xml:space="preserve">bound Chinese </w:t>
      </w:r>
      <w:r>
        <w:t xml:space="preserve">mobility was driven by </w:t>
      </w:r>
      <w:r w:rsidR="000757E3" w:rsidRPr="00AE75E1">
        <w:t xml:space="preserve">family </w:t>
      </w:r>
      <w:r>
        <w:t>support</w:t>
      </w:r>
      <w:r w:rsidR="000757E3" w:rsidRPr="00AE75E1">
        <w:t xml:space="preserve">. </w:t>
      </w:r>
      <w:r>
        <w:t>F</w:t>
      </w:r>
      <w:r w:rsidR="000757E3" w:rsidRPr="00AE75E1">
        <w:t>inancial support from parents is vital for Chinese students choosing to study abroad. Due to fast eco</w:t>
      </w:r>
      <w:r>
        <w:t xml:space="preserve">nomic growth in China, </w:t>
      </w:r>
      <w:r w:rsidR="000757E3" w:rsidRPr="00AE75E1">
        <w:t>living standard</w:t>
      </w:r>
      <w:r>
        <w:t>s have</w:t>
      </w:r>
      <w:r w:rsidR="000757E3" w:rsidRPr="00AE75E1">
        <w:t xml:space="preserve"> improved dramatically.  </w:t>
      </w:r>
      <w:r w:rsidR="00553C0A">
        <w:t>Increasing numbers of</w:t>
      </w:r>
      <w:r w:rsidR="000757E3" w:rsidRPr="00AE75E1">
        <w:t xml:space="preserve"> Chinese families, especially the middle class, are willing and can affor</w:t>
      </w:r>
      <w:r>
        <w:t>d to send their c</w:t>
      </w:r>
      <w:r w:rsidR="000757E3" w:rsidRPr="00AE75E1">
        <w:t>hildren</w:t>
      </w:r>
      <w:r>
        <w:t xml:space="preserve"> to</w:t>
      </w:r>
      <w:r w:rsidR="000757E3" w:rsidRPr="00AE75E1">
        <w:t xml:space="preserve"> study overseas. </w:t>
      </w:r>
      <w:r w:rsidR="00AB503F">
        <w:t>As opposed to</w:t>
      </w:r>
      <w:r w:rsidR="00AB503F" w:rsidRPr="00AE75E1">
        <w:t xml:space="preserve"> European countries</w:t>
      </w:r>
      <w:r w:rsidR="00553C0A">
        <w:t>,</w:t>
      </w:r>
      <w:r w:rsidR="00AB503F" w:rsidRPr="00AE75E1">
        <w:t xml:space="preserve"> where students can seek financial support from different inst</w:t>
      </w:r>
      <w:r w:rsidR="00AB503F">
        <w:t>itutions and special programmes</w:t>
      </w:r>
      <w:r w:rsidR="00AB503F" w:rsidRPr="00AE75E1">
        <w:t xml:space="preserve"> such as Erasmus</w:t>
      </w:r>
      <w:r w:rsidR="00AB503F">
        <w:t>,</w:t>
      </w:r>
      <w:r w:rsidR="00553C0A">
        <w:t xml:space="preserve"> Chinese </w:t>
      </w:r>
      <w:r w:rsidR="00AB503F" w:rsidRPr="00AE75E1">
        <w:t>outbound mobility is largely financed by their pare</w:t>
      </w:r>
      <w:r w:rsidR="00AB503F">
        <w:t xml:space="preserve">nts. </w:t>
      </w:r>
      <w:r w:rsidR="00AB503F" w:rsidRPr="00AE75E1">
        <w:t>Chinese parents have realis</w:t>
      </w:r>
      <w:r w:rsidR="00AB503F">
        <w:t>ed that their children face</w:t>
      </w:r>
      <w:r w:rsidR="00AB503F" w:rsidRPr="00AE75E1">
        <w:t xml:space="preserve"> more challenges tha</w:t>
      </w:r>
      <w:r w:rsidR="00AB503F">
        <w:t>n ever before in the job market</w:t>
      </w:r>
      <w:r w:rsidR="00AB503F" w:rsidRPr="00AE75E1">
        <w:t xml:space="preserve">. Foreign companies enter Chinese markets from all over the world. Many parents have realised that sending their children </w:t>
      </w:r>
      <w:r w:rsidR="00AB503F">
        <w:t xml:space="preserve">to </w:t>
      </w:r>
      <w:r w:rsidR="00AB503F" w:rsidRPr="00AE75E1">
        <w:t xml:space="preserve">study abroad, especially </w:t>
      </w:r>
      <w:r w:rsidR="00AB503F">
        <w:t xml:space="preserve">in </w:t>
      </w:r>
      <w:r w:rsidR="00AB503F" w:rsidRPr="00AE75E1">
        <w:t>Wester</w:t>
      </w:r>
      <w:r w:rsidR="00AB503F">
        <w:t>n</w:t>
      </w:r>
      <w:r w:rsidR="00AB503F" w:rsidRPr="00AE75E1">
        <w:t xml:space="preserve"> countries, will prepare their children</w:t>
      </w:r>
      <w:r w:rsidR="00AB503F">
        <w:t xml:space="preserve"> for a globalising</w:t>
      </w:r>
      <w:r w:rsidR="00AB503F" w:rsidRPr="00AE75E1">
        <w:t xml:space="preserve"> world</w:t>
      </w:r>
      <w:r w:rsidR="00AB503F">
        <w:t>. A</w:t>
      </w:r>
      <w:r w:rsidR="00AB503F" w:rsidRPr="00AE75E1">
        <w:t>lthough Chinese parents dearly want</w:t>
      </w:r>
      <w:r w:rsidR="00AB503F">
        <w:t xml:space="preserve"> to stay with their Children, they are </w:t>
      </w:r>
      <w:r w:rsidR="00AB503F" w:rsidRPr="00AE75E1">
        <w:t xml:space="preserve">willing to support their children </w:t>
      </w:r>
      <w:r w:rsidR="00AB503F">
        <w:t xml:space="preserve">in </w:t>
      </w:r>
      <w:r w:rsidR="00AB503F" w:rsidRPr="00AE75E1">
        <w:t xml:space="preserve">studying </w:t>
      </w:r>
      <w:r w:rsidR="00AB503F">
        <w:t>abroad financially and emotionally in order to improve their prospects for the future.</w:t>
      </w:r>
    </w:p>
    <w:p w:rsidR="00AB503F" w:rsidRDefault="00AB503F" w:rsidP="00AB503F">
      <w:pPr>
        <w:pStyle w:val="ListParagraph"/>
        <w:spacing w:after="0" w:line="360" w:lineRule="auto"/>
        <w:jc w:val="both"/>
      </w:pPr>
    </w:p>
    <w:p w:rsidR="000757E3" w:rsidRPr="00AE75E1" w:rsidRDefault="000757E3" w:rsidP="00AB503F">
      <w:pPr>
        <w:pStyle w:val="ListParagraph"/>
      </w:pPr>
      <w:r w:rsidRPr="00AE75E1">
        <w:t xml:space="preserve">One student explained: </w:t>
      </w:r>
    </w:p>
    <w:p w:rsidR="00347B82" w:rsidRDefault="00347B82" w:rsidP="00AB503F">
      <w:pPr>
        <w:pStyle w:val="ListParagraph"/>
        <w:rPr>
          <w:rFonts w:cs="Times New Roman"/>
          <w:i/>
        </w:rPr>
      </w:pPr>
    </w:p>
    <w:p w:rsidR="00CB7A95" w:rsidRDefault="00CB7A95" w:rsidP="00AB503F">
      <w:pPr>
        <w:pStyle w:val="ListParagraph"/>
        <w:rPr>
          <w:rFonts w:cs="Times New Roman"/>
          <w:i/>
        </w:rPr>
      </w:pPr>
      <w:r w:rsidRPr="00C15B77">
        <w:rPr>
          <w:rFonts w:cs="Times New Roman"/>
          <w:i/>
        </w:rPr>
        <w:t>Studyin</w:t>
      </w:r>
      <w:r w:rsidR="00347B82">
        <w:rPr>
          <w:rFonts w:cs="Times New Roman"/>
          <w:i/>
        </w:rPr>
        <w:t>g at British University is quite expensive compared</w:t>
      </w:r>
      <w:r w:rsidRPr="00C15B77">
        <w:rPr>
          <w:rFonts w:cs="Times New Roman"/>
          <w:i/>
        </w:rPr>
        <w:t xml:space="preserve"> to (studying in) Australia and other Western countries. I w</w:t>
      </w:r>
      <w:r w:rsidR="00347B82">
        <w:rPr>
          <w:rFonts w:cs="Times New Roman"/>
          <w:i/>
        </w:rPr>
        <w:t>as lucky as my parents are running</w:t>
      </w:r>
      <w:r w:rsidRPr="00C15B77">
        <w:rPr>
          <w:rFonts w:cs="Times New Roman"/>
          <w:i/>
        </w:rPr>
        <w:t xml:space="preserve"> the family business, they can support me studying here (the British University). As far as I know, </w:t>
      </w:r>
      <w:r w:rsidR="00347B82">
        <w:rPr>
          <w:rFonts w:cs="Times New Roman"/>
          <w:i/>
        </w:rPr>
        <w:t xml:space="preserve">the </w:t>
      </w:r>
      <w:r w:rsidRPr="00C15B77">
        <w:rPr>
          <w:rFonts w:cs="Times New Roman"/>
          <w:i/>
        </w:rPr>
        <w:t xml:space="preserve">majority </w:t>
      </w:r>
      <w:r w:rsidR="00347B82">
        <w:rPr>
          <w:rFonts w:cs="Times New Roman"/>
          <w:i/>
        </w:rPr>
        <w:t xml:space="preserve">of </w:t>
      </w:r>
      <w:r w:rsidRPr="00C15B77">
        <w:rPr>
          <w:rFonts w:cs="Times New Roman"/>
          <w:i/>
        </w:rPr>
        <w:t>Chinese students studying overseas are self-financed …. When I say ‘self’ I meant our ‘parents’</w:t>
      </w:r>
      <w:r w:rsidR="00347B82">
        <w:rPr>
          <w:rFonts w:cs="Times New Roman"/>
          <w:i/>
        </w:rPr>
        <w:t>.</w:t>
      </w:r>
    </w:p>
    <w:p w:rsidR="00347B82" w:rsidRDefault="00347B82" w:rsidP="00AB503F">
      <w:pPr>
        <w:pStyle w:val="ListParagraph"/>
        <w:rPr>
          <w:rFonts w:cs="Times New Roman"/>
          <w:i/>
        </w:rPr>
      </w:pPr>
    </w:p>
    <w:p w:rsidR="00347B82" w:rsidRPr="00C15B77" w:rsidRDefault="00347B82" w:rsidP="00AB503F">
      <w:pPr>
        <w:pStyle w:val="ListParagraph"/>
        <w:rPr>
          <w:rFonts w:cs="Times New Roman"/>
          <w:i/>
        </w:rPr>
      </w:pPr>
      <w:r>
        <w:rPr>
          <w:rFonts w:cs="Times New Roman"/>
          <w:i/>
        </w:rPr>
        <w:t>Outbound student (interviewee – China)</w:t>
      </w:r>
    </w:p>
    <w:p w:rsidR="002C35DB" w:rsidRPr="009D673B" w:rsidRDefault="00C15B77" w:rsidP="0019428D">
      <w:pPr>
        <w:pStyle w:val="Heading1"/>
      </w:pPr>
      <w:r w:rsidRPr="009D673B">
        <w:t>Conclusion</w:t>
      </w:r>
      <w:r w:rsidR="0074162C">
        <w:t>s</w:t>
      </w:r>
    </w:p>
    <w:p w:rsidR="007E4194" w:rsidRDefault="007E4194" w:rsidP="00AB503F">
      <w:pPr>
        <w:spacing w:line="360" w:lineRule="auto"/>
        <w:ind w:left="360"/>
        <w:jc w:val="both"/>
        <w:rPr>
          <w:rFonts w:cs="Times New Roman"/>
          <w:szCs w:val="24"/>
        </w:rPr>
      </w:pPr>
    </w:p>
    <w:p w:rsidR="007E4194" w:rsidRDefault="007E4194" w:rsidP="00AB503F">
      <w:pPr>
        <w:spacing w:line="360" w:lineRule="auto"/>
        <w:ind w:left="360"/>
        <w:jc w:val="both"/>
        <w:rPr>
          <w:rFonts w:cs="Times New Roman"/>
          <w:szCs w:val="24"/>
        </w:rPr>
      </w:pPr>
      <w:r>
        <w:rPr>
          <w:rFonts w:cs="Times New Roman"/>
          <w:szCs w:val="24"/>
        </w:rPr>
        <w:t xml:space="preserve">Analysing our findings on an individual, institutional and </w:t>
      </w:r>
      <w:r w:rsidR="00DB4A9B">
        <w:rPr>
          <w:rFonts w:cs="Times New Roman"/>
          <w:szCs w:val="24"/>
        </w:rPr>
        <w:t>national level, three</w:t>
      </w:r>
      <w:r>
        <w:rPr>
          <w:rFonts w:cs="Times New Roman"/>
          <w:szCs w:val="24"/>
        </w:rPr>
        <w:t xml:space="preserve"> broad conclusions can be drawn </w:t>
      </w:r>
      <w:r w:rsidR="00DB4A9B">
        <w:rPr>
          <w:rFonts w:cs="Times New Roman"/>
          <w:szCs w:val="24"/>
        </w:rPr>
        <w:t>about what these transitional countries can learn from one another.</w:t>
      </w:r>
    </w:p>
    <w:p w:rsidR="00E748D5" w:rsidRDefault="00E748D5" w:rsidP="00AB503F">
      <w:pPr>
        <w:spacing w:line="360" w:lineRule="auto"/>
        <w:ind w:left="360"/>
        <w:jc w:val="both"/>
        <w:rPr>
          <w:rFonts w:cs="Times New Roman"/>
          <w:szCs w:val="24"/>
        </w:rPr>
      </w:pPr>
      <w:r>
        <w:rPr>
          <w:rFonts w:cs="Times New Roman"/>
          <w:noProof/>
          <w:szCs w:val="24"/>
          <w:lang w:eastAsia="en-GB"/>
        </w:rPr>
        <w:drawing>
          <wp:inline distT="0" distB="0" distL="0" distR="0">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B4A9B" w:rsidRDefault="00DB4A9B" w:rsidP="00AB503F">
      <w:pPr>
        <w:spacing w:line="360" w:lineRule="auto"/>
        <w:ind w:left="360"/>
        <w:jc w:val="both"/>
        <w:rPr>
          <w:rFonts w:cs="Times New Roman"/>
          <w:szCs w:val="24"/>
        </w:rPr>
      </w:pPr>
      <w:r>
        <w:rPr>
          <w:rFonts w:cs="Times New Roman"/>
          <w:szCs w:val="24"/>
        </w:rPr>
        <w:t xml:space="preserve">Firstly, the potential influence and value of family support is clear from the Chinese case, the only one in which it emerged as an explicit theme. </w:t>
      </w:r>
      <w:r w:rsidR="00E748D5">
        <w:rPr>
          <w:rFonts w:cs="Times New Roman"/>
          <w:szCs w:val="24"/>
        </w:rPr>
        <w:t>In</w:t>
      </w:r>
      <w:r w:rsidR="00553C0A" w:rsidRPr="00AE75E1">
        <w:t>bound student mob</w:t>
      </w:r>
      <w:r w:rsidR="00553C0A">
        <w:t>ility responds to</w:t>
      </w:r>
      <w:r w:rsidR="00553C0A" w:rsidRPr="00AE75E1">
        <w:t xml:space="preserve"> a combinatio</w:t>
      </w:r>
      <w:r w:rsidR="00553C0A">
        <w:t>n of Chinese government support,</w:t>
      </w:r>
      <w:r w:rsidR="00553C0A" w:rsidRPr="00AE75E1">
        <w:t xml:space="preserve"> Chinese HE institution</w:t>
      </w:r>
      <w:r w:rsidR="00553C0A">
        <w:t>al</w:t>
      </w:r>
      <w:r w:rsidR="00553C0A" w:rsidRPr="00AE75E1">
        <w:t xml:space="preserve"> support and student</w:t>
      </w:r>
      <w:r w:rsidR="00553C0A">
        <w:t>s’ self-motivation</w:t>
      </w:r>
      <w:r w:rsidR="00553C0A" w:rsidRPr="00AE75E1">
        <w:t>.</w:t>
      </w:r>
      <w:r w:rsidR="00E726D7">
        <w:t xml:space="preserve"> </w:t>
      </w:r>
      <w:r w:rsidR="00E748D5">
        <w:t xml:space="preserve">However, outbound mobility is most influenced by family support. </w:t>
      </w:r>
      <w:r>
        <w:rPr>
          <w:rFonts w:cs="Times New Roman"/>
          <w:szCs w:val="24"/>
        </w:rPr>
        <w:t>We suggest that the individual benefits of studying abroad</w:t>
      </w:r>
      <w:r w:rsidR="00E748D5">
        <w:rPr>
          <w:rFonts w:cs="Times New Roman"/>
          <w:szCs w:val="24"/>
        </w:rPr>
        <w:t xml:space="preserve"> – personal development, enhanced employability etc -</w:t>
      </w:r>
      <w:r>
        <w:rPr>
          <w:rFonts w:cs="Times New Roman"/>
          <w:szCs w:val="24"/>
        </w:rPr>
        <w:t xml:space="preserve"> can </w:t>
      </w:r>
      <w:r w:rsidR="00E748D5">
        <w:rPr>
          <w:rFonts w:cs="Times New Roman"/>
          <w:szCs w:val="24"/>
        </w:rPr>
        <w:t xml:space="preserve">in turn </w:t>
      </w:r>
      <w:r>
        <w:rPr>
          <w:rFonts w:cs="Times New Roman"/>
          <w:szCs w:val="24"/>
        </w:rPr>
        <w:t>drive support from the family, both financial and emotional. These can be maximised through the develo</w:t>
      </w:r>
      <w:r w:rsidR="00E748D5">
        <w:rPr>
          <w:rFonts w:cs="Times New Roman"/>
          <w:szCs w:val="24"/>
        </w:rPr>
        <w:t>pment of valuable opportunities providing credit transfer, a double degree and other employability enhancements and also an educational culture which helps students identify their learnings from challenging experiences.</w:t>
      </w:r>
      <w:r w:rsidR="000C1EDD">
        <w:rPr>
          <w:rFonts w:cs="Times New Roman"/>
          <w:szCs w:val="24"/>
        </w:rPr>
        <w:t xml:space="preserve"> Both the UK and Ukraine could consider more the role of the family in supporting internationally mobile students.</w:t>
      </w:r>
    </w:p>
    <w:p w:rsidR="00DB4A9B" w:rsidRDefault="00DB4A9B" w:rsidP="00AB503F">
      <w:pPr>
        <w:spacing w:line="360" w:lineRule="auto"/>
        <w:ind w:left="360"/>
        <w:jc w:val="both"/>
        <w:rPr>
          <w:rFonts w:cs="Times New Roman"/>
          <w:szCs w:val="24"/>
        </w:rPr>
      </w:pPr>
      <w:r>
        <w:rPr>
          <w:rFonts w:cs="Times New Roman"/>
          <w:szCs w:val="24"/>
        </w:rPr>
        <w:t>In the UK</w:t>
      </w:r>
      <w:r w:rsidR="00E748D5">
        <w:rPr>
          <w:rFonts w:cs="Times New Roman"/>
          <w:szCs w:val="24"/>
        </w:rPr>
        <w:t xml:space="preserve"> case</w:t>
      </w:r>
      <w:r>
        <w:rPr>
          <w:rFonts w:cs="Times New Roman"/>
          <w:szCs w:val="24"/>
        </w:rPr>
        <w:t>, the growth in outward mobility was driven by institutional policy behind the st</w:t>
      </w:r>
      <w:r w:rsidR="0074162C">
        <w:rPr>
          <w:rFonts w:cs="Times New Roman"/>
          <w:szCs w:val="24"/>
        </w:rPr>
        <w:t>ructure and process of recruiting and supporting students</w:t>
      </w:r>
      <w:r>
        <w:rPr>
          <w:rFonts w:cs="Times New Roman"/>
          <w:szCs w:val="24"/>
        </w:rPr>
        <w:t xml:space="preserve">, which in turn produced a focus on building </w:t>
      </w:r>
      <w:r w:rsidR="00E748D5">
        <w:rPr>
          <w:rFonts w:cs="Times New Roman"/>
          <w:szCs w:val="24"/>
        </w:rPr>
        <w:t xml:space="preserve">the </w:t>
      </w:r>
      <w:r>
        <w:rPr>
          <w:rFonts w:cs="Times New Roman"/>
          <w:szCs w:val="24"/>
        </w:rPr>
        <w:t xml:space="preserve">valuable opportunities </w:t>
      </w:r>
      <w:r w:rsidR="00E748D5">
        <w:rPr>
          <w:rFonts w:cs="Times New Roman"/>
          <w:szCs w:val="24"/>
        </w:rPr>
        <w:t>for individuals described above</w:t>
      </w:r>
      <w:r w:rsidR="005918D6">
        <w:rPr>
          <w:rFonts w:cs="Times New Roman"/>
          <w:szCs w:val="24"/>
        </w:rPr>
        <w:t xml:space="preserve"> and highly motivating communication</w:t>
      </w:r>
      <w:r w:rsidR="00E748D5">
        <w:rPr>
          <w:rFonts w:cs="Times New Roman"/>
          <w:szCs w:val="24"/>
        </w:rPr>
        <w:t xml:space="preserve">. While Chinese universities focus on incentives to attract inbound students, they are less concerned with supporting ‘exchange’ mobility as part of home studies. Most outbound students are self-funding and engage in full-time study abroad on their own initiative. </w:t>
      </w:r>
      <w:r w:rsidR="000C1EDD">
        <w:rPr>
          <w:rFonts w:cs="Times New Roman"/>
          <w:szCs w:val="24"/>
        </w:rPr>
        <w:t xml:space="preserve">In Ukraine, a lack of </w:t>
      </w:r>
      <w:r w:rsidR="0074162C">
        <w:rPr>
          <w:rFonts w:cs="Times New Roman"/>
          <w:szCs w:val="24"/>
        </w:rPr>
        <w:t>institutional structure undermines the experience and integration of incoming students, effecting their reputation abroad.</w:t>
      </w:r>
    </w:p>
    <w:p w:rsidR="007E4194" w:rsidRDefault="00DB4A9B" w:rsidP="00AB503F">
      <w:pPr>
        <w:spacing w:line="360" w:lineRule="auto"/>
        <w:ind w:left="360"/>
        <w:jc w:val="both"/>
        <w:rPr>
          <w:rFonts w:cs="Times New Roman"/>
          <w:szCs w:val="24"/>
        </w:rPr>
      </w:pPr>
      <w:r>
        <w:rPr>
          <w:rFonts w:cs="Times New Roman"/>
          <w:szCs w:val="24"/>
        </w:rPr>
        <w:t>Finally, Ukraine clearly demonstrates the influence of government policy, the value of regional and wider international integration.</w:t>
      </w:r>
      <w:r w:rsidR="00281E16">
        <w:rPr>
          <w:rFonts w:cs="Times New Roman"/>
          <w:szCs w:val="24"/>
        </w:rPr>
        <w:t xml:space="preserve"> Outbound mobility is mostly within the Erasmus+ programme now its scope is broader than the European Union but inbound mobility is undermined by a lack of institutional focus, support and engagement.</w:t>
      </w:r>
      <w:r w:rsidR="0074162C">
        <w:rPr>
          <w:rFonts w:cs="Times New Roman"/>
          <w:szCs w:val="24"/>
        </w:rPr>
        <w:t xml:space="preserve"> Both China and the UK should consider this aspect of closer international integration when deciding their future.</w:t>
      </w:r>
    </w:p>
    <w:p w:rsidR="006368E5" w:rsidRPr="00937111" w:rsidRDefault="007364D1" w:rsidP="00966913">
      <w:pPr>
        <w:spacing w:line="360" w:lineRule="auto"/>
        <w:rPr>
          <w:rFonts w:cs="Times New Roman"/>
          <w:szCs w:val="24"/>
        </w:rPr>
      </w:pPr>
      <w:r w:rsidRPr="00937111">
        <w:rPr>
          <w:rFonts w:cs="Times New Roman"/>
          <w:b/>
          <w:szCs w:val="24"/>
        </w:rPr>
        <w:t>References</w:t>
      </w:r>
    </w:p>
    <w:p w:rsidR="003063FA" w:rsidRPr="00966913" w:rsidRDefault="004153B6" w:rsidP="00966913">
      <w:pPr>
        <w:spacing w:after="0"/>
        <w:ind w:left="720" w:hanging="720"/>
        <w:rPr>
          <w:rFonts w:cs="Times New Roman"/>
          <w:noProof/>
          <w:sz w:val="20"/>
          <w:szCs w:val="20"/>
        </w:rPr>
      </w:pPr>
      <w:r w:rsidRPr="00966913">
        <w:rPr>
          <w:rFonts w:cs="Times New Roman"/>
          <w:sz w:val="20"/>
          <w:szCs w:val="20"/>
        </w:rPr>
        <w:fldChar w:fldCharType="begin"/>
      </w:r>
      <w:r w:rsidR="000152A6" w:rsidRPr="00966913">
        <w:rPr>
          <w:rFonts w:cs="Times New Roman"/>
          <w:sz w:val="20"/>
          <w:szCs w:val="20"/>
        </w:rPr>
        <w:instrText xml:space="preserve"> ADDIN EN.REFLIST </w:instrText>
      </w:r>
      <w:r w:rsidRPr="00966913">
        <w:rPr>
          <w:rFonts w:cs="Times New Roman"/>
          <w:sz w:val="20"/>
          <w:szCs w:val="20"/>
        </w:rPr>
        <w:fldChar w:fldCharType="separate"/>
      </w:r>
      <w:bookmarkStart w:id="1" w:name="_ENREF_1"/>
      <w:r w:rsidR="003063FA" w:rsidRPr="00966913">
        <w:rPr>
          <w:rFonts w:cs="Times New Roman"/>
          <w:noProof/>
          <w:sz w:val="20"/>
          <w:szCs w:val="20"/>
        </w:rPr>
        <w:t xml:space="preserve">Altbach, P. G., &amp; Knight, J. (2007). The internationalization of higher education: motivation and realities. </w:t>
      </w:r>
      <w:r w:rsidR="003063FA" w:rsidRPr="00966913">
        <w:rPr>
          <w:rFonts w:cs="Times New Roman"/>
          <w:i/>
          <w:noProof/>
          <w:sz w:val="20"/>
          <w:szCs w:val="20"/>
        </w:rPr>
        <w:t>Journal of Studies in International Education, 11</w:t>
      </w:r>
      <w:r w:rsidR="003063FA" w:rsidRPr="00966913">
        <w:rPr>
          <w:rFonts w:cs="Times New Roman"/>
          <w:noProof/>
          <w:sz w:val="20"/>
          <w:szCs w:val="20"/>
        </w:rPr>
        <w:t xml:space="preserve">(3-4), 290-305. </w:t>
      </w:r>
      <w:bookmarkEnd w:id="1"/>
    </w:p>
    <w:p w:rsidR="00E230C6" w:rsidRPr="00966913" w:rsidRDefault="00E230C6" w:rsidP="00966913">
      <w:pPr>
        <w:pStyle w:val="Heading3"/>
        <w:spacing w:before="0" w:after="24"/>
        <w:rPr>
          <w:rFonts w:ascii="Times New Roman" w:hAnsi="Times New Roman" w:cs="Times New Roman"/>
          <w:b w:val="0"/>
          <w:color w:val="auto"/>
          <w:sz w:val="20"/>
          <w:szCs w:val="20"/>
        </w:rPr>
      </w:pPr>
      <w:r w:rsidRPr="00966913">
        <w:rPr>
          <w:rFonts w:ascii="Times New Roman" w:hAnsi="Times New Roman" w:cs="Times New Roman"/>
          <w:b w:val="0"/>
          <w:color w:val="auto"/>
          <w:sz w:val="20"/>
          <w:szCs w:val="20"/>
        </w:rPr>
        <w:t xml:space="preserve">Bandura, A. (1993). Perceived self-efficacy in cognitive development and functioning, </w:t>
      </w:r>
      <w:r w:rsidRPr="00966913">
        <w:rPr>
          <w:rFonts w:ascii="Times New Roman" w:hAnsi="Times New Roman" w:cs="Times New Roman"/>
          <w:b w:val="0"/>
          <w:i/>
          <w:color w:val="auto"/>
          <w:sz w:val="20"/>
          <w:szCs w:val="20"/>
        </w:rPr>
        <w:t>Educational Psychologist,</w:t>
      </w:r>
      <w:r w:rsidRPr="00966913">
        <w:rPr>
          <w:rFonts w:ascii="Times New Roman" w:hAnsi="Times New Roman" w:cs="Times New Roman"/>
          <w:b w:val="0"/>
          <w:color w:val="auto"/>
          <w:sz w:val="20"/>
          <w:szCs w:val="20"/>
        </w:rPr>
        <w:t xml:space="preserve"> Vol.28, Issue 2, pp.117-148</w:t>
      </w:r>
    </w:p>
    <w:p w:rsidR="003063FA" w:rsidRPr="00966913" w:rsidRDefault="003063FA" w:rsidP="00966913">
      <w:pPr>
        <w:spacing w:after="0"/>
        <w:ind w:left="720" w:hanging="720"/>
        <w:rPr>
          <w:rFonts w:cs="Times New Roman"/>
          <w:noProof/>
          <w:sz w:val="20"/>
          <w:szCs w:val="20"/>
        </w:rPr>
      </w:pPr>
      <w:bookmarkStart w:id="2" w:name="_ENREF_2"/>
      <w:r w:rsidRPr="00966913">
        <w:rPr>
          <w:rFonts w:cs="Times New Roman"/>
          <w:noProof/>
          <w:sz w:val="20"/>
          <w:szCs w:val="20"/>
        </w:rPr>
        <w:t xml:space="preserve">Bartell, M. (2003). Internationalization of universities: A university culture-based framework. </w:t>
      </w:r>
      <w:r w:rsidRPr="00966913">
        <w:rPr>
          <w:rFonts w:cs="Times New Roman"/>
          <w:i/>
          <w:noProof/>
          <w:sz w:val="20"/>
          <w:szCs w:val="20"/>
        </w:rPr>
        <w:t>Higher Education, 45</w:t>
      </w:r>
      <w:r w:rsidRPr="00966913">
        <w:rPr>
          <w:rFonts w:cs="Times New Roman"/>
          <w:noProof/>
          <w:sz w:val="20"/>
          <w:szCs w:val="20"/>
        </w:rPr>
        <w:t xml:space="preserve">, 43-70. </w:t>
      </w:r>
      <w:bookmarkEnd w:id="2"/>
    </w:p>
    <w:p w:rsidR="00DE60FA" w:rsidRPr="00966913" w:rsidRDefault="00DE60FA" w:rsidP="00966913">
      <w:pPr>
        <w:spacing w:after="0"/>
        <w:ind w:left="720" w:hanging="720"/>
        <w:rPr>
          <w:rFonts w:cs="Times New Roman"/>
          <w:noProof/>
          <w:sz w:val="20"/>
          <w:szCs w:val="20"/>
        </w:rPr>
      </w:pPr>
      <w:r w:rsidRPr="00966913">
        <w:rPr>
          <w:rFonts w:cs="Times New Roman"/>
          <w:noProof/>
          <w:sz w:val="20"/>
          <w:szCs w:val="20"/>
        </w:rPr>
        <w:t>Blackwell &amp; Blackmore</w:t>
      </w:r>
    </w:p>
    <w:p w:rsidR="00EF7901" w:rsidRDefault="00EF7901" w:rsidP="00966913">
      <w:pPr>
        <w:spacing w:after="0"/>
        <w:ind w:left="720" w:hanging="720"/>
        <w:rPr>
          <w:rFonts w:cs="Times New Roman"/>
          <w:sz w:val="20"/>
          <w:szCs w:val="20"/>
        </w:rPr>
      </w:pPr>
      <w:r w:rsidRPr="00966913">
        <w:rPr>
          <w:rFonts w:cs="Times New Roman"/>
          <w:noProof/>
          <w:sz w:val="20"/>
          <w:szCs w:val="20"/>
        </w:rPr>
        <w:t>British Council, 2016. www.britishcouncil.</w:t>
      </w:r>
      <w:r w:rsidRPr="00966913">
        <w:rPr>
          <w:rFonts w:cs="Times New Roman"/>
          <w:sz w:val="20"/>
          <w:szCs w:val="20"/>
        </w:rPr>
        <w:t xml:space="preserve"> (www.britishcouncil.org/erasmus.htm</w:t>
      </w:r>
    </w:p>
    <w:p w:rsidR="00485958" w:rsidRDefault="00485958" w:rsidP="00966913">
      <w:pPr>
        <w:spacing w:after="0"/>
        <w:ind w:left="720" w:hanging="720"/>
        <w:rPr>
          <w:rFonts w:cs="Times New Roman"/>
          <w:sz w:val="20"/>
          <w:szCs w:val="20"/>
        </w:rPr>
      </w:pPr>
      <w:r>
        <w:rPr>
          <w:rFonts w:cs="Times New Roman"/>
          <w:sz w:val="20"/>
          <w:szCs w:val="20"/>
        </w:rPr>
        <w:t>Bruner 1960</w:t>
      </w:r>
    </w:p>
    <w:p w:rsidR="00E834F7" w:rsidRPr="00966913" w:rsidRDefault="00E834F7" w:rsidP="00966913">
      <w:pPr>
        <w:spacing w:after="0"/>
        <w:ind w:left="720" w:hanging="720"/>
        <w:rPr>
          <w:rFonts w:cs="Times New Roman"/>
          <w:noProof/>
          <w:sz w:val="20"/>
          <w:szCs w:val="20"/>
        </w:rPr>
      </w:pPr>
      <w:r>
        <w:rPr>
          <w:rFonts w:cs="Times New Roman"/>
          <w:sz w:val="20"/>
          <w:szCs w:val="20"/>
        </w:rPr>
        <w:t xml:space="preserve">Cheng &amp; Yip </w:t>
      </w:r>
    </w:p>
    <w:p w:rsidR="00EF5B50" w:rsidRPr="00966913" w:rsidRDefault="00EF5B50" w:rsidP="00966913">
      <w:pPr>
        <w:snapToGrid w:val="0"/>
        <w:spacing w:after="0"/>
        <w:contextualSpacing/>
        <w:rPr>
          <w:rFonts w:eastAsia="SimSun" w:cs="Times New Roman"/>
          <w:sz w:val="20"/>
          <w:szCs w:val="20"/>
        </w:rPr>
      </w:pPr>
      <w:r w:rsidRPr="00966913">
        <w:rPr>
          <w:rFonts w:eastAsia="SimSun" w:cs="Times New Roman"/>
          <w:sz w:val="20"/>
          <w:szCs w:val="20"/>
        </w:rPr>
        <w:t xml:space="preserve">Chinese Minister of Education Report (2015) </w:t>
      </w:r>
    </w:p>
    <w:p w:rsidR="003063FA" w:rsidRPr="00966913" w:rsidRDefault="003063FA" w:rsidP="00966913">
      <w:pPr>
        <w:spacing w:after="0"/>
        <w:ind w:left="720" w:hanging="720"/>
        <w:rPr>
          <w:rFonts w:cs="Times New Roman"/>
          <w:noProof/>
          <w:sz w:val="20"/>
          <w:szCs w:val="20"/>
        </w:rPr>
      </w:pPr>
      <w:bookmarkStart w:id="3" w:name="_ENREF_4"/>
      <w:r w:rsidRPr="00966913">
        <w:rPr>
          <w:rFonts w:cs="Times New Roman"/>
          <w:noProof/>
          <w:sz w:val="20"/>
          <w:szCs w:val="20"/>
        </w:rPr>
        <w:t xml:space="preserve">Creswell, J. W. (2003). </w:t>
      </w:r>
      <w:r w:rsidRPr="00966913">
        <w:rPr>
          <w:rFonts w:cs="Times New Roman"/>
          <w:i/>
          <w:noProof/>
          <w:sz w:val="20"/>
          <w:szCs w:val="20"/>
        </w:rPr>
        <w:t>Research design : qualitative, quantitative, and mixed methods approaches</w:t>
      </w:r>
      <w:r w:rsidRPr="00966913">
        <w:rPr>
          <w:rFonts w:cs="Times New Roman"/>
          <w:noProof/>
          <w:sz w:val="20"/>
          <w:szCs w:val="20"/>
        </w:rPr>
        <w:t xml:space="preserve"> (2nd ed. ed.). Thousand Oaks, Calif. ; London: Sage.</w:t>
      </w:r>
      <w:bookmarkEnd w:id="3"/>
    </w:p>
    <w:p w:rsidR="003063FA" w:rsidRPr="00966913" w:rsidRDefault="003063FA" w:rsidP="00966913">
      <w:pPr>
        <w:spacing w:after="0"/>
        <w:ind w:left="720" w:hanging="720"/>
        <w:rPr>
          <w:rFonts w:cs="Times New Roman"/>
          <w:noProof/>
          <w:sz w:val="20"/>
          <w:szCs w:val="20"/>
        </w:rPr>
      </w:pPr>
      <w:bookmarkStart w:id="4" w:name="_ENREF_5"/>
      <w:r w:rsidRPr="00966913">
        <w:rPr>
          <w:rFonts w:cs="Times New Roman"/>
          <w:noProof/>
          <w:sz w:val="20"/>
          <w:szCs w:val="20"/>
        </w:rPr>
        <w:t xml:space="preserve">Creswell, J. W. (2007). </w:t>
      </w:r>
      <w:r w:rsidRPr="00966913">
        <w:rPr>
          <w:rFonts w:cs="Times New Roman"/>
          <w:i/>
          <w:noProof/>
          <w:sz w:val="20"/>
          <w:szCs w:val="20"/>
        </w:rPr>
        <w:t>Qualitative inquiry &amp; research design : choosing among five approaches</w:t>
      </w:r>
      <w:r w:rsidRPr="00966913">
        <w:rPr>
          <w:rFonts w:cs="Times New Roman"/>
          <w:noProof/>
          <w:sz w:val="20"/>
          <w:szCs w:val="20"/>
        </w:rPr>
        <w:t xml:space="preserve"> (2nd ed.). Thousand Oaks: Sage Publications.</w:t>
      </w:r>
      <w:bookmarkEnd w:id="4"/>
    </w:p>
    <w:p w:rsidR="00E230C6" w:rsidRPr="00966913" w:rsidRDefault="00E230C6" w:rsidP="00966913">
      <w:pPr>
        <w:snapToGrid w:val="0"/>
        <w:spacing w:after="0"/>
        <w:contextualSpacing/>
        <w:rPr>
          <w:rFonts w:cs="Times New Roman"/>
          <w:sz w:val="20"/>
          <w:szCs w:val="20"/>
        </w:rPr>
      </w:pPr>
      <w:r w:rsidRPr="00966913">
        <w:rPr>
          <w:rFonts w:eastAsia="SimSun" w:cs="Times New Roman"/>
          <w:sz w:val="20"/>
          <w:szCs w:val="20"/>
        </w:rPr>
        <w:t xml:space="preserve">Dall’Alla, G. and Sildhu, R. (2015) Australian undergraduate students on the move: experiencing outbound mobility. </w:t>
      </w:r>
      <w:r w:rsidRPr="00966913">
        <w:rPr>
          <w:rFonts w:cs="Times New Roman"/>
          <w:i/>
          <w:sz w:val="20"/>
          <w:szCs w:val="20"/>
        </w:rPr>
        <w:t xml:space="preserve">Studies in Higher Education, </w:t>
      </w:r>
      <w:r w:rsidRPr="00966913">
        <w:rPr>
          <w:rFonts w:cs="Times New Roman"/>
          <w:sz w:val="20"/>
          <w:szCs w:val="20"/>
        </w:rPr>
        <w:t>40 (4), 721-744.</w:t>
      </w:r>
    </w:p>
    <w:p w:rsidR="00B02607" w:rsidRPr="00966913" w:rsidRDefault="00B02607" w:rsidP="00966913">
      <w:pPr>
        <w:snapToGrid w:val="0"/>
        <w:spacing w:after="0"/>
        <w:contextualSpacing/>
        <w:rPr>
          <w:rFonts w:cs="Times New Roman"/>
          <w:sz w:val="20"/>
          <w:szCs w:val="20"/>
        </w:rPr>
      </w:pPr>
      <w:r w:rsidRPr="00966913">
        <w:rPr>
          <w:rFonts w:cs="Times New Roman"/>
          <w:sz w:val="20"/>
          <w:szCs w:val="20"/>
        </w:rPr>
        <w:t>Dewey</w:t>
      </w:r>
    </w:p>
    <w:p w:rsidR="003063FA" w:rsidRDefault="003063FA" w:rsidP="00966913">
      <w:pPr>
        <w:spacing w:after="0"/>
        <w:ind w:left="720" w:hanging="720"/>
        <w:rPr>
          <w:rFonts w:cs="Times New Roman"/>
          <w:noProof/>
          <w:sz w:val="20"/>
          <w:szCs w:val="20"/>
        </w:rPr>
      </w:pPr>
      <w:bookmarkStart w:id="5" w:name="_ENREF_6"/>
      <w:r w:rsidRPr="00966913">
        <w:rPr>
          <w:rFonts w:cs="Times New Roman"/>
          <w:noProof/>
          <w:sz w:val="20"/>
          <w:szCs w:val="20"/>
        </w:rPr>
        <w:t xml:space="preserve">Di Pietro, G., &amp; Page, L. (2008). Who studies abroad?  Evidence from France and Italy. </w:t>
      </w:r>
      <w:r w:rsidRPr="00966913">
        <w:rPr>
          <w:rFonts w:cs="Times New Roman"/>
          <w:i/>
          <w:noProof/>
          <w:sz w:val="20"/>
          <w:szCs w:val="20"/>
        </w:rPr>
        <w:t>European Journal of Education, 43</w:t>
      </w:r>
      <w:r w:rsidRPr="00966913">
        <w:rPr>
          <w:rFonts w:cs="Times New Roman"/>
          <w:noProof/>
          <w:sz w:val="20"/>
          <w:szCs w:val="20"/>
        </w:rPr>
        <w:t xml:space="preserve">(3), 389-398. </w:t>
      </w:r>
      <w:bookmarkEnd w:id="5"/>
    </w:p>
    <w:p w:rsidR="00420E60" w:rsidRPr="00966913" w:rsidRDefault="00420E60" w:rsidP="00966913">
      <w:pPr>
        <w:spacing w:after="0"/>
        <w:ind w:left="720" w:hanging="720"/>
        <w:rPr>
          <w:rFonts w:cs="Times New Roman"/>
          <w:noProof/>
          <w:sz w:val="20"/>
          <w:szCs w:val="20"/>
        </w:rPr>
      </w:pPr>
      <w:r>
        <w:rPr>
          <w:rFonts w:cs="Times New Roman"/>
          <w:noProof/>
          <w:sz w:val="20"/>
          <w:szCs w:val="20"/>
        </w:rPr>
        <w:t>Diamond et al</w:t>
      </w:r>
    </w:p>
    <w:p w:rsidR="00966913" w:rsidRPr="00966913" w:rsidRDefault="00966913" w:rsidP="00966913">
      <w:pPr>
        <w:spacing w:after="0"/>
        <w:ind w:left="720" w:hanging="720"/>
        <w:rPr>
          <w:rFonts w:cs="Times New Roman"/>
          <w:noProof/>
          <w:sz w:val="20"/>
          <w:szCs w:val="20"/>
        </w:rPr>
      </w:pPr>
      <w:bookmarkStart w:id="6" w:name="_ENREF_3"/>
      <w:r w:rsidRPr="00966913">
        <w:rPr>
          <w:rFonts w:cs="Times New Roman"/>
          <w:noProof/>
          <w:sz w:val="20"/>
          <w:szCs w:val="20"/>
        </w:rPr>
        <w:t xml:space="preserve">European Comission (2013). </w:t>
      </w:r>
      <w:r w:rsidRPr="00966913">
        <w:rPr>
          <w:rFonts w:cs="Times New Roman"/>
          <w:i/>
          <w:noProof/>
          <w:sz w:val="20"/>
          <w:szCs w:val="20"/>
        </w:rPr>
        <w:t xml:space="preserve">Erasmus Mundus in Eastern Partnership countries </w:t>
      </w:r>
      <w:r w:rsidRPr="00966913">
        <w:rPr>
          <w:rFonts w:cs="Times New Roman"/>
          <w:noProof/>
          <w:sz w:val="20"/>
          <w:szCs w:val="20"/>
        </w:rPr>
        <w:t>European Commission.</w:t>
      </w:r>
      <w:bookmarkEnd w:id="6"/>
    </w:p>
    <w:p w:rsidR="003063FA" w:rsidRPr="00966913" w:rsidRDefault="003063FA" w:rsidP="00966913">
      <w:pPr>
        <w:spacing w:after="0"/>
        <w:ind w:left="720" w:hanging="720"/>
        <w:rPr>
          <w:rFonts w:cs="Times New Roman"/>
          <w:noProof/>
          <w:sz w:val="20"/>
          <w:szCs w:val="20"/>
        </w:rPr>
      </w:pPr>
      <w:bookmarkStart w:id="7" w:name="_ENREF_7"/>
      <w:r w:rsidRPr="00966913">
        <w:rPr>
          <w:rFonts w:cs="Times New Roman"/>
          <w:noProof/>
          <w:sz w:val="20"/>
          <w:szCs w:val="20"/>
        </w:rPr>
        <w:t xml:space="preserve">European Comission. (2014). </w:t>
      </w:r>
      <w:r w:rsidRPr="00966913">
        <w:rPr>
          <w:rFonts w:cs="Times New Roman"/>
          <w:i/>
          <w:noProof/>
          <w:sz w:val="20"/>
          <w:szCs w:val="20"/>
        </w:rPr>
        <w:t>Erasmus+: EU programme for education, training, youth and sport</w:t>
      </w:r>
      <w:r w:rsidRPr="00966913">
        <w:rPr>
          <w:rFonts w:cs="Times New Roman"/>
          <w:noProof/>
          <w:sz w:val="20"/>
          <w:szCs w:val="20"/>
        </w:rPr>
        <w:t xml:space="preserve">.  Retrieved from </w:t>
      </w:r>
      <w:hyperlink r:id="rId13" w:history="1">
        <w:r w:rsidRPr="00966913">
          <w:rPr>
            <w:rStyle w:val="Hyperlink"/>
            <w:rFonts w:cs="Times New Roman"/>
            <w:noProof/>
            <w:sz w:val="20"/>
            <w:szCs w:val="20"/>
          </w:rPr>
          <w:t>http://ec.europa.eu/programmes/erasmus-plus/index_en.htm</w:t>
        </w:r>
      </w:hyperlink>
      <w:r w:rsidRPr="00966913">
        <w:rPr>
          <w:rFonts w:cs="Times New Roman"/>
          <w:noProof/>
          <w:sz w:val="20"/>
          <w:szCs w:val="20"/>
        </w:rPr>
        <w:t>.</w:t>
      </w:r>
      <w:bookmarkEnd w:id="7"/>
    </w:p>
    <w:p w:rsidR="00E230C6" w:rsidRDefault="00E230C6" w:rsidP="00966913">
      <w:pPr>
        <w:snapToGrid w:val="0"/>
        <w:spacing w:after="0"/>
        <w:contextualSpacing/>
        <w:rPr>
          <w:rFonts w:eastAsia="SimSun" w:cs="Times New Roman"/>
          <w:sz w:val="20"/>
          <w:szCs w:val="20"/>
        </w:rPr>
      </w:pPr>
      <w:r w:rsidRPr="00966913">
        <w:rPr>
          <w:rFonts w:eastAsia="SimSun" w:cs="Times New Roman"/>
          <w:sz w:val="20"/>
          <w:szCs w:val="20"/>
        </w:rPr>
        <w:t>Fang, T. (2003): A critique of Hofstede’s fifth national culture dimension, in: International Journal of Cross Cultural Management</w:t>
      </w:r>
      <w:r w:rsidRPr="00966913">
        <w:rPr>
          <w:rFonts w:eastAsia="SimSun" w:cs="Times New Roman"/>
          <w:i/>
          <w:sz w:val="20"/>
          <w:szCs w:val="20"/>
        </w:rPr>
        <w:t xml:space="preserve">, </w:t>
      </w:r>
      <w:r w:rsidRPr="00966913">
        <w:rPr>
          <w:rFonts w:eastAsia="SimSun" w:cs="Times New Roman"/>
          <w:sz w:val="20"/>
          <w:szCs w:val="20"/>
        </w:rPr>
        <w:t xml:space="preserve">3, 347-368. </w:t>
      </w:r>
    </w:p>
    <w:p w:rsidR="00420E60" w:rsidRPr="00966913" w:rsidRDefault="00420E60" w:rsidP="00966913">
      <w:pPr>
        <w:snapToGrid w:val="0"/>
        <w:spacing w:after="0"/>
        <w:contextualSpacing/>
        <w:rPr>
          <w:rFonts w:eastAsia="SimSun" w:cs="Times New Roman"/>
          <w:sz w:val="20"/>
          <w:szCs w:val="20"/>
        </w:rPr>
      </w:pPr>
      <w:r>
        <w:rPr>
          <w:rFonts w:eastAsia="SimSun" w:cs="Times New Roman"/>
          <w:sz w:val="20"/>
          <w:szCs w:val="20"/>
        </w:rPr>
        <w:t>Gardner et al. (2009)</w:t>
      </w:r>
    </w:p>
    <w:p w:rsidR="003063FA" w:rsidRPr="00966913" w:rsidRDefault="003063FA" w:rsidP="00966913">
      <w:pPr>
        <w:spacing w:after="0"/>
        <w:ind w:left="720" w:hanging="720"/>
        <w:rPr>
          <w:rFonts w:cs="Times New Roman"/>
          <w:noProof/>
          <w:sz w:val="20"/>
          <w:szCs w:val="20"/>
        </w:rPr>
      </w:pPr>
      <w:bookmarkStart w:id="8" w:name="_ENREF_8"/>
      <w:r w:rsidRPr="00966913">
        <w:rPr>
          <w:rFonts w:cs="Times New Roman"/>
          <w:noProof/>
          <w:sz w:val="20"/>
          <w:szCs w:val="20"/>
        </w:rPr>
        <w:t xml:space="preserve">Gillham, B. (2000). </w:t>
      </w:r>
      <w:r w:rsidRPr="00966913">
        <w:rPr>
          <w:rFonts w:cs="Times New Roman"/>
          <w:i/>
          <w:noProof/>
          <w:sz w:val="20"/>
          <w:szCs w:val="20"/>
        </w:rPr>
        <w:t>Case study research methods</w:t>
      </w:r>
      <w:r w:rsidRPr="00966913">
        <w:rPr>
          <w:rFonts w:cs="Times New Roman"/>
          <w:noProof/>
          <w:sz w:val="20"/>
          <w:szCs w:val="20"/>
        </w:rPr>
        <w:t>. London: Continuum.</w:t>
      </w:r>
      <w:bookmarkEnd w:id="8"/>
    </w:p>
    <w:p w:rsidR="003063FA" w:rsidRPr="00966913" w:rsidRDefault="003063FA" w:rsidP="00966913">
      <w:pPr>
        <w:spacing w:after="0"/>
        <w:ind w:left="720" w:hanging="720"/>
        <w:rPr>
          <w:rFonts w:cs="Times New Roman"/>
          <w:noProof/>
          <w:sz w:val="20"/>
          <w:szCs w:val="20"/>
        </w:rPr>
      </w:pPr>
      <w:bookmarkStart w:id="9" w:name="_ENREF_9"/>
      <w:r w:rsidRPr="00966913">
        <w:rPr>
          <w:rFonts w:cs="Times New Roman"/>
          <w:noProof/>
          <w:sz w:val="20"/>
          <w:szCs w:val="20"/>
          <w:lang w:val="es-ES"/>
        </w:rPr>
        <w:t xml:space="preserve">Gonzalez, C. R., Mesanza, R. B., &amp; Mariel, P. (2011). </w:t>
      </w:r>
      <w:r w:rsidRPr="00966913">
        <w:rPr>
          <w:rFonts w:cs="Times New Roman"/>
          <w:noProof/>
          <w:sz w:val="20"/>
          <w:szCs w:val="20"/>
        </w:rPr>
        <w:t xml:space="preserve">The determinants of international studnet mobility flows: an emperical study on the Erasmus programme. </w:t>
      </w:r>
      <w:r w:rsidRPr="00966913">
        <w:rPr>
          <w:rFonts w:cs="Times New Roman"/>
          <w:i/>
          <w:noProof/>
          <w:sz w:val="20"/>
          <w:szCs w:val="20"/>
        </w:rPr>
        <w:t>Higher EDucation, 62</w:t>
      </w:r>
      <w:r w:rsidRPr="00966913">
        <w:rPr>
          <w:rFonts w:cs="Times New Roman"/>
          <w:noProof/>
          <w:sz w:val="20"/>
          <w:szCs w:val="20"/>
        </w:rPr>
        <w:t xml:space="preserve">(4), 413-430. </w:t>
      </w:r>
      <w:bookmarkEnd w:id="9"/>
    </w:p>
    <w:p w:rsidR="003063FA" w:rsidRPr="00966913" w:rsidRDefault="003063FA" w:rsidP="00966913">
      <w:pPr>
        <w:spacing w:after="0"/>
        <w:ind w:left="720" w:hanging="720"/>
        <w:rPr>
          <w:rFonts w:cs="Times New Roman"/>
          <w:noProof/>
          <w:sz w:val="20"/>
          <w:szCs w:val="20"/>
        </w:rPr>
      </w:pPr>
      <w:bookmarkStart w:id="10" w:name="_ENREF_10"/>
      <w:r w:rsidRPr="00966913">
        <w:rPr>
          <w:rFonts w:cs="Times New Roman"/>
          <w:noProof/>
          <w:sz w:val="20"/>
          <w:szCs w:val="20"/>
        </w:rPr>
        <w:t xml:space="preserve">Guruz, K. (2011). </w:t>
      </w:r>
      <w:r w:rsidRPr="00966913">
        <w:rPr>
          <w:rFonts w:cs="Times New Roman"/>
          <w:i/>
          <w:noProof/>
          <w:sz w:val="20"/>
          <w:szCs w:val="20"/>
        </w:rPr>
        <w:t>Higher education and international student mobility in the global knowledge economy</w:t>
      </w:r>
      <w:r w:rsidRPr="00966913">
        <w:rPr>
          <w:rFonts w:cs="Times New Roman"/>
          <w:noProof/>
          <w:sz w:val="20"/>
          <w:szCs w:val="20"/>
        </w:rPr>
        <w:t xml:space="preserve"> (Rev. and updated 2nd ed. ed.). Albany, N.Y.: SUNY Press.</w:t>
      </w:r>
      <w:bookmarkEnd w:id="10"/>
    </w:p>
    <w:p w:rsidR="00CE3E7E" w:rsidRPr="00966913" w:rsidRDefault="00CE3E7E" w:rsidP="00966913">
      <w:pPr>
        <w:spacing w:after="0"/>
        <w:ind w:left="720" w:hanging="720"/>
        <w:rPr>
          <w:rFonts w:cs="Times New Roman"/>
          <w:noProof/>
          <w:sz w:val="20"/>
          <w:szCs w:val="20"/>
        </w:rPr>
      </w:pPr>
      <w:r w:rsidRPr="00966913">
        <w:rPr>
          <w:rFonts w:cs="Times New Roman"/>
          <w:sz w:val="20"/>
          <w:szCs w:val="20"/>
        </w:rPr>
        <w:t>Higher Education Statistics Agency (HESA)</w:t>
      </w:r>
    </w:p>
    <w:p w:rsidR="003063FA" w:rsidRPr="00966913" w:rsidRDefault="003063FA" w:rsidP="00966913">
      <w:pPr>
        <w:spacing w:after="0"/>
        <w:ind w:left="720" w:hanging="720"/>
        <w:rPr>
          <w:rFonts w:cs="Times New Roman"/>
          <w:noProof/>
          <w:sz w:val="20"/>
          <w:szCs w:val="20"/>
        </w:rPr>
      </w:pPr>
      <w:bookmarkStart w:id="11" w:name="_ENREF_11"/>
      <w:r w:rsidRPr="00966913">
        <w:rPr>
          <w:rFonts w:cs="Times New Roman"/>
          <w:noProof/>
          <w:sz w:val="20"/>
          <w:szCs w:val="20"/>
        </w:rPr>
        <w:t xml:space="preserve">Huberman, A. M., &amp; Miles, M. B. (2002). </w:t>
      </w:r>
      <w:r w:rsidRPr="00966913">
        <w:rPr>
          <w:rFonts w:cs="Times New Roman"/>
          <w:i/>
          <w:noProof/>
          <w:sz w:val="20"/>
          <w:szCs w:val="20"/>
        </w:rPr>
        <w:t>The qualitative researcher's companion</w:t>
      </w:r>
      <w:r w:rsidRPr="00966913">
        <w:rPr>
          <w:rFonts w:cs="Times New Roman"/>
          <w:noProof/>
          <w:sz w:val="20"/>
          <w:szCs w:val="20"/>
        </w:rPr>
        <w:t>. Thousand Oaks ; London: Sage Publications.</w:t>
      </w:r>
      <w:bookmarkEnd w:id="11"/>
    </w:p>
    <w:p w:rsidR="003063FA" w:rsidRPr="00966913" w:rsidRDefault="003063FA" w:rsidP="00966913">
      <w:pPr>
        <w:spacing w:after="0"/>
        <w:ind w:left="720" w:hanging="720"/>
        <w:rPr>
          <w:rFonts w:cs="Times New Roman"/>
          <w:noProof/>
          <w:sz w:val="20"/>
          <w:szCs w:val="20"/>
        </w:rPr>
      </w:pPr>
      <w:bookmarkStart w:id="12" w:name="_ENREF_12"/>
      <w:r w:rsidRPr="00966913">
        <w:rPr>
          <w:rFonts w:cs="Times New Roman"/>
          <w:noProof/>
          <w:sz w:val="20"/>
          <w:szCs w:val="20"/>
        </w:rPr>
        <w:t xml:space="preserve">King, N., &amp; Horrocks, C. (2010). </w:t>
      </w:r>
      <w:r w:rsidRPr="00966913">
        <w:rPr>
          <w:rFonts w:cs="Times New Roman"/>
          <w:i/>
          <w:noProof/>
          <w:sz w:val="20"/>
          <w:szCs w:val="20"/>
        </w:rPr>
        <w:t>Interviews in qualitative research</w:t>
      </w:r>
      <w:r w:rsidRPr="00966913">
        <w:rPr>
          <w:rFonts w:cs="Times New Roman"/>
          <w:noProof/>
          <w:sz w:val="20"/>
          <w:szCs w:val="20"/>
        </w:rPr>
        <w:t>. Los Angeles: SAGE.</w:t>
      </w:r>
      <w:bookmarkEnd w:id="12"/>
    </w:p>
    <w:p w:rsidR="00E230C6" w:rsidRDefault="003063FA" w:rsidP="00966913">
      <w:pPr>
        <w:spacing w:after="0"/>
        <w:ind w:left="720" w:hanging="720"/>
        <w:rPr>
          <w:rFonts w:cs="Times New Roman"/>
          <w:noProof/>
          <w:sz w:val="20"/>
          <w:szCs w:val="20"/>
        </w:rPr>
      </w:pPr>
      <w:bookmarkStart w:id="13" w:name="_ENREF_13"/>
      <w:r w:rsidRPr="00966913">
        <w:rPr>
          <w:rFonts w:cs="Times New Roman"/>
          <w:noProof/>
          <w:sz w:val="20"/>
          <w:szCs w:val="20"/>
        </w:rPr>
        <w:t xml:space="preserve">Kondakci, Y. (2011). Student mobility reviewed: attraction and satisfaction of international studnets in Turkey. . </w:t>
      </w:r>
      <w:r w:rsidRPr="00966913">
        <w:rPr>
          <w:rFonts w:cs="Times New Roman"/>
          <w:i/>
          <w:noProof/>
          <w:sz w:val="20"/>
          <w:szCs w:val="20"/>
        </w:rPr>
        <w:t>Higher Education, 62</w:t>
      </w:r>
      <w:r w:rsidRPr="00966913">
        <w:rPr>
          <w:rFonts w:cs="Times New Roman"/>
          <w:noProof/>
          <w:sz w:val="20"/>
          <w:szCs w:val="20"/>
        </w:rPr>
        <w:t>, 573-592.</w:t>
      </w:r>
    </w:p>
    <w:p w:rsidR="00D8094D" w:rsidRPr="00966913" w:rsidRDefault="00D8094D" w:rsidP="00966913">
      <w:pPr>
        <w:spacing w:after="0"/>
        <w:ind w:left="720" w:hanging="720"/>
        <w:rPr>
          <w:rFonts w:cs="Times New Roman"/>
          <w:noProof/>
          <w:sz w:val="20"/>
          <w:szCs w:val="20"/>
        </w:rPr>
      </w:pPr>
      <w:r>
        <w:rPr>
          <w:rFonts w:cs="Times New Roman"/>
          <w:noProof/>
          <w:sz w:val="20"/>
          <w:szCs w:val="20"/>
        </w:rPr>
        <w:t>Kruse &amp; Brubaker 2007</w:t>
      </w:r>
    </w:p>
    <w:p w:rsidR="00E230C6" w:rsidRDefault="00E230C6" w:rsidP="00966913">
      <w:pPr>
        <w:rPr>
          <w:rFonts w:cs="Times New Roman"/>
          <w:sz w:val="20"/>
          <w:szCs w:val="20"/>
        </w:rPr>
      </w:pPr>
      <w:r w:rsidRPr="00966913">
        <w:rPr>
          <w:rFonts w:cs="Times New Roman"/>
          <w:sz w:val="20"/>
          <w:szCs w:val="20"/>
        </w:rPr>
        <w:t>Lave, J. &amp; Wenger, E. (1991</w:t>
      </w:r>
      <w:r w:rsidRPr="00966913">
        <w:rPr>
          <w:rFonts w:cs="Times New Roman"/>
          <w:i/>
          <w:sz w:val="20"/>
          <w:szCs w:val="20"/>
        </w:rPr>
        <w:t>) Situated Learning. Legitimate peripheral participation,</w:t>
      </w:r>
      <w:r w:rsidRPr="00966913">
        <w:rPr>
          <w:rFonts w:cs="Times New Roman"/>
          <w:sz w:val="20"/>
          <w:szCs w:val="20"/>
        </w:rPr>
        <w:t xml:space="preserve"> Cambridge: University of Cambridge Press</w:t>
      </w:r>
    </w:p>
    <w:p w:rsidR="00485958" w:rsidRPr="00966913" w:rsidRDefault="00485958" w:rsidP="00966913">
      <w:pPr>
        <w:rPr>
          <w:rFonts w:cs="Times New Roman"/>
          <w:sz w:val="20"/>
          <w:szCs w:val="20"/>
        </w:rPr>
      </w:pPr>
      <w:r>
        <w:rPr>
          <w:rFonts w:cs="Times New Roman"/>
          <w:sz w:val="20"/>
          <w:szCs w:val="20"/>
        </w:rPr>
        <w:t>McCole 2004 retromarketing</w:t>
      </w:r>
    </w:p>
    <w:p w:rsidR="003063FA" w:rsidRDefault="003063FA" w:rsidP="00966913">
      <w:pPr>
        <w:spacing w:after="0"/>
        <w:ind w:left="720" w:hanging="720"/>
        <w:rPr>
          <w:rFonts w:cs="Times New Roman"/>
          <w:noProof/>
          <w:sz w:val="20"/>
          <w:szCs w:val="20"/>
        </w:rPr>
      </w:pPr>
      <w:bookmarkStart w:id="14" w:name="_ENREF_14"/>
      <w:bookmarkEnd w:id="13"/>
      <w:r w:rsidRPr="00966913">
        <w:rPr>
          <w:rFonts w:cs="Times New Roman"/>
          <w:noProof/>
          <w:sz w:val="20"/>
          <w:szCs w:val="20"/>
        </w:rPr>
        <w:t xml:space="preserve">Oleksiyenko, A. (2014). Socio-economic forces and the rise of the world-class research university in the post-Soviet higher education space: the case of Ukraine. </w:t>
      </w:r>
      <w:r w:rsidRPr="00966913">
        <w:rPr>
          <w:rFonts w:cs="Times New Roman"/>
          <w:i/>
          <w:noProof/>
          <w:sz w:val="20"/>
          <w:szCs w:val="20"/>
        </w:rPr>
        <w:t>European Journal of Higher Education, 4</w:t>
      </w:r>
      <w:r w:rsidRPr="00966913">
        <w:rPr>
          <w:rFonts w:cs="Times New Roman"/>
          <w:noProof/>
          <w:sz w:val="20"/>
          <w:szCs w:val="20"/>
        </w:rPr>
        <w:t xml:space="preserve">(3), 249-265. </w:t>
      </w:r>
      <w:bookmarkEnd w:id="14"/>
    </w:p>
    <w:p w:rsidR="00E834F7" w:rsidRDefault="00E834F7" w:rsidP="00966913">
      <w:pPr>
        <w:spacing w:after="0"/>
        <w:ind w:left="720" w:hanging="720"/>
        <w:rPr>
          <w:rFonts w:cs="Times New Roman"/>
          <w:noProof/>
          <w:sz w:val="20"/>
          <w:szCs w:val="20"/>
        </w:rPr>
      </w:pPr>
      <w:r>
        <w:rPr>
          <w:rFonts w:cs="Times New Roman"/>
          <w:noProof/>
          <w:sz w:val="20"/>
          <w:szCs w:val="20"/>
        </w:rPr>
        <w:t>Pearce &amp; Quan, 2015.</w:t>
      </w:r>
    </w:p>
    <w:p w:rsidR="004A583F" w:rsidRDefault="004A583F" w:rsidP="00966913">
      <w:pPr>
        <w:spacing w:after="0"/>
        <w:ind w:left="720" w:hanging="720"/>
        <w:rPr>
          <w:rFonts w:cs="Times New Roman"/>
          <w:noProof/>
          <w:sz w:val="20"/>
          <w:szCs w:val="20"/>
        </w:rPr>
      </w:pPr>
      <w:r>
        <w:rPr>
          <w:rFonts w:cs="Times New Roman"/>
          <w:noProof/>
          <w:sz w:val="20"/>
          <w:szCs w:val="20"/>
        </w:rPr>
        <w:t>Pearce, Powell &amp; Burns, 2016.</w:t>
      </w:r>
    </w:p>
    <w:p w:rsidR="00E834F7" w:rsidRDefault="00E834F7" w:rsidP="00966913">
      <w:pPr>
        <w:spacing w:after="0"/>
        <w:ind w:left="720" w:hanging="720"/>
        <w:rPr>
          <w:rFonts w:cs="Times New Roman"/>
          <w:noProof/>
          <w:sz w:val="20"/>
          <w:szCs w:val="20"/>
        </w:rPr>
      </w:pPr>
      <w:r>
        <w:rPr>
          <w:rFonts w:cs="Times New Roman"/>
          <w:noProof/>
          <w:sz w:val="20"/>
          <w:szCs w:val="20"/>
        </w:rPr>
        <w:t>Robert &amp; Li</w:t>
      </w:r>
    </w:p>
    <w:p w:rsidR="00E834F7" w:rsidRPr="00966913" w:rsidRDefault="00E834F7" w:rsidP="00966913">
      <w:pPr>
        <w:spacing w:after="0"/>
        <w:ind w:left="720" w:hanging="720"/>
        <w:rPr>
          <w:rFonts w:cs="Times New Roman"/>
          <w:noProof/>
          <w:sz w:val="20"/>
          <w:szCs w:val="20"/>
        </w:rPr>
      </w:pPr>
      <w:r>
        <w:rPr>
          <w:rFonts w:cs="Times New Roman"/>
          <w:noProof/>
          <w:sz w:val="20"/>
          <w:szCs w:val="20"/>
        </w:rPr>
        <w:t>Royal Institute of International Affairs (2007)</w:t>
      </w:r>
    </w:p>
    <w:p w:rsidR="003063FA" w:rsidRDefault="003063FA" w:rsidP="00966913">
      <w:pPr>
        <w:spacing w:after="0"/>
        <w:ind w:left="720" w:hanging="720"/>
        <w:rPr>
          <w:rFonts w:cs="Times New Roman"/>
          <w:noProof/>
          <w:sz w:val="20"/>
          <w:szCs w:val="20"/>
        </w:rPr>
      </w:pPr>
      <w:bookmarkStart w:id="15" w:name="_ENREF_15"/>
      <w:r w:rsidRPr="00966913">
        <w:rPr>
          <w:rFonts w:cs="Times New Roman"/>
          <w:noProof/>
          <w:sz w:val="20"/>
          <w:szCs w:val="20"/>
        </w:rPr>
        <w:t xml:space="preserve">Rivza, B., &amp; Teichler, U. (2007). The changing role of student mobility. </w:t>
      </w:r>
      <w:r w:rsidRPr="00966913">
        <w:rPr>
          <w:rFonts w:cs="Times New Roman"/>
          <w:i/>
          <w:noProof/>
          <w:sz w:val="20"/>
          <w:szCs w:val="20"/>
        </w:rPr>
        <w:t>Higher Education Policy, 20</w:t>
      </w:r>
      <w:r w:rsidRPr="00966913">
        <w:rPr>
          <w:rFonts w:cs="Times New Roman"/>
          <w:noProof/>
          <w:sz w:val="20"/>
          <w:szCs w:val="20"/>
        </w:rPr>
        <w:t xml:space="preserve">(4), 457-475. </w:t>
      </w:r>
      <w:bookmarkEnd w:id="15"/>
    </w:p>
    <w:p w:rsidR="00420E60" w:rsidRPr="00966913" w:rsidRDefault="00420E60" w:rsidP="00966913">
      <w:pPr>
        <w:spacing w:after="0"/>
        <w:ind w:left="720" w:hanging="720"/>
        <w:rPr>
          <w:rFonts w:cs="Times New Roman"/>
          <w:noProof/>
          <w:sz w:val="20"/>
          <w:szCs w:val="20"/>
        </w:rPr>
      </w:pPr>
      <w:r>
        <w:rPr>
          <w:rFonts w:cs="Times New Roman"/>
          <w:noProof/>
          <w:sz w:val="20"/>
          <w:szCs w:val="20"/>
        </w:rPr>
        <w:t>Scheurman &amp; Newman</w:t>
      </w:r>
    </w:p>
    <w:p w:rsidR="003063FA" w:rsidRPr="00966913" w:rsidRDefault="003063FA" w:rsidP="00966913">
      <w:pPr>
        <w:spacing w:after="0"/>
        <w:ind w:left="720" w:hanging="720"/>
        <w:rPr>
          <w:rFonts w:cs="Times New Roman"/>
          <w:noProof/>
          <w:sz w:val="20"/>
          <w:szCs w:val="20"/>
        </w:rPr>
      </w:pPr>
      <w:bookmarkStart w:id="16" w:name="_ENREF_16"/>
      <w:r w:rsidRPr="00966913">
        <w:rPr>
          <w:rFonts w:cs="Times New Roman"/>
          <w:noProof/>
          <w:sz w:val="20"/>
          <w:szCs w:val="20"/>
        </w:rPr>
        <w:t xml:space="preserve">Schofer, E., &amp; Meyer, J. (2005). The worldwide expansion of </w:t>
      </w:r>
      <w:r w:rsidR="00DB4A9B" w:rsidRPr="00966913">
        <w:rPr>
          <w:rFonts w:cs="Times New Roman"/>
          <w:noProof/>
          <w:sz w:val="20"/>
          <w:szCs w:val="20"/>
        </w:rPr>
        <w:t>higher education in the twentieth</w:t>
      </w:r>
      <w:r w:rsidRPr="00966913">
        <w:rPr>
          <w:rFonts w:cs="Times New Roman"/>
          <w:noProof/>
          <w:sz w:val="20"/>
          <w:szCs w:val="20"/>
        </w:rPr>
        <w:t xml:space="preserve"> century. </w:t>
      </w:r>
      <w:r w:rsidRPr="00966913">
        <w:rPr>
          <w:rFonts w:cs="Times New Roman"/>
          <w:i/>
          <w:noProof/>
          <w:sz w:val="20"/>
          <w:szCs w:val="20"/>
        </w:rPr>
        <w:t>American Sociological Review, 70</w:t>
      </w:r>
      <w:r w:rsidRPr="00966913">
        <w:rPr>
          <w:rFonts w:cs="Times New Roman"/>
          <w:noProof/>
          <w:sz w:val="20"/>
          <w:szCs w:val="20"/>
        </w:rPr>
        <w:t xml:space="preserve">, 898-920. </w:t>
      </w:r>
      <w:bookmarkEnd w:id="16"/>
    </w:p>
    <w:p w:rsidR="003063FA" w:rsidRDefault="003063FA" w:rsidP="00966913">
      <w:pPr>
        <w:spacing w:after="0"/>
        <w:ind w:left="720" w:hanging="720"/>
        <w:rPr>
          <w:rFonts w:cs="Times New Roman"/>
          <w:noProof/>
          <w:sz w:val="20"/>
          <w:szCs w:val="20"/>
        </w:rPr>
      </w:pPr>
      <w:bookmarkStart w:id="17" w:name="_ENREF_17"/>
      <w:r w:rsidRPr="00966913">
        <w:rPr>
          <w:rFonts w:cs="Times New Roman"/>
          <w:noProof/>
          <w:sz w:val="20"/>
          <w:szCs w:val="20"/>
        </w:rPr>
        <w:t xml:space="preserve">Shaw, M., Chapman, D., &amp; Rumyantseva, N. (2013). Organizational culture in the adoption of the Bologna process: A study of acadmeic staff at a Ukrainian university. </w:t>
      </w:r>
      <w:r w:rsidRPr="00966913">
        <w:rPr>
          <w:rFonts w:cs="Times New Roman"/>
          <w:i/>
          <w:noProof/>
          <w:sz w:val="20"/>
          <w:szCs w:val="20"/>
        </w:rPr>
        <w:t>Studies in Higher Education, 38</w:t>
      </w:r>
      <w:r w:rsidRPr="00966913">
        <w:rPr>
          <w:rFonts w:cs="Times New Roman"/>
          <w:noProof/>
          <w:sz w:val="20"/>
          <w:szCs w:val="20"/>
        </w:rPr>
        <w:t xml:space="preserve">(7), 898-1003. </w:t>
      </w:r>
      <w:bookmarkEnd w:id="17"/>
    </w:p>
    <w:p w:rsidR="00E07DDC" w:rsidRPr="00966913" w:rsidRDefault="00E07DDC" w:rsidP="00966913">
      <w:pPr>
        <w:spacing w:after="0"/>
        <w:ind w:left="720" w:hanging="720"/>
        <w:rPr>
          <w:rFonts w:cs="Times New Roman"/>
          <w:noProof/>
          <w:sz w:val="20"/>
          <w:szCs w:val="20"/>
        </w:rPr>
      </w:pPr>
      <w:r>
        <w:rPr>
          <w:rFonts w:cs="Times New Roman"/>
          <w:noProof/>
          <w:sz w:val="20"/>
          <w:szCs w:val="20"/>
        </w:rPr>
        <w:t>Steinberg 2002.</w:t>
      </w:r>
    </w:p>
    <w:p w:rsidR="003063FA" w:rsidRDefault="003063FA" w:rsidP="00966913">
      <w:pPr>
        <w:spacing w:after="0"/>
        <w:ind w:left="720" w:hanging="720"/>
        <w:rPr>
          <w:rFonts w:cs="Times New Roman"/>
          <w:noProof/>
          <w:sz w:val="20"/>
          <w:szCs w:val="20"/>
        </w:rPr>
      </w:pPr>
      <w:bookmarkStart w:id="18" w:name="_ENREF_18"/>
      <w:r w:rsidRPr="00966913">
        <w:rPr>
          <w:rFonts w:cs="Times New Roman"/>
          <w:noProof/>
          <w:sz w:val="20"/>
          <w:szCs w:val="20"/>
        </w:rPr>
        <w:t xml:space="preserve">Teichler, U. (2012). International student mobility in Europe in the Context of the Bologna Process. </w:t>
      </w:r>
      <w:r w:rsidRPr="00966913">
        <w:rPr>
          <w:rFonts w:cs="Times New Roman"/>
          <w:i/>
          <w:noProof/>
          <w:sz w:val="20"/>
          <w:szCs w:val="20"/>
        </w:rPr>
        <w:t>Journal of International Education and Leadership, 2</w:t>
      </w:r>
      <w:r w:rsidRPr="00966913">
        <w:rPr>
          <w:rFonts w:cs="Times New Roman"/>
          <w:noProof/>
          <w:sz w:val="20"/>
          <w:szCs w:val="20"/>
        </w:rPr>
        <w:t xml:space="preserve">(1). </w:t>
      </w:r>
      <w:bookmarkEnd w:id="18"/>
    </w:p>
    <w:p w:rsidR="00966913" w:rsidRPr="00966913" w:rsidRDefault="00966913" w:rsidP="00966913">
      <w:pPr>
        <w:spacing w:after="0"/>
        <w:ind w:left="720" w:hanging="720"/>
        <w:rPr>
          <w:rFonts w:cs="Times New Roman"/>
          <w:noProof/>
          <w:sz w:val="20"/>
          <w:szCs w:val="20"/>
        </w:rPr>
      </w:pPr>
      <w:r>
        <w:rPr>
          <w:rFonts w:cs="Times New Roman"/>
          <w:noProof/>
          <w:sz w:val="20"/>
          <w:szCs w:val="20"/>
        </w:rPr>
        <w:t>UKCISA</w:t>
      </w:r>
    </w:p>
    <w:p w:rsidR="003063FA" w:rsidRPr="00966913" w:rsidRDefault="003063FA" w:rsidP="00966913">
      <w:pPr>
        <w:spacing w:after="0"/>
        <w:ind w:left="720" w:hanging="720"/>
        <w:rPr>
          <w:rFonts w:cs="Times New Roman"/>
          <w:noProof/>
          <w:sz w:val="20"/>
          <w:szCs w:val="20"/>
        </w:rPr>
      </w:pPr>
      <w:bookmarkStart w:id="19" w:name="_ENREF_19"/>
      <w:r w:rsidRPr="00966913">
        <w:rPr>
          <w:rFonts w:cs="Times New Roman"/>
          <w:noProof/>
          <w:sz w:val="20"/>
          <w:szCs w:val="20"/>
        </w:rPr>
        <w:t xml:space="preserve">Van Mol, C. (2013). Intre-European student mobility and European identity: a successfull marriage? </w:t>
      </w:r>
      <w:r w:rsidRPr="00966913">
        <w:rPr>
          <w:rFonts w:cs="Times New Roman"/>
          <w:i/>
          <w:noProof/>
          <w:sz w:val="20"/>
          <w:szCs w:val="20"/>
        </w:rPr>
        <w:t>Population, Space and Place, 19</w:t>
      </w:r>
      <w:r w:rsidRPr="00966913">
        <w:rPr>
          <w:rFonts w:cs="Times New Roman"/>
          <w:noProof/>
          <w:sz w:val="20"/>
          <w:szCs w:val="20"/>
        </w:rPr>
        <w:t xml:space="preserve">, 209-222. </w:t>
      </w:r>
      <w:bookmarkEnd w:id="19"/>
    </w:p>
    <w:p w:rsidR="00E230C6" w:rsidRDefault="00E230C6" w:rsidP="00966913">
      <w:pPr>
        <w:ind w:left="720"/>
        <w:rPr>
          <w:rFonts w:cs="Times New Roman"/>
          <w:sz w:val="20"/>
          <w:szCs w:val="20"/>
        </w:rPr>
      </w:pPr>
      <w:r w:rsidRPr="00966913">
        <w:rPr>
          <w:rFonts w:cs="Times New Roman"/>
          <w:sz w:val="20"/>
          <w:szCs w:val="20"/>
        </w:rPr>
        <w:t xml:space="preserve">Welch, A.R. (2002). Going global? Internationalizing Australian universities in a time of global crisis, </w:t>
      </w:r>
      <w:r w:rsidRPr="00966913">
        <w:rPr>
          <w:rFonts w:cs="Times New Roman"/>
          <w:i/>
          <w:sz w:val="20"/>
          <w:szCs w:val="20"/>
        </w:rPr>
        <w:t>Comparative Education Review,</w:t>
      </w:r>
      <w:r w:rsidRPr="00966913">
        <w:rPr>
          <w:rFonts w:cs="Times New Roman"/>
          <w:sz w:val="20"/>
          <w:szCs w:val="20"/>
        </w:rPr>
        <w:t xml:space="preserve"> Vol. 46, No.4, pp.433-471.</w:t>
      </w:r>
    </w:p>
    <w:p w:rsidR="004A583F" w:rsidRPr="00966913" w:rsidRDefault="004A583F" w:rsidP="00966913">
      <w:pPr>
        <w:ind w:left="720"/>
        <w:rPr>
          <w:rFonts w:cs="Times New Roman"/>
          <w:sz w:val="20"/>
          <w:szCs w:val="20"/>
        </w:rPr>
      </w:pPr>
      <w:r>
        <w:rPr>
          <w:rFonts w:cs="Times New Roman"/>
          <w:sz w:val="20"/>
          <w:szCs w:val="20"/>
        </w:rPr>
        <w:t>Vygotsky</w:t>
      </w:r>
    </w:p>
    <w:p w:rsidR="003063FA" w:rsidRPr="00966913" w:rsidRDefault="003063FA" w:rsidP="00966913">
      <w:pPr>
        <w:spacing w:after="0"/>
        <w:ind w:left="720" w:hanging="720"/>
        <w:rPr>
          <w:rFonts w:cs="Times New Roman"/>
          <w:noProof/>
          <w:sz w:val="20"/>
          <w:szCs w:val="20"/>
        </w:rPr>
      </w:pPr>
      <w:bookmarkStart w:id="20" w:name="_ENREF_20"/>
      <w:r w:rsidRPr="00966913">
        <w:rPr>
          <w:rFonts w:cs="Times New Roman"/>
          <w:noProof/>
          <w:sz w:val="20"/>
          <w:szCs w:val="20"/>
        </w:rPr>
        <w:t xml:space="preserve">West, A., &amp; Barham, E. (2009). Student mobility, qualifications and academic recognition in the EU. </w:t>
      </w:r>
      <w:r w:rsidRPr="00966913">
        <w:rPr>
          <w:rFonts w:cs="Times New Roman"/>
          <w:i/>
          <w:noProof/>
          <w:sz w:val="20"/>
          <w:szCs w:val="20"/>
        </w:rPr>
        <w:t>Assessment in Education:Principles, Policy &amp; Practice, 16</w:t>
      </w:r>
      <w:r w:rsidRPr="00966913">
        <w:rPr>
          <w:rFonts w:cs="Times New Roman"/>
          <w:noProof/>
          <w:sz w:val="20"/>
          <w:szCs w:val="20"/>
        </w:rPr>
        <w:t xml:space="preserve">(1), 25-37. </w:t>
      </w:r>
      <w:bookmarkEnd w:id="20"/>
    </w:p>
    <w:p w:rsidR="00E230C6" w:rsidRPr="00966913" w:rsidRDefault="00E230C6" w:rsidP="00966913">
      <w:pPr>
        <w:rPr>
          <w:rFonts w:cs="Times New Roman"/>
          <w:sz w:val="20"/>
          <w:szCs w:val="20"/>
        </w:rPr>
      </w:pPr>
      <w:r w:rsidRPr="00966913">
        <w:rPr>
          <w:rFonts w:cs="Times New Roman"/>
          <w:sz w:val="20"/>
          <w:szCs w:val="20"/>
        </w:rPr>
        <w:t>Yin, R. (2003) Case Study Research: Design and Methods (3</w:t>
      </w:r>
      <w:r w:rsidRPr="00966913">
        <w:rPr>
          <w:rFonts w:cs="Times New Roman"/>
          <w:sz w:val="20"/>
          <w:szCs w:val="20"/>
          <w:vertAlign w:val="superscript"/>
        </w:rPr>
        <w:t>rd</w:t>
      </w:r>
      <w:r w:rsidRPr="00966913">
        <w:rPr>
          <w:rFonts w:cs="Times New Roman"/>
          <w:sz w:val="20"/>
          <w:szCs w:val="20"/>
        </w:rPr>
        <w:t xml:space="preserve"> Ed.) London: Sage. </w:t>
      </w:r>
    </w:p>
    <w:p w:rsidR="00E230C6" w:rsidRPr="00966913" w:rsidRDefault="00E230C6" w:rsidP="003063FA">
      <w:pPr>
        <w:spacing w:after="0"/>
        <w:ind w:left="720" w:hanging="720"/>
        <w:rPr>
          <w:rFonts w:cs="Times New Roman"/>
          <w:noProof/>
          <w:sz w:val="20"/>
          <w:szCs w:val="20"/>
        </w:rPr>
      </w:pPr>
    </w:p>
    <w:p w:rsidR="003063FA" w:rsidRPr="00966913" w:rsidRDefault="003063FA" w:rsidP="003063FA">
      <w:pPr>
        <w:rPr>
          <w:rFonts w:cs="Times New Roman"/>
          <w:noProof/>
          <w:sz w:val="20"/>
          <w:szCs w:val="20"/>
        </w:rPr>
      </w:pPr>
    </w:p>
    <w:p w:rsidR="007364D1" w:rsidRPr="00937111" w:rsidRDefault="004153B6" w:rsidP="00937111">
      <w:pPr>
        <w:spacing w:line="360" w:lineRule="auto"/>
        <w:rPr>
          <w:rFonts w:cs="Times New Roman"/>
          <w:szCs w:val="24"/>
        </w:rPr>
      </w:pPr>
      <w:r w:rsidRPr="00966913">
        <w:rPr>
          <w:rFonts w:cs="Times New Roman"/>
          <w:sz w:val="20"/>
          <w:szCs w:val="20"/>
        </w:rPr>
        <w:fldChar w:fldCharType="end"/>
      </w:r>
    </w:p>
    <w:sectPr w:rsidR="007364D1" w:rsidRPr="00937111" w:rsidSect="0033729F">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215" w:rsidRDefault="00980215" w:rsidP="00937111">
      <w:pPr>
        <w:spacing w:after="0"/>
      </w:pPr>
      <w:r>
        <w:separator/>
      </w:r>
    </w:p>
  </w:endnote>
  <w:endnote w:type="continuationSeparator" w:id="0">
    <w:p w:rsidR="00980215" w:rsidRDefault="00980215" w:rsidP="009371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734181"/>
      <w:docPartObj>
        <w:docPartGallery w:val="Page Numbers (Bottom of Page)"/>
        <w:docPartUnique/>
      </w:docPartObj>
    </w:sdtPr>
    <w:sdtEndPr>
      <w:rPr>
        <w:noProof/>
      </w:rPr>
    </w:sdtEndPr>
    <w:sdtContent>
      <w:p w:rsidR="00D8094D" w:rsidRDefault="004153B6">
        <w:pPr>
          <w:pStyle w:val="Footer"/>
          <w:jc w:val="right"/>
        </w:pPr>
        <w:r>
          <w:fldChar w:fldCharType="begin"/>
        </w:r>
        <w:r w:rsidR="00D8094D">
          <w:instrText xml:space="preserve"> PAGE   \* MERGEFORMAT </w:instrText>
        </w:r>
        <w:r>
          <w:fldChar w:fldCharType="separate"/>
        </w:r>
        <w:r w:rsidR="000B0D1E">
          <w:rPr>
            <w:noProof/>
          </w:rPr>
          <w:t>1</w:t>
        </w:r>
        <w:r>
          <w:rPr>
            <w:noProof/>
          </w:rPr>
          <w:fldChar w:fldCharType="end"/>
        </w:r>
      </w:p>
    </w:sdtContent>
  </w:sdt>
  <w:p w:rsidR="00D8094D" w:rsidRDefault="00D809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215" w:rsidRDefault="00980215" w:rsidP="00937111">
      <w:pPr>
        <w:spacing w:after="0"/>
      </w:pPr>
      <w:r>
        <w:separator/>
      </w:r>
    </w:p>
  </w:footnote>
  <w:footnote w:type="continuationSeparator" w:id="0">
    <w:p w:rsidR="00980215" w:rsidRDefault="00980215" w:rsidP="0093711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16A"/>
    <w:multiLevelType w:val="hybridMultilevel"/>
    <w:tmpl w:val="B4CC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C4FCD"/>
    <w:multiLevelType w:val="hybridMultilevel"/>
    <w:tmpl w:val="DF86CADE"/>
    <w:lvl w:ilvl="0" w:tplc="E0D4E1D8">
      <w:numFmt w:val="bullet"/>
      <w:lvlText w:val="-"/>
      <w:lvlJc w:val="left"/>
      <w:pPr>
        <w:ind w:left="405" w:hanging="360"/>
      </w:pPr>
      <w:rPr>
        <w:rFonts w:ascii="Calibri" w:eastAsia="Times New Roman" w:hAnsi="Calibri" w:hint="default"/>
      </w:rPr>
    </w:lvl>
    <w:lvl w:ilvl="1" w:tplc="08090003">
      <w:start w:val="1"/>
      <w:numFmt w:val="bullet"/>
      <w:lvlText w:val="o"/>
      <w:lvlJc w:val="left"/>
      <w:pPr>
        <w:ind w:left="1125" w:hanging="360"/>
      </w:pPr>
      <w:rPr>
        <w:rFonts w:ascii="Courier New" w:hAnsi="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hint="default"/>
      </w:rPr>
    </w:lvl>
    <w:lvl w:ilvl="8" w:tplc="08090005">
      <w:start w:val="1"/>
      <w:numFmt w:val="bullet"/>
      <w:lvlText w:val=""/>
      <w:lvlJc w:val="left"/>
      <w:pPr>
        <w:ind w:left="6165" w:hanging="360"/>
      </w:pPr>
      <w:rPr>
        <w:rFonts w:ascii="Wingdings" w:hAnsi="Wingdings" w:hint="default"/>
      </w:rPr>
    </w:lvl>
  </w:abstractNum>
  <w:abstractNum w:abstractNumId="2" w15:restartNumberingAfterBreak="0">
    <w:nsid w:val="124E726B"/>
    <w:multiLevelType w:val="hybridMultilevel"/>
    <w:tmpl w:val="97D6779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3636C22"/>
    <w:multiLevelType w:val="multilevel"/>
    <w:tmpl w:val="E834AD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D65495"/>
    <w:multiLevelType w:val="multilevel"/>
    <w:tmpl w:val="E834AD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7220F87"/>
    <w:multiLevelType w:val="multilevel"/>
    <w:tmpl w:val="E834AD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800C9D"/>
    <w:multiLevelType w:val="multilevel"/>
    <w:tmpl w:val="E834AD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C81ED2"/>
    <w:multiLevelType w:val="multilevel"/>
    <w:tmpl w:val="15BC2B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3D4C53"/>
    <w:multiLevelType w:val="hybridMultilevel"/>
    <w:tmpl w:val="93E6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E5155"/>
    <w:multiLevelType w:val="hybridMultilevel"/>
    <w:tmpl w:val="CD860A1E"/>
    <w:lvl w:ilvl="0" w:tplc="38C08F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A7620"/>
    <w:multiLevelType w:val="hybridMultilevel"/>
    <w:tmpl w:val="1812C876"/>
    <w:lvl w:ilvl="0" w:tplc="F90E3612">
      <w:start w:val="1"/>
      <w:numFmt w:val="decimal"/>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2C17A5"/>
    <w:multiLevelType w:val="multilevel"/>
    <w:tmpl w:val="9320C80E"/>
    <w:lvl w:ilvl="0">
      <w:start w:val="1"/>
      <w:numFmt w:val="decimal"/>
      <w:pStyle w:val="Heading1"/>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59892EEA"/>
    <w:multiLevelType w:val="hybridMultilevel"/>
    <w:tmpl w:val="B858A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D3C5D"/>
    <w:multiLevelType w:val="multilevel"/>
    <w:tmpl w:val="E834AD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77653FD"/>
    <w:multiLevelType w:val="hybridMultilevel"/>
    <w:tmpl w:val="4C140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6C3C6C"/>
    <w:multiLevelType w:val="hybridMultilevel"/>
    <w:tmpl w:val="AFD61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CC471D"/>
    <w:multiLevelType w:val="hybridMultilevel"/>
    <w:tmpl w:val="D466E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FA36B4"/>
    <w:multiLevelType w:val="hybridMultilevel"/>
    <w:tmpl w:val="107A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2"/>
  </w:num>
  <w:num w:numId="4">
    <w:abstractNumId w:val="14"/>
  </w:num>
  <w:num w:numId="5">
    <w:abstractNumId w:val="7"/>
  </w:num>
  <w:num w:numId="6">
    <w:abstractNumId w:val="1"/>
  </w:num>
  <w:num w:numId="7">
    <w:abstractNumId w:val="2"/>
  </w:num>
  <w:num w:numId="8">
    <w:abstractNumId w:val="5"/>
  </w:num>
  <w:num w:numId="9">
    <w:abstractNumId w:val="6"/>
  </w:num>
  <w:num w:numId="10">
    <w:abstractNumId w:val="4"/>
  </w:num>
  <w:num w:numId="11">
    <w:abstractNumId w:val="13"/>
  </w:num>
  <w:num w:numId="12">
    <w:abstractNumId w:val="3"/>
  </w:num>
  <w:num w:numId="13">
    <w:abstractNumId w:val="15"/>
  </w:num>
  <w:num w:numId="14">
    <w:abstractNumId w:val="17"/>
  </w:num>
  <w:num w:numId="15">
    <w:abstractNumId w:val="0"/>
  </w:num>
  <w:num w:numId="16">
    <w:abstractNumId w:val="9"/>
  </w:num>
  <w:num w:numId="17">
    <w:abstractNumId w:val="10"/>
  </w:num>
  <w:num w:numId="18">
    <w:abstractNumId w:val="11"/>
  </w:num>
  <w:num w:numId="19">
    <w:abstractNumId w:val="11"/>
    <w:lvlOverride w:ilvl="0">
      <w:startOverride w:val="3"/>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ztp9afped955jed0r65r0afsas2t09fvpzw&quot;&gt;References Education Mobility&lt;record-ids&gt;&lt;item&gt;1&lt;/item&gt;&lt;item&gt;12&lt;/item&gt;&lt;item&gt;42&lt;/item&gt;&lt;item&gt;61&lt;/item&gt;&lt;item&gt;102&lt;/item&gt;&lt;item&gt;116&lt;/item&gt;&lt;item&gt;117&lt;/item&gt;&lt;item&gt;187&lt;/item&gt;&lt;item&gt;225&lt;/item&gt;&lt;item&gt;257&lt;/item&gt;&lt;item&gt;326&lt;/item&gt;&lt;item&gt;330&lt;/item&gt;&lt;item&gt;338&lt;/item&gt;&lt;item&gt;368&lt;/item&gt;&lt;item&gt;369&lt;/item&gt;&lt;item&gt;370&lt;/item&gt;&lt;item&gt;458&lt;/item&gt;&lt;/record-ids&gt;&lt;/item&gt;&lt;/Libraries&gt;"/>
  </w:docVars>
  <w:rsids>
    <w:rsidRoot w:val="009B0E74"/>
    <w:rsid w:val="000102CA"/>
    <w:rsid w:val="000152A6"/>
    <w:rsid w:val="00034002"/>
    <w:rsid w:val="000342B8"/>
    <w:rsid w:val="00051D3C"/>
    <w:rsid w:val="00061283"/>
    <w:rsid w:val="00067758"/>
    <w:rsid w:val="00073B41"/>
    <w:rsid w:val="000757E3"/>
    <w:rsid w:val="00091926"/>
    <w:rsid w:val="00092918"/>
    <w:rsid w:val="0009462B"/>
    <w:rsid w:val="000A263C"/>
    <w:rsid w:val="000B0D1E"/>
    <w:rsid w:val="000B193E"/>
    <w:rsid w:val="000B2F5D"/>
    <w:rsid w:val="000B6C51"/>
    <w:rsid w:val="000C1EDD"/>
    <w:rsid w:val="000D54A3"/>
    <w:rsid w:val="00115975"/>
    <w:rsid w:val="001245A5"/>
    <w:rsid w:val="001274A3"/>
    <w:rsid w:val="00133F76"/>
    <w:rsid w:val="00136FD2"/>
    <w:rsid w:val="0017180E"/>
    <w:rsid w:val="00191CA5"/>
    <w:rsid w:val="0019428D"/>
    <w:rsid w:val="00197864"/>
    <w:rsid w:val="001A1EE0"/>
    <w:rsid w:val="001B2575"/>
    <w:rsid w:val="001B44AE"/>
    <w:rsid w:val="001B52CE"/>
    <w:rsid w:val="001B6D69"/>
    <w:rsid w:val="001C35F4"/>
    <w:rsid w:val="001D09E0"/>
    <w:rsid w:val="001E2E8D"/>
    <w:rsid w:val="001E46D7"/>
    <w:rsid w:val="00207DFD"/>
    <w:rsid w:val="002151CE"/>
    <w:rsid w:val="0022701F"/>
    <w:rsid w:val="00234646"/>
    <w:rsid w:val="00235FCD"/>
    <w:rsid w:val="002371C2"/>
    <w:rsid w:val="00245A5A"/>
    <w:rsid w:val="0025614A"/>
    <w:rsid w:val="0026005C"/>
    <w:rsid w:val="00267744"/>
    <w:rsid w:val="002709D9"/>
    <w:rsid w:val="002712AD"/>
    <w:rsid w:val="00281E16"/>
    <w:rsid w:val="00295594"/>
    <w:rsid w:val="00297BF7"/>
    <w:rsid w:val="002A2610"/>
    <w:rsid w:val="002A6FCD"/>
    <w:rsid w:val="002C35DB"/>
    <w:rsid w:val="002E611F"/>
    <w:rsid w:val="002F26CE"/>
    <w:rsid w:val="002F37A3"/>
    <w:rsid w:val="00304753"/>
    <w:rsid w:val="003063FA"/>
    <w:rsid w:val="0031441C"/>
    <w:rsid w:val="0032413F"/>
    <w:rsid w:val="00326ECF"/>
    <w:rsid w:val="0033119A"/>
    <w:rsid w:val="0033729F"/>
    <w:rsid w:val="00347B82"/>
    <w:rsid w:val="00365CFC"/>
    <w:rsid w:val="00376937"/>
    <w:rsid w:val="003841C5"/>
    <w:rsid w:val="00395711"/>
    <w:rsid w:val="003A3CA7"/>
    <w:rsid w:val="003B5812"/>
    <w:rsid w:val="003C1DB0"/>
    <w:rsid w:val="003C4A8B"/>
    <w:rsid w:val="003E4175"/>
    <w:rsid w:val="003F2BB3"/>
    <w:rsid w:val="003F370E"/>
    <w:rsid w:val="004153B6"/>
    <w:rsid w:val="00420E60"/>
    <w:rsid w:val="00446B94"/>
    <w:rsid w:val="0045135A"/>
    <w:rsid w:val="00454756"/>
    <w:rsid w:val="004605A4"/>
    <w:rsid w:val="004762F3"/>
    <w:rsid w:val="0048442D"/>
    <w:rsid w:val="00485958"/>
    <w:rsid w:val="00485AB5"/>
    <w:rsid w:val="00494CA0"/>
    <w:rsid w:val="004A583F"/>
    <w:rsid w:val="004B6445"/>
    <w:rsid w:val="004B6579"/>
    <w:rsid w:val="004B772B"/>
    <w:rsid w:val="004C5694"/>
    <w:rsid w:val="004E6A77"/>
    <w:rsid w:val="004F13FC"/>
    <w:rsid w:val="00517878"/>
    <w:rsid w:val="00532BFF"/>
    <w:rsid w:val="005345A4"/>
    <w:rsid w:val="00551AB0"/>
    <w:rsid w:val="00553C0A"/>
    <w:rsid w:val="00583CE3"/>
    <w:rsid w:val="005918D6"/>
    <w:rsid w:val="005A0C89"/>
    <w:rsid w:val="005A31D6"/>
    <w:rsid w:val="005C6C1D"/>
    <w:rsid w:val="005F28AF"/>
    <w:rsid w:val="005F6DB1"/>
    <w:rsid w:val="00611D44"/>
    <w:rsid w:val="0061414E"/>
    <w:rsid w:val="0061462E"/>
    <w:rsid w:val="00614821"/>
    <w:rsid w:val="00626546"/>
    <w:rsid w:val="006368E5"/>
    <w:rsid w:val="006507F6"/>
    <w:rsid w:val="006535EF"/>
    <w:rsid w:val="006563BA"/>
    <w:rsid w:val="00673225"/>
    <w:rsid w:val="00685954"/>
    <w:rsid w:val="00690833"/>
    <w:rsid w:val="006950CA"/>
    <w:rsid w:val="006B1CF4"/>
    <w:rsid w:val="006B2EBA"/>
    <w:rsid w:val="006D4887"/>
    <w:rsid w:val="006D5062"/>
    <w:rsid w:val="006D7282"/>
    <w:rsid w:val="006E1036"/>
    <w:rsid w:val="006E5915"/>
    <w:rsid w:val="006E724F"/>
    <w:rsid w:val="006F338E"/>
    <w:rsid w:val="006F54F2"/>
    <w:rsid w:val="00710B90"/>
    <w:rsid w:val="00711C15"/>
    <w:rsid w:val="00712416"/>
    <w:rsid w:val="00721C14"/>
    <w:rsid w:val="00722C78"/>
    <w:rsid w:val="00722F0B"/>
    <w:rsid w:val="00735F20"/>
    <w:rsid w:val="007364D1"/>
    <w:rsid w:val="00736E71"/>
    <w:rsid w:val="0074162C"/>
    <w:rsid w:val="0074651E"/>
    <w:rsid w:val="0077082F"/>
    <w:rsid w:val="00775271"/>
    <w:rsid w:val="00790AB5"/>
    <w:rsid w:val="00792219"/>
    <w:rsid w:val="007A352D"/>
    <w:rsid w:val="007B57BF"/>
    <w:rsid w:val="007C3792"/>
    <w:rsid w:val="007E1041"/>
    <w:rsid w:val="007E4194"/>
    <w:rsid w:val="008005EA"/>
    <w:rsid w:val="00801C58"/>
    <w:rsid w:val="00803D78"/>
    <w:rsid w:val="00817944"/>
    <w:rsid w:val="008317A8"/>
    <w:rsid w:val="008336F8"/>
    <w:rsid w:val="008340B0"/>
    <w:rsid w:val="00842D5C"/>
    <w:rsid w:val="0085167F"/>
    <w:rsid w:val="00857CD5"/>
    <w:rsid w:val="00861697"/>
    <w:rsid w:val="008673E5"/>
    <w:rsid w:val="008A3027"/>
    <w:rsid w:val="008A7B33"/>
    <w:rsid w:val="008C78C8"/>
    <w:rsid w:val="008E0551"/>
    <w:rsid w:val="008E4487"/>
    <w:rsid w:val="008E6F0B"/>
    <w:rsid w:val="008F34CE"/>
    <w:rsid w:val="008F4FDF"/>
    <w:rsid w:val="009055D8"/>
    <w:rsid w:val="00913E65"/>
    <w:rsid w:val="00937111"/>
    <w:rsid w:val="00941CA2"/>
    <w:rsid w:val="00947BFE"/>
    <w:rsid w:val="00966913"/>
    <w:rsid w:val="00980215"/>
    <w:rsid w:val="00980748"/>
    <w:rsid w:val="00982327"/>
    <w:rsid w:val="00991175"/>
    <w:rsid w:val="009A3B18"/>
    <w:rsid w:val="009B0E74"/>
    <w:rsid w:val="009B700A"/>
    <w:rsid w:val="009C2601"/>
    <w:rsid w:val="009D35FC"/>
    <w:rsid w:val="009D673B"/>
    <w:rsid w:val="009E074D"/>
    <w:rsid w:val="009F22B1"/>
    <w:rsid w:val="00A041C2"/>
    <w:rsid w:val="00A245F2"/>
    <w:rsid w:val="00A255D2"/>
    <w:rsid w:val="00A27C5C"/>
    <w:rsid w:val="00A4765E"/>
    <w:rsid w:val="00A75EC5"/>
    <w:rsid w:val="00A851E6"/>
    <w:rsid w:val="00A87B91"/>
    <w:rsid w:val="00A92841"/>
    <w:rsid w:val="00A9580D"/>
    <w:rsid w:val="00AB503F"/>
    <w:rsid w:val="00AB672F"/>
    <w:rsid w:val="00AC228F"/>
    <w:rsid w:val="00AC66D7"/>
    <w:rsid w:val="00AC6F13"/>
    <w:rsid w:val="00AD03F9"/>
    <w:rsid w:val="00B0170C"/>
    <w:rsid w:val="00B02607"/>
    <w:rsid w:val="00B2117B"/>
    <w:rsid w:val="00B21AD0"/>
    <w:rsid w:val="00B21E62"/>
    <w:rsid w:val="00B45986"/>
    <w:rsid w:val="00B50E9D"/>
    <w:rsid w:val="00B62884"/>
    <w:rsid w:val="00B73488"/>
    <w:rsid w:val="00B80D9E"/>
    <w:rsid w:val="00B87C74"/>
    <w:rsid w:val="00BA5F4C"/>
    <w:rsid w:val="00BC0FF0"/>
    <w:rsid w:val="00BC6229"/>
    <w:rsid w:val="00BE24E1"/>
    <w:rsid w:val="00C15B77"/>
    <w:rsid w:val="00C206F2"/>
    <w:rsid w:val="00C22D24"/>
    <w:rsid w:val="00C341ED"/>
    <w:rsid w:val="00C36AF4"/>
    <w:rsid w:val="00C44686"/>
    <w:rsid w:val="00C75C22"/>
    <w:rsid w:val="00C82A9B"/>
    <w:rsid w:val="00C85341"/>
    <w:rsid w:val="00CA66FD"/>
    <w:rsid w:val="00CA7AA2"/>
    <w:rsid w:val="00CB15AD"/>
    <w:rsid w:val="00CB7A95"/>
    <w:rsid w:val="00CC735A"/>
    <w:rsid w:val="00CD0C80"/>
    <w:rsid w:val="00CE3E7E"/>
    <w:rsid w:val="00CF62BF"/>
    <w:rsid w:val="00CF778A"/>
    <w:rsid w:val="00D038E7"/>
    <w:rsid w:val="00D03A05"/>
    <w:rsid w:val="00D051F5"/>
    <w:rsid w:val="00D51C89"/>
    <w:rsid w:val="00D5414A"/>
    <w:rsid w:val="00D626F3"/>
    <w:rsid w:val="00D8094D"/>
    <w:rsid w:val="00D817F4"/>
    <w:rsid w:val="00DA33C4"/>
    <w:rsid w:val="00DB0261"/>
    <w:rsid w:val="00DB4A9B"/>
    <w:rsid w:val="00DB50EA"/>
    <w:rsid w:val="00DB5177"/>
    <w:rsid w:val="00DC28FC"/>
    <w:rsid w:val="00DE60FA"/>
    <w:rsid w:val="00DF2D4F"/>
    <w:rsid w:val="00E00340"/>
    <w:rsid w:val="00E01C29"/>
    <w:rsid w:val="00E053B0"/>
    <w:rsid w:val="00E056F2"/>
    <w:rsid w:val="00E07DDC"/>
    <w:rsid w:val="00E12001"/>
    <w:rsid w:val="00E15766"/>
    <w:rsid w:val="00E230C6"/>
    <w:rsid w:val="00E3218B"/>
    <w:rsid w:val="00E409CA"/>
    <w:rsid w:val="00E46498"/>
    <w:rsid w:val="00E51BB2"/>
    <w:rsid w:val="00E5781A"/>
    <w:rsid w:val="00E61ACB"/>
    <w:rsid w:val="00E6778B"/>
    <w:rsid w:val="00E726D7"/>
    <w:rsid w:val="00E748D5"/>
    <w:rsid w:val="00E75CA1"/>
    <w:rsid w:val="00E834F7"/>
    <w:rsid w:val="00E911AC"/>
    <w:rsid w:val="00EA6731"/>
    <w:rsid w:val="00EA7F78"/>
    <w:rsid w:val="00EB5456"/>
    <w:rsid w:val="00EC165D"/>
    <w:rsid w:val="00ED175F"/>
    <w:rsid w:val="00ED1A95"/>
    <w:rsid w:val="00ED36C2"/>
    <w:rsid w:val="00ED57CD"/>
    <w:rsid w:val="00EE2AD1"/>
    <w:rsid w:val="00EF5B50"/>
    <w:rsid w:val="00EF7901"/>
    <w:rsid w:val="00F029CE"/>
    <w:rsid w:val="00F11792"/>
    <w:rsid w:val="00F23531"/>
    <w:rsid w:val="00F2480E"/>
    <w:rsid w:val="00F37F6D"/>
    <w:rsid w:val="00F43B4B"/>
    <w:rsid w:val="00F561F7"/>
    <w:rsid w:val="00F56C61"/>
    <w:rsid w:val="00F83C80"/>
    <w:rsid w:val="00F83ED8"/>
    <w:rsid w:val="00F853EC"/>
    <w:rsid w:val="00FA0CB4"/>
    <w:rsid w:val="00FB16B6"/>
    <w:rsid w:val="00FD347E"/>
    <w:rsid w:val="00FD52D4"/>
    <w:rsid w:val="00FD61EC"/>
    <w:rsid w:val="00FE5597"/>
    <w:rsid w:val="00FE76CA"/>
    <w:rsid w:val="00FF7E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82D08EE0-787E-460A-BDC6-FB98ED28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B1"/>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B02607"/>
    <w:pPr>
      <w:keepNext/>
      <w:keepLines/>
      <w:numPr>
        <w:numId w:val="18"/>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02607"/>
    <w:pPr>
      <w:keepNext/>
      <w:keepLines/>
      <w:numPr>
        <w:numId w:val="17"/>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516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503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0E74"/>
    <w:rPr>
      <w:sz w:val="16"/>
      <w:szCs w:val="16"/>
    </w:rPr>
  </w:style>
  <w:style w:type="paragraph" w:styleId="CommentText">
    <w:name w:val="annotation text"/>
    <w:basedOn w:val="Normal"/>
    <w:link w:val="CommentTextChar"/>
    <w:uiPriority w:val="99"/>
    <w:semiHidden/>
    <w:unhideWhenUsed/>
    <w:rsid w:val="009B0E74"/>
    <w:rPr>
      <w:sz w:val="20"/>
      <w:szCs w:val="20"/>
    </w:rPr>
  </w:style>
  <w:style w:type="character" w:customStyle="1" w:styleId="CommentTextChar">
    <w:name w:val="Comment Text Char"/>
    <w:basedOn w:val="DefaultParagraphFont"/>
    <w:link w:val="CommentText"/>
    <w:uiPriority w:val="99"/>
    <w:semiHidden/>
    <w:rsid w:val="009B0E74"/>
    <w:rPr>
      <w:sz w:val="20"/>
      <w:szCs w:val="20"/>
    </w:rPr>
  </w:style>
  <w:style w:type="paragraph" w:styleId="CommentSubject">
    <w:name w:val="annotation subject"/>
    <w:basedOn w:val="CommentText"/>
    <w:next w:val="CommentText"/>
    <w:link w:val="CommentSubjectChar"/>
    <w:uiPriority w:val="99"/>
    <w:semiHidden/>
    <w:unhideWhenUsed/>
    <w:rsid w:val="009B0E74"/>
    <w:rPr>
      <w:b/>
      <w:bCs/>
    </w:rPr>
  </w:style>
  <w:style w:type="character" w:customStyle="1" w:styleId="CommentSubjectChar">
    <w:name w:val="Comment Subject Char"/>
    <w:basedOn w:val="CommentTextChar"/>
    <w:link w:val="CommentSubject"/>
    <w:uiPriority w:val="99"/>
    <w:semiHidden/>
    <w:rsid w:val="009B0E74"/>
    <w:rPr>
      <w:b/>
      <w:bCs/>
      <w:sz w:val="20"/>
      <w:szCs w:val="20"/>
    </w:rPr>
  </w:style>
  <w:style w:type="paragraph" w:styleId="BalloonText">
    <w:name w:val="Balloon Text"/>
    <w:basedOn w:val="Normal"/>
    <w:link w:val="BalloonTextChar"/>
    <w:uiPriority w:val="99"/>
    <w:semiHidden/>
    <w:unhideWhenUsed/>
    <w:rsid w:val="009B0E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74"/>
    <w:rPr>
      <w:rFonts w:ascii="Tahoma" w:hAnsi="Tahoma" w:cs="Tahoma"/>
      <w:sz w:val="16"/>
      <w:szCs w:val="16"/>
    </w:rPr>
  </w:style>
  <w:style w:type="character" w:customStyle="1" w:styleId="Heading1Char">
    <w:name w:val="Heading 1 Char"/>
    <w:basedOn w:val="DefaultParagraphFont"/>
    <w:link w:val="Heading1"/>
    <w:uiPriority w:val="9"/>
    <w:rsid w:val="00B02607"/>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0260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5167F"/>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B44AE"/>
  </w:style>
  <w:style w:type="character" w:styleId="Hyperlink">
    <w:name w:val="Hyperlink"/>
    <w:basedOn w:val="DefaultParagraphFont"/>
    <w:uiPriority w:val="99"/>
    <w:unhideWhenUsed/>
    <w:rsid w:val="00736E71"/>
    <w:rPr>
      <w:color w:val="0000FF" w:themeColor="hyperlink"/>
      <w:u w:val="single"/>
    </w:rPr>
  </w:style>
  <w:style w:type="paragraph" w:styleId="ListParagraph">
    <w:name w:val="List Paragraph"/>
    <w:basedOn w:val="Normal"/>
    <w:uiPriority w:val="34"/>
    <w:qFormat/>
    <w:rsid w:val="00D51C89"/>
    <w:pPr>
      <w:ind w:left="720"/>
      <w:contextualSpacing/>
    </w:pPr>
  </w:style>
  <w:style w:type="paragraph" w:customStyle="1" w:styleId="EndNoteBibliography">
    <w:name w:val="EndNote Bibliography"/>
    <w:basedOn w:val="Normal"/>
    <w:link w:val="EndNoteBibliographyChar"/>
    <w:rsid w:val="00446B94"/>
    <w:rPr>
      <w:rFonts w:ascii="Calibri" w:eastAsia="Times New Roman" w:hAnsi="Calibri"/>
      <w:noProof/>
      <w:lang w:val="en-US" w:eastAsia="en-US"/>
    </w:rPr>
  </w:style>
  <w:style w:type="character" w:customStyle="1" w:styleId="EndNoteBibliographyChar">
    <w:name w:val="EndNote Bibliography Char"/>
    <w:basedOn w:val="DefaultParagraphFont"/>
    <w:link w:val="EndNoteBibliography"/>
    <w:locked/>
    <w:rsid w:val="00446B94"/>
    <w:rPr>
      <w:rFonts w:ascii="Calibri" w:eastAsia="Times New Roman" w:hAnsi="Calibri"/>
      <w:noProof/>
      <w:lang w:val="en-US" w:eastAsia="en-US"/>
    </w:rPr>
  </w:style>
  <w:style w:type="paragraph" w:styleId="Header">
    <w:name w:val="header"/>
    <w:basedOn w:val="Normal"/>
    <w:link w:val="HeaderChar"/>
    <w:uiPriority w:val="99"/>
    <w:unhideWhenUsed/>
    <w:rsid w:val="00937111"/>
    <w:pPr>
      <w:tabs>
        <w:tab w:val="center" w:pos="4513"/>
        <w:tab w:val="right" w:pos="9026"/>
      </w:tabs>
      <w:spacing w:after="0"/>
    </w:pPr>
  </w:style>
  <w:style w:type="character" w:customStyle="1" w:styleId="HeaderChar">
    <w:name w:val="Header Char"/>
    <w:basedOn w:val="DefaultParagraphFont"/>
    <w:link w:val="Header"/>
    <w:uiPriority w:val="99"/>
    <w:rsid w:val="00937111"/>
  </w:style>
  <w:style w:type="paragraph" w:styleId="Footer">
    <w:name w:val="footer"/>
    <w:basedOn w:val="Normal"/>
    <w:link w:val="FooterChar"/>
    <w:uiPriority w:val="99"/>
    <w:unhideWhenUsed/>
    <w:rsid w:val="00937111"/>
    <w:pPr>
      <w:tabs>
        <w:tab w:val="center" w:pos="4513"/>
        <w:tab w:val="right" w:pos="9026"/>
      </w:tabs>
      <w:spacing w:after="0"/>
    </w:pPr>
  </w:style>
  <w:style w:type="character" w:customStyle="1" w:styleId="FooterChar">
    <w:name w:val="Footer Char"/>
    <w:basedOn w:val="DefaultParagraphFont"/>
    <w:link w:val="Footer"/>
    <w:uiPriority w:val="99"/>
    <w:rsid w:val="00937111"/>
  </w:style>
  <w:style w:type="table" w:styleId="TableGrid">
    <w:name w:val="Table Grid"/>
    <w:basedOn w:val="TableNormal"/>
    <w:uiPriority w:val="59"/>
    <w:rsid w:val="00E75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CFC"/>
    <w:pPr>
      <w:autoSpaceDE w:val="0"/>
      <w:autoSpaceDN w:val="0"/>
      <w:adjustRightInd w:val="0"/>
      <w:spacing w:after="0" w:line="240" w:lineRule="auto"/>
    </w:pPr>
    <w:rPr>
      <w:rFonts w:ascii="Cambria" w:hAnsi="Cambria" w:cs="Cambria"/>
      <w:color w:val="000000"/>
      <w:sz w:val="24"/>
      <w:szCs w:val="24"/>
    </w:rPr>
  </w:style>
  <w:style w:type="character" w:customStyle="1" w:styleId="Heading4Char">
    <w:name w:val="Heading 4 Char"/>
    <w:basedOn w:val="DefaultParagraphFont"/>
    <w:link w:val="Heading4"/>
    <w:uiPriority w:val="9"/>
    <w:rsid w:val="00AB503F"/>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60987">
      <w:bodyDiv w:val="1"/>
      <w:marLeft w:val="0"/>
      <w:marRight w:val="0"/>
      <w:marTop w:val="0"/>
      <w:marBottom w:val="0"/>
      <w:divBdr>
        <w:top w:val="none" w:sz="0" w:space="0" w:color="auto"/>
        <w:left w:val="none" w:sz="0" w:space="0" w:color="auto"/>
        <w:bottom w:val="none" w:sz="0" w:space="0" w:color="auto"/>
        <w:right w:val="none" w:sz="0" w:space="0" w:color="auto"/>
      </w:divBdr>
    </w:div>
    <w:div w:id="853422138">
      <w:bodyDiv w:val="1"/>
      <w:marLeft w:val="0"/>
      <w:marRight w:val="0"/>
      <w:marTop w:val="0"/>
      <w:marBottom w:val="0"/>
      <w:divBdr>
        <w:top w:val="none" w:sz="0" w:space="0" w:color="auto"/>
        <w:left w:val="none" w:sz="0" w:space="0" w:color="auto"/>
        <w:bottom w:val="none" w:sz="0" w:space="0" w:color="auto"/>
        <w:right w:val="none" w:sz="0" w:space="0" w:color="auto"/>
      </w:divBdr>
    </w:div>
    <w:div w:id="178638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ec.europa.eu/programmes/erasmus-plus/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43EC90-4D99-4981-A531-28DA94DBA4D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D6C57C34-9460-4099-8C9C-ECEC3D7D815D}">
      <dgm:prSet phldrT="[Text]"/>
      <dgm:spPr>
        <a:xfrm>
          <a:off x="1143000" y="0"/>
          <a:ext cx="3200400" cy="32004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Regional Integration</a:t>
          </a:r>
        </a:p>
      </dgm:t>
    </dgm:pt>
    <dgm:pt modelId="{2DC82356-1FF4-4056-AC51-F1D993EF8718}" type="parTrans" cxnId="{81B6E50E-89D1-4612-B8CF-ED89D0A597E7}">
      <dgm:prSet/>
      <dgm:spPr/>
      <dgm:t>
        <a:bodyPr/>
        <a:lstStyle/>
        <a:p>
          <a:endParaRPr lang="en-US"/>
        </a:p>
      </dgm:t>
    </dgm:pt>
    <dgm:pt modelId="{958606C7-4AEB-4539-8FC2-E7A3211B3B2C}" type="sibTrans" cxnId="{81B6E50E-89D1-4612-B8CF-ED89D0A597E7}">
      <dgm:prSet/>
      <dgm:spPr/>
      <dgm:t>
        <a:bodyPr/>
        <a:lstStyle/>
        <a:p>
          <a:endParaRPr lang="en-US"/>
        </a:p>
      </dgm:t>
    </dgm:pt>
    <dgm:pt modelId="{F594A32A-BB84-4CEA-BCE1-18A5F4D0A5ED}">
      <dgm:prSet phldrT="[Text]"/>
      <dgm:spPr>
        <a:xfrm>
          <a:off x="1463040" y="640080"/>
          <a:ext cx="2560320" cy="25603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Educational Culture &amp; Communication</a:t>
          </a:r>
        </a:p>
      </dgm:t>
    </dgm:pt>
    <dgm:pt modelId="{EB6B91E1-3250-4E29-8E5D-414EB4A22B0F}" type="parTrans" cxnId="{3B8B2416-4CA8-462E-B499-4E12B1129724}">
      <dgm:prSet/>
      <dgm:spPr/>
      <dgm:t>
        <a:bodyPr/>
        <a:lstStyle/>
        <a:p>
          <a:endParaRPr lang="en-US"/>
        </a:p>
      </dgm:t>
    </dgm:pt>
    <dgm:pt modelId="{BD935A40-B769-4CA5-93C4-4D4A2AE190EE}" type="sibTrans" cxnId="{3B8B2416-4CA8-462E-B499-4E12B1129724}">
      <dgm:prSet/>
      <dgm:spPr/>
      <dgm:t>
        <a:bodyPr/>
        <a:lstStyle/>
        <a:p>
          <a:endParaRPr lang="en-US"/>
        </a:p>
      </dgm:t>
    </dgm:pt>
    <dgm:pt modelId="{C16024C7-A5C6-464D-8FBF-5A33FE2D9FB0}">
      <dgm:prSet phldrT="[Text]"/>
      <dgm:spPr>
        <a:xfrm>
          <a:off x="1783080" y="1280159"/>
          <a:ext cx="1920240" cy="192024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Structure &amp; Process</a:t>
          </a:r>
        </a:p>
      </dgm:t>
    </dgm:pt>
    <dgm:pt modelId="{201DFD85-6078-4ACB-9127-3541573A0A23}" type="parTrans" cxnId="{07DD2A8C-F989-40FB-987F-1705B311C0D9}">
      <dgm:prSet/>
      <dgm:spPr/>
      <dgm:t>
        <a:bodyPr/>
        <a:lstStyle/>
        <a:p>
          <a:endParaRPr lang="en-US"/>
        </a:p>
      </dgm:t>
    </dgm:pt>
    <dgm:pt modelId="{5D5F085B-4389-4DCB-93E5-AE11D037D03C}" type="sibTrans" cxnId="{07DD2A8C-F989-40FB-987F-1705B311C0D9}">
      <dgm:prSet/>
      <dgm:spPr/>
      <dgm:t>
        <a:bodyPr/>
        <a:lstStyle/>
        <a:p>
          <a:endParaRPr lang="en-US"/>
        </a:p>
      </dgm:t>
    </dgm:pt>
    <dgm:pt modelId="{A4C79B48-33F3-495D-B1DD-FA0203CE8CC0}">
      <dgm:prSet phldrT="[Text]" custT="1"/>
      <dgm:spPr>
        <a:xfrm>
          <a:off x="2103120" y="1920240"/>
          <a:ext cx="1280160" cy="1280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a:solidFill>
                <a:sysClr val="window" lastClr="FFFFFF"/>
              </a:solidFill>
              <a:latin typeface="Calibri"/>
              <a:ea typeface="+mn-ea"/>
              <a:cs typeface="+mn-cs"/>
            </a:rPr>
            <a:t>Family Support</a:t>
          </a:r>
        </a:p>
      </dgm:t>
    </dgm:pt>
    <dgm:pt modelId="{7535C761-4809-4820-9AF2-9E43CB2AAFB4}" type="parTrans" cxnId="{6AD46A8C-25CA-4FAA-981B-96D968474199}">
      <dgm:prSet/>
      <dgm:spPr/>
      <dgm:t>
        <a:bodyPr/>
        <a:lstStyle/>
        <a:p>
          <a:endParaRPr lang="en-US"/>
        </a:p>
      </dgm:t>
    </dgm:pt>
    <dgm:pt modelId="{8A8FAF13-E44D-4BF8-97A0-DFF78D233B37}" type="sibTrans" cxnId="{6AD46A8C-25CA-4FAA-981B-96D968474199}">
      <dgm:prSet/>
      <dgm:spPr/>
      <dgm:t>
        <a:bodyPr/>
        <a:lstStyle/>
        <a:p>
          <a:endParaRPr lang="en-US"/>
        </a:p>
      </dgm:t>
    </dgm:pt>
    <dgm:pt modelId="{34168DA7-94DA-47F7-A753-8C72D96663F3}" type="pres">
      <dgm:prSet presAssocID="{1F43EC90-4D99-4981-A531-28DA94DBA4DF}" presName="Name0" presStyleCnt="0">
        <dgm:presLayoutVars>
          <dgm:chMax val="7"/>
          <dgm:resizeHandles val="exact"/>
        </dgm:presLayoutVars>
      </dgm:prSet>
      <dgm:spPr/>
      <dgm:t>
        <a:bodyPr/>
        <a:lstStyle/>
        <a:p>
          <a:endParaRPr lang="en-GB"/>
        </a:p>
      </dgm:t>
    </dgm:pt>
    <dgm:pt modelId="{C272B29E-D4FB-4E61-A1CC-453A47D167F5}" type="pres">
      <dgm:prSet presAssocID="{1F43EC90-4D99-4981-A531-28DA94DBA4DF}" presName="comp1" presStyleCnt="0"/>
      <dgm:spPr/>
    </dgm:pt>
    <dgm:pt modelId="{B2363837-08A6-41D7-9E70-D76885811A86}" type="pres">
      <dgm:prSet presAssocID="{1F43EC90-4D99-4981-A531-28DA94DBA4DF}" presName="circle1" presStyleLbl="node1" presStyleIdx="0" presStyleCnt="4"/>
      <dgm:spPr>
        <a:prstGeom prst="ellipse">
          <a:avLst/>
        </a:prstGeom>
      </dgm:spPr>
      <dgm:t>
        <a:bodyPr/>
        <a:lstStyle/>
        <a:p>
          <a:endParaRPr lang="en-GB"/>
        </a:p>
      </dgm:t>
    </dgm:pt>
    <dgm:pt modelId="{FDA2C464-0A6A-4510-A9D2-A4082CFAA25D}" type="pres">
      <dgm:prSet presAssocID="{1F43EC90-4D99-4981-A531-28DA94DBA4DF}" presName="c1text" presStyleLbl="node1" presStyleIdx="0" presStyleCnt="4">
        <dgm:presLayoutVars>
          <dgm:bulletEnabled val="1"/>
        </dgm:presLayoutVars>
      </dgm:prSet>
      <dgm:spPr/>
      <dgm:t>
        <a:bodyPr/>
        <a:lstStyle/>
        <a:p>
          <a:endParaRPr lang="en-GB"/>
        </a:p>
      </dgm:t>
    </dgm:pt>
    <dgm:pt modelId="{CB95E2EB-F63C-4458-87A0-8AF5FE8A4EAD}" type="pres">
      <dgm:prSet presAssocID="{1F43EC90-4D99-4981-A531-28DA94DBA4DF}" presName="comp2" presStyleCnt="0"/>
      <dgm:spPr/>
    </dgm:pt>
    <dgm:pt modelId="{A077C58D-6623-4C97-BF58-3CED8BAB207E}" type="pres">
      <dgm:prSet presAssocID="{1F43EC90-4D99-4981-A531-28DA94DBA4DF}" presName="circle2" presStyleLbl="node1" presStyleIdx="1" presStyleCnt="4"/>
      <dgm:spPr>
        <a:prstGeom prst="ellipse">
          <a:avLst/>
        </a:prstGeom>
      </dgm:spPr>
      <dgm:t>
        <a:bodyPr/>
        <a:lstStyle/>
        <a:p>
          <a:endParaRPr lang="en-GB"/>
        </a:p>
      </dgm:t>
    </dgm:pt>
    <dgm:pt modelId="{0372B487-2021-4085-AA26-B12B35BC416D}" type="pres">
      <dgm:prSet presAssocID="{1F43EC90-4D99-4981-A531-28DA94DBA4DF}" presName="c2text" presStyleLbl="node1" presStyleIdx="1" presStyleCnt="4">
        <dgm:presLayoutVars>
          <dgm:bulletEnabled val="1"/>
        </dgm:presLayoutVars>
      </dgm:prSet>
      <dgm:spPr/>
      <dgm:t>
        <a:bodyPr/>
        <a:lstStyle/>
        <a:p>
          <a:endParaRPr lang="en-GB"/>
        </a:p>
      </dgm:t>
    </dgm:pt>
    <dgm:pt modelId="{59E8AA53-A851-4B7C-8A15-71162D996D87}" type="pres">
      <dgm:prSet presAssocID="{1F43EC90-4D99-4981-A531-28DA94DBA4DF}" presName="comp3" presStyleCnt="0"/>
      <dgm:spPr/>
    </dgm:pt>
    <dgm:pt modelId="{E48318A3-C6DB-41C1-97E6-2E1C0237842F}" type="pres">
      <dgm:prSet presAssocID="{1F43EC90-4D99-4981-A531-28DA94DBA4DF}" presName="circle3" presStyleLbl="node1" presStyleIdx="2" presStyleCnt="4"/>
      <dgm:spPr>
        <a:prstGeom prst="ellipse">
          <a:avLst/>
        </a:prstGeom>
      </dgm:spPr>
      <dgm:t>
        <a:bodyPr/>
        <a:lstStyle/>
        <a:p>
          <a:endParaRPr lang="en-GB"/>
        </a:p>
      </dgm:t>
    </dgm:pt>
    <dgm:pt modelId="{42D61FF1-30ED-4E0A-9B88-8859CD08D1FC}" type="pres">
      <dgm:prSet presAssocID="{1F43EC90-4D99-4981-A531-28DA94DBA4DF}" presName="c3text" presStyleLbl="node1" presStyleIdx="2" presStyleCnt="4">
        <dgm:presLayoutVars>
          <dgm:bulletEnabled val="1"/>
        </dgm:presLayoutVars>
      </dgm:prSet>
      <dgm:spPr/>
      <dgm:t>
        <a:bodyPr/>
        <a:lstStyle/>
        <a:p>
          <a:endParaRPr lang="en-GB"/>
        </a:p>
      </dgm:t>
    </dgm:pt>
    <dgm:pt modelId="{0EB118FC-6E99-4C11-9E59-14AF5551392A}" type="pres">
      <dgm:prSet presAssocID="{1F43EC90-4D99-4981-A531-28DA94DBA4DF}" presName="comp4" presStyleCnt="0"/>
      <dgm:spPr/>
    </dgm:pt>
    <dgm:pt modelId="{248FBBE4-9165-45DA-BC2A-F9C9C6EA01C0}" type="pres">
      <dgm:prSet presAssocID="{1F43EC90-4D99-4981-A531-28DA94DBA4DF}" presName="circle4" presStyleLbl="node1" presStyleIdx="3" presStyleCnt="4"/>
      <dgm:spPr>
        <a:prstGeom prst="ellipse">
          <a:avLst/>
        </a:prstGeom>
      </dgm:spPr>
      <dgm:t>
        <a:bodyPr/>
        <a:lstStyle/>
        <a:p>
          <a:endParaRPr lang="en-GB"/>
        </a:p>
      </dgm:t>
    </dgm:pt>
    <dgm:pt modelId="{68BB5C7B-7FA1-49DE-90B0-A39E6B304556}" type="pres">
      <dgm:prSet presAssocID="{1F43EC90-4D99-4981-A531-28DA94DBA4DF}" presName="c4text" presStyleLbl="node1" presStyleIdx="3" presStyleCnt="4">
        <dgm:presLayoutVars>
          <dgm:bulletEnabled val="1"/>
        </dgm:presLayoutVars>
      </dgm:prSet>
      <dgm:spPr/>
      <dgm:t>
        <a:bodyPr/>
        <a:lstStyle/>
        <a:p>
          <a:endParaRPr lang="en-GB"/>
        </a:p>
      </dgm:t>
    </dgm:pt>
  </dgm:ptLst>
  <dgm:cxnLst>
    <dgm:cxn modelId="{2C97BFAD-4F62-4C55-B884-35718787675A}" type="presOf" srcId="{C16024C7-A5C6-464D-8FBF-5A33FE2D9FB0}" destId="{E48318A3-C6DB-41C1-97E6-2E1C0237842F}" srcOrd="0" destOrd="0" presId="urn:microsoft.com/office/officeart/2005/8/layout/venn2"/>
    <dgm:cxn modelId="{D9E390B5-4851-48CB-BFEF-74E9E2D037FD}" type="presOf" srcId="{1F43EC90-4D99-4981-A531-28DA94DBA4DF}" destId="{34168DA7-94DA-47F7-A753-8C72D96663F3}" srcOrd="0" destOrd="0" presId="urn:microsoft.com/office/officeart/2005/8/layout/venn2"/>
    <dgm:cxn modelId="{6AD46A8C-25CA-4FAA-981B-96D968474199}" srcId="{1F43EC90-4D99-4981-A531-28DA94DBA4DF}" destId="{A4C79B48-33F3-495D-B1DD-FA0203CE8CC0}" srcOrd="3" destOrd="0" parTransId="{7535C761-4809-4820-9AF2-9E43CB2AAFB4}" sibTransId="{8A8FAF13-E44D-4BF8-97A0-DFF78D233B37}"/>
    <dgm:cxn modelId="{E179DCB8-7360-4A58-BDAD-2BFCD61B65E3}" type="presOf" srcId="{D6C57C34-9460-4099-8C9C-ECEC3D7D815D}" destId="{FDA2C464-0A6A-4510-A9D2-A4082CFAA25D}" srcOrd="1" destOrd="0" presId="urn:microsoft.com/office/officeart/2005/8/layout/venn2"/>
    <dgm:cxn modelId="{24E262F5-F357-4130-A2D7-0D4CE3D899AD}" type="presOf" srcId="{F594A32A-BB84-4CEA-BCE1-18A5F4D0A5ED}" destId="{0372B487-2021-4085-AA26-B12B35BC416D}" srcOrd="1" destOrd="0" presId="urn:microsoft.com/office/officeart/2005/8/layout/venn2"/>
    <dgm:cxn modelId="{3264AFF2-8DCF-4D70-9C54-26C69757E03E}" type="presOf" srcId="{C16024C7-A5C6-464D-8FBF-5A33FE2D9FB0}" destId="{42D61FF1-30ED-4E0A-9B88-8859CD08D1FC}" srcOrd="1" destOrd="0" presId="urn:microsoft.com/office/officeart/2005/8/layout/venn2"/>
    <dgm:cxn modelId="{07DD2A8C-F989-40FB-987F-1705B311C0D9}" srcId="{1F43EC90-4D99-4981-A531-28DA94DBA4DF}" destId="{C16024C7-A5C6-464D-8FBF-5A33FE2D9FB0}" srcOrd="2" destOrd="0" parTransId="{201DFD85-6078-4ACB-9127-3541573A0A23}" sibTransId="{5D5F085B-4389-4DCB-93E5-AE11D037D03C}"/>
    <dgm:cxn modelId="{81B6E50E-89D1-4612-B8CF-ED89D0A597E7}" srcId="{1F43EC90-4D99-4981-A531-28DA94DBA4DF}" destId="{D6C57C34-9460-4099-8C9C-ECEC3D7D815D}" srcOrd="0" destOrd="0" parTransId="{2DC82356-1FF4-4056-AC51-F1D993EF8718}" sibTransId="{958606C7-4AEB-4539-8FC2-E7A3211B3B2C}"/>
    <dgm:cxn modelId="{49677DEE-4FE1-4760-81F5-8543FE6EDFDF}" type="presOf" srcId="{F594A32A-BB84-4CEA-BCE1-18A5F4D0A5ED}" destId="{A077C58D-6623-4C97-BF58-3CED8BAB207E}" srcOrd="0" destOrd="0" presId="urn:microsoft.com/office/officeart/2005/8/layout/venn2"/>
    <dgm:cxn modelId="{9ADE7CC1-6B3E-4EEE-BD9C-06DE50DD3E68}" type="presOf" srcId="{D6C57C34-9460-4099-8C9C-ECEC3D7D815D}" destId="{B2363837-08A6-41D7-9E70-D76885811A86}" srcOrd="0" destOrd="0" presId="urn:microsoft.com/office/officeart/2005/8/layout/venn2"/>
    <dgm:cxn modelId="{3B8B2416-4CA8-462E-B499-4E12B1129724}" srcId="{1F43EC90-4D99-4981-A531-28DA94DBA4DF}" destId="{F594A32A-BB84-4CEA-BCE1-18A5F4D0A5ED}" srcOrd="1" destOrd="0" parTransId="{EB6B91E1-3250-4E29-8E5D-414EB4A22B0F}" sibTransId="{BD935A40-B769-4CA5-93C4-4D4A2AE190EE}"/>
    <dgm:cxn modelId="{3D15A683-EEF8-40AC-BCD5-448A992B6CD6}" type="presOf" srcId="{A4C79B48-33F3-495D-B1DD-FA0203CE8CC0}" destId="{248FBBE4-9165-45DA-BC2A-F9C9C6EA01C0}" srcOrd="0" destOrd="0" presId="urn:microsoft.com/office/officeart/2005/8/layout/venn2"/>
    <dgm:cxn modelId="{BD4FBEF1-F0CA-4D32-A7A8-B7AD3F7E281D}" type="presOf" srcId="{A4C79B48-33F3-495D-B1DD-FA0203CE8CC0}" destId="{68BB5C7B-7FA1-49DE-90B0-A39E6B304556}" srcOrd="1" destOrd="0" presId="urn:microsoft.com/office/officeart/2005/8/layout/venn2"/>
    <dgm:cxn modelId="{E8AB7AE4-F87B-492C-BB3F-CA39CE6CC0AD}" type="presParOf" srcId="{34168DA7-94DA-47F7-A753-8C72D96663F3}" destId="{C272B29E-D4FB-4E61-A1CC-453A47D167F5}" srcOrd="0" destOrd="0" presId="urn:microsoft.com/office/officeart/2005/8/layout/venn2"/>
    <dgm:cxn modelId="{5CD99D0F-D847-4485-8158-1EAF49916175}" type="presParOf" srcId="{C272B29E-D4FB-4E61-A1CC-453A47D167F5}" destId="{B2363837-08A6-41D7-9E70-D76885811A86}" srcOrd="0" destOrd="0" presId="urn:microsoft.com/office/officeart/2005/8/layout/venn2"/>
    <dgm:cxn modelId="{9FBCE765-01E5-4131-9B32-745785773374}" type="presParOf" srcId="{C272B29E-D4FB-4E61-A1CC-453A47D167F5}" destId="{FDA2C464-0A6A-4510-A9D2-A4082CFAA25D}" srcOrd="1" destOrd="0" presId="urn:microsoft.com/office/officeart/2005/8/layout/venn2"/>
    <dgm:cxn modelId="{C0E90CE8-4F2C-4DC5-B2ED-5BB4B060755B}" type="presParOf" srcId="{34168DA7-94DA-47F7-A753-8C72D96663F3}" destId="{CB95E2EB-F63C-4458-87A0-8AF5FE8A4EAD}" srcOrd="1" destOrd="0" presId="urn:microsoft.com/office/officeart/2005/8/layout/venn2"/>
    <dgm:cxn modelId="{7F9BDDA4-F0E7-446D-9EEC-D9A1A235F2FA}" type="presParOf" srcId="{CB95E2EB-F63C-4458-87A0-8AF5FE8A4EAD}" destId="{A077C58D-6623-4C97-BF58-3CED8BAB207E}" srcOrd="0" destOrd="0" presId="urn:microsoft.com/office/officeart/2005/8/layout/venn2"/>
    <dgm:cxn modelId="{EAFF7510-F92B-431F-B6DE-6DC771F910FC}" type="presParOf" srcId="{CB95E2EB-F63C-4458-87A0-8AF5FE8A4EAD}" destId="{0372B487-2021-4085-AA26-B12B35BC416D}" srcOrd="1" destOrd="0" presId="urn:microsoft.com/office/officeart/2005/8/layout/venn2"/>
    <dgm:cxn modelId="{D1B67103-7F8A-4D98-9723-8DC89662A718}" type="presParOf" srcId="{34168DA7-94DA-47F7-A753-8C72D96663F3}" destId="{59E8AA53-A851-4B7C-8A15-71162D996D87}" srcOrd="2" destOrd="0" presId="urn:microsoft.com/office/officeart/2005/8/layout/venn2"/>
    <dgm:cxn modelId="{A8F991FF-33BC-431F-8F5A-706BA7431EE9}" type="presParOf" srcId="{59E8AA53-A851-4B7C-8A15-71162D996D87}" destId="{E48318A3-C6DB-41C1-97E6-2E1C0237842F}" srcOrd="0" destOrd="0" presId="urn:microsoft.com/office/officeart/2005/8/layout/venn2"/>
    <dgm:cxn modelId="{60E804C7-6EB5-4FB5-8BEE-AC40CF9288C6}" type="presParOf" srcId="{59E8AA53-A851-4B7C-8A15-71162D996D87}" destId="{42D61FF1-30ED-4E0A-9B88-8859CD08D1FC}" srcOrd="1" destOrd="0" presId="urn:microsoft.com/office/officeart/2005/8/layout/venn2"/>
    <dgm:cxn modelId="{964FEDB0-F41B-448D-B76F-4B96BC6D3687}" type="presParOf" srcId="{34168DA7-94DA-47F7-A753-8C72D96663F3}" destId="{0EB118FC-6E99-4C11-9E59-14AF5551392A}" srcOrd="3" destOrd="0" presId="urn:microsoft.com/office/officeart/2005/8/layout/venn2"/>
    <dgm:cxn modelId="{23142E65-3ADB-42BF-B692-AA1F714272BD}" type="presParOf" srcId="{0EB118FC-6E99-4C11-9E59-14AF5551392A}" destId="{248FBBE4-9165-45DA-BC2A-F9C9C6EA01C0}" srcOrd="0" destOrd="0" presId="urn:microsoft.com/office/officeart/2005/8/layout/venn2"/>
    <dgm:cxn modelId="{8FD9713C-8D94-4C15-8ABE-2F1D450D7E28}" type="presParOf" srcId="{0EB118FC-6E99-4C11-9E59-14AF5551392A}" destId="{68BB5C7B-7FA1-49DE-90B0-A39E6B304556}"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363837-08A6-41D7-9E70-D76885811A86}">
      <dsp:nvSpPr>
        <dsp:cNvPr id="0" name=""/>
        <dsp:cNvSpPr/>
      </dsp:nvSpPr>
      <dsp:spPr>
        <a:xfrm>
          <a:off x="1143000" y="0"/>
          <a:ext cx="3200400" cy="320040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Regional Integration</a:t>
          </a:r>
        </a:p>
      </dsp:txBody>
      <dsp:txXfrm>
        <a:off x="2295784" y="160019"/>
        <a:ext cx="894831" cy="480060"/>
      </dsp:txXfrm>
    </dsp:sp>
    <dsp:sp modelId="{A077C58D-6623-4C97-BF58-3CED8BAB207E}">
      <dsp:nvSpPr>
        <dsp:cNvPr id="0" name=""/>
        <dsp:cNvSpPr/>
      </dsp:nvSpPr>
      <dsp:spPr>
        <a:xfrm>
          <a:off x="1463040" y="640080"/>
          <a:ext cx="2560320" cy="256032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Educational Culture &amp; Communication</a:t>
          </a:r>
        </a:p>
      </dsp:txBody>
      <dsp:txXfrm>
        <a:off x="2295784" y="793699"/>
        <a:ext cx="894831" cy="460857"/>
      </dsp:txXfrm>
    </dsp:sp>
    <dsp:sp modelId="{E48318A3-C6DB-41C1-97E6-2E1C0237842F}">
      <dsp:nvSpPr>
        <dsp:cNvPr id="0" name=""/>
        <dsp:cNvSpPr/>
      </dsp:nvSpPr>
      <dsp:spPr>
        <a:xfrm>
          <a:off x="1783080" y="1280159"/>
          <a:ext cx="1920240" cy="192024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solidFill>
                <a:sysClr val="window" lastClr="FFFFFF"/>
              </a:solidFill>
              <a:latin typeface="Calibri"/>
              <a:ea typeface="+mn-ea"/>
              <a:cs typeface="+mn-cs"/>
            </a:rPr>
            <a:t>Structure &amp; Process</a:t>
          </a:r>
        </a:p>
      </dsp:txBody>
      <dsp:txXfrm>
        <a:off x="2295784" y="1424178"/>
        <a:ext cx="894831" cy="432054"/>
      </dsp:txXfrm>
    </dsp:sp>
    <dsp:sp modelId="{248FBBE4-9165-45DA-BC2A-F9C9C6EA01C0}">
      <dsp:nvSpPr>
        <dsp:cNvPr id="0" name=""/>
        <dsp:cNvSpPr/>
      </dsp:nvSpPr>
      <dsp:spPr>
        <a:xfrm>
          <a:off x="2103120" y="1920240"/>
          <a:ext cx="1280160" cy="128016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a:ea typeface="+mn-ea"/>
              <a:cs typeface="+mn-cs"/>
            </a:rPr>
            <a:t>Family Support</a:t>
          </a:r>
        </a:p>
      </dsp:txBody>
      <dsp:txXfrm>
        <a:off x="2290595" y="2240280"/>
        <a:ext cx="905209"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C638E-19BB-41EB-BFBC-64DEDDDA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9650</Words>
  <Characters>55005</Characters>
  <Application>Microsoft Office Word</Application>
  <DocSecurity>4</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64526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Pearce</dc:creator>
  <cp:lastModifiedBy>Ay Okpokam</cp:lastModifiedBy>
  <cp:revision>2</cp:revision>
  <cp:lastPrinted>2015-09-21T08:58:00Z</cp:lastPrinted>
  <dcterms:created xsi:type="dcterms:W3CDTF">2017-10-10T11:36:00Z</dcterms:created>
  <dcterms:modified xsi:type="dcterms:W3CDTF">2017-10-10T11:36:00Z</dcterms:modified>
</cp:coreProperties>
</file>