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68" w:rsidRPr="003A5BCA" w:rsidRDefault="00EC1868" w:rsidP="001B7F2F">
      <w:pPr>
        <w:spacing w:line="360" w:lineRule="auto"/>
        <w:rPr>
          <w:rFonts w:ascii="Arial" w:hAnsi="Arial" w:cs="Arial"/>
          <w:b/>
        </w:rPr>
      </w:pPr>
      <w:bookmarkStart w:id="0" w:name="_GoBack"/>
      <w:bookmarkEnd w:id="0"/>
    </w:p>
    <w:p w:rsidR="00A435D8" w:rsidRDefault="00A435D8" w:rsidP="00A435D8">
      <w:pPr>
        <w:spacing w:line="360" w:lineRule="auto"/>
        <w:rPr>
          <w:rFonts w:ascii="Arial" w:hAnsi="Arial" w:cs="Arial"/>
          <w:b/>
        </w:rPr>
      </w:pPr>
      <w:r w:rsidRPr="003A5BCA">
        <w:rPr>
          <w:rFonts w:ascii="Arial" w:hAnsi="Arial" w:cs="Arial"/>
          <w:b/>
        </w:rPr>
        <w:t>The Odyssey: School t</w:t>
      </w:r>
      <w:r>
        <w:rPr>
          <w:rFonts w:ascii="Arial" w:hAnsi="Arial" w:cs="Arial"/>
          <w:b/>
        </w:rPr>
        <w:t>o Work Transitions, Serendipity and Position in the Field</w:t>
      </w:r>
    </w:p>
    <w:p w:rsidR="00827B86" w:rsidRDefault="00827B86" w:rsidP="001B7F2F">
      <w:pPr>
        <w:spacing w:line="360" w:lineRule="auto"/>
        <w:rPr>
          <w:rFonts w:eastAsia="Times New Roman"/>
          <w:b/>
          <w:lang w:eastAsia="en-GB"/>
        </w:rPr>
      </w:pPr>
      <w:r>
        <w:rPr>
          <w:rFonts w:eastAsia="Times New Roman"/>
          <w:b/>
          <w:lang w:eastAsia="en-GB"/>
        </w:rPr>
        <w:t>Abstract</w:t>
      </w:r>
    </w:p>
    <w:p w:rsidR="00827B86" w:rsidRDefault="00827B86" w:rsidP="001B7F2F">
      <w:pPr>
        <w:spacing w:line="360" w:lineRule="auto"/>
      </w:pPr>
      <w:r>
        <w:rPr>
          <w:rFonts w:eastAsia="Times New Roman"/>
          <w:lang w:eastAsia="en-GB"/>
        </w:rPr>
        <w:t xml:space="preserve">Little work on the significance and implications of decision-making has been undertaken since that led by Hodkinson in the 1990s and </w:t>
      </w:r>
      <w:r>
        <w:t>the experiences of young people on vocational programmes and their reasons for undertaking them remain under theorised and poorly understood. Drawing on the narratives of two young men who participated in a City and Guilds Centre for Skills Development (CSD) study, this paper explores the relationship between their positioning in fields and career decision making. It argues</w:t>
      </w:r>
      <w:r>
        <w:rPr>
          <w:color w:val="FF0000"/>
        </w:rPr>
        <w:t xml:space="preserve"> </w:t>
      </w:r>
      <w:r>
        <w:t>that social positioning is significant in its relationship to decision making</w:t>
      </w:r>
      <w:r w:rsidR="00272EFE">
        <w:t>,</w:t>
      </w:r>
      <w:r>
        <w:t xml:space="preserve"> to the way in which young people perceive and construct their careers</w:t>
      </w:r>
      <w:r w:rsidR="00272EFE">
        <w:t xml:space="preserve"> and to the influence of serendipity on their transitions</w:t>
      </w:r>
      <w:r>
        <w:t>. Drawing on a range of international studies, it also explores the implications of these findings in terms of young people’s future engagement with the global labour market</w:t>
      </w:r>
      <w:r>
        <w:rPr>
          <w:color w:val="002060"/>
        </w:rPr>
        <w:t xml:space="preserve">, </w:t>
      </w:r>
      <w:r>
        <w:t xml:space="preserve">giving consideration to (dissonant) international perceptions of VET as contributing to economic growth whilst addressing issues of social exclusion and promoting social justice. </w:t>
      </w:r>
    </w:p>
    <w:p w:rsidR="00827B86" w:rsidRDefault="00827B86" w:rsidP="001B7F2F">
      <w:pPr>
        <w:spacing w:line="360" w:lineRule="auto"/>
        <w:rPr>
          <w:b/>
        </w:rPr>
      </w:pPr>
      <w:r>
        <w:rPr>
          <w:b/>
        </w:rPr>
        <w:t>Key Words</w:t>
      </w:r>
    </w:p>
    <w:p w:rsidR="00827B86" w:rsidRDefault="00827B86" w:rsidP="001B7F2F">
      <w:pPr>
        <w:spacing w:line="360" w:lineRule="auto"/>
      </w:pPr>
      <w:r>
        <w:t xml:space="preserve">Social Class; Transitions; Work; Vocational Education; </w:t>
      </w:r>
      <w:r w:rsidR="00446615">
        <w:t>Serendipity</w:t>
      </w:r>
    </w:p>
    <w:p w:rsidR="00827B86" w:rsidRDefault="00827B86" w:rsidP="001B7F2F">
      <w:pPr>
        <w:spacing w:line="360" w:lineRule="auto"/>
        <w:rPr>
          <w:b/>
        </w:rPr>
      </w:pPr>
      <w:r>
        <w:rPr>
          <w:b/>
        </w:rPr>
        <w:t>Introduction</w:t>
      </w:r>
    </w:p>
    <w:p w:rsidR="001144BE" w:rsidRPr="00A9022C" w:rsidRDefault="00827B86" w:rsidP="001B7F2F">
      <w:pPr>
        <w:autoSpaceDE w:val="0"/>
        <w:autoSpaceDN w:val="0"/>
        <w:adjustRightInd w:val="0"/>
        <w:spacing w:after="0" w:line="360" w:lineRule="auto"/>
        <w:rPr>
          <w:rFonts w:cs="Times New Roman"/>
        </w:rPr>
      </w:pPr>
      <w:r w:rsidRPr="00A9022C">
        <w:t xml:space="preserve">The ways in which the transitions of young people articulate with, and are influenced by, structures, systems and individuals remain poorly understood and relatively under-theorised. Policy makers </w:t>
      </w:r>
      <w:proofErr w:type="gramStart"/>
      <w:r w:rsidRPr="00A9022C">
        <w:t>globally</w:t>
      </w:r>
      <w:proofErr w:type="gramEnd"/>
      <w:r w:rsidRPr="00A9022C">
        <w:t xml:space="preserve"> remain resistant to the idea that transitions from school to work may not be straightforward, but variously extended, fractured, precarious and/or troubled in other ways. In addition, the potentially interesting relationships between positions in fields and career decision making remain unexplored, despite  evidence  suggesting ‘that career styles relate to positions and fields as well as to dispositions, even for the most strategic’ (Hodkinson, 2008, drawing on Ball </w:t>
      </w:r>
      <w:r w:rsidRPr="00A9022C">
        <w:rPr>
          <w:i/>
        </w:rPr>
        <w:t>et al</w:t>
      </w:r>
      <w:r w:rsidRPr="00A9022C">
        <w:t xml:space="preserve">, 2002 and Bimrose </w:t>
      </w:r>
      <w:r w:rsidRPr="00A9022C">
        <w:rPr>
          <w:i/>
        </w:rPr>
        <w:t>et al</w:t>
      </w:r>
      <w:r w:rsidRPr="00A9022C">
        <w:t xml:space="preserve">, 2005). </w:t>
      </w:r>
      <w:r w:rsidRPr="00A9022C">
        <w:rPr>
          <w:i/>
        </w:rPr>
        <w:t xml:space="preserve">  </w:t>
      </w:r>
      <w:r w:rsidRPr="00A9022C">
        <w:t>This argument is supported by</w:t>
      </w:r>
      <w:r w:rsidR="00F11037" w:rsidRPr="00A9022C">
        <w:t xml:space="preserve"> the data on which this paper draws</w:t>
      </w:r>
      <w:r w:rsidRPr="00A9022C">
        <w:t xml:space="preserve">, which imply that </w:t>
      </w:r>
      <w:r w:rsidR="00F11037" w:rsidRPr="00A9022C">
        <w:t xml:space="preserve">subtle </w:t>
      </w:r>
      <w:r w:rsidRPr="00A9022C">
        <w:t>social class fractions or particular social positioning is significant in its relationship to decision making</w:t>
      </w:r>
      <w:r w:rsidR="00F11037" w:rsidRPr="00A9022C">
        <w:t xml:space="preserve">, </w:t>
      </w:r>
      <w:r w:rsidRPr="00A9022C">
        <w:t>the way in which young people perceive and construct their careers</w:t>
      </w:r>
      <w:r w:rsidR="00FF2837" w:rsidRPr="00A9022C">
        <w:t>, the pathways and trajectories taken by them, and the way in which they exerted their agency through the decision making process</w:t>
      </w:r>
      <w:r w:rsidRPr="00A9022C">
        <w:t xml:space="preserve">. The paper </w:t>
      </w:r>
      <w:r w:rsidR="00FF2837" w:rsidRPr="00A9022C">
        <w:t xml:space="preserve">also </w:t>
      </w:r>
      <w:r w:rsidR="00F11037" w:rsidRPr="00A9022C">
        <w:t>discusses the</w:t>
      </w:r>
      <w:r w:rsidR="00FF2837" w:rsidRPr="00A9022C">
        <w:t xml:space="preserve"> implications of serendipity</w:t>
      </w:r>
      <w:r w:rsidR="001144BE" w:rsidRPr="00A9022C">
        <w:t xml:space="preserve">, seeking to provide some of the ‘further amplification’ that Hodkinson </w:t>
      </w:r>
      <w:r w:rsidR="00D15F8D" w:rsidRPr="00A9022C">
        <w:rPr>
          <w:rFonts w:cs="Times New Roman"/>
        </w:rPr>
        <w:t>(2008</w:t>
      </w:r>
      <w:r w:rsidR="00DE2CE1">
        <w:rPr>
          <w:rFonts w:cs="Times New Roman"/>
        </w:rPr>
        <w:t>,</w:t>
      </w:r>
      <w:r w:rsidR="00D15F8D" w:rsidRPr="00A9022C">
        <w:rPr>
          <w:rFonts w:cs="Times New Roman"/>
        </w:rPr>
        <w:t xml:space="preserve"> 9) </w:t>
      </w:r>
      <w:r w:rsidR="001144BE" w:rsidRPr="00A9022C">
        <w:t xml:space="preserve">noted was required </w:t>
      </w:r>
      <w:r w:rsidR="00D15F8D" w:rsidRPr="00A9022C">
        <w:t>and</w:t>
      </w:r>
      <w:r w:rsidR="00FF2837" w:rsidRPr="00A9022C">
        <w:t xml:space="preserve"> </w:t>
      </w:r>
      <w:r w:rsidR="001144BE" w:rsidRPr="00A9022C">
        <w:t xml:space="preserve">finds </w:t>
      </w:r>
      <w:r w:rsidR="00FF2837" w:rsidRPr="00A9022C">
        <w:t>that</w:t>
      </w:r>
      <w:r w:rsidR="00D15F8D" w:rsidRPr="00A9022C">
        <w:t>,</w:t>
      </w:r>
      <w:r w:rsidR="00F11037" w:rsidRPr="00A9022C">
        <w:t xml:space="preserve"> consistent </w:t>
      </w:r>
      <w:r w:rsidR="001144BE" w:rsidRPr="00A9022C">
        <w:t>his tentative suggestions</w:t>
      </w:r>
      <w:r w:rsidR="00A9022C" w:rsidRPr="00A9022C">
        <w:t>, these</w:t>
      </w:r>
      <w:r w:rsidR="00FF2837" w:rsidRPr="00A9022C">
        <w:t xml:space="preserve"> are</w:t>
      </w:r>
      <w:r w:rsidR="001144BE" w:rsidRPr="00A9022C">
        <w:t xml:space="preserve"> </w:t>
      </w:r>
      <w:r w:rsidR="001144BE" w:rsidRPr="00A9022C">
        <w:rPr>
          <w:rFonts w:cs="Times New Roman"/>
        </w:rPr>
        <w:t>influenced by positions and by the</w:t>
      </w:r>
    </w:p>
    <w:p w:rsidR="00827B86" w:rsidRDefault="001144BE" w:rsidP="001B7F2F">
      <w:pPr>
        <w:spacing w:line="360" w:lineRule="auto"/>
      </w:pPr>
      <w:proofErr w:type="gramStart"/>
      <w:r w:rsidRPr="00A9022C">
        <w:rPr>
          <w:rFonts w:cs="Times New Roman"/>
        </w:rPr>
        <w:lastRenderedPageBreak/>
        <w:t>Field</w:t>
      </w:r>
      <w:r w:rsidR="00D15F8D" w:rsidRPr="00A9022C">
        <w:rPr>
          <w:rFonts w:cs="Times New Roman"/>
        </w:rPr>
        <w:t>.</w:t>
      </w:r>
      <w:proofErr w:type="gramEnd"/>
      <w:r w:rsidR="00D15F8D" w:rsidRPr="00A9022C">
        <w:rPr>
          <w:rFonts w:cs="Times New Roman"/>
        </w:rPr>
        <w:t xml:space="preserve">  F</w:t>
      </w:r>
      <w:r w:rsidR="00FF2837" w:rsidRPr="00A9022C">
        <w:t>urther, it</w:t>
      </w:r>
      <w:r w:rsidR="00F11037" w:rsidRPr="00A9022C">
        <w:t xml:space="preserve"> suggest</w:t>
      </w:r>
      <w:r w:rsidR="00FF2837" w:rsidRPr="00A9022C">
        <w:t>s</w:t>
      </w:r>
      <w:r w:rsidR="00F11037" w:rsidRPr="00A9022C">
        <w:t xml:space="preserve"> </w:t>
      </w:r>
      <w:r w:rsidR="00FF2837" w:rsidRPr="00A9022C">
        <w:t xml:space="preserve">that </w:t>
      </w:r>
      <w:r w:rsidRPr="00A9022C">
        <w:t xml:space="preserve">serendipity is </w:t>
      </w:r>
      <w:r w:rsidR="00D15F8D" w:rsidRPr="00A9022C">
        <w:t>of greater significance</w:t>
      </w:r>
      <w:r w:rsidRPr="00A9022C">
        <w:t xml:space="preserve"> </w:t>
      </w:r>
      <w:r w:rsidR="00F11037" w:rsidRPr="00A9022C">
        <w:t xml:space="preserve">for those young people </w:t>
      </w:r>
      <w:r w:rsidR="00257AFF">
        <w:t>whose habitus is more t</w:t>
      </w:r>
      <w:r w:rsidR="00DB115E">
        <w:t>ransformative than reproductive (</w:t>
      </w:r>
      <w:r w:rsidR="00257AFF" w:rsidRPr="00257AFF">
        <w:t>Mills, 2008, 82</w:t>
      </w:r>
      <w:r w:rsidR="00257AFF">
        <w:t>).</w:t>
      </w:r>
      <w:r w:rsidR="00DB115E">
        <w:t xml:space="preserve"> </w:t>
      </w:r>
      <w:r w:rsidR="00827B86" w:rsidRPr="00A9022C">
        <w:t>Two key theoretical frameworks are utilised. Firstly, the paper draws on the concepts of structure and agency, habitus and field, and capital developed by Pierre Bourdieu, all of which are concerned with inequality in society and thus provide a useful framework for understanding the way</w:t>
      </w:r>
      <w:r w:rsidR="00267D7D">
        <w:t>s</w:t>
      </w:r>
      <w:r w:rsidR="00827B86" w:rsidRPr="00A9022C">
        <w:t xml:space="preserve"> in which young people are constrained and enabled as they seek to navigate transitions from school to the world of work. These concepts also provide the opportunity to develop understandings which avoid</w:t>
      </w:r>
      <w:r w:rsidR="00827B86">
        <w:t xml:space="preserve"> ‘a polarised explanation focused either on social structures or individual free choice’ (Hodkinson 1998:100), </w:t>
      </w:r>
      <w:r w:rsidR="00827B86" w:rsidRPr="008A4D41">
        <w:t xml:space="preserve">whilst acknowledging the impact that families’ capital - social, economic and </w:t>
      </w:r>
      <w:proofErr w:type="gramStart"/>
      <w:r w:rsidR="00827B86" w:rsidRPr="008A4D41">
        <w:t>cultural  -</w:t>
      </w:r>
      <w:proofErr w:type="gramEnd"/>
      <w:r w:rsidR="00827B86" w:rsidRPr="008A4D41">
        <w:t xml:space="preserve"> has in ‘shaping [young peoples’] educational choices and decision making processes’ (Billet </w:t>
      </w:r>
      <w:r w:rsidR="00827B86" w:rsidRPr="008A4D41">
        <w:rPr>
          <w:i/>
        </w:rPr>
        <w:t>et al</w:t>
      </w:r>
      <w:r w:rsidR="00827B86" w:rsidRPr="008A4D41">
        <w:t xml:space="preserve"> 2010)</w:t>
      </w:r>
      <w:r w:rsidR="00DB115E">
        <w:t xml:space="preserve"> at a time when ‘the boundaries between education and employment are evolving’ (Aldous </w:t>
      </w:r>
      <w:r w:rsidR="00DB115E" w:rsidRPr="00DB115E">
        <w:rPr>
          <w:i/>
        </w:rPr>
        <w:t>et al</w:t>
      </w:r>
      <w:r w:rsidR="00DB115E">
        <w:t>, 2014, 185)</w:t>
      </w:r>
      <w:r w:rsidR="00827B86" w:rsidRPr="008A4D41">
        <w:t>. Sec</w:t>
      </w:r>
      <w:r w:rsidR="00827B86">
        <w:t>ondly, th</w:t>
      </w:r>
      <w:r w:rsidR="00F86591">
        <w:t>e paper draws on the theory of c</w:t>
      </w:r>
      <w:r w:rsidR="00827B86">
        <w:t>areership</w:t>
      </w:r>
      <w:r w:rsidR="00267D7D">
        <w:t xml:space="preserve"> (</w:t>
      </w:r>
      <w:r w:rsidR="00827B86">
        <w:t xml:space="preserve">Hodkinson </w:t>
      </w:r>
      <w:r w:rsidR="00827B86">
        <w:rPr>
          <w:i/>
        </w:rPr>
        <w:t>et al</w:t>
      </w:r>
      <w:r w:rsidR="00267D7D">
        <w:t xml:space="preserve">, </w:t>
      </w:r>
      <w:r w:rsidR="00827B86">
        <w:t>1996</w:t>
      </w:r>
      <w:r w:rsidR="00267D7D">
        <w:t>; Hodkinson, 2008)</w:t>
      </w:r>
      <w:r w:rsidR="00827B86">
        <w:t xml:space="preserve">, utilising notions of horizons for action, pragmatically rational decision making, and career construction, themselves heavily influenced by the work of Bourdieu. </w:t>
      </w:r>
    </w:p>
    <w:p w:rsidR="00435CBE" w:rsidRPr="00CF713A" w:rsidRDefault="00827B86" w:rsidP="001B7F2F">
      <w:pPr>
        <w:autoSpaceDE w:val="0"/>
        <w:autoSpaceDN w:val="0"/>
        <w:adjustRightInd w:val="0"/>
        <w:spacing w:after="0" w:line="360" w:lineRule="auto"/>
        <w:rPr>
          <w:rFonts w:cs="Arial"/>
        </w:rPr>
      </w:pPr>
      <w:r>
        <w:t xml:space="preserve">The paper also draws on data from a </w:t>
      </w:r>
      <w:r w:rsidR="00272EFE">
        <w:t xml:space="preserve">CSD </w:t>
      </w:r>
      <w:r>
        <w:t xml:space="preserve">funded project (see Atkins </w:t>
      </w:r>
      <w:r>
        <w:rPr>
          <w:i/>
        </w:rPr>
        <w:t>et al</w:t>
      </w:r>
      <w:r>
        <w:t xml:space="preserve">, 2011). This qualitative study formed an independently investigated part of a broader, international project, </w:t>
      </w:r>
      <w:r w:rsidR="00F3419B">
        <w:t xml:space="preserve">including teams in South Africa and the Netherlands, </w:t>
      </w:r>
      <w:r>
        <w:t>exploring young people’s perceptions of vocation</w:t>
      </w:r>
      <w:r w:rsidR="00F3419B">
        <w:t xml:space="preserve">al education and training (VET). All three teams </w:t>
      </w:r>
      <w:r w:rsidR="00DD0CDF">
        <w:t xml:space="preserve">utilised common </w:t>
      </w:r>
      <w:r w:rsidR="009100E2">
        <w:t xml:space="preserve">sampling and </w:t>
      </w:r>
      <w:r w:rsidR="00DD0CDF" w:rsidRPr="00E56F78">
        <w:t>methodological approaches</w:t>
      </w:r>
      <w:r w:rsidR="009100E2" w:rsidRPr="00E56F78">
        <w:t xml:space="preserve"> in order to</w:t>
      </w:r>
      <w:r w:rsidR="00DD0CDF" w:rsidRPr="00E56F78">
        <w:t xml:space="preserve"> facilitate international comparisons.</w:t>
      </w:r>
      <w:r w:rsidR="00E56F78" w:rsidRPr="00E56F78">
        <w:t xml:space="preserve"> </w:t>
      </w:r>
      <w:r w:rsidR="008F1FF1">
        <w:t>Foll</w:t>
      </w:r>
      <w:r w:rsidR="00272EFE">
        <w:t xml:space="preserve">owing university ethical approval, </w:t>
      </w:r>
      <w:r w:rsidR="008F1FF1">
        <w:t>four</w:t>
      </w:r>
      <w:r w:rsidR="00267D7D" w:rsidRPr="00267D7D">
        <w:rPr>
          <w:rFonts w:cs="Times New Roman"/>
        </w:rPr>
        <w:t xml:space="preserve"> </w:t>
      </w:r>
      <w:r w:rsidR="00267D7D">
        <w:rPr>
          <w:rFonts w:cs="Times New Roman"/>
        </w:rPr>
        <w:t>geographically and demographically diverse</w:t>
      </w:r>
      <w:r w:rsidR="008F1FF1">
        <w:t xml:space="preserve"> institutions</w:t>
      </w:r>
      <w:r w:rsidR="00272EFE">
        <w:t xml:space="preserve"> </w:t>
      </w:r>
      <w:r w:rsidR="00267D7D">
        <w:t xml:space="preserve">(two schools and two </w:t>
      </w:r>
      <w:r w:rsidR="00267D7D">
        <w:rPr>
          <w:rFonts w:cs="Times New Roman"/>
        </w:rPr>
        <w:t>further education (FE) colleges</w:t>
      </w:r>
      <w:r w:rsidR="00267D7D">
        <w:t xml:space="preserve">) </w:t>
      </w:r>
      <w:r w:rsidR="008F1FF1">
        <w:t xml:space="preserve">with whom the university had existing </w:t>
      </w:r>
      <w:r w:rsidR="00267D7D">
        <w:t>relationships were</w:t>
      </w:r>
      <w:r w:rsidR="008F1FF1">
        <w:t xml:space="preserve"> approached and </w:t>
      </w:r>
      <w:r w:rsidR="00272EFE">
        <w:t xml:space="preserve">granted </w:t>
      </w:r>
      <w:r w:rsidR="008F1FF1">
        <w:t xml:space="preserve">access.  </w:t>
      </w:r>
      <w:r w:rsidR="00E56F78" w:rsidRPr="00E56F78">
        <w:rPr>
          <w:rFonts w:cs="Times New Roman"/>
        </w:rPr>
        <w:t>Participation</w:t>
      </w:r>
      <w:r w:rsidR="008F1FF1">
        <w:rPr>
          <w:rFonts w:cs="Times New Roman"/>
        </w:rPr>
        <w:t xml:space="preserve"> of young people</w:t>
      </w:r>
      <w:r w:rsidR="00E56F78" w:rsidRPr="00E56F78">
        <w:rPr>
          <w:rFonts w:cs="Times New Roman"/>
        </w:rPr>
        <w:t xml:space="preserve"> was voluntary, and parental consent obtained for </w:t>
      </w:r>
      <w:r w:rsidR="008F1FF1">
        <w:rPr>
          <w:rFonts w:cs="Times New Roman"/>
        </w:rPr>
        <w:t xml:space="preserve">those </w:t>
      </w:r>
      <w:r w:rsidR="00E56F78" w:rsidRPr="00E56F78">
        <w:rPr>
          <w:rFonts w:cs="Times New Roman"/>
        </w:rPr>
        <w:t xml:space="preserve">under 18. </w:t>
      </w:r>
      <w:r w:rsidR="008F1FF1">
        <w:rPr>
          <w:rFonts w:cs="Times New Roman"/>
        </w:rPr>
        <w:t>All individuals and institutions have been anonymised.</w:t>
      </w:r>
      <w:r w:rsidR="00DD0CDF" w:rsidRPr="00E56F78">
        <w:t xml:space="preserve"> In England, a</w:t>
      </w:r>
      <w:r w:rsidR="00DD0CDF" w:rsidRPr="00E56F78">
        <w:rPr>
          <w:rFonts w:cs="Times New Roman"/>
        </w:rPr>
        <w:t xml:space="preserve"> group of fifteen young people</w:t>
      </w:r>
      <w:r w:rsidR="00530A8A">
        <w:rPr>
          <w:rFonts w:cs="Times New Roman"/>
        </w:rPr>
        <w:t>, aged between 14 and 24</w:t>
      </w:r>
      <w:r w:rsidR="00267D7D">
        <w:rPr>
          <w:rFonts w:cs="Times New Roman"/>
        </w:rPr>
        <w:t xml:space="preserve">, </w:t>
      </w:r>
      <w:r w:rsidR="00267D7D" w:rsidRPr="00E56F78">
        <w:rPr>
          <w:rFonts w:cs="Times New Roman"/>
        </w:rPr>
        <w:t>from</w:t>
      </w:r>
      <w:r w:rsidR="00DD0CDF" w:rsidRPr="00E56F78">
        <w:rPr>
          <w:rFonts w:cs="Times New Roman"/>
        </w:rPr>
        <w:t xml:space="preserve"> each of </w:t>
      </w:r>
      <w:r w:rsidR="00267D7D">
        <w:rPr>
          <w:rFonts w:cs="Times New Roman"/>
        </w:rPr>
        <w:t xml:space="preserve">the </w:t>
      </w:r>
      <w:r w:rsidR="00DD0CDF" w:rsidRPr="00E56F78">
        <w:rPr>
          <w:rFonts w:cs="Times New Roman"/>
        </w:rPr>
        <w:t>sites (n= 60)</w:t>
      </w:r>
      <w:r w:rsidR="00267D7D">
        <w:rPr>
          <w:rFonts w:cs="Times New Roman"/>
        </w:rPr>
        <w:t xml:space="preserve">, all </w:t>
      </w:r>
      <w:r w:rsidR="00530A8A">
        <w:rPr>
          <w:rFonts w:cs="Times New Roman"/>
        </w:rPr>
        <w:t xml:space="preserve">undertaking either broad vocational or occupational awards, </w:t>
      </w:r>
      <w:r w:rsidR="00DD0CDF" w:rsidRPr="00E56F78">
        <w:rPr>
          <w:rFonts w:cs="Times New Roman"/>
        </w:rPr>
        <w:t>participated in video-recorded focus group interviews.</w:t>
      </w:r>
      <w:r w:rsidR="009100E2" w:rsidRPr="00E56F78">
        <w:rPr>
          <w:rFonts w:cs="Times New Roman"/>
        </w:rPr>
        <w:t xml:space="preserve"> </w:t>
      </w:r>
      <w:r w:rsidR="00DD0CDF" w:rsidRPr="00E56F78">
        <w:rPr>
          <w:rFonts w:cs="Times New Roman"/>
        </w:rPr>
        <w:t xml:space="preserve"> One</w:t>
      </w:r>
      <w:r w:rsidR="00530A8A" w:rsidRPr="00530A8A">
        <w:rPr>
          <w:rFonts w:cs="Times New Roman"/>
        </w:rPr>
        <w:t xml:space="preserve"> </w:t>
      </w:r>
      <w:r w:rsidR="00530A8A">
        <w:rPr>
          <w:rFonts w:cs="Times New Roman"/>
        </w:rPr>
        <w:t>video-recorded</w:t>
      </w:r>
      <w:r w:rsidR="00267D7D">
        <w:rPr>
          <w:rFonts w:cs="Times New Roman"/>
        </w:rPr>
        <w:t>, in</w:t>
      </w:r>
      <w:r w:rsidR="00DD0CDF" w:rsidRPr="00E56F78">
        <w:rPr>
          <w:rFonts w:cs="Times New Roman"/>
        </w:rPr>
        <w:t>-depth, individual interview</w:t>
      </w:r>
      <w:r w:rsidR="008F1FF1">
        <w:rPr>
          <w:rFonts w:cs="Times New Roman"/>
        </w:rPr>
        <w:t xml:space="preserve"> lasting approximately one </w:t>
      </w:r>
      <w:proofErr w:type="gramStart"/>
      <w:r w:rsidR="008F1FF1">
        <w:rPr>
          <w:rFonts w:cs="Times New Roman"/>
        </w:rPr>
        <w:t>hour,</w:t>
      </w:r>
      <w:proofErr w:type="gramEnd"/>
      <w:r w:rsidR="008F1FF1">
        <w:rPr>
          <w:rFonts w:cs="Times New Roman"/>
        </w:rPr>
        <w:t xml:space="preserve"> </w:t>
      </w:r>
      <w:r w:rsidR="008F1FF1" w:rsidRPr="00E56F78">
        <w:rPr>
          <w:rFonts w:cs="Times New Roman"/>
        </w:rPr>
        <w:t>was</w:t>
      </w:r>
      <w:r w:rsidR="00DD0CDF" w:rsidRPr="00E56F78">
        <w:rPr>
          <w:rFonts w:cs="Times New Roman"/>
        </w:rPr>
        <w:t xml:space="preserve"> also held at each site. The</w:t>
      </w:r>
      <w:r w:rsidR="00CF713A">
        <w:rPr>
          <w:rFonts w:cs="Times New Roman"/>
        </w:rPr>
        <w:t xml:space="preserve"> individual</w:t>
      </w:r>
      <w:r w:rsidR="00DD0CDF" w:rsidRPr="00E56F78">
        <w:rPr>
          <w:rFonts w:cs="Times New Roman"/>
        </w:rPr>
        <w:t xml:space="preserve"> interviews had two purposes: to explore some of the issues arising from the focus groups in greater depth, and to provide a means of triangulation. </w:t>
      </w:r>
      <w:r w:rsidR="008F1FF1">
        <w:rPr>
          <w:rFonts w:cs="Times New Roman"/>
        </w:rPr>
        <w:t xml:space="preserve"> Focus group and individual interviews were fully transcribed and subject</w:t>
      </w:r>
      <w:r w:rsidR="00530A8A">
        <w:rPr>
          <w:rFonts w:cs="Times New Roman"/>
        </w:rPr>
        <w:t xml:space="preserve"> to </w:t>
      </w:r>
      <w:r w:rsidR="008F1FF1">
        <w:t xml:space="preserve">thematic qualitative analysis drawing on work on transitions and careership by Hodkinson </w:t>
      </w:r>
      <w:r w:rsidR="008F1FF1">
        <w:rPr>
          <w:i/>
        </w:rPr>
        <w:t>et al</w:t>
      </w:r>
      <w:r w:rsidR="008F1FF1">
        <w:t xml:space="preserve">; Hodkinson and Bloomer and by Hodkinson. </w:t>
      </w:r>
      <w:r w:rsidR="008A0EF4">
        <w:t>F</w:t>
      </w:r>
      <w:r w:rsidR="009100E2">
        <w:t>or the purpose o</w:t>
      </w:r>
      <w:r w:rsidR="00A9022C">
        <w:t>f this discussion this</w:t>
      </w:r>
      <w:r w:rsidR="008A0EF4">
        <w:t xml:space="preserve"> </w:t>
      </w:r>
      <w:r>
        <w:t xml:space="preserve">paper focusses on two narratives drawn from the </w:t>
      </w:r>
      <w:r w:rsidR="009676E1">
        <w:t xml:space="preserve">individual </w:t>
      </w:r>
      <w:r>
        <w:t>interview data.</w:t>
      </w:r>
      <w:r w:rsidR="008A0EF4">
        <w:t xml:space="preserve"> </w:t>
      </w:r>
      <w:r w:rsidR="00435CBE">
        <w:t xml:space="preserve">Freddie and David </w:t>
      </w:r>
      <w:proofErr w:type="gramStart"/>
      <w:r w:rsidR="00CF713A">
        <w:t>were</w:t>
      </w:r>
      <w:proofErr w:type="gramEnd"/>
      <w:r w:rsidR="00CF713A">
        <w:t xml:space="preserve"> both </w:t>
      </w:r>
      <w:r w:rsidR="008A0EF4">
        <w:t xml:space="preserve">representative of other </w:t>
      </w:r>
      <w:r w:rsidR="00E56F78">
        <w:t>young participants,</w:t>
      </w:r>
      <w:r w:rsidR="008A0EF4">
        <w:t xml:space="preserve"> and their </w:t>
      </w:r>
      <w:r w:rsidR="00435CBE">
        <w:t xml:space="preserve">personal </w:t>
      </w:r>
      <w:r w:rsidR="00CF713A">
        <w:t>narratives are</w:t>
      </w:r>
      <w:r w:rsidR="00435CBE">
        <w:t xml:space="preserve"> used in the paper to offer contrasting examples of </w:t>
      </w:r>
      <w:r>
        <w:t xml:space="preserve">the ways in which </w:t>
      </w:r>
      <w:r w:rsidR="00435CBE">
        <w:t xml:space="preserve">subtle differences in </w:t>
      </w:r>
      <w:r w:rsidR="00E56F78">
        <w:t>social positioning influence</w:t>
      </w:r>
      <w:r>
        <w:t xml:space="preserve"> career decision making and broader school to work </w:t>
      </w:r>
      <w:r>
        <w:lastRenderedPageBreak/>
        <w:t xml:space="preserve">transition </w:t>
      </w:r>
      <w:r w:rsidRPr="00CF713A">
        <w:t>experiences.</w:t>
      </w:r>
      <w:r w:rsidR="00F86591">
        <w:t xml:space="preserve"> </w:t>
      </w:r>
      <w:r w:rsidR="00267D7D">
        <w:t xml:space="preserve">The </w:t>
      </w:r>
      <w:r w:rsidR="00435CBE" w:rsidRPr="00CF713A">
        <w:rPr>
          <w:rFonts w:cs="Arial"/>
        </w:rPr>
        <w:t xml:space="preserve">paper does not </w:t>
      </w:r>
      <w:r w:rsidR="00267D7D">
        <w:rPr>
          <w:rFonts w:cs="Arial"/>
        </w:rPr>
        <w:t xml:space="preserve">seek to </w:t>
      </w:r>
      <w:r w:rsidR="00435CBE" w:rsidRPr="00CF713A">
        <w:rPr>
          <w:rFonts w:cs="Arial"/>
        </w:rPr>
        <w:t>claim definitive</w:t>
      </w:r>
      <w:r w:rsidR="00CF713A" w:rsidRPr="00CF713A">
        <w:rPr>
          <w:rFonts w:cs="Arial"/>
        </w:rPr>
        <w:t xml:space="preserve"> findings</w:t>
      </w:r>
      <w:r w:rsidR="00435CBE" w:rsidRPr="00CF713A">
        <w:rPr>
          <w:rFonts w:cs="Arial"/>
        </w:rPr>
        <w:t xml:space="preserve">. Rather, it </w:t>
      </w:r>
      <w:r w:rsidR="00F86591">
        <w:rPr>
          <w:rFonts w:cs="Arial"/>
        </w:rPr>
        <w:t>utilises</w:t>
      </w:r>
      <w:r w:rsidR="00435CBE" w:rsidRPr="00CF713A">
        <w:rPr>
          <w:rFonts w:cs="Arial"/>
        </w:rPr>
        <w:t xml:space="preserve"> </w:t>
      </w:r>
      <w:r w:rsidR="00F86591">
        <w:rPr>
          <w:rFonts w:cs="Arial"/>
        </w:rPr>
        <w:t>Freddie</w:t>
      </w:r>
      <w:r w:rsidR="00267D7D">
        <w:rPr>
          <w:rFonts w:cs="Arial"/>
        </w:rPr>
        <w:t>’s</w:t>
      </w:r>
      <w:r w:rsidR="00F86591">
        <w:rPr>
          <w:rFonts w:cs="Arial"/>
        </w:rPr>
        <w:t xml:space="preserve"> and David</w:t>
      </w:r>
      <w:r w:rsidR="00267D7D">
        <w:rPr>
          <w:rFonts w:cs="Arial"/>
        </w:rPr>
        <w:t>’s  stories</w:t>
      </w:r>
      <w:r w:rsidR="00F86591">
        <w:rPr>
          <w:rFonts w:cs="Arial"/>
        </w:rPr>
        <w:t xml:space="preserve"> </w:t>
      </w:r>
      <w:r w:rsidR="00435CBE" w:rsidRPr="00CF713A">
        <w:rPr>
          <w:rFonts w:cs="Arial"/>
        </w:rPr>
        <w:t>to</w:t>
      </w:r>
      <w:r w:rsidR="00E56F78" w:rsidRPr="00CF713A">
        <w:rPr>
          <w:rFonts w:cs="Arial"/>
        </w:rPr>
        <w:t xml:space="preserve"> </w:t>
      </w:r>
      <w:r w:rsidR="00F86591">
        <w:rPr>
          <w:rFonts w:cs="Arial"/>
        </w:rPr>
        <w:t xml:space="preserve">exemplify findings in the UK study and to </w:t>
      </w:r>
      <w:r w:rsidR="00E56F78" w:rsidRPr="00CF713A">
        <w:rPr>
          <w:rFonts w:cs="Arial"/>
        </w:rPr>
        <w:t>build on Hodkinson’s (2008) work by making tentative suggestions about the implications of, and relationships between, serendipity</w:t>
      </w:r>
      <w:r w:rsidR="00D15F8D" w:rsidRPr="00CF713A">
        <w:rPr>
          <w:rFonts w:cs="Arial"/>
        </w:rPr>
        <w:t xml:space="preserve">, </w:t>
      </w:r>
      <w:r w:rsidR="00E56F78" w:rsidRPr="00CF713A">
        <w:rPr>
          <w:rFonts w:cs="Arial"/>
        </w:rPr>
        <w:t>class fractional positioning</w:t>
      </w:r>
      <w:r w:rsidR="00530A8A">
        <w:rPr>
          <w:rFonts w:cs="Arial"/>
        </w:rPr>
        <w:t xml:space="preserve"> and the f</w:t>
      </w:r>
      <w:r w:rsidR="00D15F8D" w:rsidRPr="00CF713A">
        <w:rPr>
          <w:rFonts w:cs="Arial"/>
        </w:rPr>
        <w:t>ield</w:t>
      </w:r>
      <w:r w:rsidR="00E56F78" w:rsidRPr="00CF713A">
        <w:rPr>
          <w:rFonts w:cs="Arial"/>
        </w:rPr>
        <w:t xml:space="preserve">, in the context of </w:t>
      </w:r>
      <w:r w:rsidR="00435CBE" w:rsidRPr="00CF713A">
        <w:rPr>
          <w:rFonts w:cs="Arial"/>
        </w:rPr>
        <w:t>c</w:t>
      </w:r>
      <w:r w:rsidR="00E56F78" w:rsidRPr="00CF713A">
        <w:rPr>
          <w:rFonts w:cs="Arial"/>
        </w:rPr>
        <w:t>ontemporary</w:t>
      </w:r>
      <w:r w:rsidR="00435CBE" w:rsidRPr="00CF713A">
        <w:rPr>
          <w:rFonts w:cs="Arial"/>
        </w:rPr>
        <w:t xml:space="preserve"> policy understandings of school to work transitions in the UK. </w:t>
      </w:r>
    </w:p>
    <w:p w:rsidR="00435CBE" w:rsidRDefault="00435CBE" w:rsidP="001B7F2F">
      <w:pPr>
        <w:spacing w:line="360" w:lineRule="auto"/>
      </w:pPr>
    </w:p>
    <w:p w:rsidR="00827B86" w:rsidRDefault="00827B86" w:rsidP="001B7F2F">
      <w:pPr>
        <w:spacing w:line="360" w:lineRule="auto"/>
        <w:rPr>
          <w:b/>
        </w:rPr>
      </w:pPr>
      <w:r>
        <w:rPr>
          <w:b/>
        </w:rPr>
        <w:t xml:space="preserve">Decision Making </w:t>
      </w:r>
    </w:p>
    <w:p w:rsidR="00F86591" w:rsidRDefault="00F86591" w:rsidP="001B7F2F">
      <w:pPr>
        <w:spacing w:line="360" w:lineRule="auto"/>
      </w:pPr>
      <w:r w:rsidRPr="009F021F">
        <w:t>Freddie</w:t>
      </w:r>
      <w:r>
        <w:t xml:space="preserve"> was undertaking a two year, level 3 BTEC programme in Engineering at a large inner city college in the English midlands.  </w:t>
      </w:r>
      <w:r w:rsidR="00267D7D">
        <w:t>He was from an aspirant, lower-middle class family and proved adept at drawing on the cultural capital they made available to him</w:t>
      </w:r>
      <w:r w:rsidR="00267D7D" w:rsidRPr="009F021F">
        <w:t xml:space="preserve">. </w:t>
      </w:r>
      <w:r>
        <w:t>David was undertaking a level 2 one year BTEC programme in IT</w:t>
      </w:r>
      <w:r w:rsidR="00A17BB3">
        <w:t xml:space="preserve"> at a large urban college in</w:t>
      </w:r>
      <w:r w:rsidR="00530A8A">
        <w:t xml:space="preserve"> an impoverished part </w:t>
      </w:r>
      <w:r w:rsidR="00267D7D">
        <w:t>of the</w:t>
      </w:r>
      <w:r w:rsidR="00A17BB3">
        <w:t xml:space="preserve"> north east of </w:t>
      </w:r>
      <w:r w:rsidR="00446615">
        <w:t>England.</w:t>
      </w:r>
      <w:r w:rsidR="00267D7D">
        <w:t xml:space="preserve"> He </w:t>
      </w:r>
      <w:r w:rsidR="00267D7D" w:rsidRPr="009F021F">
        <w:t xml:space="preserve">was from a working class (and work-less) </w:t>
      </w:r>
      <w:r w:rsidR="00267D7D">
        <w:t xml:space="preserve">family </w:t>
      </w:r>
      <w:r w:rsidR="00267D7D" w:rsidRPr="009F021F">
        <w:t xml:space="preserve">with little experience of education. His access to those capitals which are </w:t>
      </w:r>
      <w:r w:rsidR="00267D7D">
        <w:t xml:space="preserve">valorised </w:t>
      </w:r>
      <w:r w:rsidR="00267D7D" w:rsidRPr="009F021F">
        <w:t>in education was limited, and this impacted on his career orientations and decision making.</w:t>
      </w:r>
    </w:p>
    <w:p w:rsidR="00267D7D" w:rsidRDefault="00F86591" w:rsidP="001B7F2F">
      <w:pPr>
        <w:spacing w:line="360" w:lineRule="auto"/>
      </w:pPr>
      <w:r>
        <w:t>B</w:t>
      </w:r>
      <w:r w:rsidR="00827B86">
        <w:t>oth made career decisions which were heavily mediated by social class, gender, and</w:t>
      </w:r>
      <w:r w:rsidR="00A5483C">
        <w:t xml:space="preserve"> serendipity. Connected to this,</w:t>
      </w:r>
      <w:r w:rsidR="00827B86">
        <w:t xml:space="preserve"> their decisions also illustrated the cultural capital they had at their disposal; in particular their stories imply a strong familial influence. In doing so, they are consistent with Hodkinson </w:t>
      </w:r>
      <w:r w:rsidR="00827B86">
        <w:rPr>
          <w:i/>
        </w:rPr>
        <w:t>et al</w:t>
      </w:r>
      <w:r w:rsidR="00827B86">
        <w:t xml:space="preserve">’s analysis of three overlapping dimensions of career decision making. </w:t>
      </w:r>
      <w:r w:rsidR="00CF713A">
        <w:t>T</w:t>
      </w:r>
      <w:r w:rsidR="00827B86">
        <w:t xml:space="preserve">hey </w:t>
      </w:r>
      <w:r w:rsidR="00CF713A">
        <w:t xml:space="preserve">also </w:t>
      </w:r>
      <w:r w:rsidR="00827B86">
        <w:t xml:space="preserve">show evidence of the influence of positions and dispositions, and of relational forces in the field in which the young men locate themselves. To a lesser extent, both narratives also demonstrate the progressive construction of a career.  In addition to reflecting each of the three dimensions of careership (Hodkinson </w:t>
      </w:r>
      <w:r w:rsidR="00827B86">
        <w:rPr>
          <w:i/>
        </w:rPr>
        <w:t>et al</w:t>
      </w:r>
      <w:r w:rsidR="00827B86">
        <w:t xml:space="preserve"> 1996; Hodkinson, 2008), Freddie’s and David’s stories also demonstrate the impac</w:t>
      </w:r>
      <w:r>
        <w:t>t of serendipity, an aspect of c</w:t>
      </w:r>
      <w:r w:rsidR="00827B86">
        <w:t xml:space="preserve">areership theory which Hodkinson (2008) has suggested requires further amplification. </w:t>
      </w:r>
    </w:p>
    <w:p w:rsidR="00827B86" w:rsidRDefault="00267D7D" w:rsidP="001B7F2F">
      <w:pPr>
        <w:spacing w:line="360" w:lineRule="auto"/>
        <w:rPr>
          <w:lang w:val="en-US"/>
        </w:rPr>
      </w:pPr>
      <w:r>
        <w:t>Freddie reported that he was</w:t>
      </w:r>
      <w:r w:rsidR="00827B86">
        <w:t xml:space="preserve"> the first in his </w:t>
      </w:r>
      <w:r>
        <w:t xml:space="preserve">aspirational </w:t>
      </w:r>
      <w:r w:rsidR="00827B86">
        <w:t xml:space="preserve">family </w:t>
      </w:r>
      <w:r w:rsidR="00920EB4">
        <w:t>‘</w:t>
      </w:r>
      <w:r w:rsidR="00827B86">
        <w:t>not to do A levels</w:t>
      </w:r>
      <w:r w:rsidR="00920EB4">
        <w:t xml:space="preserve">’ (A-levels are a school leaving qualification in England and Wales, offered in primarily ‘academic’ subjects and providing access to higher education). </w:t>
      </w:r>
      <w:r w:rsidR="00D15F8D">
        <w:t>His twin</w:t>
      </w:r>
      <w:r w:rsidR="00827B86">
        <w:t xml:space="preserve"> brother </w:t>
      </w:r>
      <w:r w:rsidR="00920EB4">
        <w:t xml:space="preserve">was following an A level </w:t>
      </w:r>
      <w:r w:rsidR="00827B86">
        <w:t xml:space="preserve">route and both planned to pursue careers in engineering. </w:t>
      </w:r>
      <w:r w:rsidR="00827B86">
        <w:rPr>
          <w:color w:val="292526"/>
          <w:lang w:val="en-US"/>
        </w:rPr>
        <w:t xml:space="preserve">Individual choices and </w:t>
      </w:r>
      <w:r w:rsidR="00920EB4">
        <w:rPr>
          <w:color w:val="292526"/>
          <w:lang w:val="en-US"/>
        </w:rPr>
        <w:t>trajectories are highly complex</w:t>
      </w:r>
      <w:r w:rsidR="00827B86">
        <w:rPr>
          <w:color w:val="292526"/>
          <w:lang w:val="en-US"/>
        </w:rPr>
        <w:t xml:space="preserve"> and subject to significant influence by</w:t>
      </w:r>
      <w:r w:rsidR="00920EB4">
        <w:rPr>
          <w:color w:val="292526"/>
          <w:lang w:val="en-US"/>
        </w:rPr>
        <w:t>,</w:t>
      </w:r>
      <w:r w:rsidR="00827B86">
        <w:rPr>
          <w:color w:val="292526"/>
          <w:lang w:val="en-US"/>
        </w:rPr>
        <w:t xml:space="preserve"> and interaction with</w:t>
      </w:r>
      <w:r w:rsidR="00920EB4">
        <w:rPr>
          <w:color w:val="292526"/>
          <w:lang w:val="en-US"/>
        </w:rPr>
        <w:t>,</w:t>
      </w:r>
      <w:r w:rsidR="00827B86">
        <w:rPr>
          <w:color w:val="292526"/>
          <w:lang w:val="en-US"/>
        </w:rPr>
        <w:t xml:space="preserve"> local job market opportunities (Hodkinson </w:t>
      </w:r>
      <w:r w:rsidR="00827B86">
        <w:rPr>
          <w:i/>
          <w:iCs/>
          <w:color w:val="292526"/>
          <w:lang w:val="en-US"/>
        </w:rPr>
        <w:t>et al</w:t>
      </w:r>
      <w:r w:rsidR="00827B86">
        <w:rPr>
          <w:color w:val="292526"/>
          <w:lang w:val="en-US"/>
        </w:rPr>
        <w:t xml:space="preserve"> 1996; Ball </w:t>
      </w:r>
      <w:r w:rsidR="00827B86">
        <w:rPr>
          <w:i/>
          <w:iCs/>
          <w:color w:val="292526"/>
          <w:lang w:val="en-US"/>
        </w:rPr>
        <w:t>et al</w:t>
      </w:r>
      <w:r w:rsidR="00827B86">
        <w:rPr>
          <w:color w:val="292526"/>
          <w:lang w:val="en-US"/>
        </w:rPr>
        <w:t xml:space="preserve"> 2000; Bloomer and Hodkinson 2000; Hodkinson and Bloomer 2001), something that was evident for many of the young people in this study. In Freddie’s case, the local jobs market was dominated by a major car manufacturer who offered a small number of elite apprenticeships </w:t>
      </w:r>
      <w:r w:rsidR="00827B86">
        <w:rPr>
          <w:color w:val="292526"/>
          <w:lang w:val="en-US"/>
        </w:rPr>
        <w:lastRenderedPageBreak/>
        <w:t>each year. His interaction with this was, in his own terms, unsuccessful. Two applications to the manufacturer – one at age 16 and one at age 17 – were unsuccessful. He did</w:t>
      </w:r>
      <w:r w:rsidR="00920EB4">
        <w:rPr>
          <w:color w:val="292526"/>
          <w:lang w:val="en-US"/>
        </w:rPr>
        <w:t>,</w:t>
      </w:r>
      <w:r w:rsidR="00827B86">
        <w:rPr>
          <w:color w:val="292526"/>
          <w:lang w:val="en-US"/>
        </w:rPr>
        <w:t xml:space="preserve"> however, </w:t>
      </w:r>
      <w:r>
        <w:rPr>
          <w:color w:val="292526"/>
          <w:lang w:val="en-US"/>
        </w:rPr>
        <w:t xml:space="preserve">contrary to his original plans, </w:t>
      </w:r>
      <w:r w:rsidR="00827B86">
        <w:rPr>
          <w:color w:val="292526"/>
          <w:lang w:val="en-US"/>
        </w:rPr>
        <w:t>apply to university,</w:t>
      </w:r>
      <w:r w:rsidR="00920EB4">
        <w:rPr>
          <w:color w:val="292526"/>
          <w:lang w:val="en-US"/>
        </w:rPr>
        <w:t xml:space="preserve"> </w:t>
      </w:r>
      <w:r w:rsidR="00927D68">
        <w:rPr>
          <w:color w:val="292526"/>
          <w:lang w:val="en-US"/>
        </w:rPr>
        <w:t xml:space="preserve">to undertake a degree in mechanical engineering – albeit with a foundation year – at a local university, </w:t>
      </w:r>
      <w:r w:rsidR="00920EB4">
        <w:rPr>
          <w:color w:val="292526"/>
          <w:lang w:val="en-US"/>
        </w:rPr>
        <w:t>something</w:t>
      </w:r>
      <w:r w:rsidR="00827B86">
        <w:rPr>
          <w:color w:val="292526"/>
          <w:lang w:val="en-US"/>
        </w:rPr>
        <w:t xml:space="preserve"> which was encouraged by his tutors.  </w:t>
      </w:r>
      <w:r w:rsidR="00927D68">
        <w:rPr>
          <w:lang w:val="en-US"/>
        </w:rPr>
        <w:t>It is likely that Freddie</w:t>
      </w:r>
      <w:r w:rsidR="00827B86" w:rsidRPr="00920EB4">
        <w:rPr>
          <w:lang w:val="en-US"/>
        </w:rPr>
        <w:t xml:space="preserve"> was more willing to move in this direction as he was already, to some extent</w:t>
      </w:r>
      <w:r w:rsidR="00942A18">
        <w:rPr>
          <w:lang w:val="en-US"/>
        </w:rPr>
        <w:t>,</w:t>
      </w:r>
      <w:r w:rsidR="00827B86" w:rsidRPr="00920EB4">
        <w:rPr>
          <w:lang w:val="en-US"/>
        </w:rPr>
        <w:t xml:space="preserve"> ‘embedded’ in </w:t>
      </w:r>
      <w:proofErr w:type="gramStart"/>
      <w:r w:rsidR="00827B86" w:rsidRPr="00920EB4">
        <w:rPr>
          <w:lang w:val="en-US"/>
        </w:rPr>
        <w:t>HE</w:t>
      </w:r>
      <w:proofErr w:type="gramEnd"/>
      <w:r w:rsidR="00827B86" w:rsidRPr="00920EB4">
        <w:rPr>
          <w:lang w:val="en-US"/>
        </w:rPr>
        <w:t xml:space="preserve"> (Ball </w:t>
      </w:r>
      <w:r w:rsidR="00827B86" w:rsidRPr="00920EB4">
        <w:rPr>
          <w:i/>
          <w:lang w:val="en-US"/>
        </w:rPr>
        <w:t>et al</w:t>
      </w:r>
      <w:r w:rsidR="00827B86" w:rsidRPr="00920EB4">
        <w:rPr>
          <w:lang w:val="en-US"/>
        </w:rPr>
        <w:t xml:space="preserve">, 2002). Whilst </w:t>
      </w:r>
      <w:proofErr w:type="gramStart"/>
      <w:r w:rsidR="00927D68">
        <w:rPr>
          <w:lang w:val="en-US"/>
        </w:rPr>
        <w:t xml:space="preserve">a </w:t>
      </w:r>
      <w:r w:rsidR="00827B86" w:rsidRPr="00920EB4">
        <w:rPr>
          <w:lang w:val="en-US"/>
        </w:rPr>
        <w:t xml:space="preserve"> degree</w:t>
      </w:r>
      <w:proofErr w:type="gramEnd"/>
      <w:r w:rsidR="00827B86" w:rsidRPr="00920EB4">
        <w:rPr>
          <w:lang w:val="en-US"/>
        </w:rPr>
        <w:t xml:space="preserve"> was second best to him, he was developing a different schema about opportunities, as he described the different (articulated as better) career paths offered by the degree in comparison to the apprenticeship. It is</w:t>
      </w:r>
      <w:r w:rsidR="001F6023">
        <w:rPr>
          <w:lang w:val="en-US"/>
        </w:rPr>
        <w:t>,</w:t>
      </w:r>
      <w:r w:rsidR="00827B86" w:rsidRPr="00920EB4">
        <w:rPr>
          <w:lang w:val="en-US"/>
        </w:rPr>
        <w:t xml:space="preserve"> perhaps, significant that his future horizons had gradually moved from apprenticeship to the higher education trajectory which had been ‘culturally scripted’ as he followed a ‘well understood and familially acceptable [route]’ (Ball </w:t>
      </w:r>
      <w:r w:rsidR="00827B86" w:rsidRPr="00920EB4">
        <w:rPr>
          <w:i/>
          <w:lang w:val="en-US"/>
        </w:rPr>
        <w:t>et al</w:t>
      </w:r>
      <w:r w:rsidR="00827B86" w:rsidRPr="00920EB4">
        <w:rPr>
          <w:lang w:val="en-US"/>
        </w:rPr>
        <w:t>, 2000</w:t>
      </w:r>
      <w:r w:rsidR="00DE2CE1">
        <w:rPr>
          <w:lang w:val="en-US"/>
        </w:rPr>
        <w:t xml:space="preserve">, </w:t>
      </w:r>
      <w:r w:rsidR="00827B86" w:rsidRPr="00920EB4">
        <w:rPr>
          <w:lang w:val="en-US"/>
        </w:rPr>
        <w:t xml:space="preserve">71). </w:t>
      </w:r>
      <w:r w:rsidR="00827B86">
        <w:rPr>
          <w:color w:val="292526"/>
          <w:lang w:val="en-US"/>
        </w:rPr>
        <w:t xml:space="preserve">Despite this, he remained firmly wedded to his conviction that practical experience gained on his BTEC course, and later in his </w:t>
      </w:r>
      <w:r w:rsidR="001F6023">
        <w:rPr>
          <w:color w:val="292526"/>
          <w:lang w:val="en-US"/>
        </w:rPr>
        <w:t>‘year in i</w:t>
      </w:r>
      <w:r w:rsidR="00827B86">
        <w:rPr>
          <w:color w:val="292526"/>
          <w:lang w:val="en-US"/>
        </w:rPr>
        <w:t>ndustry</w:t>
      </w:r>
      <w:r w:rsidR="001F6023">
        <w:rPr>
          <w:color w:val="292526"/>
          <w:lang w:val="en-US"/>
        </w:rPr>
        <w:t>’</w:t>
      </w:r>
      <w:r w:rsidR="00827B86">
        <w:rPr>
          <w:color w:val="292526"/>
          <w:lang w:val="en-US"/>
        </w:rPr>
        <w:t xml:space="preserve"> would ultimately give him an ‘</w:t>
      </w:r>
      <w:r w:rsidR="00827B86" w:rsidRPr="00927D68">
        <w:rPr>
          <w:i/>
          <w:color w:val="292526"/>
          <w:lang w:val="en-US"/>
        </w:rPr>
        <w:t>edge</w:t>
      </w:r>
      <w:r w:rsidR="00827B86">
        <w:rPr>
          <w:color w:val="292526"/>
          <w:lang w:val="en-US"/>
        </w:rPr>
        <w:t xml:space="preserve">’ in the labour market. Freddie’s story exemplifies pragmatic decisions being taken by an agentic young </w:t>
      </w:r>
      <w:r w:rsidR="00827B86">
        <w:rPr>
          <w:lang w:val="en-US"/>
        </w:rPr>
        <w:t>person</w:t>
      </w:r>
      <w:r w:rsidR="00827B86">
        <w:rPr>
          <w:color w:val="ED7D31" w:themeColor="accent2"/>
          <w:lang w:val="en-US"/>
        </w:rPr>
        <w:t xml:space="preserve"> </w:t>
      </w:r>
      <w:r w:rsidR="00827B86">
        <w:rPr>
          <w:lang w:val="en-US"/>
        </w:rPr>
        <w:t xml:space="preserve">navigating a transition which is significantly influenced by his position and disposition in terms of both his choice of career, and the path he eventually pursues towards it. </w:t>
      </w:r>
      <w:r w:rsidR="00827B86">
        <w:t>Serendipity is also evident in this narrative – in Freddie’s failure to win the coveted apprenticeship and in the fact that he was able to closely observe the different trajectory being pursued by his twin brother. It is apparent that his decision making was also influenced by his college tutors. Progression to Higher Education was highly</w:t>
      </w:r>
      <w:r w:rsidR="001F6023">
        <w:t xml:space="preserve"> valued in this BTEC programme</w:t>
      </w:r>
      <w:r w:rsidR="00927D68">
        <w:t>, perhaps because</w:t>
      </w:r>
      <w:r w:rsidR="00927D68">
        <w:rPr>
          <w:color w:val="292526"/>
          <w:lang w:val="en-US"/>
        </w:rPr>
        <w:t xml:space="preserve"> it was an atypical trajectory. A</w:t>
      </w:r>
      <w:r w:rsidR="00827B86">
        <w:rPr>
          <w:color w:val="292526"/>
          <w:lang w:val="en-US"/>
        </w:rPr>
        <w:t>s Freddie reported</w:t>
      </w:r>
      <w:r w:rsidR="001F6023">
        <w:rPr>
          <w:color w:val="292526"/>
          <w:lang w:val="en-US"/>
        </w:rPr>
        <w:t>,</w:t>
      </w:r>
      <w:r w:rsidR="00827B86">
        <w:rPr>
          <w:color w:val="292526"/>
          <w:lang w:val="en-US"/>
        </w:rPr>
        <w:t xml:space="preserve"> </w:t>
      </w:r>
      <w:r w:rsidR="00827B86">
        <w:t>‘</w:t>
      </w:r>
      <w:r w:rsidR="00827B86">
        <w:rPr>
          <w:i/>
        </w:rPr>
        <w:t>a lot of people at college tried to look for an apprenticeship, not so many go to university’</w:t>
      </w:r>
      <w:r w:rsidR="00827B86">
        <w:t>.</w:t>
      </w:r>
      <w:r w:rsidR="00827B86">
        <w:rPr>
          <w:lang w:val="en-US"/>
        </w:rPr>
        <w:t xml:space="preserve">  In addition to the role of serendipity in Freddie’s career decision making, there are also questions about how and to what extent his college mediated his decision making and transition to university. </w:t>
      </w:r>
    </w:p>
    <w:p w:rsidR="00827B86" w:rsidRDefault="00827B86" w:rsidP="001B7F2F">
      <w:pPr>
        <w:spacing w:line="360" w:lineRule="auto"/>
      </w:pPr>
      <w:r>
        <w:rPr>
          <w:lang w:val="en-US"/>
        </w:rPr>
        <w:t xml:space="preserve">Socially, David was very differently positioned to Freddie. He had left school at 16 and obtained low paid, low skill employment in a local Woolworths. The company had gone into liquidation when David was 19 and he had lost his job. </w:t>
      </w:r>
      <w:r w:rsidR="00676748">
        <w:rPr>
          <w:lang w:val="en-US"/>
        </w:rPr>
        <w:t xml:space="preserve">He </w:t>
      </w:r>
      <w:r w:rsidR="00362379">
        <w:rPr>
          <w:lang w:val="en-US"/>
        </w:rPr>
        <w:t>lived in a part of the North East beset by high unemployment</w:t>
      </w:r>
      <w:r w:rsidR="00A17BB3">
        <w:rPr>
          <w:lang w:val="en-US"/>
        </w:rPr>
        <w:t>. J</w:t>
      </w:r>
      <w:r w:rsidR="00362379">
        <w:rPr>
          <w:lang w:val="en-US"/>
        </w:rPr>
        <w:t>ob opportunities, especially for young people with few credentials, were limited</w:t>
      </w:r>
      <w:r w:rsidR="00676748">
        <w:rPr>
          <w:lang w:val="en-US"/>
        </w:rPr>
        <w:t xml:space="preserve">. Thus, </w:t>
      </w:r>
      <w:r w:rsidR="00362379">
        <w:rPr>
          <w:lang w:val="en-US"/>
        </w:rPr>
        <w:t xml:space="preserve">he spent the following two years out of work.  </w:t>
      </w:r>
      <w:r>
        <w:rPr>
          <w:lang w:val="en-US"/>
        </w:rPr>
        <w:t xml:space="preserve">Circumscribed much more than Freddie, </w:t>
      </w:r>
      <w:r w:rsidR="008F031D">
        <w:rPr>
          <w:lang w:val="en-US"/>
        </w:rPr>
        <w:t>the symbolic capitals to which David did have access had ‘restricted transposability’ (Moore, 2008</w:t>
      </w:r>
      <w:r w:rsidR="00DE2CE1">
        <w:rPr>
          <w:lang w:val="en-US"/>
        </w:rPr>
        <w:t>,</w:t>
      </w:r>
      <w:r w:rsidR="00A5483C">
        <w:rPr>
          <w:lang w:val="en-US"/>
        </w:rPr>
        <w:t xml:space="preserve"> </w:t>
      </w:r>
      <w:r w:rsidR="008F031D">
        <w:rPr>
          <w:lang w:val="en-US"/>
        </w:rPr>
        <w:t xml:space="preserve">114) and did </w:t>
      </w:r>
      <w:r w:rsidR="008F031D" w:rsidRPr="008F031D">
        <w:rPr>
          <w:lang w:val="en-US"/>
        </w:rPr>
        <w:t>not include either the</w:t>
      </w:r>
      <w:r w:rsidR="00362379" w:rsidRPr="008F031D">
        <w:rPr>
          <w:lang w:val="en-US"/>
        </w:rPr>
        <w:t xml:space="preserve"> embodied or objectified forms of cultural capital valorized in education</w:t>
      </w:r>
      <w:r w:rsidR="008F031D" w:rsidRPr="008F031D">
        <w:rPr>
          <w:lang w:val="en-US"/>
        </w:rPr>
        <w:t>. C</w:t>
      </w:r>
      <w:r w:rsidR="00362379" w:rsidRPr="008F031D">
        <w:rPr>
          <w:lang w:val="en-US"/>
        </w:rPr>
        <w:t>onsequently he</w:t>
      </w:r>
      <w:r w:rsidRPr="008F031D">
        <w:rPr>
          <w:lang w:val="en-US"/>
        </w:rPr>
        <w:t xml:space="preserve"> lacked the </w:t>
      </w:r>
      <w:r w:rsidR="00362379" w:rsidRPr="008F031D">
        <w:rPr>
          <w:lang w:val="en-US"/>
        </w:rPr>
        <w:t xml:space="preserve">means </w:t>
      </w:r>
      <w:r w:rsidRPr="008F031D">
        <w:rPr>
          <w:lang w:val="en-US"/>
        </w:rPr>
        <w:t>to</w:t>
      </w:r>
      <w:r>
        <w:rPr>
          <w:lang w:val="en-US"/>
        </w:rPr>
        <w:t xml:space="preserve"> explore his educational options – he simply did not know that there were any. </w:t>
      </w:r>
      <w:r>
        <w:t xml:space="preserve">He did not know that he could enrol at college at his age (21 at time of interview) or that </w:t>
      </w:r>
      <w:r w:rsidR="00362379">
        <w:t>financial support was available. This demonstrated not only</w:t>
      </w:r>
      <w:r>
        <w:t xml:space="preserve"> the way in which </w:t>
      </w:r>
      <w:r w:rsidR="00362379">
        <w:t>his horizons for action</w:t>
      </w:r>
      <w:r w:rsidR="008F031D">
        <w:t xml:space="preserve"> were constrained, but also</w:t>
      </w:r>
      <w:r w:rsidR="00751FEA">
        <w:t>,</w:t>
      </w:r>
      <w:r w:rsidR="008F031D">
        <w:t xml:space="preserve"> perhaps</w:t>
      </w:r>
      <w:r w:rsidR="00751FEA">
        <w:t>, helps</w:t>
      </w:r>
      <w:r w:rsidR="008F031D">
        <w:t xml:space="preserve"> to explain the </w:t>
      </w:r>
      <w:r w:rsidR="00927D68">
        <w:t xml:space="preserve">reasons why </w:t>
      </w:r>
      <w:r w:rsidR="008F031D">
        <w:t xml:space="preserve">his </w:t>
      </w:r>
      <w:r w:rsidR="008F031D">
        <w:lastRenderedPageBreak/>
        <w:t xml:space="preserve">transition was </w:t>
      </w:r>
      <w:r w:rsidR="00927D68">
        <w:t xml:space="preserve">more profoundly influenced than Freddie’s by </w:t>
      </w:r>
      <w:r w:rsidR="00CF713A">
        <w:t>serendipitous events</w:t>
      </w:r>
      <w:r w:rsidR="008F031D">
        <w:t xml:space="preserve">. </w:t>
      </w:r>
      <w:r w:rsidR="00751FEA">
        <w:t xml:space="preserve">David’s </w:t>
      </w:r>
      <w:r>
        <w:t>younger sister</w:t>
      </w:r>
      <w:r w:rsidR="008F031D">
        <w:t xml:space="preserve"> had </w:t>
      </w:r>
      <w:r>
        <w:t>wanted to do a floristry course and</w:t>
      </w:r>
      <w:r w:rsidR="00751FEA">
        <w:t xml:space="preserve"> </w:t>
      </w:r>
      <w:r>
        <w:t>asked David for a lift to college. As he waited he fell into conversation with an IT tutor who told him that courses were available for people his age and  ‘</w:t>
      </w:r>
      <w:r w:rsidRPr="00927D68">
        <w:rPr>
          <w:i/>
        </w:rPr>
        <w:t>convinced me that this [Level 2 BTEC IT] was right for me’</w:t>
      </w:r>
      <w:r w:rsidR="00751FEA">
        <w:t xml:space="preserve">,  reflecting the role of serendipity in decision making. </w:t>
      </w:r>
      <w:r>
        <w:t>David liked the idea of doing a course with ‘no exams’ and of learning on the</w:t>
      </w:r>
      <w:r w:rsidR="001F6023">
        <w:t xml:space="preserve"> job</w:t>
      </w:r>
      <w:r w:rsidR="00751FEA">
        <w:t>, illustrating</w:t>
      </w:r>
      <w:r>
        <w:t xml:space="preserve"> a degree of pragmatism, but possibly also the ‘progressive construction of a career’ (Hodkinson, 2008). He intended to progress to the Level 3 course, </w:t>
      </w:r>
      <w:r w:rsidR="00327D78">
        <w:t xml:space="preserve">recognising that </w:t>
      </w:r>
      <w:r>
        <w:t>his choice was limited to ‘</w:t>
      </w:r>
      <w:r>
        <w:rPr>
          <w:i/>
        </w:rPr>
        <w:t>do Level 3 or get on the dole’</w:t>
      </w:r>
      <w:r>
        <w:t xml:space="preserve">. </w:t>
      </w:r>
    </w:p>
    <w:p w:rsidR="001F6023" w:rsidRDefault="00827B86" w:rsidP="001B7F2F">
      <w:pPr>
        <w:spacing w:line="360" w:lineRule="auto"/>
      </w:pPr>
      <w:r>
        <w:t xml:space="preserve">David’s uncle had told him about the forensic IT experts who were employed by the police force. </w:t>
      </w:r>
      <w:r w:rsidR="00327D78">
        <w:t xml:space="preserve">He </w:t>
      </w:r>
      <w:r>
        <w:t>aspired to join this elite group, ‘</w:t>
      </w:r>
      <w:r>
        <w:rPr>
          <w:i/>
          <w:iCs/>
        </w:rPr>
        <w:t>catching hackers’</w:t>
      </w:r>
      <w:r>
        <w:t xml:space="preserve"> but, like the young people in earlier research (Atkins, 2009; Bathmaker, 2001), had no role model, was ‘</w:t>
      </w:r>
      <w:r w:rsidRPr="001B7F2F">
        <w:rPr>
          <w:i/>
        </w:rPr>
        <w:t>not sure</w:t>
      </w:r>
      <w:r>
        <w:t>’ of the entry requirements or how to access his idealised career. He acknowledged that he might not achieve this aspiration and subsequently discussed the possibility of lower paid, lower skilled work, such as ‘</w:t>
      </w:r>
      <w:r>
        <w:rPr>
          <w:i/>
        </w:rPr>
        <w:t>fixing computers’</w:t>
      </w:r>
      <w:r>
        <w:t xml:space="preserve"> or ‘</w:t>
      </w:r>
      <w:r>
        <w:rPr>
          <w:i/>
        </w:rPr>
        <w:t>working in a computer shop</w:t>
      </w:r>
      <w:r>
        <w:t xml:space="preserve">’,  reflecting a degree of pragmatic rationality, as well as notions of idealised and realised dispositions and identities (Colley </w:t>
      </w:r>
      <w:r>
        <w:rPr>
          <w:i/>
        </w:rPr>
        <w:t>et al</w:t>
      </w:r>
      <w:r>
        <w:t xml:space="preserve"> 2003).  In addition, having worked at Woolworths, ‘</w:t>
      </w:r>
      <w:r>
        <w:rPr>
          <w:i/>
        </w:rPr>
        <w:t>working in a computer shop’</w:t>
      </w:r>
      <w:r>
        <w:t xml:space="preserve"> formed part of a schema, informed by embodied habitus and field, of ‘a job which is right for me’ (Bates, 1993). Like Freddie, David recognised that society perceived his BTEC course differently to ‘academic’ programmes. Referring to his friends, he commented that ‘</w:t>
      </w:r>
      <w:r>
        <w:rPr>
          <w:i/>
        </w:rPr>
        <w:t>they are not sure what it is; they don’t think it’s very high’</w:t>
      </w:r>
      <w:r>
        <w:t>.  Despite this, his family were ‘</w:t>
      </w:r>
      <w:r>
        <w:rPr>
          <w:i/>
        </w:rPr>
        <w:t>pleased</w:t>
      </w:r>
      <w:r>
        <w:t>’ that he had returned to education. Unlike Freddie, and possibly reflecting subtle differences in class fractions, like earlier generations of young people (Bates 1993</w:t>
      </w:r>
      <w:r w:rsidR="00DE2CE1">
        <w:t xml:space="preserve">, </w:t>
      </w:r>
      <w:r>
        <w:t xml:space="preserve">47; Ball </w:t>
      </w:r>
      <w:r>
        <w:rPr>
          <w:i/>
        </w:rPr>
        <w:t>et al</w:t>
      </w:r>
      <w:r>
        <w:t xml:space="preserve"> 2000</w:t>
      </w:r>
      <w:r w:rsidR="00DE2CE1">
        <w:t xml:space="preserve">, </w:t>
      </w:r>
      <w:r w:rsidR="00A5483C">
        <w:t>66;</w:t>
      </w:r>
      <w:r>
        <w:t xml:space="preserve"> Atkins, 2009, 129/130), David was more concerned with social, rather than educational aspects of the programme.  </w:t>
      </w:r>
    </w:p>
    <w:p w:rsidR="001F6023" w:rsidRDefault="00827B86" w:rsidP="001B7F2F">
      <w:pPr>
        <w:ind w:left="283" w:right="454"/>
        <w:rPr>
          <w:i/>
        </w:rPr>
      </w:pPr>
      <w:r>
        <w:rPr>
          <w:i/>
        </w:rPr>
        <w:t xml:space="preserve">It’s more convenient for where I live. The College is not too far from where I live. And the hours are suitable for me. It sometimes feels that there are not enough hours in the day. That sounds a bit thingy, but there are. It’s not too far from where my friends live. You never get bored. If you don’t want the refectory, you can walk into town. There are always people around us; different departments get </w:t>
      </w:r>
      <w:r w:rsidR="001F6023">
        <w:rPr>
          <w:i/>
        </w:rPr>
        <w:t>their breaks at different times</w:t>
      </w:r>
    </w:p>
    <w:p w:rsidR="00827B86" w:rsidRDefault="00827B86" w:rsidP="001B7F2F">
      <w:pPr>
        <w:spacing w:line="360" w:lineRule="auto"/>
      </w:pPr>
      <w:r>
        <w:t xml:space="preserve"> It is evident that David is a young </w:t>
      </w:r>
      <w:r>
        <w:rPr>
          <w:color w:val="292526"/>
          <w:lang w:val="en-US"/>
        </w:rPr>
        <w:t xml:space="preserve">person significantly </w:t>
      </w:r>
      <w:r>
        <w:t>‘influenced by the complexities of the relations of force within a particular field’ Hodkinson (1998</w:t>
      </w:r>
      <w:r w:rsidR="00DE2CE1">
        <w:t xml:space="preserve">, </w:t>
      </w:r>
      <w:r>
        <w:t>103) and ‘heavily circumscribed by class’ (Bloomer 1996</w:t>
      </w:r>
      <w:r w:rsidR="00DE2CE1">
        <w:t xml:space="preserve">, </w:t>
      </w:r>
      <w:r>
        <w:t>148) as well as by</w:t>
      </w:r>
      <w:r w:rsidR="00676748">
        <w:t xml:space="preserve"> habitus, and </w:t>
      </w:r>
      <w:r>
        <w:t>the geographical space in which he is located</w:t>
      </w:r>
      <w:r w:rsidRPr="00676748">
        <w:t>.</w:t>
      </w:r>
      <w:r w:rsidR="00676748">
        <w:t xml:space="preserve"> The volume and structure of the capital to which he has access is limited in its currency in the labour and education markets. H</w:t>
      </w:r>
      <w:r>
        <w:t xml:space="preserve">is agency is constrained, mediated and enabled by forces beyond his control: the liquidation of Woolworths, the meeting with a tutor recruiting to a programme, the lack of </w:t>
      </w:r>
      <w:r>
        <w:lastRenderedPageBreak/>
        <w:t xml:space="preserve">opportunities in the local labour market, and the nature of opportunities available at his local college.  </w:t>
      </w:r>
    </w:p>
    <w:p w:rsidR="001F6023" w:rsidRDefault="00827B86" w:rsidP="001B7F2F">
      <w:pPr>
        <w:spacing w:line="360" w:lineRule="auto"/>
        <w:rPr>
          <w:b/>
        </w:rPr>
      </w:pPr>
      <w:r>
        <w:t xml:space="preserve">In contrast, Freddie’s decision-making involved extensive discussions with both his family and his tutors: </w:t>
      </w:r>
      <w:r>
        <w:rPr>
          <w:b/>
        </w:rPr>
        <w:t xml:space="preserve"> </w:t>
      </w:r>
    </w:p>
    <w:p w:rsidR="001F6023" w:rsidRDefault="00827B86" w:rsidP="001B7F2F">
      <w:pPr>
        <w:ind w:left="283" w:right="510"/>
      </w:pPr>
      <w:r>
        <w:rPr>
          <w:i/>
        </w:rPr>
        <w:t>My mum and dad gave me advice; I think my mum found the course. I must have spoken to a coupl</w:t>
      </w:r>
      <w:r w:rsidR="001F6023">
        <w:rPr>
          <w:i/>
        </w:rPr>
        <w:t>e of people, a few of my friend</w:t>
      </w:r>
      <w:r>
        <w:rPr>
          <w:i/>
        </w:rPr>
        <w:t>s</w:t>
      </w:r>
      <w:r w:rsidR="001F6023">
        <w:rPr>
          <w:i/>
        </w:rPr>
        <w:t>’</w:t>
      </w:r>
      <w:r>
        <w:rPr>
          <w:i/>
        </w:rPr>
        <w:t xml:space="preserve"> dads that work at [car manufacturer]</w:t>
      </w:r>
      <w:proofErr w:type="gramStart"/>
      <w:r>
        <w:rPr>
          <w:i/>
        </w:rPr>
        <w:t>,</w:t>
      </w:r>
      <w:proofErr w:type="gramEnd"/>
      <w:r>
        <w:rPr>
          <w:i/>
        </w:rPr>
        <w:t xml:space="preserve"> I certainly spoke to them about the apprenticeship. And definitely my step-dad</w:t>
      </w:r>
    </w:p>
    <w:p w:rsidR="00827B86" w:rsidRDefault="00327D78" w:rsidP="001B7F2F">
      <w:pPr>
        <w:spacing w:line="360" w:lineRule="auto"/>
      </w:pPr>
      <w:r>
        <w:t xml:space="preserve">Whilst both </w:t>
      </w:r>
      <w:r w:rsidRPr="00327D78">
        <w:t>young men’s lives were subject to mediation by contingent and serendipitous events, David’s</w:t>
      </w:r>
      <w:r w:rsidR="00827B86" w:rsidRPr="00327D78">
        <w:t xml:space="preserve"> decision-making was based on a chance meeting with an IT teacher, reflecting a much more simple choice based on significantly less information</w:t>
      </w:r>
      <w:r w:rsidRPr="00327D78">
        <w:t>.</w:t>
      </w:r>
      <w:r w:rsidR="00827B86" w:rsidRPr="00327D78">
        <w:t xml:space="preserve"> </w:t>
      </w:r>
      <w:r w:rsidRPr="00327D78">
        <w:t>Thus, i</w:t>
      </w:r>
      <w:r w:rsidR="00827B86" w:rsidRPr="00327D78">
        <w:t xml:space="preserve">t </w:t>
      </w:r>
      <w:r w:rsidR="00827B86">
        <w:t>is apparent that, in theoretical terms, the interactions between position, field, dispositions and actions all strongly influenced both Freddie’s and David’s decision-making in different ways and to different degrees. Whilst these were not deterministic it was apparent that David, in common with other participants from the lowest</w:t>
      </w:r>
      <w:r>
        <w:t xml:space="preserve"> class fractions</w:t>
      </w:r>
      <w:r w:rsidR="00827B86">
        <w:t xml:space="preserve"> was significantly more constrained in his decision making and had less potential for agency than Freddie and</w:t>
      </w:r>
      <w:r w:rsidR="00207F76">
        <w:t xml:space="preserve"> their</w:t>
      </w:r>
      <w:r w:rsidR="00827B86">
        <w:t xml:space="preserve"> peers</w:t>
      </w:r>
      <w:r w:rsidR="00751FEA">
        <w:t xml:space="preserve"> from more advantaged class fractions</w:t>
      </w:r>
      <w:r w:rsidR="00827B86">
        <w:t xml:space="preserve"> </w:t>
      </w:r>
      <w:r w:rsidR="00751FEA">
        <w:t xml:space="preserve">(see also Reubzaet </w:t>
      </w:r>
      <w:r w:rsidR="00751FEA">
        <w:rPr>
          <w:i/>
        </w:rPr>
        <w:t>et al</w:t>
      </w:r>
      <w:r w:rsidR="00751FEA">
        <w:t xml:space="preserve"> 2011</w:t>
      </w:r>
      <w:r w:rsidR="00DE2CE1">
        <w:t xml:space="preserve">, </w:t>
      </w:r>
      <w:r w:rsidR="00751FEA">
        <w:t xml:space="preserve">21). This </w:t>
      </w:r>
      <w:r w:rsidR="00751FEA" w:rsidRPr="00207F76">
        <w:t xml:space="preserve">intra-class </w:t>
      </w:r>
      <w:r w:rsidR="00A41C6D" w:rsidRPr="00207F76">
        <w:t xml:space="preserve">variance </w:t>
      </w:r>
      <w:r w:rsidR="002F7E2B" w:rsidRPr="00207F76">
        <w:t xml:space="preserve">implies ‘graduations in the formation of habitus between the “well-formed” and the “less well-formed”, </w:t>
      </w:r>
      <w:r w:rsidR="002F7E2B" w:rsidRPr="00942A18">
        <w:t>which is expressed in their capital configuration’</w:t>
      </w:r>
      <w:r w:rsidR="002F7E2B" w:rsidRPr="00207F76">
        <w:t xml:space="preserve"> (Moore, 2008</w:t>
      </w:r>
      <w:r w:rsidR="00DE2CE1">
        <w:t>,</w:t>
      </w:r>
      <w:r w:rsidR="00A5483C">
        <w:t xml:space="preserve"> </w:t>
      </w:r>
      <w:r w:rsidR="002F7E2B" w:rsidRPr="00207F76">
        <w:t xml:space="preserve">114), thus explaining </w:t>
      </w:r>
      <w:r w:rsidR="00207F76">
        <w:t xml:space="preserve"> both </w:t>
      </w:r>
      <w:r w:rsidR="002F7E2B" w:rsidRPr="00207F76">
        <w:t xml:space="preserve">David’s more restricted access to </w:t>
      </w:r>
      <w:r w:rsidR="00207F76" w:rsidRPr="00207F76">
        <w:t xml:space="preserve">those capitals which are </w:t>
      </w:r>
      <w:r w:rsidR="002779C0">
        <w:t xml:space="preserve">valorised </w:t>
      </w:r>
      <w:r w:rsidR="00207F76" w:rsidRPr="00207F76">
        <w:t>in</w:t>
      </w:r>
      <w:r w:rsidR="00207F76">
        <w:t xml:space="preserve"> education, </w:t>
      </w:r>
      <w:r w:rsidR="00E95433">
        <w:t xml:space="preserve">and perhaps also </w:t>
      </w:r>
      <w:r w:rsidR="00207F76">
        <w:t xml:space="preserve">the more significant influence on his transition of serendipity. </w:t>
      </w:r>
      <w:r w:rsidR="00827B86">
        <w:t xml:space="preserve"> The interac</w:t>
      </w:r>
      <w:r w:rsidR="00257AFF">
        <w:t>tions also reflect the impact of</w:t>
      </w:r>
      <w:r w:rsidR="00827B86">
        <w:t xml:space="preserve"> serendipity in terms of positioning in the field (Hodkinson, 2008)</w:t>
      </w:r>
      <w:r w:rsidR="00942A18">
        <w:t>. F</w:t>
      </w:r>
      <w:r w:rsidR="00257AFF">
        <w:t xml:space="preserve">or example, many marginalised students take things for granted, rather than recognising ways in which their </w:t>
      </w:r>
      <w:r>
        <w:t>transit</w:t>
      </w:r>
      <w:r w:rsidR="00486B83">
        <w:t>i</w:t>
      </w:r>
      <w:r>
        <w:t xml:space="preserve">ons </w:t>
      </w:r>
      <w:r w:rsidR="00257AFF">
        <w:t xml:space="preserve">could be transformed (Mills, 2008, 82). Illustrating this point, </w:t>
      </w:r>
      <w:r w:rsidR="00827B86">
        <w:t>Freddie did not obtain the coveted apprenticeship but had access to cultural capital which informed his decision-making process</w:t>
      </w:r>
      <w:r w:rsidR="00827B86" w:rsidRPr="00A41C6D">
        <w:t>. David lacked access to similar cultural capital, m</w:t>
      </w:r>
      <w:r w:rsidR="00827B86">
        <w:t xml:space="preserve">eaning that his decision making was </w:t>
      </w:r>
      <w:r w:rsidR="00D15F8D">
        <w:t xml:space="preserve">more </w:t>
      </w:r>
      <w:r w:rsidR="00827B86">
        <w:t>significantly mediated by a chance event in a way that would have been unlikely for Freddie.</w:t>
      </w:r>
    </w:p>
    <w:p w:rsidR="00827B86" w:rsidRDefault="00827B86" w:rsidP="001B7F2F">
      <w:pPr>
        <w:spacing w:line="360" w:lineRule="auto"/>
        <w:rPr>
          <w:b/>
        </w:rPr>
      </w:pPr>
      <w:r>
        <w:rPr>
          <w:b/>
        </w:rPr>
        <w:t>Young people’s future engagement with the global labour market: the implications</w:t>
      </w:r>
    </w:p>
    <w:p w:rsidR="001B7F2F" w:rsidRDefault="00827B86" w:rsidP="001B7F2F">
      <w:pPr>
        <w:spacing w:line="360" w:lineRule="auto"/>
      </w:pPr>
      <w:r>
        <w:t>A broad range of empirical and theoretical works have, over time, noted the global relationships between skills policies and neo-liberal concepts of a knowledge economy (e.g see Needham and Papier, 2011</w:t>
      </w:r>
      <w:r w:rsidR="00DE2CE1">
        <w:t xml:space="preserve">, </w:t>
      </w:r>
      <w:r>
        <w:t>6, citing Groener, (2000) and McGrath, (2004)</w:t>
      </w:r>
      <w:r w:rsidR="00486B83">
        <w:t>)</w:t>
      </w:r>
      <w:r>
        <w:t xml:space="preserve"> and increasingly,</w:t>
      </w:r>
      <w:r>
        <w:rPr>
          <w:color w:val="1F4E79" w:themeColor="accent1" w:themeShade="80"/>
        </w:rPr>
        <w:t xml:space="preserve"> </w:t>
      </w:r>
      <w:r>
        <w:t xml:space="preserve">that these policies are now prevalent across both the developed and developing worlds (e.g  see Aryeetey </w:t>
      </w:r>
      <w:r>
        <w:rPr>
          <w:i/>
        </w:rPr>
        <w:t>et al</w:t>
      </w:r>
      <w:r>
        <w:t>,</w:t>
      </w:r>
      <w:r w:rsidR="00942A18">
        <w:t xml:space="preserve"> 2011, 6</w:t>
      </w:r>
      <w:r>
        <w:t>). Neo-liberal economic policies see VET not as a form of education which is a ‘political act’ (Apple, 2013</w:t>
      </w:r>
      <w:r w:rsidR="00DE2CE1">
        <w:t>,</w:t>
      </w:r>
      <w:r>
        <w:t xml:space="preserve"> 5) or as an activity which serves to initiate young people into ‘a worthwhile form of life’ (Pring </w:t>
      </w:r>
      <w:r>
        <w:rPr>
          <w:i/>
        </w:rPr>
        <w:lastRenderedPageBreak/>
        <w:t>et al</w:t>
      </w:r>
      <w:r>
        <w:t xml:space="preserve"> 2009</w:t>
      </w:r>
      <w:r w:rsidR="00DE2CE1">
        <w:t>,</w:t>
      </w:r>
      <w:r w:rsidR="00A5483C">
        <w:t xml:space="preserve"> </w:t>
      </w:r>
      <w:r>
        <w:t>10), but primarily as a source of ‘work-ready’ human cap</w:t>
      </w:r>
      <w:r w:rsidR="00885307">
        <w:t>ital. According to</w:t>
      </w:r>
      <w:r w:rsidR="00D63870">
        <w:t xml:space="preserve"> these discourses</w:t>
      </w:r>
      <w:r w:rsidR="00885307">
        <w:t xml:space="preserve">, such human capital is </w:t>
      </w:r>
      <w:r>
        <w:t xml:space="preserve">endowed with the requisite skills to enter </w:t>
      </w:r>
      <w:r w:rsidR="00885307">
        <w:t xml:space="preserve">the </w:t>
      </w:r>
      <w:r>
        <w:t>knowledge economy</w:t>
      </w:r>
      <w:r w:rsidR="00885307">
        <w:t>; however</w:t>
      </w:r>
      <w:r w:rsidR="00D63870">
        <w:t>, the</w:t>
      </w:r>
      <w:r w:rsidR="00885307">
        <w:t xml:space="preserve"> same rhetoric exaggerates the </w:t>
      </w:r>
      <w:r w:rsidR="00D63870">
        <w:t xml:space="preserve">size and accessibility </w:t>
      </w:r>
      <w:r w:rsidR="00885307">
        <w:t>of the knowledge economy</w:t>
      </w:r>
      <w:r w:rsidR="00D63870">
        <w:t xml:space="preserve">, ignoring the need for workers in ‘routine’ employment, </w:t>
      </w:r>
      <w:r w:rsidR="001F36DB">
        <w:t>generating glamourised discourses around potential employability</w:t>
      </w:r>
      <w:r w:rsidR="00942A18">
        <w:t>, and selling</w:t>
      </w:r>
      <w:r w:rsidR="00885307" w:rsidRPr="00D63870">
        <w:t xml:space="preserve"> false hope to young people on low level, low value vocational programmes, </w:t>
      </w:r>
      <w:r w:rsidR="00D63870" w:rsidRPr="00D63870">
        <w:t>for whom routine employment is the most likely outcome</w:t>
      </w:r>
      <w:r>
        <w:t xml:space="preserve">. </w:t>
      </w:r>
      <w:r w:rsidR="00A17BB3">
        <w:t xml:space="preserve"> In particular, t</w:t>
      </w:r>
      <w:r>
        <w:t xml:space="preserve">he </w:t>
      </w:r>
      <w:r w:rsidR="00A17BB3">
        <w:t xml:space="preserve">notion </w:t>
      </w:r>
      <w:r>
        <w:t>that economic growth will be promoted by workers with particular skills fails to acknowledge that the skills conferred by vocational education, particularly at its lowest levels, are largely low value with limited exchange value in the labour market (</w:t>
      </w:r>
      <w:r>
        <w:rPr>
          <w:rFonts w:cs="Plantin"/>
          <w:color w:val="292526"/>
          <w:lang w:val="en-US"/>
        </w:rPr>
        <w:t>Keep, 2004</w:t>
      </w:r>
      <w:r w:rsidR="00DE2CE1">
        <w:rPr>
          <w:rFonts w:cs="Plantin"/>
          <w:color w:val="292526"/>
          <w:lang w:val="en-US"/>
        </w:rPr>
        <w:t xml:space="preserve">, 18/19; 2005, </w:t>
      </w:r>
      <w:r>
        <w:rPr>
          <w:rFonts w:cs="Plantin"/>
          <w:color w:val="292526"/>
          <w:lang w:val="en-US"/>
        </w:rPr>
        <w:t xml:space="preserve">547/548) </w:t>
      </w:r>
      <w:r>
        <w:t xml:space="preserve">or, indeed, in education.  David’s programme was typical of this, something he showed implicit recognition </w:t>
      </w:r>
      <w:r w:rsidR="00486B83">
        <w:t>of when</w:t>
      </w:r>
      <w:r w:rsidR="00942A18">
        <w:t xml:space="preserve"> he said </w:t>
      </w:r>
      <w:r>
        <w:rPr>
          <w:iCs/>
        </w:rPr>
        <w:t>‘</w:t>
      </w:r>
      <w:r w:rsidR="00942A18">
        <w:rPr>
          <w:iCs/>
        </w:rPr>
        <w:t>t</w:t>
      </w:r>
      <w:r>
        <w:rPr>
          <w:i/>
          <w:iCs/>
        </w:rPr>
        <w:t xml:space="preserve">here must be things I can do, there must be doors it can open’, </w:t>
      </w:r>
      <w:r>
        <w:rPr>
          <w:iCs/>
        </w:rPr>
        <w:t>a statement dissonant with his</w:t>
      </w:r>
      <w:r>
        <w:rPr>
          <w:i/>
          <w:iCs/>
        </w:rPr>
        <w:t xml:space="preserve"> </w:t>
      </w:r>
      <w:r>
        <w:t xml:space="preserve">idealised career in forensic IT work. </w:t>
      </w:r>
    </w:p>
    <w:p w:rsidR="00827B86" w:rsidRDefault="00376FFC" w:rsidP="001B7F2F">
      <w:pPr>
        <w:spacing w:line="360" w:lineRule="auto"/>
      </w:pPr>
      <w:r>
        <w:t xml:space="preserve">There is also evidence to suggest that, contrary to policy rhetoric, </w:t>
      </w:r>
      <w:r w:rsidR="00827B86">
        <w:t xml:space="preserve"> in advanced economies such as the USA, Europe and Australia, globalisation is ‘redistributing employment opportunities and incomes’</w:t>
      </w:r>
      <w:r>
        <w:t xml:space="preserve"> (Spence, 2011) </w:t>
      </w:r>
      <w:r w:rsidR="00827B86">
        <w:t xml:space="preserve"> and that the impact of this is different for different groups within individual economies. </w:t>
      </w:r>
      <w:r w:rsidR="00486B83">
        <w:t>Such influences</w:t>
      </w:r>
      <w:r w:rsidR="00827B86">
        <w:t xml:space="preserve"> have particular implications for Freddie, David and their peers.  Firstly, it is apparent that those </w:t>
      </w:r>
      <w:r w:rsidR="002F7E2B">
        <w:t xml:space="preserve">young people </w:t>
      </w:r>
      <w:r w:rsidR="00827B86">
        <w:t xml:space="preserve">with </w:t>
      </w:r>
      <w:r w:rsidR="002F7E2B">
        <w:t xml:space="preserve">more restricted </w:t>
      </w:r>
      <w:r w:rsidR="00827B86" w:rsidRPr="00207F76">
        <w:t xml:space="preserve">access to </w:t>
      </w:r>
      <w:r w:rsidR="002F7E2B" w:rsidRPr="00207F76">
        <w:t>the symbolic capitals associated with education</w:t>
      </w:r>
      <w:r w:rsidR="00827B86">
        <w:t xml:space="preserve"> have particular constraints associated with their socio-spatial positioning. Historic and contemporary global economic developments and changes influence multinationals invest</w:t>
      </w:r>
      <w:r w:rsidR="001B7F2F">
        <w:t>ment – or lack thereof -</w:t>
      </w:r>
      <w:r w:rsidR="00827B86">
        <w:t xml:space="preserve"> in particular</w:t>
      </w:r>
      <w:r w:rsidR="001B7F2F">
        <w:t xml:space="preserve"> geographical</w:t>
      </w:r>
      <w:r w:rsidR="00827B86">
        <w:t xml:space="preserve"> areas, meaning that different types of work are increasingly located in specific areas and increasingly polarised  (Pring </w:t>
      </w:r>
      <w:r w:rsidR="00827B86">
        <w:rPr>
          <w:i/>
        </w:rPr>
        <w:t>et al</w:t>
      </w:r>
      <w:r w:rsidR="00827B86">
        <w:t>, 2009</w:t>
      </w:r>
      <w:r w:rsidR="00DE2CE1">
        <w:t>,</w:t>
      </w:r>
      <w:r w:rsidR="00827B86">
        <w:t xml:space="preserve"> 141). </w:t>
      </w:r>
      <w:r w:rsidR="00486B83">
        <w:t>T</w:t>
      </w:r>
      <w:r w:rsidR="00827B86">
        <w:t xml:space="preserve">heir ability to engage with a global labour market is further constrained by </w:t>
      </w:r>
      <w:r w:rsidR="002F7E2B">
        <w:t xml:space="preserve">social </w:t>
      </w:r>
      <w:proofErr w:type="gramStart"/>
      <w:r w:rsidR="00827B86">
        <w:t>positioning</w:t>
      </w:r>
      <w:r w:rsidR="002F7E2B">
        <w:t>,</w:t>
      </w:r>
      <w:proofErr w:type="gramEnd"/>
      <w:r w:rsidR="00827B86">
        <w:t xml:space="preserve"> and</w:t>
      </w:r>
      <w:r w:rsidR="002F7E2B">
        <w:t xml:space="preserve"> by</w:t>
      </w:r>
      <w:r w:rsidR="00827B86">
        <w:t xml:space="preserve"> habitus</w:t>
      </w:r>
      <w:r w:rsidR="002F7E2B">
        <w:t>,</w:t>
      </w:r>
      <w:r w:rsidR="00827B86">
        <w:t xml:space="preserve"> </w:t>
      </w:r>
      <w:r w:rsidR="002F7E2B">
        <w:t xml:space="preserve">both </w:t>
      </w:r>
      <w:r w:rsidR="00827B86">
        <w:t xml:space="preserve">mediated by </w:t>
      </w:r>
      <w:r w:rsidR="002F7E2B">
        <w:t xml:space="preserve">individuals’ </w:t>
      </w:r>
      <w:r w:rsidR="00827B86">
        <w:t>‘response[s] to the topography of place in which, and from where, aspirations are … formed and decisions … made</w:t>
      </w:r>
      <w:r>
        <w:t>’ (Webb</w:t>
      </w:r>
      <w:r w:rsidR="00A5483C">
        <w:t>,</w:t>
      </w:r>
      <w:r>
        <w:t xml:space="preserve"> 2014).</w:t>
      </w:r>
      <w:r w:rsidR="00827B86">
        <w:t xml:space="preserve"> This was particularly evident for David. His vision of his future was local, close to his family, and moving beyond the area in which he had grown up</w:t>
      </w:r>
      <w:r w:rsidR="00911204">
        <w:t xml:space="preserve"> was inconceivable to him</w:t>
      </w:r>
      <w:r w:rsidR="00827B86">
        <w:t>. This locality was a powerhouse of industry at a time when Britain and globalisation might have been synonymous terms, but now has an economy heavily reliant on public sector employment, and which, according to the Office for National Statistics (ONS) saw amongst the highest rises in unemployment during the recession</w:t>
      </w:r>
      <w:r w:rsidR="00CF713A">
        <w:t xml:space="preserve"> (32% in the year this fieldwork was conducted)</w:t>
      </w:r>
      <w:r w:rsidR="00827B86">
        <w:t>.  The implications of this for David are likely to be articulation with the ‘low-cost, low specification’ economy rather than his idealised high pay, high skill career</w:t>
      </w:r>
      <w:r w:rsidR="00827B86" w:rsidRPr="002F7E2B">
        <w:t xml:space="preserve">. Although Freddie, </w:t>
      </w:r>
      <w:r w:rsidR="002F7E2B" w:rsidRPr="002F7E2B">
        <w:t>differently</w:t>
      </w:r>
      <w:r w:rsidR="002F7E2B">
        <w:t xml:space="preserve"> positioned</w:t>
      </w:r>
      <w:r w:rsidR="00827B86">
        <w:t>, hoped to go to university, he was applying to a</w:t>
      </w:r>
      <w:r w:rsidR="00911204">
        <w:t xml:space="preserve"> single</w:t>
      </w:r>
      <w:r w:rsidR="00827B86">
        <w:t xml:space="preserve"> local institution and his imagined future saw him working either for the same multinational which had twice rejected him or for the unknown company with whom he would spend ‘a year in industry’. The orientations to </w:t>
      </w:r>
      <w:r w:rsidR="00827B86">
        <w:lastRenderedPageBreak/>
        <w:t>career and work of these young men imply that their ability to engage with the g</w:t>
      </w:r>
      <w:r w:rsidR="001F6023">
        <w:t>lobal economy - even for Freddie</w:t>
      </w:r>
      <w:r w:rsidR="00827B86">
        <w:t xml:space="preserve"> whose skills acquisition</w:t>
      </w:r>
      <w:r w:rsidR="001F6023">
        <w:t xml:space="preserve"> is likely to be at a high level -</w:t>
      </w:r>
      <w:r w:rsidR="00827B86">
        <w:t xml:space="preserve"> will be constrained by geography as well as habitus, supporting Hodkinson </w:t>
      </w:r>
      <w:r w:rsidR="00827B86">
        <w:rPr>
          <w:i/>
        </w:rPr>
        <w:t>et al</w:t>
      </w:r>
      <w:r w:rsidR="00827B86">
        <w:t>’s proposition that pragmatically rational career choices are constrained and enabled by external opportunities and personal subjective perceptions (1996</w:t>
      </w:r>
      <w:r w:rsidR="00DE2CE1">
        <w:t xml:space="preserve">, </w:t>
      </w:r>
      <w:r w:rsidR="00827B86">
        <w:t xml:space="preserve">3).  It is also worth noting that the broad field of engineering is increasingly globalised and competitive, suggesting that Freddie’s career prospects locally have the potential to become increasingly precarious over time. </w:t>
      </w:r>
    </w:p>
    <w:p w:rsidR="00827B86" w:rsidRDefault="00827B86" w:rsidP="001B7F2F">
      <w:pPr>
        <w:spacing w:line="360" w:lineRule="auto"/>
      </w:pPr>
      <w:r>
        <w:t xml:space="preserve">A significant factor in the decision-making processes of these young men was the educational opportunities available to them, and the way in which these were mediated by institutions and serendipity. The small number and competitive nature of apprenticeships in his local area put Freddie on an eventual pathway to </w:t>
      </w:r>
      <w:proofErr w:type="gramStart"/>
      <w:r>
        <w:t>HE</w:t>
      </w:r>
      <w:proofErr w:type="gramEnd"/>
      <w:r>
        <w:t>, albeit via a vocational path which required him to do a foundation year at University. The level 2 vocational programme undertaken by David had no exchange value in the labour market place, which he recognised, thus leading him to progress to the next level of the same programme. David was explicit about the role of serendipity:</w:t>
      </w:r>
      <w:r>
        <w:rPr>
          <w:i/>
        </w:rPr>
        <w:t xml:space="preserve"> ‘it’s by chance I’m here’. </w:t>
      </w:r>
      <w:r>
        <w:t xml:space="preserve">Their stories, similarly to others from the same study, are indicative that, consistent with Hodkinson’s (2008) argument, ‘neither positional factors nor the forces interacting in the field are deterministic’. It is apparent, however, that whilst not deterministic, these factors are significantly mediated by global economic policy </w:t>
      </w:r>
      <w:r w:rsidRPr="00B930DC">
        <w:t>drivers, enacted by governments</w:t>
      </w:r>
      <w:r>
        <w:t xml:space="preserve"> and mediated by institutions,</w:t>
      </w:r>
      <w:r w:rsidR="00B930DC">
        <w:t xml:space="preserve"> with structural fac</w:t>
      </w:r>
      <w:r w:rsidR="009B24E0">
        <w:t xml:space="preserve">tors such as funding mechanism </w:t>
      </w:r>
      <w:proofErr w:type="gramStart"/>
      <w:r w:rsidR="009B24E0">
        <w:t xml:space="preserve">and </w:t>
      </w:r>
      <w:r w:rsidR="00B930DC">
        <w:t xml:space="preserve"> increased</w:t>
      </w:r>
      <w:proofErr w:type="gramEnd"/>
      <w:r w:rsidR="00B930DC">
        <w:t xml:space="preserve"> youth unemployment, combining with perceived global imperatives for ‘skilled’ workers, </w:t>
      </w:r>
      <w:r>
        <w:t xml:space="preserve">constraining and enabling the horizons for action of young people seeking to navigate productive transitions from school to the labour market. It is also apparent that the constraining and enabling factors are closely aligned with the cultural capital available to each young person. These analyses also imply – but this would need further investigation – that serendipity is of greater influence and significance where young people have </w:t>
      </w:r>
      <w:r w:rsidR="00911204">
        <w:t xml:space="preserve">more </w:t>
      </w:r>
      <w:r w:rsidR="00207F76" w:rsidRPr="00207F76">
        <w:t xml:space="preserve">restricted </w:t>
      </w:r>
      <w:r w:rsidRPr="00207F76">
        <w:t xml:space="preserve">access to </w:t>
      </w:r>
      <w:r w:rsidR="002779C0">
        <w:t xml:space="preserve">the volumes and structures </w:t>
      </w:r>
      <w:r w:rsidR="00207F76" w:rsidRPr="00207F76">
        <w:t xml:space="preserve">of </w:t>
      </w:r>
      <w:r w:rsidRPr="00207F76">
        <w:t>cultural capital</w:t>
      </w:r>
      <w:r w:rsidR="00207F76" w:rsidRPr="00207F76">
        <w:t xml:space="preserve"> which have most currency in the fields of education and work.</w:t>
      </w:r>
      <w:r>
        <w:t xml:space="preserve"> </w:t>
      </w:r>
    </w:p>
    <w:p w:rsidR="00827B86" w:rsidRDefault="00827B86" w:rsidP="001B7F2F">
      <w:pPr>
        <w:spacing w:line="360" w:lineRule="auto"/>
        <w:rPr>
          <w:b/>
        </w:rPr>
      </w:pPr>
      <w:r>
        <w:rPr>
          <w:b/>
        </w:rPr>
        <w:t>Vocational Education: driving global economic growth and ameliorating social exclusion?</w:t>
      </w:r>
    </w:p>
    <w:p w:rsidR="00BC2FB6" w:rsidRDefault="00BC2FB6" w:rsidP="001B7F2F">
      <w:pPr>
        <w:spacing w:line="360" w:lineRule="auto"/>
      </w:pPr>
      <w:r w:rsidRPr="009C6DF1">
        <w:t xml:space="preserve">A key tenet of VET policy over decades and across governments of different ideologies has been </w:t>
      </w:r>
      <w:r w:rsidRPr="009C6DF1">
        <w:rPr>
          <w:iCs/>
          <w:color w:val="292526"/>
        </w:rPr>
        <w:t>the belief that social justice and a competitive economy can be the twin ends of the same means (DfES 2005</w:t>
      </w:r>
      <w:r w:rsidR="00DE2CE1">
        <w:rPr>
          <w:iCs/>
          <w:color w:val="292526"/>
        </w:rPr>
        <w:t>,</w:t>
      </w:r>
      <w:r w:rsidRPr="009C6DF1">
        <w:rPr>
          <w:iCs/>
          <w:color w:val="292526"/>
        </w:rPr>
        <w:t xml:space="preserve"> 10; 2006</w:t>
      </w:r>
      <w:r w:rsidR="00DE2CE1">
        <w:rPr>
          <w:iCs/>
          <w:color w:val="292526"/>
        </w:rPr>
        <w:t>,</w:t>
      </w:r>
      <w:r w:rsidRPr="009C6DF1">
        <w:rPr>
          <w:iCs/>
          <w:color w:val="292526"/>
        </w:rPr>
        <w:t xml:space="preserve"> 1; DfE, 2011</w:t>
      </w:r>
      <w:r w:rsidR="00DE2CE1">
        <w:rPr>
          <w:iCs/>
          <w:color w:val="292526"/>
        </w:rPr>
        <w:t xml:space="preserve">, </w:t>
      </w:r>
      <w:r w:rsidRPr="009C6DF1">
        <w:rPr>
          <w:iCs/>
          <w:color w:val="292526"/>
        </w:rPr>
        <w:t>1; see also DfE 2013</w:t>
      </w:r>
      <w:r w:rsidR="00DE2CE1">
        <w:rPr>
          <w:iCs/>
          <w:color w:val="292526"/>
        </w:rPr>
        <w:t>,</w:t>
      </w:r>
      <w:r w:rsidRPr="009C6DF1">
        <w:rPr>
          <w:iCs/>
          <w:color w:val="292526"/>
        </w:rPr>
        <w:t xml:space="preserve"> 26), despite arguments to the contrary (e.g see Avis 1996; 2007). Concerns about what may loosely be</w:t>
      </w:r>
      <w:r>
        <w:rPr>
          <w:iCs/>
          <w:color w:val="292526"/>
        </w:rPr>
        <w:t xml:space="preserve"> termed the ‘social outcomes of learning’ have received international prominence since, in 2005, OECD social policy ministers made a move from ‘remedial approaches’ to </w:t>
      </w:r>
      <w:r>
        <w:rPr>
          <w:color w:val="000000"/>
          <w:lang w:val="en-AU"/>
        </w:rPr>
        <w:t>'making work pay'</w:t>
      </w:r>
      <w:r w:rsidR="009B24E0">
        <w:rPr>
          <w:color w:val="000000"/>
          <w:lang w:val="en-AU"/>
        </w:rPr>
        <w:t xml:space="preserve"> leading</w:t>
      </w:r>
      <w:r>
        <w:rPr>
          <w:color w:val="000000"/>
          <w:lang w:val="en-AU"/>
        </w:rPr>
        <w:t xml:space="preserve"> to greater concern with learning experiences </w:t>
      </w:r>
      <w:r>
        <w:rPr>
          <w:color w:val="000000"/>
          <w:lang w:val="en-AU"/>
        </w:rPr>
        <w:lastRenderedPageBreak/>
        <w:t xml:space="preserve">which might </w:t>
      </w:r>
      <w:r w:rsidR="009B24E0">
        <w:rPr>
          <w:color w:val="000000"/>
          <w:lang w:val="en-AU"/>
        </w:rPr>
        <w:t xml:space="preserve">result in </w:t>
      </w:r>
      <w:r>
        <w:rPr>
          <w:color w:val="000000"/>
          <w:lang w:val="en-AU"/>
        </w:rPr>
        <w:t>integration in the labour market</w:t>
      </w:r>
      <w:proofErr w:type="gramStart"/>
      <w:r>
        <w:rPr>
          <w:color w:val="000000"/>
          <w:lang w:val="en-AU"/>
        </w:rPr>
        <w:t xml:space="preserve">, </w:t>
      </w:r>
      <w:r w:rsidR="009B24E0">
        <w:rPr>
          <w:color w:val="000000"/>
          <w:lang w:val="en-AU"/>
        </w:rPr>
        <w:t xml:space="preserve"> something</w:t>
      </w:r>
      <w:proofErr w:type="gramEnd"/>
      <w:r w:rsidR="009B24E0">
        <w:rPr>
          <w:color w:val="000000"/>
          <w:lang w:val="en-AU"/>
        </w:rPr>
        <w:t xml:space="preserve"> </w:t>
      </w:r>
      <w:r>
        <w:rPr>
          <w:color w:val="000000"/>
          <w:lang w:val="en-AU"/>
        </w:rPr>
        <w:t xml:space="preserve">also regarded as supporting the ‘traditional goal of social justice’ (Machin, 2006). More recently, global policy rhetoric </w:t>
      </w:r>
      <w:r w:rsidR="009B24E0">
        <w:rPr>
          <w:color w:val="000000"/>
          <w:lang w:val="en-AU"/>
        </w:rPr>
        <w:t>has conflated</w:t>
      </w:r>
      <w:r>
        <w:rPr>
          <w:color w:val="000000"/>
          <w:lang w:val="en-AU"/>
        </w:rPr>
        <w:t xml:space="preserve"> social cohesion with ‘skills’ and ‘good’ or ‘sustainable’ jobs (e.g. see OECD, 2014; DfE, 2013). However, this is  </w:t>
      </w:r>
      <w:r w:rsidRPr="004B601F">
        <w:t>inconsistent with UK research which has consistently found that much vocational education is more likely to lead to transient, low pay, low skill ‘bad’ quality jobs (</w:t>
      </w:r>
      <w:r w:rsidR="009B24E0">
        <w:t xml:space="preserve">e.g. </w:t>
      </w:r>
      <w:r w:rsidRPr="004B601F">
        <w:t>Keep and James, 2010; Keep and James, 2012; Atkins, 2010)</w:t>
      </w:r>
      <w:r>
        <w:t xml:space="preserve"> and lacks </w:t>
      </w:r>
      <w:r>
        <w:rPr>
          <w:color w:val="000000"/>
          <w:lang w:val="en-AU"/>
        </w:rPr>
        <w:t xml:space="preserve">clarity about </w:t>
      </w:r>
      <w:r w:rsidRPr="004B601F">
        <w:t>what might constitute either ‘sustainable’ or  ‘good</w:t>
      </w:r>
      <w:r>
        <w:t>’</w:t>
      </w:r>
      <w:r w:rsidRPr="004B601F">
        <w:t xml:space="preserve"> jobs. </w:t>
      </w:r>
    </w:p>
    <w:p w:rsidR="00BC2FB6" w:rsidRDefault="00BC2FB6" w:rsidP="001B7F2F">
      <w:pPr>
        <w:spacing w:line="360" w:lineRule="auto"/>
      </w:pPr>
      <w:r>
        <w:t xml:space="preserve">Despite acknowledging the need for better quality vocational education in order to address these issues, </w:t>
      </w:r>
      <w:r w:rsidR="009B24E0">
        <w:t xml:space="preserve">UK </w:t>
      </w:r>
      <w:r>
        <w:t>Coalition policy</w:t>
      </w:r>
      <w:r w:rsidR="009B24E0">
        <w:t xml:space="preserve"> (2010-2015)</w:t>
      </w:r>
      <w:r>
        <w:t xml:space="preserve"> was only partially successful. The</w:t>
      </w:r>
      <w:r w:rsidR="00D873F0">
        <w:t xml:space="preserve"> </w:t>
      </w:r>
      <w:r>
        <w:t xml:space="preserve">policy focus on higher level vocational education (Bathmaker, 2014) in response to the Wolf Review (2011) has failed to address the needs of those young people who are not equipped, in terms of credentials or personal skills, to enter higher level vocational programmes such as apprenticeships and who do not meet the criteria for the ‘supported internships’ (DfE, 2012) introduced to meet the needs of young people with special educational needs. The ‘gap’ between the two has recently been filled by ‘traineeships’ which include </w:t>
      </w:r>
      <w:r>
        <w:rPr>
          <w:rFonts w:ascii="Verdana" w:hAnsi="Verdana"/>
          <w:sz w:val="20"/>
          <w:szCs w:val="20"/>
        </w:rPr>
        <w:t>‘work preparation training’ (DfE, 2013</w:t>
      </w:r>
      <w:r w:rsidR="00DE2CE1">
        <w:rPr>
          <w:rFonts w:ascii="Verdana" w:hAnsi="Verdana"/>
          <w:sz w:val="20"/>
          <w:szCs w:val="20"/>
        </w:rPr>
        <w:t xml:space="preserve">, </w:t>
      </w:r>
      <w:r>
        <w:rPr>
          <w:rFonts w:ascii="Verdana" w:hAnsi="Verdana"/>
          <w:sz w:val="20"/>
          <w:szCs w:val="20"/>
        </w:rPr>
        <w:t>5</w:t>
      </w:r>
      <w:r w:rsidR="009B24E0">
        <w:rPr>
          <w:rFonts w:ascii="Verdana" w:hAnsi="Verdana"/>
          <w:sz w:val="20"/>
          <w:szCs w:val="20"/>
        </w:rPr>
        <w:t>)</w:t>
      </w:r>
      <w:r w:rsidRPr="009C6DF1">
        <w:rPr>
          <w:rFonts w:ascii="Verdana" w:hAnsi="Verdana"/>
          <w:sz w:val="20"/>
          <w:szCs w:val="20"/>
        </w:rPr>
        <w:t xml:space="preserve"> alongside ‘high quality’ work experience and functional skills, </w:t>
      </w:r>
      <w:r w:rsidR="009B24E0">
        <w:rPr>
          <w:rFonts w:ascii="Verdana" w:hAnsi="Verdana"/>
          <w:sz w:val="20"/>
          <w:szCs w:val="20"/>
        </w:rPr>
        <w:t xml:space="preserve">for </w:t>
      </w:r>
      <w:r w:rsidRPr="009C6DF1">
        <w:rPr>
          <w:rFonts w:ascii="Verdana" w:hAnsi="Verdana"/>
          <w:sz w:val="20"/>
          <w:szCs w:val="20"/>
        </w:rPr>
        <w:t>a period of not more than six months</w:t>
      </w:r>
      <w:r>
        <w:rPr>
          <w:rFonts w:ascii="Verdana" w:hAnsi="Verdana"/>
          <w:sz w:val="20"/>
          <w:szCs w:val="20"/>
        </w:rPr>
        <w:t>.</w:t>
      </w:r>
      <w:r w:rsidRPr="009C6DF1">
        <w:rPr>
          <w:rFonts w:ascii="Verdana" w:hAnsi="Verdana"/>
          <w:sz w:val="20"/>
          <w:szCs w:val="20"/>
        </w:rPr>
        <w:t xml:space="preserve"> </w:t>
      </w:r>
      <w:r w:rsidRPr="00AA1E96">
        <w:rPr>
          <w:rFonts w:ascii="Verdana" w:hAnsi="Verdana"/>
          <w:sz w:val="20"/>
          <w:szCs w:val="20"/>
          <w:shd w:val="clear" w:color="auto" w:fill="FFFFFF"/>
        </w:rPr>
        <w:t xml:space="preserve">Whilst there are valid arguments, such as those put forward by Wolf </w:t>
      </w:r>
      <w:r w:rsidRPr="00A6370F">
        <w:rPr>
          <w:rFonts w:ascii="Verdana" w:hAnsi="Verdana"/>
          <w:sz w:val="20"/>
          <w:szCs w:val="20"/>
          <w:shd w:val="clear" w:color="auto" w:fill="FFFFFF"/>
        </w:rPr>
        <w:t>(2011</w:t>
      </w:r>
      <w:r w:rsidR="00DE2CE1">
        <w:rPr>
          <w:rFonts w:ascii="Verdana" w:hAnsi="Verdana"/>
          <w:sz w:val="20"/>
          <w:szCs w:val="20"/>
          <w:shd w:val="clear" w:color="auto" w:fill="FFFFFF"/>
        </w:rPr>
        <w:t>,</w:t>
      </w:r>
      <w:r w:rsidR="00A5483C">
        <w:rPr>
          <w:rFonts w:ascii="Verdana" w:hAnsi="Verdana"/>
          <w:sz w:val="20"/>
          <w:szCs w:val="20"/>
          <w:shd w:val="clear" w:color="auto" w:fill="FFFFFF"/>
        </w:rPr>
        <w:t xml:space="preserve"> </w:t>
      </w:r>
      <w:r w:rsidRPr="00A6370F">
        <w:rPr>
          <w:rFonts w:ascii="Verdana" w:hAnsi="Verdana"/>
          <w:sz w:val="20"/>
          <w:szCs w:val="20"/>
          <w:shd w:val="clear" w:color="auto" w:fill="FFFFFF"/>
        </w:rPr>
        <w:t>53</w:t>
      </w:r>
      <w:r w:rsidR="009B24E0">
        <w:rPr>
          <w:rFonts w:ascii="Verdana" w:hAnsi="Verdana"/>
          <w:sz w:val="20"/>
          <w:szCs w:val="20"/>
          <w:shd w:val="clear" w:color="auto" w:fill="FFFFFF"/>
        </w:rPr>
        <w:t>)</w:t>
      </w:r>
      <w:r w:rsidRPr="00AA1E96">
        <w:rPr>
          <w:rFonts w:ascii="Verdana" w:hAnsi="Verdana"/>
          <w:sz w:val="20"/>
          <w:szCs w:val="20"/>
          <w:shd w:val="clear" w:color="auto" w:fill="FFFFFF"/>
        </w:rPr>
        <w:t xml:space="preserve"> that high quality work experience make</w:t>
      </w:r>
      <w:r w:rsidR="00D873F0">
        <w:rPr>
          <w:rFonts w:ascii="Verdana" w:hAnsi="Verdana"/>
          <w:sz w:val="20"/>
          <w:szCs w:val="20"/>
          <w:shd w:val="clear" w:color="auto" w:fill="FFFFFF"/>
        </w:rPr>
        <w:t>s</w:t>
      </w:r>
      <w:r w:rsidRPr="00AA1E96">
        <w:rPr>
          <w:rFonts w:ascii="Verdana" w:hAnsi="Verdana"/>
          <w:sz w:val="20"/>
          <w:szCs w:val="20"/>
          <w:shd w:val="clear" w:color="auto" w:fill="FFFFFF"/>
        </w:rPr>
        <w:t xml:space="preserve"> a young person more likely to gain employment it is also true to say that, during an extended global recession, and given </w:t>
      </w:r>
      <w:r w:rsidR="009B24E0">
        <w:rPr>
          <w:rFonts w:ascii="Verdana" w:hAnsi="Verdana"/>
          <w:sz w:val="20"/>
          <w:szCs w:val="20"/>
          <w:shd w:val="clear" w:color="auto" w:fill="FFFFFF"/>
        </w:rPr>
        <w:t xml:space="preserve">structural </w:t>
      </w:r>
      <w:r w:rsidRPr="00AA1E96">
        <w:rPr>
          <w:rFonts w:ascii="Verdana" w:hAnsi="Verdana"/>
          <w:sz w:val="20"/>
          <w:szCs w:val="20"/>
          <w:shd w:val="clear" w:color="auto" w:fill="FFFFFF"/>
        </w:rPr>
        <w:t>changes in the labour market discussed by MacDonald and Marsh (2005),  for many young people this type of work experience will merely form a phase in an ongoing ‘churn’ as they move between different forms of engagement with employment, education and  welfare agencies. Further, t</w:t>
      </w:r>
      <w:r>
        <w:rPr>
          <w:rFonts w:ascii="Verdana" w:hAnsi="Verdana"/>
          <w:sz w:val="20"/>
          <w:szCs w:val="20"/>
        </w:rPr>
        <w:t xml:space="preserve">he narrow range of eligibility for traineeships excludes many young people leaving them with </w:t>
      </w:r>
      <w:r w:rsidRPr="00FE3CF9">
        <w:t xml:space="preserve">only the option of undertaking low status broad vocational qualifications such as that David was enrolled on. Given the limited jobs in the youth labour market, the low value and low status of </w:t>
      </w:r>
      <w:r w:rsidR="00D873F0">
        <w:t xml:space="preserve"> such </w:t>
      </w:r>
      <w:r w:rsidRPr="00FE3CF9">
        <w:t>programme</w:t>
      </w:r>
      <w:r w:rsidR="00D873F0">
        <w:t>s</w:t>
      </w:r>
      <w:r w:rsidRPr="00FE3CF9">
        <w:t xml:space="preserve">, and the significant funding cuts in FE  - the impact of which are not yet fully realised - this implies that a consequence of this policy approach is that  those young people in the most challenging circumstances with the most limited social and economic capital will </w:t>
      </w:r>
      <w:r>
        <w:t xml:space="preserve">continue to </w:t>
      </w:r>
      <w:r w:rsidRPr="00FE3CF9">
        <w:t xml:space="preserve">be disproportionately constrained in both the education and labour markets as they seek to navigate </w:t>
      </w:r>
      <w:r w:rsidRPr="001E6C6B">
        <w:t xml:space="preserve">productive transitions from school to work.  </w:t>
      </w:r>
    </w:p>
    <w:p w:rsidR="00827B86" w:rsidRDefault="00D873F0" w:rsidP="001B7F2F">
      <w:pPr>
        <w:spacing w:line="360" w:lineRule="auto"/>
      </w:pPr>
      <w:r>
        <w:t>Such n</w:t>
      </w:r>
      <w:r w:rsidR="00827B86" w:rsidRPr="004B601F">
        <w:t xml:space="preserve">eoliberal economic (and lifelong learning) </w:t>
      </w:r>
      <w:r w:rsidR="00827B86" w:rsidRPr="00D873F0">
        <w:t>policies also articulate</w:t>
      </w:r>
      <w:r w:rsidR="00827B86" w:rsidRPr="004B601F">
        <w:t xml:space="preserve"> two dissonant models of youth </w:t>
      </w:r>
      <w:r>
        <w:t>(</w:t>
      </w:r>
      <w:r w:rsidRPr="004B601F">
        <w:t xml:space="preserve">Billet </w:t>
      </w:r>
      <w:r w:rsidRPr="004B601F">
        <w:rPr>
          <w:i/>
        </w:rPr>
        <w:t>et al</w:t>
      </w:r>
      <w:r>
        <w:t xml:space="preserve">, 2010): </w:t>
      </w:r>
      <w:r w:rsidR="00827B86" w:rsidRPr="004B601F">
        <w:t>as a problem and as a resource. Both objectify youth and define them as homogenised ‘other’ failing</w:t>
      </w:r>
      <w:r w:rsidR="00827B86">
        <w:t xml:space="preserve"> to acknowledge individual selves and lives. The deficit model perceives youth – and, implicitly, working class youth -  as a problem to be solved, a characterisation first </w:t>
      </w:r>
      <w:r w:rsidR="00827B86">
        <w:lastRenderedPageBreak/>
        <w:t>noted over three decades ago (Clarke and Willis, 1984</w:t>
      </w:r>
      <w:r w:rsidR="00DE2CE1">
        <w:t>,</w:t>
      </w:r>
      <w:r w:rsidR="00827B86">
        <w:t xml:space="preserve"> 1), and forming a stark contrast to an alternative ‘utilitarian’ (Ball </w:t>
      </w:r>
      <w:r w:rsidR="00827B86">
        <w:rPr>
          <w:i/>
        </w:rPr>
        <w:t>et al</w:t>
      </w:r>
      <w:r w:rsidR="00827B86">
        <w:t>, 2000</w:t>
      </w:r>
      <w:r w:rsidR="00DE2CE1">
        <w:t>,</w:t>
      </w:r>
      <w:r w:rsidR="00A5483C">
        <w:t xml:space="preserve"> </w:t>
      </w:r>
      <w:r w:rsidR="00827B86">
        <w:t>146</w:t>
      </w:r>
      <w:r w:rsidR="00827B86">
        <w:rPr>
          <w:rFonts w:ascii="Verdana" w:hAnsi="Verdana"/>
        </w:rPr>
        <w:t xml:space="preserve">) </w:t>
      </w:r>
      <w:r w:rsidR="00827B86">
        <w:t xml:space="preserve">conceptualisation of youth as a resource or form of human capital. Freddie and David might be regarded as personifying these characterizations – David in a deficit model of </w:t>
      </w:r>
      <w:proofErr w:type="gramStart"/>
      <w:r w:rsidR="00827B86">
        <w:t>unemployed</w:t>
      </w:r>
      <w:r w:rsidR="00A5483C">
        <w:t xml:space="preserve"> </w:t>
      </w:r>
      <w:r w:rsidR="00827B86">
        <w:t xml:space="preserve"> low</w:t>
      </w:r>
      <w:proofErr w:type="gramEnd"/>
      <w:r w:rsidR="00827B86">
        <w:t xml:space="preserve"> attaining youth on a low level VET programme, and Freddie as preparing to enter HE and later embrace the knowledge economy in a skilled and professional career.  Lifelong learning policy rhetoric, particularly in the UK, attempts to bring the two into alignment, by providing ‘opportunities’ for problematic youth, which, it is argued, will enable them to access the high pay, high skill economy, thus becoming re-conceptualised as youth as human capital. </w:t>
      </w:r>
      <w:r w:rsidR="00CA0E02">
        <w:t xml:space="preserve">These </w:t>
      </w:r>
      <w:r w:rsidR="00827B86">
        <w:t>discourse</w:t>
      </w:r>
      <w:r w:rsidR="00CA0E02">
        <w:t>s are</w:t>
      </w:r>
      <w:r w:rsidR="00827B86">
        <w:t xml:space="preserve"> consistent with global policy rhetoric</w:t>
      </w:r>
      <w:r w:rsidR="009F03B4">
        <w:t xml:space="preserve"> </w:t>
      </w:r>
      <w:proofErr w:type="gramStart"/>
      <w:r w:rsidR="009F03B4">
        <w:t xml:space="preserve">promoting </w:t>
      </w:r>
      <w:r w:rsidR="00827B86">
        <w:t xml:space="preserve"> ‘the</w:t>
      </w:r>
      <w:proofErr w:type="gramEnd"/>
      <w:r w:rsidR="00827B86">
        <w:t xml:space="preserve"> need for young people to engage actively in and manage their own learning’</w:t>
      </w:r>
      <w:r w:rsidR="009F03B4">
        <w:t xml:space="preserve"> (Billet </w:t>
      </w:r>
      <w:r w:rsidR="009F03B4">
        <w:rPr>
          <w:i/>
        </w:rPr>
        <w:t>et al</w:t>
      </w:r>
      <w:r w:rsidR="009F03B4">
        <w:t>, 2010, citing  Evans (2002) and Stokes and Wyn (2007))</w:t>
      </w:r>
      <w:r w:rsidR="00827B86">
        <w:t xml:space="preserve">. This would seem to imply a parallel need to ‘engage actively in’ and negotiate their own transitions, irrespective of how problematic these might be, and irrespective of the limitations on the ‘opportunities’ available to individual young people such as David. </w:t>
      </w:r>
    </w:p>
    <w:p w:rsidR="00827B86" w:rsidRDefault="00827B86" w:rsidP="001B7F2F">
      <w:pPr>
        <w:spacing w:line="360" w:lineRule="auto"/>
      </w:pPr>
      <w:r>
        <w:t>The perception that young people can all effectively manage their transitions assumes that all have similar access to high levels of cultural capital, and maximum potential for agency as well as the ‘dispositions, subjectivities and attitudes that are associated with the capacity to be good navigators through new economies’</w:t>
      </w:r>
      <w:r>
        <w:rPr>
          <w:color w:val="0070C0"/>
        </w:rPr>
        <w:t xml:space="preserve"> </w:t>
      </w:r>
      <w:r>
        <w:t>(Wyn, 2005</w:t>
      </w:r>
      <w:r w:rsidR="00DE2CE1">
        <w:t xml:space="preserve">, </w:t>
      </w:r>
      <w:r>
        <w:t xml:space="preserve">218). It also assumes </w:t>
      </w:r>
      <w:r>
        <w:rPr>
          <w:rFonts w:eastAsia="Times New Roman"/>
          <w:lang w:eastAsia="en-GB"/>
        </w:rPr>
        <w:t xml:space="preserve">that young people follow ‘ladder-like’ (Hodkinson </w:t>
      </w:r>
      <w:r>
        <w:rPr>
          <w:rFonts w:eastAsia="Times New Roman"/>
          <w:i/>
          <w:lang w:eastAsia="en-GB"/>
        </w:rPr>
        <w:t>et al</w:t>
      </w:r>
      <w:r>
        <w:rPr>
          <w:rFonts w:eastAsia="Times New Roman"/>
          <w:lang w:eastAsia="en-GB"/>
        </w:rPr>
        <w:t xml:space="preserve">, 1996), planned trajectories, and there is an absence of consideration of those transitions which are variously extended, fractured, difficult, troubled and/or precarious. As well as ‘othering’ and homogenising certain (working class) groups of young people, the deficit model of youth holds them personally responsible for their failure to participate in a neo-liberal knowledge economy (e.g. see Clarke and Willis, 1984; Billet </w:t>
      </w:r>
      <w:r>
        <w:rPr>
          <w:rFonts w:eastAsia="Times New Roman"/>
          <w:i/>
          <w:lang w:eastAsia="en-GB"/>
        </w:rPr>
        <w:t>et al</w:t>
      </w:r>
      <w:r>
        <w:rPr>
          <w:rFonts w:eastAsia="Times New Roman"/>
          <w:lang w:eastAsia="en-GB"/>
        </w:rPr>
        <w:t xml:space="preserve"> 2010; Atkins, 2009) and applies particular characterizations to them, such as disengaged and disaffected, which, as well as being disproportionately applied to ‘the poor and ethnic minorities, confers an inferior status on those [so] labelled, viewing them as being morally inferior’ (Apple</w:t>
      </w:r>
      <w:r w:rsidR="00D873F0">
        <w:rPr>
          <w:rFonts w:eastAsia="Times New Roman"/>
          <w:lang w:eastAsia="en-GB"/>
        </w:rPr>
        <w:t>, 2013</w:t>
      </w:r>
      <w:r w:rsidR="00DE2CE1">
        <w:rPr>
          <w:rFonts w:eastAsia="Times New Roman"/>
          <w:lang w:eastAsia="en-GB"/>
        </w:rPr>
        <w:t>,</w:t>
      </w:r>
      <w:r w:rsidR="00D873F0">
        <w:rPr>
          <w:rFonts w:eastAsia="Times New Roman"/>
          <w:lang w:eastAsia="en-GB"/>
        </w:rPr>
        <w:t xml:space="preserve"> 50/51) thus problematising</w:t>
      </w:r>
      <w:r>
        <w:rPr>
          <w:rFonts w:eastAsia="Times New Roman"/>
          <w:lang w:eastAsia="en-GB"/>
        </w:rPr>
        <w:t xml:space="preserve"> the individual and not the system. The unchanging </w:t>
      </w:r>
      <w:r w:rsidR="009F03B4">
        <w:rPr>
          <w:rFonts w:eastAsia="Times New Roman"/>
          <w:lang w:eastAsia="en-GB"/>
        </w:rPr>
        <w:t xml:space="preserve">tenor </w:t>
      </w:r>
      <w:r>
        <w:rPr>
          <w:rFonts w:eastAsia="Times New Roman"/>
          <w:lang w:eastAsia="en-GB"/>
        </w:rPr>
        <w:t xml:space="preserve">of policy discourse over time, not to mention the failure of governments to secure social justice and a high functioning economy </w:t>
      </w:r>
      <w:r>
        <w:t xml:space="preserve">would seem to suggest that youth is either a problem beyond the resources of generations of policymakers, or that the self-same policy makers are suffering from a global failure of ‘policy memory’ (Higham and Yeomans, 2007) </w:t>
      </w:r>
      <w:r w:rsidRPr="00D873F0">
        <w:t>at the highest levels or possibly seeking to divert attention from any critical consideration of a VET system which obscures the existence of systemic and structural hegemonies confining young people to an allotted place in life, constraining their individual agency and replicating social class and other social inequities.</w:t>
      </w:r>
      <w:r w:rsidR="00A9022C">
        <w:t xml:space="preserve">                                                                                                                                                                                                                                                                                                                                                                                                                                                                                                                                                                                                                                                                                                                                                                                                                                                                                                                                                                                                                                                                                                                                                                                                                                                                                                                                                                                                                                                                                                                                                                                                                                                                                                                                                                                                                                                                                                                                                                                                                </w:t>
      </w:r>
    </w:p>
    <w:p w:rsidR="00827B86" w:rsidRDefault="00827B86" w:rsidP="001B7F2F">
      <w:pPr>
        <w:spacing w:line="360" w:lineRule="auto"/>
        <w:rPr>
          <w:b/>
        </w:rPr>
      </w:pPr>
      <w:r>
        <w:rPr>
          <w:b/>
        </w:rPr>
        <w:lastRenderedPageBreak/>
        <w:t>Troubling Transitions in Troubled Times</w:t>
      </w:r>
    </w:p>
    <w:p w:rsidR="00827B86" w:rsidRDefault="00827B86" w:rsidP="001B7F2F">
      <w:pPr>
        <w:spacing w:line="360" w:lineRule="auto"/>
      </w:pPr>
      <w:r>
        <w:t xml:space="preserve">It is apparent that the two young men profiled in this paper both experienced transitions which were, to different extents, uncertain, troubled and troubling. Freddie was waiting to hear if his application for a single programme at a single university had been successful. If so, he was destined for an </w:t>
      </w:r>
      <w:proofErr w:type="gramStart"/>
      <w:r>
        <w:t xml:space="preserve">extended </w:t>
      </w:r>
      <w:r w:rsidR="00446615">
        <w:t xml:space="preserve"> </w:t>
      </w:r>
      <w:r>
        <w:t>transition</w:t>
      </w:r>
      <w:proofErr w:type="gramEnd"/>
      <w:r>
        <w:t>, including a foundation year at University (</w:t>
      </w:r>
      <w:r w:rsidR="00376FFC">
        <w:t xml:space="preserve">meaning that, including </w:t>
      </w:r>
      <w:r>
        <w:t xml:space="preserve">a ‘year in industry’, </w:t>
      </w:r>
      <w:r w:rsidR="00376FFC">
        <w:t xml:space="preserve">it would take him </w:t>
      </w:r>
      <w:r>
        <w:t xml:space="preserve">five years to achieve a Bachelor’s Degree). If not, his </w:t>
      </w:r>
      <w:r w:rsidR="00707F00">
        <w:t xml:space="preserve">horizons </w:t>
      </w:r>
      <w:r>
        <w:t>would become much more limited. David</w:t>
      </w:r>
      <w:r w:rsidR="00376FFC">
        <w:t xml:space="preserve">’s already </w:t>
      </w:r>
      <w:r>
        <w:t xml:space="preserve">fractured transition promised to become extended as he committed </w:t>
      </w:r>
      <w:r w:rsidR="00707F00">
        <w:t xml:space="preserve">himself to 3 years of study in </w:t>
      </w:r>
      <w:r w:rsidR="00272EFE">
        <w:t>FE</w:t>
      </w:r>
      <w:r>
        <w:t xml:space="preserve"> in the hope that this would confer skills he could exchange in the labour market. Both transitions were also precarious. Both young men depended on financial capital generated by themselves or their families in order to facilitate their educational pathways, and on the availability of appropriate externally located opportunities in the labour market at the end of that transition. There were, however, significant differences between the two in terms of their decision making processes and capacity, concepts of career and broader transitions from school to work, which appeared to bear a relationship to their social class </w:t>
      </w:r>
      <w:r w:rsidRPr="00E95433">
        <w:t xml:space="preserve">positioning </w:t>
      </w:r>
      <w:r w:rsidR="009676E1">
        <w:t xml:space="preserve">which endows them with particular volumes and structure of cultural capital (Bourdieu and Wacquant, 1992, 108-9) which may, or may not, be valorised in education. </w:t>
      </w:r>
      <w:r w:rsidR="00E039D8">
        <w:t>In addition, this positioning appeared to bear a relationship to the extent to which each young man’s decision making had been influenced by the serendipitous events he had encountered during his transition.</w:t>
      </w:r>
    </w:p>
    <w:p w:rsidR="00827B86" w:rsidRDefault="00827B86" w:rsidP="001B7F2F">
      <w:pPr>
        <w:spacing w:line="360" w:lineRule="auto"/>
      </w:pPr>
      <w:r>
        <w:t xml:space="preserve">Hodkinson (2008) has </w:t>
      </w:r>
      <w:r w:rsidR="00E039D8">
        <w:t xml:space="preserve">argued </w:t>
      </w:r>
      <w:r>
        <w:t>that a weakness of some transition studies is the focus on working class youth and suggests that</w:t>
      </w:r>
      <w:r w:rsidR="00E039D8">
        <w:t xml:space="preserve"> the</w:t>
      </w:r>
      <w:r>
        <w:t xml:space="preserve"> impact of relations between forces in the field may be very different for middle class students. Freddie and David’s stories </w:t>
      </w:r>
      <w:r w:rsidR="00E039D8">
        <w:t xml:space="preserve">imply </w:t>
      </w:r>
      <w:r>
        <w:t xml:space="preserve">that although all trajectories are complex, those that most nearly match the straightforward and ‘ladder-like’ policy concept are likely to be those of young people with </w:t>
      </w:r>
      <w:r w:rsidR="00E95433">
        <w:t xml:space="preserve">greater </w:t>
      </w:r>
      <w:r>
        <w:t xml:space="preserve">access to </w:t>
      </w:r>
      <w:r w:rsidR="009F03B4">
        <w:t>valorise</w:t>
      </w:r>
      <w:r w:rsidR="00E95433">
        <w:t xml:space="preserve">d </w:t>
      </w:r>
      <w:r>
        <w:t>cultural capital</w:t>
      </w:r>
      <w:r w:rsidR="00E95433">
        <w:t>s</w:t>
      </w:r>
      <w:r>
        <w:t xml:space="preserve">. These young people, like Freddie, may, however, have their potential for agency constrained in other ways, by familial expectations of particular educational pathways and careers, and it is possible that those constraints are more significant amongst certain class fractions. This is an area which warrants further exploration. David’s story, again consistent with Hodkinson’s research, implies that more marginalised young people are at greater mercy of </w:t>
      </w:r>
      <w:r w:rsidR="00CF713A">
        <w:t>serendipity</w:t>
      </w:r>
      <w:r w:rsidR="00A9022C">
        <w:t xml:space="preserve"> </w:t>
      </w:r>
      <w:r>
        <w:t xml:space="preserve">and less likely to make the successful transitions they aspire to in terms of </w:t>
      </w:r>
      <w:r>
        <w:rPr>
          <w:i/>
          <w:iCs/>
        </w:rPr>
        <w:t>‘a job [that you do] for the rest of your life’</w:t>
      </w:r>
      <w:r>
        <w:t xml:space="preserve"> .</w:t>
      </w:r>
    </w:p>
    <w:p w:rsidR="00A24C92" w:rsidRPr="009A1C32" w:rsidRDefault="00827B86" w:rsidP="001B7F2F">
      <w:pPr>
        <w:spacing w:line="360" w:lineRule="auto"/>
      </w:pPr>
      <w:r w:rsidRPr="009A1C32">
        <w:t xml:space="preserve">Policies, and the rhetoric and discourse </w:t>
      </w:r>
      <w:r w:rsidR="009F03B4" w:rsidRPr="009A1C32">
        <w:t>emanating</w:t>
      </w:r>
      <w:r w:rsidRPr="009A1C32">
        <w:t xml:space="preserve"> from policy, direct young people into particular forms of education </w:t>
      </w:r>
      <w:r w:rsidR="009A1C32" w:rsidRPr="009A1C32">
        <w:t>mediating  and influencing</w:t>
      </w:r>
      <w:r w:rsidRPr="009A1C32">
        <w:t xml:space="preserve"> decision making in that decisions are justified and rationalised in the context of discourses around achievement and attainment. These discourses of justification are grou</w:t>
      </w:r>
      <w:r w:rsidR="009F03B4" w:rsidRPr="009A1C32">
        <w:t xml:space="preserve">nded in an ideologically based, neo-liberal </w:t>
      </w:r>
      <w:r w:rsidRPr="009A1C32">
        <w:t xml:space="preserve">rhetoric in which is embedded ‘an </w:t>
      </w:r>
      <w:r w:rsidRPr="009A1C32">
        <w:lastRenderedPageBreak/>
        <w:t>ethic of individual achievement based supposedly on merit’ (Apple, 2013</w:t>
      </w:r>
      <w:r w:rsidR="00DE2CE1" w:rsidRPr="009A1C32">
        <w:t xml:space="preserve">, </w:t>
      </w:r>
      <w:r w:rsidRPr="009A1C32">
        <w:t xml:space="preserve">32) and driven by perceived economic imperatives. These are discourses from which consideration of the implications of influence of field and habitus are absent, which privilege particular forms of academic achievement and make explicit and implicit assumptions about those young people whose educational pathway or credentials might be described as ‘practical’ or ‘vocational’. </w:t>
      </w:r>
      <w:r w:rsidR="00A24C92" w:rsidRPr="009A1C32">
        <w:t xml:space="preserve"> Such </w:t>
      </w:r>
      <w:r w:rsidRPr="009A1C32">
        <w:t>assumptions are based on a perception that certain young people, implicitly working class young people, are ‘suited’ t</w:t>
      </w:r>
      <w:r w:rsidR="00CA0E02" w:rsidRPr="009A1C32">
        <w:t xml:space="preserve">o different forms of curriculum which remain </w:t>
      </w:r>
      <w:r w:rsidRPr="009A1C32">
        <w:t xml:space="preserve"> ‘divided and divisive’ (Tomlinson, 1997</w:t>
      </w:r>
      <w:r w:rsidR="00DE2CE1" w:rsidRPr="009A1C32">
        <w:t>,</w:t>
      </w:r>
      <w:r w:rsidRPr="009A1C32">
        <w:t xml:space="preserve"> 1)</w:t>
      </w:r>
      <w:r w:rsidR="00CA0E02" w:rsidRPr="009A1C32">
        <w:t>, providing</w:t>
      </w:r>
      <w:r w:rsidRPr="009A1C32">
        <w:t xml:space="preserve"> </w:t>
      </w:r>
      <w:r w:rsidR="00A24C92" w:rsidRPr="009A1C32">
        <w:t xml:space="preserve">disparate </w:t>
      </w:r>
      <w:r w:rsidR="009F03B4" w:rsidRPr="009A1C32">
        <w:t xml:space="preserve">and differently valued </w:t>
      </w:r>
      <w:r w:rsidRPr="009A1C32">
        <w:t>pathways to different types of labour and</w:t>
      </w:r>
      <w:r w:rsidR="00A24C92" w:rsidRPr="009A1C32">
        <w:t xml:space="preserve"> unequal </w:t>
      </w:r>
      <w:r w:rsidRPr="009A1C32">
        <w:t xml:space="preserve"> life chances</w:t>
      </w:r>
      <w:r w:rsidR="00A24C92" w:rsidRPr="009A1C32">
        <w:t>.</w:t>
      </w:r>
      <w:r w:rsidR="00CA0E02" w:rsidRPr="009A1C32">
        <w:t xml:space="preserve"> </w:t>
      </w:r>
      <w:r w:rsidRPr="009A1C32">
        <w:t xml:space="preserve"> </w:t>
      </w:r>
    </w:p>
    <w:p w:rsidR="00A24C92" w:rsidRPr="009A1C32" w:rsidRDefault="00A24C92" w:rsidP="001B7F2F">
      <w:pPr>
        <w:spacing w:line="360" w:lineRule="auto"/>
      </w:pPr>
      <w:r w:rsidRPr="009A1C32">
        <w:t>Vocational education continues to be held in low esteem in England</w:t>
      </w:r>
      <w:proofErr w:type="gramStart"/>
      <w:r w:rsidRPr="009A1C32">
        <w:t>,  and</w:t>
      </w:r>
      <w:proofErr w:type="gramEnd"/>
      <w:r w:rsidRPr="009A1C32">
        <w:t>, at the lowest levels, fails to articulate with work entry</w:t>
      </w:r>
      <w:r w:rsidR="00486B83" w:rsidRPr="009A1C32">
        <w:t xml:space="preserve"> (Keep, 2014)</w:t>
      </w:r>
      <w:r w:rsidRPr="009A1C32">
        <w:t xml:space="preserve">. </w:t>
      </w:r>
      <w:r w:rsidR="00A9022C" w:rsidRPr="009A1C32">
        <w:t xml:space="preserve">Despite the recent </w:t>
      </w:r>
      <w:r w:rsidR="00827B86" w:rsidRPr="009A1C32">
        <w:t>policy focus on Higher Level Vocational Education in the UK, issues remain about the relative esteem of different pathways into HE, the familiarity – or not – of admissions tutors with vocational qualifications, the hierarchy between different types of university and ‘HE in FE’, and the preparedness of young people who have accessed HE via a vocational route, all of which have potential implications for a young man like Freddie, seeking to enter higher education from an FE context (see Pring et al, 2009</w:t>
      </w:r>
      <w:r w:rsidR="00DE2CE1" w:rsidRPr="009A1C32">
        <w:t>,</w:t>
      </w:r>
      <w:r w:rsidR="00A5483C" w:rsidRPr="009A1C32">
        <w:t xml:space="preserve"> </w:t>
      </w:r>
      <w:r w:rsidR="00827B86" w:rsidRPr="009A1C32">
        <w:t>149/167 for an extended discussion). For young people like David, the possibilities remain limited to low value VET with minimal exchange value in the educational and labour market places</w:t>
      </w:r>
      <w:r w:rsidR="000C10E7" w:rsidRPr="009A1C32">
        <w:t xml:space="preserve">. The likelihood of the government addressing that in terms of changed (and possibly more honest) rhetoric or different curricula approaches (see Atkins, 2009; 2010; 2013) which </w:t>
      </w:r>
      <w:r w:rsidR="005E0AC4" w:rsidRPr="009A1C32">
        <w:t xml:space="preserve">might add ‘other cultural capital to </w:t>
      </w:r>
      <w:r w:rsidR="00867D0D" w:rsidRPr="009A1C32">
        <w:t xml:space="preserve">[young people’s] </w:t>
      </w:r>
      <w:r w:rsidR="005E0AC4" w:rsidRPr="009A1C32">
        <w:t xml:space="preserve">repertoires’ (Mills, 2008, 85, citing Delpit, 1992), </w:t>
      </w:r>
      <w:r w:rsidR="00867D0D" w:rsidRPr="009A1C32">
        <w:t xml:space="preserve">and </w:t>
      </w:r>
      <w:r w:rsidR="005E0AC4" w:rsidRPr="009A1C32">
        <w:t xml:space="preserve">‘legitimate locally produced knowledge’ Ibid, 84) rather </w:t>
      </w:r>
      <w:r w:rsidR="000C10E7" w:rsidRPr="009A1C32">
        <w:t>than the atomised and ‘profane’ (Marx, 1843/2012</w:t>
      </w:r>
      <w:r w:rsidR="00486B83" w:rsidRPr="009A1C32">
        <w:t>) knowledge</w:t>
      </w:r>
      <w:r w:rsidR="000C10E7" w:rsidRPr="009A1C32">
        <w:t xml:space="preserve"> associated with VET</w:t>
      </w:r>
      <w:r w:rsidR="005E0AC4" w:rsidRPr="009A1C32">
        <w:t xml:space="preserve"> seems remote. </w:t>
      </w:r>
    </w:p>
    <w:p w:rsidR="00827B86" w:rsidRDefault="00827B86" w:rsidP="001B7F2F">
      <w:pPr>
        <w:spacing w:line="360" w:lineRule="auto"/>
        <w:rPr>
          <w:b/>
        </w:rPr>
      </w:pPr>
      <w:r>
        <w:rPr>
          <w:b/>
        </w:rPr>
        <w:t>Concluding Remarks</w:t>
      </w:r>
    </w:p>
    <w:p w:rsidR="00827B86" w:rsidRDefault="00827B86" w:rsidP="001B7F2F">
      <w:pPr>
        <w:spacing w:line="360" w:lineRule="auto"/>
      </w:pPr>
      <w:r>
        <w:t xml:space="preserve">David and Freddie both navigated a process of decision making fraught with uncertainties, and it was evident that for David, in common with the most marginalised young people in the wider study, ‘career decisions [were more] unstable or transitory in nature and [less] predictable’ (Ball </w:t>
      </w:r>
      <w:r>
        <w:rPr>
          <w:i/>
        </w:rPr>
        <w:t>et al</w:t>
      </w:r>
      <w:r>
        <w:t xml:space="preserve"> 2000</w:t>
      </w:r>
      <w:r w:rsidR="00DE2CE1">
        <w:t xml:space="preserve">, </w:t>
      </w:r>
      <w:r>
        <w:t xml:space="preserve">15) than those of </w:t>
      </w:r>
      <w:r w:rsidR="00415D76">
        <w:t xml:space="preserve">more advantaged </w:t>
      </w:r>
      <w:r>
        <w:t xml:space="preserve">peers such as Freddie, </w:t>
      </w:r>
      <w:r w:rsidRPr="00E95433">
        <w:t>who</w:t>
      </w:r>
      <w:r w:rsidR="00E95433" w:rsidRPr="00E95433">
        <w:t xml:space="preserve"> was better able to utilise the</w:t>
      </w:r>
      <w:r w:rsidR="00BD39E3">
        <w:t xml:space="preserve"> greater volume of</w:t>
      </w:r>
      <w:r w:rsidR="00E95433" w:rsidRPr="00E95433">
        <w:t xml:space="preserve"> cultural capital at his disposal</w:t>
      </w:r>
      <w:r w:rsidRPr="00E95433">
        <w:t>.</w:t>
      </w:r>
      <w:r>
        <w:t xml:space="preserve"> This may, in part, be reflected in the fact that despite a majority of the young people who participated in the study </w:t>
      </w:r>
      <w:r w:rsidR="00A24C92">
        <w:t xml:space="preserve">being </w:t>
      </w:r>
      <w:r>
        <w:t>aware of the national careers guidance services, and that most</w:t>
      </w:r>
      <w:r w:rsidR="00A24C92">
        <w:t xml:space="preserve"> </w:t>
      </w:r>
      <w:proofErr w:type="gramStart"/>
      <w:r w:rsidR="00A24C92">
        <w:t xml:space="preserve">having </w:t>
      </w:r>
      <w:r>
        <w:t xml:space="preserve"> had</w:t>
      </w:r>
      <w:proofErr w:type="gramEnd"/>
      <w:r>
        <w:t xml:space="preserve"> experienced some contact with it, normally at the 16+ transition, most, like Freddie and David, had sought advice from families, friends and teachers with which to inform their decision making</w:t>
      </w:r>
      <w:r>
        <w:rPr>
          <w:i/>
        </w:rPr>
        <w:t xml:space="preserve">. </w:t>
      </w:r>
      <w:r>
        <w:t xml:space="preserve">This would seem to suggest, that despite attempts by the UK </w:t>
      </w:r>
      <w:r>
        <w:lastRenderedPageBreak/>
        <w:t>government to ‘target’ the most vulnerable as they make their transitions, similarly to Australia,</w:t>
      </w:r>
      <w:r>
        <w:rPr>
          <w:i/>
        </w:rPr>
        <w:t xml:space="preserve"> ‘</w:t>
      </w:r>
      <w:r>
        <w:rPr>
          <w:color w:val="292526"/>
        </w:rPr>
        <w:t xml:space="preserve">the needs of ‘at-risk’ students such as David who may have limited access to the forms of capital offering the best support for these negotiations are not well addressed [by policy]’ (Billet </w:t>
      </w:r>
      <w:r>
        <w:rPr>
          <w:i/>
          <w:color w:val="292526"/>
        </w:rPr>
        <w:t>et al</w:t>
      </w:r>
      <w:r>
        <w:rPr>
          <w:color w:val="292526"/>
        </w:rPr>
        <w:t>, 2010</w:t>
      </w:r>
      <w:r w:rsidR="00DE2CE1">
        <w:rPr>
          <w:color w:val="292526"/>
        </w:rPr>
        <w:t xml:space="preserve">, </w:t>
      </w:r>
      <w:r>
        <w:rPr>
          <w:color w:val="292526"/>
        </w:rPr>
        <w:t xml:space="preserve">472). It was also apparent that there is a significant </w:t>
      </w:r>
      <w:r>
        <w:t xml:space="preserve">dislocation between policy rhetoric implying straightforward, rational trajectories and the realities of the students’ own worlds, in which their ‘Horizons for action’ are both constrained and enabled by external opportunities and personal subjective perceptions (Hodkinson </w:t>
      </w:r>
      <w:r>
        <w:rPr>
          <w:i/>
          <w:iCs/>
        </w:rPr>
        <w:t xml:space="preserve">et al </w:t>
      </w:r>
      <w:r>
        <w:t>1996</w:t>
      </w:r>
      <w:r w:rsidR="00DE2CE1">
        <w:t>,</w:t>
      </w:r>
      <w:r w:rsidR="00A5483C">
        <w:t xml:space="preserve"> </w:t>
      </w:r>
      <w:r>
        <w:t xml:space="preserve">3). </w:t>
      </w:r>
    </w:p>
    <w:p w:rsidR="00827B86" w:rsidRDefault="00827B86" w:rsidP="001B7F2F">
      <w:pPr>
        <w:spacing w:line="360" w:lineRule="auto"/>
      </w:pPr>
      <w:r>
        <w:t xml:space="preserve">There is </w:t>
      </w:r>
      <w:r w:rsidR="00A24C92">
        <w:t xml:space="preserve">also </w:t>
      </w:r>
      <w:r>
        <w:t xml:space="preserve">an issue </w:t>
      </w:r>
      <w:r w:rsidR="00A24C92">
        <w:t xml:space="preserve">about </w:t>
      </w:r>
      <w:r>
        <w:t xml:space="preserve">the extent to which </w:t>
      </w:r>
      <w:r w:rsidR="009676E1" w:rsidRPr="00A01263">
        <w:t>‘institutional habitus’</w:t>
      </w:r>
      <w:r w:rsidR="005E0AC4">
        <w:t xml:space="preserve"> (Smyth and Banks, 2012</w:t>
      </w:r>
      <w:r w:rsidR="009676E1">
        <w:t>)</w:t>
      </w:r>
      <w:r w:rsidR="00A24C92">
        <w:t xml:space="preserve"> and</w:t>
      </w:r>
      <w:r w:rsidR="009676E1">
        <w:t xml:space="preserve"> </w:t>
      </w:r>
      <w:r>
        <w:t xml:space="preserve">responses to policy enactment and to economic imperatives, which influence the availability and nature of post school educational opportunities, are mediating the transitions of young people in terms of their horizons for action. Institutions, influenced by policy at macro level, but also local pressures and the ethos arising from their history and management, have a significant impact on determining what is </w:t>
      </w:r>
      <w:r>
        <w:rPr>
          <w:i/>
        </w:rPr>
        <w:t>possible</w:t>
      </w:r>
      <w:r>
        <w:t xml:space="preserve"> for young people in terms of the educational opportunities they can access</w:t>
      </w:r>
      <w:r w:rsidRPr="00B930DC">
        <w:t xml:space="preserve">. </w:t>
      </w:r>
      <w:r w:rsidR="002779C0">
        <w:t xml:space="preserve">Recent austerity measures have </w:t>
      </w:r>
      <w:r w:rsidRPr="00B930DC">
        <w:t>pl</w:t>
      </w:r>
      <w:r>
        <w:t>ace</w:t>
      </w:r>
      <w:r w:rsidR="002779C0">
        <w:t>d</w:t>
      </w:r>
      <w:r>
        <w:t xml:space="preserve"> particular pressures on institutions, </w:t>
      </w:r>
      <w:r w:rsidR="00867D0D">
        <w:t>suggesting that</w:t>
      </w:r>
      <w:r w:rsidR="002779C0">
        <w:t xml:space="preserve"> </w:t>
      </w:r>
      <w:r w:rsidR="00DB115E">
        <w:t xml:space="preserve"> </w:t>
      </w:r>
      <w:r>
        <w:t xml:space="preserve"> young peoples’ choices are contingent and subject to serendipity in new and different ways to those who participated in Hodkinson </w:t>
      </w:r>
      <w:r>
        <w:rPr>
          <w:i/>
        </w:rPr>
        <w:t>et al</w:t>
      </w:r>
      <w:r>
        <w:t>’s (1996) seminal study, and possibly than young people who have participated in more recent work on transitions which took place prior to the economic collapse of 2008, and to which Hodkinson has referred in his own, more recent work (2008).</w:t>
      </w:r>
      <w:r w:rsidR="004C54CD">
        <w:t xml:space="preserve"> For example, recent </w:t>
      </w:r>
      <w:r w:rsidR="00357175">
        <w:t xml:space="preserve">significant cuts in FE funding, </w:t>
      </w:r>
      <w:r w:rsidR="004C54CD">
        <w:t>concomitant with changes to funding mechanisms increasingly privileges apprenticeship</w:t>
      </w:r>
      <w:r w:rsidR="00B930DC">
        <w:t>s</w:t>
      </w:r>
      <w:r w:rsidR="004C54CD">
        <w:t xml:space="preserve"> and other ‘</w:t>
      </w:r>
      <w:r w:rsidR="00B930DC">
        <w:t>elite</w:t>
      </w:r>
      <w:r w:rsidR="004C54CD">
        <w:t xml:space="preserve">’ forms of vocational education, </w:t>
      </w:r>
      <w:r w:rsidR="00B930DC">
        <w:t>(for which many young people, such as David,</w:t>
      </w:r>
      <w:r w:rsidR="00357175">
        <w:t xml:space="preserve"> do not meet the entry criteria),</w:t>
      </w:r>
      <w:r w:rsidR="004C54CD">
        <w:t xml:space="preserve"> have significantly altered the education and training options available to young people</w:t>
      </w:r>
      <w:r w:rsidR="00B930DC">
        <w:t xml:space="preserve"> as colleges and training providers have rationalised and withdrawn provision</w:t>
      </w:r>
      <w:r w:rsidR="004C54CD">
        <w:t>.</w:t>
      </w:r>
    </w:p>
    <w:p w:rsidR="00827B86" w:rsidRDefault="00827B86" w:rsidP="001B7F2F">
      <w:pPr>
        <w:spacing w:line="360" w:lineRule="auto"/>
      </w:pPr>
      <w:r>
        <w:t xml:space="preserve">This paper has focussed on the narratives of just two young men. Although drawing on a broad range of international literature, the studies cited were limited in that most merely offered a snapshot of a moment in time. A longitudinal study, ideally across international boundaries, and exploring wider transitions amongst young people from a broad range of class and cultural backgrounds is needed to provide a firm base for theoretical development in this area. In particular, this would facilitate investigation of three key issues raised in this paper. These are the need for a more nuanced understanding of the significance and implications of decision making, the need for a similar understanding of the role </w:t>
      </w:r>
      <w:r w:rsidR="00A9022C">
        <w:t xml:space="preserve">and relative influence </w:t>
      </w:r>
      <w:r>
        <w:t xml:space="preserve">of serendipity </w:t>
      </w:r>
      <w:r w:rsidR="00A9022C">
        <w:t xml:space="preserve"> </w:t>
      </w:r>
      <w:r>
        <w:t xml:space="preserve">in decision making specifically and transitions more generally, and a need for an understanding of how decision making is mediated by educational  institutions – particularly in the light of their micro and macro responses to global </w:t>
      </w:r>
      <w:r>
        <w:lastRenderedPageBreak/>
        <w:t xml:space="preserve">and local policy initiatives and imperatives – and by structures such as careers services, families and others and the implications of this for how young people exert their agency and construct their careers. In order to achieve this, such a study would need to encompass young people from a broad range of cultural, class and class fractional boundaries. </w:t>
      </w:r>
    </w:p>
    <w:p w:rsidR="004D1909" w:rsidRPr="004D1909" w:rsidRDefault="00827B86" w:rsidP="004D1909">
      <w:pPr>
        <w:spacing w:line="360" w:lineRule="auto"/>
      </w:pPr>
      <w:r>
        <w:t xml:space="preserve">Finally, whilst the analyses put forward in this paper imply a need for further research into and around transitions, they also raise serious questions about the way in which VET courses, particularly at lower levels, articulate with the labour market, and the implications this has for working class youth. It also raises questions about FE’s perceived core aim of social justice. To what extent, if at all, can this be realised in a policy context which privileges economic imperatives over educational imperatives, and certain types of knowledge and education above others, and denies ‘valuable’ knowledge to mainly working class young people? </w:t>
      </w:r>
      <w:r w:rsidR="004D1909">
        <w:t>There are alternatives. As Mills (2008, 87) argues</w:t>
      </w:r>
      <w:proofErr w:type="gramStart"/>
      <w:r w:rsidR="004D1909">
        <w:t xml:space="preserve">, </w:t>
      </w:r>
      <w:r w:rsidR="004D1909">
        <w:rPr>
          <w:i/>
        </w:rPr>
        <w:t xml:space="preserve"> </w:t>
      </w:r>
      <w:r w:rsidR="004D1909" w:rsidRPr="004D1909">
        <w:t>the</w:t>
      </w:r>
      <w:proofErr w:type="gramEnd"/>
      <w:r w:rsidR="004D1909" w:rsidRPr="004D1909">
        <w:t xml:space="preserve"> transformative potential of Bourdieu’s concepts of habitus, field and cultural capital  imply possibilities for teachers and institutions to improve educational outcomes for marginalised young people. </w:t>
      </w:r>
    </w:p>
    <w:p w:rsidR="00827B86" w:rsidRDefault="00827B86" w:rsidP="001B7F2F">
      <w:pPr>
        <w:spacing w:line="360" w:lineRule="auto"/>
        <w:rPr>
          <w:lang w:val="en-AU"/>
        </w:rPr>
      </w:pPr>
      <w:r>
        <w:t>The dual conceptualisations of youth as deficit and resource discussed in this paper are both utilitarian and concerned only with individuals as forms of capital. The conceptualisations of FE as producing that capital imply that rather than social justice, the core aim of the sector is now to meet the perceived economic demands of a global economy. As Bourdieu and Passeron (1977</w:t>
      </w:r>
      <w:r w:rsidR="00DE2CE1">
        <w:t>,</w:t>
      </w:r>
      <w:r>
        <w:t xml:space="preserve"> 164) have suggested, this merely renders the sector more adept at concealing its social function of legitimating class differences behind its technical function of producing qualifications, and supports Watts and Bridges (2006</w:t>
      </w:r>
      <w:r w:rsidR="00DE2CE1">
        <w:t>,</w:t>
      </w:r>
      <w:r>
        <w:t xml:space="preserve"> 143) argument that ‘</w:t>
      </w:r>
      <w:r>
        <w:rPr>
          <w:lang w:val="en-AU"/>
        </w:rPr>
        <w:t>the twin agendas of social inclusion and economic development lead to the reformation rather th</w:t>
      </w:r>
      <w:r w:rsidR="00867D0D">
        <w:rPr>
          <w:lang w:val="en-AU"/>
        </w:rPr>
        <w:t>an the resolution of injustice’.</w:t>
      </w:r>
    </w:p>
    <w:p w:rsidR="00827B86" w:rsidRDefault="00827B86" w:rsidP="001B7F2F">
      <w:pPr>
        <w:spacing w:after="160" w:line="360" w:lineRule="auto"/>
        <w:rPr>
          <w:lang w:val="en-AU"/>
        </w:rPr>
      </w:pPr>
      <w:r>
        <w:rPr>
          <w:lang w:val="en-AU"/>
        </w:rPr>
        <w:br w:type="page"/>
      </w:r>
    </w:p>
    <w:p w:rsidR="00827B86" w:rsidRDefault="00827B86" w:rsidP="001B7F2F">
      <w:pPr>
        <w:spacing w:after="0" w:line="360" w:lineRule="auto"/>
        <w:rPr>
          <w:rFonts w:eastAsia="Times New Roman"/>
          <w:b/>
          <w:color w:val="484949"/>
          <w:sz w:val="20"/>
          <w:szCs w:val="20"/>
          <w:lang w:eastAsia="en-GB"/>
        </w:rPr>
      </w:pPr>
      <w:r>
        <w:rPr>
          <w:rFonts w:eastAsia="Times New Roman"/>
          <w:b/>
          <w:color w:val="484949"/>
          <w:sz w:val="20"/>
          <w:szCs w:val="20"/>
          <w:lang w:eastAsia="en-GB"/>
        </w:rPr>
        <w:lastRenderedPageBreak/>
        <w:t>References</w:t>
      </w:r>
    </w:p>
    <w:p w:rsidR="00827B86" w:rsidRDefault="00F91342" w:rsidP="001B7F2F">
      <w:pPr>
        <w:spacing w:after="0" w:line="360" w:lineRule="auto"/>
        <w:rPr>
          <w:sz w:val="20"/>
          <w:szCs w:val="20"/>
        </w:rPr>
      </w:pPr>
      <w:r w:rsidRPr="00F91342">
        <w:rPr>
          <w:b/>
          <w:sz w:val="20"/>
          <w:szCs w:val="20"/>
        </w:rPr>
        <w:t>Aldous, D., Sparkes, A. and Brown, D</w:t>
      </w:r>
      <w:r>
        <w:rPr>
          <w:sz w:val="20"/>
          <w:szCs w:val="20"/>
        </w:rPr>
        <w:t xml:space="preserve">. 2014. Transitional experiences of post-16 sports education: Jack’s story. </w:t>
      </w:r>
      <w:proofErr w:type="gramStart"/>
      <w:r w:rsidRPr="00F91342">
        <w:rPr>
          <w:i/>
          <w:sz w:val="20"/>
          <w:szCs w:val="20"/>
        </w:rPr>
        <w:t>British Journal of Sociology of Education</w:t>
      </w:r>
      <w:r>
        <w:rPr>
          <w:sz w:val="20"/>
          <w:szCs w:val="20"/>
        </w:rPr>
        <w:t>.</w:t>
      </w:r>
      <w:proofErr w:type="gramEnd"/>
      <w:r>
        <w:rPr>
          <w:sz w:val="20"/>
          <w:szCs w:val="20"/>
        </w:rPr>
        <w:t xml:space="preserve"> </w:t>
      </w:r>
      <w:proofErr w:type="gramStart"/>
      <w:r>
        <w:rPr>
          <w:sz w:val="20"/>
          <w:szCs w:val="20"/>
        </w:rPr>
        <w:t>35 (2) pp185-203.</w:t>
      </w:r>
      <w:proofErr w:type="gramEnd"/>
    </w:p>
    <w:p w:rsidR="00827B86" w:rsidRPr="00F91342" w:rsidRDefault="00827B86" w:rsidP="001B7F2F">
      <w:pPr>
        <w:spacing w:after="0" w:line="360" w:lineRule="auto"/>
        <w:rPr>
          <w:rFonts w:eastAsia="Times New Roman"/>
          <w:sz w:val="20"/>
          <w:szCs w:val="20"/>
          <w:lang w:eastAsia="en-GB"/>
        </w:rPr>
      </w:pPr>
      <w:r w:rsidRPr="00F91342">
        <w:rPr>
          <w:rFonts w:eastAsia="Times New Roman"/>
          <w:b/>
          <w:sz w:val="20"/>
          <w:szCs w:val="20"/>
          <w:lang w:eastAsia="en-GB"/>
        </w:rPr>
        <w:t>Apple, Michael W.</w:t>
      </w:r>
      <w:r w:rsidRPr="00F91342">
        <w:rPr>
          <w:rFonts w:eastAsia="Times New Roman"/>
          <w:sz w:val="20"/>
          <w:szCs w:val="20"/>
          <w:lang w:eastAsia="en-GB"/>
        </w:rPr>
        <w:t xml:space="preserve"> 2013. </w:t>
      </w:r>
      <w:r w:rsidRPr="00F91342">
        <w:rPr>
          <w:rFonts w:eastAsia="Times New Roman"/>
          <w:i/>
          <w:sz w:val="20"/>
          <w:szCs w:val="20"/>
          <w:lang w:eastAsia="en-GB"/>
        </w:rPr>
        <w:t>Knowledge, Power and Education The selected works of Michael W Apple</w:t>
      </w:r>
      <w:r w:rsidRPr="00F91342">
        <w:rPr>
          <w:rFonts w:eastAsia="Times New Roman"/>
          <w:sz w:val="20"/>
          <w:szCs w:val="20"/>
          <w:lang w:eastAsia="en-GB"/>
        </w:rPr>
        <w:t xml:space="preserve"> London: Routledge</w:t>
      </w:r>
    </w:p>
    <w:p w:rsidR="00827B86" w:rsidRDefault="00827B86" w:rsidP="001B7F2F">
      <w:pPr>
        <w:autoSpaceDE w:val="0"/>
        <w:autoSpaceDN w:val="0"/>
        <w:adjustRightInd w:val="0"/>
        <w:spacing w:after="0" w:line="360" w:lineRule="auto"/>
        <w:rPr>
          <w:rFonts w:cs="GothamRounded-Medium"/>
          <w:sz w:val="20"/>
          <w:szCs w:val="20"/>
        </w:rPr>
      </w:pPr>
      <w:r>
        <w:rPr>
          <w:rFonts w:cs="CongressSans-Bold"/>
          <w:b/>
          <w:bCs/>
          <w:sz w:val="20"/>
          <w:szCs w:val="20"/>
        </w:rPr>
        <w:t>Aryeetey Bortei-Doku E., Doh, D. and Andoh, P</w:t>
      </w:r>
      <w:r>
        <w:rPr>
          <w:rFonts w:cs="CongressSans-Bold"/>
          <w:bCs/>
          <w:sz w:val="20"/>
          <w:szCs w:val="20"/>
        </w:rPr>
        <w:t xml:space="preserve">. 2011. </w:t>
      </w:r>
      <w:r>
        <w:rPr>
          <w:rFonts w:cs="GothamRounded-Medium"/>
          <w:i/>
          <w:color w:val="571D00"/>
          <w:sz w:val="20"/>
          <w:szCs w:val="20"/>
        </w:rPr>
        <w:t xml:space="preserve">From Prejudice to Prestige: </w:t>
      </w:r>
      <w:r>
        <w:rPr>
          <w:rFonts w:cs="GothamRounded-Medium"/>
          <w:i/>
          <w:sz w:val="20"/>
          <w:szCs w:val="20"/>
        </w:rPr>
        <w:t xml:space="preserve">Vocational Education and Training in Ghana </w:t>
      </w:r>
      <w:r>
        <w:rPr>
          <w:rFonts w:cs="GothamRounded-Medium"/>
          <w:sz w:val="20"/>
          <w:szCs w:val="20"/>
        </w:rPr>
        <w:t>London: City and Guilds Centre for Skills Development UK/Council for Technical Vocational Education and Training Ghana.</w:t>
      </w:r>
    </w:p>
    <w:p w:rsidR="00827B86" w:rsidRDefault="00827B86" w:rsidP="001B7F2F">
      <w:pPr>
        <w:spacing w:after="0" w:line="360" w:lineRule="auto"/>
        <w:rPr>
          <w:color w:val="000000"/>
          <w:sz w:val="20"/>
          <w:szCs w:val="20"/>
        </w:rPr>
      </w:pPr>
      <w:r>
        <w:rPr>
          <w:rFonts w:cs="Arial"/>
          <w:b/>
          <w:sz w:val="20"/>
          <w:szCs w:val="20"/>
        </w:rPr>
        <w:t xml:space="preserve">Atkins, L. </w:t>
      </w:r>
      <w:r>
        <w:rPr>
          <w:rFonts w:cs="Arial"/>
          <w:sz w:val="20"/>
          <w:szCs w:val="20"/>
        </w:rPr>
        <w:t>2013. ‘Marginal Learning, marginal employment: the impact of learning employability skills’</w:t>
      </w:r>
      <w:r>
        <w:rPr>
          <w:rFonts w:cs="Arial"/>
          <w:i/>
          <w:sz w:val="20"/>
          <w:szCs w:val="20"/>
        </w:rPr>
        <w:t xml:space="preserve"> Power and Education</w:t>
      </w:r>
      <w:r>
        <w:rPr>
          <w:rFonts w:cs="Arial"/>
          <w:sz w:val="20"/>
          <w:szCs w:val="20"/>
        </w:rPr>
        <w:t xml:space="preserve">. </w:t>
      </w:r>
      <w:proofErr w:type="gramStart"/>
      <w:r>
        <w:rPr>
          <w:rFonts w:cs="Arial"/>
          <w:sz w:val="20"/>
          <w:szCs w:val="20"/>
        </w:rPr>
        <w:t>5, 1 pp28-37.</w:t>
      </w:r>
      <w:proofErr w:type="gramEnd"/>
      <w:r>
        <w:rPr>
          <w:rFonts w:cs="Arial"/>
          <w:sz w:val="20"/>
          <w:szCs w:val="20"/>
        </w:rPr>
        <w:t xml:space="preserve"> </w:t>
      </w:r>
    </w:p>
    <w:p w:rsidR="00827B86" w:rsidRDefault="00827B86" w:rsidP="001B7F2F">
      <w:pPr>
        <w:autoSpaceDE w:val="0"/>
        <w:autoSpaceDN w:val="0"/>
        <w:adjustRightInd w:val="0"/>
        <w:spacing w:after="0" w:line="360" w:lineRule="auto"/>
        <w:rPr>
          <w:rFonts w:cs="DanteMT-Italic"/>
          <w:iCs/>
          <w:sz w:val="20"/>
          <w:szCs w:val="20"/>
        </w:rPr>
      </w:pPr>
      <w:r>
        <w:rPr>
          <w:rFonts w:cs="DanteMT-Bold"/>
          <w:b/>
          <w:bCs/>
          <w:sz w:val="20"/>
          <w:szCs w:val="20"/>
        </w:rPr>
        <w:t>Atkins, Liz.</w:t>
      </w:r>
      <w:r>
        <w:rPr>
          <w:rFonts w:cs="DanteMT-Bold"/>
          <w:bCs/>
          <w:sz w:val="20"/>
          <w:szCs w:val="20"/>
        </w:rPr>
        <w:t xml:space="preserve"> 2010. Opportunity and Aspiration, or the Great Deception? </w:t>
      </w:r>
      <w:proofErr w:type="gramStart"/>
      <w:r>
        <w:rPr>
          <w:rFonts w:cs="DanteMT-Bold"/>
          <w:bCs/>
          <w:sz w:val="20"/>
          <w:szCs w:val="20"/>
        </w:rPr>
        <w:t xml:space="preserve">The Case of 14-19 Vocational Education </w:t>
      </w:r>
      <w:r>
        <w:rPr>
          <w:rFonts w:cs="DanteMT-Italic"/>
          <w:i/>
          <w:iCs/>
          <w:sz w:val="20"/>
          <w:szCs w:val="20"/>
        </w:rPr>
        <w:t>Power and Education.</w:t>
      </w:r>
      <w:proofErr w:type="gramEnd"/>
      <w:r>
        <w:rPr>
          <w:rFonts w:cs="DanteMT-Italic"/>
          <w:i/>
          <w:iCs/>
          <w:sz w:val="20"/>
          <w:szCs w:val="20"/>
        </w:rPr>
        <w:t xml:space="preserve"> </w:t>
      </w:r>
      <w:proofErr w:type="gramStart"/>
      <w:r>
        <w:rPr>
          <w:rFonts w:cs="DanteMT-Italic"/>
          <w:iCs/>
          <w:sz w:val="20"/>
          <w:szCs w:val="20"/>
        </w:rPr>
        <w:t>2(3).</w:t>
      </w:r>
      <w:proofErr w:type="gramEnd"/>
      <w:r>
        <w:rPr>
          <w:rFonts w:cs="DanteMT-Italic"/>
          <w:iCs/>
          <w:sz w:val="20"/>
          <w:szCs w:val="20"/>
        </w:rPr>
        <w:t xml:space="preserve">  </w:t>
      </w:r>
      <w:proofErr w:type="gramStart"/>
      <w:r>
        <w:rPr>
          <w:rFonts w:cs="DanteMT-Italic"/>
          <w:iCs/>
          <w:sz w:val="20"/>
          <w:szCs w:val="20"/>
        </w:rPr>
        <w:t>pp253-265</w:t>
      </w:r>
      <w:proofErr w:type="gramEnd"/>
    </w:p>
    <w:p w:rsidR="00827B86" w:rsidRDefault="00827B86" w:rsidP="001B7F2F">
      <w:pPr>
        <w:autoSpaceDE w:val="0"/>
        <w:autoSpaceDN w:val="0"/>
        <w:adjustRightInd w:val="0"/>
        <w:spacing w:after="0" w:line="360" w:lineRule="auto"/>
        <w:rPr>
          <w:sz w:val="20"/>
          <w:szCs w:val="20"/>
        </w:rPr>
      </w:pPr>
      <w:r>
        <w:rPr>
          <w:b/>
          <w:sz w:val="20"/>
          <w:szCs w:val="20"/>
        </w:rPr>
        <w:t>Atkins, L.</w:t>
      </w:r>
      <w:r>
        <w:rPr>
          <w:sz w:val="20"/>
          <w:szCs w:val="20"/>
        </w:rPr>
        <w:t xml:space="preserve"> 2009. </w:t>
      </w:r>
      <w:r>
        <w:rPr>
          <w:i/>
          <w:sz w:val="20"/>
          <w:szCs w:val="20"/>
        </w:rPr>
        <w:t>Invisible Students, Impossible Dreams: experiencing vocational education 14-19.</w:t>
      </w:r>
      <w:r>
        <w:rPr>
          <w:sz w:val="20"/>
          <w:szCs w:val="20"/>
        </w:rPr>
        <w:t xml:space="preserve"> Stoke-on Trent: Trentham Books.</w:t>
      </w:r>
    </w:p>
    <w:p w:rsidR="00827B86" w:rsidRDefault="00827B86" w:rsidP="001B7F2F">
      <w:pPr>
        <w:autoSpaceDE w:val="0"/>
        <w:autoSpaceDN w:val="0"/>
        <w:adjustRightInd w:val="0"/>
        <w:spacing w:after="0" w:line="360" w:lineRule="auto"/>
        <w:rPr>
          <w:rFonts w:cs="GothamRounded-Medium"/>
          <w:sz w:val="20"/>
          <w:szCs w:val="20"/>
        </w:rPr>
      </w:pPr>
      <w:r>
        <w:rPr>
          <w:rFonts w:cs="Utopia-Regular"/>
          <w:b/>
          <w:sz w:val="20"/>
          <w:szCs w:val="20"/>
        </w:rPr>
        <w:t>Atkins, L, Flint, K. And Oldfield, B.</w:t>
      </w:r>
      <w:r>
        <w:rPr>
          <w:rFonts w:cs="Utopia-Regular"/>
          <w:sz w:val="20"/>
          <w:szCs w:val="20"/>
        </w:rPr>
        <w:t xml:space="preserve"> 2011.</w:t>
      </w:r>
      <w:r>
        <w:rPr>
          <w:rFonts w:cs="GothamRounded-Medium"/>
          <w:sz w:val="20"/>
          <w:szCs w:val="20"/>
        </w:rPr>
        <w:t xml:space="preserve"> </w:t>
      </w:r>
      <w:r>
        <w:rPr>
          <w:rFonts w:cs="GothamRounded-Medium"/>
          <w:i/>
          <w:sz w:val="20"/>
          <w:szCs w:val="20"/>
        </w:rPr>
        <w:t xml:space="preserve">Practical matters: what young people think about vocational education in </w:t>
      </w:r>
      <w:proofErr w:type="gramStart"/>
      <w:r>
        <w:rPr>
          <w:rFonts w:cs="GothamRounded-Medium"/>
          <w:i/>
          <w:sz w:val="20"/>
          <w:szCs w:val="20"/>
        </w:rPr>
        <w:t>England.</w:t>
      </w:r>
      <w:proofErr w:type="gramEnd"/>
      <w:r>
        <w:rPr>
          <w:rFonts w:cs="GothamRounded-Medium"/>
          <w:sz w:val="20"/>
          <w:szCs w:val="20"/>
        </w:rPr>
        <w:t xml:space="preserve"> London: City and Guilds Centre for Skills Development.</w:t>
      </w:r>
    </w:p>
    <w:p w:rsidR="00827B86" w:rsidRDefault="00827B86" w:rsidP="001B7F2F">
      <w:pPr>
        <w:autoSpaceDE w:val="0"/>
        <w:autoSpaceDN w:val="0"/>
        <w:adjustRightInd w:val="0"/>
        <w:spacing w:after="0" w:line="360" w:lineRule="auto"/>
        <w:rPr>
          <w:rFonts w:cs="DanteMT-Italic"/>
          <w:iCs/>
          <w:sz w:val="20"/>
          <w:szCs w:val="20"/>
        </w:rPr>
      </w:pPr>
      <w:r>
        <w:rPr>
          <w:rFonts w:cs="CalisMTBol"/>
          <w:b/>
          <w:sz w:val="20"/>
          <w:szCs w:val="20"/>
        </w:rPr>
        <w:t>Avis, James.</w:t>
      </w:r>
      <w:r>
        <w:rPr>
          <w:rFonts w:cs="CalisMTBol"/>
          <w:sz w:val="20"/>
          <w:szCs w:val="20"/>
        </w:rPr>
        <w:t xml:space="preserve"> 2007. </w:t>
      </w:r>
      <w:r>
        <w:rPr>
          <w:rFonts w:cs="CalisMTBol"/>
          <w:i/>
          <w:sz w:val="20"/>
          <w:szCs w:val="20"/>
        </w:rPr>
        <w:t>Education, Policy and Social Justice: learning and skills.</w:t>
      </w:r>
      <w:r>
        <w:rPr>
          <w:rFonts w:cs="CalisMTBol"/>
          <w:sz w:val="20"/>
          <w:szCs w:val="20"/>
          <w:u w:val="single"/>
        </w:rPr>
        <w:t xml:space="preserve"> </w:t>
      </w:r>
      <w:r>
        <w:rPr>
          <w:rFonts w:cs="CalisMTBol"/>
          <w:sz w:val="20"/>
          <w:szCs w:val="20"/>
        </w:rPr>
        <w:t>London: Continuum</w:t>
      </w:r>
    </w:p>
    <w:p w:rsidR="00827B86" w:rsidRDefault="00827B86" w:rsidP="001B7F2F">
      <w:pPr>
        <w:autoSpaceDE w:val="0"/>
        <w:autoSpaceDN w:val="0"/>
        <w:adjustRightInd w:val="0"/>
        <w:spacing w:after="0" w:line="360" w:lineRule="auto"/>
        <w:rPr>
          <w:rFonts w:cs="DanteMT-Italic"/>
          <w:iCs/>
          <w:sz w:val="20"/>
          <w:szCs w:val="20"/>
        </w:rPr>
      </w:pPr>
      <w:r>
        <w:rPr>
          <w:b/>
          <w:sz w:val="20"/>
          <w:szCs w:val="20"/>
        </w:rPr>
        <w:t xml:space="preserve">Avis, J. </w:t>
      </w:r>
      <w:r>
        <w:rPr>
          <w:sz w:val="20"/>
          <w:szCs w:val="20"/>
        </w:rPr>
        <w:t xml:space="preserve">1996. </w:t>
      </w:r>
      <w:proofErr w:type="gramStart"/>
      <w:r>
        <w:rPr>
          <w:sz w:val="20"/>
          <w:szCs w:val="20"/>
        </w:rPr>
        <w:t xml:space="preserve">The Myth of the Post-Fordist </w:t>
      </w:r>
      <w:r w:rsidR="00EB22E7">
        <w:rPr>
          <w:sz w:val="20"/>
          <w:szCs w:val="20"/>
        </w:rPr>
        <w:t>Society in</w:t>
      </w:r>
      <w:r>
        <w:rPr>
          <w:sz w:val="20"/>
          <w:szCs w:val="20"/>
        </w:rPr>
        <w:t xml:space="preserve"> Avis, J. </w:t>
      </w:r>
      <w:r>
        <w:rPr>
          <w:i/>
          <w:sz w:val="20"/>
          <w:szCs w:val="20"/>
        </w:rPr>
        <w:t>et al</w:t>
      </w:r>
      <w:r>
        <w:rPr>
          <w:sz w:val="20"/>
          <w:szCs w:val="20"/>
        </w:rPr>
        <w:t xml:space="preserve"> </w:t>
      </w:r>
      <w:r>
        <w:rPr>
          <w:i/>
          <w:sz w:val="20"/>
          <w:szCs w:val="20"/>
        </w:rPr>
        <w:t>Knowledge and Nationhood Education, Politics and Work.</w:t>
      </w:r>
      <w:proofErr w:type="gramEnd"/>
      <w:r>
        <w:rPr>
          <w:sz w:val="20"/>
          <w:szCs w:val="20"/>
        </w:rPr>
        <w:t xml:space="preserve"> London: Cassell</w:t>
      </w:r>
    </w:p>
    <w:p w:rsidR="00827B86" w:rsidRDefault="00827B86" w:rsidP="001B7F2F">
      <w:pPr>
        <w:pStyle w:val="NoSpacing"/>
        <w:spacing w:line="360" w:lineRule="auto"/>
        <w:rPr>
          <w:sz w:val="20"/>
          <w:szCs w:val="20"/>
          <w:shd w:val="clear" w:color="auto" w:fill="FFFFFF"/>
        </w:rPr>
      </w:pPr>
      <w:proofErr w:type="gramStart"/>
      <w:r>
        <w:rPr>
          <w:b/>
          <w:sz w:val="20"/>
          <w:szCs w:val="20"/>
          <w:lang w:val="en-US"/>
        </w:rPr>
        <w:t>Ball, Stephen; Davies, Jackie; David, Miriam, Reay, Diane and Davies, Jane.</w:t>
      </w:r>
      <w:proofErr w:type="gramEnd"/>
      <w:r>
        <w:rPr>
          <w:sz w:val="20"/>
          <w:szCs w:val="20"/>
          <w:lang w:val="en-US"/>
        </w:rPr>
        <w:t xml:space="preserve"> 2002. </w:t>
      </w:r>
      <w:r>
        <w:rPr>
          <w:sz w:val="20"/>
          <w:szCs w:val="20"/>
        </w:rPr>
        <w:t xml:space="preserve">'Classification' and 'Judgement': Social Class and the 'Cognitive Structures' of Choice of Higher Education </w:t>
      </w:r>
      <w:r>
        <w:rPr>
          <w:i/>
          <w:sz w:val="20"/>
          <w:szCs w:val="20"/>
          <w:shd w:val="clear" w:color="auto" w:fill="FFFFFF"/>
        </w:rPr>
        <w:t>British Journal of Sociology of Education</w:t>
      </w:r>
      <w:r>
        <w:rPr>
          <w:sz w:val="20"/>
          <w:szCs w:val="20"/>
          <w:shd w:val="clear" w:color="auto" w:fill="FFFFFF"/>
        </w:rPr>
        <w:t xml:space="preserve"> 23(1) 51-72.</w:t>
      </w:r>
    </w:p>
    <w:p w:rsidR="00827B86" w:rsidRDefault="00827B86" w:rsidP="001B7F2F">
      <w:pPr>
        <w:pStyle w:val="NoSpacing"/>
        <w:spacing w:line="360" w:lineRule="auto"/>
        <w:rPr>
          <w:sz w:val="20"/>
          <w:szCs w:val="20"/>
        </w:rPr>
      </w:pPr>
      <w:proofErr w:type="gramStart"/>
      <w:r>
        <w:rPr>
          <w:b/>
          <w:sz w:val="20"/>
          <w:szCs w:val="20"/>
        </w:rPr>
        <w:t>Ball, S.J.; Maguire, M. and Macrae, S</w:t>
      </w:r>
      <w:r>
        <w:rPr>
          <w:sz w:val="20"/>
          <w:szCs w:val="20"/>
        </w:rPr>
        <w:t>. 2000.</w:t>
      </w:r>
      <w:proofErr w:type="gramEnd"/>
      <w:r>
        <w:rPr>
          <w:sz w:val="20"/>
          <w:szCs w:val="20"/>
        </w:rPr>
        <w:t xml:space="preserve"> </w:t>
      </w:r>
      <w:r>
        <w:rPr>
          <w:i/>
          <w:sz w:val="20"/>
          <w:szCs w:val="20"/>
        </w:rPr>
        <w:t>Choice, Pathways and Transitions Post-16 New Youth, New Economies in the Global City</w:t>
      </w:r>
      <w:r>
        <w:rPr>
          <w:sz w:val="20"/>
          <w:szCs w:val="20"/>
        </w:rPr>
        <w:t xml:space="preserve"> London: Routledge/Falmer.</w:t>
      </w:r>
    </w:p>
    <w:p w:rsidR="00827B86" w:rsidRDefault="00827B86" w:rsidP="001B7F2F">
      <w:pPr>
        <w:pStyle w:val="NoSpacing"/>
        <w:spacing w:line="360" w:lineRule="auto"/>
        <w:rPr>
          <w:sz w:val="20"/>
          <w:szCs w:val="20"/>
        </w:rPr>
      </w:pPr>
      <w:proofErr w:type="gramStart"/>
      <w:r>
        <w:rPr>
          <w:b/>
          <w:sz w:val="20"/>
          <w:szCs w:val="20"/>
        </w:rPr>
        <w:t>Bates, Inge</w:t>
      </w:r>
      <w:r>
        <w:rPr>
          <w:sz w:val="20"/>
          <w:szCs w:val="20"/>
        </w:rPr>
        <w:t>.</w:t>
      </w:r>
      <w:proofErr w:type="gramEnd"/>
      <w:r>
        <w:rPr>
          <w:sz w:val="20"/>
          <w:szCs w:val="20"/>
        </w:rPr>
        <w:t xml:space="preserve"> 1993. ‘A job which is ‘right for me’? Social class, gender and individualisation in: I. Bates and G. Riseborough (Eds) </w:t>
      </w:r>
      <w:r>
        <w:rPr>
          <w:i/>
          <w:sz w:val="20"/>
          <w:szCs w:val="20"/>
        </w:rPr>
        <w:t>Youth and Inequality</w:t>
      </w:r>
      <w:r>
        <w:rPr>
          <w:sz w:val="20"/>
          <w:szCs w:val="20"/>
        </w:rPr>
        <w:t xml:space="preserve"> Buckingham: Open University Press. </w:t>
      </w:r>
    </w:p>
    <w:p w:rsidR="00B46AD1" w:rsidRPr="00DF1E29" w:rsidRDefault="00B46AD1" w:rsidP="001B7F2F">
      <w:pPr>
        <w:shd w:val="clear" w:color="auto" w:fill="FFFFFF"/>
        <w:spacing w:after="0" w:line="360" w:lineRule="auto"/>
        <w:outlineLvl w:val="1"/>
        <w:rPr>
          <w:rFonts w:eastAsia="Times New Roman" w:cs="Tahoma"/>
          <w:sz w:val="20"/>
          <w:szCs w:val="20"/>
          <w:lang w:eastAsia="zh-CN"/>
        </w:rPr>
      </w:pPr>
      <w:proofErr w:type="gramStart"/>
      <w:r w:rsidRPr="00B46AD1">
        <w:rPr>
          <w:b/>
          <w:sz w:val="20"/>
          <w:szCs w:val="20"/>
        </w:rPr>
        <w:t>Bathmaker, A-M</w:t>
      </w:r>
      <w:r w:rsidRPr="00B46AD1">
        <w:rPr>
          <w:sz w:val="20"/>
          <w:szCs w:val="20"/>
        </w:rPr>
        <w:t>.</w:t>
      </w:r>
      <w:proofErr w:type="gramEnd"/>
      <w:r w:rsidRPr="00B46AD1">
        <w:rPr>
          <w:sz w:val="20"/>
          <w:szCs w:val="20"/>
        </w:rPr>
        <w:t xml:space="preserve"> 2014.</w:t>
      </w:r>
      <w:r w:rsidRPr="00B46AD1">
        <w:rPr>
          <w:sz w:val="20"/>
          <w:szCs w:val="20"/>
          <w:shd w:val="clear" w:color="auto" w:fill="FFFFFF"/>
        </w:rPr>
        <w:t xml:space="preserve"> </w:t>
      </w:r>
      <w:r w:rsidR="002F6C27" w:rsidRPr="00B46AD1">
        <w:rPr>
          <w:rFonts w:cs="Book Antiqua"/>
          <w:bCs/>
          <w:color w:val="000000"/>
          <w:sz w:val="20"/>
          <w:szCs w:val="20"/>
        </w:rPr>
        <w:t xml:space="preserve">The role of higher vocational pathways in enabling social mobility and supporting ‘vibrant’ regional </w:t>
      </w:r>
      <w:r w:rsidR="002F6C27" w:rsidRPr="00DF1E29">
        <w:rPr>
          <w:rFonts w:cs="Book Antiqua"/>
          <w:bCs/>
          <w:sz w:val="20"/>
          <w:szCs w:val="20"/>
        </w:rPr>
        <w:t>economies: an analysis of current trends and debates shaping English policy and practice</w:t>
      </w:r>
      <w:r w:rsidRPr="00DF1E29">
        <w:rPr>
          <w:rFonts w:cs="Book Antiqua"/>
          <w:bCs/>
          <w:sz w:val="20"/>
          <w:szCs w:val="20"/>
        </w:rPr>
        <w:t xml:space="preserve"> paper presented </w:t>
      </w:r>
      <w:r w:rsidR="00BC2FB6" w:rsidRPr="00DF1E29">
        <w:rPr>
          <w:rFonts w:cs="Book Antiqua"/>
          <w:bCs/>
          <w:sz w:val="20"/>
          <w:szCs w:val="20"/>
        </w:rPr>
        <w:t>at ESRC</w:t>
      </w:r>
      <w:r w:rsidR="002F6C27" w:rsidRPr="00DF1E29">
        <w:rPr>
          <w:rFonts w:cs="Tahoma"/>
          <w:i/>
          <w:sz w:val="20"/>
          <w:szCs w:val="20"/>
        </w:rPr>
        <w:t xml:space="preserve"> Research Seminars Project: 'HIVE-PED: Higher Vocational Education and Pedagogy in England 2013-16</w:t>
      </w:r>
      <w:r w:rsidRPr="00DF1E29">
        <w:rPr>
          <w:rFonts w:cs="Tahoma"/>
          <w:i/>
          <w:sz w:val="20"/>
          <w:szCs w:val="20"/>
        </w:rPr>
        <w:t xml:space="preserve">, </w:t>
      </w:r>
      <w:r w:rsidR="002F6C27" w:rsidRPr="00DF1E29">
        <w:rPr>
          <w:rFonts w:eastAsia="Times New Roman" w:cs="Tahoma"/>
          <w:i/>
          <w:kern w:val="36"/>
          <w:sz w:val="20"/>
          <w:szCs w:val="20"/>
          <w:lang w:eastAsia="zh-CN"/>
        </w:rPr>
        <w:t>Seminar Two</w:t>
      </w:r>
      <w:r w:rsidRPr="00DF1E29">
        <w:rPr>
          <w:rFonts w:eastAsia="Times New Roman" w:cs="Tahoma"/>
          <w:i/>
          <w:kern w:val="36"/>
          <w:sz w:val="20"/>
          <w:szCs w:val="20"/>
          <w:lang w:eastAsia="zh-CN"/>
        </w:rPr>
        <w:t xml:space="preserve"> </w:t>
      </w:r>
      <w:r w:rsidR="002F6C27" w:rsidRPr="00DF1E29">
        <w:rPr>
          <w:rFonts w:eastAsia="Times New Roman" w:cs="Tahoma"/>
          <w:i/>
          <w:sz w:val="20"/>
          <w:szCs w:val="20"/>
          <w:lang w:eastAsia="zh-CN"/>
        </w:rPr>
        <w:t>Parity, progression and social mobility: critical issues for higher vocational education pathways</w:t>
      </w:r>
      <w:r w:rsidRPr="00DF1E29">
        <w:rPr>
          <w:rFonts w:eastAsia="Times New Roman" w:cs="Tahoma"/>
          <w:sz w:val="20"/>
          <w:szCs w:val="20"/>
          <w:lang w:eastAsia="zh-CN"/>
        </w:rPr>
        <w:t xml:space="preserve"> </w:t>
      </w:r>
      <w:r w:rsidR="002F6C27" w:rsidRPr="00DF1E29">
        <w:rPr>
          <w:rFonts w:eastAsia="Times New Roman" w:cs="Tahoma"/>
          <w:sz w:val="20"/>
          <w:szCs w:val="20"/>
          <w:lang w:eastAsia="zh-CN"/>
        </w:rPr>
        <w:t>23 June 2014, University of Birmingham</w:t>
      </w:r>
    </w:p>
    <w:p w:rsidR="00827B86" w:rsidRDefault="00827B86" w:rsidP="001B7F2F">
      <w:pPr>
        <w:pStyle w:val="NoSpacing"/>
        <w:spacing w:line="360" w:lineRule="auto"/>
        <w:rPr>
          <w:sz w:val="20"/>
          <w:szCs w:val="20"/>
        </w:rPr>
      </w:pPr>
      <w:proofErr w:type="gramStart"/>
      <w:r>
        <w:rPr>
          <w:b/>
          <w:sz w:val="20"/>
          <w:szCs w:val="20"/>
        </w:rPr>
        <w:t>Bathmaker, A-M.</w:t>
      </w:r>
      <w:proofErr w:type="gramEnd"/>
      <w:r>
        <w:rPr>
          <w:sz w:val="20"/>
          <w:szCs w:val="20"/>
        </w:rPr>
        <w:t xml:space="preserve"> 2001. ‘It’s a Perfect Education’: Lifelong Learning and the Experience of Foundation-level GNVQ Students. </w:t>
      </w:r>
      <w:r>
        <w:rPr>
          <w:i/>
          <w:sz w:val="20"/>
          <w:szCs w:val="20"/>
        </w:rPr>
        <w:t>Journal of Vocational Education and Training</w:t>
      </w:r>
      <w:r>
        <w:rPr>
          <w:sz w:val="20"/>
          <w:szCs w:val="20"/>
        </w:rPr>
        <w:t xml:space="preserve"> 53, 1 pp 81-100</w:t>
      </w:r>
    </w:p>
    <w:p w:rsidR="00827B86" w:rsidRDefault="00827B86" w:rsidP="001B7F2F">
      <w:pPr>
        <w:autoSpaceDE w:val="0"/>
        <w:autoSpaceDN w:val="0"/>
        <w:adjustRightInd w:val="0"/>
        <w:spacing w:after="0" w:line="360" w:lineRule="auto"/>
        <w:rPr>
          <w:sz w:val="20"/>
          <w:szCs w:val="20"/>
        </w:rPr>
      </w:pPr>
      <w:proofErr w:type="gramStart"/>
      <w:r>
        <w:rPr>
          <w:rFonts w:cs="Trebuchet MS"/>
          <w:b/>
          <w:sz w:val="20"/>
          <w:szCs w:val="20"/>
        </w:rPr>
        <w:t>Billett, Stephen; Thomas, Sue; Sim, Cheryl; Johnson, Greer; Hay, Steve and Ryan, Jill</w:t>
      </w:r>
      <w:r>
        <w:rPr>
          <w:rFonts w:cs="Trebuchet MS"/>
          <w:sz w:val="20"/>
          <w:szCs w:val="20"/>
        </w:rPr>
        <w:t>.</w:t>
      </w:r>
      <w:proofErr w:type="gramEnd"/>
      <w:r>
        <w:rPr>
          <w:rFonts w:cs="Trebuchet MS"/>
          <w:sz w:val="20"/>
          <w:szCs w:val="20"/>
        </w:rPr>
        <w:t xml:space="preserve"> 2010. Constructing productive post</w:t>
      </w:r>
      <w:r>
        <w:rPr>
          <w:rFonts w:cs="Cambria Math"/>
          <w:sz w:val="20"/>
          <w:szCs w:val="20"/>
        </w:rPr>
        <w:t>‐</w:t>
      </w:r>
      <w:r>
        <w:rPr>
          <w:rFonts w:cs="Trebuchet MS"/>
          <w:sz w:val="20"/>
          <w:szCs w:val="20"/>
        </w:rPr>
        <w:t xml:space="preserve">school transitions: an analysis of Australian schooling policies. </w:t>
      </w:r>
      <w:r>
        <w:rPr>
          <w:rFonts w:cs="Trebuchet MS"/>
          <w:i/>
          <w:sz w:val="20"/>
          <w:szCs w:val="20"/>
        </w:rPr>
        <w:t>Journal of Education and Work</w:t>
      </w:r>
      <w:r>
        <w:rPr>
          <w:rFonts w:cs="Trebuchet MS"/>
          <w:sz w:val="20"/>
          <w:szCs w:val="20"/>
        </w:rPr>
        <w:t>, 23(5), 471-489</w:t>
      </w:r>
      <w:r>
        <w:rPr>
          <w:sz w:val="20"/>
          <w:szCs w:val="20"/>
        </w:rPr>
        <w:t>.</w:t>
      </w:r>
    </w:p>
    <w:p w:rsidR="00827B86" w:rsidRDefault="00827B86" w:rsidP="001B7F2F">
      <w:pPr>
        <w:spacing w:after="0" w:line="360" w:lineRule="auto"/>
        <w:rPr>
          <w:sz w:val="20"/>
          <w:szCs w:val="20"/>
        </w:rPr>
      </w:pPr>
      <w:r>
        <w:rPr>
          <w:b/>
          <w:sz w:val="20"/>
          <w:szCs w:val="20"/>
        </w:rPr>
        <w:t>Bloomer, M.</w:t>
      </w:r>
      <w:r>
        <w:rPr>
          <w:sz w:val="20"/>
          <w:szCs w:val="20"/>
        </w:rPr>
        <w:t xml:space="preserve"> 1996. ‘Education for Studentship’</w:t>
      </w:r>
      <w:r>
        <w:rPr>
          <w:color w:val="FF0000"/>
          <w:sz w:val="20"/>
          <w:szCs w:val="20"/>
        </w:rPr>
        <w:t xml:space="preserve"> </w:t>
      </w:r>
      <w:r>
        <w:rPr>
          <w:sz w:val="20"/>
          <w:szCs w:val="20"/>
        </w:rPr>
        <w:t xml:space="preserve">in Avis, J. et al </w:t>
      </w:r>
      <w:r>
        <w:rPr>
          <w:i/>
          <w:sz w:val="20"/>
          <w:szCs w:val="20"/>
        </w:rPr>
        <w:t>Knowledge and Nationhood Education, Politics and Work</w:t>
      </w:r>
      <w:r>
        <w:rPr>
          <w:sz w:val="20"/>
          <w:szCs w:val="20"/>
        </w:rPr>
        <w:t xml:space="preserve"> London: Cassell.</w:t>
      </w:r>
    </w:p>
    <w:p w:rsidR="00827B86" w:rsidRDefault="00827B86" w:rsidP="001B7F2F">
      <w:pPr>
        <w:autoSpaceDE w:val="0"/>
        <w:autoSpaceDN w:val="0"/>
        <w:adjustRightInd w:val="0"/>
        <w:spacing w:after="0" w:line="360" w:lineRule="auto"/>
        <w:rPr>
          <w:sz w:val="20"/>
          <w:szCs w:val="20"/>
          <w:lang w:val="en-US"/>
        </w:rPr>
      </w:pPr>
      <w:r>
        <w:rPr>
          <w:b/>
          <w:sz w:val="20"/>
          <w:szCs w:val="20"/>
          <w:lang w:val="en-US"/>
        </w:rPr>
        <w:lastRenderedPageBreak/>
        <w:t>Bloomer, M. and Hodkinson, P. 2000</w:t>
      </w:r>
      <w:r>
        <w:rPr>
          <w:sz w:val="20"/>
          <w:szCs w:val="20"/>
          <w:lang w:val="en-US"/>
        </w:rPr>
        <w:t xml:space="preserve">. </w:t>
      </w:r>
      <w:r>
        <w:rPr>
          <w:rFonts w:cs="Times New Roman"/>
          <w:sz w:val="20"/>
          <w:szCs w:val="20"/>
        </w:rPr>
        <w:t xml:space="preserve">Learning Careers: Continuity and Change in Young People’s Dispositions to Learning. </w:t>
      </w:r>
      <w:proofErr w:type="gramStart"/>
      <w:r>
        <w:rPr>
          <w:rFonts w:cs="Times New Roman"/>
          <w:i/>
          <w:iCs/>
          <w:sz w:val="20"/>
          <w:szCs w:val="20"/>
        </w:rPr>
        <w:t xml:space="preserve">British Educational Research Journal, </w:t>
      </w:r>
      <w:r>
        <w:rPr>
          <w:rFonts w:cs="Times New Roman"/>
          <w:sz w:val="20"/>
          <w:szCs w:val="20"/>
        </w:rPr>
        <w:t>26 (5) pp583 – 598.</w:t>
      </w:r>
      <w:proofErr w:type="gramEnd"/>
    </w:p>
    <w:p w:rsidR="00827B86" w:rsidRDefault="00827B86" w:rsidP="001B7F2F">
      <w:pPr>
        <w:autoSpaceDE w:val="0"/>
        <w:autoSpaceDN w:val="0"/>
        <w:adjustRightInd w:val="0"/>
        <w:spacing w:after="0" w:line="360" w:lineRule="auto"/>
        <w:rPr>
          <w:sz w:val="20"/>
          <w:szCs w:val="20"/>
        </w:rPr>
      </w:pPr>
      <w:proofErr w:type="gramStart"/>
      <w:r w:rsidRPr="00446615">
        <w:rPr>
          <w:b/>
          <w:sz w:val="20"/>
          <w:szCs w:val="20"/>
        </w:rPr>
        <w:t>Bourdieu, P. and Passeron, J-C</w:t>
      </w:r>
      <w:r>
        <w:rPr>
          <w:sz w:val="20"/>
          <w:szCs w:val="20"/>
        </w:rPr>
        <w:t>.</w:t>
      </w:r>
      <w:proofErr w:type="gramEnd"/>
      <w:r>
        <w:rPr>
          <w:sz w:val="20"/>
          <w:szCs w:val="20"/>
        </w:rPr>
        <w:t xml:space="preserve"> 1977. </w:t>
      </w:r>
      <w:r>
        <w:rPr>
          <w:i/>
          <w:sz w:val="20"/>
          <w:szCs w:val="20"/>
        </w:rPr>
        <w:t>Reproduction in Education, Society and Culture</w:t>
      </w:r>
      <w:r>
        <w:rPr>
          <w:sz w:val="20"/>
          <w:szCs w:val="20"/>
        </w:rPr>
        <w:t xml:space="preserve"> London: Sage.</w:t>
      </w:r>
    </w:p>
    <w:p w:rsidR="00446615" w:rsidRPr="00867D0D" w:rsidRDefault="00446615" w:rsidP="001B7F2F">
      <w:pPr>
        <w:autoSpaceDE w:val="0"/>
        <w:autoSpaceDN w:val="0"/>
        <w:adjustRightInd w:val="0"/>
        <w:spacing w:after="0" w:line="360" w:lineRule="auto"/>
        <w:rPr>
          <w:sz w:val="20"/>
          <w:szCs w:val="20"/>
        </w:rPr>
      </w:pPr>
      <w:r w:rsidRPr="00867D0D">
        <w:rPr>
          <w:b/>
          <w:sz w:val="20"/>
          <w:szCs w:val="20"/>
        </w:rPr>
        <w:t>Bourdieu, P. and Wacquant, L.</w:t>
      </w:r>
      <w:r w:rsidRPr="00867D0D">
        <w:rPr>
          <w:sz w:val="20"/>
          <w:szCs w:val="20"/>
        </w:rPr>
        <w:t xml:space="preserve"> </w:t>
      </w:r>
      <w:r w:rsidR="00867D0D">
        <w:rPr>
          <w:sz w:val="20"/>
          <w:szCs w:val="20"/>
        </w:rPr>
        <w:t xml:space="preserve">(1992) </w:t>
      </w:r>
      <w:proofErr w:type="gramStart"/>
      <w:r w:rsidRPr="00867D0D">
        <w:rPr>
          <w:i/>
          <w:sz w:val="20"/>
          <w:szCs w:val="20"/>
        </w:rPr>
        <w:t>An</w:t>
      </w:r>
      <w:proofErr w:type="gramEnd"/>
      <w:r w:rsidRPr="00867D0D">
        <w:rPr>
          <w:i/>
          <w:sz w:val="20"/>
          <w:szCs w:val="20"/>
        </w:rPr>
        <w:t xml:space="preserve"> Invitation to Reflexive Sociology</w:t>
      </w:r>
      <w:r w:rsidRPr="00867D0D">
        <w:rPr>
          <w:sz w:val="20"/>
          <w:szCs w:val="20"/>
        </w:rPr>
        <w:t>.</w:t>
      </w:r>
      <w:r w:rsidR="00867D0D" w:rsidRPr="00867D0D">
        <w:rPr>
          <w:sz w:val="20"/>
          <w:szCs w:val="20"/>
        </w:rPr>
        <w:t xml:space="preserve"> Cambridge: Polity Press.</w:t>
      </w:r>
    </w:p>
    <w:p w:rsidR="00827B86" w:rsidRDefault="00827B86" w:rsidP="001B7F2F">
      <w:pPr>
        <w:spacing w:after="0" w:line="360" w:lineRule="auto"/>
        <w:rPr>
          <w:sz w:val="20"/>
          <w:szCs w:val="20"/>
        </w:rPr>
      </w:pPr>
      <w:proofErr w:type="gramStart"/>
      <w:r>
        <w:rPr>
          <w:b/>
          <w:bCs/>
          <w:color w:val="282828"/>
          <w:sz w:val="20"/>
          <w:szCs w:val="20"/>
        </w:rPr>
        <w:t>Campos,</w:t>
      </w:r>
      <w:r>
        <w:rPr>
          <w:b/>
          <w:sz w:val="20"/>
          <w:szCs w:val="20"/>
        </w:rPr>
        <w:t xml:space="preserve"> </w:t>
      </w:r>
      <w:r>
        <w:rPr>
          <w:b/>
          <w:bCs/>
          <w:color w:val="282828"/>
          <w:sz w:val="20"/>
          <w:szCs w:val="20"/>
        </w:rPr>
        <w:t>Cecilia</w:t>
      </w:r>
      <w:r>
        <w:rPr>
          <w:b/>
          <w:color w:val="003B57"/>
          <w:sz w:val="20"/>
          <w:szCs w:val="20"/>
        </w:rPr>
        <w:t xml:space="preserve">; </w:t>
      </w:r>
      <w:r>
        <w:rPr>
          <w:b/>
          <w:bCs/>
          <w:color w:val="282828"/>
          <w:sz w:val="20"/>
          <w:szCs w:val="20"/>
        </w:rPr>
        <w:t>Dent, Alistair</w:t>
      </w:r>
      <w:r>
        <w:rPr>
          <w:b/>
          <w:color w:val="003B57"/>
          <w:sz w:val="20"/>
          <w:szCs w:val="20"/>
        </w:rPr>
        <w:t xml:space="preserve">; </w:t>
      </w:r>
      <w:r>
        <w:rPr>
          <w:b/>
          <w:bCs/>
          <w:color w:val="282828"/>
          <w:sz w:val="20"/>
          <w:szCs w:val="20"/>
        </w:rPr>
        <w:t>Fry, Robert</w:t>
      </w:r>
      <w:r>
        <w:rPr>
          <w:b/>
          <w:color w:val="003B57"/>
          <w:sz w:val="20"/>
          <w:szCs w:val="20"/>
        </w:rPr>
        <w:t xml:space="preserve"> </w:t>
      </w:r>
      <w:r>
        <w:rPr>
          <w:b/>
          <w:bCs/>
          <w:color w:val="282828"/>
          <w:sz w:val="20"/>
          <w:szCs w:val="20"/>
        </w:rPr>
        <w:t>and Reid, Alice.</w:t>
      </w:r>
      <w:proofErr w:type="gramEnd"/>
      <w:r>
        <w:rPr>
          <w:color w:val="003B57"/>
          <w:sz w:val="20"/>
          <w:szCs w:val="20"/>
        </w:rPr>
        <w:t xml:space="preserve"> 2011. </w:t>
      </w:r>
      <w:r>
        <w:rPr>
          <w:i/>
          <w:color w:val="003B57"/>
          <w:sz w:val="20"/>
          <w:szCs w:val="20"/>
        </w:rPr>
        <w:t xml:space="preserve">Impact of the recession </w:t>
      </w:r>
      <w:r>
        <w:rPr>
          <w:bCs/>
          <w:i/>
          <w:iCs/>
          <w:color w:val="282828"/>
          <w:sz w:val="20"/>
          <w:szCs w:val="20"/>
        </w:rPr>
        <w:t xml:space="preserve">2010/2011 </w:t>
      </w:r>
      <w:r>
        <w:rPr>
          <w:bCs/>
          <w:iCs/>
          <w:color w:val="282828"/>
          <w:sz w:val="20"/>
          <w:szCs w:val="20"/>
        </w:rPr>
        <w:t xml:space="preserve">Office for National Statistics online at: </w:t>
      </w:r>
      <w:hyperlink r:id="rId7" w:history="1">
        <w:r>
          <w:rPr>
            <w:rStyle w:val="Hyperlink"/>
            <w:rFonts w:eastAsia="Times New Roman" w:cs="Arial"/>
            <w:sz w:val="20"/>
            <w:szCs w:val="20"/>
            <w:lang w:eastAsia="en-GB"/>
          </w:rPr>
          <w:t>http://www.google.com.au/url?sa=t&amp;rct=j&amp;q=&amp;esrc=s&amp;source=web&amp;cd=7&amp;ved=0CFQQFjAG&amp;url=http%3A%2F%2Fwww.ons.gov.uk%2Fons%2Frel%2Fregional-trends%2Fregional-trends%2Fregional-trends--july-2011-edition%2Fimpact-of-the-recession.pdf&amp;ei=x3TMU9jTJZft8AXu1IKgDw&amp;usg=AFQjCNH31e9Y9C0IUaHq3ioXEXrFPtsm1Q&amp;sig2=vrFb89RAYi5_eDVPsACC3w</w:t>
        </w:r>
      </w:hyperlink>
      <w:r>
        <w:rPr>
          <w:rFonts w:eastAsia="Times New Roman"/>
          <w:color w:val="484949"/>
          <w:sz w:val="20"/>
          <w:szCs w:val="20"/>
          <w:lang w:eastAsia="en-GB"/>
        </w:rPr>
        <w:t xml:space="preserve"> </w:t>
      </w:r>
      <w:r>
        <w:rPr>
          <w:color w:val="484949"/>
          <w:sz w:val="20"/>
          <w:szCs w:val="20"/>
          <w:lang w:eastAsia="en-GB"/>
        </w:rPr>
        <w:t>accessed 20 July 2014</w:t>
      </w:r>
    </w:p>
    <w:p w:rsidR="00827B86" w:rsidRDefault="00827B86" w:rsidP="001B7F2F">
      <w:pPr>
        <w:spacing w:after="0" w:line="360" w:lineRule="auto"/>
        <w:rPr>
          <w:sz w:val="20"/>
          <w:szCs w:val="20"/>
        </w:rPr>
      </w:pPr>
      <w:r>
        <w:rPr>
          <w:b/>
          <w:sz w:val="20"/>
          <w:szCs w:val="20"/>
        </w:rPr>
        <w:t>Clarke, J. and Willis, P.</w:t>
      </w:r>
      <w:r>
        <w:rPr>
          <w:sz w:val="20"/>
          <w:szCs w:val="20"/>
        </w:rPr>
        <w:t xml:space="preserve"> 1984. ‘Introduction’ in I. Bates et al </w:t>
      </w:r>
      <w:r>
        <w:rPr>
          <w:i/>
          <w:sz w:val="20"/>
          <w:szCs w:val="20"/>
        </w:rPr>
        <w:t>Schooling for the Dole the New Vocationalism</w:t>
      </w:r>
      <w:r>
        <w:rPr>
          <w:i/>
          <w:sz w:val="20"/>
          <w:szCs w:val="20"/>
          <w:u w:val="single"/>
        </w:rPr>
        <w:t xml:space="preserve"> </w:t>
      </w:r>
      <w:r>
        <w:rPr>
          <w:sz w:val="20"/>
          <w:szCs w:val="20"/>
        </w:rPr>
        <w:t>London: Macmillan Publishers Ltd.</w:t>
      </w:r>
    </w:p>
    <w:p w:rsidR="00827B86" w:rsidRDefault="00827B86" w:rsidP="001B7F2F">
      <w:pPr>
        <w:spacing w:after="0" w:line="360" w:lineRule="auto"/>
        <w:rPr>
          <w:sz w:val="20"/>
          <w:szCs w:val="20"/>
        </w:rPr>
      </w:pPr>
      <w:proofErr w:type="gramStart"/>
      <w:r>
        <w:rPr>
          <w:b/>
          <w:sz w:val="20"/>
          <w:szCs w:val="20"/>
        </w:rPr>
        <w:t>Colley, H.; James, D.; Tedder, M. and Diment, K</w:t>
      </w:r>
      <w:r>
        <w:rPr>
          <w:sz w:val="20"/>
          <w:szCs w:val="20"/>
        </w:rPr>
        <w:t>. 2003.</w:t>
      </w:r>
      <w:proofErr w:type="gramEnd"/>
      <w:r>
        <w:rPr>
          <w:sz w:val="20"/>
          <w:szCs w:val="20"/>
        </w:rPr>
        <w:t xml:space="preserve"> </w:t>
      </w:r>
      <w:proofErr w:type="gramStart"/>
      <w:r>
        <w:rPr>
          <w:sz w:val="20"/>
          <w:szCs w:val="20"/>
        </w:rPr>
        <w:t>‘Learning as Becoming in Vocational Education and Training: Class, Gender and the role of Vocational Habitus’.</w:t>
      </w:r>
      <w:proofErr w:type="gramEnd"/>
      <w:r>
        <w:rPr>
          <w:sz w:val="20"/>
          <w:szCs w:val="20"/>
        </w:rPr>
        <w:t xml:space="preserve"> </w:t>
      </w:r>
      <w:proofErr w:type="gramStart"/>
      <w:r>
        <w:rPr>
          <w:i/>
          <w:sz w:val="20"/>
          <w:szCs w:val="20"/>
        </w:rPr>
        <w:t>Journal of Vocational Education and Training</w:t>
      </w:r>
      <w:r>
        <w:rPr>
          <w:sz w:val="20"/>
          <w:szCs w:val="20"/>
        </w:rPr>
        <w:t>.</w:t>
      </w:r>
      <w:proofErr w:type="gramEnd"/>
      <w:r>
        <w:rPr>
          <w:sz w:val="20"/>
          <w:szCs w:val="20"/>
        </w:rPr>
        <w:t xml:space="preserve"> 55 (4) pp 471-497</w:t>
      </w:r>
    </w:p>
    <w:p w:rsidR="00A6370F" w:rsidRPr="00A6370F" w:rsidRDefault="00A6370F" w:rsidP="001B7F2F">
      <w:pPr>
        <w:spacing w:after="0" w:line="360" w:lineRule="auto"/>
        <w:rPr>
          <w:i/>
          <w:sz w:val="20"/>
          <w:szCs w:val="20"/>
        </w:rPr>
      </w:pPr>
      <w:proofErr w:type="gramStart"/>
      <w:r w:rsidRPr="00A6370F">
        <w:rPr>
          <w:rFonts w:cs="Arial"/>
          <w:b/>
          <w:sz w:val="20"/>
          <w:szCs w:val="20"/>
        </w:rPr>
        <w:t>Department for Education.</w:t>
      </w:r>
      <w:proofErr w:type="gramEnd"/>
      <w:r w:rsidRPr="00A6370F">
        <w:rPr>
          <w:rFonts w:cs="Arial"/>
          <w:b/>
          <w:sz w:val="20"/>
          <w:szCs w:val="20"/>
        </w:rPr>
        <w:t xml:space="preserve"> </w:t>
      </w:r>
      <w:r w:rsidRPr="00A6370F">
        <w:rPr>
          <w:rFonts w:cs="Arial"/>
          <w:sz w:val="20"/>
          <w:szCs w:val="20"/>
        </w:rPr>
        <w:t xml:space="preserve">2012. </w:t>
      </w:r>
      <w:r w:rsidRPr="00A6370F">
        <w:rPr>
          <w:rFonts w:cs="Arial"/>
          <w:bCs/>
          <w:i/>
          <w:color w:val="000000"/>
          <w:sz w:val="20"/>
          <w:szCs w:val="20"/>
        </w:rPr>
        <w:t>Support and aspiration: A new approach to special educational needs and disability</w:t>
      </w:r>
      <w:r w:rsidRPr="000E5991">
        <w:rPr>
          <w:bCs/>
          <w:i/>
          <w:sz w:val="20"/>
          <w:szCs w:val="20"/>
        </w:rPr>
        <w:t xml:space="preserve">. </w:t>
      </w:r>
      <w:proofErr w:type="gramStart"/>
      <w:r w:rsidR="000E5991" w:rsidRPr="000E5991">
        <w:rPr>
          <w:rFonts w:cs="Arial"/>
          <w:bCs/>
          <w:i/>
          <w:color w:val="000000"/>
          <w:sz w:val="20"/>
          <w:szCs w:val="20"/>
        </w:rPr>
        <w:t>Progress and next steps.</w:t>
      </w:r>
      <w:proofErr w:type="gramEnd"/>
      <w:r w:rsidR="000E5991" w:rsidRPr="000E5991">
        <w:rPr>
          <w:rFonts w:cs="Arial"/>
          <w:bCs/>
          <w:i/>
          <w:color w:val="000000"/>
          <w:sz w:val="20"/>
          <w:szCs w:val="20"/>
        </w:rPr>
        <w:t xml:space="preserve"> </w:t>
      </w:r>
      <w:r w:rsidRPr="00A6370F">
        <w:rPr>
          <w:rFonts w:cs="Arial"/>
          <w:bCs/>
          <w:i/>
          <w:color w:val="000000"/>
          <w:sz w:val="20"/>
          <w:szCs w:val="20"/>
        </w:rPr>
        <w:t xml:space="preserve"> </w:t>
      </w:r>
      <w:r w:rsidRPr="000E5991">
        <w:rPr>
          <w:bCs/>
          <w:sz w:val="20"/>
          <w:szCs w:val="20"/>
        </w:rPr>
        <w:t xml:space="preserve">Online at: </w:t>
      </w:r>
      <w:hyperlink r:id="rId8" w:history="1">
        <w:r w:rsidRPr="000E5991">
          <w:rPr>
            <w:rStyle w:val="Hyperlink"/>
            <w:bCs/>
            <w:sz w:val="20"/>
            <w:szCs w:val="20"/>
          </w:rPr>
          <w:t>https://www.education.gov.uk/consultations/downloadableDocs/SEN%20GP%20progress%20and%20next%20steps.pdf</w:t>
        </w:r>
      </w:hyperlink>
      <w:r w:rsidRPr="000E5991">
        <w:rPr>
          <w:bCs/>
          <w:sz w:val="20"/>
          <w:szCs w:val="20"/>
        </w:rPr>
        <w:t xml:space="preserve"> accessed 27 July 2015</w:t>
      </w:r>
    </w:p>
    <w:p w:rsidR="00827B86" w:rsidRPr="000E5991" w:rsidRDefault="00827B86" w:rsidP="001B7F2F">
      <w:pPr>
        <w:spacing w:after="0" w:line="360" w:lineRule="auto"/>
        <w:rPr>
          <w:rStyle w:val="Hyperlink"/>
          <w:rFonts w:cs="Arial"/>
          <w:sz w:val="20"/>
          <w:szCs w:val="20"/>
        </w:rPr>
      </w:pPr>
      <w:proofErr w:type="gramStart"/>
      <w:r w:rsidRPr="000E5991">
        <w:rPr>
          <w:rFonts w:cs="Arial"/>
          <w:b/>
          <w:sz w:val="20"/>
          <w:szCs w:val="20"/>
        </w:rPr>
        <w:t>Department for Education.</w:t>
      </w:r>
      <w:proofErr w:type="gramEnd"/>
      <w:r w:rsidRPr="000E5991">
        <w:rPr>
          <w:rFonts w:cs="Arial"/>
          <w:b/>
          <w:sz w:val="20"/>
          <w:szCs w:val="20"/>
        </w:rPr>
        <w:t xml:space="preserve"> </w:t>
      </w:r>
      <w:r w:rsidRPr="000E5991">
        <w:rPr>
          <w:rFonts w:cs="Arial"/>
          <w:sz w:val="20"/>
          <w:szCs w:val="20"/>
        </w:rPr>
        <w:t xml:space="preserve">2011. </w:t>
      </w:r>
      <w:r w:rsidRPr="000E5991">
        <w:rPr>
          <w:rFonts w:cs="Arial"/>
          <w:i/>
          <w:sz w:val="20"/>
          <w:szCs w:val="20"/>
        </w:rPr>
        <w:t>Wolf Review of Vocational Education: Government Response</w:t>
      </w:r>
      <w:r w:rsidRPr="000E5991">
        <w:rPr>
          <w:rFonts w:cs="Arial"/>
          <w:sz w:val="20"/>
          <w:szCs w:val="20"/>
        </w:rPr>
        <w:t xml:space="preserve"> </w:t>
      </w:r>
      <w:r w:rsidRPr="000E5991">
        <w:rPr>
          <w:rStyle w:val="A2"/>
          <w:rFonts w:asciiTheme="minorHAnsi" w:hAnsiTheme="minorHAnsi" w:cs="Arial"/>
          <w:sz w:val="20"/>
          <w:szCs w:val="20"/>
        </w:rPr>
        <w:t xml:space="preserve">online at: </w:t>
      </w:r>
      <w:hyperlink r:id="rId9" w:history="1">
        <w:r w:rsidR="00A6370F" w:rsidRPr="000E5991">
          <w:rPr>
            <w:rStyle w:val="Hyperlink"/>
            <w:rFonts w:cs="Arial"/>
            <w:sz w:val="20"/>
            <w:szCs w:val="20"/>
          </w:rPr>
          <w:t>http://www.education.gov.uk/publications</w:t>
        </w:r>
        <w:r w:rsidR="00A6370F" w:rsidRPr="000E5991">
          <w:rPr>
            <w:rStyle w:val="Hyperlink"/>
            <w:rFonts w:cs="Arial"/>
            <w:color w:val="auto"/>
            <w:sz w:val="20"/>
            <w:szCs w:val="20"/>
            <w:u w:val="none"/>
          </w:rPr>
          <w:t xml:space="preserve"> accessed 24 May 201</w:t>
        </w:r>
        <w:r w:rsidR="00A6370F" w:rsidRPr="000E5991">
          <w:rPr>
            <w:rStyle w:val="Hyperlink"/>
            <w:rFonts w:cs="Arial"/>
            <w:sz w:val="20"/>
            <w:szCs w:val="20"/>
          </w:rPr>
          <w:t>4</w:t>
        </w:r>
      </w:hyperlink>
    </w:p>
    <w:p w:rsidR="004B601F" w:rsidRPr="000E5991" w:rsidRDefault="004B601F" w:rsidP="001B7F2F">
      <w:pPr>
        <w:spacing w:after="0" w:line="360" w:lineRule="auto"/>
        <w:rPr>
          <w:rFonts w:cs="Arial"/>
          <w:sz w:val="20"/>
          <w:szCs w:val="20"/>
        </w:rPr>
      </w:pPr>
      <w:r w:rsidRPr="000E5991">
        <w:rPr>
          <w:rFonts w:cs="Arial"/>
          <w:color w:val="000000"/>
          <w:sz w:val="20"/>
          <w:szCs w:val="20"/>
        </w:rPr>
        <w:t xml:space="preserve"> </w:t>
      </w:r>
      <w:proofErr w:type="gramStart"/>
      <w:r w:rsidRPr="000E5991">
        <w:rPr>
          <w:rFonts w:cs="Arial"/>
          <w:b/>
          <w:sz w:val="20"/>
          <w:szCs w:val="20"/>
        </w:rPr>
        <w:t>Department for Education</w:t>
      </w:r>
      <w:r w:rsidR="00A6370F" w:rsidRPr="000E5991">
        <w:rPr>
          <w:rFonts w:cs="Arial"/>
          <w:b/>
          <w:sz w:val="20"/>
          <w:szCs w:val="20"/>
        </w:rPr>
        <w:t>/Department for Business, Innovation and Skills</w:t>
      </w:r>
      <w:r w:rsidRPr="000E5991">
        <w:rPr>
          <w:rFonts w:cs="Arial"/>
          <w:b/>
          <w:sz w:val="20"/>
          <w:szCs w:val="20"/>
        </w:rPr>
        <w:t>.</w:t>
      </w:r>
      <w:proofErr w:type="gramEnd"/>
      <w:r w:rsidRPr="000E5991">
        <w:rPr>
          <w:rFonts w:cs="Arial"/>
          <w:b/>
          <w:sz w:val="20"/>
          <w:szCs w:val="20"/>
        </w:rPr>
        <w:t xml:space="preserve"> </w:t>
      </w:r>
      <w:r w:rsidRPr="000E5991">
        <w:rPr>
          <w:rFonts w:cs="Arial"/>
          <w:sz w:val="20"/>
          <w:szCs w:val="20"/>
        </w:rPr>
        <w:t>201</w:t>
      </w:r>
      <w:r w:rsidR="00A6370F" w:rsidRPr="000E5991">
        <w:rPr>
          <w:rFonts w:cs="Arial"/>
          <w:sz w:val="20"/>
          <w:szCs w:val="20"/>
        </w:rPr>
        <w:t>3.</w:t>
      </w:r>
      <w:r w:rsidRPr="000E5991">
        <w:rPr>
          <w:rFonts w:cs="Arial"/>
          <w:sz w:val="20"/>
          <w:szCs w:val="20"/>
        </w:rPr>
        <w:t xml:space="preserve"> </w:t>
      </w:r>
      <w:r w:rsidRPr="000E5991">
        <w:rPr>
          <w:rFonts w:cs="Arial"/>
          <w:color w:val="000000"/>
          <w:sz w:val="20"/>
          <w:szCs w:val="20"/>
        </w:rPr>
        <w:t>Supporting young people to develop the skills for apprenticeships and sustainable employment</w:t>
      </w:r>
      <w:r w:rsidR="00A6370F" w:rsidRPr="000E5991">
        <w:rPr>
          <w:rFonts w:cs="Arial"/>
          <w:color w:val="000000"/>
          <w:sz w:val="20"/>
          <w:szCs w:val="20"/>
        </w:rPr>
        <w:t xml:space="preserve">. Online at: </w:t>
      </w:r>
      <w:hyperlink r:id="rId10" w:history="1">
        <w:r w:rsidR="000E5991" w:rsidRPr="000E5991">
          <w:rPr>
            <w:rStyle w:val="Hyperlink"/>
            <w:rFonts w:cs="Arial"/>
            <w:sz w:val="20"/>
            <w:szCs w:val="20"/>
          </w:rPr>
          <w:t>https://www.gov.uk/government/uploads/system/uploads/attachment_data/file/197592/Traineeships_discussion_paper.pdf</w:t>
        </w:r>
      </w:hyperlink>
      <w:r w:rsidR="000E5991" w:rsidRPr="000E5991">
        <w:rPr>
          <w:rFonts w:cs="Arial"/>
          <w:color w:val="000000"/>
          <w:sz w:val="20"/>
          <w:szCs w:val="20"/>
        </w:rPr>
        <w:t xml:space="preserve"> accessed 27 July 2015.</w:t>
      </w:r>
    </w:p>
    <w:p w:rsidR="00827B86" w:rsidRPr="000E5991" w:rsidRDefault="00827B86" w:rsidP="001B7F2F">
      <w:pPr>
        <w:spacing w:after="0" w:line="360" w:lineRule="auto"/>
        <w:rPr>
          <w:sz w:val="20"/>
          <w:szCs w:val="20"/>
        </w:rPr>
      </w:pPr>
      <w:proofErr w:type="gramStart"/>
      <w:r w:rsidRPr="000E5991">
        <w:rPr>
          <w:b/>
          <w:sz w:val="20"/>
          <w:szCs w:val="20"/>
        </w:rPr>
        <w:t>Department for Education and Skills.</w:t>
      </w:r>
      <w:proofErr w:type="gramEnd"/>
      <w:r w:rsidRPr="000E5991">
        <w:rPr>
          <w:b/>
          <w:sz w:val="20"/>
          <w:szCs w:val="20"/>
        </w:rPr>
        <w:t xml:space="preserve"> </w:t>
      </w:r>
      <w:r w:rsidRPr="000E5991">
        <w:rPr>
          <w:sz w:val="20"/>
          <w:szCs w:val="20"/>
        </w:rPr>
        <w:t xml:space="preserve">2006. </w:t>
      </w:r>
      <w:r w:rsidRPr="000E5991">
        <w:rPr>
          <w:i/>
          <w:sz w:val="20"/>
          <w:szCs w:val="20"/>
        </w:rPr>
        <w:t xml:space="preserve">Further Education: Raising Skills, Improving Life Chances </w:t>
      </w:r>
      <w:r w:rsidRPr="000E5991">
        <w:rPr>
          <w:sz w:val="20"/>
          <w:szCs w:val="20"/>
        </w:rPr>
        <w:t>Norwich: The Stationary Office.</w:t>
      </w:r>
    </w:p>
    <w:p w:rsidR="00827B86" w:rsidRDefault="00827B86" w:rsidP="001B7F2F">
      <w:pPr>
        <w:autoSpaceDE w:val="0"/>
        <w:autoSpaceDN w:val="0"/>
        <w:adjustRightInd w:val="0"/>
        <w:spacing w:after="0" w:line="360" w:lineRule="auto"/>
        <w:rPr>
          <w:sz w:val="20"/>
          <w:szCs w:val="20"/>
        </w:rPr>
      </w:pPr>
      <w:proofErr w:type="gramStart"/>
      <w:r>
        <w:rPr>
          <w:b/>
          <w:sz w:val="20"/>
          <w:szCs w:val="20"/>
        </w:rPr>
        <w:t>Department for Education and Skills.</w:t>
      </w:r>
      <w:proofErr w:type="gramEnd"/>
      <w:r>
        <w:rPr>
          <w:b/>
          <w:sz w:val="20"/>
          <w:szCs w:val="20"/>
        </w:rPr>
        <w:t xml:space="preserve"> </w:t>
      </w:r>
      <w:r>
        <w:rPr>
          <w:sz w:val="20"/>
          <w:szCs w:val="20"/>
        </w:rPr>
        <w:t xml:space="preserve">2005. </w:t>
      </w:r>
      <w:r>
        <w:rPr>
          <w:i/>
          <w:sz w:val="20"/>
          <w:szCs w:val="20"/>
        </w:rPr>
        <w:t>14-19 Education and Skills</w:t>
      </w:r>
      <w:r>
        <w:rPr>
          <w:sz w:val="20"/>
          <w:szCs w:val="20"/>
        </w:rPr>
        <w:t xml:space="preserve"> Annesley: DfES Publications.</w:t>
      </w:r>
    </w:p>
    <w:p w:rsidR="00827B86" w:rsidRDefault="00827B86" w:rsidP="001B7F2F">
      <w:pPr>
        <w:spacing w:after="0" w:line="360" w:lineRule="auto"/>
        <w:rPr>
          <w:rFonts w:eastAsia="Times New Roman" w:cs="Times New Roman"/>
          <w:sz w:val="20"/>
          <w:szCs w:val="20"/>
          <w:lang w:val="en-AU" w:eastAsia="en-AU"/>
        </w:rPr>
      </w:pPr>
      <w:proofErr w:type="gramStart"/>
      <w:r>
        <w:rPr>
          <w:rFonts w:eastAsia="Times New Roman" w:cs="Times New Roman"/>
          <w:b/>
          <w:sz w:val="20"/>
          <w:szCs w:val="20"/>
          <w:lang w:val="en-AU" w:eastAsia="en-AU"/>
        </w:rPr>
        <w:t>Higham JJS and Yeomans DJ</w:t>
      </w:r>
      <w:r>
        <w:rPr>
          <w:rFonts w:eastAsia="Times New Roman" w:cs="Times New Roman"/>
          <w:sz w:val="20"/>
          <w:szCs w:val="20"/>
          <w:lang w:val="en-AU" w:eastAsia="en-AU"/>
        </w:rPr>
        <w:t>.</w:t>
      </w:r>
      <w:proofErr w:type="gramEnd"/>
      <w:r>
        <w:rPr>
          <w:rFonts w:eastAsia="Times New Roman" w:cs="Times New Roman"/>
          <w:sz w:val="20"/>
          <w:szCs w:val="20"/>
          <w:lang w:val="en-AU" w:eastAsia="en-AU"/>
        </w:rPr>
        <w:t xml:space="preserve"> 2007. Policy Memory and Policy Amnesia in 14-19 Education: learning from the past?</w:t>
      </w:r>
      <w:r>
        <w:rPr>
          <w:rFonts w:eastAsia="Times New Roman" w:cs="Times New Roman"/>
          <w:sz w:val="20"/>
          <w:szCs w:val="20"/>
          <w:lang w:eastAsia="en-AU"/>
        </w:rPr>
        <w:t xml:space="preserve"> </w:t>
      </w:r>
      <w:proofErr w:type="gramStart"/>
      <w:r>
        <w:rPr>
          <w:rFonts w:eastAsia="Times New Roman" w:cs="Times New Roman"/>
          <w:sz w:val="20"/>
          <w:szCs w:val="20"/>
          <w:lang w:eastAsia="en-AU"/>
        </w:rPr>
        <w:t xml:space="preserve">In </w:t>
      </w:r>
      <w:r>
        <w:rPr>
          <w:rFonts w:eastAsia="Times New Roman" w:cs="Times New Roman"/>
          <w:sz w:val="20"/>
          <w:szCs w:val="20"/>
          <w:lang w:val="en-AU" w:eastAsia="en-AU"/>
        </w:rPr>
        <w:t xml:space="preserve">D. Raffe and K. Spours (Eds) </w:t>
      </w:r>
      <w:r>
        <w:rPr>
          <w:rFonts w:eastAsia="Times New Roman" w:cs="Times New Roman"/>
          <w:i/>
          <w:sz w:val="20"/>
          <w:szCs w:val="20"/>
          <w:lang w:val="en-AU" w:eastAsia="en-AU"/>
        </w:rPr>
        <w:t>Policy Making and Policy Learning in 14-19 Education.</w:t>
      </w:r>
      <w:proofErr w:type="gramEnd"/>
      <w:r>
        <w:rPr>
          <w:rFonts w:eastAsia="Times New Roman" w:cs="Times New Roman"/>
          <w:i/>
          <w:sz w:val="20"/>
          <w:szCs w:val="20"/>
          <w:lang w:val="en-AU" w:eastAsia="en-AU"/>
        </w:rPr>
        <w:t xml:space="preserve"> </w:t>
      </w:r>
      <w:r>
        <w:rPr>
          <w:rFonts w:eastAsia="Times New Roman" w:cs="Times New Roman"/>
          <w:sz w:val="20"/>
          <w:szCs w:val="20"/>
          <w:lang w:val="en-AU" w:eastAsia="en-AU"/>
        </w:rPr>
        <w:t xml:space="preserve"> </w:t>
      </w:r>
      <w:proofErr w:type="gramStart"/>
      <w:r>
        <w:rPr>
          <w:rFonts w:eastAsia="Times New Roman" w:cs="Times New Roman"/>
          <w:sz w:val="20"/>
          <w:szCs w:val="20"/>
          <w:lang w:val="en-AU" w:eastAsia="en-AU"/>
        </w:rPr>
        <w:t>Institute of Education, University of London.</w:t>
      </w:r>
      <w:proofErr w:type="gramEnd"/>
    </w:p>
    <w:p w:rsidR="00827B86" w:rsidRDefault="00827B86" w:rsidP="001B7F2F">
      <w:pPr>
        <w:autoSpaceDE w:val="0"/>
        <w:autoSpaceDN w:val="0"/>
        <w:adjustRightInd w:val="0"/>
        <w:spacing w:after="0" w:line="360" w:lineRule="auto"/>
        <w:rPr>
          <w:rFonts w:cs="Times New Roman"/>
          <w:bCs/>
          <w:sz w:val="20"/>
          <w:szCs w:val="20"/>
        </w:rPr>
      </w:pPr>
      <w:r>
        <w:rPr>
          <w:rFonts w:cs="Times New Roman"/>
          <w:b/>
          <w:bCs/>
          <w:sz w:val="20"/>
          <w:szCs w:val="20"/>
        </w:rPr>
        <w:t xml:space="preserve">Hodkinson, Phil. </w:t>
      </w:r>
      <w:r>
        <w:rPr>
          <w:rFonts w:cs="Times New Roman"/>
          <w:bCs/>
          <w:sz w:val="20"/>
          <w:szCs w:val="20"/>
        </w:rPr>
        <w:t xml:space="preserve">2008. Understanding career decision-making and progression: Careership revisited. </w:t>
      </w:r>
      <w:r>
        <w:rPr>
          <w:rFonts w:cs="Times New Roman"/>
          <w:bCs/>
          <w:i/>
          <w:sz w:val="20"/>
          <w:szCs w:val="20"/>
        </w:rPr>
        <w:t xml:space="preserve">John Killeen Memorial Lecture </w:t>
      </w:r>
      <w:r>
        <w:rPr>
          <w:rFonts w:cs="Times New Roman"/>
          <w:bCs/>
          <w:sz w:val="20"/>
          <w:szCs w:val="20"/>
        </w:rPr>
        <w:t>Woburn House, London 16th October 2008.</w:t>
      </w:r>
    </w:p>
    <w:p w:rsidR="00827B86" w:rsidRDefault="00827B86" w:rsidP="001B7F2F">
      <w:pPr>
        <w:spacing w:after="0" w:line="360" w:lineRule="auto"/>
        <w:rPr>
          <w:sz w:val="20"/>
          <w:szCs w:val="20"/>
        </w:rPr>
      </w:pPr>
      <w:r>
        <w:rPr>
          <w:b/>
          <w:sz w:val="20"/>
          <w:szCs w:val="20"/>
        </w:rPr>
        <w:t>Hodkinson, P</w:t>
      </w:r>
      <w:r>
        <w:rPr>
          <w:sz w:val="20"/>
          <w:szCs w:val="20"/>
        </w:rPr>
        <w:t>. 1998. Career Decision Making and the Transition from School to Work in M. Grenfell and D. James (</w:t>
      </w:r>
      <w:proofErr w:type="gramStart"/>
      <w:r>
        <w:rPr>
          <w:sz w:val="20"/>
          <w:szCs w:val="20"/>
        </w:rPr>
        <w:t>eds</w:t>
      </w:r>
      <w:proofErr w:type="gramEnd"/>
      <w:r>
        <w:rPr>
          <w:sz w:val="20"/>
          <w:szCs w:val="20"/>
        </w:rPr>
        <w:t xml:space="preserve">) </w:t>
      </w:r>
      <w:r>
        <w:rPr>
          <w:i/>
          <w:sz w:val="20"/>
          <w:szCs w:val="20"/>
        </w:rPr>
        <w:t>Bourdieu and Education Acts of Practical Theory</w:t>
      </w:r>
      <w:r>
        <w:rPr>
          <w:sz w:val="20"/>
          <w:szCs w:val="20"/>
        </w:rPr>
        <w:t xml:space="preserve"> London: Falmer Press.</w:t>
      </w:r>
    </w:p>
    <w:p w:rsidR="00827B86" w:rsidRDefault="00827B86" w:rsidP="001B7F2F">
      <w:pPr>
        <w:spacing w:after="0" w:line="360" w:lineRule="auto"/>
        <w:rPr>
          <w:rFonts w:eastAsia="Times New Roman" w:cs="Times New Roman"/>
          <w:sz w:val="20"/>
          <w:szCs w:val="20"/>
          <w:lang w:val="en-AU" w:eastAsia="en-AU"/>
        </w:rPr>
      </w:pPr>
      <w:proofErr w:type="gramStart"/>
      <w:r>
        <w:rPr>
          <w:b/>
          <w:sz w:val="20"/>
          <w:szCs w:val="20"/>
        </w:rPr>
        <w:t>Hodkinson P. and Bloomer M.</w:t>
      </w:r>
      <w:r>
        <w:rPr>
          <w:sz w:val="20"/>
          <w:szCs w:val="20"/>
        </w:rPr>
        <w:t xml:space="preserve"> 2001.</w:t>
      </w:r>
      <w:proofErr w:type="gramEnd"/>
      <w:r>
        <w:rPr>
          <w:sz w:val="20"/>
          <w:szCs w:val="20"/>
        </w:rPr>
        <w:t xml:space="preserve"> </w:t>
      </w:r>
      <w:proofErr w:type="gramStart"/>
      <w:r>
        <w:rPr>
          <w:sz w:val="20"/>
          <w:szCs w:val="20"/>
        </w:rPr>
        <w:t>Dropping out of further education: complex causes and simplistic policy assumptions.</w:t>
      </w:r>
      <w:proofErr w:type="gramEnd"/>
      <w:r>
        <w:rPr>
          <w:sz w:val="20"/>
          <w:szCs w:val="20"/>
        </w:rPr>
        <w:t xml:space="preserve"> </w:t>
      </w:r>
      <w:r>
        <w:rPr>
          <w:sz w:val="20"/>
          <w:szCs w:val="20"/>
          <w:lang w:val="en"/>
        </w:rPr>
        <w:t xml:space="preserve"> </w:t>
      </w:r>
      <w:hyperlink r:id="rId11" w:tooltip="Research Papers in Education" w:history="1">
        <w:proofErr w:type="gramStart"/>
        <w:r>
          <w:rPr>
            <w:rStyle w:val="Hyperlink"/>
            <w:i/>
            <w:sz w:val="20"/>
            <w:szCs w:val="20"/>
            <w:lang w:val="en"/>
          </w:rPr>
          <w:t>Research Papers in Education</w:t>
        </w:r>
      </w:hyperlink>
      <w:r>
        <w:rPr>
          <w:i/>
          <w:sz w:val="20"/>
          <w:szCs w:val="20"/>
          <w:lang w:val="en"/>
        </w:rPr>
        <w:t>.</w:t>
      </w:r>
      <w:proofErr w:type="gramEnd"/>
      <w:r>
        <w:rPr>
          <w:i/>
          <w:sz w:val="20"/>
          <w:szCs w:val="20"/>
          <w:lang w:val="en"/>
        </w:rPr>
        <w:t xml:space="preserve"> </w:t>
      </w:r>
      <w:r>
        <w:rPr>
          <w:sz w:val="20"/>
          <w:szCs w:val="20"/>
          <w:lang w:val="en"/>
        </w:rPr>
        <w:t>16 (2)</w:t>
      </w:r>
      <w:proofErr w:type="gramStart"/>
      <w:r>
        <w:rPr>
          <w:sz w:val="20"/>
          <w:szCs w:val="20"/>
          <w:lang w:val="en"/>
        </w:rPr>
        <w:t>,  pp</w:t>
      </w:r>
      <w:proofErr w:type="gramEnd"/>
      <w:r>
        <w:rPr>
          <w:sz w:val="20"/>
          <w:szCs w:val="20"/>
          <w:lang w:val="en"/>
        </w:rPr>
        <w:t>. 117-140.</w:t>
      </w:r>
    </w:p>
    <w:p w:rsidR="00827B86" w:rsidRDefault="00827B86" w:rsidP="001B7F2F">
      <w:pPr>
        <w:spacing w:after="0" w:line="360" w:lineRule="auto"/>
        <w:rPr>
          <w:sz w:val="20"/>
          <w:szCs w:val="20"/>
        </w:rPr>
      </w:pPr>
      <w:proofErr w:type="gramStart"/>
      <w:r>
        <w:rPr>
          <w:b/>
          <w:sz w:val="20"/>
          <w:szCs w:val="20"/>
        </w:rPr>
        <w:lastRenderedPageBreak/>
        <w:t>Hodkinson, P.; Sparkes, A. and Hodkinson, H.</w:t>
      </w:r>
      <w:r>
        <w:rPr>
          <w:sz w:val="20"/>
          <w:szCs w:val="20"/>
        </w:rPr>
        <w:t xml:space="preserve"> 1996.</w:t>
      </w:r>
      <w:proofErr w:type="gramEnd"/>
      <w:r>
        <w:rPr>
          <w:sz w:val="20"/>
          <w:szCs w:val="20"/>
        </w:rPr>
        <w:t xml:space="preserve"> </w:t>
      </w:r>
      <w:r>
        <w:rPr>
          <w:i/>
          <w:sz w:val="20"/>
          <w:szCs w:val="20"/>
        </w:rPr>
        <w:t>Triumphs and Tears: Young People, Markets and the Transition from School to Work</w:t>
      </w:r>
      <w:r>
        <w:rPr>
          <w:sz w:val="20"/>
          <w:szCs w:val="20"/>
        </w:rPr>
        <w:t>. London: David Fulton.</w:t>
      </w:r>
    </w:p>
    <w:p w:rsidR="00827B86" w:rsidRDefault="00827B86" w:rsidP="001B7F2F">
      <w:pPr>
        <w:spacing w:after="0" w:line="360" w:lineRule="auto"/>
        <w:rPr>
          <w:sz w:val="20"/>
          <w:szCs w:val="20"/>
        </w:rPr>
      </w:pPr>
      <w:r>
        <w:rPr>
          <w:b/>
          <w:sz w:val="20"/>
          <w:szCs w:val="20"/>
        </w:rPr>
        <w:t xml:space="preserve">Keep, Ewart. </w:t>
      </w:r>
      <w:r>
        <w:rPr>
          <w:sz w:val="20"/>
          <w:szCs w:val="20"/>
        </w:rPr>
        <w:t>2014.</w:t>
      </w:r>
      <w:r>
        <w:rPr>
          <w:rFonts w:eastAsiaTheme="majorEastAsia" w:cstheme="majorBidi"/>
          <w:bCs/>
          <w:i/>
          <w:iCs/>
          <w:color w:val="000000" w:themeColor="text1"/>
          <w:kern w:val="24"/>
          <w:sz w:val="20"/>
          <w:szCs w:val="20"/>
        </w:rPr>
        <w:t xml:space="preserve"> V</w:t>
      </w:r>
      <w:r>
        <w:rPr>
          <w:bCs/>
          <w:iCs/>
          <w:sz w:val="20"/>
          <w:szCs w:val="20"/>
        </w:rPr>
        <w:t>ocational qualifications and their interaction with the labour market – the challenges of weak incentives to learn.</w:t>
      </w:r>
      <w:r>
        <w:rPr>
          <w:b/>
          <w:bCs/>
          <w:i/>
          <w:iCs/>
          <w:sz w:val="20"/>
          <w:szCs w:val="20"/>
        </w:rPr>
        <w:t xml:space="preserve"> </w:t>
      </w:r>
      <w:r>
        <w:rPr>
          <w:bCs/>
          <w:iCs/>
          <w:sz w:val="20"/>
          <w:szCs w:val="20"/>
        </w:rPr>
        <w:t xml:space="preserve">Keynote Address at </w:t>
      </w:r>
      <w:r>
        <w:rPr>
          <w:bCs/>
          <w:i/>
          <w:iCs/>
          <w:sz w:val="20"/>
          <w:szCs w:val="20"/>
        </w:rPr>
        <w:t>Research in Post-compulsory Education, Inaugural Conference</w:t>
      </w:r>
      <w:r>
        <w:rPr>
          <w:bCs/>
          <w:iCs/>
          <w:sz w:val="20"/>
          <w:szCs w:val="20"/>
        </w:rPr>
        <w:t>, University of Oxford, July 2014.</w:t>
      </w:r>
    </w:p>
    <w:p w:rsidR="00827B86" w:rsidRDefault="00827B86" w:rsidP="001B7F2F">
      <w:pPr>
        <w:spacing w:after="0" w:line="360" w:lineRule="auto"/>
        <w:rPr>
          <w:sz w:val="20"/>
          <w:szCs w:val="20"/>
        </w:rPr>
      </w:pPr>
      <w:r>
        <w:rPr>
          <w:b/>
          <w:sz w:val="20"/>
          <w:szCs w:val="20"/>
        </w:rPr>
        <w:t xml:space="preserve">Keep, Ewart. </w:t>
      </w:r>
      <w:r>
        <w:rPr>
          <w:sz w:val="20"/>
          <w:szCs w:val="20"/>
        </w:rPr>
        <w:t xml:space="preserve">2009. </w:t>
      </w:r>
      <w:r>
        <w:rPr>
          <w:bCs/>
          <w:i/>
          <w:sz w:val="20"/>
          <w:szCs w:val="20"/>
        </w:rPr>
        <w:t xml:space="preserve">Internal and External Incentives to Engage in Education and Training – a Framework for Analysing the Forces Acting on Individuals? </w:t>
      </w:r>
      <w:r>
        <w:rPr>
          <w:bCs/>
          <w:sz w:val="20"/>
          <w:szCs w:val="20"/>
        </w:rPr>
        <w:t xml:space="preserve">Monograph No. 12 </w:t>
      </w:r>
      <w:r>
        <w:rPr>
          <w:sz w:val="20"/>
          <w:szCs w:val="20"/>
        </w:rPr>
        <w:t>ESRC Centre on Skills, Knowledge &amp; Organisational Performance, Cardiff University. Online publication available at: http://www.cardiff.ac.uk/socsi/research/researchcentres/skope/publications/monographs/index.html accessed 25 July 2014</w:t>
      </w:r>
    </w:p>
    <w:p w:rsidR="00827B86" w:rsidRDefault="00827B86" w:rsidP="001B7F2F">
      <w:pPr>
        <w:autoSpaceDE w:val="0"/>
        <w:autoSpaceDN w:val="0"/>
        <w:adjustRightInd w:val="0"/>
        <w:spacing w:after="0" w:line="360" w:lineRule="auto"/>
        <w:rPr>
          <w:rFonts w:cs="Plantin-Italic"/>
          <w:iCs/>
          <w:sz w:val="20"/>
          <w:szCs w:val="20"/>
          <w:lang w:val="en-US"/>
        </w:rPr>
      </w:pPr>
      <w:r>
        <w:rPr>
          <w:rFonts w:cs="Plantin-Bold"/>
          <w:b/>
          <w:bCs/>
          <w:sz w:val="20"/>
          <w:szCs w:val="20"/>
          <w:lang w:val="en-US"/>
        </w:rPr>
        <w:t xml:space="preserve">Keep, Ewart. </w:t>
      </w:r>
      <w:r>
        <w:rPr>
          <w:rFonts w:cs="Plantin-Bold"/>
          <w:bCs/>
          <w:sz w:val="20"/>
          <w:szCs w:val="20"/>
          <w:lang w:val="en-US"/>
        </w:rPr>
        <w:t xml:space="preserve">2005. Reflections on the curious absence of employers, labour market incentives and labour market regulation in English 14–19 policy: first signs of a change in direction? </w:t>
      </w:r>
      <w:proofErr w:type="gramStart"/>
      <w:r>
        <w:rPr>
          <w:rFonts w:cs="Plantin-Italic"/>
          <w:i/>
          <w:iCs/>
          <w:sz w:val="20"/>
          <w:szCs w:val="20"/>
          <w:lang w:val="en-US"/>
        </w:rPr>
        <w:t>Journal of Education Policy.</w:t>
      </w:r>
      <w:proofErr w:type="gramEnd"/>
      <w:r>
        <w:rPr>
          <w:rFonts w:cs="Plantin-Italic"/>
          <w:i/>
          <w:iCs/>
          <w:sz w:val="20"/>
          <w:szCs w:val="20"/>
          <w:lang w:val="en-US"/>
        </w:rPr>
        <w:t xml:space="preserve"> </w:t>
      </w:r>
      <w:r>
        <w:rPr>
          <w:rFonts w:cs="Plantin-Italic"/>
          <w:iCs/>
          <w:sz w:val="20"/>
          <w:szCs w:val="20"/>
          <w:lang w:val="en-US"/>
        </w:rPr>
        <w:t>20 (5</w:t>
      </w:r>
      <w:proofErr w:type="gramStart"/>
      <w:r>
        <w:rPr>
          <w:rFonts w:cs="Plantin-Italic"/>
          <w:iCs/>
          <w:sz w:val="20"/>
          <w:szCs w:val="20"/>
          <w:lang w:val="en-US"/>
        </w:rPr>
        <w:t>)  pp</w:t>
      </w:r>
      <w:proofErr w:type="gramEnd"/>
      <w:r>
        <w:rPr>
          <w:rFonts w:cs="Plantin-Italic"/>
          <w:iCs/>
          <w:sz w:val="20"/>
          <w:szCs w:val="20"/>
          <w:lang w:val="en-US"/>
        </w:rPr>
        <w:t>. 533–553.</w:t>
      </w:r>
    </w:p>
    <w:p w:rsidR="00827B86" w:rsidRDefault="00827B86" w:rsidP="001B7F2F">
      <w:pPr>
        <w:autoSpaceDE w:val="0"/>
        <w:autoSpaceDN w:val="0"/>
        <w:adjustRightInd w:val="0"/>
        <w:spacing w:after="0" w:line="360" w:lineRule="auto"/>
        <w:rPr>
          <w:rFonts w:cs="TimesNewRoman,Bold"/>
          <w:bCs/>
          <w:sz w:val="20"/>
          <w:szCs w:val="20"/>
          <w:lang w:val="en-US"/>
        </w:rPr>
      </w:pPr>
      <w:r>
        <w:rPr>
          <w:rFonts w:cs="TimesNewRoman,Bold"/>
          <w:b/>
          <w:bCs/>
          <w:sz w:val="20"/>
          <w:szCs w:val="20"/>
          <w:lang w:val="en-US"/>
        </w:rPr>
        <w:t xml:space="preserve">Keep, Ewart. </w:t>
      </w:r>
      <w:r>
        <w:rPr>
          <w:rFonts w:cs="TimesNewRoman,Bold"/>
          <w:bCs/>
          <w:sz w:val="20"/>
          <w:szCs w:val="20"/>
          <w:lang w:val="en-US"/>
        </w:rPr>
        <w:t xml:space="preserve">2004. Reflections on a Curious Absence: The Role of Employers, Labour Market Incentives and Labour Market Regulation </w:t>
      </w:r>
      <w:r>
        <w:rPr>
          <w:rFonts w:cs="TimesNewRoman,Bold"/>
          <w:bCs/>
          <w:i/>
          <w:sz w:val="20"/>
          <w:szCs w:val="20"/>
          <w:lang w:val="en-US"/>
        </w:rPr>
        <w:t>Nuffield Review of 14-19 Education and Training Working Paper 22</w:t>
      </w:r>
      <w:r>
        <w:rPr>
          <w:rFonts w:cs="TimesNewRoman,Bold"/>
          <w:bCs/>
          <w:sz w:val="20"/>
          <w:szCs w:val="20"/>
          <w:lang w:val="en-US"/>
        </w:rPr>
        <w:t xml:space="preserve"> (based on Discussion Paper given at Working Day IV, 25 May 2004) </w:t>
      </w:r>
    </w:p>
    <w:p w:rsidR="00827B86" w:rsidRPr="00DF1E29" w:rsidRDefault="00827B86" w:rsidP="001B7F2F">
      <w:pPr>
        <w:spacing w:after="0" w:line="360" w:lineRule="auto"/>
        <w:rPr>
          <w:rFonts w:eastAsia="Times New Roman"/>
          <w:sz w:val="20"/>
          <w:szCs w:val="20"/>
          <w:lang w:eastAsia="en-GB"/>
        </w:rPr>
      </w:pPr>
      <w:r w:rsidRPr="00DF1E29">
        <w:rPr>
          <w:rFonts w:eastAsia="Times New Roman"/>
          <w:b/>
          <w:sz w:val="20"/>
          <w:szCs w:val="20"/>
          <w:lang w:eastAsia="en-GB"/>
        </w:rPr>
        <w:t>Keep, E. and James, S.</w:t>
      </w:r>
      <w:r w:rsidRPr="00DF1E29">
        <w:rPr>
          <w:rFonts w:eastAsia="Times New Roman"/>
          <w:sz w:val="20"/>
          <w:szCs w:val="20"/>
          <w:lang w:eastAsia="en-GB"/>
        </w:rPr>
        <w:t xml:space="preserve"> 2012. </w:t>
      </w:r>
      <w:proofErr w:type="gramStart"/>
      <w:r w:rsidRPr="00DF1E29">
        <w:rPr>
          <w:rFonts w:eastAsia="Times New Roman"/>
          <w:sz w:val="20"/>
          <w:szCs w:val="20"/>
          <w:lang w:eastAsia="en-GB"/>
        </w:rPr>
        <w:t>A Bermuda Triangle of Policy?</w:t>
      </w:r>
      <w:proofErr w:type="gramEnd"/>
      <w:r w:rsidRPr="00DF1E29">
        <w:rPr>
          <w:rFonts w:eastAsia="Times New Roman"/>
          <w:sz w:val="20"/>
          <w:szCs w:val="20"/>
          <w:lang w:eastAsia="en-GB"/>
        </w:rPr>
        <w:t xml:space="preserve"> ‘Bad jobs’, skills policy and incentives to learn at the bottom end of the labour market. </w:t>
      </w:r>
      <w:r w:rsidRPr="00DF1E29">
        <w:rPr>
          <w:rFonts w:eastAsia="Times New Roman"/>
          <w:i/>
          <w:iCs/>
          <w:sz w:val="20"/>
          <w:szCs w:val="20"/>
          <w:lang w:eastAsia="en-GB"/>
        </w:rPr>
        <w:t xml:space="preserve">Journal of Education and </w:t>
      </w:r>
      <w:proofErr w:type="gramStart"/>
      <w:r w:rsidRPr="00DF1E29">
        <w:rPr>
          <w:rFonts w:eastAsia="Times New Roman"/>
          <w:i/>
          <w:iCs/>
          <w:sz w:val="20"/>
          <w:szCs w:val="20"/>
          <w:lang w:eastAsia="en-GB"/>
        </w:rPr>
        <w:t>Policy</w:t>
      </w:r>
      <w:r w:rsidRPr="00DF1E29">
        <w:rPr>
          <w:rFonts w:eastAsia="Times New Roman"/>
          <w:sz w:val="20"/>
          <w:szCs w:val="20"/>
          <w:lang w:eastAsia="en-GB"/>
        </w:rPr>
        <w:t xml:space="preserve">  27</w:t>
      </w:r>
      <w:proofErr w:type="gramEnd"/>
      <w:r w:rsidRPr="00DF1E29">
        <w:rPr>
          <w:rFonts w:eastAsia="Times New Roman"/>
          <w:sz w:val="20"/>
          <w:szCs w:val="20"/>
          <w:lang w:eastAsia="en-GB"/>
        </w:rPr>
        <w:t xml:space="preserve"> ( 2) pp 211-230.</w:t>
      </w:r>
    </w:p>
    <w:p w:rsidR="00827B86" w:rsidRPr="00DF1E29" w:rsidRDefault="00827B86" w:rsidP="001B7F2F">
      <w:pPr>
        <w:spacing w:after="0" w:line="360" w:lineRule="auto"/>
        <w:rPr>
          <w:rFonts w:cs="Times New Roman"/>
          <w:bCs/>
          <w:sz w:val="20"/>
          <w:szCs w:val="20"/>
        </w:rPr>
      </w:pPr>
      <w:r w:rsidRPr="00DF1E29">
        <w:rPr>
          <w:rFonts w:cs="Times New Roman"/>
          <w:b/>
          <w:sz w:val="20"/>
          <w:szCs w:val="20"/>
        </w:rPr>
        <w:t xml:space="preserve">Keep, E. and James, S. </w:t>
      </w:r>
      <w:r w:rsidRPr="00DF1E29">
        <w:rPr>
          <w:rFonts w:cs="Times New Roman"/>
          <w:sz w:val="20"/>
          <w:szCs w:val="20"/>
        </w:rPr>
        <w:t xml:space="preserve">2010. </w:t>
      </w:r>
      <w:r w:rsidRPr="00DF1E29">
        <w:rPr>
          <w:rFonts w:cs="Times New Roman"/>
          <w:bCs/>
          <w:i/>
          <w:sz w:val="20"/>
          <w:szCs w:val="20"/>
        </w:rPr>
        <w:t>What Incentives to Learn at the Bottom End of the Labour Market? SKOPE Research Paper No. 94</w:t>
      </w:r>
      <w:r w:rsidRPr="00DF1E29">
        <w:rPr>
          <w:rFonts w:cs="Times New Roman"/>
          <w:bCs/>
          <w:sz w:val="20"/>
          <w:szCs w:val="20"/>
        </w:rPr>
        <w:t xml:space="preserve"> July 2010 University of Cardiff/University of Oxford: ESRC Centre on Skills, Knowledge and Organisational Performance.</w:t>
      </w:r>
    </w:p>
    <w:p w:rsidR="00827B86" w:rsidRDefault="00827B86" w:rsidP="001B7F2F">
      <w:pPr>
        <w:pStyle w:val="Default"/>
        <w:spacing w:line="360" w:lineRule="auto"/>
        <w:rPr>
          <w:rFonts w:asciiTheme="minorHAnsi" w:hAnsiTheme="minorHAnsi"/>
          <w:sz w:val="20"/>
          <w:szCs w:val="20"/>
        </w:rPr>
      </w:pPr>
      <w:r>
        <w:rPr>
          <w:rFonts w:asciiTheme="minorHAnsi" w:hAnsiTheme="minorHAnsi"/>
          <w:b/>
          <w:sz w:val="20"/>
          <w:szCs w:val="20"/>
        </w:rPr>
        <w:t xml:space="preserve">Machin, Stephen. </w:t>
      </w:r>
      <w:r>
        <w:rPr>
          <w:rFonts w:asciiTheme="minorHAnsi" w:hAnsiTheme="minorHAnsi"/>
          <w:sz w:val="20"/>
          <w:szCs w:val="20"/>
        </w:rPr>
        <w:t xml:space="preserve">2006. </w:t>
      </w:r>
      <w:r>
        <w:rPr>
          <w:rFonts w:asciiTheme="minorHAnsi" w:hAnsiTheme="minorHAnsi"/>
          <w:i/>
          <w:sz w:val="20"/>
          <w:szCs w:val="20"/>
        </w:rPr>
        <w:t xml:space="preserve">Social Disadvantage and Education Experiences </w:t>
      </w:r>
      <w:r>
        <w:rPr>
          <w:rFonts w:asciiTheme="minorHAnsi" w:hAnsiTheme="minorHAnsi"/>
          <w:bCs/>
          <w:i/>
          <w:sz w:val="20"/>
          <w:szCs w:val="20"/>
        </w:rPr>
        <w:t>OECD Social, Employment and Migration Working Papers No. 32</w:t>
      </w:r>
      <w:r>
        <w:rPr>
          <w:rFonts w:asciiTheme="minorHAnsi" w:hAnsiTheme="minorHAnsi"/>
          <w:b/>
          <w:bCs/>
          <w:sz w:val="20"/>
          <w:szCs w:val="20"/>
        </w:rPr>
        <w:t xml:space="preserve"> Paris: OECD</w:t>
      </w:r>
    </w:p>
    <w:p w:rsidR="00827B86" w:rsidRDefault="00827B86" w:rsidP="001B7F2F">
      <w:pPr>
        <w:spacing w:after="0" w:line="360" w:lineRule="auto"/>
        <w:rPr>
          <w:sz w:val="20"/>
          <w:szCs w:val="20"/>
        </w:rPr>
      </w:pPr>
      <w:r>
        <w:rPr>
          <w:b/>
          <w:sz w:val="20"/>
          <w:szCs w:val="20"/>
        </w:rPr>
        <w:t>Marx, Karl</w:t>
      </w:r>
      <w:r>
        <w:rPr>
          <w:sz w:val="20"/>
          <w:szCs w:val="20"/>
        </w:rPr>
        <w:t xml:space="preserve">. </w:t>
      </w:r>
      <w:proofErr w:type="gramStart"/>
      <w:r>
        <w:rPr>
          <w:sz w:val="20"/>
          <w:szCs w:val="20"/>
        </w:rPr>
        <w:t>1843/2012.</w:t>
      </w:r>
      <w:proofErr w:type="gramEnd"/>
      <w:r>
        <w:rPr>
          <w:sz w:val="20"/>
          <w:szCs w:val="20"/>
        </w:rPr>
        <w:t xml:space="preserve"> </w:t>
      </w:r>
      <w:r>
        <w:rPr>
          <w:i/>
          <w:sz w:val="20"/>
          <w:szCs w:val="20"/>
        </w:rPr>
        <w:t>Critique of Hegel’s Philosophy of Right Kindle Edition</w:t>
      </w:r>
      <w:r>
        <w:rPr>
          <w:sz w:val="20"/>
          <w:szCs w:val="20"/>
        </w:rPr>
        <w:t xml:space="preserve"> Chicago, USA: Aresteus Books.</w:t>
      </w:r>
    </w:p>
    <w:p w:rsidR="00F91342" w:rsidRDefault="00F91342" w:rsidP="001B7F2F">
      <w:pPr>
        <w:spacing w:after="0" w:line="360" w:lineRule="auto"/>
        <w:rPr>
          <w:sz w:val="20"/>
          <w:szCs w:val="20"/>
        </w:rPr>
      </w:pPr>
      <w:r w:rsidRPr="00F91342">
        <w:rPr>
          <w:b/>
          <w:sz w:val="20"/>
          <w:szCs w:val="20"/>
        </w:rPr>
        <w:t>Mills, Carmen</w:t>
      </w:r>
      <w:r>
        <w:rPr>
          <w:sz w:val="20"/>
          <w:szCs w:val="20"/>
        </w:rPr>
        <w:t xml:space="preserve">. 2008. Reproduction and transformation of inequalities in schooling: the transformative potential of the theoretical constructs of Bourdieu. </w:t>
      </w:r>
      <w:proofErr w:type="gramStart"/>
      <w:r w:rsidRPr="00F91342">
        <w:rPr>
          <w:i/>
          <w:sz w:val="20"/>
          <w:szCs w:val="20"/>
        </w:rPr>
        <w:t>British Journal of Sociology of Education</w:t>
      </w:r>
      <w:r>
        <w:rPr>
          <w:sz w:val="20"/>
          <w:szCs w:val="20"/>
        </w:rPr>
        <w:t>.</w:t>
      </w:r>
      <w:proofErr w:type="gramEnd"/>
      <w:r>
        <w:rPr>
          <w:sz w:val="20"/>
          <w:szCs w:val="20"/>
        </w:rPr>
        <w:t xml:space="preserve"> 29 (1) pp79-89</w:t>
      </w:r>
    </w:p>
    <w:p w:rsidR="00827B86" w:rsidRDefault="00827B86" w:rsidP="001B7F2F">
      <w:pPr>
        <w:autoSpaceDE w:val="0"/>
        <w:autoSpaceDN w:val="0"/>
        <w:adjustRightInd w:val="0"/>
        <w:spacing w:after="0" w:line="360" w:lineRule="auto"/>
        <w:rPr>
          <w:rFonts w:cs="GothamRounded-Medium"/>
          <w:sz w:val="20"/>
          <w:szCs w:val="20"/>
        </w:rPr>
      </w:pPr>
      <w:proofErr w:type="gramStart"/>
      <w:r>
        <w:rPr>
          <w:rFonts w:cs="CongressSans-Bold"/>
          <w:b/>
          <w:bCs/>
          <w:sz w:val="20"/>
          <w:szCs w:val="20"/>
        </w:rPr>
        <w:t>Needham, Seamus and Papier, Joy.</w:t>
      </w:r>
      <w:proofErr w:type="gramEnd"/>
      <w:r>
        <w:rPr>
          <w:rFonts w:cs="CongressSans-Bold"/>
          <w:b/>
          <w:bCs/>
          <w:sz w:val="20"/>
          <w:szCs w:val="20"/>
        </w:rPr>
        <w:t xml:space="preserve"> </w:t>
      </w:r>
      <w:r>
        <w:rPr>
          <w:rFonts w:cs="CongressSans-Bold"/>
          <w:bCs/>
          <w:sz w:val="20"/>
          <w:szCs w:val="20"/>
        </w:rPr>
        <w:t xml:space="preserve">2011. </w:t>
      </w:r>
      <w:r>
        <w:rPr>
          <w:rFonts w:cs="CongressSans-Bold"/>
          <w:bCs/>
          <w:i/>
          <w:sz w:val="20"/>
          <w:szCs w:val="20"/>
        </w:rPr>
        <w:t xml:space="preserve">Practical Matters: </w:t>
      </w:r>
      <w:r>
        <w:rPr>
          <w:rFonts w:cs="GothamRounded-Medium"/>
          <w:i/>
          <w:sz w:val="20"/>
          <w:szCs w:val="20"/>
        </w:rPr>
        <w:t xml:space="preserve">what young people think about vocational education in South Africa </w:t>
      </w:r>
      <w:r>
        <w:rPr>
          <w:rFonts w:cs="GothamRounded-Medium"/>
          <w:sz w:val="20"/>
          <w:szCs w:val="20"/>
        </w:rPr>
        <w:t xml:space="preserve">London: City and Guilds Centre for Skills </w:t>
      </w:r>
      <w:proofErr w:type="gramStart"/>
      <w:r>
        <w:rPr>
          <w:rFonts w:cs="GothamRounded-Medium"/>
          <w:sz w:val="20"/>
          <w:szCs w:val="20"/>
        </w:rPr>
        <w:t>Development.</w:t>
      </w:r>
      <w:proofErr w:type="gramEnd"/>
    </w:p>
    <w:p w:rsidR="00827B86" w:rsidRPr="00DF1E29" w:rsidRDefault="00827B86" w:rsidP="001B7F2F">
      <w:pPr>
        <w:spacing w:after="0" w:line="360" w:lineRule="auto"/>
        <w:rPr>
          <w:sz w:val="20"/>
          <w:szCs w:val="20"/>
        </w:rPr>
      </w:pPr>
      <w:proofErr w:type="gramStart"/>
      <w:r w:rsidRPr="00DF1E29">
        <w:rPr>
          <w:b/>
          <w:sz w:val="20"/>
          <w:szCs w:val="20"/>
          <w:lang w:eastAsia="en-GB"/>
        </w:rPr>
        <w:t>Organisation for Economic Co-operation and Development.</w:t>
      </w:r>
      <w:proofErr w:type="gramEnd"/>
      <w:r w:rsidRPr="00DF1E29">
        <w:rPr>
          <w:b/>
          <w:sz w:val="20"/>
          <w:szCs w:val="20"/>
          <w:lang w:eastAsia="en-GB"/>
        </w:rPr>
        <w:t xml:space="preserve"> </w:t>
      </w:r>
      <w:r w:rsidRPr="00DF1E29">
        <w:rPr>
          <w:sz w:val="20"/>
          <w:szCs w:val="20"/>
          <w:lang w:eastAsia="en-GB"/>
        </w:rPr>
        <w:t xml:space="preserve">2014. </w:t>
      </w:r>
      <w:r w:rsidRPr="00DF1E29">
        <w:rPr>
          <w:rStyle w:val="lolite"/>
          <w:rFonts w:cs="Arial"/>
          <w:i/>
          <w:sz w:val="20"/>
          <w:szCs w:val="20"/>
        </w:rPr>
        <w:t>Building the right skills and turning them into better jobs and better lives. O</w:t>
      </w:r>
      <w:r w:rsidRPr="00DF1E29">
        <w:rPr>
          <w:rStyle w:val="lolite"/>
          <w:rFonts w:cs="Arial"/>
          <w:sz w:val="20"/>
          <w:szCs w:val="20"/>
        </w:rPr>
        <w:t xml:space="preserve">nline at: </w:t>
      </w:r>
      <w:r w:rsidRPr="00DF1E29">
        <w:rPr>
          <w:sz w:val="20"/>
          <w:szCs w:val="20"/>
          <w:lang w:eastAsia="en-GB"/>
        </w:rPr>
        <w:t xml:space="preserve"> </w:t>
      </w:r>
      <w:hyperlink r:id="rId12" w:history="1">
        <w:r w:rsidRPr="00DF1E29">
          <w:rPr>
            <w:rStyle w:val="Hyperlink"/>
            <w:rFonts w:cs="Arial"/>
            <w:color w:val="auto"/>
            <w:sz w:val="20"/>
            <w:szCs w:val="20"/>
            <w:lang w:eastAsia="en-GB"/>
          </w:rPr>
          <w:t>http://skills.oecd.org/</w:t>
        </w:r>
      </w:hyperlink>
      <w:r w:rsidRPr="00DF1E29">
        <w:rPr>
          <w:sz w:val="20"/>
          <w:szCs w:val="20"/>
          <w:lang w:eastAsia="en-GB"/>
        </w:rPr>
        <w:t xml:space="preserve"> accessed 20 July 2014</w:t>
      </w:r>
    </w:p>
    <w:p w:rsidR="00827B86" w:rsidRPr="00DF1E29" w:rsidRDefault="00827B86" w:rsidP="001B7F2F">
      <w:pPr>
        <w:spacing w:after="0" w:line="360" w:lineRule="auto"/>
        <w:rPr>
          <w:i/>
          <w:sz w:val="20"/>
          <w:szCs w:val="20"/>
        </w:rPr>
      </w:pPr>
      <w:r w:rsidRPr="00DF1E29">
        <w:rPr>
          <w:b/>
          <w:sz w:val="20"/>
          <w:szCs w:val="20"/>
        </w:rPr>
        <w:t xml:space="preserve">Pring, Richard et al. </w:t>
      </w:r>
      <w:r w:rsidRPr="00DF1E29">
        <w:rPr>
          <w:sz w:val="20"/>
          <w:szCs w:val="20"/>
        </w:rPr>
        <w:t xml:space="preserve">2009. </w:t>
      </w:r>
      <w:r w:rsidRPr="00DF1E29">
        <w:rPr>
          <w:rStyle w:val="Emphasis"/>
          <w:sz w:val="20"/>
          <w:szCs w:val="20"/>
        </w:rPr>
        <w:t xml:space="preserve">Education for All: The future of education and training for 14-19 year olds </w:t>
      </w:r>
      <w:r w:rsidRPr="00DF1E29">
        <w:rPr>
          <w:rStyle w:val="Emphasis"/>
          <w:i w:val="0"/>
          <w:sz w:val="20"/>
          <w:szCs w:val="20"/>
        </w:rPr>
        <w:t>London: Routledge.</w:t>
      </w:r>
    </w:p>
    <w:p w:rsidR="00827B86" w:rsidRDefault="00827B86" w:rsidP="001B7F2F">
      <w:pPr>
        <w:autoSpaceDE w:val="0"/>
        <w:autoSpaceDN w:val="0"/>
        <w:adjustRightInd w:val="0"/>
        <w:spacing w:after="0" w:line="360" w:lineRule="auto"/>
        <w:rPr>
          <w:rFonts w:cs="GothamRounded-Medium"/>
          <w:sz w:val="20"/>
          <w:szCs w:val="20"/>
        </w:rPr>
      </w:pPr>
      <w:r w:rsidRPr="00DF1E29">
        <w:rPr>
          <w:rFonts w:cs="CongressSans-Bold"/>
          <w:b/>
          <w:bCs/>
          <w:sz w:val="20"/>
          <w:szCs w:val="20"/>
        </w:rPr>
        <w:t>Reubzaet, Inge</w:t>
      </w:r>
      <w:proofErr w:type="gramStart"/>
      <w:r w:rsidRPr="00DF1E29">
        <w:rPr>
          <w:rFonts w:cs="CongressSans-Bold"/>
          <w:b/>
          <w:bCs/>
          <w:sz w:val="20"/>
          <w:szCs w:val="20"/>
        </w:rPr>
        <w:t>;  Romme</w:t>
      </w:r>
      <w:proofErr w:type="gramEnd"/>
      <w:r w:rsidRPr="00DF1E29">
        <w:rPr>
          <w:rFonts w:cs="CongressSans-Bold"/>
          <w:b/>
          <w:bCs/>
          <w:sz w:val="20"/>
          <w:szCs w:val="20"/>
        </w:rPr>
        <w:t xml:space="preserve">, Irma and Geerstma, Anna. </w:t>
      </w:r>
      <w:r w:rsidRPr="00DF1E29">
        <w:rPr>
          <w:rFonts w:cs="CongressSans-Bold"/>
          <w:bCs/>
          <w:sz w:val="20"/>
          <w:szCs w:val="20"/>
        </w:rPr>
        <w:t xml:space="preserve">2011. </w:t>
      </w:r>
      <w:r w:rsidRPr="00DF1E29">
        <w:rPr>
          <w:rFonts w:cs="CongressSans-Bold"/>
          <w:bCs/>
          <w:i/>
          <w:sz w:val="20"/>
          <w:szCs w:val="20"/>
        </w:rPr>
        <w:t xml:space="preserve">Practical Matters: </w:t>
      </w:r>
      <w:r w:rsidRPr="00DF1E29">
        <w:rPr>
          <w:rFonts w:cs="GothamRounded-Medium"/>
          <w:i/>
          <w:sz w:val="20"/>
          <w:szCs w:val="20"/>
        </w:rPr>
        <w:t xml:space="preserve">what young people think about vocational education in the </w:t>
      </w:r>
      <w:proofErr w:type="gramStart"/>
      <w:r w:rsidRPr="00DF1E29">
        <w:rPr>
          <w:rFonts w:cs="GothamRounded-Medium"/>
          <w:i/>
          <w:sz w:val="20"/>
          <w:szCs w:val="20"/>
        </w:rPr>
        <w:t>Netherlands.</w:t>
      </w:r>
      <w:proofErr w:type="gramEnd"/>
      <w:r w:rsidRPr="00DF1E29">
        <w:rPr>
          <w:rFonts w:cs="CongressSans-Bold"/>
          <w:bCs/>
          <w:sz w:val="20"/>
          <w:szCs w:val="20"/>
        </w:rPr>
        <w:t xml:space="preserve"> </w:t>
      </w:r>
      <w:r w:rsidRPr="00DF1E29">
        <w:rPr>
          <w:rFonts w:cs="GothamRounded-Medium"/>
          <w:sz w:val="20"/>
          <w:szCs w:val="20"/>
        </w:rPr>
        <w:t>London: City and Guilds Centre for Skills Development</w:t>
      </w:r>
      <w:r>
        <w:rPr>
          <w:rFonts w:cs="GothamRounded-Medium"/>
          <w:sz w:val="20"/>
          <w:szCs w:val="20"/>
        </w:rPr>
        <w:t>.</w:t>
      </w:r>
    </w:p>
    <w:p w:rsidR="00F91342" w:rsidRDefault="00F91342" w:rsidP="001B7F2F">
      <w:pPr>
        <w:spacing w:after="0" w:line="360" w:lineRule="auto"/>
        <w:rPr>
          <w:sz w:val="20"/>
          <w:szCs w:val="20"/>
        </w:rPr>
      </w:pPr>
      <w:r w:rsidRPr="00DF1E29">
        <w:rPr>
          <w:rFonts w:cs="HelveticaNeue-Light"/>
          <w:b/>
          <w:sz w:val="20"/>
          <w:szCs w:val="20"/>
        </w:rPr>
        <w:t>Smyth, E. and Banks, J</w:t>
      </w:r>
      <w:r>
        <w:rPr>
          <w:rFonts w:cs="HelveticaNeue-Light"/>
          <w:sz w:val="20"/>
          <w:szCs w:val="20"/>
        </w:rPr>
        <w:t xml:space="preserve">. 2012. ‘There was never really any question of anything else’: young people’s agency, institutional habitus and the transition to higher education. </w:t>
      </w:r>
      <w:proofErr w:type="gramStart"/>
      <w:r w:rsidRPr="00F91342">
        <w:rPr>
          <w:rFonts w:cs="HelveticaNeue-Light"/>
          <w:i/>
          <w:sz w:val="20"/>
          <w:szCs w:val="20"/>
        </w:rPr>
        <w:t>British Journal of Sociology of Education</w:t>
      </w:r>
      <w:r>
        <w:rPr>
          <w:rFonts w:cs="HelveticaNeue-Light"/>
          <w:sz w:val="20"/>
          <w:szCs w:val="20"/>
        </w:rPr>
        <w:t>.</w:t>
      </w:r>
      <w:proofErr w:type="gramEnd"/>
      <w:r>
        <w:rPr>
          <w:rFonts w:cs="HelveticaNeue-Light"/>
          <w:sz w:val="20"/>
          <w:szCs w:val="20"/>
        </w:rPr>
        <w:t xml:space="preserve"> </w:t>
      </w:r>
      <w:proofErr w:type="gramStart"/>
      <w:r>
        <w:rPr>
          <w:rFonts w:cs="HelveticaNeue-Light"/>
          <w:sz w:val="20"/>
          <w:szCs w:val="20"/>
        </w:rPr>
        <w:t>33 (2) pp263-281.</w:t>
      </w:r>
      <w:proofErr w:type="gramEnd"/>
    </w:p>
    <w:p w:rsidR="00827B86" w:rsidRDefault="00827B86" w:rsidP="001B7F2F">
      <w:pPr>
        <w:spacing w:after="0" w:line="360" w:lineRule="auto"/>
        <w:rPr>
          <w:rStyle w:val="dropcap"/>
        </w:rPr>
      </w:pPr>
      <w:r w:rsidRPr="00DF1E29">
        <w:rPr>
          <w:rFonts w:eastAsia="Times New Roman"/>
          <w:b/>
          <w:sz w:val="20"/>
          <w:szCs w:val="20"/>
          <w:lang w:eastAsia="en-GB"/>
        </w:rPr>
        <w:lastRenderedPageBreak/>
        <w:t>Spence, Michael.</w:t>
      </w:r>
      <w:r w:rsidRPr="00DF1E29">
        <w:rPr>
          <w:rFonts w:eastAsia="Times New Roman"/>
          <w:sz w:val="20"/>
          <w:szCs w:val="20"/>
          <w:lang w:eastAsia="en-GB"/>
        </w:rPr>
        <w:t xml:space="preserve"> </w:t>
      </w:r>
      <w:r>
        <w:rPr>
          <w:rFonts w:eastAsia="Times New Roman"/>
          <w:color w:val="484949"/>
          <w:sz w:val="20"/>
          <w:szCs w:val="20"/>
          <w:lang w:eastAsia="en-GB"/>
        </w:rPr>
        <w:t xml:space="preserve">2011. </w:t>
      </w:r>
      <w:r>
        <w:rPr>
          <w:rFonts w:eastAsia="Times New Roman"/>
          <w:bCs/>
          <w:kern w:val="36"/>
          <w:sz w:val="20"/>
          <w:szCs w:val="20"/>
          <w:lang w:eastAsia="en-AU"/>
        </w:rPr>
        <w:t xml:space="preserve">Globalization and Unemployment: </w:t>
      </w:r>
      <w:r>
        <w:rPr>
          <w:rFonts w:eastAsia="Times New Roman"/>
          <w:bCs/>
          <w:sz w:val="20"/>
          <w:szCs w:val="20"/>
          <w:lang w:eastAsia="en-AU"/>
        </w:rPr>
        <w:t xml:space="preserve">The Downside of Integrating Markets in </w:t>
      </w:r>
      <w:r>
        <w:rPr>
          <w:rFonts w:eastAsia="Times New Roman"/>
          <w:bCs/>
          <w:i/>
          <w:sz w:val="20"/>
          <w:szCs w:val="20"/>
          <w:lang w:eastAsia="en-AU"/>
        </w:rPr>
        <w:t>Foreign Affairs. O</w:t>
      </w:r>
      <w:r>
        <w:rPr>
          <w:rFonts w:eastAsia="Times New Roman"/>
          <w:bCs/>
          <w:sz w:val="20"/>
          <w:szCs w:val="20"/>
          <w:lang w:eastAsia="en-AU"/>
        </w:rPr>
        <w:t xml:space="preserve">nline at: </w:t>
      </w:r>
      <w:hyperlink r:id="rId13" w:history="1">
        <w:r>
          <w:rPr>
            <w:rStyle w:val="Hyperlink"/>
            <w:sz w:val="20"/>
            <w:szCs w:val="20"/>
          </w:rPr>
          <w:t>http://www.foreignaffairs.com/articles/67874/michael-spence/globalization-and-unemployment</w:t>
        </w:r>
      </w:hyperlink>
      <w:r>
        <w:rPr>
          <w:rStyle w:val="dropcap"/>
          <w:sz w:val="20"/>
          <w:szCs w:val="20"/>
        </w:rPr>
        <w:t xml:space="preserve"> Accessed 20 July 2014.</w:t>
      </w:r>
    </w:p>
    <w:p w:rsidR="00827B86" w:rsidRDefault="00827B86" w:rsidP="001B7F2F">
      <w:pPr>
        <w:autoSpaceDE w:val="0"/>
        <w:autoSpaceDN w:val="0"/>
        <w:adjustRightInd w:val="0"/>
        <w:spacing w:after="0" w:line="360" w:lineRule="auto"/>
      </w:pPr>
      <w:r>
        <w:rPr>
          <w:b/>
          <w:sz w:val="20"/>
          <w:szCs w:val="20"/>
        </w:rPr>
        <w:t>Tomlinson, S.</w:t>
      </w:r>
      <w:r>
        <w:rPr>
          <w:sz w:val="20"/>
          <w:szCs w:val="20"/>
        </w:rPr>
        <w:t xml:space="preserve"> 1997. Education 14-19: Divided and Divisive in S. Tomlinson (</w:t>
      </w:r>
      <w:proofErr w:type="gramStart"/>
      <w:r>
        <w:rPr>
          <w:sz w:val="20"/>
          <w:szCs w:val="20"/>
        </w:rPr>
        <w:t>ed</w:t>
      </w:r>
      <w:proofErr w:type="gramEnd"/>
      <w:r>
        <w:rPr>
          <w:sz w:val="20"/>
          <w:szCs w:val="20"/>
        </w:rPr>
        <w:t xml:space="preserve">) </w:t>
      </w:r>
      <w:r>
        <w:rPr>
          <w:i/>
          <w:sz w:val="20"/>
          <w:szCs w:val="20"/>
        </w:rPr>
        <w:t>Education 14-19: Critical Perspectives</w:t>
      </w:r>
      <w:r>
        <w:rPr>
          <w:sz w:val="20"/>
          <w:szCs w:val="20"/>
        </w:rPr>
        <w:t>. London: Athlone Press.</w:t>
      </w:r>
    </w:p>
    <w:p w:rsidR="00827B86" w:rsidRDefault="00827B86" w:rsidP="001B7F2F">
      <w:pPr>
        <w:autoSpaceDE w:val="0"/>
        <w:autoSpaceDN w:val="0"/>
        <w:adjustRightInd w:val="0"/>
        <w:spacing w:after="0" w:line="360" w:lineRule="auto"/>
        <w:rPr>
          <w:sz w:val="20"/>
          <w:szCs w:val="20"/>
        </w:rPr>
      </w:pPr>
      <w:proofErr w:type="gramStart"/>
      <w:r>
        <w:rPr>
          <w:b/>
          <w:sz w:val="20"/>
          <w:szCs w:val="20"/>
        </w:rPr>
        <w:t>Watts, Michael and Bridges, David.</w:t>
      </w:r>
      <w:proofErr w:type="gramEnd"/>
      <w:r>
        <w:rPr>
          <w:b/>
          <w:sz w:val="20"/>
          <w:szCs w:val="20"/>
        </w:rPr>
        <w:t xml:space="preserve"> </w:t>
      </w:r>
      <w:r>
        <w:rPr>
          <w:sz w:val="20"/>
          <w:szCs w:val="20"/>
        </w:rPr>
        <w:t xml:space="preserve">2006. The value of non-participation in higher education. </w:t>
      </w:r>
      <w:proofErr w:type="gramStart"/>
      <w:r>
        <w:rPr>
          <w:i/>
          <w:sz w:val="20"/>
          <w:szCs w:val="20"/>
        </w:rPr>
        <w:t>Journal of Education Policy</w:t>
      </w:r>
      <w:r>
        <w:rPr>
          <w:sz w:val="20"/>
          <w:szCs w:val="20"/>
        </w:rPr>
        <w:t>.</w:t>
      </w:r>
      <w:proofErr w:type="gramEnd"/>
      <w:r>
        <w:rPr>
          <w:sz w:val="20"/>
          <w:szCs w:val="20"/>
        </w:rPr>
        <w:t xml:space="preserve"> </w:t>
      </w:r>
      <w:proofErr w:type="gramStart"/>
      <w:r>
        <w:rPr>
          <w:sz w:val="20"/>
          <w:szCs w:val="20"/>
        </w:rPr>
        <w:t>21 (3) pp267-290.</w:t>
      </w:r>
      <w:proofErr w:type="gramEnd"/>
    </w:p>
    <w:p w:rsidR="00827B86" w:rsidRDefault="00827B86" w:rsidP="001B7F2F">
      <w:pPr>
        <w:autoSpaceDE w:val="0"/>
        <w:autoSpaceDN w:val="0"/>
        <w:adjustRightInd w:val="0"/>
        <w:spacing w:after="0" w:line="360" w:lineRule="auto"/>
        <w:rPr>
          <w:sz w:val="20"/>
          <w:szCs w:val="20"/>
        </w:rPr>
      </w:pPr>
      <w:r>
        <w:rPr>
          <w:b/>
          <w:sz w:val="20"/>
          <w:szCs w:val="20"/>
        </w:rPr>
        <w:t xml:space="preserve">Webb, Sue. </w:t>
      </w:r>
      <w:r>
        <w:rPr>
          <w:sz w:val="20"/>
          <w:szCs w:val="20"/>
        </w:rPr>
        <w:t xml:space="preserve">2014. Geographical dimensions of imagined futures: post school participation in education and work in peri-urban and regional Australia presented at </w:t>
      </w:r>
      <w:r>
        <w:rPr>
          <w:i/>
          <w:sz w:val="20"/>
          <w:szCs w:val="20"/>
        </w:rPr>
        <w:t>AVETRA Annual Conference</w:t>
      </w:r>
      <w:r>
        <w:rPr>
          <w:sz w:val="20"/>
          <w:szCs w:val="20"/>
        </w:rPr>
        <w:t>, Surfers Paradise, Australia April 2014.</w:t>
      </w:r>
    </w:p>
    <w:p w:rsidR="004B601F" w:rsidRDefault="004B601F" w:rsidP="001B7F2F">
      <w:pPr>
        <w:autoSpaceDE w:val="0"/>
        <w:autoSpaceDN w:val="0"/>
        <w:adjustRightInd w:val="0"/>
        <w:spacing w:after="0" w:line="360" w:lineRule="auto"/>
        <w:rPr>
          <w:sz w:val="20"/>
          <w:szCs w:val="20"/>
        </w:rPr>
      </w:pPr>
      <w:r w:rsidRPr="000E5991">
        <w:rPr>
          <w:b/>
          <w:sz w:val="20"/>
          <w:szCs w:val="20"/>
        </w:rPr>
        <w:t>Wolf, A.</w:t>
      </w:r>
      <w:r w:rsidRPr="000E5991">
        <w:rPr>
          <w:sz w:val="20"/>
          <w:szCs w:val="20"/>
        </w:rPr>
        <w:t xml:space="preserve"> (2011) </w:t>
      </w:r>
      <w:r w:rsidRPr="000E5991">
        <w:rPr>
          <w:i/>
          <w:sz w:val="20"/>
          <w:szCs w:val="20"/>
        </w:rPr>
        <w:t>Review of Vocational Education</w:t>
      </w:r>
      <w:r w:rsidR="000E5991" w:rsidRPr="000E5991">
        <w:rPr>
          <w:i/>
          <w:sz w:val="20"/>
          <w:szCs w:val="20"/>
        </w:rPr>
        <w:t xml:space="preserve"> –The Wolf Report</w:t>
      </w:r>
      <w:r w:rsidR="000E5991">
        <w:rPr>
          <w:sz w:val="20"/>
          <w:szCs w:val="20"/>
        </w:rPr>
        <w:t xml:space="preserve">. Online at: </w:t>
      </w:r>
      <w:hyperlink r:id="rId14" w:history="1">
        <w:r w:rsidR="000E5991" w:rsidRPr="00DA7120">
          <w:rPr>
            <w:rStyle w:val="Hyperlink"/>
            <w:sz w:val="20"/>
            <w:szCs w:val="20"/>
          </w:rPr>
          <w:t>https://www.gov.uk/government/uploads/system/uploads/attachment_data/file/180504/DFE-00031-2011.pdf</w:t>
        </w:r>
      </w:hyperlink>
      <w:r w:rsidR="000E5991">
        <w:rPr>
          <w:sz w:val="20"/>
          <w:szCs w:val="20"/>
        </w:rPr>
        <w:t xml:space="preserve"> Accessed 18 May 2015. </w:t>
      </w:r>
    </w:p>
    <w:p w:rsidR="00827B86" w:rsidRDefault="00827B86" w:rsidP="001B7F2F">
      <w:pPr>
        <w:spacing w:after="0" w:line="360" w:lineRule="auto"/>
        <w:rPr>
          <w:color w:val="000000"/>
          <w:sz w:val="20"/>
          <w:szCs w:val="20"/>
        </w:rPr>
      </w:pPr>
      <w:r>
        <w:rPr>
          <w:b/>
          <w:color w:val="000000"/>
          <w:sz w:val="20"/>
          <w:szCs w:val="20"/>
          <w:lang w:val="en-AU"/>
        </w:rPr>
        <w:t>Wyn,</w:t>
      </w:r>
      <w:r>
        <w:rPr>
          <w:b/>
          <w:color w:val="000000"/>
          <w:sz w:val="20"/>
          <w:szCs w:val="20"/>
        </w:rPr>
        <w:t xml:space="preserve"> Johanna. </w:t>
      </w:r>
      <w:r>
        <w:rPr>
          <w:color w:val="000000"/>
          <w:sz w:val="20"/>
          <w:szCs w:val="20"/>
          <w:lang w:val="en-AU"/>
        </w:rPr>
        <w:t>2005</w:t>
      </w:r>
      <w:r>
        <w:rPr>
          <w:color w:val="000000"/>
          <w:sz w:val="20"/>
          <w:szCs w:val="20"/>
        </w:rPr>
        <w:t xml:space="preserve">. Youth Transitions to Work and Further Education in Australia in Judith Chapman, Patricia Cartwright and E. Jacqueline McGilp (Eds) </w:t>
      </w:r>
      <w:r>
        <w:rPr>
          <w:i/>
          <w:color w:val="000000"/>
          <w:sz w:val="20"/>
          <w:szCs w:val="20"/>
        </w:rPr>
        <w:t>Lifelong Learning, Participation and Equity</w:t>
      </w:r>
      <w:r>
        <w:rPr>
          <w:color w:val="000000"/>
          <w:sz w:val="20"/>
          <w:szCs w:val="20"/>
        </w:rPr>
        <w:t xml:space="preserve"> Dordrecht, Netherlands: Springer.</w:t>
      </w:r>
    </w:p>
    <w:p w:rsidR="00827B86" w:rsidRDefault="00827B86" w:rsidP="001B7F2F">
      <w:pPr>
        <w:spacing w:line="360" w:lineRule="auto"/>
        <w:rPr>
          <w:color w:val="7030A0"/>
        </w:rPr>
      </w:pPr>
    </w:p>
    <w:p w:rsidR="00827B86" w:rsidRDefault="00827B86" w:rsidP="001B7F2F">
      <w:pPr>
        <w:spacing w:line="360" w:lineRule="auto"/>
      </w:pPr>
    </w:p>
    <w:p w:rsidR="00827B86" w:rsidRDefault="00827B86" w:rsidP="001B7F2F">
      <w:pPr>
        <w:spacing w:line="360" w:lineRule="auto"/>
      </w:pPr>
    </w:p>
    <w:p w:rsidR="00EC1868" w:rsidRDefault="00EC1868" w:rsidP="001B7F2F">
      <w:pPr>
        <w:spacing w:line="360" w:lineRule="auto"/>
      </w:pPr>
    </w:p>
    <w:p w:rsidR="00EC1868" w:rsidRPr="00C44655" w:rsidRDefault="00EC1868" w:rsidP="001B7F2F">
      <w:pPr>
        <w:spacing w:line="360" w:lineRule="auto"/>
      </w:pPr>
    </w:p>
    <w:p w:rsidR="00EB2514" w:rsidRPr="00EC1868" w:rsidRDefault="00EB2514" w:rsidP="001B7F2F">
      <w:pPr>
        <w:spacing w:line="360" w:lineRule="auto"/>
      </w:pPr>
    </w:p>
    <w:sectPr w:rsidR="00EB2514" w:rsidRPr="00EC186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D6" w:rsidRDefault="00F403D6" w:rsidP="0041706D">
      <w:pPr>
        <w:spacing w:after="0" w:line="240" w:lineRule="auto"/>
      </w:pPr>
      <w:r>
        <w:separator/>
      </w:r>
    </w:p>
  </w:endnote>
  <w:endnote w:type="continuationSeparator" w:id="0">
    <w:p w:rsidR="00F403D6" w:rsidRDefault="00F403D6" w:rsidP="0041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gressSans-Bold">
    <w:panose1 w:val="00000000000000000000"/>
    <w:charset w:val="00"/>
    <w:family w:val="swiss"/>
    <w:notTrueType/>
    <w:pitch w:val="default"/>
    <w:sig w:usb0="00000003" w:usb1="00000000" w:usb2="00000000" w:usb3="00000000" w:csb0="00000001" w:csb1="00000000"/>
  </w:font>
  <w:font w:name="GothamRounded-Medium">
    <w:altName w:val="MS Gothic"/>
    <w:panose1 w:val="00000000000000000000"/>
    <w:charset w:val="00"/>
    <w:family w:val="swiss"/>
    <w:notTrueType/>
    <w:pitch w:val="default"/>
    <w:sig w:usb0="00000001" w:usb1="08070000" w:usb2="00000010" w:usb3="00000000" w:csb0="00020001" w:csb1="00000000"/>
  </w:font>
  <w:font w:name="DanteMT-Bold">
    <w:panose1 w:val="00000000000000000000"/>
    <w:charset w:val="00"/>
    <w:family w:val="roman"/>
    <w:notTrueType/>
    <w:pitch w:val="default"/>
    <w:sig w:usb0="00000003" w:usb1="00000000" w:usb2="00000000" w:usb3="00000000" w:csb0="00000001" w:csb1="00000000"/>
  </w:font>
  <w:font w:name="DanteMT-Italic">
    <w:panose1 w:val="00000000000000000000"/>
    <w:charset w:val="00"/>
    <w:family w:val="swiss"/>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CalisMTBo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Plantin-Bold">
    <w:panose1 w:val="00000000000000000000"/>
    <w:charset w:val="00"/>
    <w:family w:val="roman"/>
    <w:notTrueType/>
    <w:pitch w:val="default"/>
    <w:sig w:usb0="00000003" w:usb1="00000000" w:usb2="00000000" w:usb3="00000000" w:csb0="00000001" w:csb1="00000000"/>
  </w:font>
  <w:font w:name="Planti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167054"/>
      <w:docPartObj>
        <w:docPartGallery w:val="Page Numbers (Bottom of Page)"/>
        <w:docPartUnique/>
      </w:docPartObj>
    </w:sdtPr>
    <w:sdtEndPr>
      <w:rPr>
        <w:color w:val="7F7F7F" w:themeColor="background1" w:themeShade="7F"/>
        <w:spacing w:val="60"/>
      </w:rPr>
    </w:sdtEndPr>
    <w:sdtContent>
      <w:p w:rsidR="00A9022C" w:rsidRDefault="00A902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080F">
          <w:rPr>
            <w:noProof/>
          </w:rPr>
          <w:t>1</w:t>
        </w:r>
        <w:r>
          <w:rPr>
            <w:noProof/>
          </w:rPr>
          <w:fldChar w:fldCharType="end"/>
        </w:r>
        <w:r>
          <w:t xml:space="preserve"> | </w:t>
        </w:r>
        <w:r>
          <w:rPr>
            <w:color w:val="7F7F7F" w:themeColor="background1" w:themeShade="7F"/>
            <w:spacing w:val="60"/>
          </w:rPr>
          <w:t>Page</w:t>
        </w:r>
      </w:p>
    </w:sdtContent>
  </w:sdt>
  <w:p w:rsidR="00A9022C" w:rsidRDefault="00A9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D6" w:rsidRDefault="00F403D6" w:rsidP="0041706D">
      <w:pPr>
        <w:spacing w:after="0" w:line="240" w:lineRule="auto"/>
      </w:pPr>
      <w:r>
        <w:separator/>
      </w:r>
    </w:p>
  </w:footnote>
  <w:footnote w:type="continuationSeparator" w:id="0">
    <w:p w:rsidR="00F403D6" w:rsidRDefault="00F403D6" w:rsidP="00417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619FB"/>
    <w:rsid w:val="000C10E7"/>
    <w:rsid w:val="000E25CE"/>
    <w:rsid w:val="000E5991"/>
    <w:rsid w:val="001144BE"/>
    <w:rsid w:val="001B7F2F"/>
    <w:rsid w:val="001F36DB"/>
    <w:rsid w:val="001F6023"/>
    <w:rsid w:val="00207F76"/>
    <w:rsid w:val="00257AFF"/>
    <w:rsid w:val="00261F8D"/>
    <w:rsid w:val="00267D7D"/>
    <w:rsid w:val="00272EFE"/>
    <w:rsid w:val="002779C0"/>
    <w:rsid w:val="002F6C27"/>
    <w:rsid w:val="002F7E2B"/>
    <w:rsid w:val="00314C33"/>
    <w:rsid w:val="00322DB2"/>
    <w:rsid w:val="00327D78"/>
    <w:rsid w:val="00357175"/>
    <w:rsid w:val="00362379"/>
    <w:rsid w:val="00376FFC"/>
    <w:rsid w:val="00415D76"/>
    <w:rsid w:val="0041706D"/>
    <w:rsid w:val="00435CBE"/>
    <w:rsid w:val="00446615"/>
    <w:rsid w:val="00486B83"/>
    <w:rsid w:val="004B601F"/>
    <w:rsid w:val="004C54CD"/>
    <w:rsid w:val="004D1909"/>
    <w:rsid w:val="004D4D73"/>
    <w:rsid w:val="00530A8A"/>
    <w:rsid w:val="005378A4"/>
    <w:rsid w:val="005E0AC4"/>
    <w:rsid w:val="00602E0B"/>
    <w:rsid w:val="00625D76"/>
    <w:rsid w:val="00676748"/>
    <w:rsid w:val="006F7AE5"/>
    <w:rsid w:val="00707F00"/>
    <w:rsid w:val="007206CE"/>
    <w:rsid w:val="00751FEA"/>
    <w:rsid w:val="00822E83"/>
    <w:rsid w:val="00827B86"/>
    <w:rsid w:val="00867D0D"/>
    <w:rsid w:val="00885307"/>
    <w:rsid w:val="008A0EF4"/>
    <w:rsid w:val="008A4D41"/>
    <w:rsid w:val="008C080F"/>
    <w:rsid w:val="008C174E"/>
    <w:rsid w:val="008F031D"/>
    <w:rsid w:val="008F1FF1"/>
    <w:rsid w:val="009100E2"/>
    <w:rsid w:val="00911204"/>
    <w:rsid w:val="00920EB4"/>
    <w:rsid w:val="00927D68"/>
    <w:rsid w:val="00942A18"/>
    <w:rsid w:val="009676E1"/>
    <w:rsid w:val="009A1C32"/>
    <w:rsid w:val="009B24E0"/>
    <w:rsid w:val="009C6DF1"/>
    <w:rsid w:val="009F021F"/>
    <w:rsid w:val="009F03B4"/>
    <w:rsid w:val="00A01263"/>
    <w:rsid w:val="00A17BB3"/>
    <w:rsid w:val="00A24C92"/>
    <w:rsid w:val="00A33AA2"/>
    <w:rsid w:val="00A41C6D"/>
    <w:rsid w:val="00A435D8"/>
    <w:rsid w:val="00A5483C"/>
    <w:rsid w:val="00A6370F"/>
    <w:rsid w:val="00A9022C"/>
    <w:rsid w:val="00AA1E96"/>
    <w:rsid w:val="00AE3B94"/>
    <w:rsid w:val="00B17E17"/>
    <w:rsid w:val="00B46AD1"/>
    <w:rsid w:val="00B930DC"/>
    <w:rsid w:val="00BC2FB6"/>
    <w:rsid w:val="00BD39E3"/>
    <w:rsid w:val="00C150AE"/>
    <w:rsid w:val="00C41E71"/>
    <w:rsid w:val="00CA0E02"/>
    <w:rsid w:val="00CB1BB2"/>
    <w:rsid w:val="00CF713A"/>
    <w:rsid w:val="00D15F8D"/>
    <w:rsid w:val="00D63870"/>
    <w:rsid w:val="00D873F0"/>
    <w:rsid w:val="00DB115E"/>
    <w:rsid w:val="00DD0CDF"/>
    <w:rsid w:val="00DE2CE1"/>
    <w:rsid w:val="00DF1E29"/>
    <w:rsid w:val="00E039D8"/>
    <w:rsid w:val="00E56F78"/>
    <w:rsid w:val="00E717E1"/>
    <w:rsid w:val="00E95433"/>
    <w:rsid w:val="00EB22E7"/>
    <w:rsid w:val="00EB2514"/>
    <w:rsid w:val="00EC1868"/>
    <w:rsid w:val="00EE213B"/>
    <w:rsid w:val="00F11037"/>
    <w:rsid w:val="00F3419B"/>
    <w:rsid w:val="00F403D6"/>
    <w:rsid w:val="00F45031"/>
    <w:rsid w:val="00F67DE2"/>
    <w:rsid w:val="00F86591"/>
    <w:rsid w:val="00F91342"/>
    <w:rsid w:val="00FE3CF9"/>
    <w:rsid w:val="00FF283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68"/>
    <w:pPr>
      <w:spacing w:after="200" w:line="276" w:lineRule="auto"/>
    </w:pPr>
    <w:rPr>
      <w:lang w:val="en-GB"/>
    </w:rPr>
  </w:style>
  <w:style w:type="paragraph" w:styleId="Heading3">
    <w:name w:val="heading 3"/>
    <w:basedOn w:val="Normal"/>
    <w:link w:val="Heading3Char"/>
    <w:uiPriority w:val="9"/>
    <w:qFormat/>
    <w:rsid w:val="002F6C27"/>
    <w:pPr>
      <w:spacing w:after="150" w:line="330" w:lineRule="atLeast"/>
      <w:outlineLvl w:val="2"/>
    </w:pPr>
    <w:rPr>
      <w:rFonts w:ascii="Times New Roman" w:eastAsia="Times New Roman" w:hAnsi="Times New Roman" w:cs="Times New Roman"/>
      <w:color w:val="555555"/>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868"/>
    <w:rPr>
      <w:color w:val="0000FF"/>
      <w:u w:val="single"/>
    </w:rPr>
  </w:style>
  <w:style w:type="paragraph" w:styleId="NoSpacing">
    <w:name w:val="No Spacing"/>
    <w:uiPriority w:val="1"/>
    <w:qFormat/>
    <w:rsid w:val="00EC1868"/>
    <w:pPr>
      <w:spacing w:after="0" w:line="240" w:lineRule="auto"/>
    </w:pPr>
    <w:rPr>
      <w:lang w:val="en-GB"/>
    </w:rPr>
  </w:style>
  <w:style w:type="paragraph" w:customStyle="1" w:styleId="Default">
    <w:name w:val="Default"/>
    <w:rsid w:val="00EC1868"/>
    <w:pPr>
      <w:autoSpaceDE w:val="0"/>
      <w:autoSpaceDN w:val="0"/>
      <w:adjustRightInd w:val="0"/>
      <w:spacing w:after="0" w:line="240" w:lineRule="auto"/>
    </w:pPr>
    <w:rPr>
      <w:rFonts w:ascii="Arial" w:hAnsi="Arial" w:cs="Arial"/>
      <w:color w:val="000000"/>
      <w:sz w:val="24"/>
      <w:szCs w:val="24"/>
    </w:rPr>
  </w:style>
  <w:style w:type="character" w:customStyle="1" w:styleId="dropcap">
    <w:name w:val="dropcap"/>
    <w:basedOn w:val="DefaultParagraphFont"/>
    <w:rsid w:val="00EC1868"/>
  </w:style>
  <w:style w:type="character" w:customStyle="1" w:styleId="lolite">
    <w:name w:val="lolite"/>
    <w:basedOn w:val="DefaultParagraphFont"/>
    <w:rsid w:val="00EC1868"/>
  </w:style>
  <w:style w:type="character" w:customStyle="1" w:styleId="A2">
    <w:name w:val="A2"/>
    <w:uiPriority w:val="99"/>
    <w:rsid w:val="00EC1868"/>
    <w:rPr>
      <w:rFonts w:ascii="Myriad Pro" w:hAnsi="Myriad Pro" w:cs="Myriad Pro" w:hint="default"/>
      <w:color w:val="000000"/>
      <w:sz w:val="26"/>
      <w:szCs w:val="26"/>
    </w:rPr>
  </w:style>
  <w:style w:type="character" w:customStyle="1" w:styleId="apple-converted-space">
    <w:name w:val="apple-converted-space"/>
    <w:basedOn w:val="DefaultParagraphFont"/>
    <w:rsid w:val="00EC1868"/>
  </w:style>
  <w:style w:type="character" w:styleId="Emphasis">
    <w:name w:val="Emphasis"/>
    <w:basedOn w:val="DefaultParagraphFont"/>
    <w:uiPriority w:val="20"/>
    <w:qFormat/>
    <w:rsid w:val="00EC1868"/>
    <w:rPr>
      <w:i/>
      <w:iCs/>
    </w:rPr>
  </w:style>
  <w:style w:type="paragraph" w:styleId="Header">
    <w:name w:val="header"/>
    <w:basedOn w:val="Normal"/>
    <w:link w:val="HeaderChar"/>
    <w:uiPriority w:val="99"/>
    <w:unhideWhenUsed/>
    <w:rsid w:val="0041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06D"/>
    <w:rPr>
      <w:lang w:val="en-GB"/>
    </w:rPr>
  </w:style>
  <w:style w:type="paragraph" w:styleId="Footer">
    <w:name w:val="footer"/>
    <w:basedOn w:val="Normal"/>
    <w:link w:val="FooterChar"/>
    <w:uiPriority w:val="99"/>
    <w:unhideWhenUsed/>
    <w:rsid w:val="00417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06D"/>
    <w:rPr>
      <w:lang w:val="en-GB"/>
    </w:rPr>
  </w:style>
  <w:style w:type="character" w:styleId="CommentReference">
    <w:name w:val="annotation reference"/>
    <w:basedOn w:val="DefaultParagraphFont"/>
    <w:uiPriority w:val="99"/>
    <w:semiHidden/>
    <w:unhideWhenUsed/>
    <w:rsid w:val="001F6023"/>
    <w:rPr>
      <w:sz w:val="16"/>
      <w:szCs w:val="16"/>
    </w:rPr>
  </w:style>
  <w:style w:type="paragraph" w:styleId="CommentText">
    <w:name w:val="annotation text"/>
    <w:basedOn w:val="Normal"/>
    <w:link w:val="CommentTextChar"/>
    <w:uiPriority w:val="99"/>
    <w:semiHidden/>
    <w:unhideWhenUsed/>
    <w:rsid w:val="001F6023"/>
    <w:pPr>
      <w:spacing w:line="240" w:lineRule="auto"/>
    </w:pPr>
    <w:rPr>
      <w:sz w:val="20"/>
      <w:szCs w:val="20"/>
    </w:rPr>
  </w:style>
  <w:style w:type="character" w:customStyle="1" w:styleId="CommentTextChar">
    <w:name w:val="Comment Text Char"/>
    <w:basedOn w:val="DefaultParagraphFont"/>
    <w:link w:val="CommentText"/>
    <w:uiPriority w:val="99"/>
    <w:semiHidden/>
    <w:rsid w:val="001F6023"/>
    <w:rPr>
      <w:sz w:val="20"/>
      <w:szCs w:val="20"/>
      <w:lang w:val="en-GB"/>
    </w:rPr>
  </w:style>
  <w:style w:type="paragraph" w:styleId="CommentSubject">
    <w:name w:val="annotation subject"/>
    <w:basedOn w:val="CommentText"/>
    <w:next w:val="CommentText"/>
    <w:link w:val="CommentSubjectChar"/>
    <w:uiPriority w:val="99"/>
    <w:semiHidden/>
    <w:unhideWhenUsed/>
    <w:rsid w:val="001F6023"/>
    <w:rPr>
      <w:b/>
      <w:bCs/>
    </w:rPr>
  </w:style>
  <w:style w:type="character" w:customStyle="1" w:styleId="CommentSubjectChar">
    <w:name w:val="Comment Subject Char"/>
    <w:basedOn w:val="CommentTextChar"/>
    <w:link w:val="CommentSubject"/>
    <w:uiPriority w:val="99"/>
    <w:semiHidden/>
    <w:rsid w:val="001F6023"/>
    <w:rPr>
      <w:b/>
      <w:bCs/>
      <w:sz w:val="20"/>
      <w:szCs w:val="20"/>
      <w:lang w:val="en-GB"/>
    </w:rPr>
  </w:style>
  <w:style w:type="paragraph" w:styleId="BalloonText">
    <w:name w:val="Balloon Text"/>
    <w:basedOn w:val="Normal"/>
    <w:link w:val="BalloonTextChar"/>
    <w:uiPriority w:val="99"/>
    <w:semiHidden/>
    <w:unhideWhenUsed/>
    <w:rsid w:val="001F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023"/>
    <w:rPr>
      <w:rFonts w:ascii="Tahoma" w:hAnsi="Tahoma" w:cs="Tahoma"/>
      <w:sz w:val="16"/>
      <w:szCs w:val="16"/>
      <w:lang w:val="en-GB"/>
    </w:rPr>
  </w:style>
  <w:style w:type="paragraph" w:styleId="Revision">
    <w:name w:val="Revision"/>
    <w:hidden/>
    <w:uiPriority w:val="99"/>
    <w:semiHidden/>
    <w:rsid w:val="000E25CE"/>
    <w:pPr>
      <w:spacing w:after="0" w:line="240" w:lineRule="auto"/>
    </w:pPr>
    <w:rPr>
      <w:lang w:val="en-GB"/>
    </w:rPr>
  </w:style>
  <w:style w:type="character" w:customStyle="1" w:styleId="Heading3Char">
    <w:name w:val="Heading 3 Char"/>
    <w:basedOn w:val="DefaultParagraphFont"/>
    <w:link w:val="Heading3"/>
    <w:uiPriority w:val="9"/>
    <w:rsid w:val="002F6C27"/>
    <w:rPr>
      <w:rFonts w:ascii="Times New Roman" w:eastAsia="Times New Roman" w:hAnsi="Times New Roman" w:cs="Times New Roman"/>
      <w:color w:val="555555"/>
      <w:sz w:val="26"/>
      <w:szCs w:val="2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68"/>
    <w:pPr>
      <w:spacing w:after="200" w:line="276" w:lineRule="auto"/>
    </w:pPr>
    <w:rPr>
      <w:lang w:val="en-GB"/>
    </w:rPr>
  </w:style>
  <w:style w:type="paragraph" w:styleId="Heading3">
    <w:name w:val="heading 3"/>
    <w:basedOn w:val="Normal"/>
    <w:link w:val="Heading3Char"/>
    <w:uiPriority w:val="9"/>
    <w:qFormat/>
    <w:rsid w:val="002F6C27"/>
    <w:pPr>
      <w:spacing w:after="150" w:line="330" w:lineRule="atLeast"/>
      <w:outlineLvl w:val="2"/>
    </w:pPr>
    <w:rPr>
      <w:rFonts w:ascii="Times New Roman" w:eastAsia="Times New Roman" w:hAnsi="Times New Roman" w:cs="Times New Roman"/>
      <w:color w:val="555555"/>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868"/>
    <w:rPr>
      <w:color w:val="0000FF"/>
      <w:u w:val="single"/>
    </w:rPr>
  </w:style>
  <w:style w:type="paragraph" w:styleId="NoSpacing">
    <w:name w:val="No Spacing"/>
    <w:uiPriority w:val="1"/>
    <w:qFormat/>
    <w:rsid w:val="00EC1868"/>
    <w:pPr>
      <w:spacing w:after="0" w:line="240" w:lineRule="auto"/>
    </w:pPr>
    <w:rPr>
      <w:lang w:val="en-GB"/>
    </w:rPr>
  </w:style>
  <w:style w:type="paragraph" w:customStyle="1" w:styleId="Default">
    <w:name w:val="Default"/>
    <w:rsid w:val="00EC1868"/>
    <w:pPr>
      <w:autoSpaceDE w:val="0"/>
      <w:autoSpaceDN w:val="0"/>
      <w:adjustRightInd w:val="0"/>
      <w:spacing w:after="0" w:line="240" w:lineRule="auto"/>
    </w:pPr>
    <w:rPr>
      <w:rFonts w:ascii="Arial" w:hAnsi="Arial" w:cs="Arial"/>
      <w:color w:val="000000"/>
      <w:sz w:val="24"/>
      <w:szCs w:val="24"/>
    </w:rPr>
  </w:style>
  <w:style w:type="character" w:customStyle="1" w:styleId="dropcap">
    <w:name w:val="dropcap"/>
    <w:basedOn w:val="DefaultParagraphFont"/>
    <w:rsid w:val="00EC1868"/>
  </w:style>
  <w:style w:type="character" w:customStyle="1" w:styleId="lolite">
    <w:name w:val="lolite"/>
    <w:basedOn w:val="DefaultParagraphFont"/>
    <w:rsid w:val="00EC1868"/>
  </w:style>
  <w:style w:type="character" w:customStyle="1" w:styleId="A2">
    <w:name w:val="A2"/>
    <w:uiPriority w:val="99"/>
    <w:rsid w:val="00EC1868"/>
    <w:rPr>
      <w:rFonts w:ascii="Myriad Pro" w:hAnsi="Myriad Pro" w:cs="Myriad Pro" w:hint="default"/>
      <w:color w:val="000000"/>
      <w:sz w:val="26"/>
      <w:szCs w:val="26"/>
    </w:rPr>
  </w:style>
  <w:style w:type="character" w:customStyle="1" w:styleId="apple-converted-space">
    <w:name w:val="apple-converted-space"/>
    <w:basedOn w:val="DefaultParagraphFont"/>
    <w:rsid w:val="00EC1868"/>
  </w:style>
  <w:style w:type="character" w:styleId="Emphasis">
    <w:name w:val="Emphasis"/>
    <w:basedOn w:val="DefaultParagraphFont"/>
    <w:uiPriority w:val="20"/>
    <w:qFormat/>
    <w:rsid w:val="00EC1868"/>
    <w:rPr>
      <w:i/>
      <w:iCs/>
    </w:rPr>
  </w:style>
  <w:style w:type="paragraph" w:styleId="Header">
    <w:name w:val="header"/>
    <w:basedOn w:val="Normal"/>
    <w:link w:val="HeaderChar"/>
    <w:uiPriority w:val="99"/>
    <w:unhideWhenUsed/>
    <w:rsid w:val="00417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06D"/>
    <w:rPr>
      <w:lang w:val="en-GB"/>
    </w:rPr>
  </w:style>
  <w:style w:type="paragraph" w:styleId="Footer">
    <w:name w:val="footer"/>
    <w:basedOn w:val="Normal"/>
    <w:link w:val="FooterChar"/>
    <w:uiPriority w:val="99"/>
    <w:unhideWhenUsed/>
    <w:rsid w:val="00417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06D"/>
    <w:rPr>
      <w:lang w:val="en-GB"/>
    </w:rPr>
  </w:style>
  <w:style w:type="character" w:styleId="CommentReference">
    <w:name w:val="annotation reference"/>
    <w:basedOn w:val="DefaultParagraphFont"/>
    <w:uiPriority w:val="99"/>
    <w:semiHidden/>
    <w:unhideWhenUsed/>
    <w:rsid w:val="001F6023"/>
    <w:rPr>
      <w:sz w:val="16"/>
      <w:szCs w:val="16"/>
    </w:rPr>
  </w:style>
  <w:style w:type="paragraph" w:styleId="CommentText">
    <w:name w:val="annotation text"/>
    <w:basedOn w:val="Normal"/>
    <w:link w:val="CommentTextChar"/>
    <w:uiPriority w:val="99"/>
    <w:semiHidden/>
    <w:unhideWhenUsed/>
    <w:rsid w:val="001F6023"/>
    <w:pPr>
      <w:spacing w:line="240" w:lineRule="auto"/>
    </w:pPr>
    <w:rPr>
      <w:sz w:val="20"/>
      <w:szCs w:val="20"/>
    </w:rPr>
  </w:style>
  <w:style w:type="character" w:customStyle="1" w:styleId="CommentTextChar">
    <w:name w:val="Comment Text Char"/>
    <w:basedOn w:val="DefaultParagraphFont"/>
    <w:link w:val="CommentText"/>
    <w:uiPriority w:val="99"/>
    <w:semiHidden/>
    <w:rsid w:val="001F6023"/>
    <w:rPr>
      <w:sz w:val="20"/>
      <w:szCs w:val="20"/>
      <w:lang w:val="en-GB"/>
    </w:rPr>
  </w:style>
  <w:style w:type="paragraph" w:styleId="CommentSubject">
    <w:name w:val="annotation subject"/>
    <w:basedOn w:val="CommentText"/>
    <w:next w:val="CommentText"/>
    <w:link w:val="CommentSubjectChar"/>
    <w:uiPriority w:val="99"/>
    <w:semiHidden/>
    <w:unhideWhenUsed/>
    <w:rsid w:val="001F6023"/>
    <w:rPr>
      <w:b/>
      <w:bCs/>
    </w:rPr>
  </w:style>
  <w:style w:type="character" w:customStyle="1" w:styleId="CommentSubjectChar">
    <w:name w:val="Comment Subject Char"/>
    <w:basedOn w:val="CommentTextChar"/>
    <w:link w:val="CommentSubject"/>
    <w:uiPriority w:val="99"/>
    <w:semiHidden/>
    <w:rsid w:val="001F6023"/>
    <w:rPr>
      <w:b/>
      <w:bCs/>
      <w:sz w:val="20"/>
      <w:szCs w:val="20"/>
      <w:lang w:val="en-GB"/>
    </w:rPr>
  </w:style>
  <w:style w:type="paragraph" w:styleId="BalloonText">
    <w:name w:val="Balloon Text"/>
    <w:basedOn w:val="Normal"/>
    <w:link w:val="BalloonTextChar"/>
    <w:uiPriority w:val="99"/>
    <w:semiHidden/>
    <w:unhideWhenUsed/>
    <w:rsid w:val="001F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023"/>
    <w:rPr>
      <w:rFonts w:ascii="Tahoma" w:hAnsi="Tahoma" w:cs="Tahoma"/>
      <w:sz w:val="16"/>
      <w:szCs w:val="16"/>
      <w:lang w:val="en-GB"/>
    </w:rPr>
  </w:style>
  <w:style w:type="paragraph" w:styleId="Revision">
    <w:name w:val="Revision"/>
    <w:hidden/>
    <w:uiPriority w:val="99"/>
    <w:semiHidden/>
    <w:rsid w:val="000E25CE"/>
    <w:pPr>
      <w:spacing w:after="0" w:line="240" w:lineRule="auto"/>
    </w:pPr>
    <w:rPr>
      <w:lang w:val="en-GB"/>
    </w:rPr>
  </w:style>
  <w:style w:type="character" w:customStyle="1" w:styleId="Heading3Char">
    <w:name w:val="Heading 3 Char"/>
    <w:basedOn w:val="DefaultParagraphFont"/>
    <w:link w:val="Heading3"/>
    <w:uiPriority w:val="9"/>
    <w:rsid w:val="002F6C27"/>
    <w:rPr>
      <w:rFonts w:ascii="Times New Roman" w:eastAsia="Times New Roman" w:hAnsi="Times New Roman" w:cs="Times New Roman"/>
      <w:color w:val="555555"/>
      <w:sz w:val="26"/>
      <w:szCs w:val="2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9038">
      <w:bodyDiv w:val="1"/>
      <w:marLeft w:val="0"/>
      <w:marRight w:val="0"/>
      <w:marTop w:val="0"/>
      <w:marBottom w:val="0"/>
      <w:divBdr>
        <w:top w:val="none" w:sz="0" w:space="0" w:color="auto"/>
        <w:left w:val="none" w:sz="0" w:space="0" w:color="auto"/>
        <w:bottom w:val="none" w:sz="0" w:space="0" w:color="auto"/>
        <w:right w:val="none" w:sz="0" w:space="0" w:color="auto"/>
      </w:divBdr>
      <w:divsChild>
        <w:div w:id="1799030595">
          <w:marLeft w:val="0"/>
          <w:marRight w:val="0"/>
          <w:marTop w:val="0"/>
          <w:marBottom w:val="0"/>
          <w:divBdr>
            <w:top w:val="none" w:sz="0" w:space="0" w:color="auto"/>
            <w:left w:val="none" w:sz="0" w:space="0" w:color="auto"/>
            <w:bottom w:val="none" w:sz="0" w:space="0" w:color="auto"/>
            <w:right w:val="none" w:sz="0" w:space="0" w:color="auto"/>
          </w:divBdr>
          <w:divsChild>
            <w:div w:id="1479952302">
              <w:marLeft w:val="0"/>
              <w:marRight w:val="0"/>
              <w:marTop w:val="0"/>
              <w:marBottom w:val="0"/>
              <w:divBdr>
                <w:top w:val="none" w:sz="0" w:space="0" w:color="auto"/>
                <w:left w:val="none" w:sz="0" w:space="0" w:color="auto"/>
                <w:bottom w:val="none" w:sz="0" w:space="0" w:color="auto"/>
                <w:right w:val="none" w:sz="0" w:space="0" w:color="auto"/>
              </w:divBdr>
              <w:divsChild>
                <w:div w:id="679166773">
                  <w:marLeft w:val="0"/>
                  <w:marRight w:val="0"/>
                  <w:marTop w:val="150"/>
                  <w:marBottom w:val="0"/>
                  <w:divBdr>
                    <w:top w:val="none" w:sz="0" w:space="0" w:color="auto"/>
                    <w:left w:val="none" w:sz="0" w:space="0" w:color="auto"/>
                    <w:bottom w:val="none" w:sz="0" w:space="0" w:color="auto"/>
                    <w:right w:val="none" w:sz="0" w:space="0" w:color="auto"/>
                  </w:divBdr>
                  <w:divsChild>
                    <w:div w:id="436482136">
                      <w:marLeft w:val="0"/>
                      <w:marRight w:val="0"/>
                      <w:marTop w:val="0"/>
                      <w:marBottom w:val="0"/>
                      <w:divBdr>
                        <w:top w:val="none" w:sz="0" w:space="0" w:color="auto"/>
                        <w:left w:val="none" w:sz="0" w:space="0" w:color="auto"/>
                        <w:bottom w:val="none" w:sz="0" w:space="0" w:color="auto"/>
                        <w:right w:val="none" w:sz="0" w:space="0" w:color="auto"/>
                      </w:divBdr>
                      <w:divsChild>
                        <w:div w:id="1807695353">
                          <w:marLeft w:val="0"/>
                          <w:marRight w:val="0"/>
                          <w:marTop w:val="0"/>
                          <w:marBottom w:val="0"/>
                          <w:divBdr>
                            <w:top w:val="none" w:sz="0" w:space="0" w:color="auto"/>
                            <w:left w:val="none" w:sz="0" w:space="0" w:color="auto"/>
                            <w:bottom w:val="none" w:sz="0" w:space="0" w:color="auto"/>
                            <w:right w:val="none" w:sz="0" w:space="0" w:color="auto"/>
                          </w:divBdr>
                          <w:divsChild>
                            <w:div w:id="20763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consultations/downloadableDocs/SEN%20GP%20progress%20and%20next%20steps.pdf" TargetMode="External"/><Relationship Id="rId13" Type="http://schemas.openxmlformats.org/officeDocument/2006/relationships/hyperlink" Target="http://www.foreignaffairs.com/articles/67874/michael-spence/globalization-and-unemployment" TargetMode="External"/><Relationship Id="rId3" Type="http://schemas.openxmlformats.org/officeDocument/2006/relationships/settings" Target="settings.xml"/><Relationship Id="rId7" Type="http://schemas.openxmlformats.org/officeDocument/2006/relationships/hyperlink" Target="http://www.google.com.au/url?sa=t&amp;rct=j&amp;q=&amp;esrc=s&amp;source=web&amp;cd=7&amp;ved=0CFQQFjAG&amp;url=http%3A%2F%2Fwww.ons.gov.uk%2Fons%2Frel%2Fregional-trends%2Fregional-trends%2Fregional-trends--july-2011-edition%2Fimpact-of-the-recession.pdf&amp;ei=x3TMU9jTJZft8AXu1IKgDw&amp;usg=AFQjCNH31e9Y9C0IUaHq3ioXEXrFPtsm1Q&amp;sig2=vrFb89RAYi5_eDVPsACC3w" TargetMode="External"/><Relationship Id="rId12" Type="http://schemas.openxmlformats.org/officeDocument/2006/relationships/hyperlink" Target="http://skills.oecd.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ngentaconnect.com/content/routledg/rred;jsessionid=4btlk1qi4s9q3.ali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uploads/system/uploads/attachment_data/file/197592/Traineeships_discussion_paper.pdf" TargetMode="External"/><Relationship Id="rId4" Type="http://schemas.openxmlformats.org/officeDocument/2006/relationships/webSettings" Target="webSettings.xml"/><Relationship Id="rId9" Type="http://schemas.openxmlformats.org/officeDocument/2006/relationships/hyperlink" Target="http://www.education.gov.uk/publications%20accessed%2024%20May%202014" TargetMode="External"/><Relationship Id="rId14" Type="http://schemas.openxmlformats.org/officeDocument/2006/relationships/hyperlink" Target="https://www.gov.uk/government/uploads/system/uploads/attachment_data/file/180504/DFE-00031-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8279</Words>
  <Characters>47194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55363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Atkins</dc:creator>
  <cp:lastModifiedBy>Becky Skoyles</cp:lastModifiedBy>
  <cp:revision>2</cp:revision>
  <cp:lastPrinted>2015-07-30T11:32:00Z</cp:lastPrinted>
  <dcterms:created xsi:type="dcterms:W3CDTF">2015-11-20T09:30:00Z</dcterms:created>
  <dcterms:modified xsi:type="dcterms:W3CDTF">2015-11-20T09:30:00Z</dcterms:modified>
</cp:coreProperties>
</file>