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A1" w:rsidRPr="00222845" w:rsidRDefault="00222845" w:rsidP="00222845">
      <w:pPr>
        <w:jc w:val="center"/>
        <w:rPr>
          <w:rFonts w:asciiTheme="majorHAnsi" w:hAnsiTheme="majorHAnsi" w:cs="AdvPAC5A"/>
          <w:b/>
          <w:sz w:val="24"/>
          <w:szCs w:val="24"/>
        </w:rPr>
      </w:pPr>
      <w:r w:rsidRPr="00222845">
        <w:rPr>
          <w:rFonts w:asciiTheme="majorHAnsi" w:hAnsiTheme="majorHAnsi" w:cs="AdvPAC5A"/>
          <w:b/>
          <w:sz w:val="24"/>
          <w:szCs w:val="24"/>
        </w:rPr>
        <w:t>Houseguests, trespassers and the use of reasonable force in ejectment</w:t>
      </w: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dvPAC5A"/>
          <w:b/>
          <w:sz w:val="24"/>
          <w:szCs w:val="24"/>
        </w:rPr>
      </w:pPr>
      <w:r w:rsidRPr="00222845">
        <w:rPr>
          <w:rFonts w:asciiTheme="majorHAnsi" w:hAnsiTheme="majorHAnsi" w:cs="AdvPAC5C"/>
          <w:b/>
          <w:sz w:val="24"/>
          <w:szCs w:val="24"/>
        </w:rPr>
        <w:t xml:space="preserve">Day </w:t>
      </w:r>
      <w:r w:rsidRPr="00222845">
        <w:rPr>
          <w:rFonts w:asciiTheme="majorHAnsi" w:hAnsiTheme="majorHAnsi" w:cs="AdvPAC5A"/>
          <w:b/>
          <w:sz w:val="24"/>
          <w:szCs w:val="24"/>
        </w:rPr>
        <w:t>[2015] EWCA Crim 1646, Court of Appeal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AC5A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AC59"/>
          <w:sz w:val="24"/>
          <w:szCs w:val="24"/>
        </w:rPr>
      </w:pPr>
      <w:r w:rsidRPr="00222845">
        <w:rPr>
          <w:rFonts w:asciiTheme="majorHAnsi" w:hAnsiTheme="majorHAnsi" w:cs="AdvPAC5A"/>
          <w:sz w:val="24"/>
          <w:szCs w:val="24"/>
        </w:rPr>
        <w:t>Keywords</w:t>
      </w:r>
      <w:r>
        <w:rPr>
          <w:rFonts w:asciiTheme="majorHAnsi" w:hAnsiTheme="majorHAnsi" w:cs="AdvPAC5A"/>
          <w:sz w:val="24"/>
          <w:szCs w:val="24"/>
        </w:rPr>
        <w:t xml:space="preserve">: </w:t>
      </w:r>
      <w:r w:rsidRPr="00222845">
        <w:rPr>
          <w:rFonts w:asciiTheme="majorHAnsi" w:hAnsiTheme="majorHAnsi" w:cs="AdvPAC59"/>
          <w:sz w:val="24"/>
          <w:szCs w:val="24"/>
        </w:rPr>
        <w:t>Assault occasioning actual bodily harm, common assault, self-defence, ejectment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 xml:space="preserve">Edina Day (D) was charged with assaulting </w:t>
      </w:r>
      <w:proofErr w:type="spellStart"/>
      <w:r w:rsidRPr="00222845">
        <w:rPr>
          <w:rFonts w:asciiTheme="majorHAnsi" w:hAnsiTheme="majorHAnsi" w:cs="AdvP7B6C"/>
          <w:sz w:val="24"/>
          <w:szCs w:val="24"/>
        </w:rPr>
        <w:t>Jac</w:t>
      </w:r>
      <w:proofErr w:type="spellEnd"/>
      <w:r w:rsidRPr="00222845">
        <w:rPr>
          <w:rFonts w:asciiTheme="majorHAnsi" w:hAnsiTheme="majorHAnsi" w:cs="AdvP7B6C"/>
          <w:sz w:val="24"/>
          <w:szCs w:val="24"/>
        </w:rPr>
        <w:t xml:space="preserve"> Jones (J), occasioning actual bodily harm, contrary to s.47 of the Offences Against the Person Act 1861 (OAPA). She appeared before HH Judge </w:t>
      </w:r>
      <w:proofErr w:type="spellStart"/>
      <w:r w:rsidRPr="00222845">
        <w:rPr>
          <w:rFonts w:asciiTheme="majorHAnsi" w:hAnsiTheme="majorHAnsi" w:cs="AdvP7B6C"/>
          <w:sz w:val="24"/>
          <w:szCs w:val="24"/>
        </w:rPr>
        <w:t>Cottle</w:t>
      </w:r>
      <w:proofErr w:type="spellEnd"/>
      <w:r w:rsidRPr="00222845">
        <w:rPr>
          <w:rFonts w:asciiTheme="majorHAnsi" w:hAnsiTheme="majorHAnsi" w:cs="AdvP7B6C"/>
          <w:sz w:val="24"/>
          <w:szCs w:val="24"/>
        </w:rPr>
        <w:t xml:space="preserve"> and a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jury at Bristol Crown Court in June 2014 and entered a plea of not guilty.</w:t>
      </w:r>
      <w:r>
        <w:rPr>
          <w:rFonts w:asciiTheme="majorHAnsi" w:hAnsiTheme="majorHAnsi" w:cs="AdvP7B6C"/>
          <w:sz w:val="24"/>
          <w:szCs w:val="24"/>
        </w:rPr>
        <w:t xml:space="preserve"> 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In November 2013, D was staying overnight at a friend’s student accommodation in Clifton, Bristol.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This consisted of a flat comprising three bedrooms, one occupied by D’s friend, Hannah Smeaton (S),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one by another female, </w:t>
      </w:r>
      <w:proofErr w:type="spellStart"/>
      <w:r w:rsidRPr="00222845">
        <w:rPr>
          <w:rFonts w:asciiTheme="majorHAnsi" w:hAnsiTheme="majorHAnsi" w:cs="AdvP7B6C"/>
          <w:sz w:val="24"/>
          <w:szCs w:val="24"/>
        </w:rPr>
        <w:t>Shubnah</w:t>
      </w:r>
      <w:proofErr w:type="spellEnd"/>
      <w:r w:rsidRPr="00222845">
        <w:rPr>
          <w:rFonts w:asciiTheme="majorHAnsi" w:hAnsiTheme="majorHAnsi" w:cs="AdvP7B6C"/>
          <w:sz w:val="24"/>
          <w:szCs w:val="24"/>
        </w:rPr>
        <w:t xml:space="preserve"> Miah, and one by J. The alleged assault occurred in the early hours of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the morning when D pushed J out of S’s bedroom (where D was going to be sleeping). Over the course of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the evening, D, J and S had argued about J playing loud music in his room. Subsequently, while D was in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S’s bedroom getting ready for bed, J and S were arguing in the living room. D asked J to come into the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bedroom to talk, but the discussion became heated and D asked J, who had by his own admission been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drinking, to leave S’s room. She warned him that if he did not leave, she would shut the door on him. J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told the jury that he presumed that she meant leave the flat, and not just the bedroom. He stood his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ground, saying he paid rent. At that point, J told the jury ‘She got up and stood really close to me. She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was squaring up to my face. She said ‘‘say it again’’ and with that she pushes me with both hands in the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chest, causing me to fall backwards and crack my head on the bathroom door frame.’ An ambulance was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called and J was taken to hospital where he was given 10 staples to close up a head gash.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 xml:space="preserve">HH Judge </w:t>
      </w:r>
      <w:proofErr w:type="spellStart"/>
      <w:r w:rsidRPr="00222845">
        <w:rPr>
          <w:rFonts w:asciiTheme="majorHAnsi" w:hAnsiTheme="majorHAnsi" w:cs="AdvP7B6C"/>
          <w:sz w:val="24"/>
          <w:szCs w:val="24"/>
        </w:rPr>
        <w:t>Cottle</w:t>
      </w:r>
      <w:proofErr w:type="spellEnd"/>
      <w:r w:rsidRPr="00222845">
        <w:rPr>
          <w:rFonts w:asciiTheme="majorHAnsi" w:hAnsiTheme="majorHAnsi" w:cs="AdvP7B6C"/>
          <w:sz w:val="24"/>
          <w:szCs w:val="24"/>
        </w:rPr>
        <w:t xml:space="preserve"> directed the jury on self-defence but refused to allow D to also rely on the common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law right of householders to use reasonable force to eject trespassers (‘ejectment’), because D was only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S’s guest in the flat. He said, ‘She was there as a guest. So I reject that, and say that she has no defence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arising from that.’ The jury acquitted D of the s. 47 OAPA offence (on the basis that J’s injuries were not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caused by D’s push), but convicted her of common assault. She appealed to the Court of Appeal contending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that the defence of ejectment was available to anyone who was in lawful occupation of property.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F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F"/>
          <w:b/>
          <w:sz w:val="24"/>
          <w:szCs w:val="24"/>
        </w:rPr>
        <w:t>HELD, ALLOWING THE APPEAL</w:t>
      </w:r>
      <w:r w:rsidRPr="00222845">
        <w:rPr>
          <w:rFonts w:asciiTheme="majorHAnsi" w:hAnsiTheme="majorHAnsi" w:cs="AdvP7B6C"/>
          <w:b/>
          <w:sz w:val="24"/>
          <w:szCs w:val="24"/>
        </w:rPr>
        <w:t>,</w:t>
      </w:r>
      <w:r w:rsidRPr="00222845">
        <w:rPr>
          <w:rFonts w:asciiTheme="majorHAnsi" w:hAnsiTheme="majorHAnsi" w:cs="AdvP7B6C"/>
          <w:sz w:val="24"/>
          <w:szCs w:val="24"/>
        </w:rPr>
        <w:t xml:space="preserve"> the judge had been wrong not to allow D to invoke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the ejectment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defence. </w:t>
      </w:r>
      <w:proofErr w:type="gramStart"/>
      <w:r w:rsidRPr="00222845">
        <w:rPr>
          <w:rFonts w:asciiTheme="majorHAnsi" w:hAnsiTheme="majorHAnsi" w:cs="AdvP7B6C"/>
          <w:sz w:val="24"/>
          <w:szCs w:val="24"/>
        </w:rPr>
        <w:t>That defence was ‘not only available to the owner or resident of the place in question, but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generally if the relevant person is in lawful occupation.</w:t>
      </w:r>
      <w:proofErr w:type="gramEnd"/>
      <w:r w:rsidRPr="00222845">
        <w:rPr>
          <w:rFonts w:asciiTheme="majorHAnsi" w:hAnsiTheme="majorHAnsi" w:cs="AdvP7B6C"/>
          <w:sz w:val="24"/>
          <w:szCs w:val="24"/>
        </w:rPr>
        <w:t xml:space="preserve"> Such a person is entitled to use reasonable force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to evict an unwanted trespasser’ (at [6]). According to Laws LJ, giving the judgment of the court:</w:t>
      </w:r>
      <w:r>
        <w:rPr>
          <w:rFonts w:asciiTheme="majorHAnsi" w:hAnsiTheme="majorHAnsi" w:cs="AdvP7B6C"/>
          <w:sz w:val="24"/>
          <w:szCs w:val="24"/>
        </w:rPr>
        <w:t xml:space="preserve"> 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‘The jury might well have concluded that this young woman, partly clad at night-time, did no more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than seek to eject a drunk from her room. If the judge had directed the jury that [D] was in all the circumstances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entitled to use reasonable force to get [J] out of her bedroom, it is clearly possible that they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might have accepted that that was all she did and acquitted her’ (at [9]).</w:t>
      </w: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AC5A"/>
          <w:b/>
          <w:sz w:val="24"/>
          <w:szCs w:val="24"/>
        </w:rPr>
      </w:pPr>
      <w:r w:rsidRPr="00222845">
        <w:rPr>
          <w:rFonts w:asciiTheme="majorHAnsi" w:hAnsiTheme="majorHAnsi" w:cs="AdvPAC5A"/>
          <w:b/>
          <w:sz w:val="24"/>
          <w:szCs w:val="24"/>
        </w:rPr>
        <w:t>Commentary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AC5B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AC5B"/>
          <w:b/>
          <w:i/>
          <w:sz w:val="24"/>
          <w:szCs w:val="24"/>
        </w:rPr>
      </w:pPr>
      <w:r w:rsidRPr="00222845">
        <w:rPr>
          <w:rFonts w:asciiTheme="majorHAnsi" w:hAnsiTheme="majorHAnsi" w:cs="AdvPAC5B"/>
          <w:b/>
          <w:i/>
          <w:sz w:val="24"/>
          <w:szCs w:val="24"/>
        </w:rPr>
        <w:t>Causation in s. 47 OAPA Cases</w:t>
      </w: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It appears that the jury acquitted D of the offence charged on the basis that J’s injuries were self-inflicted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after J had ‘theatrically fallen backwards following what had in fact been a gentle push’ (at [3]). The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present case therefore illustrates the proposition that the ‘daft’ or ‘unexpected’ response of the victim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of an assault or battery may be sufficient to break the causal chain in </w:t>
      </w:r>
      <w:proofErr w:type="gramStart"/>
      <w:r w:rsidRPr="00222845">
        <w:rPr>
          <w:rFonts w:asciiTheme="majorHAnsi" w:hAnsiTheme="majorHAnsi" w:cs="AdvP7B6C"/>
          <w:sz w:val="24"/>
          <w:szCs w:val="24"/>
        </w:rPr>
        <w:t>a</w:t>
      </w:r>
      <w:proofErr w:type="gramEnd"/>
      <w:r w:rsidRPr="00222845">
        <w:rPr>
          <w:rFonts w:asciiTheme="majorHAnsi" w:hAnsiTheme="majorHAnsi" w:cs="AdvP7B6C"/>
          <w:sz w:val="24"/>
          <w:szCs w:val="24"/>
        </w:rPr>
        <w:t xml:space="preserve"> s. 47 case. As Stephenson LJ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explained in </w:t>
      </w:r>
      <w:r w:rsidRPr="00222845">
        <w:rPr>
          <w:rFonts w:asciiTheme="majorHAnsi" w:hAnsiTheme="majorHAnsi" w:cs="AdvP7B72"/>
          <w:i/>
          <w:sz w:val="24"/>
          <w:szCs w:val="24"/>
        </w:rPr>
        <w:t xml:space="preserve">R </w:t>
      </w:r>
      <w:r w:rsidRPr="00222845">
        <w:rPr>
          <w:rFonts w:asciiTheme="majorHAnsi" w:hAnsiTheme="majorHAnsi" w:cs="AdvP7B6C"/>
          <w:i/>
          <w:sz w:val="24"/>
          <w:szCs w:val="24"/>
        </w:rPr>
        <w:t xml:space="preserve">v </w:t>
      </w:r>
      <w:r w:rsidRPr="00222845">
        <w:rPr>
          <w:rFonts w:asciiTheme="majorHAnsi" w:hAnsiTheme="majorHAnsi" w:cs="AdvP7B72"/>
          <w:i/>
          <w:sz w:val="24"/>
          <w:szCs w:val="24"/>
        </w:rPr>
        <w:t xml:space="preserve">Roberts </w:t>
      </w:r>
      <w:r w:rsidRPr="00222845">
        <w:rPr>
          <w:rFonts w:asciiTheme="majorHAnsi" w:hAnsiTheme="majorHAnsi" w:cs="AdvP7B6C"/>
          <w:sz w:val="24"/>
          <w:szCs w:val="24"/>
        </w:rPr>
        <w:t>(1972) 56 Cr App R 95, in which V jumped from a moving car and sustained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injury amounting to actual bodily harm after the driver, D, attempted to remove her coat:</w:t>
      </w:r>
      <w:r>
        <w:rPr>
          <w:rFonts w:asciiTheme="majorHAnsi" w:hAnsiTheme="majorHAnsi" w:cs="AdvP7B6C"/>
          <w:sz w:val="24"/>
          <w:szCs w:val="24"/>
        </w:rPr>
        <w:t xml:space="preserve"> </w:t>
      </w: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AC59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Theme="majorHAnsi" w:hAnsiTheme="majorHAnsi" w:cs="AdvP7B6C"/>
          <w:sz w:val="24"/>
          <w:szCs w:val="24"/>
        </w:rPr>
      </w:pPr>
      <w:r>
        <w:rPr>
          <w:rFonts w:asciiTheme="majorHAnsi" w:hAnsiTheme="majorHAnsi" w:cs="AdvP7B6C"/>
          <w:sz w:val="24"/>
          <w:szCs w:val="24"/>
        </w:rPr>
        <w:t>‘</w:t>
      </w:r>
      <w:r w:rsidRPr="00222845">
        <w:rPr>
          <w:rFonts w:asciiTheme="majorHAnsi" w:hAnsiTheme="majorHAnsi" w:cs="AdvP7B6C"/>
          <w:sz w:val="24"/>
          <w:szCs w:val="24"/>
        </w:rPr>
        <w:t>The test is: Was [actual bodily harm] the natural result of what [D] said and did, in the sense that it was something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that could reasonably have been foreseen as the consequence of what he was saying or doing? [If] of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course [V] does something so ‘daft’ </w:t>
      </w:r>
      <w:r w:rsidRPr="00222845">
        <w:rPr>
          <w:rFonts w:asciiTheme="majorHAnsi" w:hAnsiTheme="majorHAnsi" w:cs="AdvP4C4E59"/>
          <w:sz w:val="24"/>
          <w:szCs w:val="24"/>
        </w:rPr>
        <w:t xml:space="preserve">. . . </w:t>
      </w:r>
      <w:r w:rsidRPr="00222845">
        <w:rPr>
          <w:rFonts w:asciiTheme="majorHAnsi" w:hAnsiTheme="majorHAnsi" w:cs="AdvP7B6C"/>
          <w:sz w:val="24"/>
          <w:szCs w:val="24"/>
        </w:rPr>
        <w:t>or so unexpected [such] that no reasonable man could be expected to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foresee it, then it is only in a very remote and unreal sense a consequence of his assault, it is really occasioned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by a voluntary act on the part of [V] which could not reasonably be foreseen and which breaks the chain of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causation between the assault and the harm or injury.’ (</w:t>
      </w:r>
      <w:proofErr w:type="gramStart"/>
      <w:r w:rsidRPr="00222845">
        <w:rPr>
          <w:rFonts w:asciiTheme="majorHAnsi" w:hAnsiTheme="majorHAnsi" w:cs="AdvP7B6C"/>
          <w:sz w:val="24"/>
          <w:szCs w:val="24"/>
        </w:rPr>
        <w:t>at</w:t>
      </w:r>
      <w:proofErr w:type="gramEnd"/>
      <w:r w:rsidRPr="00222845">
        <w:rPr>
          <w:rFonts w:asciiTheme="majorHAnsi" w:hAnsiTheme="majorHAnsi" w:cs="AdvP7B6C"/>
          <w:sz w:val="24"/>
          <w:szCs w:val="24"/>
        </w:rPr>
        <w:t xml:space="preserve"> 102).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AC5B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AC5B"/>
          <w:b/>
          <w:i/>
          <w:sz w:val="24"/>
          <w:szCs w:val="24"/>
        </w:rPr>
      </w:pPr>
      <w:r w:rsidRPr="00222845">
        <w:rPr>
          <w:rFonts w:asciiTheme="majorHAnsi" w:hAnsiTheme="majorHAnsi" w:cs="AdvPAC5B"/>
          <w:b/>
          <w:i/>
          <w:sz w:val="24"/>
          <w:szCs w:val="24"/>
        </w:rPr>
        <w:t>Ejectment</w:t>
      </w: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The common law defence of ejectment is not one that is frequently invoked but, when it is, the present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case confirms that there is no rule of law restricting it to the owner of, or resident in, the property. One of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the best-known examples is </w:t>
      </w:r>
      <w:r w:rsidRPr="00222845">
        <w:rPr>
          <w:rFonts w:asciiTheme="majorHAnsi" w:hAnsiTheme="majorHAnsi" w:cs="AdvP7B6C"/>
          <w:i/>
          <w:sz w:val="24"/>
          <w:szCs w:val="24"/>
        </w:rPr>
        <w:t xml:space="preserve">R v Scarlett </w:t>
      </w:r>
      <w:r w:rsidRPr="00222845">
        <w:rPr>
          <w:rFonts w:asciiTheme="majorHAnsi" w:hAnsiTheme="majorHAnsi" w:cs="AdvP7B6C"/>
          <w:sz w:val="24"/>
          <w:szCs w:val="24"/>
        </w:rPr>
        <w:t>[1994] 98 Cr App R 290, in which the accused’s manslaughter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conviction was quashed on the basis of the trial judge’s misdirection to the jury about ejectment. The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accused was a landlord in Halifax who had forcibly ejected ‘a large, heavily-built man’ who was ‘the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worse for drink’ from his pub. This unfortunately culminated in the man’s death after he fell down</w:t>
      </w: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proofErr w:type="gramStart"/>
      <w:r w:rsidRPr="00222845">
        <w:rPr>
          <w:rFonts w:asciiTheme="majorHAnsi" w:hAnsiTheme="majorHAnsi" w:cs="AdvP7B6C"/>
          <w:sz w:val="24"/>
          <w:szCs w:val="24"/>
        </w:rPr>
        <w:t>the</w:t>
      </w:r>
      <w:proofErr w:type="gramEnd"/>
      <w:r w:rsidRPr="00222845">
        <w:rPr>
          <w:rFonts w:asciiTheme="majorHAnsi" w:hAnsiTheme="majorHAnsi" w:cs="AdvP7B6C"/>
          <w:sz w:val="24"/>
          <w:szCs w:val="24"/>
        </w:rPr>
        <w:t xml:space="preserve"> steps leading up to the front door of the pub and struck his head on the pavement. Beldam LJ, giving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the judgment of the Court of Appeal, said: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Theme="majorHAnsi" w:hAnsiTheme="majorHAnsi" w:cs="AdvP7B6C"/>
          <w:sz w:val="24"/>
          <w:szCs w:val="24"/>
        </w:rPr>
      </w:pPr>
      <w:r>
        <w:rPr>
          <w:rFonts w:asciiTheme="majorHAnsi" w:hAnsiTheme="majorHAnsi" w:cs="AdvP7B6C"/>
          <w:sz w:val="24"/>
          <w:szCs w:val="24"/>
        </w:rPr>
        <w:t>‘</w:t>
      </w:r>
      <w:r w:rsidRPr="00222845">
        <w:rPr>
          <w:rFonts w:asciiTheme="majorHAnsi" w:hAnsiTheme="majorHAnsi" w:cs="AdvP7B6C"/>
          <w:sz w:val="24"/>
          <w:szCs w:val="24"/>
        </w:rPr>
        <w:t>We are of the opinion that the directions to the jury in the circumstances of this case were inadequate to support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a verdict of guilty of manslaughter. The appellant had given clear evidence that he only intended to use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sufficient force to remove the deceased from the bar, an act he was lawfully entitled to do.’ (</w:t>
      </w:r>
      <w:proofErr w:type="gramStart"/>
      <w:r w:rsidRPr="00222845">
        <w:rPr>
          <w:rFonts w:asciiTheme="majorHAnsi" w:hAnsiTheme="majorHAnsi" w:cs="AdvP7B6C"/>
          <w:sz w:val="24"/>
          <w:szCs w:val="24"/>
        </w:rPr>
        <w:t>at</w:t>
      </w:r>
      <w:proofErr w:type="gramEnd"/>
      <w:r w:rsidRPr="00222845">
        <w:rPr>
          <w:rFonts w:asciiTheme="majorHAnsi" w:hAnsiTheme="majorHAnsi" w:cs="AdvP7B6C"/>
          <w:sz w:val="24"/>
          <w:szCs w:val="24"/>
        </w:rPr>
        <w:t xml:space="preserve"> 296)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 xml:space="preserve">More recently, in </w:t>
      </w:r>
      <w:proofErr w:type="spellStart"/>
      <w:r w:rsidRPr="00222845">
        <w:rPr>
          <w:rFonts w:asciiTheme="majorHAnsi" w:hAnsiTheme="majorHAnsi" w:cs="AdvP7B72"/>
          <w:i/>
          <w:sz w:val="24"/>
          <w:szCs w:val="24"/>
        </w:rPr>
        <w:t>Semple</w:t>
      </w:r>
      <w:proofErr w:type="spellEnd"/>
      <w:r w:rsidRPr="00222845">
        <w:rPr>
          <w:rFonts w:asciiTheme="majorHAnsi" w:hAnsiTheme="majorHAnsi" w:cs="AdvP7B72"/>
          <w:i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i/>
          <w:sz w:val="24"/>
          <w:szCs w:val="24"/>
        </w:rPr>
        <w:t xml:space="preserve">v </w:t>
      </w:r>
      <w:r w:rsidRPr="00222845">
        <w:rPr>
          <w:rFonts w:asciiTheme="majorHAnsi" w:hAnsiTheme="majorHAnsi" w:cs="AdvP7B72"/>
          <w:i/>
          <w:sz w:val="24"/>
          <w:szCs w:val="24"/>
        </w:rPr>
        <w:t>DPP</w:t>
      </w:r>
      <w:r w:rsidRPr="00222845">
        <w:rPr>
          <w:rFonts w:asciiTheme="majorHAnsi" w:hAnsiTheme="majorHAnsi" w:cs="AdvP7B72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[2009] EWHC 3241, which also involved the ejection of a drunken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man from a pub, this time in Luton, </w:t>
      </w:r>
      <w:proofErr w:type="spellStart"/>
      <w:r w:rsidRPr="00222845">
        <w:rPr>
          <w:rFonts w:asciiTheme="majorHAnsi" w:hAnsiTheme="majorHAnsi" w:cs="AdvP7B6C"/>
          <w:sz w:val="24"/>
          <w:szCs w:val="24"/>
        </w:rPr>
        <w:t>Hickinbottom</w:t>
      </w:r>
      <w:proofErr w:type="spellEnd"/>
      <w:r w:rsidRPr="00222845">
        <w:rPr>
          <w:rFonts w:asciiTheme="majorHAnsi" w:hAnsiTheme="majorHAnsi" w:cs="AdvP7B6C"/>
          <w:sz w:val="24"/>
          <w:szCs w:val="24"/>
        </w:rPr>
        <w:t xml:space="preserve"> J referred to the ‘right of a licence holder to eject a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customer whom he does not wish to remain on the premises’ (at [11]). He then added that ‘[At] common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law an </w:t>
      </w:r>
      <w:r w:rsidRPr="00222845">
        <w:rPr>
          <w:rFonts w:asciiTheme="majorHAnsi" w:hAnsiTheme="majorHAnsi" w:cs="AdvP7B72"/>
          <w:sz w:val="24"/>
          <w:szCs w:val="24"/>
        </w:rPr>
        <w:t xml:space="preserve">occupier </w:t>
      </w:r>
      <w:r w:rsidRPr="00222845">
        <w:rPr>
          <w:rFonts w:asciiTheme="majorHAnsi" w:hAnsiTheme="majorHAnsi" w:cs="AdvP7B6C"/>
          <w:sz w:val="24"/>
          <w:szCs w:val="24"/>
        </w:rPr>
        <w:t>of premises—</w:t>
      </w:r>
      <w:r w:rsidRPr="00222845">
        <w:rPr>
          <w:rFonts w:asciiTheme="majorHAnsi" w:hAnsiTheme="majorHAnsi" w:cs="AdvP7B6C"/>
          <w:i/>
          <w:sz w:val="24"/>
          <w:szCs w:val="24"/>
        </w:rPr>
        <w:t>whether licensed or not</w:t>
      </w:r>
      <w:r w:rsidRPr="00222845">
        <w:rPr>
          <w:rFonts w:asciiTheme="majorHAnsi" w:hAnsiTheme="majorHAnsi" w:cs="AdvP7B6C"/>
          <w:sz w:val="24"/>
          <w:szCs w:val="24"/>
        </w:rPr>
        <w:t>—has the right to ask a person to leave and the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right to eject him using reasonable force if he refuses’ (at [11]; emphasis added).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 xml:space="preserve">The Crown in the present case relied on the case of </w:t>
      </w:r>
      <w:r w:rsidRPr="00222845">
        <w:rPr>
          <w:rFonts w:asciiTheme="majorHAnsi" w:hAnsiTheme="majorHAnsi" w:cs="AdvP7B72"/>
          <w:i/>
          <w:sz w:val="24"/>
          <w:szCs w:val="24"/>
        </w:rPr>
        <w:t xml:space="preserve">R </w:t>
      </w:r>
      <w:r w:rsidRPr="00222845">
        <w:rPr>
          <w:rFonts w:asciiTheme="majorHAnsi" w:hAnsiTheme="majorHAnsi" w:cs="AdvP7B6C"/>
          <w:i/>
          <w:sz w:val="24"/>
          <w:szCs w:val="24"/>
        </w:rPr>
        <w:t xml:space="preserve">v </w:t>
      </w:r>
      <w:r w:rsidRPr="00222845">
        <w:rPr>
          <w:rFonts w:asciiTheme="majorHAnsi" w:hAnsiTheme="majorHAnsi" w:cs="AdvP7B72"/>
          <w:i/>
          <w:sz w:val="24"/>
          <w:szCs w:val="24"/>
        </w:rPr>
        <w:t>Burns</w:t>
      </w:r>
      <w:r w:rsidRPr="00222845">
        <w:rPr>
          <w:rFonts w:asciiTheme="majorHAnsi" w:hAnsiTheme="majorHAnsi" w:cs="AdvP7B72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[2010] EWCA Crim 1023, [2010] 1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WLR 2694, in support of the proposition that D could not claim the defence of ejectment. In </w:t>
      </w:r>
      <w:r w:rsidRPr="00222845">
        <w:rPr>
          <w:rFonts w:asciiTheme="majorHAnsi" w:hAnsiTheme="majorHAnsi" w:cs="AdvP7B72"/>
          <w:i/>
          <w:sz w:val="24"/>
          <w:szCs w:val="24"/>
        </w:rPr>
        <w:t>Burns</w:t>
      </w:r>
      <w:r w:rsidRPr="00222845">
        <w:rPr>
          <w:rFonts w:asciiTheme="majorHAnsi" w:hAnsiTheme="majorHAnsi" w:cs="AdvP7B6C"/>
          <w:sz w:val="24"/>
          <w:szCs w:val="24"/>
        </w:rPr>
        <w:t>, th</w:t>
      </w:r>
      <w:bookmarkStart w:id="0" w:name="_GoBack"/>
      <w:bookmarkEnd w:id="0"/>
      <w:r w:rsidRPr="00222845">
        <w:rPr>
          <w:rFonts w:asciiTheme="majorHAnsi" w:hAnsiTheme="majorHAnsi" w:cs="AdvP7B6C"/>
          <w:sz w:val="24"/>
          <w:szCs w:val="24"/>
        </w:rPr>
        <w:t>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accused had been convicted of assault occasioning actual bodily </w:t>
      </w:r>
      <w:r w:rsidRPr="00222845">
        <w:rPr>
          <w:rFonts w:asciiTheme="majorHAnsi" w:hAnsiTheme="majorHAnsi" w:cs="AdvP7B6C"/>
          <w:sz w:val="24"/>
          <w:szCs w:val="24"/>
        </w:rPr>
        <w:lastRenderedPageBreak/>
        <w:t>harm after forcibly removing a prostitute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from his car as a result of which she suffered scratches and grazes to her legs. He had picked her up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in the red light area of Huddersfield, negotiated and paid a fee of £50 for oral sex, and then driven to a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more ‘secluded’ area when he switched on his car’s interior lights and realised that she was somewhat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less attractive than she had appeared whilst on the street. He had asked her to get out but, after she had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refused, he had (he claimed) used no more than reasonable force to eject her from his car. However, his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defence of ejectment (described by Lord Judge CJ as ‘self-help’) had been rejected by the jury and his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conviction was upheld by the Court of Appeal. Laws LJ in the present case pointed out that the defence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in </w:t>
      </w:r>
      <w:r w:rsidRPr="00222845">
        <w:rPr>
          <w:rFonts w:asciiTheme="majorHAnsi" w:hAnsiTheme="majorHAnsi" w:cs="AdvP7B72"/>
          <w:i/>
          <w:sz w:val="24"/>
          <w:szCs w:val="24"/>
        </w:rPr>
        <w:t>Burns</w:t>
      </w:r>
      <w:r w:rsidRPr="00222845">
        <w:rPr>
          <w:rFonts w:asciiTheme="majorHAnsi" w:hAnsiTheme="majorHAnsi" w:cs="AdvP7B72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had failed because it had not been necessary for the accused to use force at all (instead of dragging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the woman out, he could have regained possession of the vehicle by driving her back to the place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where he had picked her up), as opposed to the defence not being available to the owner of a vehicle.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Laws LJ said that </w:t>
      </w:r>
      <w:r w:rsidRPr="00222845">
        <w:rPr>
          <w:rFonts w:asciiTheme="majorHAnsi" w:hAnsiTheme="majorHAnsi" w:cs="AdvP7B72"/>
          <w:i/>
          <w:sz w:val="24"/>
          <w:szCs w:val="24"/>
        </w:rPr>
        <w:t>Burns</w:t>
      </w:r>
      <w:r w:rsidRPr="00222845">
        <w:rPr>
          <w:rFonts w:asciiTheme="majorHAnsi" w:hAnsiTheme="majorHAnsi" w:cs="AdvP7B72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‘does not begin to contradict the proposition that in circumstances such as those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in this appeal the lawful occupier of the space in question is entitled to use reasonable force to remove an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unwanted trespasser’ (at [9]).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AC5B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AC5B"/>
          <w:b/>
          <w:i/>
          <w:sz w:val="24"/>
          <w:szCs w:val="24"/>
        </w:rPr>
      </w:pPr>
      <w:r w:rsidRPr="00222845">
        <w:rPr>
          <w:rFonts w:asciiTheme="majorHAnsi" w:hAnsiTheme="majorHAnsi" w:cs="AdvPAC5B"/>
          <w:b/>
          <w:i/>
          <w:sz w:val="24"/>
          <w:szCs w:val="24"/>
        </w:rPr>
        <w:t>Householder Cases under the Criminal Justice and Immigration Act 2008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D’s application for leave to appeal was heard in the Court of Appeal in February 2015. In granting leave,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Hallett LJ referred to the ejectment defence as the ‘householder defence’ (</w:t>
      </w:r>
      <w:r w:rsidRPr="00222845">
        <w:rPr>
          <w:rFonts w:asciiTheme="majorHAnsi" w:hAnsiTheme="majorHAnsi" w:cs="AdvP7B72"/>
          <w:i/>
          <w:sz w:val="24"/>
          <w:szCs w:val="24"/>
        </w:rPr>
        <w:t xml:space="preserve">R </w:t>
      </w:r>
      <w:r w:rsidRPr="00222845">
        <w:rPr>
          <w:rFonts w:asciiTheme="majorHAnsi" w:hAnsiTheme="majorHAnsi" w:cs="AdvP7B6C"/>
          <w:i/>
          <w:sz w:val="24"/>
          <w:szCs w:val="24"/>
        </w:rPr>
        <w:t xml:space="preserve">v </w:t>
      </w:r>
      <w:r w:rsidRPr="00222845">
        <w:rPr>
          <w:rFonts w:asciiTheme="majorHAnsi" w:hAnsiTheme="majorHAnsi" w:cs="AdvP7B72"/>
          <w:i/>
          <w:sz w:val="24"/>
          <w:szCs w:val="24"/>
        </w:rPr>
        <w:t>Day</w:t>
      </w:r>
      <w:r w:rsidRPr="00222845">
        <w:rPr>
          <w:rFonts w:asciiTheme="majorHAnsi" w:hAnsiTheme="majorHAnsi" w:cs="AdvP7B72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[2015] EWCA Crim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253 at [5]). That invites confusion with s. 76(5A) of the Criminal Justice and Immigration Act 2008 (the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2008 Act). That provision was inserted into the 2008 Act by s. 43 of the Crime and Courts Act 2013 (the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2013 Act). Section 76(5A) of the 2008 Act (as amended) provides:</w:t>
      </w: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In a householder case, the degree of force used by D is not to be regarded as having been reasonable in the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circumstances as D believed them to be if it was grossly disproportionate in those circumstances.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In the present case, Laws LJ said that ‘the expression ‘‘householder defence’’ appears in section 76 of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the [2008 Act]. </w:t>
      </w:r>
      <w:proofErr w:type="gramStart"/>
      <w:r w:rsidRPr="00222845">
        <w:rPr>
          <w:rFonts w:asciiTheme="majorHAnsi" w:hAnsiTheme="majorHAnsi" w:cs="AdvP7B6C"/>
          <w:sz w:val="24"/>
          <w:szCs w:val="24"/>
        </w:rPr>
        <w:t>That of course has no bearing in the present case’ (at [4]).</w:t>
      </w:r>
      <w:proofErr w:type="gramEnd"/>
      <w:r w:rsidRPr="00222845">
        <w:rPr>
          <w:rFonts w:asciiTheme="majorHAnsi" w:hAnsiTheme="majorHAnsi" w:cs="AdvP7B6C"/>
          <w:sz w:val="24"/>
          <w:szCs w:val="24"/>
        </w:rPr>
        <w:t xml:space="preserve"> However, Laws LJ does not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explain why the ‘householder defence’ would be inapplicable. It is not a question of timing; s. 76(5A)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became effective several months before the incident in the present case. The likely explanation is that </w:t>
      </w:r>
      <w:proofErr w:type="gramStart"/>
      <w:r w:rsidRPr="00222845">
        <w:rPr>
          <w:rFonts w:asciiTheme="majorHAnsi" w:hAnsiTheme="majorHAnsi" w:cs="AdvP7B6C"/>
          <w:sz w:val="24"/>
          <w:szCs w:val="24"/>
        </w:rPr>
        <w:t>s.76(</w:t>
      </w:r>
      <w:proofErr w:type="gramEnd"/>
      <w:r w:rsidRPr="00222845">
        <w:rPr>
          <w:rFonts w:asciiTheme="majorHAnsi" w:hAnsiTheme="majorHAnsi" w:cs="AdvP7B6C"/>
          <w:sz w:val="24"/>
          <w:szCs w:val="24"/>
        </w:rPr>
        <w:t>5A) had ‘no bearing’ because D was not acting in self-defence. Given the jury’s verdict (not guilty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under s. 47 OAPA but guilty of common assault), they must have accepted that, whilst D pushed J out of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S’s room, she did not do so with sufficient force to cause his injuries. Hence, there was no suggestion that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she used disproportionate force; rather, her plea of self-defence was rejected because she was not acting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in order to defend herself (but was acting in order to eject a drunken man from her friend’s bedroom).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However, had D been acting in self-defence, and had there been a dispute as to the amount of force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used, then it appears that s. 76(5A) of the 2008 Act would have been applicable. Section 76(8A) of the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2008 Act (as amended by the 2013 Act) defines ‘a householder case’:</w:t>
      </w:r>
      <w:r>
        <w:rPr>
          <w:rFonts w:asciiTheme="majorHAnsi" w:hAnsiTheme="majorHAnsi" w:cs="AdvP7B6C"/>
          <w:sz w:val="24"/>
          <w:szCs w:val="24"/>
        </w:rPr>
        <w:t xml:space="preserve"> 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For the purposes of this section ‘a householder case’ is a case where –</w:t>
      </w: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Pr="00222845" w:rsidRDefault="00222845" w:rsidP="00222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the defence concerned is the common law defence of self-defence,</w:t>
      </w:r>
    </w:p>
    <w:p w:rsidR="00222845" w:rsidRPr="00222845" w:rsidRDefault="00222845" w:rsidP="00222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4C4E59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lastRenderedPageBreak/>
        <w:t>the force concerned is force used by D while in or partly in a building, or part of a building, that is</w:t>
      </w:r>
      <w:r w:rsidRPr="00222845"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a dwelling </w:t>
      </w:r>
      <w:r w:rsidRPr="00222845">
        <w:rPr>
          <w:rFonts w:asciiTheme="majorHAnsi" w:hAnsiTheme="majorHAnsi" w:cs="AdvP4C4E59"/>
          <w:sz w:val="24"/>
          <w:szCs w:val="24"/>
        </w:rPr>
        <w:t>. . .</w:t>
      </w:r>
    </w:p>
    <w:p w:rsidR="00222845" w:rsidRPr="00222845" w:rsidRDefault="00222845" w:rsidP="00222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D is not a trespasser at the time the force is used, and</w:t>
      </w:r>
    </w:p>
    <w:p w:rsidR="00222845" w:rsidRPr="00222845" w:rsidRDefault="00222845" w:rsidP="00222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proofErr w:type="gramStart"/>
      <w:r w:rsidRPr="00222845">
        <w:rPr>
          <w:rFonts w:asciiTheme="majorHAnsi" w:hAnsiTheme="majorHAnsi" w:cs="AdvP7B6C"/>
          <w:sz w:val="24"/>
          <w:szCs w:val="24"/>
        </w:rPr>
        <w:t>at</w:t>
      </w:r>
      <w:proofErr w:type="gramEnd"/>
      <w:r w:rsidRPr="00222845">
        <w:rPr>
          <w:rFonts w:asciiTheme="majorHAnsi" w:hAnsiTheme="majorHAnsi" w:cs="AdvP7B6C"/>
          <w:sz w:val="24"/>
          <w:szCs w:val="24"/>
        </w:rPr>
        <w:t xml:space="preserve"> that time D believed V to be in, or entering, the building or part as a trespasser.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The following points should be noted about the scope of the ‘householder case’.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AC5B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AC5B"/>
          <w:i/>
          <w:sz w:val="24"/>
          <w:szCs w:val="24"/>
        </w:rPr>
        <w:t>Need to be Acting in ‘Self-Defence’.</w:t>
      </w:r>
      <w:r w:rsidRPr="00222845">
        <w:rPr>
          <w:rFonts w:asciiTheme="majorHAnsi" w:hAnsiTheme="majorHAnsi" w:cs="AdvPAC5B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Section 76(5A) only concerns ‘the common law defence of self</w:t>
      </w:r>
      <w:r>
        <w:rPr>
          <w:rFonts w:asciiTheme="majorHAnsi" w:hAnsiTheme="majorHAnsi" w:cs="AdvP7B6C"/>
          <w:sz w:val="24"/>
          <w:szCs w:val="24"/>
        </w:rPr>
        <w:t>-</w:t>
      </w:r>
      <w:r w:rsidRPr="00222845">
        <w:rPr>
          <w:rFonts w:asciiTheme="majorHAnsi" w:hAnsiTheme="majorHAnsi" w:cs="AdvP7B6C"/>
          <w:sz w:val="24"/>
          <w:szCs w:val="24"/>
        </w:rPr>
        <w:t>defence’.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At first glance, this appears to rule out cases where the accused was acting in defence of others,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for example her children. However, this is not the case: s. 76(10) of the 2008 Act states that ‘references to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self-defence include acting in defence of another person’. Thus, the accused is entitled to use ‘disproportionate’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force in protecting themselves and/or other people in a ‘dwelling’. However, s. 76(5A) clearly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does not apply to the defence of ejectment, hence its unavailability in the present case.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AC5B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AC5B"/>
          <w:i/>
          <w:sz w:val="24"/>
          <w:szCs w:val="24"/>
        </w:rPr>
        <w:t>Need To Be In—or Partly In—a ‘Dwelling’.</w:t>
      </w:r>
      <w:r w:rsidRPr="00222845">
        <w:rPr>
          <w:rFonts w:asciiTheme="majorHAnsi" w:hAnsiTheme="majorHAnsi" w:cs="AdvPAC5B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The accused must be in, or partly in, a ‘building’ which is also a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‘dwelling’. Clearly, this means that if the accused is in </w:t>
      </w:r>
      <w:proofErr w:type="gramStart"/>
      <w:r w:rsidRPr="00222845">
        <w:rPr>
          <w:rFonts w:asciiTheme="majorHAnsi" w:hAnsiTheme="majorHAnsi" w:cs="AdvP7B6C"/>
          <w:sz w:val="24"/>
          <w:szCs w:val="24"/>
        </w:rPr>
        <w:t>her own</w:t>
      </w:r>
      <w:proofErr w:type="gramEnd"/>
      <w:r w:rsidRPr="00222845">
        <w:rPr>
          <w:rFonts w:asciiTheme="majorHAnsi" w:hAnsiTheme="majorHAnsi" w:cs="AdvP7B6C"/>
          <w:sz w:val="24"/>
          <w:szCs w:val="24"/>
        </w:rPr>
        <w:t xml:space="preserve"> home, s. 76(5A) will apply, but it is not a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requirement. Hence, if D is staying as a guest with friends or relatives in their home and uses force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against a burglar or trespasser, it will still be classed as a ‘householder case’. This aspect of the ‘householder’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defence would have been satisfied in the present case.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The concept of being ‘partly in’ a building is undefined in the 2008 Act and may well attract litigation.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However, it is clearly designed to deal with cases where the accused uses ‘disproportionate’ force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against a burglar (or attempted burglar) whilst stood in the doorway or other entrance of a dwelling—perhaps even whilst leaning out of a window. As long as the accused was at least ‘partly’ in a building,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which is also a ‘dwelling’, s. 76(5A) will apply.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AC5B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AC5B"/>
          <w:i/>
          <w:sz w:val="24"/>
          <w:szCs w:val="24"/>
        </w:rPr>
        <w:t>The Accused Must Not Be a ‘Trespasser’.</w:t>
      </w:r>
      <w:r w:rsidRPr="00222845">
        <w:rPr>
          <w:rFonts w:asciiTheme="majorHAnsi" w:hAnsiTheme="majorHAnsi" w:cs="AdvPAC5B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As far as the accused is concerned, they must not be trespassing.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They need not be the owner or resident of the dwelling in question, but they must be there lawfully, for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example as a guest. This aspect of the ‘householder’ defence would also have been satisfied in the present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case.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AC5B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AC5B"/>
          <w:i/>
          <w:sz w:val="24"/>
          <w:szCs w:val="24"/>
        </w:rPr>
        <w:t xml:space="preserve">Need to </w:t>
      </w:r>
      <w:proofErr w:type="gramStart"/>
      <w:r w:rsidRPr="00222845">
        <w:rPr>
          <w:rFonts w:asciiTheme="majorHAnsi" w:hAnsiTheme="majorHAnsi" w:cs="AdvPAC5B"/>
          <w:i/>
          <w:sz w:val="24"/>
          <w:szCs w:val="24"/>
        </w:rPr>
        <w:t>Believe</w:t>
      </w:r>
      <w:proofErr w:type="gramEnd"/>
      <w:r w:rsidRPr="00222845">
        <w:rPr>
          <w:rFonts w:asciiTheme="majorHAnsi" w:hAnsiTheme="majorHAnsi" w:cs="AdvPAC5B"/>
          <w:i/>
          <w:sz w:val="24"/>
          <w:szCs w:val="24"/>
        </w:rPr>
        <w:t xml:space="preserve"> that </w:t>
      </w:r>
      <w:r w:rsidRPr="00222845">
        <w:rPr>
          <w:rFonts w:asciiTheme="majorHAnsi" w:hAnsiTheme="majorHAnsi" w:cs="AdvPAC59"/>
          <w:i/>
          <w:sz w:val="24"/>
          <w:szCs w:val="24"/>
        </w:rPr>
        <w:t xml:space="preserve">V </w:t>
      </w:r>
      <w:r w:rsidRPr="00222845">
        <w:rPr>
          <w:rFonts w:asciiTheme="majorHAnsi" w:hAnsiTheme="majorHAnsi" w:cs="AdvPAC5B"/>
          <w:i/>
          <w:sz w:val="24"/>
          <w:szCs w:val="24"/>
        </w:rPr>
        <w:t xml:space="preserve">was Trespassing. </w:t>
      </w:r>
      <w:r w:rsidRPr="00222845">
        <w:rPr>
          <w:rFonts w:asciiTheme="majorHAnsi" w:hAnsiTheme="majorHAnsi" w:cs="AdvP7B6C"/>
          <w:sz w:val="24"/>
          <w:szCs w:val="24"/>
        </w:rPr>
        <w:t>Although s. 76(5A) is clearly designed to deal with householders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who use force against burglars, there is no requirement that V actually was trespassing, or even that V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was in the building, at the time. It is sufficient that D believed that V was in, or was entering, the building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as a trespasser. Moreover, s. 76(8D) of the 2008 Act (as amended) states that ‘subsections (4) and (5)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apply for the purposes of subsection (8A</w:t>
      </w:r>
      <w:proofErr w:type="gramStart"/>
      <w:r w:rsidRPr="00222845">
        <w:rPr>
          <w:rFonts w:asciiTheme="majorHAnsi" w:hAnsiTheme="majorHAnsi" w:cs="AdvP7B6C"/>
          <w:sz w:val="24"/>
          <w:szCs w:val="24"/>
        </w:rPr>
        <w:t>)(</w:t>
      </w:r>
      <w:proofErr w:type="gramEnd"/>
      <w:r w:rsidRPr="00222845">
        <w:rPr>
          <w:rFonts w:asciiTheme="majorHAnsi" w:hAnsiTheme="majorHAnsi" w:cs="AdvP7B6C"/>
          <w:sz w:val="24"/>
          <w:szCs w:val="24"/>
        </w:rPr>
        <w:t>d) as they apply for the purposes of subsection (3)’. This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means that: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4C4E74"/>
          <w:sz w:val="24"/>
          <w:szCs w:val="24"/>
        </w:rPr>
      </w:pPr>
    </w:p>
    <w:p w:rsidR="00222845" w:rsidRPr="00222845" w:rsidRDefault="00222845" w:rsidP="00222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the accused’s belief may be mistaken, even unreasonably mistaken; provided it is a genuinely</w:t>
      </w:r>
      <w:r w:rsidRPr="00222845"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held (and sober) belief, she can rely upon it (see s. 76(4) of the 2008 Act)</w:t>
      </w:r>
    </w:p>
    <w:p w:rsidR="00222845" w:rsidRPr="00222845" w:rsidRDefault="00222845" w:rsidP="00222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proofErr w:type="gramStart"/>
      <w:r w:rsidRPr="00222845">
        <w:rPr>
          <w:rFonts w:asciiTheme="majorHAnsi" w:hAnsiTheme="majorHAnsi" w:cs="AdvP7B6C"/>
          <w:sz w:val="24"/>
          <w:szCs w:val="24"/>
        </w:rPr>
        <w:t>the</w:t>
      </w:r>
      <w:proofErr w:type="gramEnd"/>
      <w:r w:rsidRPr="00222845">
        <w:rPr>
          <w:rFonts w:asciiTheme="majorHAnsi" w:hAnsiTheme="majorHAnsi" w:cs="AdvP7B6C"/>
          <w:sz w:val="24"/>
          <w:szCs w:val="24"/>
        </w:rPr>
        <w:t xml:space="preserve"> accused cannot rely upon a mistaken belief if that belief was induced by voluntary intoxication</w:t>
      </w:r>
      <w:r w:rsidRPr="00222845"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(see s. 76(5) of the 2008 Act).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As far as the present case is concerned, it appears that this element would also have been satisfied.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According to D, she had asked J to leave S’s bedroom three times but he refused to do so, culminating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in her pushing him out of the room. J may therefore have </w:t>
      </w:r>
      <w:r w:rsidRPr="00222845">
        <w:rPr>
          <w:rFonts w:asciiTheme="majorHAnsi" w:hAnsiTheme="majorHAnsi" w:cs="AdvP7B6C"/>
          <w:sz w:val="24"/>
          <w:szCs w:val="24"/>
        </w:rPr>
        <w:lastRenderedPageBreak/>
        <w:t>genuinely believed—rightly or wrongly—that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D was trespassing by refusing to leave S’s room.</w:t>
      </w:r>
      <w:r>
        <w:rPr>
          <w:rFonts w:asciiTheme="majorHAnsi" w:hAnsiTheme="majorHAnsi" w:cs="AdvP7B6C"/>
          <w:sz w:val="24"/>
          <w:szCs w:val="24"/>
        </w:rPr>
        <w:t xml:space="preserve"> </w:t>
      </w:r>
    </w:p>
    <w:p w:rsid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dvP7B6C"/>
          <w:sz w:val="24"/>
          <w:szCs w:val="24"/>
        </w:rPr>
      </w:pPr>
    </w:p>
    <w:p w:rsidR="00222845" w:rsidRPr="00222845" w:rsidRDefault="00222845" w:rsidP="002228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22845">
        <w:rPr>
          <w:rFonts w:asciiTheme="majorHAnsi" w:hAnsiTheme="majorHAnsi" w:cs="AdvP7B6C"/>
          <w:sz w:val="24"/>
          <w:szCs w:val="24"/>
        </w:rPr>
        <w:t>Finally, it is useful to consider how s. 76(5A) might apply to some of the pre-2008 Act cases involving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householders and burglars. In </w:t>
      </w:r>
      <w:r w:rsidRPr="00222845">
        <w:rPr>
          <w:rFonts w:asciiTheme="majorHAnsi" w:hAnsiTheme="majorHAnsi" w:cs="AdvP7B72"/>
          <w:i/>
          <w:sz w:val="24"/>
          <w:szCs w:val="24"/>
        </w:rPr>
        <w:t xml:space="preserve">R </w:t>
      </w:r>
      <w:r w:rsidRPr="00222845">
        <w:rPr>
          <w:rFonts w:asciiTheme="majorHAnsi" w:hAnsiTheme="majorHAnsi" w:cs="AdvP7B6C"/>
          <w:i/>
          <w:sz w:val="24"/>
          <w:szCs w:val="24"/>
        </w:rPr>
        <w:t xml:space="preserve">v </w:t>
      </w:r>
      <w:r w:rsidRPr="00222845">
        <w:rPr>
          <w:rFonts w:asciiTheme="majorHAnsi" w:hAnsiTheme="majorHAnsi" w:cs="AdvP7B72"/>
          <w:i/>
          <w:sz w:val="24"/>
          <w:szCs w:val="24"/>
        </w:rPr>
        <w:t>Martin</w:t>
      </w:r>
      <w:r w:rsidRPr="00222845">
        <w:rPr>
          <w:rFonts w:asciiTheme="majorHAnsi" w:hAnsiTheme="majorHAnsi" w:cs="AdvP7B72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[2001] EWCA Crim 2245, [2003] QB 1, the outcome may have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been different. In </w:t>
      </w:r>
      <w:r w:rsidRPr="00222845">
        <w:rPr>
          <w:rFonts w:asciiTheme="majorHAnsi" w:hAnsiTheme="majorHAnsi" w:cs="AdvP7B72"/>
          <w:sz w:val="24"/>
          <w:szCs w:val="24"/>
        </w:rPr>
        <w:t>Martin</w:t>
      </w:r>
      <w:r w:rsidRPr="00222845">
        <w:rPr>
          <w:rFonts w:asciiTheme="majorHAnsi" w:hAnsiTheme="majorHAnsi" w:cs="AdvP7B6C"/>
          <w:sz w:val="24"/>
          <w:szCs w:val="24"/>
        </w:rPr>
        <w:t>, D’s plea of self-defence was rejected and he was convicted of murder (and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wounding with intent, contrary to s. 18 OAPA) on the basis that he used excessive force in shooting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at two burglars in his home, killing one of them and injuring the other. Under s. 76(5A), D may have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been acquitted on the basis that the force used was not ‘grossly disproportionate’ according to the facts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as he believed them to be. In </w:t>
      </w:r>
      <w:r w:rsidRPr="00222845">
        <w:rPr>
          <w:rFonts w:asciiTheme="majorHAnsi" w:hAnsiTheme="majorHAnsi" w:cs="AdvP7B72"/>
          <w:i/>
          <w:sz w:val="24"/>
          <w:szCs w:val="24"/>
        </w:rPr>
        <w:t xml:space="preserve">R </w:t>
      </w:r>
      <w:r w:rsidRPr="00222845">
        <w:rPr>
          <w:rFonts w:asciiTheme="majorHAnsi" w:hAnsiTheme="majorHAnsi" w:cs="AdvP7B6C"/>
          <w:i/>
          <w:sz w:val="24"/>
          <w:szCs w:val="24"/>
        </w:rPr>
        <w:t xml:space="preserve">v </w:t>
      </w:r>
      <w:r w:rsidRPr="00222845">
        <w:rPr>
          <w:rFonts w:asciiTheme="majorHAnsi" w:hAnsiTheme="majorHAnsi" w:cs="AdvP7B72"/>
          <w:i/>
          <w:sz w:val="24"/>
          <w:szCs w:val="24"/>
        </w:rPr>
        <w:t xml:space="preserve">Hussain &amp; Another </w:t>
      </w:r>
      <w:r w:rsidRPr="00222845">
        <w:rPr>
          <w:rFonts w:asciiTheme="majorHAnsi" w:hAnsiTheme="majorHAnsi" w:cs="AdvP7B6C"/>
          <w:sz w:val="24"/>
          <w:szCs w:val="24"/>
        </w:rPr>
        <w:t>[2010] EWCA Crim 94, however, the outcome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would be exactly the same. In that case, the defendants chased a burglar down the street before attacking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him with a cricket bat and other weapons, causing serious injury. The defendants were convicted of causing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GBH with intent, contrary to s. 18 OAPA, after their self-defence pleas failed. It is clear that </w:t>
      </w:r>
      <w:proofErr w:type="gramStart"/>
      <w:r w:rsidRPr="00222845">
        <w:rPr>
          <w:rFonts w:asciiTheme="majorHAnsi" w:hAnsiTheme="majorHAnsi" w:cs="AdvP7B6C"/>
          <w:sz w:val="24"/>
          <w:szCs w:val="24"/>
        </w:rPr>
        <w:t>s.76(</w:t>
      </w:r>
      <w:proofErr w:type="gramEnd"/>
      <w:r w:rsidRPr="00222845">
        <w:rPr>
          <w:rFonts w:asciiTheme="majorHAnsi" w:hAnsiTheme="majorHAnsi" w:cs="AdvP7B6C"/>
          <w:sz w:val="24"/>
          <w:szCs w:val="24"/>
        </w:rPr>
        <w:t>5A) would not alter these verdicts, because it was not a ‘householder case’. At the time of the force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 xml:space="preserve">being used, the defendants were not ‘in or partly in a building’ (as required by </w:t>
      </w:r>
      <w:proofErr w:type="gramStart"/>
      <w:r w:rsidRPr="00222845">
        <w:rPr>
          <w:rFonts w:asciiTheme="majorHAnsi" w:hAnsiTheme="majorHAnsi" w:cs="AdvP7B6C"/>
          <w:sz w:val="24"/>
          <w:szCs w:val="24"/>
        </w:rPr>
        <w:t>s.76(</w:t>
      </w:r>
      <w:proofErr w:type="gramEnd"/>
      <w:r w:rsidRPr="00222845">
        <w:rPr>
          <w:rFonts w:asciiTheme="majorHAnsi" w:hAnsiTheme="majorHAnsi" w:cs="AdvP7B6C"/>
          <w:sz w:val="24"/>
          <w:szCs w:val="24"/>
        </w:rPr>
        <w:t>8A)(b)) and at ‘at the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time the force [was] used’, the victim was not ‘in, or entering, the building or part as a trespasser’ (as</w:t>
      </w:r>
      <w:r>
        <w:rPr>
          <w:rFonts w:asciiTheme="majorHAnsi" w:hAnsiTheme="majorHAnsi" w:cs="AdvP7B6C"/>
          <w:sz w:val="24"/>
          <w:szCs w:val="24"/>
        </w:rPr>
        <w:t xml:space="preserve"> </w:t>
      </w:r>
      <w:r w:rsidRPr="00222845">
        <w:rPr>
          <w:rFonts w:asciiTheme="majorHAnsi" w:hAnsiTheme="majorHAnsi" w:cs="AdvP7B6C"/>
          <w:sz w:val="24"/>
          <w:szCs w:val="24"/>
        </w:rPr>
        <w:t>required by s. 76(8A)(d)).</w:t>
      </w:r>
    </w:p>
    <w:sectPr w:rsidR="00222845" w:rsidRPr="00222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AC5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AC5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AC5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7B6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7B6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AC5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7B7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202"/>
    <w:multiLevelType w:val="hybridMultilevel"/>
    <w:tmpl w:val="7B34ED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4A3A"/>
    <w:multiLevelType w:val="hybridMultilevel"/>
    <w:tmpl w:val="D1121B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770B9"/>
    <w:multiLevelType w:val="hybridMultilevel"/>
    <w:tmpl w:val="4D96E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45"/>
    <w:rsid w:val="00222845"/>
    <w:rsid w:val="0054095A"/>
    <w:rsid w:val="007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2016-01-15T11:05:00Z</dcterms:created>
  <dcterms:modified xsi:type="dcterms:W3CDTF">2016-01-15T11:14:00Z</dcterms:modified>
</cp:coreProperties>
</file>