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CD" w:rsidRPr="00ED2D59" w:rsidRDefault="00ED2D59" w:rsidP="00ED2D59">
      <w:pPr>
        <w:jc w:val="center"/>
        <w:rPr>
          <w:b/>
          <w:sz w:val="32"/>
          <w:szCs w:val="32"/>
          <w:u w:val="single"/>
        </w:rPr>
      </w:pPr>
      <w:r w:rsidRPr="00ED2D59">
        <w:rPr>
          <w:b/>
          <w:sz w:val="32"/>
          <w:szCs w:val="32"/>
          <w:u w:val="single"/>
        </w:rPr>
        <w:t>Expert Evidence in Criminal Proceedings: Current Challenges</w:t>
      </w:r>
      <w:r w:rsidR="009F5585" w:rsidRPr="00BB1CAE">
        <w:endnoteReference w:customMarkFollows="1" w:id="1"/>
        <w:t>*</w:t>
      </w:r>
    </w:p>
    <w:p w:rsidR="007A2182" w:rsidRDefault="00ED2D59" w:rsidP="00ED2D59">
      <w:pPr>
        <w:jc w:val="center"/>
        <w:rPr>
          <w:i/>
          <w:sz w:val="24"/>
          <w:szCs w:val="24"/>
        </w:rPr>
      </w:pPr>
      <w:r w:rsidRPr="00ED2D59">
        <w:rPr>
          <w:i/>
          <w:sz w:val="24"/>
          <w:szCs w:val="24"/>
        </w:rPr>
        <w:t xml:space="preserve">Old Bailey Lecture </w:t>
      </w:r>
      <w:r w:rsidR="007A2182">
        <w:rPr>
          <w:i/>
          <w:sz w:val="24"/>
          <w:szCs w:val="24"/>
        </w:rPr>
        <w:t xml:space="preserve">to the Criminal </w:t>
      </w:r>
      <w:proofErr w:type="gramStart"/>
      <w:r w:rsidR="007A2182">
        <w:rPr>
          <w:i/>
          <w:sz w:val="24"/>
          <w:szCs w:val="24"/>
        </w:rPr>
        <w:t>Bar</w:t>
      </w:r>
      <w:proofErr w:type="gramEnd"/>
      <w:r w:rsidR="007A2182">
        <w:rPr>
          <w:i/>
          <w:sz w:val="24"/>
          <w:szCs w:val="24"/>
        </w:rPr>
        <w:t xml:space="preserve"> Association of England and Wales</w:t>
      </w:r>
    </w:p>
    <w:p w:rsidR="00ED2D59" w:rsidRDefault="00ED2D59" w:rsidP="00ED2D59">
      <w:pPr>
        <w:jc w:val="center"/>
        <w:rPr>
          <w:i/>
          <w:sz w:val="24"/>
          <w:szCs w:val="24"/>
        </w:rPr>
      </w:pPr>
      <w:r w:rsidRPr="00ED2D59">
        <w:rPr>
          <w:i/>
          <w:sz w:val="24"/>
          <w:szCs w:val="24"/>
        </w:rPr>
        <w:t>Tuesday March 1</w:t>
      </w:r>
      <w:r w:rsidRPr="00ED2D59">
        <w:rPr>
          <w:i/>
          <w:sz w:val="24"/>
          <w:szCs w:val="24"/>
          <w:vertAlign w:val="superscript"/>
        </w:rPr>
        <w:t>st</w:t>
      </w:r>
      <w:r w:rsidRPr="00ED2D59">
        <w:rPr>
          <w:i/>
          <w:sz w:val="24"/>
          <w:szCs w:val="24"/>
        </w:rPr>
        <w:t xml:space="preserve"> 2016</w:t>
      </w:r>
    </w:p>
    <w:p w:rsidR="00F4124A" w:rsidRPr="00ED2D59" w:rsidRDefault="00F4124A" w:rsidP="00ED2D59">
      <w:pPr>
        <w:jc w:val="center"/>
        <w:rPr>
          <w:i/>
          <w:sz w:val="24"/>
          <w:szCs w:val="24"/>
        </w:rPr>
      </w:pPr>
      <w:r>
        <w:rPr>
          <w:i/>
          <w:sz w:val="24"/>
          <w:szCs w:val="24"/>
        </w:rPr>
        <w:t>Dr Michael Stockdale, Director, Centre for Evidence and Criminal Justice Studies, Northumbria Law School, Northumbria University</w:t>
      </w:r>
    </w:p>
    <w:p w:rsidR="009B087F" w:rsidRDefault="009B087F" w:rsidP="00E1424C">
      <w:pPr>
        <w:rPr>
          <w:sz w:val="24"/>
          <w:szCs w:val="24"/>
        </w:rPr>
      </w:pPr>
    </w:p>
    <w:p w:rsidR="009B087F" w:rsidRPr="009B087F" w:rsidRDefault="009B087F" w:rsidP="00E1424C">
      <w:pPr>
        <w:rPr>
          <w:sz w:val="24"/>
          <w:szCs w:val="24"/>
          <w:u w:val="single"/>
        </w:rPr>
      </w:pPr>
      <w:r w:rsidRPr="009B087F">
        <w:rPr>
          <w:sz w:val="24"/>
          <w:szCs w:val="24"/>
          <w:u w:val="single"/>
        </w:rPr>
        <w:t>Introduction</w:t>
      </w:r>
    </w:p>
    <w:p w:rsidR="004E3C4F" w:rsidRDefault="00691800" w:rsidP="004E3C4F">
      <w:pPr>
        <w:rPr>
          <w:sz w:val="24"/>
          <w:szCs w:val="24"/>
        </w:rPr>
      </w:pPr>
      <w:r w:rsidRPr="00FC216E">
        <w:rPr>
          <w:sz w:val="24"/>
          <w:szCs w:val="24"/>
        </w:rPr>
        <w:t>In 20</w:t>
      </w:r>
      <w:r w:rsidR="00E41585" w:rsidRPr="00FC216E">
        <w:rPr>
          <w:sz w:val="24"/>
          <w:szCs w:val="24"/>
        </w:rPr>
        <w:t>09</w:t>
      </w:r>
      <w:r w:rsidR="00F202EB">
        <w:rPr>
          <w:sz w:val="24"/>
          <w:szCs w:val="24"/>
        </w:rPr>
        <w:t xml:space="preserve"> the Law Commission </w:t>
      </w:r>
      <w:r w:rsidR="00736080">
        <w:rPr>
          <w:sz w:val="24"/>
          <w:szCs w:val="24"/>
        </w:rPr>
        <w:t>publis</w:t>
      </w:r>
      <w:r w:rsidR="00736080" w:rsidRPr="00FC216E">
        <w:rPr>
          <w:sz w:val="24"/>
          <w:szCs w:val="24"/>
        </w:rPr>
        <w:t>hed</w:t>
      </w:r>
      <w:r w:rsidRPr="00FC216E">
        <w:rPr>
          <w:sz w:val="24"/>
          <w:szCs w:val="24"/>
        </w:rPr>
        <w:t xml:space="preserve"> its consultation paper “The Admissibility of Expert Evidence in Criminal Proceedings in England and Wales”.</w:t>
      </w:r>
      <w:r w:rsidRPr="00FC216E">
        <w:rPr>
          <w:rStyle w:val="FootnoteReference"/>
          <w:sz w:val="24"/>
          <w:szCs w:val="24"/>
        </w:rPr>
        <w:footnoteReference w:id="1"/>
      </w:r>
      <w:r w:rsidRPr="00FC216E">
        <w:rPr>
          <w:sz w:val="24"/>
          <w:szCs w:val="24"/>
        </w:rPr>
        <w:t xml:space="preserve"> This consultation</w:t>
      </w:r>
      <w:r w:rsidR="00E82215" w:rsidRPr="00FC216E">
        <w:rPr>
          <w:sz w:val="24"/>
          <w:szCs w:val="24"/>
        </w:rPr>
        <w:t xml:space="preserve">, </w:t>
      </w:r>
      <w:r w:rsidR="00E41585" w:rsidRPr="00FC216E">
        <w:rPr>
          <w:sz w:val="24"/>
          <w:szCs w:val="24"/>
        </w:rPr>
        <w:t xml:space="preserve">to </w:t>
      </w:r>
      <w:r w:rsidR="00E82215" w:rsidRPr="00FC216E">
        <w:rPr>
          <w:sz w:val="24"/>
          <w:szCs w:val="24"/>
        </w:rPr>
        <w:t>which Northumbria Centre for Evidence</w:t>
      </w:r>
      <w:r w:rsidR="00E41585" w:rsidRPr="00FC216E">
        <w:rPr>
          <w:sz w:val="24"/>
          <w:szCs w:val="24"/>
        </w:rPr>
        <w:t xml:space="preserve"> </w:t>
      </w:r>
      <w:r w:rsidR="00E82215" w:rsidRPr="00FC216E">
        <w:rPr>
          <w:sz w:val="24"/>
          <w:szCs w:val="24"/>
        </w:rPr>
        <w:t xml:space="preserve">and Criminal Justice Studies </w:t>
      </w:r>
      <w:r w:rsidR="009B087F" w:rsidRPr="00FC216E">
        <w:rPr>
          <w:sz w:val="24"/>
          <w:szCs w:val="24"/>
        </w:rPr>
        <w:t>responded</w:t>
      </w:r>
      <w:r w:rsidR="00E82215" w:rsidRPr="00FC216E">
        <w:rPr>
          <w:sz w:val="24"/>
          <w:szCs w:val="24"/>
        </w:rPr>
        <w:t>,</w:t>
      </w:r>
      <w:r w:rsidRPr="00FC216E">
        <w:rPr>
          <w:sz w:val="24"/>
          <w:szCs w:val="24"/>
        </w:rPr>
        <w:t xml:space="preserve"> had been catalysed by </w:t>
      </w:r>
      <w:r w:rsidR="00525D7C" w:rsidRPr="00FC216E">
        <w:rPr>
          <w:sz w:val="24"/>
          <w:szCs w:val="24"/>
        </w:rPr>
        <w:t>a report of the House of Commons’ Science and Technology Committee</w:t>
      </w:r>
      <w:r w:rsidR="00E82215" w:rsidRPr="00FC216E">
        <w:rPr>
          <w:sz w:val="24"/>
          <w:szCs w:val="24"/>
        </w:rPr>
        <w:t>,</w:t>
      </w:r>
      <w:r w:rsidR="00ED0B44" w:rsidRPr="00FC216E">
        <w:rPr>
          <w:sz w:val="24"/>
          <w:szCs w:val="24"/>
        </w:rPr>
        <w:t xml:space="preserve"> published in 2005</w:t>
      </w:r>
      <w:r w:rsidR="009B087F" w:rsidRPr="009B087F">
        <w:rPr>
          <w:rStyle w:val="FootnoteReference"/>
          <w:sz w:val="24"/>
          <w:szCs w:val="24"/>
        </w:rPr>
        <w:t xml:space="preserve"> </w:t>
      </w:r>
      <w:r w:rsidR="009B087F" w:rsidRPr="00FC216E">
        <w:rPr>
          <w:rStyle w:val="FootnoteReference"/>
          <w:sz w:val="24"/>
          <w:szCs w:val="24"/>
        </w:rPr>
        <w:footnoteReference w:id="2"/>
      </w:r>
      <w:r w:rsidR="00ED0B44" w:rsidRPr="00FC216E">
        <w:rPr>
          <w:sz w:val="24"/>
          <w:szCs w:val="24"/>
        </w:rPr>
        <w:t xml:space="preserve"> The Law Commission “</w:t>
      </w:r>
      <w:r w:rsidRPr="00FC216E">
        <w:rPr>
          <w:sz w:val="24"/>
          <w:szCs w:val="24"/>
        </w:rPr>
        <w:t>shared the Committee’s concern that expert opinion evidence was being admitted in criminal proceedings too readily, with insufficient scrutiny</w:t>
      </w:r>
      <w:r w:rsidR="00ED0B44" w:rsidRPr="00FC216E">
        <w:rPr>
          <w:sz w:val="24"/>
          <w:szCs w:val="24"/>
        </w:rPr>
        <w:t>”</w:t>
      </w:r>
      <w:r w:rsidRPr="00FC216E">
        <w:rPr>
          <w:sz w:val="24"/>
          <w:szCs w:val="24"/>
        </w:rPr>
        <w:t>.</w:t>
      </w:r>
      <w:r w:rsidR="00ED0B44" w:rsidRPr="00FC216E">
        <w:rPr>
          <w:rStyle w:val="FootnoteReference"/>
          <w:sz w:val="24"/>
          <w:szCs w:val="24"/>
        </w:rPr>
        <w:footnoteReference w:id="3"/>
      </w:r>
      <w:r w:rsidRPr="00FC216E">
        <w:rPr>
          <w:sz w:val="24"/>
          <w:szCs w:val="24"/>
        </w:rPr>
        <w:t xml:space="preserve">  </w:t>
      </w:r>
      <w:r w:rsidR="00E82215" w:rsidRPr="00FC216E">
        <w:rPr>
          <w:sz w:val="24"/>
          <w:szCs w:val="24"/>
        </w:rPr>
        <w:t>I</w:t>
      </w:r>
      <w:r w:rsidR="00A36811" w:rsidRPr="00FC216E">
        <w:rPr>
          <w:sz w:val="24"/>
          <w:szCs w:val="24"/>
        </w:rPr>
        <w:t>n</w:t>
      </w:r>
      <w:r w:rsidR="00EA7D86" w:rsidRPr="00FC216E">
        <w:rPr>
          <w:sz w:val="24"/>
          <w:szCs w:val="24"/>
        </w:rPr>
        <w:t xml:space="preserve"> its </w:t>
      </w:r>
      <w:r w:rsidR="00E82215" w:rsidRPr="00FC216E">
        <w:rPr>
          <w:sz w:val="24"/>
          <w:szCs w:val="24"/>
        </w:rPr>
        <w:t xml:space="preserve">resultant </w:t>
      </w:r>
      <w:r w:rsidR="00EA7D86" w:rsidRPr="00FC216E">
        <w:rPr>
          <w:sz w:val="24"/>
          <w:szCs w:val="24"/>
        </w:rPr>
        <w:t xml:space="preserve">2011 report “Expert Evidence in Criminal Proceedings in England and Wales”, </w:t>
      </w:r>
      <w:r w:rsidR="00A74C63" w:rsidRPr="00FC216E">
        <w:rPr>
          <w:sz w:val="24"/>
          <w:szCs w:val="24"/>
        </w:rPr>
        <w:t xml:space="preserve">the Law Commission </w:t>
      </w:r>
      <w:r w:rsidR="00EA7D86" w:rsidRPr="00FC216E">
        <w:rPr>
          <w:sz w:val="24"/>
          <w:szCs w:val="24"/>
        </w:rPr>
        <w:t xml:space="preserve">recommended </w:t>
      </w:r>
      <w:r w:rsidR="00C72CB1" w:rsidRPr="00FC216E">
        <w:rPr>
          <w:sz w:val="24"/>
          <w:szCs w:val="24"/>
        </w:rPr>
        <w:t>that the admissibility of expert evidence in criminal proceedings should be governed by a new statutory regime comprising a new statutory reliability test in combination with codification and refinement of existing common law principles relating to “assistance”, “expertise” and “impartiality”.</w:t>
      </w:r>
      <w:r w:rsidR="00E41585" w:rsidRPr="00FC216E">
        <w:rPr>
          <w:rStyle w:val="FootnoteReference"/>
          <w:sz w:val="24"/>
          <w:szCs w:val="24"/>
        </w:rPr>
        <w:footnoteReference w:id="4"/>
      </w:r>
      <w:r w:rsidR="00E41585" w:rsidRPr="00FC216E">
        <w:rPr>
          <w:sz w:val="24"/>
          <w:szCs w:val="24"/>
        </w:rPr>
        <w:t xml:space="preserve"> </w:t>
      </w:r>
      <w:r w:rsidR="00C72CB1" w:rsidRPr="00FC216E">
        <w:rPr>
          <w:sz w:val="24"/>
          <w:szCs w:val="24"/>
        </w:rPr>
        <w:t>Other recommendations related to pre-trial disclosure, court appointed experts and amendments</w:t>
      </w:r>
      <w:r w:rsidR="00C10FCD" w:rsidRPr="00FC216E">
        <w:rPr>
          <w:sz w:val="24"/>
          <w:szCs w:val="24"/>
        </w:rPr>
        <w:t xml:space="preserve"> to the Criminal P</w:t>
      </w:r>
      <w:r w:rsidR="00C72CB1" w:rsidRPr="00FC216E">
        <w:rPr>
          <w:sz w:val="24"/>
          <w:szCs w:val="24"/>
        </w:rPr>
        <w:t>rocedure Rules (</w:t>
      </w:r>
      <w:proofErr w:type="spellStart"/>
      <w:r w:rsidR="00C72CB1" w:rsidRPr="00FC216E">
        <w:rPr>
          <w:sz w:val="24"/>
          <w:szCs w:val="24"/>
        </w:rPr>
        <w:t>CrimPR</w:t>
      </w:r>
      <w:proofErr w:type="spellEnd"/>
      <w:r w:rsidR="00C72CB1" w:rsidRPr="00FC216E">
        <w:rPr>
          <w:sz w:val="24"/>
          <w:szCs w:val="24"/>
        </w:rPr>
        <w:t>).</w:t>
      </w:r>
      <w:r w:rsidR="00925CE8" w:rsidRPr="00FC216E">
        <w:rPr>
          <w:rStyle w:val="FootnoteReference"/>
          <w:sz w:val="24"/>
          <w:szCs w:val="24"/>
        </w:rPr>
        <w:footnoteReference w:id="5"/>
      </w:r>
      <w:r w:rsidR="00C72CB1" w:rsidRPr="00FC216E">
        <w:rPr>
          <w:sz w:val="24"/>
          <w:szCs w:val="24"/>
        </w:rPr>
        <w:t xml:space="preserve"> </w:t>
      </w:r>
      <w:r w:rsidR="00A74C63" w:rsidRPr="00FC216E">
        <w:rPr>
          <w:sz w:val="24"/>
          <w:szCs w:val="24"/>
        </w:rPr>
        <w:t xml:space="preserve">The Law Commission recognised, however, that these </w:t>
      </w:r>
      <w:r w:rsidR="000A6402" w:rsidRPr="00FC216E">
        <w:rPr>
          <w:sz w:val="24"/>
          <w:szCs w:val="24"/>
        </w:rPr>
        <w:t>proposed developments</w:t>
      </w:r>
      <w:r w:rsidR="00A74C63" w:rsidRPr="00FC216E">
        <w:rPr>
          <w:sz w:val="24"/>
          <w:szCs w:val="24"/>
        </w:rPr>
        <w:t xml:space="preserve"> would not in themselves remedy the problems they had identified in relation to expert evidence. Consequently it emphasised the importance of other </w:t>
      </w:r>
      <w:r w:rsidR="00EE3676" w:rsidRPr="00FC216E">
        <w:rPr>
          <w:sz w:val="24"/>
          <w:szCs w:val="24"/>
        </w:rPr>
        <w:t>parallel</w:t>
      </w:r>
      <w:r w:rsidR="00A74C63" w:rsidRPr="00FC216E">
        <w:rPr>
          <w:sz w:val="24"/>
          <w:szCs w:val="24"/>
        </w:rPr>
        <w:t xml:space="preserve"> changes</w:t>
      </w:r>
      <w:r w:rsidR="00EE3676" w:rsidRPr="00FC216E">
        <w:rPr>
          <w:sz w:val="24"/>
          <w:szCs w:val="24"/>
        </w:rPr>
        <w:t>,</w:t>
      </w:r>
      <w:r w:rsidR="00A74C63" w:rsidRPr="00FC216E">
        <w:rPr>
          <w:sz w:val="24"/>
          <w:szCs w:val="24"/>
        </w:rPr>
        <w:t xml:space="preserve"> such as appropriate regulatory schemes to ensure minimum standards, a more critical approach on the part of the judiciary and appropriate training for judges and lawyers.</w:t>
      </w:r>
      <w:r w:rsidR="00925CE8" w:rsidRPr="00FC216E">
        <w:rPr>
          <w:rStyle w:val="FootnoteReference"/>
          <w:sz w:val="24"/>
          <w:szCs w:val="24"/>
        </w:rPr>
        <w:footnoteReference w:id="6"/>
      </w:r>
      <w:r w:rsidR="00925CE8" w:rsidRPr="00FC216E">
        <w:rPr>
          <w:sz w:val="24"/>
          <w:szCs w:val="24"/>
        </w:rPr>
        <w:t xml:space="preserve"> </w:t>
      </w:r>
    </w:p>
    <w:p w:rsidR="000E32B1" w:rsidRDefault="004B4B0B" w:rsidP="004E3C4F">
      <w:pPr>
        <w:rPr>
          <w:sz w:val="24"/>
          <w:szCs w:val="24"/>
        </w:rPr>
      </w:pPr>
      <w:r w:rsidRPr="00FC216E">
        <w:rPr>
          <w:sz w:val="24"/>
          <w:szCs w:val="24"/>
        </w:rPr>
        <w:t>The Government declined to enact the Law Commission’s draft Bill</w:t>
      </w:r>
      <w:r w:rsidR="00E1424C" w:rsidRPr="00FC216E">
        <w:rPr>
          <w:sz w:val="24"/>
          <w:szCs w:val="24"/>
        </w:rPr>
        <w:t xml:space="preserve"> because</w:t>
      </w:r>
      <w:r w:rsidR="00912241">
        <w:rPr>
          <w:sz w:val="24"/>
          <w:szCs w:val="24"/>
        </w:rPr>
        <w:t>,</w:t>
      </w:r>
      <w:r w:rsidR="00E1424C" w:rsidRPr="00FC216E">
        <w:rPr>
          <w:sz w:val="24"/>
          <w:szCs w:val="24"/>
        </w:rPr>
        <w:t xml:space="preserve"> whilst the Law Commission’s impact assessment recognised that implementation of its recommendations would result in the </w:t>
      </w:r>
      <w:r w:rsidR="00543678" w:rsidRPr="00FC216E">
        <w:rPr>
          <w:sz w:val="24"/>
          <w:szCs w:val="24"/>
        </w:rPr>
        <w:t xml:space="preserve">added </w:t>
      </w:r>
      <w:r w:rsidR="00E1424C" w:rsidRPr="00FC216E">
        <w:rPr>
          <w:sz w:val="24"/>
          <w:szCs w:val="24"/>
        </w:rPr>
        <w:t>expense of holding additional pre-trial hearings</w:t>
      </w:r>
      <w:r w:rsidR="00E56790" w:rsidRPr="00FC216E">
        <w:rPr>
          <w:rStyle w:val="FootnoteReference"/>
          <w:sz w:val="24"/>
          <w:szCs w:val="24"/>
        </w:rPr>
        <w:footnoteReference w:id="7"/>
      </w:r>
      <w:r w:rsidR="00912241">
        <w:rPr>
          <w:sz w:val="24"/>
          <w:szCs w:val="24"/>
        </w:rPr>
        <w:t>,</w:t>
      </w:r>
      <w:r w:rsidR="00E1424C" w:rsidRPr="00FC216E">
        <w:rPr>
          <w:sz w:val="24"/>
          <w:szCs w:val="24"/>
        </w:rPr>
        <w:t xml:space="preserve"> there was a lack of certainty as to whether the additional costs incurred would be offset by savings</w:t>
      </w:r>
      <w:r w:rsidR="004E38EF" w:rsidRPr="00FC216E">
        <w:rPr>
          <w:sz w:val="24"/>
          <w:szCs w:val="24"/>
        </w:rPr>
        <w:t xml:space="preserve"> (</w:t>
      </w:r>
      <w:r w:rsidR="005532A7" w:rsidRPr="00FC216E">
        <w:rPr>
          <w:sz w:val="24"/>
          <w:szCs w:val="24"/>
        </w:rPr>
        <w:t xml:space="preserve">via, </w:t>
      </w:r>
      <w:r w:rsidR="00543678" w:rsidRPr="00FC216E">
        <w:rPr>
          <w:sz w:val="24"/>
          <w:szCs w:val="24"/>
        </w:rPr>
        <w:t xml:space="preserve">for </w:t>
      </w:r>
      <w:r w:rsidR="00543678" w:rsidRPr="00FC216E">
        <w:rPr>
          <w:sz w:val="24"/>
          <w:szCs w:val="24"/>
        </w:rPr>
        <w:lastRenderedPageBreak/>
        <w:t>example, fewer or shorter trials, reduction in expert’s fees</w:t>
      </w:r>
      <w:r w:rsidR="005532A7" w:rsidRPr="00FC216E">
        <w:rPr>
          <w:sz w:val="24"/>
          <w:szCs w:val="24"/>
        </w:rPr>
        <w:t xml:space="preserve"> and</w:t>
      </w:r>
      <w:r w:rsidR="00543678" w:rsidRPr="00FC216E">
        <w:rPr>
          <w:sz w:val="24"/>
          <w:szCs w:val="24"/>
        </w:rPr>
        <w:t xml:space="preserve"> fewer appeals).</w:t>
      </w:r>
      <w:r w:rsidR="00912241" w:rsidRPr="00FC216E">
        <w:rPr>
          <w:rStyle w:val="FootnoteReference"/>
          <w:sz w:val="24"/>
          <w:szCs w:val="24"/>
        </w:rPr>
        <w:footnoteReference w:id="8"/>
      </w:r>
      <w:r w:rsidR="00543678" w:rsidRPr="00FC216E">
        <w:rPr>
          <w:sz w:val="24"/>
          <w:szCs w:val="24"/>
        </w:rPr>
        <w:t xml:space="preserve">  </w:t>
      </w:r>
      <w:r w:rsidR="00792487" w:rsidRPr="00FC216E">
        <w:rPr>
          <w:sz w:val="24"/>
          <w:szCs w:val="24"/>
        </w:rPr>
        <w:t>Whilst the result of the Government’s decision was to leave in place the common law principles that govern the admissibility of expert evidence in criminal proceedings, t</w:t>
      </w:r>
      <w:r w:rsidR="005F24BA" w:rsidRPr="00FC216E">
        <w:rPr>
          <w:sz w:val="24"/>
          <w:szCs w:val="24"/>
        </w:rPr>
        <w:t xml:space="preserve">he Government </w:t>
      </w:r>
      <w:r w:rsidR="00792487" w:rsidRPr="00FC216E">
        <w:rPr>
          <w:sz w:val="24"/>
          <w:szCs w:val="24"/>
        </w:rPr>
        <w:t>i</w:t>
      </w:r>
      <w:r w:rsidR="00006078" w:rsidRPr="00FC216E">
        <w:rPr>
          <w:sz w:val="24"/>
          <w:szCs w:val="24"/>
        </w:rPr>
        <w:t>nvite</w:t>
      </w:r>
      <w:r w:rsidR="00792487" w:rsidRPr="00FC216E">
        <w:rPr>
          <w:sz w:val="24"/>
          <w:szCs w:val="24"/>
        </w:rPr>
        <w:t>d</w:t>
      </w:r>
      <w:r w:rsidR="00006078" w:rsidRPr="00FC216E">
        <w:rPr>
          <w:sz w:val="24"/>
          <w:szCs w:val="24"/>
        </w:rPr>
        <w:t xml:space="preserve"> the Criminal Procedure Rule Committee (</w:t>
      </w:r>
      <w:proofErr w:type="spellStart"/>
      <w:r w:rsidR="00006078" w:rsidRPr="00FC216E">
        <w:rPr>
          <w:sz w:val="24"/>
          <w:szCs w:val="24"/>
        </w:rPr>
        <w:t>CrimPRC</w:t>
      </w:r>
      <w:proofErr w:type="spellEnd"/>
      <w:r w:rsidR="00006078" w:rsidRPr="00FC216E">
        <w:rPr>
          <w:sz w:val="24"/>
          <w:szCs w:val="24"/>
        </w:rPr>
        <w:t xml:space="preserve">) to consider amendments to the </w:t>
      </w:r>
      <w:proofErr w:type="spellStart"/>
      <w:r w:rsidR="00006078" w:rsidRPr="00FC216E">
        <w:rPr>
          <w:sz w:val="24"/>
          <w:szCs w:val="24"/>
        </w:rPr>
        <w:t>CrimPR</w:t>
      </w:r>
      <w:proofErr w:type="spellEnd"/>
      <w:r w:rsidR="00006078" w:rsidRPr="00FC216E">
        <w:rPr>
          <w:sz w:val="24"/>
          <w:szCs w:val="24"/>
        </w:rPr>
        <w:t xml:space="preserve"> which it believed “could increase the likelihood of the trial judge and the opposing party, where appropriate, challenging expert evidence” and  “would go some way towards reducing the risk of unsafe convictions as a result of unchallenged inappropriate or unreliable expert evidence”.</w:t>
      </w:r>
      <w:r w:rsidR="00006078" w:rsidRPr="00FC216E">
        <w:rPr>
          <w:rStyle w:val="FootnoteReference"/>
          <w:sz w:val="24"/>
          <w:szCs w:val="24"/>
        </w:rPr>
        <w:footnoteReference w:id="9"/>
      </w:r>
      <w:r w:rsidR="000F3AA2" w:rsidRPr="00FC216E">
        <w:rPr>
          <w:sz w:val="24"/>
          <w:szCs w:val="24"/>
        </w:rPr>
        <w:t xml:space="preserve"> The consequent amendments to </w:t>
      </w:r>
      <w:proofErr w:type="spellStart"/>
      <w:r w:rsidR="000F3AA2" w:rsidRPr="00FC216E">
        <w:rPr>
          <w:sz w:val="24"/>
          <w:szCs w:val="24"/>
        </w:rPr>
        <w:t>CrimPR</w:t>
      </w:r>
      <w:proofErr w:type="spellEnd"/>
      <w:r w:rsidR="000F3AA2" w:rsidRPr="00FC216E">
        <w:rPr>
          <w:sz w:val="24"/>
          <w:szCs w:val="24"/>
        </w:rPr>
        <w:t xml:space="preserve"> Part 33 (now </w:t>
      </w:r>
      <w:proofErr w:type="spellStart"/>
      <w:r w:rsidR="000F3AA2" w:rsidRPr="00FC216E">
        <w:rPr>
          <w:sz w:val="24"/>
          <w:szCs w:val="24"/>
        </w:rPr>
        <w:t>CrimPR</w:t>
      </w:r>
      <w:proofErr w:type="spellEnd"/>
      <w:r w:rsidR="000F3AA2" w:rsidRPr="00FC216E">
        <w:rPr>
          <w:sz w:val="24"/>
          <w:szCs w:val="24"/>
        </w:rPr>
        <w:t xml:space="preserve"> Part 19) in combination with the </w:t>
      </w:r>
      <w:r w:rsidR="00EE0C9C" w:rsidRPr="00FC216E">
        <w:rPr>
          <w:sz w:val="24"/>
          <w:szCs w:val="24"/>
        </w:rPr>
        <w:t xml:space="preserve">making of </w:t>
      </w:r>
      <w:r w:rsidR="003D3715" w:rsidRPr="00FC216E">
        <w:rPr>
          <w:sz w:val="24"/>
          <w:szCs w:val="24"/>
        </w:rPr>
        <w:t xml:space="preserve">the new </w:t>
      </w:r>
      <w:r w:rsidR="00EE0C9C" w:rsidRPr="00FC216E">
        <w:rPr>
          <w:sz w:val="24"/>
          <w:szCs w:val="24"/>
        </w:rPr>
        <w:t>Practice Direction</w:t>
      </w:r>
      <w:r w:rsidR="003D3715" w:rsidRPr="00FC216E">
        <w:rPr>
          <w:sz w:val="24"/>
          <w:szCs w:val="24"/>
        </w:rPr>
        <w:t xml:space="preserve"> </w:t>
      </w:r>
      <w:proofErr w:type="spellStart"/>
      <w:r w:rsidR="003D3715" w:rsidRPr="00FC216E">
        <w:rPr>
          <w:sz w:val="24"/>
          <w:szCs w:val="24"/>
        </w:rPr>
        <w:t>CrimPD</w:t>
      </w:r>
      <w:proofErr w:type="spellEnd"/>
      <w:r w:rsidR="003D3715" w:rsidRPr="00FC216E">
        <w:rPr>
          <w:sz w:val="24"/>
          <w:szCs w:val="24"/>
        </w:rPr>
        <w:t xml:space="preserve"> 33A (now </w:t>
      </w:r>
      <w:proofErr w:type="spellStart"/>
      <w:r w:rsidR="003D3715" w:rsidRPr="00FC216E">
        <w:rPr>
          <w:sz w:val="24"/>
          <w:szCs w:val="24"/>
        </w:rPr>
        <w:t>CrimPD</w:t>
      </w:r>
      <w:proofErr w:type="spellEnd"/>
      <w:r w:rsidR="003D3715" w:rsidRPr="00FC216E">
        <w:rPr>
          <w:sz w:val="24"/>
          <w:szCs w:val="24"/>
        </w:rPr>
        <w:t xml:space="preserve"> 19A) by </w:t>
      </w:r>
      <w:r w:rsidR="00EE0C9C" w:rsidRPr="00FC216E">
        <w:rPr>
          <w:sz w:val="24"/>
          <w:szCs w:val="24"/>
        </w:rPr>
        <w:t>the Lord Chief Justice</w:t>
      </w:r>
      <w:r w:rsidR="00452AAA" w:rsidRPr="00FC216E">
        <w:rPr>
          <w:sz w:val="24"/>
          <w:szCs w:val="24"/>
        </w:rPr>
        <w:t xml:space="preserve">, resulted in what he </w:t>
      </w:r>
      <w:r w:rsidR="003D3715" w:rsidRPr="00FC216E">
        <w:rPr>
          <w:sz w:val="24"/>
          <w:szCs w:val="24"/>
        </w:rPr>
        <w:t xml:space="preserve">described </w:t>
      </w:r>
      <w:r w:rsidR="00452AAA" w:rsidRPr="00FC216E">
        <w:rPr>
          <w:sz w:val="24"/>
          <w:szCs w:val="24"/>
        </w:rPr>
        <w:t xml:space="preserve">in the 2014 Criminal Bar Association </w:t>
      </w:r>
      <w:proofErr w:type="spellStart"/>
      <w:r w:rsidR="00452AAA" w:rsidRPr="00FC216E">
        <w:rPr>
          <w:sz w:val="24"/>
          <w:szCs w:val="24"/>
        </w:rPr>
        <w:t>Kalisher</w:t>
      </w:r>
      <w:proofErr w:type="spellEnd"/>
      <w:r w:rsidR="00452AAA" w:rsidRPr="00FC216E">
        <w:rPr>
          <w:sz w:val="24"/>
          <w:szCs w:val="24"/>
        </w:rPr>
        <w:t xml:space="preserve"> Lecture </w:t>
      </w:r>
      <w:r w:rsidR="003D3715" w:rsidRPr="00FC216E">
        <w:rPr>
          <w:sz w:val="24"/>
          <w:szCs w:val="24"/>
        </w:rPr>
        <w:t xml:space="preserve">as </w:t>
      </w:r>
      <w:r w:rsidR="00792487" w:rsidRPr="00FC216E">
        <w:rPr>
          <w:sz w:val="24"/>
          <w:szCs w:val="24"/>
        </w:rPr>
        <w:t>“a novel way of implementing an excellent Report”.</w:t>
      </w:r>
      <w:r w:rsidR="00792487" w:rsidRPr="00FC216E">
        <w:rPr>
          <w:rStyle w:val="FootnoteReference"/>
          <w:sz w:val="24"/>
          <w:szCs w:val="24"/>
        </w:rPr>
        <w:footnoteReference w:id="10"/>
      </w:r>
      <w:r w:rsidR="00792487" w:rsidRPr="00FC216E">
        <w:rPr>
          <w:sz w:val="24"/>
          <w:szCs w:val="24"/>
        </w:rPr>
        <w:t xml:space="preserve"> </w:t>
      </w:r>
      <w:r w:rsidR="00452AAA" w:rsidRPr="00FC216E">
        <w:rPr>
          <w:sz w:val="24"/>
          <w:szCs w:val="24"/>
        </w:rPr>
        <w:t xml:space="preserve">The Lord Chief Justice </w:t>
      </w:r>
      <w:r w:rsidR="00FB71E1" w:rsidRPr="00FC216E">
        <w:rPr>
          <w:sz w:val="24"/>
          <w:szCs w:val="24"/>
        </w:rPr>
        <w:t>believed that the</w:t>
      </w:r>
      <w:r w:rsidR="00E419B1" w:rsidRPr="00FC216E">
        <w:rPr>
          <w:sz w:val="24"/>
          <w:szCs w:val="24"/>
        </w:rPr>
        <w:t>se</w:t>
      </w:r>
      <w:r w:rsidR="00FB71E1" w:rsidRPr="00FC216E">
        <w:rPr>
          <w:sz w:val="24"/>
          <w:szCs w:val="24"/>
        </w:rPr>
        <w:t xml:space="preserve"> changes in combination with </w:t>
      </w:r>
      <w:r w:rsidR="007C7C31">
        <w:rPr>
          <w:sz w:val="24"/>
          <w:szCs w:val="24"/>
        </w:rPr>
        <w:t xml:space="preserve">developments at common law </w:t>
      </w:r>
      <w:r w:rsidR="00FB71E1" w:rsidRPr="00FC216E">
        <w:rPr>
          <w:sz w:val="24"/>
          <w:szCs w:val="24"/>
        </w:rPr>
        <w:t>and the Advocacy Training Council’</w:t>
      </w:r>
      <w:r w:rsidR="00E419B1" w:rsidRPr="00FC216E">
        <w:rPr>
          <w:sz w:val="24"/>
          <w:szCs w:val="24"/>
        </w:rPr>
        <w:t>s work to develop relevant guidance and training for advocates meant that the bulk of the Law Commission’s recommendations had been implemented.</w:t>
      </w:r>
      <w:r w:rsidR="00E419B1" w:rsidRPr="00FC216E">
        <w:rPr>
          <w:rStyle w:val="FootnoteReference"/>
          <w:sz w:val="24"/>
          <w:szCs w:val="24"/>
        </w:rPr>
        <w:footnoteReference w:id="11"/>
      </w:r>
      <w:r w:rsidR="00D6470E" w:rsidRPr="00FC216E">
        <w:rPr>
          <w:sz w:val="24"/>
          <w:szCs w:val="24"/>
        </w:rPr>
        <w:t xml:space="preserve"> </w:t>
      </w:r>
    </w:p>
    <w:p w:rsidR="004E3C4F" w:rsidRDefault="00A62D46" w:rsidP="00B06BDA">
      <w:pPr>
        <w:rPr>
          <w:sz w:val="24"/>
          <w:szCs w:val="24"/>
        </w:rPr>
      </w:pPr>
      <w:r w:rsidRPr="002146B3">
        <w:rPr>
          <w:sz w:val="24"/>
          <w:szCs w:val="24"/>
        </w:rPr>
        <w:t xml:space="preserve">The purpose of this </w:t>
      </w:r>
      <w:r w:rsidR="000E32B1" w:rsidRPr="002146B3">
        <w:rPr>
          <w:sz w:val="24"/>
          <w:szCs w:val="24"/>
        </w:rPr>
        <w:t>paper</w:t>
      </w:r>
      <w:r w:rsidRPr="002146B3">
        <w:rPr>
          <w:sz w:val="24"/>
          <w:szCs w:val="24"/>
        </w:rPr>
        <w:t xml:space="preserve"> is to examine the principles that </w:t>
      </w:r>
      <w:r w:rsidR="00A93636" w:rsidRPr="002146B3">
        <w:rPr>
          <w:sz w:val="24"/>
          <w:szCs w:val="24"/>
        </w:rPr>
        <w:t xml:space="preserve">currently </w:t>
      </w:r>
      <w:r w:rsidRPr="002146B3">
        <w:rPr>
          <w:sz w:val="24"/>
          <w:szCs w:val="24"/>
        </w:rPr>
        <w:t>govern the admissibility of expert evidence in criminal proceedings</w:t>
      </w:r>
      <w:r w:rsidR="004E3C4F">
        <w:rPr>
          <w:sz w:val="24"/>
          <w:szCs w:val="24"/>
        </w:rPr>
        <w:t>,</w:t>
      </w:r>
      <w:r w:rsidR="002177AD" w:rsidRPr="002146B3">
        <w:rPr>
          <w:sz w:val="24"/>
          <w:szCs w:val="24"/>
        </w:rPr>
        <w:t xml:space="preserve"> the provisions of </w:t>
      </w:r>
      <w:proofErr w:type="spellStart"/>
      <w:r w:rsidR="002177AD" w:rsidRPr="002146B3">
        <w:rPr>
          <w:sz w:val="24"/>
          <w:szCs w:val="24"/>
        </w:rPr>
        <w:t>CrimPR</w:t>
      </w:r>
      <w:proofErr w:type="spellEnd"/>
      <w:r w:rsidR="002177AD" w:rsidRPr="002146B3">
        <w:rPr>
          <w:sz w:val="24"/>
          <w:szCs w:val="24"/>
        </w:rPr>
        <w:t xml:space="preserve"> Part 19 and </w:t>
      </w:r>
      <w:proofErr w:type="spellStart"/>
      <w:r w:rsidR="002177AD" w:rsidRPr="002146B3">
        <w:rPr>
          <w:sz w:val="24"/>
          <w:szCs w:val="24"/>
        </w:rPr>
        <w:t>CrimPD</w:t>
      </w:r>
      <w:proofErr w:type="spellEnd"/>
      <w:r w:rsidR="002177AD" w:rsidRPr="002146B3">
        <w:rPr>
          <w:sz w:val="24"/>
          <w:szCs w:val="24"/>
        </w:rPr>
        <w:t xml:space="preserve"> 19A</w:t>
      </w:r>
      <w:r w:rsidR="002146B3" w:rsidRPr="002146B3">
        <w:rPr>
          <w:sz w:val="24"/>
          <w:szCs w:val="24"/>
        </w:rPr>
        <w:t xml:space="preserve"> and the Law Commissions’ recommendations in order to </w:t>
      </w:r>
      <w:proofErr w:type="gramStart"/>
      <w:r w:rsidR="002146B3" w:rsidRPr="002146B3">
        <w:rPr>
          <w:sz w:val="24"/>
          <w:szCs w:val="24"/>
        </w:rPr>
        <w:t>identify  key</w:t>
      </w:r>
      <w:proofErr w:type="gramEnd"/>
      <w:r w:rsidR="002146B3" w:rsidRPr="002146B3">
        <w:rPr>
          <w:sz w:val="24"/>
          <w:szCs w:val="24"/>
        </w:rPr>
        <w:t xml:space="preserve"> areas </w:t>
      </w:r>
      <w:r w:rsidR="004E3C4F">
        <w:rPr>
          <w:sz w:val="24"/>
          <w:szCs w:val="24"/>
        </w:rPr>
        <w:t>in</w:t>
      </w:r>
      <w:r w:rsidR="002146B3" w:rsidRPr="002146B3">
        <w:rPr>
          <w:sz w:val="24"/>
          <w:szCs w:val="24"/>
        </w:rPr>
        <w:t xml:space="preserve"> relation to which</w:t>
      </w:r>
      <w:r w:rsidR="00B06BDA" w:rsidRPr="002146B3">
        <w:rPr>
          <w:sz w:val="24"/>
          <w:szCs w:val="24"/>
        </w:rPr>
        <w:t xml:space="preserve"> </w:t>
      </w:r>
      <w:r w:rsidR="002146B3" w:rsidRPr="002146B3">
        <w:rPr>
          <w:sz w:val="24"/>
          <w:szCs w:val="24"/>
        </w:rPr>
        <w:t xml:space="preserve">additional clarification by </w:t>
      </w:r>
      <w:r w:rsidR="00B8105A" w:rsidRPr="002146B3">
        <w:rPr>
          <w:sz w:val="24"/>
          <w:szCs w:val="24"/>
        </w:rPr>
        <w:t>the appellate courts</w:t>
      </w:r>
      <w:r w:rsidR="002146B3" w:rsidRPr="002146B3">
        <w:rPr>
          <w:sz w:val="24"/>
          <w:szCs w:val="24"/>
        </w:rPr>
        <w:t xml:space="preserve">, by </w:t>
      </w:r>
      <w:r w:rsidR="004E3C4F">
        <w:rPr>
          <w:sz w:val="24"/>
          <w:szCs w:val="24"/>
        </w:rPr>
        <w:t xml:space="preserve">amendments to </w:t>
      </w:r>
      <w:proofErr w:type="spellStart"/>
      <w:r w:rsidR="002146B3" w:rsidRPr="002146B3">
        <w:rPr>
          <w:sz w:val="24"/>
          <w:szCs w:val="24"/>
        </w:rPr>
        <w:t>CrimPD</w:t>
      </w:r>
      <w:proofErr w:type="spellEnd"/>
      <w:r w:rsidR="002146B3" w:rsidRPr="002146B3">
        <w:rPr>
          <w:sz w:val="24"/>
          <w:szCs w:val="24"/>
        </w:rPr>
        <w:t xml:space="preserve"> 19A </w:t>
      </w:r>
      <w:r w:rsidR="00B8105A" w:rsidRPr="002146B3">
        <w:rPr>
          <w:sz w:val="24"/>
          <w:szCs w:val="24"/>
        </w:rPr>
        <w:t xml:space="preserve"> </w:t>
      </w:r>
      <w:r w:rsidR="004E3C4F">
        <w:rPr>
          <w:sz w:val="24"/>
          <w:szCs w:val="24"/>
        </w:rPr>
        <w:t>and/</w:t>
      </w:r>
      <w:r w:rsidR="002146B3" w:rsidRPr="002146B3">
        <w:rPr>
          <w:sz w:val="24"/>
          <w:szCs w:val="24"/>
        </w:rPr>
        <w:t xml:space="preserve">or </w:t>
      </w:r>
      <w:r w:rsidR="004E3C4F">
        <w:rPr>
          <w:sz w:val="24"/>
          <w:szCs w:val="24"/>
        </w:rPr>
        <w:t>to</w:t>
      </w:r>
      <w:r w:rsidR="002146B3" w:rsidRPr="002146B3">
        <w:rPr>
          <w:sz w:val="24"/>
          <w:szCs w:val="24"/>
        </w:rPr>
        <w:t xml:space="preserve"> </w:t>
      </w:r>
      <w:proofErr w:type="spellStart"/>
      <w:r w:rsidR="002146B3" w:rsidRPr="002146B3">
        <w:rPr>
          <w:sz w:val="24"/>
          <w:szCs w:val="24"/>
        </w:rPr>
        <w:t>CrimPR</w:t>
      </w:r>
      <w:proofErr w:type="spellEnd"/>
      <w:r w:rsidR="002146B3" w:rsidRPr="002146B3">
        <w:rPr>
          <w:sz w:val="24"/>
          <w:szCs w:val="24"/>
        </w:rPr>
        <w:t xml:space="preserve"> Part 19 </w:t>
      </w:r>
      <w:r w:rsidR="004E3C4F">
        <w:rPr>
          <w:sz w:val="24"/>
          <w:szCs w:val="24"/>
        </w:rPr>
        <w:t xml:space="preserve">itself </w:t>
      </w:r>
      <w:r w:rsidR="002146B3" w:rsidRPr="002146B3">
        <w:rPr>
          <w:sz w:val="24"/>
          <w:szCs w:val="24"/>
        </w:rPr>
        <w:t xml:space="preserve">would be </w:t>
      </w:r>
      <w:r w:rsidR="004E3C4F">
        <w:rPr>
          <w:sz w:val="24"/>
          <w:szCs w:val="24"/>
        </w:rPr>
        <w:t xml:space="preserve">desirable. </w:t>
      </w:r>
      <w:r w:rsidR="00B06BDA">
        <w:rPr>
          <w:sz w:val="24"/>
          <w:szCs w:val="24"/>
        </w:rPr>
        <w:t>Th</w:t>
      </w:r>
      <w:r w:rsidR="004E3C4F">
        <w:rPr>
          <w:sz w:val="24"/>
          <w:szCs w:val="24"/>
        </w:rPr>
        <w:t>e</w:t>
      </w:r>
      <w:r w:rsidR="00B06BDA">
        <w:rPr>
          <w:sz w:val="24"/>
          <w:szCs w:val="24"/>
        </w:rPr>
        <w:t xml:space="preserve"> paper is divided into six main sections. </w:t>
      </w:r>
    </w:p>
    <w:p w:rsidR="00CF6A45" w:rsidRDefault="00B06BDA" w:rsidP="00B06BDA">
      <w:pPr>
        <w:rPr>
          <w:sz w:val="24"/>
          <w:szCs w:val="24"/>
        </w:rPr>
      </w:pPr>
      <w:r>
        <w:rPr>
          <w:sz w:val="24"/>
          <w:szCs w:val="24"/>
        </w:rPr>
        <w:t xml:space="preserve">The first </w:t>
      </w:r>
      <w:r w:rsidR="00EE35D5">
        <w:rPr>
          <w:sz w:val="24"/>
          <w:szCs w:val="24"/>
        </w:rPr>
        <w:t xml:space="preserve">section </w:t>
      </w:r>
      <w:r>
        <w:rPr>
          <w:sz w:val="24"/>
          <w:szCs w:val="24"/>
        </w:rPr>
        <w:t>considers whether the common law test that governs the admissibility of expert evidence in criminal proceedings now effectively includes a reliability limb</w:t>
      </w:r>
      <w:r w:rsidR="002E76E4">
        <w:rPr>
          <w:sz w:val="24"/>
          <w:szCs w:val="24"/>
        </w:rPr>
        <w:t>,</w:t>
      </w:r>
      <w:r>
        <w:rPr>
          <w:sz w:val="24"/>
          <w:szCs w:val="24"/>
        </w:rPr>
        <w:t xml:space="preserve"> </w:t>
      </w:r>
      <w:r w:rsidR="001F537B">
        <w:rPr>
          <w:sz w:val="24"/>
          <w:szCs w:val="24"/>
        </w:rPr>
        <w:t>acknowledges</w:t>
      </w:r>
      <w:r w:rsidR="008D2C54">
        <w:rPr>
          <w:sz w:val="24"/>
          <w:szCs w:val="24"/>
        </w:rPr>
        <w:t xml:space="preserve"> that admissibility challenges should not become automatic and</w:t>
      </w:r>
      <w:r w:rsidR="002E76E4">
        <w:rPr>
          <w:sz w:val="24"/>
          <w:szCs w:val="24"/>
        </w:rPr>
        <w:t xml:space="preserve"> recognises that, when admissibility is to be challenged</w:t>
      </w:r>
      <w:r w:rsidR="008D2C54">
        <w:rPr>
          <w:sz w:val="24"/>
          <w:szCs w:val="24"/>
        </w:rPr>
        <w:t>, appropriate pre-trial case management processes</w:t>
      </w:r>
      <w:r w:rsidR="002E76E4">
        <w:rPr>
          <w:sz w:val="24"/>
          <w:szCs w:val="24"/>
        </w:rPr>
        <w:t xml:space="preserve"> should take place</w:t>
      </w:r>
      <w:r w:rsidR="008D2C54">
        <w:rPr>
          <w:sz w:val="24"/>
          <w:szCs w:val="24"/>
        </w:rPr>
        <w:t xml:space="preserve">. The second </w:t>
      </w:r>
      <w:r w:rsidR="00EE35D5">
        <w:rPr>
          <w:sz w:val="24"/>
          <w:szCs w:val="24"/>
        </w:rPr>
        <w:t xml:space="preserve">section </w:t>
      </w:r>
      <w:r w:rsidR="00CF6A45">
        <w:rPr>
          <w:sz w:val="24"/>
          <w:szCs w:val="24"/>
        </w:rPr>
        <w:t xml:space="preserve">emphasises the importance of such case management in ensuring that the jury’s attention is focussed upon the relevant issues. </w:t>
      </w:r>
      <w:r w:rsidR="003C64AE">
        <w:rPr>
          <w:sz w:val="24"/>
          <w:szCs w:val="24"/>
        </w:rPr>
        <w:t xml:space="preserve">The third section recognises that even where </w:t>
      </w:r>
      <w:r w:rsidR="001F537B">
        <w:rPr>
          <w:sz w:val="24"/>
          <w:szCs w:val="24"/>
        </w:rPr>
        <w:t xml:space="preserve">the evidence of an </w:t>
      </w:r>
      <w:r w:rsidR="003C64AE">
        <w:rPr>
          <w:sz w:val="24"/>
          <w:szCs w:val="24"/>
        </w:rPr>
        <w:t xml:space="preserve">expert </w:t>
      </w:r>
      <w:r w:rsidR="001F537B">
        <w:rPr>
          <w:sz w:val="24"/>
          <w:szCs w:val="24"/>
        </w:rPr>
        <w:t>witness is relevant to an issue in the proceedings it</w:t>
      </w:r>
      <w:r w:rsidR="003C64AE">
        <w:rPr>
          <w:sz w:val="24"/>
          <w:szCs w:val="24"/>
        </w:rPr>
        <w:t xml:space="preserve"> is only admissible if it provides information that </w:t>
      </w:r>
      <w:r w:rsidR="001F537B">
        <w:rPr>
          <w:sz w:val="24"/>
          <w:szCs w:val="24"/>
        </w:rPr>
        <w:t xml:space="preserve">is </w:t>
      </w:r>
      <w:r w:rsidR="003C64AE" w:rsidRPr="003C64AE">
        <w:rPr>
          <w:sz w:val="24"/>
          <w:szCs w:val="24"/>
        </w:rPr>
        <w:t>likely to be outside the court’s knowledge and experience</w:t>
      </w:r>
      <w:r w:rsidR="003C64AE">
        <w:rPr>
          <w:sz w:val="24"/>
          <w:szCs w:val="24"/>
        </w:rPr>
        <w:t xml:space="preserve"> </w:t>
      </w:r>
      <w:r w:rsidR="001F537B">
        <w:rPr>
          <w:sz w:val="24"/>
          <w:szCs w:val="24"/>
        </w:rPr>
        <w:t xml:space="preserve">and that this rule </w:t>
      </w:r>
      <w:r w:rsidR="003C64AE">
        <w:rPr>
          <w:sz w:val="24"/>
          <w:szCs w:val="24"/>
        </w:rPr>
        <w:t xml:space="preserve">can </w:t>
      </w:r>
      <w:r w:rsidR="001F537B">
        <w:rPr>
          <w:sz w:val="24"/>
          <w:szCs w:val="24"/>
        </w:rPr>
        <w:t xml:space="preserve">also </w:t>
      </w:r>
      <w:r w:rsidR="003C64AE">
        <w:rPr>
          <w:sz w:val="24"/>
          <w:szCs w:val="24"/>
        </w:rPr>
        <w:t xml:space="preserve">limit the nature of the evidence that an expert witness who has been called should be permitted to give. </w:t>
      </w:r>
      <w:r w:rsidR="00CF6A45">
        <w:rPr>
          <w:sz w:val="24"/>
          <w:szCs w:val="24"/>
        </w:rPr>
        <w:t xml:space="preserve">The </w:t>
      </w:r>
      <w:r w:rsidR="003C64AE">
        <w:rPr>
          <w:sz w:val="24"/>
          <w:szCs w:val="24"/>
        </w:rPr>
        <w:t>fourth</w:t>
      </w:r>
      <w:r w:rsidR="00CF6A45">
        <w:rPr>
          <w:sz w:val="24"/>
          <w:szCs w:val="24"/>
        </w:rPr>
        <w:t xml:space="preserve"> </w:t>
      </w:r>
      <w:r w:rsidR="00EE35D5">
        <w:rPr>
          <w:sz w:val="24"/>
          <w:szCs w:val="24"/>
        </w:rPr>
        <w:t xml:space="preserve">section </w:t>
      </w:r>
      <w:r w:rsidR="00091DF9">
        <w:rPr>
          <w:sz w:val="24"/>
          <w:szCs w:val="24"/>
        </w:rPr>
        <w:t xml:space="preserve">demonstrates that expert witness competence may be of relevance not only when determining whether a witness should be permitted to give expert evidence but also </w:t>
      </w:r>
      <w:r w:rsidR="00091DF9">
        <w:rPr>
          <w:sz w:val="24"/>
          <w:szCs w:val="24"/>
        </w:rPr>
        <w:lastRenderedPageBreak/>
        <w:t xml:space="preserve">when determining the nature of that evidence which an expert witness should be permitted to give and </w:t>
      </w:r>
      <w:r w:rsidR="00CF6A45">
        <w:rPr>
          <w:sz w:val="24"/>
          <w:szCs w:val="24"/>
        </w:rPr>
        <w:t xml:space="preserve">identifies </w:t>
      </w:r>
      <w:r w:rsidR="006C54E2">
        <w:rPr>
          <w:sz w:val="24"/>
          <w:szCs w:val="24"/>
        </w:rPr>
        <w:t xml:space="preserve">provisions of the </w:t>
      </w:r>
      <w:proofErr w:type="spellStart"/>
      <w:r w:rsidR="006C54E2">
        <w:rPr>
          <w:sz w:val="24"/>
          <w:szCs w:val="24"/>
        </w:rPr>
        <w:t>CrimPR</w:t>
      </w:r>
      <w:proofErr w:type="spellEnd"/>
      <w:r w:rsidR="006C54E2">
        <w:rPr>
          <w:sz w:val="24"/>
          <w:szCs w:val="24"/>
        </w:rPr>
        <w:t xml:space="preserve"> that are of </w:t>
      </w:r>
      <w:r w:rsidR="002E76E4">
        <w:rPr>
          <w:sz w:val="24"/>
          <w:szCs w:val="24"/>
        </w:rPr>
        <w:t>significance</w:t>
      </w:r>
      <w:r w:rsidR="006C54E2">
        <w:rPr>
          <w:sz w:val="24"/>
          <w:szCs w:val="24"/>
        </w:rPr>
        <w:t xml:space="preserve"> in the context of expert witness competence</w:t>
      </w:r>
      <w:r w:rsidR="009D741C">
        <w:rPr>
          <w:sz w:val="24"/>
          <w:szCs w:val="24"/>
        </w:rPr>
        <w:t xml:space="preserve"> or credibility</w:t>
      </w:r>
      <w:r w:rsidR="006C54E2">
        <w:rPr>
          <w:sz w:val="24"/>
          <w:szCs w:val="24"/>
        </w:rPr>
        <w:t xml:space="preserve">. </w:t>
      </w:r>
      <w:r w:rsidR="00EE35D5">
        <w:rPr>
          <w:sz w:val="24"/>
          <w:szCs w:val="24"/>
        </w:rPr>
        <w:t>The f</w:t>
      </w:r>
      <w:r w:rsidR="003C64AE">
        <w:rPr>
          <w:sz w:val="24"/>
          <w:szCs w:val="24"/>
        </w:rPr>
        <w:t>ifth</w:t>
      </w:r>
      <w:r w:rsidR="00EE35D5">
        <w:rPr>
          <w:sz w:val="24"/>
          <w:szCs w:val="24"/>
        </w:rPr>
        <w:t xml:space="preserve"> section </w:t>
      </w:r>
      <w:r w:rsidR="00B42D66">
        <w:rPr>
          <w:sz w:val="24"/>
          <w:szCs w:val="24"/>
        </w:rPr>
        <w:t xml:space="preserve">concerns the </w:t>
      </w:r>
      <w:r w:rsidR="001C6AAE">
        <w:rPr>
          <w:sz w:val="24"/>
          <w:szCs w:val="24"/>
        </w:rPr>
        <w:t xml:space="preserve">extent to which </w:t>
      </w:r>
      <w:r w:rsidR="00B42D66">
        <w:rPr>
          <w:sz w:val="24"/>
          <w:szCs w:val="24"/>
        </w:rPr>
        <w:t xml:space="preserve">the common law reliability test on which the guidance in the new </w:t>
      </w:r>
      <w:proofErr w:type="spellStart"/>
      <w:r w:rsidR="00B42D66">
        <w:rPr>
          <w:sz w:val="24"/>
          <w:szCs w:val="24"/>
        </w:rPr>
        <w:t>CrimPD</w:t>
      </w:r>
      <w:proofErr w:type="spellEnd"/>
      <w:r w:rsidR="00B42D66">
        <w:rPr>
          <w:sz w:val="24"/>
          <w:szCs w:val="24"/>
        </w:rPr>
        <w:t xml:space="preserve"> 19A is based</w:t>
      </w:r>
      <w:r w:rsidR="001C6AAE">
        <w:rPr>
          <w:sz w:val="24"/>
          <w:szCs w:val="24"/>
        </w:rPr>
        <w:t xml:space="preserve"> may be informed not only by</w:t>
      </w:r>
      <w:r w:rsidR="00B42D66">
        <w:rPr>
          <w:sz w:val="24"/>
          <w:szCs w:val="24"/>
        </w:rPr>
        <w:t xml:space="preserve"> the guidance provided in the new Practice Direction</w:t>
      </w:r>
      <w:r w:rsidR="001C6AAE">
        <w:rPr>
          <w:sz w:val="24"/>
          <w:szCs w:val="24"/>
        </w:rPr>
        <w:t xml:space="preserve"> itself but also by information provided in compliance with relevant provisions of the </w:t>
      </w:r>
      <w:proofErr w:type="spellStart"/>
      <w:r w:rsidR="001C6AAE">
        <w:rPr>
          <w:sz w:val="24"/>
          <w:szCs w:val="24"/>
        </w:rPr>
        <w:t>CrimPR</w:t>
      </w:r>
      <w:proofErr w:type="spellEnd"/>
      <w:r w:rsidR="00B42D66">
        <w:rPr>
          <w:sz w:val="24"/>
          <w:szCs w:val="24"/>
        </w:rPr>
        <w:t xml:space="preserve"> and</w:t>
      </w:r>
      <w:r w:rsidR="002E76E4">
        <w:rPr>
          <w:sz w:val="24"/>
          <w:szCs w:val="24"/>
        </w:rPr>
        <w:t>, potentially,</w:t>
      </w:r>
      <w:r w:rsidR="00B42D66">
        <w:rPr>
          <w:sz w:val="24"/>
          <w:szCs w:val="24"/>
        </w:rPr>
        <w:t xml:space="preserve"> </w:t>
      </w:r>
      <w:r w:rsidR="001C6AAE">
        <w:rPr>
          <w:sz w:val="24"/>
          <w:szCs w:val="24"/>
        </w:rPr>
        <w:t xml:space="preserve">by additional guidance that may be derived from </w:t>
      </w:r>
      <w:r w:rsidR="00B42D66">
        <w:rPr>
          <w:sz w:val="24"/>
          <w:szCs w:val="24"/>
        </w:rPr>
        <w:t>the Law Commission’</w:t>
      </w:r>
      <w:r w:rsidR="001C6AAE">
        <w:rPr>
          <w:sz w:val="24"/>
          <w:szCs w:val="24"/>
        </w:rPr>
        <w:t xml:space="preserve">s recommendations. The final section </w:t>
      </w:r>
      <w:r w:rsidR="002E76E4">
        <w:rPr>
          <w:sz w:val="24"/>
          <w:szCs w:val="24"/>
        </w:rPr>
        <w:t>accepts</w:t>
      </w:r>
      <w:r w:rsidR="009D741C">
        <w:rPr>
          <w:sz w:val="24"/>
          <w:szCs w:val="24"/>
        </w:rPr>
        <w:t xml:space="preserve"> that impartiality does not form a condition precedent to the admissibility of expert evidence at common law, identifies provisions of the </w:t>
      </w:r>
      <w:proofErr w:type="spellStart"/>
      <w:r w:rsidR="009D741C">
        <w:rPr>
          <w:sz w:val="24"/>
          <w:szCs w:val="24"/>
        </w:rPr>
        <w:t>CrimPR</w:t>
      </w:r>
      <w:proofErr w:type="spellEnd"/>
      <w:r w:rsidR="009D741C">
        <w:rPr>
          <w:sz w:val="24"/>
          <w:szCs w:val="24"/>
        </w:rPr>
        <w:t xml:space="preserve"> which concern the expert’s duty to the court, considers possible pathways via which admissibility challenges based on expert witness </w:t>
      </w:r>
      <w:r w:rsidR="002E76E4">
        <w:rPr>
          <w:sz w:val="24"/>
          <w:szCs w:val="24"/>
        </w:rPr>
        <w:t xml:space="preserve">bias </w:t>
      </w:r>
      <w:r w:rsidR="009D741C">
        <w:rPr>
          <w:sz w:val="24"/>
          <w:szCs w:val="24"/>
        </w:rPr>
        <w:t xml:space="preserve">could potentially be founded and acknowledges that the most viable means of </w:t>
      </w:r>
      <w:r w:rsidR="002146B3">
        <w:rPr>
          <w:sz w:val="24"/>
          <w:szCs w:val="24"/>
        </w:rPr>
        <w:t xml:space="preserve">challenging expert witness impartiality may well remain that of conducting a well-formulated cross-examination strategy. </w:t>
      </w:r>
    </w:p>
    <w:p w:rsidR="002146B3" w:rsidRDefault="002146B3" w:rsidP="00B06BDA">
      <w:pPr>
        <w:rPr>
          <w:sz w:val="24"/>
          <w:szCs w:val="24"/>
        </w:rPr>
      </w:pPr>
    </w:p>
    <w:p w:rsidR="0087301F" w:rsidRPr="0087301F" w:rsidRDefault="0087301F" w:rsidP="00E1424C">
      <w:pPr>
        <w:rPr>
          <w:sz w:val="24"/>
          <w:szCs w:val="24"/>
          <w:u w:val="single"/>
        </w:rPr>
      </w:pPr>
      <w:r w:rsidRPr="0087301F">
        <w:rPr>
          <w:sz w:val="24"/>
          <w:szCs w:val="24"/>
          <w:u w:val="single"/>
        </w:rPr>
        <w:t xml:space="preserve">What are the components of the </w:t>
      </w:r>
      <w:r>
        <w:rPr>
          <w:sz w:val="24"/>
          <w:szCs w:val="24"/>
          <w:u w:val="single"/>
        </w:rPr>
        <w:t xml:space="preserve">common law </w:t>
      </w:r>
      <w:r w:rsidRPr="0087301F">
        <w:rPr>
          <w:sz w:val="24"/>
          <w:szCs w:val="24"/>
          <w:u w:val="single"/>
        </w:rPr>
        <w:t>admissibility test</w:t>
      </w:r>
      <w:r w:rsidR="00066B75">
        <w:rPr>
          <w:sz w:val="24"/>
          <w:szCs w:val="24"/>
          <w:u w:val="single"/>
        </w:rPr>
        <w:t xml:space="preserve"> and when </w:t>
      </w:r>
      <w:r w:rsidR="004F68F9">
        <w:rPr>
          <w:sz w:val="24"/>
          <w:szCs w:val="24"/>
          <w:u w:val="single"/>
        </w:rPr>
        <w:t>is the court required to determine</w:t>
      </w:r>
      <w:r w:rsidR="00066B75">
        <w:rPr>
          <w:sz w:val="24"/>
          <w:szCs w:val="24"/>
          <w:u w:val="single"/>
        </w:rPr>
        <w:t xml:space="preserve"> </w:t>
      </w:r>
      <w:r w:rsidR="004F68F9">
        <w:rPr>
          <w:sz w:val="24"/>
          <w:szCs w:val="24"/>
          <w:u w:val="single"/>
        </w:rPr>
        <w:t xml:space="preserve">the </w:t>
      </w:r>
      <w:r w:rsidR="00066B75">
        <w:rPr>
          <w:sz w:val="24"/>
          <w:szCs w:val="24"/>
          <w:u w:val="single"/>
        </w:rPr>
        <w:t>admissibility</w:t>
      </w:r>
      <w:r w:rsidR="004F68F9">
        <w:rPr>
          <w:sz w:val="24"/>
          <w:szCs w:val="24"/>
          <w:u w:val="single"/>
        </w:rPr>
        <w:t xml:space="preserve"> of expert evidence</w:t>
      </w:r>
      <w:r w:rsidRPr="0087301F">
        <w:rPr>
          <w:sz w:val="24"/>
          <w:szCs w:val="24"/>
          <w:u w:val="single"/>
        </w:rPr>
        <w:t>?</w:t>
      </w:r>
    </w:p>
    <w:p w:rsidR="007C7C31" w:rsidRDefault="003C1396" w:rsidP="007C7C31">
      <w:pPr>
        <w:rPr>
          <w:sz w:val="24"/>
          <w:szCs w:val="24"/>
        </w:rPr>
      </w:pPr>
      <w:proofErr w:type="spellStart"/>
      <w:r w:rsidRPr="00FC216E">
        <w:rPr>
          <w:sz w:val="24"/>
          <w:szCs w:val="24"/>
        </w:rPr>
        <w:t>CrimPD</w:t>
      </w:r>
      <w:proofErr w:type="spellEnd"/>
      <w:r w:rsidRPr="00FC216E">
        <w:rPr>
          <w:sz w:val="24"/>
          <w:szCs w:val="24"/>
        </w:rPr>
        <w:t xml:space="preserve"> 19A recognises that </w:t>
      </w:r>
      <w:r w:rsidR="00293CDA" w:rsidRPr="00FC216E">
        <w:rPr>
          <w:sz w:val="24"/>
          <w:szCs w:val="24"/>
        </w:rPr>
        <w:t xml:space="preserve">the </w:t>
      </w:r>
      <w:r w:rsidR="00BB1A0F" w:rsidRPr="00FC216E">
        <w:rPr>
          <w:sz w:val="24"/>
          <w:szCs w:val="24"/>
        </w:rPr>
        <w:t xml:space="preserve">common law principles that govern the admissibility of expert </w:t>
      </w:r>
      <w:r w:rsidR="00461A20">
        <w:rPr>
          <w:sz w:val="24"/>
          <w:szCs w:val="24"/>
        </w:rPr>
        <w:t xml:space="preserve">opinion </w:t>
      </w:r>
      <w:r w:rsidR="00BB1A0F" w:rsidRPr="00FC216E">
        <w:rPr>
          <w:sz w:val="24"/>
          <w:szCs w:val="24"/>
        </w:rPr>
        <w:t>evidence in the criminal context are that the evidence must be “relevant to a matter in issue in the proceedings”, that it must be “needed to provide the court with information likely to be outside the court’s own knowledge and experience” and that the witness who is to be called to give the expert evidence must be “competent to give that opinion”.</w:t>
      </w:r>
      <w:r w:rsidR="00BB1A0F" w:rsidRPr="00FC216E">
        <w:rPr>
          <w:rStyle w:val="FootnoteReference"/>
          <w:sz w:val="24"/>
          <w:szCs w:val="24"/>
        </w:rPr>
        <w:footnoteReference w:id="12"/>
      </w:r>
      <w:r w:rsidR="00FC216E" w:rsidRPr="00FC216E">
        <w:rPr>
          <w:rStyle w:val="FootnoteReference"/>
          <w:sz w:val="24"/>
          <w:szCs w:val="24"/>
        </w:rPr>
        <w:t xml:space="preserve"> </w:t>
      </w:r>
      <w:r w:rsidR="00FC216E" w:rsidRPr="00FC216E">
        <w:rPr>
          <w:sz w:val="24"/>
          <w:szCs w:val="24"/>
        </w:rPr>
        <w:t xml:space="preserve">Additionally, </w:t>
      </w:r>
      <w:r w:rsidR="00785ADE">
        <w:rPr>
          <w:sz w:val="24"/>
          <w:szCs w:val="24"/>
        </w:rPr>
        <w:t>the Practice Direction</w:t>
      </w:r>
      <w:r w:rsidR="00FC216E" w:rsidRPr="00FC216E">
        <w:rPr>
          <w:rStyle w:val="FootnoteReference"/>
          <w:sz w:val="24"/>
          <w:szCs w:val="24"/>
        </w:rPr>
        <w:footnoteReference w:id="13"/>
      </w:r>
      <w:r w:rsidR="00FC216E" w:rsidRPr="00FC216E">
        <w:rPr>
          <w:rStyle w:val="FootnoteReference"/>
          <w:sz w:val="24"/>
          <w:szCs w:val="24"/>
        </w:rPr>
        <w:t xml:space="preserve"> </w:t>
      </w:r>
      <w:r w:rsidR="00FC216E" w:rsidRPr="00FC216E">
        <w:rPr>
          <w:sz w:val="24"/>
          <w:szCs w:val="24"/>
        </w:rPr>
        <w:t xml:space="preserve"> extracts from the judgment of the Court of Appeal in </w:t>
      </w:r>
      <w:r w:rsidR="00FC216E" w:rsidRPr="00FC216E">
        <w:rPr>
          <w:i/>
          <w:sz w:val="24"/>
          <w:szCs w:val="24"/>
        </w:rPr>
        <w:t xml:space="preserve">R v </w:t>
      </w:r>
      <w:proofErr w:type="spellStart"/>
      <w:r w:rsidR="00FC216E" w:rsidRPr="00FC216E">
        <w:rPr>
          <w:i/>
          <w:sz w:val="24"/>
          <w:szCs w:val="24"/>
        </w:rPr>
        <w:t>Dlugosz</w:t>
      </w:r>
      <w:proofErr w:type="spellEnd"/>
      <w:r w:rsidR="00890F7D">
        <w:rPr>
          <w:i/>
          <w:sz w:val="24"/>
          <w:szCs w:val="24"/>
        </w:rPr>
        <w:t xml:space="preserve"> </w:t>
      </w:r>
      <w:r w:rsidR="00FC216E" w:rsidRPr="00FC216E">
        <w:rPr>
          <w:rStyle w:val="FootnoteReference"/>
          <w:sz w:val="24"/>
          <w:szCs w:val="24"/>
        </w:rPr>
        <w:t xml:space="preserve"> </w:t>
      </w:r>
      <w:r w:rsidR="00FC216E" w:rsidRPr="00FC216E">
        <w:rPr>
          <w:sz w:val="24"/>
          <w:szCs w:val="24"/>
        </w:rPr>
        <w:t>the proposition that “in determining the issue of admissibility, the court must be satisfied that there is a sufficiently reliable scientific basis for the evidence to be admitted. If there is then the court leaves the opposing views to be tested before the jury</w:t>
      </w:r>
      <w:r w:rsidR="007C7C31">
        <w:rPr>
          <w:sz w:val="24"/>
          <w:szCs w:val="24"/>
        </w:rPr>
        <w:t>”</w:t>
      </w:r>
      <w:r w:rsidR="00FC216E" w:rsidRPr="00FC216E">
        <w:rPr>
          <w:sz w:val="24"/>
          <w:szCs w:val="24"/>
        </w:rPr>
        <w:t>.</w:t>
      </w:r>
      <w:r w:rsidR="00FC216E" w:rsidRPr="00FC216E">
        <w:rPr>
          <w:rStyle w:val="FootnoteReference"/>
          <w:sz w:val="24"/>
          <w:szCs w:val="24"/>
        </w:rPr>
        <w:footnoteReference w:id="14"/>
      </w:r>
      <w:r w:rsidR="00FC216E" w:rsidRPr="00FC216E">
        <w:rPr>
          <w:rStyle w:val="FootnoteReference"/>
          <w:sz w:val="24"/>
          <w:szCs w:val="24"/>
        </w:rPr>
        <w:t xml:space="preserve"> </w:t>
      </w:r>
      <w:r w:rsidR="006A72BE">
        <w:rPr>
          <w:sz w:val="24"/>
          <w:szCs w:val="24"/>
        </w:rPr>
        <w:t>This principle developed out of what the Lord Chief Justice described as “</w:t>
      </w:r>
      <w:r w:rsidR="007C7C31" w:rsidRPr="007C7C31">
        <w:rPr>
          <w:sz w:val="24"/>
          <w:szCs w:val="24"/>
        </w:rPr>
        <w:t xml:space="preserve">a series of cases largely arising out of the use of Low Template DNA </w:t>
      </w:r>
      <w:r w:rsidR="006A72BE">
        <w:rPr>
          <w:sz w:val="24"/>
          <w:szCs w:val="24"/>
        </w:rPr>
        <w:t>[which]</w:t>
      </w:r>
      <w:r w:rsidR="007C7C31" w:rsidRPr="007C7C31">
        <w:rPr>
          <w:sz w:val="24"/>
          <w:szCs w:val="24"/>
        </w:rPr>
        <w:t xml:space="preserve"> established the requirement that the court can only admit expert evidence if it is reliable</w:t>
      </w:r>
      <w:r w:rsidR="006A72BE">
        <w:rPr>
          <w:sz w:val="24"/>
          <w:szCs w:val="24"/>
        </w:rPr>
        <w:t>”</w:t>
      </w:r>
      <w:r w:rsidR="007C7C31" w:rsidRPr="007C7C31">
        <w:rPr>
          <w:sz w:val="24"/>
          <w:szCs w:val="24"/>
        </w:rPr>
        <w:t>.</w:t>
      </w:r>
      <w:r w:rsidR="006A72BE" w:rsidRPr="006A72BE">
        <w:rPr>
          <w:rStyle w:val="FootnoteReference"/>
          <w:sz w:val="24"/>
          <w:szCs w:val="24"/>
        </w:rPr>
        <w:footnoteReference w:id="15"/>
      </w:r>
    </w:p>
    <w:p w:rsidR="0087301F" w:rsidRDefault="0087301F" w:rsidP="009E3CFA">
      <w:pPr>
        <w:rPr>
          <w:sz w:val="24"/>
          <w:szCs w:val="24"/>
        </w:rPr>
      </w:pPr>
      <w:r>
        <w:rPr>
          <w:sz w:val="24"/>
          <w:szCs w:val="24"/>
        </w:rPr>
        <w:t xml:space="preserve">Unfortunately, </w:t>
      </w:r>
      <w:proofErr w:type="spellStart"/>
      <w:r w:rsidR="008C6CBF">
        <w:rPr>
          <w:sz w:val="24"/>
          <w:szCs w:val="24"/>
        </w:rPr>
        <w:t>CrimPD</w:t>
      </w:r>
      <w:proofErr w:type="spellEnd"/>
      <w:r w:rsidR="008C6CBF">
        <w:rPr>
          <w:sz w:val="24"/>
          <w:szCs w:val="24"/>
        </w:rPr>
        <w:t xml:space="preserve"> 19A does not make clear whether it </w:t>
      </w:r>
      <w:r w:rsidR="00227CBF">
        <w:rPr>
          <w:sz w:val="24"/>
          <w:szCs w:val="24"/>
        </w:rPr>
        <w:t xml:space="preserve">was drafted upon the basis </w:t>
      </w:r>
      <w:r w:rsidR="008C6CBF">
        <w:rPr>
          <w:sz w:val="24"/>
          <w:szCs w:val="24"/>
        </w:rPr>
        <w:t xml:space="preserve">that the principle stated in </w:t>
      </w:r>
      <w:proofErr w:type="spellStart"/>
      <w:r w:rsidR="008C6CBF" w:rsidRPr="008C6CBF">
        <w:rPr>
          <w:i/>
          <w:sz w:val="24"/>
          <w:szCs w:val="24"/>
        </w:rPr>
        <w:t>Dlugosz</w:t>
      </w:r>
      <w:proofErr w:type="spellEnd"/>
      <w:r w:rsidR="008C6CBF">
        <w:rPr>
          <w:sz w:val="24"/>
          <w:szCs w:val="24"/>
        </w:rPr>
        <w:t xml:space="preserve"> </w:t>
      </w:r>
      <w:r w:rsidR="00663BC7">
        <w:rPr>
          <w:sz w:val="24"/>
          <w:szCs w:val="24"/>
        </w:rPr>
        <w:t xml:space="preserve">now </w:t>
      </w:r>
      <w:r w:rsidR="0065155C">
        <w:rPr>
          <w:sz w:val="24"/>
          <w:szCs w:val="24"/>
        </w:rPr>
        <w:t xml:space="preserve">effectively </w:t>
      </w:r>
      <w:r w:rsidR="008C6CBF">
        <w:rPr>
          <w:sz w:val="24"/>
          <w:szCs w:val="24"/>
        </w:rPr>
        <w:t xml:space="preserve">forms a discrete fourth limb of the common law admissibility test or whether </w:t>
      </w:r>
      <w:r w:rsidR="0065155C">
        <w:rPr>
          <w:sz w:val="24"/>
          <w:szCs w:val="24"/>
        </w:rPr>
        <w:t>the guidance w</w:t>
      </w:r>
      <w:r w:rsidR="00227CBF">
        <w:rPr>
          <w:sz w:val="24"/>
          <w:szCs w:val="24"/>
        </w:rPr>
        <w:t xml:space="preserve">hich </w:t>
      </w:r>
      <w:proofErr w:type="spellStart"/>
      <w:r w:rsidR="00227CBF">
        <w:rPr>
          <w:sz w:val="24"/>
          <w:szCs w:val="24"/>
        </w:rPr>
        <w:t>CrimPD</w:t>
      </w:r>
      <w:proofErr w:type="spellEnd"/>
      <w:r w:rsidR="00227CBF">
        <w:rPr>
          <w:sz w:val="24"/>
          <w:szCs w:val="24"/>
        </w:rPr>
        <w:t xml:space="preserve"> 19A provides for the courts when they are required to determine the reliability of expert </w:t>
      </w:r>
      <w:r w:rsidR="00461A20">
        <w:rPr>
          <w:sz w:val="24"/>
          <w:szCs w:val="24"/>
        </w:rPr>
        <w:t xml:space="preserve">opinion </w:t>
      </w:r>
      <w:r w:rsidR="00227CBF">
        <w:rPr>
          <w:sz w:val="24"/>
          <w:szCs w:val="24"/>
        </w:rPr>
        <w:t xml:space="preserve">evidence is guidance that they are intended to take </w:t>
      </w:r>
      <w:r w:rsidR="008C6CBF">
        <w:rPr>
          <w:sz w:val="24"/>
          <w:szCs w:val="24"/>
        </w:rPr>
        <w:t xml:space="preserve">into account when determining whether the </w:t>
      </w:r>
      <w:r w:rsidR="002E76E4">
        <w:rPr>
          <w:sz w:val="24"/>
          <w:szCs w:val="24"/>
        </w:rPr>
        <w:t>traditional</w:t>
      </w:r>
      <w:r w:rsidR="008C6CBF">
        <w:rPr>
          <w:sz w:val="24"/>
          <w:szCs w:val="24"/>
        </w:rPr>
        <w:t xml:space="preserve"> three </w:t>
      </w:r>
      <w:r w:rsidR="002E76E4">
        <w:rPr>
          <w:sz w:val="24"/>
          <w:szCs w:val="24"/>
        </w:rPr>
        <w:lastRenderedPageBreak/>
        <w:t>limbs of the common law admissibility test</w:t>
      </w:r>
      <w:r w:rsidR="008C6CBF">
        <w:rPr>
          <w:sz w:val="24"/>
          <w:szCs w:val="24"/>
        </w:rPr>
        <w:t xml:space="preserve"> have been satisfied.  </w:t>
      </w:r>
      <w:r w:rsidR="00E773E3">
        <w:rPr>
          <w:sz w:val="24"/>
          <w:szCs w:val="24"/>
        </w:rPr>
        <w:t xml:space="preserve">Tony </w:t>
      </w:r>
      <w:r w:rsidR="008C6CBF">
        <w:rPr>
          <w:sz w:val="24"/>
          <w:szCs w:val="24"/>
        </w:rPr>
        <w:t>Ward takes the latter view, suggesting that “[e]</w:t>
      </w:r>
      <w:proofErr w:type="spellStart"/>
      <w:r w:rsidR="008C6CBF" w:rsidRPr="008C6CBF">
        <w:rPr>
          <w:sz w:val="24"/>
          <w:szCs w:val="24"/>
        </w:rPr>
        <w:t>xpert</w:t>
      </w:r>
      <w:proofErr w:type="spellEnd"/>
      <w:r w:rsidR="008C6CBF" w:rsidRPr="008C6CBF">
        <w:rPr>
          <w:sz w:val="24"/>
          <w:szCs w:val="24"/>
        </w:rPr>
        <w:t xml:space="preserve"> evidence</w:t>
      </w:r>
      <w:r w:rsidR="008C6CBF">
        <w:rPr>
          <w:sz w:val="24"/>
          <w:szCs w:val="24"/>
        </w:rPr>
        <w:t>…</w:t>
      </w:r>
      <w:r w:rsidR="008C6CBF" w:rsidRPr="008C6CBF">
        <w:rPr>
          <w:sz w:val="24"/>
          <w:szCs w:val="24"/>
        </w:rPr>
        <w:t>is admissible if it is 'sufficiently reliable' to satisfy these three tests</w:t>
      </w:r>
      <w:r w:rsidR="008C6CBF">
        <w:rPr>
          <w:sz w:val="24"/>
          <w:szCs w:val="24"/>
        </w:rPr>
        <w:t xml:space="preserve">” but </w:t>
      </w:r>
      <w:r w:rsidR="000A273D">
        <w:rPr>
          <w:sz w:val="24"/>
          <w:szCs w:val="24"/>
        </w:rPr>
        <w:t>commenting</w:t>
      </w:r>
      <w:r w:rsidR="008C6CBF">
        <w:rPr>
          <w:sz w:val="24"/>
          <w:szCs w:val="24"/>
        </w:rPr>
        <w:t xml:space="preserve"> that </w:t>
      </w:r>
      <w:r w:rsidR="00806424">
        <w:rPr>
          <w:sz w:val="24"/>
          <w:szCs w:val="24"/>
        </w:rPr>
        <w:t>“</w:t>
      </w:r>
      <w:r w:rsidR="008C6CBF">
        <w:rPr>
          <w:sz w:val="24"/>
          <w:szCs w:val="24"/>
        </w:rPr>
        <w:t>[t]</w:t>
      </w:r>
      <w:r w:rsidR="008C6CBF" w:rsidRPr="008C6CBF">
        <w:rPr>
          <w:sz w:val="24"/>
          <w:szCs w:val="24"/>
        </w:rPr>
        <w:t>he Practice Direction does not tell us which of the three tests is to be applied or how they are to be interpreted</w:t>
      </w:r>
      <w:r w:rsidR="008C6CBF">
        <w:rPr>
          <w:sz w:val="24"/>
          <w:szCs w:val="24"/>
        </w:rPr>
        <w:t>”</w:t>
      </w:r>
      <w:r w:rsidR="008C6CBF" w:rsidRPr="008C6CBF">
        <w:rPr>
          <w:sz w:val="24"/>
          <w:szCs w:val="24"/>
        </w:rPr>
        <w:t>.</w:t>
      </w:r>
      <w:r w:rsidR="00AB27F2">
        <w:rPr>
          <w:rStyle w:val="FootnoteReference"/>
          <w:sz w:val="24"/>
          <w:szCs w:val="24"/>
        </w:rPr>
        <w:footnoteReference w:id="16"/>
      </w:r>
      <w:r w:rsidR="00E773E3">
        <w:rPr>
          <w:sz w:val="24"/>
          <w:szCs w:val="24"/>
        </w:rPr>
        <w:t xml:space="preserve"> </w:t>
      </w:r>
      <w:r w:rsidR="006A72BE">
        <w:rPr>
          <w:sz w:val="24"/>
          <w:szCs w:val="24"/>
        </w:rPr>
        <w:t xml:space="preserve">Indeed, Ward regards it as </w:t>
      </w:r>
      <w:r w:rsidR="006A72BE" w:rsidRPr="006A72BE">
        <w:rPr>
          <w:sz w:val="24"/>
          <w:szCs w:val="24"/>
        </w:rPr>
        <w:t>questionable whether the</w:t>
      </w:r>
      <w:r w:rsidR="00D361D7">
        <w:rPr>
          <w:sz w:val="24"/>
          <w:szCs w:val="24"/>
        </w:rPr>
        <w:t xml:space="preserve"> </w:t>
      </w:r>
      <w:r>
        <w:rPr>
          <w:sz w:val="24"/>
          <w:szCs w:val="24"/>
        </w:rPr>
        <w:t>series of cases that</w:t>
      </w:r>
      <w:r w:rsidR="00D361D7">
        <w:rPr>
          <w:sz w:val="24"/>
          <w:szCs w:val="24"/>
        </w:rPr>
        <w:t xml:space="preserve"> the Lord Chief Justice referred to in his lecture </w:t>
      </w:r>
      <w:r w:rsidR="006A72BE" w:rsidRPr="006A72BE">
        <w:rPr>
          <w:sz w:val="24"/>
          <w:szCs w:val="24"/>
        </w:rPr>
        <w:t xml:space="preserve">developed the law as significantly as </w:t>
      </w:r>
      <w:r>
        <w:rPr>
          <w:sz w:val="24"/>
          <w:szCs w:val="24"/>
        </w:rPr>
        <w:t>the Lord Chief Justice</w:t>
      </w:r>
      <w:r w:rsidR="00D361D7">
        <w:rPr>
          <w:sz w:val="24"/>
          <w:szCs w:val="24"/>
        </w:rPr>
        <w:t xml:space="preserve"> assert</w:t>
      </w:r>
      <w:r w:rsidR="002E76E4">
        <w:rPr>
          <w:sz w:val="24"/>
          <w:szCs w:val="24"/>
        </w:rPr>
        <w:t>ed</w:t>
      </w:r>
      <w:r w:rsidR="006A72BE" w:rsidRPr="006A72BE">
        <w:rPr>
          <w:sz w:val="24"/>
          <w:szCs w:val="24"/>
        </w:rPr>
        <w:t>.</w:t>
      </w:r>
      <w:r w:rsidR="006A72BE">
        <w:rPr>
          <w:rStyle w:val="FootnoteReference"/>
          <w:sz w:val="24"/>
          <w:szCs w:val="24"/>
        </w:rPr>
        <w:footnoteReference w:id="17"/>
      </w:r>
      <w:r w:rsidR="006A72BE">
        <w:rPr>
          <w:sz w:val="24"/>
          <w:szCs w:val="24"/>
        </w:rPr>
        <w:t xml:space="preserve"> </w:t>
      </w:r>
    </w:p>
    <w:p w:rsidR="009E3CFA" w:rsidRDefault="006B0270" w:rsidP="009E3CFA">
      <w:pPr>
        <w:rPr>
          <w:sz w:val="24"/>
          <w:szCs w:val="24"/>
        </w:rPr>
      </w:pPr>
      <w:r>
        <w:rPr>
          <w:sz w:val="24"/>
          <w:szCs w:val="24"/>
        </w:rPr>
        <w:t>It is suggested</w:t>
      </w:r>
      <w:r w:rsidR="0087301F">
        <w:rPr>
          <w:sz w:val="24"/>
          <w:szCs w:val="24"/>
        </w:rPr>
        <w:t xml:space="preserve"> </w:t>
      </w:r>
      <w:r>
        <w:rPr>
          <w:sz w:val="24"/>
          <w:szCs w:val="24"/>
        </w:rPr>
        <w:t xml:space="preserve">that examination of </w:t>
      </w:r>
      <w:r w:rsidR="0087301F">
        <w:rPr>
          <w:sz w:val="24"/>
          <w:szCs w:val="24"/>
        </w:rPr>
        <w:t xml:space="preserve">the jurisprudence of the Court of Appeal </w:t>
      </w:r>
      <w:r>
        <w:rPr>
          <w:sz w:val="24"/>
          <w:szCs w:val="24"/>
        </w:rPr>
        <w:t>in combination with th</w:t>
      </w:r>
      <w:r w:rsidR="0087301F">
        <w:rPr>
          <w:sz w:val="24"/>
          <w:szCs w:val="24"/>
        </w:rPr>
        <w:t>e</w:t>
      </w:r>
      <w:r>
        <w:rPr>
          <w:sz w:val="24"/>
          <w:szCs w:val="24"/>
        </w:rPr>
        <w:t xml:space="preserve"> fact that </w:t>
      </w:r>
      <w:r w:rsidR="00DF2A02">
        <w:rPr>
          <w:sz w:val="24"/>
          <w:szCs w:val="24"/>
        </w:rPr>
        <w:t xml:space="preserve">the Law Commission had envisaged </w:t>
      </w:r>
      <w:r w:rsidR="0087301F">
        <w:rPr>
          <w:sz w:val="24"/>
          <w:szCs w:val="24"/>
        </w:rPr>
        <w:t xml:space="preserve">that the guidance now embodied in </w:t>
      </w:r>
      <w:proofErr w:type="spellStart"/>
      <w:r w:rsidR="0087301F">
        <w:rPr>
          <w:sz w:val="24"/>
          <w:szCs w:val="24"/>
        </w:rPr>
        <w:t>CrimPD</w:t>
      </w:r>
      <w:proofErr w:type="spellEnd"/>
      <w:r w:rsidR="0087301F">
        <w:rPr>
          <w:sz w:val="24"/>
          <w:szCs w:val="24"/>
        </w:rPr>
        <w:t xml:space="preserve"> 19A </w:t>
      </w:r>
      <w:r w:rsidR="00DF2A02">
        <w:rPr>
          <w:sz w:val="24"/>
          <w:szCs w:val="24"/>
        </w:rPr>
        <w:t>would operate alongside a distinct reliability limb</w:t>
      </w:r>
      <w:r w:rsidR="006A72BE">
        <w:rPr>
          <w:sz w:val="24"/>
          <w:szCs w:val="24"/>
        </w:rPr>
        <w:t xml:space="preserve"> and the Lord Chief Justice’s view expressed in his lecture that the common law now encompasses a </w:t>
      </w:r>
      <w:r w:rsidR="006A72BE" w:rsidRPr="007C7C31">
        <w:rPr>
          <w:sz w:val="24"/>
          <w:szCs w:val="24"/>
        </w:rPr>
        <w:t xml:space="preserve">requirement that </w:t>
      </w:r>
      <w:r w:rsidR="006A72BE">
        <w:rPr>
          <w:sz w:val="24"/>
          <w:szCs w:val="24"/>
        </w:rPr>
        <w:t xml:space="preserve">expert </w:t>
      </w:r>
      <w:r w:rsidR="00461A20">
        <w:rPr>
          <w:sz w:val="24"/>
          <w:szCs w:val="24"/>
        </w:rPr>
        <w:t xml:space="preserve">opinion </w:t>
      </w:r>
      <w:r w:rsidR="006A72BE">
        <w:rPr>
          <w:sz w:val="24"/>
          <w:szCs w:val="24"/>
        </w:rPr>
        <w:t xml:space="preserve">evidence can only be admitted if </w:t>
      </w:r>
      <w:r w:rsidR="0087301F">
        <w:rPr>
          <w:sz w:val="24"/>
          <w:szCs w:val="24"/>
        </w:rPr>
        <w:t xml:space="preserve">it is </w:t>
      </w:r>
      <w:r w:rsidR="006A72BE">
        <w:rPr>
          <w:sz w:val="24"/>
          <w:szCs w:val="24"/>
        </w:rPr>
        <w:t xml:space="preserve">reliable, </w:t>
      </w:r>
      <w:r w:rsidR="0087301F">
        <w:rPr>
          <w:sz w:val="24"/>
          <w:szCs w:val="24"/>
        </w:rPr>
        <w:t>suggests</w:t>
      </w:r>
      <w:r w:rsidR="00DF2A02">
        <w:rPr>
          <w:sz w:val="24"/>
          <w:szCs w:val="24"/>
        </w:rPr>
        <w:t xml:space="preserve"> that </w:t>
      </w:r>
      <w:r w:rsidR="00F7265D">
        <w:rPr>
          <w:sz w:val="24"/>
          <w:szCs w:val="24"/>
        </w:rPr>
        <w:t xml:space="preserve">the Court of Appeal is likely </w:t>
      </w:r>
      <w:r w:rsidR="0087301F">
        <w:rPr>
          <w:sz w:val="24"/>
          <w:szCs w:val="24"/>
        </w:rPr>
        <w:t xml:space="preserve">in future </w:t>
      </w:r>
      <w:r w:rsidR="00F7265D">
        <w:rPr>
          <w:sz w:val="24"/>
          <w:szCs w:val="24"/>
        </w:rPr>
        <w:t xml:space="preserve">to </w:t>
      </w:r>
      <w:r w:rsidR="003144E4">
        <w:rPr>
          <w:sz w:val="24"/>
          <w:szCs w:val="24"/>
        </w:rPr>
        <w:t>treat sufficiency of r</w:t>
      </w:r>
      <w:r w:rsidR="00F7265D">
        <w:rPr>
          <w:sz w:val="24"/>
          <w:szCs w:val="24"/>
        </w:rPr>
        <w:t>eliability as a di</w:t>
      </w:r>
      <w:r w:rsidR="003144E4">
        <w:rPr>
          <w:sz w:val="24"/>
          <w:szCs w:val="24"/>
        </w:rPr>
        <w:t>screte</w:t>
      </w:r>
      <w:r w:rsidR="00F7265D">
        <w:rPr>
          <w:sz w:val="24"/>
          <w:szCs w:val="24"/>
        </w:rPr>
        <w:t xml:space="preserve"> </w:t>
      </w:r>
      <w:r w:rsidR="003144E4">
        <w:rPr>
          <w:sz w:val="24"/>
          <w:szCs w:val="24"/>
        </w:rPr>
        <w:t>admissibility</w:t>
      </w:r>
      <w:r w:rsidR="00F7265D">
        <w:rPr>
          <w:sz w:val="24"/>
          <w:szCs w:val="24"/>
        </w:rPr>
        <w:t xml:space="preserve"> </w:t>
      </w:r>
      <w:r w:rsidR="00663BC7">
        <w:rPr>
          <w:sz w:val="24"/>
          <w:szCs w:val="24"/>
        </w:rPr>
        <w:t xml:space="preserve">condition to which the guidance </w:t>
      </w:r>
      <w:r w:rsidR="0087301F">
        <w:rPr>
          <w:sz w:val="24"/>
          <w:szCs w:val="24"/>
        </w:rPr>
        <w:t xml:space="preserve">in </w:t>
      </w:r>
      <w:proofErr w:type="spellStart"/>
      <w:r w:rsidR="0087301F">
        <w:rPr>
          <w:sz w:val="24"/>
          <w:szCs w:val="24"/>
        </w:rPr>
        <w:t>CrimPD</w:t>
      </w:r>
      <w:proofErr w:type="spellEnd"/>
      <w:r w:rsidR="0087301F">
        <w:rPr>
          <w:sz w:val="24"/>
          <w:szCs w:val="24"/>
        </w:rPr>
        <w:t xml:space="preserve"> 19A </w:t>
      </w:r>
      <w:r w:rsidR="00663BC7">
        <w:rPr>
          <w:sz w:val="24"/>
          <w:szCs w:val="24"/>
        </w:rPr>
        <w:t>is applicable</w:t>
      </w:r>
      <w:r w:rsidR="0087301F">
        <w:rPr>
          <w:sz w:val="24"/>
          <w:szCs w:val="24"/>
        </w:rPr>
        <w:t>.</w:t>
      </w:r>
      <w:r w:rsidR="00B44B49">
        <w:rPr>
          <w:sz w:val="24"/>
          <w:szCs w:val="24"/>
        </w:rPr>
        <w:t xml:space="preserve"> </w:t>
      </w:r>
      <w:r w:rsidR="0087301F">
        <w:rPr>
          <w:sz w:val="24"/>
          <w:szCs w:val="24"/>
        </w:rPr>
        <w:t xml:space="preserve">Indeed, the case law </w:t>
      </w:r>
      <w:r w:rsidR="00F55803">
        <w:rPr>
          <w:sz w:val="24"/>
          <w:szCs w:val="24"/>
        </w:rPr>
        <w:t xml:space="preserve">would </w:t>
      </w:r>
      <w:r w:rsidR="0087301F">
        <w:rPr>
          <w:sz w:val="24"/>
          <w:szCs w:val="24"/>
        </w:rPr>
        <w:t>appear</w:t>
      </w:r>
      <w:r w:rsidR="00F55803">
        <w:rPr>
          <w:sz w:val="24"/>
          <w:szCs w:val="24"/>
        </w:rPr>
        <w:t xml:space="preserve"> to demonstrate that the Court of Appeal had begun to </w:t>
      </w:r>
      <w:r w:rsidR="00E73720">
        <w:rPr>
          <w:sz w:val="24"/>
          <w:szCs w:val="24"/>
        </w:rPr>
        <w:t xml:space="preserve">develop and </w:t>
      </w:r>
      <w:r w:rsidR="00F55803">
        <w:rPr>
          <w:sz w:val="24"/>
          <w:szCs w:val="24"/>
        </w:rPr>
        <w:t xml:space="preserve">apply </w:t>
      </w:r>
      <w:r w:rsidR="0087301F">
        <w:rPr>
          <w:sz w:val="24"/>
          <w:szCs w:val="24"/>
        </w:rPr>
        <w:t>a</w:t>
      </w:r>
      <w:r w:rsidR="00F55803">
        <w:rPr>
          <w:sz w:val="24"/>
          <w:szCs w:val="24"/>
        </w:rPr>
        <w:t xml:space="preserve"> </w:t>
      </w:r>
      <w:r w:rsidR="0087301F">
        <w:rPr>
          <w:sz w:val="24"/>
          <w:szCs w:val="24"/>
        </w:rPr>
        <w:t xml:space="preserve">distinct </w:t>
      </w:r>
      <w:r w:rsidR="00F55803">
        <w:rPr>
          <w:sz w:val="24"/>
          <w:szCs w:val="24"/>
        </w:rPr>
        <w:t xml:space="preserve">common law reliability test </w:t>
      </w:r>
      <w:r w:rsidR="00A20051">
        <w:rPr>
          <w:sz w:val="24"/>
          <w:szCs w:val="24"/>
        </w:rPr>
        <w:t xml:space="preserve">several years </w:t>
      </w:r>
      <w:r w:rsidR="00F55803">
        <w:rPr>
          <w:sz w:val="24"/>
          <w:szCs w:val="24"/>
        </w:rPr>
        <w:t xml:space="preserve">before </w:t>
      </w:r>
      <w:proofErr w:type="spellStart"/>
      <w:r w:rsidR="00F55803">
        <w:rPr>
          <w:sz w:val="24"/>
          <w:szCs w:val="24"/>
        </w:rPr>
        <w:t>CrimPD</w:t>
      </w:r>
      <w:proofErr w:type="spellEnd"/>
      <w:r w:rsidR="00F55803">
        <w:rPr>
          <w:sz w:val="24"/>
          <w:szCs w:val="24"/>
        </w:rPr>
        <w:t xml:space="preserve"> 19A came into force. </w:t>
      </w:r>
      <w:r>
        <w:rPr>
          <w:sz w:val="24"/>
          <w:szCs w:val="24"/>
        </w:rPr>
        <w:t xml:space="preserve">For example, in </w:t>
      </w:r>
      <w:r w:rsidRPr="00A20051">
        <w:rPr>
          <w:i/>
          <w:sz w:val="24"/>
          <w:szCs w:val="24"/>
        </w:rPr>
        <w:t>R v Reed</w:t>
      </w:r>
      <w:r>
        <w:rPr>
          <w:sz w:val="24"/>
          <w:szCs w:val="24"/>
        </w:rPr>
        <w:t xml:space="preserve">, </w:t>
      </w:r>
      <w:r w:rsidR="00A20051">
        <w:rPr>
          <w:sz w:val="24"/>
          <w:szCs w:val="24"/>
        </w:rPr>
        <w:t>the Court of Appeal, stating</w:t>
      </w:r>
      <w:r>
        <w:rPr>
          <w:sz w:val="24"/>
          <w:szCs w:val="24"/>
        </w:rPr>
        <w:t xml:space="preserve"> that “</w:t>
      </w:r>
      <w:r w:rsidRPr="006B0270">
        <w:rPr>
          <w:sz w:val="24"/>
          <w:szCs w:val="24"/>
        </w:rPr>
        <w:t>expert evidence of a scientific nature is not admissible where the scientific basis on which it is advanced is insufficiently reliable for it to be put before the jury</w:t>
      </w:r>
      <w:r>
        <w:rPr>
          <w:sz w:val="24"/>
          <w:szCs w:val="24"/>
        </w:rPr>
        <w:t>”</w:t>
      </w:r>
      <w:r w:rsidR="008E112B">
        <w:rPr>
          <w:sz w:val="24"/>
          <w:szCs w:val="24"/>
        </w:rPr>
        <w:t xml:space="preserve">, </w:t>
      </w:r>
      <w:r>
        <w:rPr>
          <w:sz w:val="24"/>
          <w:szCs w:val="24"/>
        </w:rPr>
        <w:t xml:space="preserve">held </w:t>
      </w:r>
      <w:r w:rsidR="00F55803">
        <w:rPr>
          <w:sz w:val="24"/>
          <w:szCs w:val="24"/>
        </w:rPr>
        <w:t xml:space="preserve">that an expert witness </w:t>
      </w:r>
      <w:r>
        <w:rPr>
          <w:sz w:val="24"/>
          <w:szCs w:val="24"/>
        </w:rPr>
        <w:t xml:space="preserve">could not give </w:t>
      </w:r>
      <w:r w:rsidR="00F55803">
        <w:rPr>
          <w:sz w:val="24"/>
          <w:szCs w:val="24"/>
        </w:rPr>
        <w:t>“</w:t>
      </w:r>
      <w:r w:rsidR="00F55803" w:rsidRPr="00F55803">
        <w:rPr>
          <w:sz w:val="24"/>
          <w:szCs w:val="24"/>
        </w:rPr>
        <w:t>admissible evidence that expressed an opinion that the appellants were handling</w:t>
      </w:r>
      <w:r w:rsidR="00F55803">
        <w:rPr>
          <w:sz w:val="24"/>
          <w:szCs w:val="24"/>
        </w:rPr>
        <w:t>…knives when they broke” because “</w:t>
      </w:r>
      <w:r w:rsidR="00F55803" w:rsidRPr="00F55803">
        <w:rPr>
          <w:sz w:val="24"/>
          <w:szCs w:val="24"/>
        </w:rPr>
        <w:t>there was no reliable scientific basis for her to be able to express a view on the use the appellants made of the knives as opposed to the circumstances of transfer of their DNA</w:t>
      </w:r>
      <w:r w:rsidR="00F55803">
        <w:rPr>
          <w:sz w:val="24"/>
          <w:szCs w:val="24"/>
        </w:rPr>
        <w:t>”</w:t>
      </w:r>
      <w:r w:rsidR="00F55803" w:rsidRPr="00F55803">
        <w:rPr>
          <w:sz w:val="24"/>
          <w:szCs w:val="24"/>
        </w:rPr>
        <w:t>.</w:t>
      </w:r>
      <w:r w:rsidR="00A20051">
        <w:rPr>
          <w:rStyle w:val="FootnoteReference"/>
          <w:sz w:val="24"/>
          <w:szCs w:val="24"/>
        </w:rPr>
        <w:footnoteReference w:id="18"/>
      </w:r>
      <w:r w:rsidR="00F55803" w:rsidRPr="00F55803">
        <w:rPr>
          <w:sz w:val="24"/>
          <w:szCs w:val="24"/>
        </w:rPr>
        <w:t xml:space="preserve"> </w:t>
      </w:r>
      <w:r w:rsidR="00E73720">
        <w:rPr>
          <w:sz w:val="24"/>
          <w:szCs w:val="24"/>
        </w:rPr>
        <w:t xml:space="preserve">In </w:t>
      </w:r>
      <w:r w:rsidR="00E73720" w:rsidRPr="00E73720">
        <w:rPr>
          <w:i/>
          <w:sz w:val="24"/>
          <w:szCs w:val="24"/>
        </w:rPr>
        <w:t>R v Broughton</w:t>
      </w:r>
      <w:r w:rsidR="00D75616">
        <w:rPr>
          <w:sz w:val="24"/>
          <w:szCs w:val="24"/>
        </w:rPr>
        <w:t>, the Court of A</w:t>
      </w:r>
      <w:r w:rsidR="00E73720">
        <w:rPr>
          <w:sz w:val="24"/>
          <w:szCs w:val="24"/>
        </w:rPr>
        <w:t xml:space="preserve">ppeal considered </w:t>
      </w:r>
      <w:r w:rsidR="002E76E4">
        <w:rPr>
          <w:sz w:val="24"/>
          <w:szCs w:val="24"/>
        </w:rPr>
        <w:t xml:space="preserve">that </w:t>
      </w:r>
      <w:r w:rsidR="00E73720">
        <w:rPr>
          <w:sz w:val="24"/>
          <w:szCs w:val="24"/>
        </w:rPr>
        <w:t>the test that the judge had applied, namely, “</w:t>
      </w:r>
      <w:r w:rsidR="00E73720" w:rsidRPr="00E73720">
        <w:rPr>
          <w:sz w:val="24"/>
          <w:szCs w:val="24"/>
        </w:rPr>
        <w:t>whether there appeared to be a risk that the evidence might be unreliable so that it would potentially mislead the jury rather than help them</w:t>
      </w:r>
      <w:r w:rsidR="00E73720">
        <w:rPr>
          <w:sz w:val="24"/>
          <w:szCs w:val="24"/>
        </w:rPr>
        <w:t xml:space="preserve">” was “too low” </w:t>
      </w:r>
      <w:r w:rsidR="000966A1">
        <w:rPr>
          <w:sz w:val="24"/>
          <w:szCs w:val="24"/>
        </w:rPr>
        <w:t>but, having applied “</w:t>
      </w:r>
      <w:r w:rsidR="000966A1" w:rsidRPr="0087301F">
        <w:rPr>
          <w:sz w:val="24"/>
          <w:szCs w:val="24"/>
        </w:rPr>
        <w:t xml:space="preserve">a higher test than that applied by the judge”, held that the </w:t>
      </w:r>
      <w:r w:rsidR="007859E0" w:rsidRPr="0087301F">
        <w:rPr>
          <w:sz w:val="24"/>
          <w:szCs w:val="24"/>
        </w:rPr>
        <w:t xml:space="preserve">Low Template </w:t>
      </w:r>
      <w:r w:rsidR="000966A1" w:rsidRPr="0087301F">
        <w:rPr>
          <w:sz w:val="24"/>
          <w:szCs w:val="24"/>
        </w:rPr>
        <w:t>DNA evidence that the case concerned was sufficiently reliable to be admissible in evidence.</w:t>
      </w:r>
      <w:r w:rsidR="000966A1" w:rsidRPr="000828A8">
        <w:rPr>
          <w:rStyle w:val="FootnoteReference"/>
        </w:rPr>
        <w:footnoteReference w:id="19"/>
      </w:r>
      <w:r w:rsidR="000966A1" w:rsidRPr="0087301F">
        <w:rPr>
          <w:sz w:val="24"/>
          <w:szCs w:val="24"/>
        </w:rPr>
        <w:t xml:space="preserve"> I</w:t>
      </w:r>
      <w:r w:rsidR="00A20051">
        <w:rPr>
          <w:sz w:val="24"/>
          <w:szCs w:val="24"/>
        </w:rPr>
        <w:t xml:space="preserve">n </w:t>
      </w:r>
      <w:r w:rsidR="00A20051" w:rsidRPr="0087301F">
        <w:rPr>
          <w:sz w:val="24"/>
          <w:szCs w:val="24"/>
        </w:rPr>
        <w:t>R</w:t>
      </w:r>
      <w:r w:rsidR="00A20051" w:rsidRPr="00A20051">
        <w:rPr>
          <w:i/>
          <w:sz w:val="24"/>
          <w:szCs w:val="24"/>
        </w:rPr>
        <w:t xml:space="preserve"> v T</w:t>
      </w:r>
      <w:r w:rsidR="00A20051">
        <w:rPr>
          <w:sz w:val="24"/>
          <w:szCs w:val="24"/>
        </w:rPr>
        <w:t>, the Court of Appeal</w:t>
      </w:r>
      <w:r w:rsidR="00841D4B">
        <w:rPr>
          <w:sz w:val="24"/>
          <w:szCs w:val="24"/>
        </w:rPr>
        <w:t xml:space="preserve">, applying the principles stated in </w:t>
      </w:r>
      <w:r w:rsidR="00841D4B" w:rsidRPr="00841D4B">
        <w:rPr>
          <w:i/>
          <w:sz w:val="24"/>
          <w:szCs w:val="24"/>
        </w:rPr>
        <w:t>Reed</w:t>
      </w:r>
      <w:r w:rsidR="00841D4B">
        <w:rPr>
          <w:sz w:val="24"/>
          <w:szCs w:val="24"/>
        </w:rPr>
        <w:t xml:space="preserve">, </w:t>
      </w:r>
      <w:r w:rsidR="00A20051">
        <w:rPr>
          <w:sz w:val="24"/>
          <w:szCs w:val="24"/>
        </w:rPr>
        <w:t>held in the context of footwear mark evidence that “t</w:t>
      </w:r>
      <w:r w:rsidR="00A20051" w:rsidRPr="00A20051">
        <w:rPr>
          <w:sz w:val="24"/>
          <w:szCs w:val="24"/>
        </w:rPr>
        <w:t>here [was] not a sufficiently reliable basis for an expert to be able to express an opinion based on the use of a mathematical formula</w:t>
      </w:r>
      <w:r w:rsidR="00A20051">
        <w:rPr>
          <w:sz w:val="24"/>
          <w:szCs w:val="24"/>
        </w:rPr>
        <w:t>”</w:t>
      </w:r>
      <w:r w:rsidR="00841D4B">
        <w:rPr>
          <w:sz w:val="24"/>
          <w:szCs w:val="24"/>
        </w:rPr>
        <w:t>.</w:t>
      </w:r>
      <w:r w:rsidR="00841D4B">
        <w:rPr>
          <w:rStyle w:val="FootnoteReference"/>
          <w:sz w:val="24"/>
          <w:szCs w:val="24"/>
        </w:rPr>
        <w:footnoteReference w:id="20"/>
      </w:r>
      <w:r w:rsidR="00A20051">
        <w:rPr>
          <w:sz w:val="24"/>
          <w:szCs w:val="24"/>
        </w:rPr>
        <w:t xml:space="preserve"> </w:t>
      </w:r>
      <w:r w:rsidR="000828A8">
        <w:rPr>
          <w:sz w:val="24"/>
          <w:szCs w:val="24"/>
        </w:rPr>
        <w:t>And, i</w:t>
      </w:r>
      <w:r w:rsidR="00841D4B">
        <w:rPr>
          <w:sz w:val="24"/>
          <w:szCs w:val="24"/>
        </w:rPr>
        <w:t xml:space="preserve">n </w:t>
      </w:r>
      <w:r w:rsidR="00841D4B" w:rsidRPr="00841D4B">
        <w:rPr>
          <w:i/>
          <w:sz w:val="24"/>
          <w:szCs w:val="24"/>
        </w:rPr>
        <w:t xml:space="preserve">R v </w:t>
      </w:r>
      <w:proofErr w:type="spellStart"/>
      <w:r w:rsidR="00841D4B" w:rsidRPr="00841D4B">
        <w:rPr>
          <w:i/>
          <w:sz w:val="24"/>
          <w:szCs w:val="24"/>
        </w:rPr>
        <w:t>Dlugosz</w:t>
      </w:r>
      <w:proofErr w:type="spellEnd"/>
      <w:r w:rsidR="00841D4B">
        <w:rPr>
          <w:sz w:val="24"/>
          <w:szCs w:val="24"/>
        </w:rPr>
        <w:t xml:space="preserve">, the Court of Appeal, applying </w:t>
      </w:r>
      <w:r w:rsidR="00841D4B" w:rsidRPr="00841D4B">
        <w:rPr>
          <w:i/>
          <w:sz w:val="24"/>
          <w:szCs w:val="24"/>
        </w:rPr>
        <w:t>Reed</w:t>
      </w:r>
      <w:r w:rsidR="008E112B">
        <w:rPr>
          <w:i/>
          <w:sz w:val="24"/>
          <w:szCs w:val="24"/>
        </w:rPr>
        <w:t xml:space="preserve"> and T</w:t>
      </w:r>
      <w:r w:rsidR="00841D4B">
        <w:rPr>
          <w:i/>
          <w:sz w:val="24"/>
          <w:szCs w:val="24"/>
        </w:rPr>
        <w:t xml:space="preserve">, </w:t>
      </w:r>
      <w:r w:rsidR="009E3CFA" w:rsidRPr="009E3CFA">
        <w:rPr>
          <w:sz w:val="24"/>
          <w:szCs w:val="24"/>
        </w:rPr>
        <w:t xml:space="preserve">held that </w:t>
      </w:r>
      <w:r w:rsidR="00841D4B">
        <w:rPr>
          <w:sz w:val="24"/>
          <w:szCs w:val="24"/>
        </w:rPr>
        <w:t>in the context of DNA evidence, “</w:t>
      </w:r>
      <w:r w:rsidR="00841D4B" w:rsidRPr="00841D4B">
        <w:rPr>
          <w:sz w:val="24"/>
          <w:szCs w:val="24"/>
        </w:rPr>
        <w:t>the fact that there is no reliable statistical basis does not mean that a court cannot admit an evaluative opinion, provided there is some other sufficiently reliable basis for its admission</w:t>
      </w:r>
      <w:r w:rsidR="00841D4B">
        <w:rPr>
          <w:sz w:val="24"/>
          <w:szCs w:val="24"/>
        </w:rPr>
        <w:t>”</w:t>
      </w:r>
      <w:r w:rsidR="000828A8">
        <w:rPr>
          <w:sz w:val="24"/>
          <w:szCs w:val="24"/>
        </w:rPr>
        <w:t>,</w:t>
      </w:r>
      <w:r w:rsidR="00841D4B">
        <w:rPr>
          <w:sz w:val="24"/>
          <w:szCs w:val="24"/>
        </w:rPr>
        <w:t xml:space="preserve">  </w:t>
      </w:r>
      <w:r w:rsidR="009E3CFA">
        <w:rPr>
          <w:sz w:val="24"/>
          <w:szCs w:val="24"/>
        </w:rPr>
        <w:t>but also made clear that, [</w:t>
      </w:r>
      <w:proofErr w:type="spellStart"/>
      <w:r w:rsidR="009E3CFA">
        <w:rPr>
          <w:sz w:val="24"/>
          <w:szCs w:val="24"/>
        </w:rPr>
        <w:t>i</w:t>
      </w:r>
      <w:proofErr w:type="spellEnd"/>
      <w:r w:rsidR="009E3CFA">
        <w:rPr>
          <w:sz w:val="24"/>
          <w:szCs w:val="24"/>
        </w:rPr>
        <w:t>]</w:t>
      </w:r>
      <w:r w:rsidR="009E3CFA" w:rsidRPr="009E3CFA">
        <w:rPr>
          <w:sz w:val="24"/>
          <w:szCs w:val="24"/>
        </w:rPr>
        <w:t xml:space="preserve">f the admissibility is challenged, the judge </w:t>
      </w:r>
      <w:r w:rsidR="009E3CFA" w:rsidRPr="009E3CFA">
        <w:rPr>
          <w:sz w:val="24"/>
          <w:szCs w:val="24"/>
        </w:rPr>
        <w:lastRenderedPageBreak/>
        <w:t>must</w:t>
      </w:r>
      <w:r w:rsidR="009E3CFA">
        <w:rPr>
          <w:sz w:val="24"/>
          <w:szCs w:val="24"/>
        </w:rPr>
        <w:t>…s</w:t>
      </w:r>
      <w:r w:rsidR="009E3CFA" w:rsidRPr="009E3CFA">
        <w:rPr>
          <w:sz w:val="24"/>
          <w:szCs w:val="24"/>
        </w:rPr>
        <w:t>crutinise the experience of the expert and the features of the profile so as to be satisfied as to the reliability of the basis on which the evaluative opinion is being given</w:t>
      </w:r>
      <w:r w:rsidR="009E3CFA">
        <w:rPr>
          <w:sz w:val="24"/>
          <w:szCs w:val="24"/>
        </w:rPr>
        <w:t>”</w:t>
      </w:r>
      <w:r w:rsidR="009E3CFA" w:rsidRPr="009E3CFA">
        <w:rPr>
          <w:sz w:val="24"/>
          <w:szCs w:val="24"/>
        </w:rPr>
        <w:t>.</w:t>
      </w:r>
      <w:r w:rsidR="009E3CFA">
        <w:rPr>
          <w:rStyle w:val="FootnoteReference"/>
          <w:sz w:val="24"/>
          <w:szCs w:val="24"/>
        </w:rPr>
        <w:footnoteReference w:id="21"/>
      </w:r>
    </w:p>
    <w:p w:rsidR="00506198" w:rsidRDefault="00F713B0" w:rsidP="001715C4">
      <w:pPr>
        <w:rPr>
          <w:sz w:val="24"/>
          <w:szCs w:val="24"/>
        </w:rPr>
      </w:pPr>
      <w:r>
        <w:rPr>
          <w:sz w:val="24"/>
          <w:szCs w:val="24"/>
        </w:rPr>
        <w:t xml:space="preserve">Accepting that </w:t>
      </w:r>
      <w:r w:rsidR="00066B75">
        <w:rPr>
          <w:sz w:val="24"/>
          <w:szCs w:val="24"/>
        </w:rPr>
        <w:t xml:space="preserve">a distinct reliability test to which the guidance in </w:t>
      </w:r>
      <w:proofErr w:type="spellStart"/>
      <w:r w:rsidR="00066B75">
        <w:rPr>
          <w:sz w:val="24"/>
          <w:szCs w:val="24"/>
        </w:rPr>
        <w:t>CrimPD</w:t>
      </w:r>
      <w:proofErr w:type="spellEnd"/>
      <w:r w:rsidR="00066B75">
        <w:rPr>
          <w:sz w:val="24"/>
          <w:szCs w:val="24"/>
        </w:rPr>
        <w:t xml:space="preserve"> 19A </w:t>
      </w:r>
      <w:r w:rsidR="006E4F0C">
        <w:rPr>
          <w:sz w:val="24"/>
          <w:szCs w:val="24"/>
        </w:rPr>
        <w:t xml:space="preserve">relates </w:t>
      </w:r>
      <w:r w:rsidR="00066B75">
        <w:rPr>
          <w:sz w:val="24"/>
          <w:szCs w:val="24"/>
        </w:rPr>
        <w:t>now effectively exists at common law, i</w:t>
      </w:r>
      <w:r w:rsidR="00663BC7">
        <w:rPr>
          <w:sz w:val="24"/>
          <w:szCs w:val="24"/>
        </w:rPr>
        <w:t xml:space="preserve">t </w:t>
      </w:r>
      <w:r>
        <w:rPr>
          <w:sz w:val="24"/>
          <w:szCs w:val="24"/>
        </w:rPr>
        <w:t>is then important to note that</w:t>
      </w:r>
      <w:r w:rsidR="00663BC7">
        <w:rPr>
          <w:sz w:val="24"/>
          <w:szCs w:val="24"/>
        </w:rPr>
        <w:t xml:space="preserve"> the Law Commission </w:t>
      </w:r>
      <w:r w:rsidR="00066B75">
        <w:rPr>
          <w:sz w:val="24"/>
          <w:szCs w:val="24"/>
        </w:rPr>
        <w:t>had</w:t>
      </w:r>
      <w:r w:rsidR="00663BC7">
        <w:rPr>
          <w:sz w:val="24"/>
          <w:szCs w:val="24"/>
        </w:rPr>
        <w:t xml:space="preserve"> not intend</w:t>
      </w:r>
      <w:r w:rsidR="00066B75">
        <w:rPr>
          <w:sz w:val="24"/>
          <w:szCs w:val="24"/>
        </w:rPr>
        <w:t>ed</w:t>
      </w:r>
      <w:r w:rsidR="00663BC7">
        <w:rPr>
          <w:sz w:val="24"/>
          <w:szCs w:val="24"/>
        </w:rPr>
        <w:t xml:space="preserve"> its proposals to result in reliability investigations every time expert </w:t>
      </w:r>
      <w:r w:rsidR="00461A20">
        <w:rPr>
          <w:sz w:val="24"/>
          <w:szCs w:val="24"/>
        </w:rPr>
        <w:t xml:space="preserve">opinion </w:t>
      </w:r>
      <w:r w:rsidR="00663BC7">
        <w:rPr>
          <w:sz w:val="24"/>
          <w:szCs w:val="24"/>
        </w:rPr>
        <w:t xml:space="preserve">evidence was tendered by a party to criminal proceedings. Rather, its intention was that </w:t>
      </w:r>
      <w:r w:rsidR="00C63FF4">
        <w:rPr>
          <w:sz w:val="24"/>
          <w:szCs w:val="24"/>
        </w:rPr>
        <w:t xml:space="preserve">the reliability limb of its admissibility test would only come into </w:t>
      </w:r>
      <w:r w:rsidR="00066B75">
        <w:rPr>
          <w:sz w:val="24"/>
          <w:szCs w:val="24"/>
        </w:rPr>
        <w:t xml:space="preserve">play </w:t>
      </w:r>
      <w:proofErr w:type="gramStart"/>
      <w:r w:rsidR="00C63FF4">
        <w:rPr>
          <w:sz w:val="24"/>
          <w:szCs w:val="24"/>
        </w:rPr>
        <w:t xml:space="preserve">either </w:t>
      </w:r>
      <w:r w:rsidR="00066B75">
        <w:rPr>
          <w:sz w:val="24"/>
          <w:szCs w:val="24"/>
        </w:rPr>
        <w:t xml:space="preserve">if a </w:t>
      </w:r>
      <w:r w:rsidR="00C63FF4">
        <w:rPr>
          <w:sz w:val="24"/>
          <w:szCs w:val="24"/>
        </w:rPr>
        <w:t>party raised the issue of reliability</w:t>
      </w:r>
      <w:r w:rsidR="00066B75">
        <w:rPr>
          <w:sz w:val="24"/>
          <w:szCs w:val="24"/>
        </w:rPr>
        <w:t xml:space="preserve"> </w:t>
      </w:r>
      <w:r w:rsidR="00C63FF4">
        <w:rPr>
          <w:sz w:val="24"/>
          <w:szCs w:val="24"/>
        </w:rPr>
        <w:t>and</w:t>
      </w:r>
      <w:proofErr w:type="gramEnd"/>
      <w:r w:rsidR="00C63FF4">
        <w:rPr>
          <w:sz w:val="24"/>
          <w:szCs w:val="24"/>
        </w:rPr>
        <w:t xml:space="preserve"> it appeared to the court that the evidence might not be sufficiently reliable to be admissible or if, exceptionally, the court of its own motion raised the issue as a condition of admissibility.</w:t>
      </w:r>
      <w:r w:rsidR="00C63FF4" w:rsidRPr="00FC216E">
        <w:rPr>
          <w:rStyle w:val="FootnoteReference"/>
          <w:sz w:val="24"/>
          <w:szCs w:val="24"/>
        </w:rPr>
        <w:footnoteReference w:id="22"/>
      </w:r>
      <w:r w:rsidR="000A67CD">
        <w:rPr>
          <w:sz w:val="24"/>
          <w:szCs w:val="24"/>
        </w:rPr>
        <w:t xml:space="preserve"> </w:t>
      </w:r>
      <w:r>
        <w:rPr>
          <w:sz w:val="24"/>
          <w:szCs w:val="24"/>
        </w:rPr>
        <w:t>Whilst</w:t>
      </w:r>
      <w:r w:rsidR="00066B75">
        <w:rPr>
          <w:sz w:val="24"/>
          <w:szCs w:val="24"/>
        </w:rPr>
        <w:t xml:space="preserve"> the Law Commission’s recommendations were not enacted, </w:t>
      </w:r>
      <w:r w:rsidR="000521DC">
        <w:rPr>
          <w:sz w:val="24"/>
          <w:szCs w:val="24"/>
        </w:rPr>
        <w:t xml:space="preserve">it is suggested that the Law Commission’s </w:t>
      </w:r>
      <w:r w:rsidR="006E4F0C">
        <w:rPr>
          <w:sz w:val="24"/>
          <w:szCs w:val="24"/>
        </w:rPr>
        <w:t xml:space="preserve">intended </w:t>
      </w:r>
      <w:r w:rsidR="000521DC">
        <w:rPr>
          <w:sz w:val="24"/>
          <w:szCs w:val="24"/>
        </w:rPr>
        <w:t xml:space="preserve">approach </w:t>
      </w:r>
      <w:r w:rsidR="00A90140">
        <w:rPr>
          <w:sz w:val="24"/>
          <w:szCs w:val="24"/>
        </w:rPr>
        <w:t>is</w:t>
      </w:r>
      <w:r w:rsidR="00066B75">
        <w:rPr>
          <w:sz w:val="24"/>
          <w:szCs w:val="24"/>
        </w:rPr>
        <w:t>,</w:t>
      </w:r>
      <w:r w:rsidR="00A90140">
        <w:rPr>
          <w:sz w:val="24"/>
          <w:szCs w:val="24"/>
        </w:rPr>
        <w:t xml:space="preserve"> essentially</w:t>
      </w:r>
      <w:r w:rsidR="00066B75">
        <w:rPr>
          <w:sz w:val="24"/>
          <w:szCs w:val="24"/>
        </w:rPr>
        <w:t xml:space="preserve">, </w:t>
      </w:r>
      <w:r w:rsidR="00A90140">
        <w:rPr>
          <w:sz w:val="24"/>
          <w:szCs w:val="24"/>
        </w:rPr>
        <w:t xml:space="preserve">in line with </w:t>
      </w:r>
      <w:r w:rsidR="00066B75">
        <w:rPr>
          <w:sz w:val="24"/>
          <w:szCs w:val="24"/>
        </w:rPr>
        <w:t xml:space="preserve">the </w:t>
      </w:r>
      <w:r w:rsidR="00A90140">
        <w:rPr>
          <w:sz w:val="24"/>
          <w:szCs w:val="24"/>
        </w:rPr>
        <w:t xml:space="preserve">existing </w:t>
      </w:r>
      <w:r w:rsidR="00066B75">
        <w:rPr>
          <w:sz w:val="24"/>
          <w:szCs w:val="24"/>
        </w:rPr>
        <w:t xml:space="preserve">jurisprudence </w:t>
      </w:r>
      <w:r w:rsidR="00A90140">
        <w:rPr>
          <w:sz w:val="24"/>
          <w:szCs w:val="24"/>
        </w:rPr>
        <w:t>concerning the approach that the court should take prior to requiring a party to criminal proceedings to prove the admissibility of expert evidence</w:t>
      </w:r>
      <w:r w:rsidR="00066B75">
        <w:rPr>
          <w:sz w:val="24"/>
          <w:szCs w:val="24"/>
        </w:rPr>
        <w:t>.</w:t>
      </w:r>
      <w:r w:rsidR="00A90140">
        <w:rPr>
          <w:sz w:val="24"/>
          <w:szCs w:val="24"/>
        </w:rPr>
        <w:t xml:space="preserve"> </w:t>
      </w:r>
      <w:r w:rsidR="00066B75">
        <w:rPr>
          <w:sz w:val="24"/>
          <w:szCs w:val="24"/>
        </w:rPr>
        <w:t>Thus, the C</w:t>
      </w:r>
      <w:r w:rsidR="00A90140">
        <w:rPr>
          <w:sz w:val="24"/>
          <w:szCs w:val="24"/>
        </w:rPr>
        <w:t>ourt of Appeal ha</w:t>
      </w:r>
      <w:r w:rsidR="00066B75">
        <w:rPr>
          <w:sz w:val="24"/>
          <w:szCs w:val="24"/>
        </w:rPr>
        <w:t>s</w:t>
      </w:r>
      <w:r w:rsidR="00A90140">
        <w:rPr>
          <w:sz w:val="24"/>
          <w:szCs w:val="24"/>
        </w:rPr>
        <w:t xml:space="preserve"> indicated that “</w:t>
      </w:r>
      <w:r w:rsidR="00A90140" w:rsidRPr="00A90140">
        <w:rPr>
          <w:sz w:val="24"/>
          <w:szCs w:val="24"/>
        </w:rPr>
        <w:t xml:space="preserve">unless the admissibility is challenged, the judge will admit </w:t>
      </w:r>
      <w:r w:rsidR="00A90140">
        <w:rPr>
          <w:sz w:val="24"/>
          <w:szCs w:val="24"/>
        </w:rPr>
        <w:t>[the]</w:t>
      </w:r>
      <w:r w:rsidR="00A90140" w:rsidRPr="00A90140">
        <w:rPr>
          <w:sz w:val="24"/>
          <w:szCs w:val="24"/>
        </w:rPr>
        <w:t xml:space="preserve"> evidence</w:t>
      </w:r>
      <w:r w:rsidR="00A90140">
        <w:rPr>
          <w:sz w:val="24"/>
          <w:szCs w:val="24"/>
        </w:rPr>
        <w:t>…</w:t>
      </w:r>
      <w:r w:rsidR="00A90140" w:rsidRPr="00A90140">
        <w:rPr>
          <w:sz w:val="24"/>
          <w:szCs w:val="24"/>
        </w:rPr>
        <w:t>However, if objection to the admissibility is made, then it is for the party proffering the evidence to prove its admissibility</w:t>
      </w:r>
      <w:r w:rsidR="00A90140">
        <w:rPr>
          <w:sz w:val="24"/>
          <w:szCs w:val="24"/>
        </w:rPr>
        <w:t>”.</w:t>
      </w:r>
      <w:r w:rsidR="00A90140">
        <w:rPr>
          <w:rStyle w:val="FootnoteReference"/>
          <w:sz w:val="24"/>
          <w:szCs w:val="24"/>
        </w:rPr>
        <w:footnoteReference w:id="23"/>
      </w:r>
      <w:r w:rsidR="00CD2CD3">
        <w:rPr>
          <w:sz w:val="24"/>
          <w:szCs w:val="24"/>
        </w:rPr>
        <w:t xml:space="preserve"> Prior to such a challenge being made, experts</w:t>
      </w:r>
      <w:r>
        <w:rPr>
          <w:sz w:val="24"/>
          <w:szCs w:val="24"/>
        </w:rPr>
        <w:t>’</w:t>
      </w:r>
      <w:r w:rsidR="00CD2CD3">
        <w:rPr>
          <w:sz w:val="24"/>
          <w:szCs w:val="24"/>
        </w:rPr>
        <w:t xml:space="preserve"> reports complying with the requirements imposed by </w:t>
      </w:r>
      <w:proofErr w:type="spellStart"/>
      <w:r w:rsidR="00CD2CD3">
        <w:rPr>
          <w:sz w:val="24"/>
          <w:szCs w:val="24"/>
        </w:rPr>
        <w:t>CrimPR</w:t>
      </w:r>
      <w:proofErr w:type="spellEnd"/>
      <w:r w:rsidR="00CD2CD3">
        <w:rPr>
          <w:sz w:val="24"/>
          <w:szCs w:val="24"/>
        </w:rPr>
        <w:t xml:space="preserve"> 19</w:t>
      </w:r>
      <w:r w:rsidR="00506198">
        <w:rPr>
          <w:sz w:val="24"/>
          <w:szCs w:val="24"/>
        </w:rPr>
        <w:t>.4</w:t>
      </w:r>
      <w:r w:rsidR="00CD2CD3">
        <w:rPr>
          <w:sz w:val="24"/>
          <w:szCs w:val="24"/>
        </w:rPr>
        <w:t xml:space="preserve"> should have been served by the parties, the parties should have analysed them, brought any disagreement to the attention of the court (at the </w:t>
      </w:r>
      <w:r w:rsidR="00CD2CD3" w:rsidRPr="00506198">
        <w:rPr>
          <w:sz w:val="24"/>
          <w:szCs w:val="24"/>
        </w:rPr>
        <w:t xml:space="preserve">Plea and Case Management Hearing </w:t>
      </w:r>
      <w:r w:rsidR="00506198" w:rsidRPr="00506198">
        <w:rPr>
          <w:sz w:val="24"/>
          <w:szCs w:val="24"/>
        </w:rPr>
        <w:t xml:space="preserve">if the reports have been served by the time when it takes place) </w:t>
      </w:r>
      <w:r w:rsidR="00CD2CD3">
        <w:rPr>
          <w:sz w:val="24"/>
          <w:szCs w:val="24"/>
        </w:rPr>
        <w:t>and the court</w:t>
      </w:r>
      <w:r w:rsidR="00506198">
        <w:rPr>
          <w:sz w:val="24"/>
          <w:szCs w:val="24"/>
        </w:rPr>
        <w:t xml:space="preserve">, in the exercise of its powers under </w:t>
      </w:r>
      <w:proofErr w:type="spellStart"/>
      <w:r w:rsidR="00506198">
        <w:rPr>
          <w:sz w:val="24"/>
          <w:szCs w:val="24"/>
        </w:rPr>
        <w:t>CrimPR</w:t>
      </w:r>
      <w:proofErr w:type="spellEnd"/>
      <w:r w:rsidR="00506198">
        <w:rPr>
          <w:sz w:val="24"/>
          <w:szCs w:val="24"/>
        </w:rPr>
        <w:t xml:space="preserve"> 19.6,</w:t>
      </w:r>
      <w:r w:rsidR="00CD2CD3">
        <w:rPr>
          <w:sz w:val="24"/>
          <w:szCs w:val="24"/>
        </w:rPr>
        <w:t xml:space="preserve"> should have </w:t>
      </w:r>
      <w:r w:rsidR="00506198">
        <w:rPr>
          <w:sz w:val="24"/>
          <w:szCs w:val="24"/>
        </w:rPr>
        <w:t xml:space="preserve">directed the experts to </w:t>
      </w:r>
      <w:r w:rsidR="00CD2CD3">
        <w:rPr>
          <w:sz w:val="24"/>
          <w:szCs w:val="24"/>
        </w:rPr>
        <w:t xml:space="preserve">discuss </w:t>
      </w:r>
      <w:r w:rsidR="00506198">
        <w:rPr>
          <w:sz w:val="24"/>
          <w:szCs w:val="24"/>
        </w:rPr>
        <w:t>the expert issues and prepare a reasoned statement indicating the areas of agreement and disagreement.</w:t>
      </w:r>
      <w:r w:rsidR="00506198">
        <w:rPr>
          <w:rStyle w:val="FootnoteReference"/>
          <w:sz w:val="24"/>
          <w:szCs w:val="24"/>
        </w:rPr>
        <w:footnoteReference w:id="24"/>
      </w:r>
    </w:p>
    <w:p w:rsidR="00DC5073" w:rsidRDefault="00DC5073" w:rsidP="001715C4">
      <w:pPr>
        <w:rPr>
          <w:sz w:val="24"/>
          <w:szCs w:val="24"/>
        </w:rPr>
      </w:pPr>
    </w:p>
    <w:p w:rsidR="00DC1A15" w:rsidRPr="00DC1A15" w:rsidRDefault="00D00908" w:rsidP="001715C4">
      <w:pPr>
        <w:rPr>
          <w:i/>
          <w:sz w:val="24"/>
          <w:szCs w:val="24"/>
          <w:u w:val="single"/>
        </w:rPr>
      </w:pPr>
      <w:r w:rsidRPr="00DC1A15">
        <w:rPr>
          <w:i/>
          <w:sz w:val="24"/>
          <w:szCs w:val="24"/>
          <w:u w:val="single"/>
        </w:rPr>
        <w:t>Relevance</w:t>
      </w:r>
      <w:r w:rsidR="00A12C2C">
        <w:rPr>
          <w:i/>
          <w:sz w:val="24"/>
          <w:szCs w:val="24"/>
          <w:u w:val="single"/>
        </w:rPr>
        <w:t xml:space="preserve"> </w:t>
      </w:r>
    </w:p>
    <w:p w:rsidR="003B6E89" w:rsidRDefault="00CC15A0" w:rsidP="001715C4">
      <w:pPr>
        <w:rPr>
          <w:sz w:val="24"/>
          <w:szCs w:val="24"/>
        </w:rPr>
      </w:pPr>
      <w:r>
        <w:rPr>
          <w:sz w:val="24"/>
          <w:szCs w:val="24"/>
        </w:rPr>
        <w:t>As with evidence in general, in order to be admissible expert evidence must be</w:t>
      </w:r>
      <w:r w:rsidR="00DA0DAD">
        <w:rPr>
          <w:sz w:val="24"/>
          <w:szCs w:val="24"/>
        </w:rPr>
        <w:t xml:space="preserve"> relevant to an issue in the proceedings, which means that it must be</w:t>
      </w:r>
      <w:r>
        <w:rPr>
          <w:sz w:val="24"/>
          <w:szCs w:val="24"/>
        </w:rPr>
        <w:t xml:space="preserve"> </w:t>
      </w:r>
      <w:r w:rsidR="00DC1A15">
        <w:rPr>
          <w:sz w:val="24"/>
          <w:szCs w:val="24"/>
        </w:rPr>
        <w:t>“</w:t>
      </w:r>
      <w:r w:rsidR="00DC1A15" w:rsidRPr="0082715D">
        <w:rPr>
          <w:sz w:val="24"/>
          <w:szCs w:val="24"/>
        </w:rPr>
        <w:t xml:space="preserve">logically probative or </w:t>
      </w:r>
      <w:proofErr w:type="spellStart"/>
      <w:r w:rsidR="00DC1A15" w:rsidRPr="0082715D">
        <w:rPr>
          <w:sz w:val="24"/>
          <w:szCs w:val="24"/>
        </w:rPr>
        <w:t>disprobative</w:t>
      </w:r>
      <w:proofErr w:type="spellEnd"/>
      <w:r w:rsidR="00DC1A15" w:rsidRPr="0082715D">
        <w:rPr>
          <w:sz w:val="24"/>
          <w:szCs w:val="24"/>
        </w:rPr>
        <w:t xml:space="preserve"> of some matter that requires proof”.</w:t>
      </w:r>
      <w:r w:rsidR="00DC1A15" w:rsidRPr="00273317">
        <w:rPr>
          <w:rStyle w:val="FootnoteReference"/>
          <w:sz w:val="24"/>
          <w:szCs w:val="24"/>
        </w:rPr>
        <w:footnoteReference w:id="25"/>
      </w:r>
      <w:r w:rsidR="002440B4" w:rsidRPr="00273317">
        <w:rPr>
          <w:rStyle w:val="FootnoteReference"/>
        </w:rPr>
        <w:t xml:space="preserve"> </w:t>
      </w:r>
      <w:r w:rsidR="00A5479D" w:rsidRPr="0082715D">
        <w:rPr>
          <w:sz w:val="24"/>
          <w:szCs w:val="24"/>
        </w:rPr>
        <w:t xml:space="preserve">Effective pre-trial case management is crucial in enabling the court to identify the issues in relation to which expert evidence is relevant and </w:t>
      </w:r>
      <w:r w:rsidR="00D01B09">
        <w:rPr>
          <w:sz w:val="24"/>
          <w:szCs w:val="24"/>
        </w:rPr>
        <w:t xml:space="preserve">should </w:t>
      </w:r>
      <w:r w:rsidR="008D5C9F">
        <w:rPr>
          <w:sz w:val="24"/>
          <w:szCs w:val="24"/>
        </w:rPr>
        <w:t>assist the court to apply the various limbs of the common law admissibility test to such evidence.</w:t>
      </w:r>
      <w:r w:rsidR="008D5C9F" w:rsidRPr="0082715D">
        <w:rPr>
          <w:rStyle w:val="FootnoteReference"/>
        </w:rPr>
        <w:footnoteReference w:id="26"/>
      </w:r>
      <w:r w:rsidR="008D5C9F">
        <w:rPr>
          <w:sz w:val="24"/>
          <w:szCs w:val="24"/>
        </w:rPr>
        <w:t xml:space="preserve"> </w:t>
      </w:r>
      <w:r w:rsidR="0082715D" w:rsidRPr="0082715D">
        <w:rPr>
          <w:sz w:val="24"/>
          <w:szCs w:val="24"/>
        </w:rPr>
        <w:t>Where expert evidence is admi</w:t>
      </w:r>
      <w:r w:rsidR="008D5C9F">
        <w:rPr>
          <w:sz w:val="24"/>
          <w:szCs w:val="24"/>
        </w:rPr>
        <w:t>tted</w:t>
      </w:r>
      <w:r w:rsidR="0082715D" w:rsidRPr="0082715D">
        <w:rPr>
          <w:sz w:val="24"/>
          <w:szCs w:val="24"/>
        </w:rPr>
        <w:t xml:space="preserve">, </w:t>
      </w:r>
      <w:r w:rsidR="00DA0DAD">
        <w:rPr>
          <w:sz w:val="24"/>
          <w:szCs w:val="24"/>
        </w:rPr>
        <w:t xml:space="preserve">effective </w:t>
      </w:r>
      <w:r w:rsidR="0082715D" w:rsidRPr="0082715D">
        <w:rPr>
          <w:sz w:val="24"/>
          <w:szCs w:val="24"/>
        </w:rPr>
        <w:t xml:space="preserve">case management should ensure that experts are not permitted to wander into “unnecessary, complicated and </w:t>
      </w:r>
      <w:r w:rsidR="0082715D" w:rsidRPr="0082715D">
        <w:rPr>
          <w:sz w:val="24"/>
          <w:szCs w:val="24"/>
        </w:rPr>
        <w:lastRenderedPageBreak/>
        <w:t>confusing detail”</w:t>
      </w:r>
      <w:r w:rsidR="00982E03">
        <w:rPr>
          <w:sz w:val="24"/>
          <w:szCs w:val="24"/>
        </w:rPr>
        <w:t xml:space="preserve">, </w:t>
      </w:r>
      <w:r w:rsidR="0041083D">
        <w:rPr>
          <w:sz w:val="24"/>
          <w:szCs w:val="24"/>
        </w:rPr>
        <w:t xml:space="preserve">that </w:t>
      </w:r>
      <w:r w:rsidR="00982E03">
        <w:rPr>
          <w:sz w:val="24"/>
          <w:szCs w:val="24"/>
        </w:rPr>
        <w:t>evidence in chief, cross-examination</w:t>
      </w:r>
      <w:r w:rsidR="00900F47">
        <w:rPr>
          <w:sz w:val="24"/>
          <w:szCs w:val="24"/>
        </w:rPr>
        <w:t>,</w:t>
      </w:r>
      <w:r w:rsidR="00982E03">
        <w:rPr>
          <w:sz w:val="24"/>
          <w:szCs w:val="24"/>
        </w:rPr>
        <w:t xml:space="preserve"> re-examination</w:t>
      </w:r>
      <w:r w:rsidR="00900F47">
        <w:rPr>
          <w:sz w:val="24"/>
          <w:szCs w:val="24"/>
        </w:rPr>
        <w:t>,</w:t>
      </w:r>
      <w:r w:rsidR="00982E03">
        <w:rPr>
          <w:sz w:val="24"/>
          <w:szCs w:val="24"/>
        </w:rPr>
        <w:t xml:space="preserve"> </w:t>
      </w:r>
      <w:r w:rsidR="00900F47">
        <w:rPr>
          <w:sz w:val="24"/>
          <w:szCs w:val="24"/>
        </w:rPr>
        <w:t xml:space="preserve">submissions and speeches </w:t>
      </w:r>
      <w:r w:rsidR="00045C63">
        <w:rPr>
          <w:sz w:val="24"/>
          <w:szCs w:val="24"/>
        </w:rPr>
        <w:t xml:space="preserve">to the jury </w:t>
      </w:r>
      <w:r w:rsidR="00982E03">
        <w:rPr>
          <w:sz w:val="24"/>
          <w:szCs w:val="24"/>
        </w:rPr>
        <w:t xml:space="preserve">focus </w:t>
      </w:r>
      <w:r w:rsidR="00045C63">
        <w:rPr>
          <w:sz w:val="24"/>
          <w:szCs w:val="24"/>
        </w:rPr>
        <w:t>up</w:t>
      </w:r>
      <w:r w:rsidR="0041083D">
        <w:rPr>
          <w:sz w:val="24"/>
          <w:szCs w:val="24"/>
        </w:rPr>
        <w:t xml:space="preserve">on the relevant issues and </w:t>
      </w:r>
      <w:r w:rsidR="00D01B09">
        <w:rPr>
          <w:sz w:val="24"/>
          <w:szCs w:val="24"/>
        </w:rPr>
        <w:t xml:space="preserve">that the judge’s summing up identifies </w:t>
      </w:r>
      <w:r w:rsidR="00C27D6C">
        <w:rPr>
          <w:sz w:val="24"/>
          <w:szCs w:val="24"/>
        </w:rPr>
        <w:t xml:space="preserve">for the jury </w:t>
      </w:r>
      <w:r w:rsidR="00D01B09">
        <w:rPr>
          <w:sz w:val="24"/>
          <w:szCs w:val="24"/>
        </w:rPr>
        <w:t xml:space="preserve">the </w:t>
      </w:r>
      <w:r w:rsidR="00B62167">
        <w:rPr>
          <w:sz w:val="24"/>
          <w:szCs w:val="24"/>
        </w:rPr>
        <w:t xml:space="preserve">expert </w:t>
      </w:r>
      <w:r w:rsidR="00D01B09">
        <w:rPr>
          <w:sz w:val="24"/>
          <w:szCs w:val="24"/>
        </w:rPr>
        <w:t xml:space="preserve">evidence which is probative or </w:t>
      </w:r>
      <w:proofErr w:type="spellStart"/>
      <w:r w:rsidR="00D01B09">
        <w:rPr>
          <w:sz w:val="24"/>
          <w:szCs w:val="24"/>
        </w:rPr>
        <w:t>disprobative</w:t>
      </w:r>
      <w:proofErr w:type="spellEnd"/>
      <w:r w:rsidR="00D01B09">
        <w:rPr>
          <w:sz w:val="24"/>
          <w:szCs w:val="24"/>
        </w:rPr>
        <w:t xml:space="preserve"> of </w:t>
      </w:r>
      <w:r w:rsidR="00045C63">
        <w:rPr>
          <w:sz w:val="24"/>
          <w:szCs w:val="24"/>
        </w:rPr>
        <w:t xml:space="preserve">those </w:t>
      </w:r>
      <w:r w:rsidR="00D01B09">
        <w:rPr>
          <w:sz w:val="24"/>
          <w:szCs w:val="24"/>
        </w:rPr>
        <w:t>issues.</w:t>
      </w:r>
      <w:r w:rsidR="00D01B09" w:rsidRPr="0082715D">
        <w:rPr>
          <w:rStyle w:val="FootnoteReference"/>
        </w:rPr>
        <w:footnoteReference w:id="27"/>
      </w:r>
      <w:r w:rsidR="00E870D8">
        <w:rPr>
          <w:sz w:val="24"/>
          <w:szCs w:val="24"/>
        </w:rPr>
        <w:t xml:space="preserve"> A key provision of the </w:t>
      </w:r>
      <w:proofErr w:type="spellStart"/>
      <w:r w:rsidR="00E870D8">
        <w:rPr>
          <w:sz w:val="24"/>
          <w:szCs w:val="24"/>
        </w:rPr>
        <w:t>CrimPR</w:t>
      </w:r>
      <w:proofErr w:type="spellEnd"/>
      <w:r w:rsidR="00E870D8">
        <w:rPr>
          <w:sz w:val="24"/>
          <w:szCs w:val="24"/>
        </w:rPr>
        <w:t xml:space="preserve"> in this regard is the power in </w:t>
      </w:r>
      <w:proofErr w:type="spellStart"/>
      <w:r w:rsidR="00E870D8">
        <w:rPr>
          <w:sz w:val="24"/>
          <w:szCs w:val="24"/>
        </w:rPr>
        <w:t>CrimPR</w:t>
      </w:r>
      <w:proofErr w:type="spellEnd"/>
      <w:r w:rsidR="00E870D8">
        <w:rPr>
          <w:sz w:val="24"/>
          <w:szCs w:val="24"/>
        </w:rPr>
        <w:t xml:space="preserve"> 19.6 to direct pre-hearing </w:t>
      </w:r>
      <w:r w:rsidR="00AC3A59">
        <w:rPr>
          <w:sz w:val="24"/>
          <w:szCs w:val="24"/>
        </w:rPr>
        <w:t>discussions</w:t>
      </w:r>
      <w:r w:rsidR="00E870D8">
        <w:rPr>
          <w:sz w:val="24"/>
          <w:szCs w:val="24"/>
        </w:rPr>
        <w:t xml:space="preserve"> of expert evidence</w:t>
      </w:r>
      <w:r w:rsidR="00786250">
        <w:rPr>
          <w:sz w:val="24"/>
          <w:szCs w:val="24"/>
        </w:rPr>
        <w:t>, which was referred to above</w:t>
      </w:r>
      <w:r w:rsidR="00E870D8">
        <w:rPr>
          <w:sz w:val="24"/>
          <w:szCs w:val="24"/>
        </w:rPr>
        <w:t xml:space="preserve">. </w:t>
      </w:r>
    </w:p>
    <w:p w:rsidR="00E262F3" w:rsidRPr="00D93F37" w:rsidRDefault="00E262F3" w:rsidP="001715C4">
      <w:pPr>
        <w:rPr>
          <w:sz w:val="24"/>
          <w:szCs w:val="24"/>
        </w:rPr>
      </w:pPr>
    </w:p>
    <w:p w:rsidR="00D00908" w:rsidRPr="00D00908" w:rsidRDefault="003144E4" w:rsidP="001715C4">
      <w:pPr>
        <w:rPr>
          <w:sz w:val="24"/>
          <w:szCs w:val="24"/>
          <w:u w:val="single"/>
        </w:rPr>
      </w:pPr>
      <w:proofErr w:type="gramStart"/>
      <w:r>
        <w:rPr>
          <w:sz w:val="24"/>
          <w:szCs w:val="24"/>
          <w:u w:val="single"/>
        </w:rPr>
        <w:t>Information likely to be outside the court’s knowledge and experience</w:t>
      </w:r>
      <w:r w:rsidR="00D00908" w:rsidRPr="00D00908">
        <w:rPr>
          <w:sz w:val="24"/>
          <w:szCs w:val="24"/>
          <w:u w:val="single"/>
        </w:rPr>
        <w:t>.</w:t>
      </w:r>
      <w:proofErr w:type="gramEnd"/>
    </w:p>
    <w:p w:rsidR="00914C99" w:rsidRDefault="006448F0" w:rsidP="00E870D8">
      <w:pPr>
        <w:autoSpaceDE w:val="0"/>
        <w:autoSpaceDN w:val="0"/>
        <w:adjustRightInd w:val="0"/>
        <w:spacing w:after="0" w:line="240" w:lineRule="auto"/>
        <w:rPr>
          <w:sz w:val="24"/>
          <w:szCs w:val="24"/>
        </w:rPr>
      </w:pPr>
      <w:r>
        <w:rPr>
          <w:sz w:val="24"/>
          <w:szCs w:val="24"/>
        </w:rPr>
        <w:t>The fact that expert evidence is relevant to an issue in the proceedings does not in itself render such evidence admissible, relevance being “</w:t>
      </w:r>
      <w:r w:rsidRPr="006448F0">
        <w:rPr>
          <w:sz w:val="24"/>
          <w:szCs w:val="24"/>
        </w:rPr>
        <w:t>a condition precedent to admissibility</w:t>
      </w:r>
      <w:r>
        <w:rPr>
          <w:sz w:val="24"/>
          <w:szCs w:val="24"/>
        </w:rPr>
        <w:t>”.</w:t>
      </w:r>
      <w:r>
        <w:rPr>
          <w:rStyle w:val="FootnoteReference"/>
          <w:sz w:val="24"/>
          <w:szCs w:val="24"/>
        </w:rPr>
        <w:footnoteReference w:id="28"/>
      </w:r>
      <w:r w:rsidR="00DA2438">
        <w:rPr>
          <w:sz w:val="24"/>
          <w:szCs w:val="24"/>
        </w:rPr>
        <w:t xml:space="preserve"> Rather, </w:t>
      </w:r>
      <w:r w:rsidR="00B33303">
        <w:rPr>
          <w:sz w:val="24"/>
          <w:szCs w:val="24"/>
        </w:rPr>
        <w:t>expert evidence is only admissible if it provides the court with “</w:t>
      </w:r>
      <w:r w:rsidR="00BB6B80" w:rsidRPr="00BB6B80">
        <w:rPr>
          <w:sz w:val="24"/>
          <w:szCs w:val="24"/>
        </w:rPr>
        <w:t>information which is likely to be outside the experience and knowledge of a judge or jury. If on the proven facts a judge or jury can form their own conclusions without help, then the opinion of an expert is unnecessary</w:t>
      </w:r>
      <w:r w:rsidR="00B33303">
        <w:rPr>
          <w:sz w:val="24"/>
          <w:szCs w:val="24"/>
        </w:rPr>
        <w:t>”</w:t>
      </w:r>
      <w:r w:rsidR="00BB6B80" w:rsidRPr="00BB6B80">
        <w:rPr>
          <w:sz w:val="24"/>
          <w:szCs w:val="24"/>
        </w:rPr>
        <w:t>.</w:t>
      </w:r>
      <w:r w:rsidR="00B33303" w:rsidRPr="00FC216E">
        <w:rPr>
          <w:rStyle w:val="FootnoteReference"/>
          <w:sz w:val="24"/>
          <w:szCs w:val="24"/>
        </w:rPr>
        <w:footnoteReference w:id="29"/>
      </w:r>
      <w:r w:rsidR="00366A43">
        <w:rPr>
          <w:sz w:val="24"/>
          <w:szCs w:val="24"/>
        </w:rPr>
        <w:t xml:space="preserve"> The Law Commission</w:t>
      </w:r>
      <w:r w:rsidR="00F759A6">
        <w:rPr>
          <w:sz w:val="24"/>
          <w:szCs w:val="24"/>
        </w:rPr>
        <w:t>, which</w:t>
      </w:r>
      <w:r w:rsidR="00366A43">
        <w:rPr>
          <w:sz w:val="24"/>
          <w:szCs w:val="24"/>
        </w:rPr>
        <w:t xml:space="preserve"> </w:t>
      </w:r>
      <w:r w:rsidR="008E5726">
        <w:rPr>
          <w:sz w:val="24"/>
          <w:szCs w:val="24"/>
        </w:rPr>
        <w:t>referred to this limb of the common law admissibility test as the “assistance” requirement</w:t>
      </w:r>
      <w:r w:rsidR="00F759A6">
        <w:rPr>
          <w:sz w:val="24"/>
          <w:szCs w:val="24"/>
        </w:rPr>
        <w:t>,</w:t>
      </w:r>
      <w:r w:rsidR="00684CA4">
        <w:rPr>
          <w:sz w:val="24"/>
          <w:szCs w:val="24"/>
        </w:rPr>
        <w:t xml:space="preserve"> </w:t>
      </w:r>
      <w:r w:rsidR="00E870D8">
        <w:rPr>
          <w:sz w:val="24"/>
          <w:szCs w:val="24"/>
        </w:rPr>
        <w:t>believe</w:t>
      </w:r>
      <w:r w:rsidR="00F713B0">
        <w:rPr>
          <w:sz w:val="24"/>
          <w:szCs w:val="24"/>
        </w:rPr>
        <w:t>d</w:t>
      </w:r>
      <w:r w:rsidR="00E870D8">
        <w:rPr>
          <w:sz w:val="24"/>
          <w:szCs w:val="24"/>
        </w:rPr>
        <w:t xml:space="preserve"> that it ensured </w:t>
      </w:r>
      <w:r w:rsidR="005A77AC">
        <w:rPr>
          <w:sz w:val="24"/>
          <w:szCs w:val="24"/>
        </w:rPr>
        <w:t>that “</w:t>
      </w:r>
      <w:r w:rsidR="005A77AC" w:rsidRPr="00AE2E20">
        <w:rPr>
          <w:sz w:val="24"/>
          <w:szCs w:val="24"/>
        </w:rPr>
        <w:t>expert evidence is admitted only when it has sufficient probative value, in the sense that the evidence is likely to help the court resolve a disputed issue</w:t>
      </w:r>
      <w:r w:rsidR="005A77AC">
        <w:rPr>
          <w:sz w:val="24"/>
          <w:szCs w:val="24"/>
        </w:rPr>
        <w:t xml:space="preserve">” but that </w:t>
      </w:r>
      <w:r w:rsidR="00C24B83">
        <w:rPr>
          <w:sz w:val="24"/>
          <w:szCs w:val="24"/>
        </w:rPr>
        <w:t xml:space="preserve">all that was required in order for expert evidence to be “necessary” </w:t>
      </w:r>
      <w:r w:rsidR="00EE5A47">
        <w:rPr>
          <w:sz w:val="24"/>
          <w:szCs w:val="24"/>
        </w:rPr>
        <w:t>in this “limited sense was “</w:t>
      </w:r>
      <w:r w:rsidR="00D52AD4" w:rsidRPr="00684CA4">
        <w:rPr>
          <w:sz w:val="24"/>
          <w:szCs w:val="24"/>
        </w:rPr>
        <w:t>that it has to provide helpful information which is likely to be outside a judge or jury’s knowledge and experience</w:t>
      </w:r>
      <w:r w:rsidR="00D52AD4">
        <w:rPr>
          <w:sz w:val="24"/>
          <w:szCs w:val="24"/>
        </w:rPr>
        <w:t>.”</w:t>
      </w:r>
      <w:r w:rsidR="005A77AC" w:rsidRPr="00FC216E">
        <w:rPr>
          <w:rStyle w:val="FootnoteReference"/>
          <w:sz w:val="24"/>
          <w:szCs w:val="24"/>
        </w:rPr>
        <w:footnoteReference w:id="30"/>
      </w:r>
      <w:r w:rsidR="00327BD6">
        <w:rPr>
          <w:sz w:val="24"/>
          <w:szCs w:val="24"/>
        </w:rPr>
        <w:t xml:space="preserve"> </w:t>
      </w:r>
    </w:p>
    <w:p w:rsidR="000E32B1" w:rsidRPr="000E32B1" w:rsidRDefault="000E32B1" w:rsidP="00E870D8">
      <w:pPr>
        <w:autoSpaceDE w:val="0"/>
        <w:autoSpaceDN w:val="0"/>
        <w:adjustRightInd w:val="0"/>
        <w:spacing w:after="0" w:line="240" w:lineRule="auto"/>
        <w:rPr>
          <w:sz w:val="24"/>
          <w:szCs w:val="24"/>
        </w:rPr>
      </w:pPr>
      <w:r w:rsidRPr="000E32B1">
        <w:rPr>
          <w:sz w:val="24"/>
          <w:szCs w:val="24"/>
        </w:rPr>
        <w:t xml:space="preserve"> </w:t>
      </w:r>
    </w:p>
    <w:p w:rsidR="00150A61" w:rsidRDefault="00914C99" w:rsidP="00E870D8">
      <w:pPr>
        <w:autoSpaceDE w:val="0"/>
        <w:autoSpaceDN w:val="0"/>
        <w:adjustRightInd w:val="0"/>
        <w:spacing w:after="0" w:line="240" w:lineRule="auto"/>
        <w:rPr>
          <w:sz w:val="24"/>
          <w:szCs w:val="24"/>
        </w:rPr>
      </w:pPr>
      <w:r>
        <w:rPr>
          <w:sz w:val="24"/>
          <w:szCs w:val="24"/>
        </w:rPr>
        <w:t>The Law Commission’s draft Bill required that in order for expert evidence to be admissible “</w:t>
      </w:r>
      <w:r w:rsidRPr="00914C99">
        <w:rPr>
          <w:sz w:val="24"/>
          <w:szCs w:val="24"/>
        </w:rPr>
        <w:t>the court is satisfied that it would provide information which is likely to be outside a judge or jury’s experience and knowledge, and which would give them help they need in arriving at their conclusions</w:t>
      </w:r>
      <w:r>
        <w:rPr>
          <w:sz w:val="24"/>
          <w:szCs w:val="24"/>
        </w:rPr>
        <w:t>”.</w:t>
      </w:r>
      <w:r w:rsidR="00A47CA0">
        <w:rPr>
          <w:rStyle w:val="FootnoteReference"/>
          <w:sz w:val="24"/>
          <w:szCs w:val="24"/>
        </w:rPr>
        <w:footnoteReference w:id="31"/>
      </w:r>
      <w:r w:rsidR="001A0F00">
        <w:rPr>
          <w:color w:val="FF0000"/>
          <w:sz w:val="24"/>
          <w:szCs w:val="24"/>
        </w:rPr>
        <w:t xml:space="preserve"> </w:t>
      </w:r>
      <w:r w:rsidR="00E870D8">
        <w:rPr>
          <w:sz w:val="24"/>
          <w:szCs w:val="24"/>
        </w:rPr>
        <w:t>Wh</w:t>
      </w:r>
      <w:r w:rsidR="0009789C">
        <w:rPr>
          <w:sz w:val="24"/>
          <w:szCs w:val="24"/>
        </w:rPr>
        <w:t xml:space="preserve">ilst recommending codification of all limbs of the common law admissibility test, </w:t>
      </w:r>
      <w:r w:rsidR="00E870D8">
        <w:rPr>
          <w:sz w:val="24"/>
          <w:szCs w:val="24"/>
        </w:rPr>
        <w:t xml:space="preserve">the Law Commission </w:t>
      </w:r>
      <w:r w:rsidR="00D93D9D">
        <w:rPr>
          <w:sz w:val="24"/>
          <w:szCs w:val="24"/>
        </w:rPr>
        <w:t>(</w:t>
      </w:r>
      <w:r w:rsidR="008A3810">
        <w:rPr>
          <w:sz w:val="24"/>
          <w:szCs w:val="24"/>
        </w:rPr>
        <w:t>accepting</w:t>
      </w:r>
      <w:r w:rsidR="00D93D9D">
        <w:rPr>
          <w:sz w:val="24"/>
          <w:szCs w:val="24"/>
        </w:rPr>
        <w:t xml:space="preserve"> that its practical application could occasionally be problematic) </w:t>
      </w:r>
      <w:r w:rsidR="000E2D35">
        <w:rPr>
          <w:sz w:val="24"/>
          <w:szCs w:val="24"/>
        </w:rPr>
        <w:t>believed that the assistance limb was fundamentally sound and</w:t>
      </w:r>
      <w:r w:rsidR="006E4BBD">
        <w:rPr>
          <w:sz w:val="24"/>
          <w:szCs w:val="24"/>
        </w:rPr>
        <w:t>,</w:t>
      </w:r>
      <w:r w:rsidR="000E2D35">
        <w:rPr>
          <w:sz w:val="24"/>
          <w:szCs w:val="24"/>
        </w:rPr>
        <w:t xml:space="preserve"> </w:t>
      </w:r>
      <w:r w:rsidR="00A44AA4">
        <w:rPr>
          <w:sz w:val="24"/>
          <w:szCs w:val="24"/>
        </w:rPr>
        <w:t>following consultation</w:t>
      </w:r>
      <w:r w:rsidR="006E4BBD">
        <w:rPr>
          <w:sz w:val="24"/>
          <w:szCs w:val="24"/>
        </w:rPr>
        <w:t>,</w:t>
      </w:r>
      <w:r w:rsidR="00A44AA4">
        <w:rPr>
          <w:sz w:val="24"/>
          <w:szCs w:val="24"/>
        </w:rPr>
        <w:t xml:space="preserve"> </w:t>
      </w:r>
      <w:r w:rsidR="008A3810">
        <w:rPr>
          <w:sz w:val="24"/>
          <w:szCs w:val="24"/>
        </w:rPr>
        <w:t>believed</w:t>
      </w:r>
      <w:r w:rsidR="00A44AA4">
        <w:rPr>
          <w:sz w:val="24"/>
          <w:szCs w:val="24"/>
        </w:rPr>
        <w:t xml:space="preserve"> </w:t>
      </w:r>
      <w:r w:rsidR="000E2D35">
        <w:rPr>
          <w:sz w:val="24"/>
          <w:szCs w:val="24"/>
        </w:rPr>
        <w:t>that no change to the test was required.</w:t>
      </w:r>
      <w:r w:rsidR="000E2D35">
        <w:rPr>
          <w:rStyle w:val="FootnoteReference"/>
          <w:sz w:val="24"/>
          <w:szCs w:val="24"/>
        </w:rPr>
        <w:footnoteReference w:id="32"/>
      </w:r>
      <w:r w:rsidR="00CB603F">
        <w:rPr>
          <w:sz w:val="24"/>
          <w:szCs w:val="24"/>
        </w:rPr>
        <w:t xml:space="preserve"> </w:t>
      </w:r>
      <w:r w:rsidR="00CC17E9">
        <w:rPr>
          <w:sz w:val="24"/>
          <w:szCs w:val="24"/>
        </w:rPr>
        <w:t xml:space="preserve">Moreover, nothing either in the recent revisions to the </w:t>
      </w:r>
      <w:proofErr w:type="spellStart"/>
      <w:r w:rsidR="00CC17E9">
        <w:rPr>
          <w:sz w:val="24"/>
          <w:szCs w:val="24"/>
        </w:rPr>
        <w:t>CrimPR</w:t>
      </w:r>
      <w:proofErr w:type="spellEnd"/>
      <w:r w:rsidR="00CC17E9">
        <w:rPr>
          <w:sz w:val="24"/>
          <w:szCs w:val="24"/>
        </w:rPr>
        <w:t xml:space="preserve"> or in the new Practice Direction relates to the operation of </w:t>
      </w:r>
      <w:r w:rsidR="006E4BBD">
        <w:rPr>
          <w:sz w:val="24"/>
          <w:szCs w:val="24"/>
        </w:rPr>
        <w:t>the assistance</w:t>
      </w:r>
      <w:r w:rsidR="00CC17E9">
        <w:rPr>
          <w:sz w:val="24"/>
          <w:szCs w:val="24"/>
        </w:rPr>
        <w:t xml:space="preserve"> </w:t>
      </w:r>
      <w:r w:rsidR="00FD45F6">
        <w:rPr>
          <w:sz w:val="24"/>
          <w:szCs w:val="24"/>
        </w:rPr>
        <w:t xml:space="preserve">limb of the admissibility </w:t>
      </w:r>
      <w:r w:rsidR="00CC17E9">
        <w:rPr>
          <w:sz w:val="24"/>
          <w:szCs w:val="24"/>
        </w:rPr>
        <w:t xml:space="preserve">test. </w:t>
      </w:r>
    </w:p>
    <w:p w:rsidR="007C1E8E" w:rsidRDefault="007C1E8E" w:rsidP="00E870D8">
      <w:pPr>
        <w:autoSpaceDE w:val="0"/>
        <w:autoSpaceDN w:val="0"/>
        <w:adjustRightInd w:val="0"/>
        <w:spacing w:after="0" w:line="240" w:lineRule="auto"/>
        <w:rPr>
          <w:sz w:val="24"/>
          <w:szCs w:val="24"/>
        </w:rPr>
      </w:pPr>
    </w:p>
    <w:p w:rsidR="00E66D13" w:rsidRPr="00E66D13" w:rsidRDefault="0039436A" w:rsidP="00E66D13">
      <w:pPr>
        <w:autoSpaceDE w:val="0"/>
        <w:autoSpaceDN w:val="0"/>
        <w:adjustRightInd w:val="0"/>
        <w:spacing w:after="0" w:line="240" w:lineRule="auto"/>
        <w:rPr>
          <w:sz w:val="24"/>
          <w:szCs w:val="24"/>
        </w:rPr>
      </w:pPr>
      <w:r>
        <w:rPr>
          <w:sz w:val="24"/>
          <w:szCs w:val="24"/>
        </w:rPr>
        <w:t xml:space="preserve">The operation of this </w:t>
      </w:r>
      <w:r w:rsidR="0092436A">
        <w:rPr>
          <w:sz w:val="24"/>
          <w:szCs w:val="24"/>
        </w:rPr>
        <w:t xml:space="preserve">limb of the </w:t>
      </w:r>
      <w:r w:rsidR="008A3810">
        <w:rPr>
          <w:sz w:val="24"/>
          <w:szCs w:val="24"/>
        </w:rPr>
        <w:t xml:space="preserve">common law </w:t>
      </w:r>
      <w:r>
        <w:rPr>
          <w:sz w:val="24"/>
          <w:szCs w:val="24"/>
        </w:rPr>
        <w:t xml:space="preserve">admissibility test does not </w:t>
      </w:r>
      <w:r w:rsidR="00CD0EEE">
        <w:rPr>
          <w:sz w:val="24"/>
          <w:szCs w:val="24"/>
        </w:rPr>
        <w:t>only</w:t>
      </w:r>
      <w:r>
        <w:rPr>
          <w:sz w:val="24"/>
          <w:szCs w:val="24"/>
        </w:rPr>
        <w:t xml:space="preserve"> have the potential to exclude expert evidence in its entirety but also has the potential to limit the evidence </w:t>
      </w:r>
      <w:r w:rsidR="00527A5E">
        <w:rPr>
          <w:sz w:val="24"/>
          <w:szCs w:val="24"/>
        </w:rPr>
        <w:t xml:space="preserve">which an </w:t>
      </w:r>
      <w:r>
        <w:rPr>
          <w:sz w:val="24"/>
          <w:szCs w:val="24"/>
        </w:rPr>
        <w:t xml:space="preserve">expert </w:t>
      </w:r>
      <w:r w:rsidR="00527A5E">
        <w:rPr>
          <w:sz w:val="24"/>
          <w:szCs w:val="24"/>
        </w:rPr>
        <w:t xml:space="preserve">witness </w:t>
      </w:r>
      <w:r>
        <w:rPr>
          <w:sz w:val="24"/>
          <w:szCs w:val="24"/>
        </w:rPr>
        <w:t xml:space="preserve">should be permitted to give. </w:t>
      </w:r>
      <w:r w:rsidR="0092436A">
        <w:rPr>
          <w:sz w:val="24"/>
          <w:szCs w:val="24"/>
        </w:rPr>
        <w:t>Thus,</w:t>
      </w:r>
      <w:r w:rsidR="00527A5E">
        <w:rPr>
          <w:sz w:val="24"/>
          <w:szCs w:val="24"/>
        </w:rPr>
        <w:t xml:space="preserve"> where expert </w:t>
      </w:r>
      <w:r w:rsidR="0092436A">
        <w:rPr>
          <w:sz w:val="24"/>
          <w:szCs w:val="24"/>
        </w:rPr>
        <w:t xml:space="preserve">evidence </w:t>
      </w:r>
      <w:r w:rsidR="00527A5E">
        <w:rPr>
          <w:sz w:val="24"/>
          <w:szCs w:val="24"/>
        </w:rPr>
        <w:t>is admitted, the expert should not be permitted to give evidence which does not inform the jury of scientific or medical experience of which it is unaware but merely amounts to common sense comment on the factual evidence</w:t>
      </w:r>
      <w:r w:rsidR="00CD0EEE">
        <w:rPr>
          <w:sz w:val="24"/>
          <w:szCs w:val="24"/>
        </w:rPr>
        <w:t>, and such comment should not be included in an expert’s report</w:t>
      </w:r>
      <w:r w:rsidR="00E66D13">
        <w:rPr>
          <w:sz w:val="24"/>
          <w:szCs w:val="24"/>
        </w:rPr>
        <w:t>, as this usurps the function of the jury</w:t>
      </w:r>
      <w:r w:rsidR="0092436A">
        <w:rPr>
          <w:sz w:val="24"/>
          <w:szCs w:val="24"/>
        </w:rPr>
        <w:t>.</w:t>
      </w:r>
      <w:r w:rsidR="00527A5E" w:rsidRPr="0073271E">
        <w:rPr>
          <w:rStyle w:val="FootnoteReference"/>
          <w:sz w:val="24"/>
          <w:szCs w:val="24"/>
        </w:rPr>
        <w:footnoteReference w:id="33"/>
      </w:r>
      <w:r w:rsidR="00527A5E" w:rsidRPr="0073271E">
        <w:rPr>
          <w:rStyle w:val="FootnoteReference"/>
          <w:sz w:val="24"/>
          <w:szCs w:val="24"/>
        </w:rPr>
        <w:t xml:space="preserve"> </w:t>
      </w:r>
      <w:r w:rsidR="00527A5E">
        <w:rPr>
          <w:sz w:val="24"/>
          <w:szCs w:val="24"/>
        </w:rPr>
        <w:t xml:space="preserve"> </w:t>
      </w:r>
      <w:r w:rsidR="000010D3">
        <w:rPr>
          <w:sz w:val="24"/>
          <w:szCs w:val="24"/>
        </w:rPr>
        <w:t xml:space="preserve">Indeed, in </w:t>
      </w:r>
      <w:r w:rsidR="000010D3" w:rsidRPr="000010D3">
        <w:rPr>
          <w:i/>
          <w:sz w:val="24"/>
          <w:szCs w:val="24"/>
        </w:rPr>
        <w:t>R v H</w:t>
      </w:r>
      <w:r w:rsidR="001E4280">
        <w:rPr>
          <w:i/>
          <w:sz w:val="24"/>
          <w:szCs w:val="24"/>
        </w:rPr>
        <w:t xml:space="preserve"> </w:t>
      </w:r>
      <w:r w:rsidR="000010D3" w:rsidRPr="000010D3">
        <w:rPr>
          <w:sz w:val="24"/>
          <w:szCs w:val="24"/>
        </w:rPr>
        <w:t xml:space="preserve">the </w:t>
      </w:r>
      <w:r w:rsidR="000010D3" w:rsidRPr="000010D3">
        <w:rPr>
          <w:sz w:val="24"/>
          <w:szCs w:val="24"/>
        </w:rPr>
        <w:lastRenderedPageBreak/>
        <w:t xml:space="preserve">judge properly </w:t>
      </w:r>
      <w:r w:rsidR="000010D3">
        <w:rPr>
          <w:sz w:val="24"/>
          <w:szCs w:val="24"/>
        </w:rPr>
        <w:t xml:space="preserve">declined to admit the expert evidence of </w:t>
      </w:r>
      <w:r w:rsidR="000010D3" w:rsidRPr="000010D3">
        <w:rPr>
          <w:sz w:val="24"/>
          <w:szCs w:val="24"/>
        </w:rPr>
        <w:t>a retired psychiatrist and psychotherapis</w:t>
      </w:r>
      <w:r w:rsidR="001E4280">
        <w:rPr>
          <w:sz w:val="24"/>
          <w:szCs w:val="24"/>
        </w:rPr>
        <w:t xml:space="preserve">t, much of whose evidence “amounted to </w:t>
      </w:r>
      <w:r w:rsidR="001E4280" w:rsidRPr="001E4280">
        <w:rPr>
          <w:sz w:val="24"/>
          <w:szCs w:val="24"/>
        </w:rPr>
        <w:t>no more than a comment on the complainant's credibility and reliability</w:t>
      </w:r>
      <w:r w:rsidR="001E4280">
        <w:rPr>
          <w:sz w:val="24"/>
          <w:szCs w:val="24"/>
        </w:rPr>
        <w:t xml:space="preserve">”, because </w:t>
      </w:r>
      <w:r w:rsidR="000010D3">
        <w:rPr>
          <w:sz w:val="24"/>
          <w:szCs w:val="24"/>
        </w:rPr>
        <w:t>“</w:t>
      </w:r>
      <w:r w:rsidR="000010D3" w:rsidRPr="000010D3">
        <w:rPr>
          <w:sz w:val="24"/>
          <w:szCs w:val="24"/>
        </w:rPr>
        <w:t xml:space="preserve">the way in which </w:t>
      </w:r>
      <w:r w:rsidR="000010D3">
        <w:rPr>
          <w:sz w:val="24"/>
          <w:szCs w:val="24"/>
        </w:rPr>
        <w:t>[the expert]</w:t>
      </w:r>
      <w:r w:rsidR="000010D3" w:rsidRPr="000010D3">
        <w:rPr>
          <w:sz w:val="24"/>
          <w:szCs w:val="24"/>
        </w:rPr>
        <w:t xml:space="preserve"> had formulated her opinion required the judge to untangle what was of assistance to the jury and what was confusing and inadmissible comment</w:t>
      </w:r>
      <w:r w:rsidR="000010D3">
        <w:rPr>
          <w:sz w:val="24"/>
          <w:szCs w:val="24"/>
        </w:rPr>
        <w:t>”</w:t>
      </w:r>
      <w:r w:rsidR="000010D3" w:rsidRPr="000010D3">
        <w:rPr>
          <w:sz w:val="24"/>
          <w:szCs w:val="24"/>
        </w:rPr>
        <w:t>.</w:t>
      </w:r>
      <w:r w:rsidR="001E4280">
        <w:rPr>
          <w:rStyle w:val="FootnoteReference"/>
          <w:sz w:val="24"/>
          <w:szCs w:val="24"/>
        </w:rPr>
        <w:footnoteReference w:id="34"/>
      </w:r>
      <w:r w:rsidR="000010D3" w:rsidRPr="000010D3">
        <w:rPr>
          <w:sz w:val="24"/>
          <w:szCs w:val="24"/>
        </w:rPr>
        <w:t xml:space="preserve"> </w:t>
      </w:r>
      <w:r w:rsidR="000010D3">
        <w:rPr>
          <w:sz w:val="24"/>
          <w:szCs w:val="24"/>
        </w:rPr>
        <w:t>Moreover</w:t>
      </w:r>
      <w:r w:rsidR="00E66D13">
        <w:rPr>
          <w:sz w:val="24"/>
          <w:szCs w:val="24"/>
        </w:rPr>
        <w:t>, the Privy Council</w:t>
      </w:r>
      <w:r w:rsidR="00E66D13" w:rsidRPr="00E66D13">
        <w:rPr>
          <w:sz w:val="24"/>
          <w:szCs w:val="24"/>
        </w:rPr>
        <w:t xml:space="preserve">, recognising the dangers of experts expressing opinions as “unalterable truths” on </w:t>
      </w:r>
      <w:r w:rsidR="00E66D13">
        <w:rPr>
          <w:sz w:val="24"/>
          <w:szCs w:val="24"/>
        </w:rPr>
        <w:t xml:space="preserve">matters that are </w:t>
      </w:r>
      <w:r w:rsidR="00E66D13" w:rsidRPr="00E66D13">
        <w:rPr>
          <w:sz w:val="24"/>
          <w:szCs w:val="24"/>
        </w:rPr>
        <w:t xml:space="preserve">central </w:t>
      </w:r>
      <w:r w:rsidR="00E66D13">
        <w:rPr>
          <w:sz w:val="24"/>
          <w:szCs w:val="24"/>
        </w:rPr>
        <w:t>to the jury’s decision</w:t>
      </w:r>
      <w:r w:rsidR="00E66D13" w:rsidRPr="00E66D13">
        <w:rPr>
          <w:sz w:val="24"/>
          <w:szCs w:val="24"/>
        </w:rPr>
        <w:t>, recently suggested that</w:t>
      </w:r>
      <w:r w:rsidR="00767145">
        <w:rPr>
          <w:sz w:val="24"/>
          <w:szCs w:val="24"/>
        </w:rPr>
        <w:t>,</w:t>
      </w:r>
      <w:r w:rsidR="00E66D13" w:rsidRPr="00E66D13">
        <w:rPr>
          <w:sz w:val="24"/>
          <w:szCs w:val="24"/>
        </w:rPr>
        <w:t xml:space="preserve"> </w:t>
      </w:r>
      <w:r w:rsidR="00767145">
        <w:rPr>
          <w:sz w:val="24"/>
          <w:szCs w:val="24"/>
        </w:rPr>
        <w:t xml:space="preserve">as a general rule, </w:t>
      </w:r>
      <w:r w:rsidR="00E66D13" w:rsidRPr="00E66D13">
        <w:rPr>
          <w:sz w:val="24"/>
          <w:szCs w:val="24"/>
        </w:rPr>
        <w:t>experts should only be asked to state opinions on ultimate issues in circumstances in which this would provide substantial assistance to the tribunal of fact.</w:t>
      </w:r>
      <w:r w:rsidR="00E66D13" w:rsidRPr="00767145">
        <w:rPr>
          <w:rStyle w:val="FootnoteReference"/>
        </w:rPr>
        <w:footnoteReference w:id="35"/>
      </w:r>
    </w:p>
    <w:p w:rsidR="00B31BA9" w:rsidRDefault="00B31BA9" w:rsidP="00E870D8">
      <w:pPr>
        <w:autoSpaceDE w:val="0"/>
        <w:autoSpaceDN w:val="0"/>
        <w:adjustRightInd w:val="0"/>
        <w:spacing w:after="0" w:line="240" w:lineRule="auto"/>
        <w:rPr>
          <w:sz w:val="24"/>
          <w:szCs w:val="24"/>
        </w:rPr>
      </w:pPr>
    </w:p>
    <w:p w:rsidR="003B6E89" w:rsidRDefault="003B6E89" w:rsidP="00E870D8">
      <w:pPr>
        <w:autoSpaceDE w:val="0"/>
        <w:autoSpaceDN w:val="0"/>
        <w:adjustRightInd w:val="0"/>
        <w:spacing w:after="0" w:line="240" w:lineRule="auto"/>
        <w:rPr>
          <w:sz w:val="24"/>
          <w:szCs w:val="24"/>
        </w:rPr>
      </w:pPr>
    </w:p>
    <w:p w:rsidR="00E870D8" w:rsidRPr="00800BC3" w:rsidRDefault="00E870D8" w:rsidP="00E870D8">
      <w:pPr>
        <w:autoSpaceDE w:val="0"/>
        <w:autoSpaceDN w:val="0"/>
        <w:adjustRightInd w:val="0"/>
        <w:spacing w:after="0" w:line="240" w:lineRule="auto"/>
        <w:rPr>
          <w:sz w:val="24"/>
          <w:szCs w:val="24"/>
          <w:u w:val="single"/>
        </w:rPr>
      </w:pPr>
      <w:r w:rsidRPr="00E870D8">
        <w:rPr>
          <w:sz w:val="24"/>
          <w:szCs w:val="24"/>
          <w:u w:val="single"/>
        </w:rPr>
        <w:t>Competence</w:t>
      </w:r>
      <w:r w:rsidR="00DE414E">
        <w:rPr>
          <w:sz w:val="24"/>
          <w:szCs w:val="24"/>
          <w:u w:val="single"/>
        </w:rPr>
        <w:t xml:space="preserve"> to give expert evidence</w:t>
      </w:r>
    </w:p>
    <w:p w:rsidR="00E870D8" w:rsidRDefault="00E870D8" w:rsidP="00E870D8">
      <w:pPr>
        <w:autoSpaceDE w:val="0"/>
        <w:autoSpaceDN w:val="0"/>
        <w:adjustRightInd w:val="0"/>
        <w:spacing w:after="0" w:line="240" w:lineRule="auto"/>
        <w:rPr>
          <w:sz w:val="24"/>
          <w:szCs w:val="24"/>
          <w:highlight w:val="yellow"/>
        </w:rPr>
      </w:pPr>
    </w:p>
    <w:p w:rsidR="00654348" w:rsidRDefault="008C6E69" w:rsidP="00654348">
      <w:pPr>
        <w:autoSpaceDE w:val="0"/>
        <w:autoSpaceDN w:val="0"/>
        <w:adjustRightInd w:val="0"/>
        <w:spacing w:after="0" w:line="240" w:lineRule="auto"/>
        <w:rPr>
          <w:sz w:val="24"/>
          <w:szCs w:val="24"/>
        </w:rPr>
      </w:pPr>
      <w:r>
        <w:rPr>
          <w:sz w:val="24"/>
          <w:szCs w:val="24"/>
        </w:rPr>
        <w:t xml:space="preserve">In order for </w:t>
      </w:r>
      <w:r w:rsidR="005010D7">
        <w:rPr>
          <w:sz w:val="24"/>
          <w:szCs w:val="24"/>
        </w:rPr>
        <w:t>a witness to be competent to give expert evidence, “</w:t>
      </w:r>
      <w:r w:rsidR="005010D7" w:rsidRPr="005010D7">
        <w:rPr>
          <w:sz w:val="24"/>
          <w:szCs w:val="24"/>
        </w:rPr>
        <w:t>the witness</w:t>
      </w:r>
      <w:r w:rsidR="005010D7">
        <w:rPr>
          <w:sz w:val="24"/>
          <w:szCs w:val="24"/>
        </w:rPr>
        <w:t>…</w:t>
      </w:r>
      <w:r w:rsidR="005010D7" w:rsidRPr="005010D7">
        <w:rPr>
          <w:sz w:val="24"/>
          <w:szCs w:val="24"/>
        </w:rPr>
        <w:t xml:space="preserve">must be </w:t>
      </w:r>
      <w:proofErr w:type="spellStart"/>
      <w:r w:rsidR="005010D7" w:rsidRPr="005010D7">
        <w:rPr>
          <w:sz w:val="24"/>
          <w:szCs w:val="24"/>
        </w:rPr>
        <w:t>peritus</w:t>
      </w:r>
      <w:proofErr w:type="spellEnd"/>
      <w:r w:rsidR="005010D7" w:rsidRPr="005010D7">
        <w:rPr>
          <w:sz w:val="24"/>
          <w:szCs w:val="24"/>
        </w:rPr>
        <w:t>; he must be skilled</w:t>
      </w:r>
      <w:r w:rsidR="00225EC0">
        <w:rPr>
          <w:sz w:val="24"/>
          <w:szCs w:val="24"/>
        </w:rPr>
        <w:t xml:space="preserve">” </w:t>
      </w:r>
      <w:r w:rsidR="005010D7">
        <w:rPr>
          <w:sz w:val="24"/>
          <w:szCs w:val="24"/>
        </w:rPr>
        <w:t>in the relevant field of expertise</w:t>
      </w:r>
      <w:r w:rsidR="00225EC0">
        <w:rPr>
          <w:sz w:val="24"/>
          <w:szCs w:val="24"/>
        </w:rPr>
        <w:t>, though the common law does not require that the witness “</w:t>
      </w:r>
      <w:r w:rsidR="00225EC0" w:rsidRPr="005010D7">
        <w:rPr>
          <w:sz w:val="24"/>
          <w:szCs w:val="24"/>
        </w:rPr>
        <w:t xml:space="preserve">must have become </w:t>
      </w:r>
      <w:proofErr w:type="spellStart"/>
      <w:r w:rsidR="00225EC0" w:rsidRPr="005010D7">
        <w:rPr>
          <w:sz w:val="24"/>
          <w:szCs w:val="24"/>
        </w:rPr>
        <w:t>peritus</w:t>
      </w:r>
      <w:proofErr w:type="spellEnd"/>
      <w:r w:rsidR="00225EC0" w:rsidRPr="005010D7">
        <w:rPr>
          <w:sz w:val="24"/>
          <w:szCs w:val="24"/>
        </w:rPr>
        <w:t xml:space="preserve"> in the way of his business or in any definite way</w:t>
      </w:r>
      <w:r w:rsidR="00225EC0">
        <w:rPr>
          <w:sz w:val="24"/>
          <w:szCs w:val="24"/>
        </w:rPr>
        <w:t>”</w:t>
      </w:r>
      <w:r w:rsidR="00225EC0" w:rsidRPr="005010D7">
        <w:rPr>
          <w:sz w:val="24"/>
          <w:szCs w:val="24"/>
        </w:rPr>
        <w:t>.</w:t>
      </w:r>
      <w:r w:rsidR="00225EC0">
        <w:rPr>
          <w:rStyle w:val="FootnoteReference"/>
          <w:sz w:val="24"/>
          <w:szCs w:val="24"/>
        </w:rPr>
        <w:footnoteReference w:id="36"/>
      </w:r>
      <w:r w:rsidR="00225EC0">
        <w:rPr>
          <w:sz w:val="24"/>
          <w:szCs w:val="24"/>
        </w:rPr>
        <w:t xml:space="preserve"> </w:t>
      </w:r>
      <w:r w:rsidR="001A0F00">
        <w:rPr>
          <w:sz w:val="24"/>
          <w:szCs w:val="24"/>
        </w:rPr>
        <w:t>I</w:t>
      </w:r>
      <w:r w:rsidR="005A4D2E">
        <w:rPr>
          <w:sz w:val="24"/>
          <w:szCs w:val="24"/>
        </w:rPr>
        <w:t>n</w:t>
      </w:r>
      <w:r w:rsidR="00A47CA0">
        <w:rPr>
          <w:sz w:val="24"/>
          <w:szCs w:val="24"/>
        </w:rPr>
        <w:t xml:space="preserve"> </w:t>
      </w:r>
      <w:r w:rsidR="005A4D2E">
        <w:rPr>
          <w:sz w:val="24"/>
          <w:szCs w:val="24"/>
        </w:rPr>
        <w:t>its draft Bill, the Law Commission provided that “</w:t>
      </w:r>
      <w:r w:rsidR="005A4D2E" w:rsidRPr="005A4D2E">
        <w:rPr>
          <w:sz w:val="24"/>
          <w:szCs w:val="24"/>
        </w:rPr>
        <w:t>a person may be qualified to give expert evidence by virtue of study, training, experience or any other appropriate means</w:t>
      </w:r>
      <w:r w:rsidR="005A4D2E">
        <w:rPr>
          <w:sz w:val="24"/>
          <w:szCs w:val="24"/>
        </w:rPr>
        <w:t>”.</w:t>
      </w:r>
      <w:r w:rsidR="00F351E8">
        <w:rPr>
          <w:rStyle w:val="FootnoteReference"/>
          <w:sz w:val="24"/>
          <w:szCs w:val="24"/>
        </w:rPr>
        <w:footnoteReference w:id="37"/>
      </w:r>
      <w:r w:rsidR="005A4D2E" w:rsidRPr="005A4D2E">
        <w:rPr>
          <w:color w:val="FF0000"/>
          <w:sz w:val="24"/>
          <w:szCs w:val="24"/>
        </w:rPr>
        <w:t xml:space="preserve"> </w:t>
      </w:r>
      <w:r w:rsidR="00654348">
        <w:rPr>
          <w:sz w:val="24"/>
          <w:szCs w:val="24"/>
        </w:rPr>
        <w:t>The Law Commission believed that what it termed the “relevant expertise” limb of the common law admissibility test was fundamentally sound and following consultation</w:t>
      </w:r>
      <w:r w:rsidR="005A4D2E">
        <w:rPr>
          <w:sz w:val="24"/>
          <w:szCs w:val="24"/>
        </w:rPr>
        <w:t xml:space="preserve">, whilst it recommended codification, </w:t>
      </w:r>
      <w:r w:rsidR="008A3810">
        <w:rPr>
          <w:sz w:val="24"/>
          <w:szCs w:val="24"/>
        </w:rPr>
        <w:t>believed</w:t>
      </w:r>
      <w:r w:rsidR="00654348">
        <w:rPr>
          <w:sz w:val="24"/>
          <w:szCs w:val="24"/>
        </w:rPr>
        <w:t xml:space="preserve"> that no change to the test was required.</w:t>
      </w:r>
      <w:r w:rsidR="00654348">
        <w:rPr>
          <w:rStyle w:val="FootnoteReference"/>
          <w:sz w:val="24"/>
          <w:szCs w:val="24"/>
        </w:rPr>
        <w:footnoteReference w:id="38"/>
      </w:r>
      <w:r w:rsidR="00654348">
        <w:rPr>
          <w:sz w:val="24"/>
          <w:szCs w:val="24"/>
        </w:rPr>
        <w:t xml:space="preserve"> </w:t>
      </w:r>
    </w:p>
    <w:p w:rsidR="00654348" w:rsidRDefault="00654348" w:rsidP="004D63B7">
      <w:pPr>
        <w:autoSpaceDE w:val="0"/>
        <w:autoSpaceDN w:val="0"/>
        <w:adjustRightInd w:val="0"/>
        <w:spacing w:after="0" w:line="240" w:lineRule="auto"/>
        <w:rPr>
          <w:sz w:val="24"/>
          <w:szCs w:val="24"/>
        </w:rPr>
      </w:pPr>
    </w:p>
    <w:p w:rsidR="009D6906" w:rsidRDefault="00654348" w:rsidP="004D63B7">
      <w:pPr>
        <w:autoSpaceDE w:val="0"/>
        <w:autoSpaceDN w:val="0"/>
        <w:adjustRightInd w:val="0"/>
        <w:spacing w:after="0" w:line="240" w:lineRule="auto"/>
        <w:rPr>
          <w:sz w:val="24"/>
          <w:szCs w:val="24"/>
        </w:rPr>
      </w:pPr>
      <w:r>
        <w:rPr>
          <w:sz w:val="24"/>
          <w:szCs w:val="24"/>
        </w:rPr>
        <w:t xml:space="preserve">An example of an area in which issues of competence may </w:t>
      </w:r>
      <w:r w:rsidR="00800BC3">
        <w:rPr>
          <w:sz w:val="24"/>
          <w:szCs w:val="24"/>
        </w:rPr>
        <w:t xml:space="preserve">commonly </w:t>
      </w:r>
      <w:r>
        <w:rPr>
          <w:sz w:val="24"/>
          <w:szCs w:val="24"/>
        </w:rPr>
        <w:t xml:space="preserve">be encountered </w:t>
      </w:r>
      <w:r w:rsidR="00800BC3">
        <w:rPr>
          <w:sz w:val="24"/>
          <w:szCs w:val="24"/>
        </w:rPr>
        <w:t xml:space="preserve">in practice </w:t>
      </w:r>
      <w:r>
        <w:rPr>
          <w:sz w:val="24"/>
          <w:szCs w:val="24"/>
        </w:rPr>
        <w:t xml:space="preserve">is provided by expert evidence given by </w:t>
      </w:r>
      <w:r w:rsidR="00EE35D5">
        <w:rPr>
          <w:sz w:val="24"/>
          <w:szCs w:val="24"/>
        </w:rPr>
        <w:t xml:space="preserve">current or former </w:t>
      </w:r>
      <w:r>
        <w:rPr>
          <w:sz w:val="24"/>
          <w:szCs w:val="24"/>
        </w:rPr>
        <w:t>police officers</w:t>
      </w:r>
      <w:r w:rsidR="00800BC3">
        <w:rPr>
          <w:sz w:val="24"/>
          <w:szCs w:val="24"/>
        </w:rPr>
        <w:t>/police employees</w:t>
      </w:r>
      <w:r>
        <w:rPr>
          <w:sz w:val="24"/>
          <w:szCs w:val="24"/>
        </w:rPr>
        <w:t xml:space="preserve">. </w:t>
      </w:r>
      <w:r w:rsidR="00BD2AE1">
        <w:rPr>
          <w:sz w:val="24"/>
          <w:szCs w:val="24"/>
        </w:rPr>
        <w:t>It has long been recognised that, “</w:t>
      </w:r>
      <w:r w:rsidR="00BD2AE1" w:rsidRPr="00BD2AE1">
        <w:rPr>
          <w:sz w:val="24"/>
          <w:szCs w:val="24"/>
        </w:rPr>
        <w:t>there is no question of a police officer being prevented from giving evidence as an expert if the subject in which he is giving evidence as an expert is a subject in which he has expert knowledge, and if it is restricted and directed to the issues in the case.”</w:t>
      </w:r>
      <w:r w:rsidR="00BD2AE1">
        <w:rPr>
          <w:rStyle w:val="FootnoteReference"/>
          <w:sz w:val="24"/>
          <w:szCs w:val="24"/>
        </w:rPr>
        <w:footnoteReference w:id="39"/>
      </w:r>
      <w:r w:rsidR="00BD2AE1">
        <w:rPr>
          <w:sz w:val="24"/>
          <w:szCs w:val="24"/>
        </w:rPr>
        <w:t xml:space="preserve"> </w:t>
      </w:r>
      <w:r w:rsidR="00457DF5">
        <w:rPr>
          <w:sz w:val="24"/>
          <w:szCs w:val="24"/>
        </w:rPr>
        <w:t xml:space="preserve">It is important, however, that where a police officer </w:t>
      </w:r>
      <w:r w:rsidR="00825D29">
        <w:rPr>
          <w:sz w:val="24"/>
          <w:szCs w:val="24"/>
        </w:rPr>
        <w:t>is to be called to</w:t>
      </w:r>
      <w:r w:rsidR="00457DF5">
        <w:rPr>
          <w:sz w:val="24"/>
          <w:szCs w:val="24"/>
        </w:rPr>
        <w:t xml:space="preserve"> give expert evidence,</w:t>
      </w:r>
      <w:r w:rsidR="00825D29">
        <w:rPr>
          <w:sz w:val="24"/>
          <w:szCs w:val="24"/>
        </w:rPr>
        <w:t xml:space="preserve"> </w:t>
      </w:r>
      <w:r w:rsidR="00457DF5">
        <w:rPr>
          <w:sz w:val="24"/>
          <w:szCs w:val="24"/>
        </w:rPr>
        <w:t>“</w:t>
      </w:r>
      <w:r w:rsidR="00457DF5" w:rsidRPr="00457DF5">
        <w:rPr>
          <w:sz w:val="24"/>
          <w:szCs w:val="24"/>
        </w:rPr>
        <w:t>the ordinary threshold requirements for expertise are established</w:t>
      </w:r>
      <w:r w:rsidR="00457DF5">
        <w:rPr>
          <w:sz w:val="24"/>
          <w:szCs w:val="24"/>
        </w:rPr>
        <w:t xml:space="preserve"> [and] </w:t>
      </w:r>
      <w:r w:rsidR="00457DF5" w:rsidRPr="00457DF5">
        <w:rPr>
          <w:sz w:val="24"/>
          <w:szCs w:val="24"/>
        </w:rPr>
        <w:t>the ordinary rules as to the giving of expert evidence are observed</w:t>
      </w:r>
      <w:r w:rsidR="00457DF5">
        <w:rPr>
          <w:sz w:val="24"/>
          <w:szCs w:val="24"/>
        </w:rPr>
        <w:t>”.</w:t>
      </w:r>
      <w:r w:rsidR="00457DF5">
        <w:rPr>
          <w:rStyle w:val="FootnoteReference"/>
          <w:sz w:val="24"/>
          <w:szCs w:val="24"/>
        </w:rPr>
        <w:footnoteReference w:id="40"/>
      </w:r>
      <w:r w:rsidR="00825D29">
        <w:rPr>
          <w:sz w:val="24"/>
          <w:szCs w:val="24"/>
        </w:rPr>
        <w:t xml:space="preserve"> </w:t>
      </w:r>
      <w:r w:rsidR="00D00982">
        <w:rPr>
          <w:sz w:val="24"/>
          <w:szCs w:val="24"/>
        </w:rPr>
        <w:t xml:space="preserve">For example, </w:t>
      </w:r>
      <w:r w:rsidR="000D0B16">
        <w:rPr>
          <w:sz w:val="24"/>
          <w:szCs w:val="24"/>
        </w:rPr>
        <w:t xml:space="preserve">in </w:t>
      </w:r>
      <w:r w:rsidR="000D0B16" w:rsidRPr="000D0B16">
        <w:rPr>
          <w:i/>
          <w:sz w:val="24"/>
          <w:szCs w:val="24"/>
        </w:rPr>
        <w:t>R v Hodges</w:t>
      </w:r>
      <w:r w:rsidR="000D0B16" w:rsidRPr="000D0B16">
        <w:rPr>
          <w:rStyle w:val="FootnoteReference"/>
          <w:sz w:val="24"/>
          <w:szCs w:val="24"/>
        </w:rPr>
        <w:footnoteReference w:id="41"/>
      </w:r>
      <w:r w:rsidR="000D0B16" w:rsidRPr="000D0B16">
        <w:rPr>
          <w:sz w:val="24"/>
          <w:szCs w:val="24"/>
        </w:rPr>
        <w:t xml:space="preserve">, </w:t>
      </w:r>
      <w:r w:rsidR="000D0B16">
        <w:rPr>
          <w:sz w:val="24"/>
          <w:szCs w:val="24"/>
        </w:rPr>
        <w:t>a police officer was properly permit</w:t>
      </w:r>
      <w:r w:rsidR="007C53C8">
        <w:rPr>
          <w:sz w:val="24"/>
          <w:szCs w:val="24"/>
        </w:rPr>
        <w:t xml:space="preserve">ted to give evidence as to </w:t>
      </w:r>
      <w:r w:rsidR="00E116F6" w:rsidRPr="00E116F6">
        <w:rPr>
          <w:sz w:val="24"/>
          <w:szCs w:val="24"/>
        </w:rPr>
        <w:t xml:space="preserve">the usual method of supplying heroin, the purchase price of heroin </w:t>
      </w:r>
      <w:r w:rsidR="00E116F6">
        <w:rPr>
          <w:sz w:val="24"/>
          <w:szCs w:val="24"/>
        </w:rPr>
        <w:t xml:space="preserve">and that </w:t>
      </w:r>
      <w:r w:rsidR="00E116F6" w:rsidRPr="00E116F6">
        <w:rPr>
          <w:sz w:val="24"/>
          <w:szCs w:val="24"/>
        </w:rPr>
        <w:t xml:space="preserve">the amount of heroin found on </w:t>
      </w:r>
      <w:r w:rsidR="00E116F6">
        <w:rPr>
          <w:sz w:val="24"/>
          <w:szCs w:val="24"/>
        </w:rPr>
        <w:t xml:space="preserve">the accused on arrest </w:t>
      </w:r>
      <w:r w:rsidR="00E116F6" w:rsidRPr="00E116F6">
        <w:rPr>
          <w:sz w:val="24"/>
          <w:szCs w:val="24"/>
        </w:rPr>
        <w:t>was more than he would have required for personal use</w:t>
      </w:r>
      <w:r w:rsidR="00E116F6">
        <w:rPr>
          <w:sz w:val="24"/>
          <w:szCs w:val="24"/>
        </w:rPr>
        <w:t xml:space="preserve">. The officer, who had previously worked undercover but was now a drugs liaison officer, had over 16 years’ experience as a drugs officer, </w:t>
      </w:r>
      <w:r w:rsidR="00E116F6" w:rsidRPr="00E116F6">
        <w:rPr>
          <w:sz w:val="24"/>
          <w:szCs w:val="24"/>
        </w:rPr>
        <w:t xml:space="preserve">currently saw all forensic science service drugs reports that came into his </w:t>
      </w:r>
      <w:r w:rsidR="00E116F6">
        <w:rPr>
          <w:sz w:val="24"/>
          <w:szCs w:val="24"/>
        </w:rPr>
        <w:t>police D</w:t>
      </w:r>
      <w:r w:rsidR="00E116F6" w:rsidRPr="00E116F6">
        <w:rPr>
          <w:sz w:val="24"/>
          <w:szCs w:val="24"/>
        </w:rPr>
        <w:t>ivision</w:t>
      </w:r>
      <w:r w:rsidR="00E116F6">
        <w:rPr>
          <w:sz w:val="24"/>
          <w:szCs w:val="24"/>
        </w:rPr>
        <w:t xml:space="preserve"> and</w:t>
      </w:r>
      <w:r w:rsidR="00E116F6" w:rsidRPr="00E116F6">
        <w:rPr>
          <w:sz w:val="24"/>
          <w:szCs w:val="24"/>
        </w:rPr>
        <w:t xml:space="preserve"> </w:t>
      </w:r>
      <w:r w:rsidR="00E116F6">
        <w:rPr>
          <w:sz w:val="24"/>
          <w:szCs w:val="24"/>
        </w:rPr>
        <w:t xml:space="preserve">his </w:t>
      </w:r>
      <w:r w:rsidR="00E116F6" w:rsidRPr="00E116F6">
        <w:rPr>
          <w:sz w:val="24"/>
          <w:szCs w:val="24"/>
        </w:rPr>
        <w:t xml:space="preserve">expertise in relation to the matters which his evidence concerned </w:t>
      </w:r>
      <w:r w:rsidR="00E116F6">
        <w:rPr>
          <w:sz w:val="24"/>
          <w:szCs w:val="24"/>
        </w:rPr>
        <w:t xml:space="preserve">had been </w:t>
      </w:r>
      <w:r w:rsidR="00E116F6" w:rsidRPr="00E116F6">
        <w:rPr>
          <w:sz w:val="24"/>
          <w:szCs w:val="24"/>
        </w:rPr>
        <w:t>derived from training videos</w:t>
      </w:r>
      <w:r w:rsidR="00EF77D4">
        <w:rPr>
          <w:sz w:val="24"/>
          <w:szCs w:val="24"/>
        </w:rPr>
        <w:t>,</w:t>
      </w:r>
      <w:r w:rsidR="00E116F6">
        <w:rPr>
          <w:sz w:val="24"/>
          <w:szCs w:val="24"/>
        </w:rPr>
        <w:t xml:space="preserve"> </w:t>
      </w:r>
      <w:r w:rsidR="00EF77D4">
        <w:rPr>
          <w:sz w:val="24"/>
          <w:szCs w:val="24"/>
        </w:rPr>
        <w:t xml:space="preserve">from </w:t>
      </w:r>
      <w:r w:rsidR="00E116F6">
        <w:rPr>
          <w:sz w:val="24"/>
          <w:szCs w:val="24"/>
        </w:rPr>
        <w:t>a drugs investigation course</w:t>
      </w:r>
      <w:r w:rsidR="00800BC3">
        <w:rPr>
          <w:sz w:val="24"/>
          <w:szCs w:val="24"/>
        </w:rPr>
        <w:t>,</w:t>
      </w:r>
      <w:r w:rsidR="00EF77D4">
        <w:rPr>
          <w:sz w:val="24"/>
          <w:szCs w:val="24"/>
        </w:rPr>
        <w:t xml:space="preserve"> </w:t>
      </w:r>
      <w:r w:rsidR="00E116F6">
        <w:rPr>
          <w:sz w:val="24"/>
          <w:szCs w:val="24"/>
        </w:rPr>
        <w:t xml:space="preserve">from </w:t>
      </w:r>
      <w:r w:rsidR="00E116F6" w:rsidRPr="00E116F6">
        <w:rPr>
          <w:sz w:val="24"/>
          <w:szCs w:val="24"/>
        </w:rPr>
        <w:t xml:space="preserve">observations he had carried out, from speaking to prisoners, informants, colleagues and buyers and sellers of drugs and from police items recovered via </w:t>
      </w:r>
      <w:r w:rsidR="00E116F6" w:rsidRPr="00E116F6">
        <w:rPr>
          <w:sz w:val="24"/>
          <w:szCs w:val="24"/>
        </w:rPr>
        <w:lastRenderedPageBreak/>
        <w:t>drugs seizures.</w:t>
      </w:r>
      <w:r w:rsidR="002E197D">
        <w:rPr>
          <w:sz w:val="24"/>
          <w:szCs w:val="24"/>
        </w:rPr>
        <w:t xml:space="preserve"> In contrast, an example of circumstances in which the opinion evidence given by a police witness fell outside the ambit of the witness’s established expertise </w:t>
      </w:r>
      <w:r w:rsidR="00D00982">
        <w:rPr>
          <w:sz w:val="24"/>
          <w:szCs w:val="24"/>
        </w:rPr>
        <w:t xml:space="preserve"> </w:t>
      </w:r>
      <w:r w:rsidR="00F713B0">
        <w:rPr>
          <w:sz w:val="24"/>
          <w:szCs w:val="24"/>
        </w:rPr>
        <w:t xml:space="preserve">is </w:t>
      </w:r>
      <w:r w:rsidR="002E197D">
        <w:rPr>
          <w:sz w:val="24"/>
          <w:szCs w:val="24"/>
        </w:rPr>
        <w:t xml:space="preserve">provided by </w:t>
      </w:r>
      <w:r w:rsidR="009D0A33">
        <w:rPr>
          <w:sz w:val="24"/>
          <w:szCs w:val="24"/>
        </w:rPr>
        <w:t xml:space="preserve">in </w:t>
      </w:r>
      <w:r w:rsidR="009D0A33" w:rsidRPr="009D0A33">
        <w:rPr>
          <w:i/>
          <w:sz w:val="24"/>
          <w:szCs w:val="24"/>
        </w:rPr>
        <w:t>R (on the application of Wright) v the Crown Prosecution Service</w:t>
      </w:r>
      <w:r w:rsidR="002E197D">
        <w:rPr>
          <w:i/>
          <w:sz w:val="24"/>
          <w:szCs w:val="24"/>
        </w:rPr>
        <w:t>.</w:t>
      </w:r>
      <w:r w:rsidR="009D0A33">
        <w:rPr>
          <w:rStyle w:val="FootnoteReference"/>
          <w:sz w:val="24"/>
          <w:szCs w:val="24"/>
        </w:rPr>
        <w:footnoteReference w:id="42"/>
      </w:r>
      <w:r w:rsidR="009D0A33">
        <w:rPr>
          <w:i/>
          <w:sz w:val="24"/>
          <w:szCs w:val="24"/>
        </w:rPr>
        <w:t xml:space="preserve"> </w:t>
      </w:r>
      <w:r w:rsidR="002E197D" w:rsidRPr="002E197D">
        <w:rPr>
          <w:sz w:val="24"/>
          <w:szCs w:val="24"/>
        </w:rPr>
        <w:t>I</w:t>
      </w:r>
      <w:r w:rsidR="00A033AA" w:rsidRPr="00A033AA">
        <w:rPr>
          <w:sz w:val="24"/>
          <w:szCs w:val="24"/>
        </w:rPr>
        <w:t xml:space="preserve">n </w:t>
      </w:r>
      <w:r w:rsidR="002E197D" w:rsidRPr="002E197D">
        <w:rPr>
          <w:i/>
          <w:sz w:val="24"/>
          <w:szCs w:val="24"/>
        </w:rPr>
        <w:t>Wright</w:t>
      </w:r>
      <w:r w:rsidR="002E197D">
        <w:rPr>
          <w:sz w:val="24"/>
          <w:szCs w:val="24"/>
        </w:rPr>
        <w:t xml:space="preserve">, </w:t>
      </w:r>
      <w:r w:rsidR="00F713B0">
        <w:rPr>
          <w:sz w:val="24"/>
          <w:szCs w:val="24"/>
        </w:rPr>
        <w:t xml:space="preserve">in </w:t>
      </w:r>
      <w:r w:rsidR="00A033AA" w:rsidRPr="00A033AA">
        <w:rPr>
          <w:sz w:val="24"/>
          <w:szCs w:val="24"/>
        </w:rPr>
        <w:t xml:space="preserve">which the issue was </w:t>
      </w:r>
      <w:r w:rsidR="00A033AA">
        <w:rPr>
          <w:sz w:val="24"/>
          <w:szCs w:val="24"/>
        </w:rPr>
        <w:t xml:space="preserve">whether mushrooms </w:t>
      </w:r>
      <w:r w:rsidR="007418CA">
        <w:rPr>
          <w:sz w:val="24"/>
          <w:szCs w:val="24"/>
        </w:rPr>
        <w:t xml:space="preserve">which the accused admitted he had picked in October </w:t>
      </w:r>
      <w:r w:rsidR="00A033AA">
        <w:rPr>
          <w:sz w:val="24"/>
          <w:szCs w:val="24"/>
        </w:rPr>
        <w:t xml:space="preserve">were “magic mushrooms”, the Administrative Court held that </w:t>
      </w:r>
      <w:r w:rsidR="003F3E76">
        <w:rPr>
          <w:sz w:val="24"/>
          <w:szCs w:val="24"/>
        </w:rPr>
        <w:t xml:space="preserve">CV Forster (a grade lower than police officer) </w:t>
      </w:r>
      <w:r w:rsidR="0095147E">
        <w:rPr>
          <w:sz w:val="24"/>
          <w:szCs w:val="24"/>
        </w:rPr>
        <w:t xml:space="preserve">should not have been permitted to give evidence identifying the mushrooms as </w:t>
      </w:r>
      <w:r w:rsidR="00332D96">
        <w:rPr>
          <w:sz w:val="24"/>
          <w:szCs w:val="24"/>
        </w:rPr>
        <w:t>magic mushrooms</w:t>
      </w:r>
      <w:r w:rsidR="0095147E">
        <w:rPr>
          <w:sz w:val="24"/>
          <w:szCs w:val="24"/>
        </w:rPr>
        <w:t xml:space="preserve">. The evidence had been based on </w:t>
      </w:r>
      <w:r w:rsidR="007418CA">
        <w:rPr>
          <w:sz w:val="24"/>
          <w:szCs w:val="24"/>
        </w:rPr>
        <w:t>Mr Foster’s</w:t>
      </w:r>
      <w:r w:rsidR="0095147E">
        <w:rPr>
          <w:sz w:val="24"/>
          <w:szCs w:val="24"/>
        </w:rPr>
        <w:t xml:space="preserve"> physical examination of the mushrooms</w:t>
      </w:r>
      <w:r w:rsidR="007F4A70">
        <w:rPr>
          <w:sz w:val="24"/>
          <w:szCs w:val="24"/>
        </w:rPr>
        <w:t xml:space="preserve"> </w:t>
      </w:r>
      <w:r w:rsidR="007418CA">
        <w:rPr>
          <w:sz w:val="24"/>
          <w:szCs w:val="24"/>
        </w:rPr>
        <w:t xml:space="preserve">but there was no evidence indicating how he had distinguished them from the few other varieties of mushroom which he said looked like magic mushrooms, there was no “provenance” for his evidence that the growing season for magic mushrooms was July to August/September and there was no evidence that </w:t>
      </w:r>
      <w:r w:rsidR="00332D96">
        <w:rPr>
          <w:sz w:val="24"/>
          <w:szCs w:val="24"/>
        </w:rPr>
        <w:t>he</w:t>
      </w:r>
      <w:r w:rsidR="007418CA">
        <w:rPr>
          <w:sz w:val="24"/>
          <w:szCs w:val="24"/>
        </w:rPr>
        <w:t xml:space="preserve"> possessed </w:t>
      </w:r>
      <w:r w:rsidR="004D63B7">
        <w:rPr>
          <w:sz w:val="24"/>
          <w:szCs w:val="24"/>
        </w:rPr>
        <w:t>“any background” en</w:t>
      </w:r>
      <w:r w:rsidR="00332D96">
        <w:rPr>
          <w:sz w:val="24"/>
          <w:szCs w:val="24"/>
        </w:rPr>
        <w:t>titling</w:t>
      </w:r>
      <w:r w:rsidR="004D63B7">
        <w:rPr>
          <w:sz w:val="24"/>
          <w:szCs w:val="24"/>
        </w:rPr>
        <w:t xml:space="preserve"> him to testify that </w:t>
      </w:r>
      <w:r w:rsidR="00332D96">
        <w:rPr>
          <w:sz w:val="24"/>
          <w:szCs w:val="24"/>
        </w:rPr>
        <w:t xml:space="preserve">in consequence of </w:t>
      </w:r>
      <w:r w:rsidR="004D63B7">
        <w:rPr>
          <w:sz w:val="24"/>
          <w:szCs w:val="24"/>
        </w:rPr>
        <w:t>global warming the growing season could extend into October</w:t>
      </w:r>
      <w:r w:rsidR="00332D96">
        <w:rPr>
          <w:sz w:val="24"/>
          <w:szCs w:val="24"/>
        </w:rPr>
        <w:t>.</w:t>
      </w:r>
    </w:p>
    <w:p w:rsidR="00F12EE8" w:rsidRDefault="00F12EE8" w:rsidP="00E870D8">
      <w:pPr>
        <w:autoSpaceDE w:val="0"/>
        <w:autoSpaceDN w:val="0"/>
        <w:adjustRightInd w:val="0"/>
        <w:spacing w:after="0" w:line="240" w:lineRule="auto"/>
        <w:rPr>
          <w:sz w:val="24"/>
          <w:szCs w:val="24"/>
        </w:rPr>
      </w:pPr>
    </w:p>
    <w:p w:rsidR="00AA48FF" w:rsidRDefault="00225EC0" w:rsidP="00AA48FF">
      <w:pPr>
        <w:autoSpaceDE w:val="0"/>
        <w:autoSpaceDN w:val="0"/>
        <w:adjustRightInd w:val="0"/>
        <w:spacing w:after="0" w:line="240" w:lineRule="auto"/>
        <w:rPr>
          <w:sz w:val="24"/>
          <w:szCs w:val="24"/>
        </w:rPr>
      </w:pPr>
      <w:r>
        <w:rPr>
          <w:sz w:val="24"/>
          <w:szCs w:val="24"/>
        </w:rPr>
        <w:t>On</w:t>
      </w:r>
      <w:r w:rsidR="00654348">
        <w:rPr>
          <w:sz w:val="24"/>
          <w:szCs w:val="24"/>
        </w:rPr>
        <w:t xml:space="preserve">ce the court is satisfied that a </w:t>
      </w:r>
      <w:r>
        <w:rPr>
          <w:sz w:val="24"/>
          <w:szCs w:val="24"/>
        </w:rPr>
        <w:t>witness is competent to give expert evidence in the relevant field, the weight of the witness’ evidence “</w:t>
      </w:r>
      <w:r w:rsidRPr="005010D7">
        <w:rPr>
          <w:sz w:val="24"/>
          <w:szCs w:val="24"/>
        </w:rPr>
        <w:t xml:space="preserve">is entirely a question for the jury, who will attach more or less weight to it according as they believe the witness to be </w:t>
      </w:r>
      <w:proofErr w:type="spellStart"/>
      <w:r w:rsidRPr="005010D7">
        <w:rPr>
          <w:sz w:val="24"/>
          <w:szCs w:val="24"/>
        </w:rPr>
        <w:t>peritus</w:t>
      </w:r>
      <w:proofErr w:type="spellEnd"/>
      <w:r>
        <w:rPr>
          <w:sz w:val="24"/>
          <w:szCs w:val="24"/>
        </w:rPr>
        <w:t>”</w:t>
      </w:r>
      <w:r>
        <w:rPr>
          <w:rStyle w:val="FootnoteReference"/>
          <w:sz w:val="24"/>
          <w:szCs w:val="24"/>
        </w:rPr>
        <w:footnoteReference w:id="43"/>
      </w:r>
      <w:r>
        <w:rPr>
          <w:sz w:val="24"/>
          <w:szCs w:val="24"/>
        </w:rPr>
        <w:t xml:space="preserve">. </w:t>
      </w:r>
      <w:r w:rsidR="00AA48FF">
        <w:rPr>
          <w:sz w:val="24"/>
          <w:szCs w:val="24"/>
        </w:rPr>
        <w:t xml:space="preserve">For example, the fact that a </w:t>
      </w:r>
      <w:r w:rsidR="00584277">
        <w:rPr>
          <w:sz w:val="24"/>
          <w:szCs w:val="24"/>
        </w:rPr>
        <w:t xml:space="preserve">recently retired </w:t>
      </w:r>
      <w:r w:rsidR="00EE35D5">
        <w:rPr>
          <w:sz w:val="24"/>
          <w:szCs w:val="24"/>
        </w:rPr>
        <w:t xml:space="preserve">former </w:t>
      </w:r>
      <w:r w:rsidR="00AA48FF">
        <w:rPr>
          <w:sz w:val="24"/>
          <w:szCs w:val="24"/>
        </w:rPr>
        <w:t xml:space="preserve">police officer called by the prosecution to give expert evidence relating to a police operated speed detection laser device had </w:t>
      </w:r>
      <w:r w:rsidR="00584277">
        <w:rPr>
          <w:sz w:val="24"/>
          <w:szCs w:val="24"/>
        </w:rPr>
        <w:t>received</w:t>
      </w:r>
      <w:r w:rsidR="00AA48FF">
        <w:rPr>
          <w:sz w:val="24"/>
          <w:szCs w:val="24"/>
        </w:rPr>
        <w:t xml:space="preserve"> recent training in the use of such devices and had used them in the recent past did not mean that a former police officer called by the defence who had retired </w:t>
      </w:r>
      <w:r w:rsidR="00584277">
        <w:rPr>
          <w:sz w:val="24"/>
          <w:szCs w:val="24"/>
        </w:rPr>
        <w:t>eight</w:t>
      </w:r>
      <w:r w:rsidR="00AA48FF">
        <w:rPr>
          <w:sz w:val="24"/>
          <w:szCs w:val="24"/>
        </w:rPr>
        <w:t xml:space="preserve"> years earlier</w:t>
      </w:r>
      <w:r w:rsidR="008A3810">
        <w:rPr>
          <w:sz w:val="24"/>
          <w:szCs w:val="24"/>
        </w:rPr>
        <w:t xml:space="preserve">, had not had the same training (because the training was not available to defence experts) and had not used such devices since he retired was not an expert witness. The latter witness </w:t>
      </w:r>
      <w:r w:rsidR="00584277">
        <w:rPr>
          <w:sz w:val="24"/>
          <w:szCs w:val="24"/>
        </w:rPr>
        <w:t xml:space="preserve">had conducted continuing research into the device and </w:t>
      </w:r>
      <w:r w:rsidR="008A3810">
        <w:rPr>
          <w:sz w:val="24"/>
          <w:szCs w:val="24"/>
        </w:rPr>
        <w:t>did have</w:t>
      </w:r>
      <w:r w:rsidR="00584277">
        <w:rPr>
          <w:sz w:val="24"/>
          <w:szCs w:val="24"/>
        </w:rPr>
        <w:t xml:space="preserve"> experience of similar devices</w:t>
      </w:r>
      <w:r w:rsidR="008A3810">
        <w:rPr>
          <w:sz w:val="24"/>
          <w:szCs w:val="24"/>
        </w:rPr>
        <w:t>.</w:t>
      </w:r>
      <w:r w:rsidR="00584277">
        <w:rPr>
          <w:sz w:val="24"/>
          <w:szCs w:val="24"/>
        </w:rPr>
        <w:t xml:space="preserve"> </w:t>
      </w:r>
      <w:r w:rsidR="008A3810">
        <w:rPr>
          <w:sz w:val="24"/>
          <w:szCs w:val="24"/>
        </w:rPr>
        <w:t>T</w:t>
      </w:r>
      <w:r w:rsidR="00584277">
        <w:rPr>
          <w:sz w:val="24"/>
          <w:szCs w:val="24"/>
        </w:rPr>
        <w:t xml:space="preserve">he Divisional Court held that </w:t>
      </w:r>
      <w:r w:rsidR="00AA48FF">
        <w:rPr>
          <w:sz w:val="24"/>
          <w:szCs w:val="24"/>
        </w:rPr>
        <w:t>these matters went to the comparativ</w:t>
      </w:r>
      <w:r w:rsidR="00584277">
        <w:rPr>
          <w:sz w:val="24"/>
          <w:szCs w:val="24"/>
        </w:rPr>
        <w:t>e weight of the expert evidence</w:t>
      </w:r>
      <w:r w:rsidR="00D35A23">
        <w:rPr>
          <w:sz w:val="24"/>
          <w:szCs w:val="24"/>
        </w:rPr>
        <w:t>, not to the competence of the latter witness to give expert evidence.</w:t>
      </w:r>
      <w:r w:rsidR="00D35A23">
        <w:rPr>
          <w:rStyle w:val="FootnoteReference"/>
          <w:sz w:val="24"/>
          <w:szCs w:val="24"/>
        </w:rPr>
        <w:footnoteReference w:id="44"/>
      </w:r>
    </w:p>
    <w:p w:rsidR="00D35A23" w:rsidRDefault="00D35A23" w:rsidP="00AA48FF">
      <w:pPr>
        <w:autoSpaceDE w:val="0"/>
        <w:autoSpaceDN w:val="0"/>
        <w:adjustRightInd w:val="0"/>
        <w:spacing w:after="0" w:line="240" w:lineRule="auto"/>
        <w:rPr>
          <w:rFonts w:ascii="Verdana" w:hAnsi="Verdana"/>
          <w:color w:val="000000"/>
          <w:sz w:val="19"/>
          <w:szCs w:val="19"/>
          <w:shd w:val="clear" w:color="auto" w:fill="FFFFFF"/>
        </w:rPr>
      </w:pPr>
    </w:p>
    <w:p w:rsidR="000030E3" w:rsidRDefault="002378F6" w:rsidP="000030E3">
      <w:pPr>
        <w:autoSpaceDE w:val="0"/>
        <w:autoSpaceDN w:val="0"/>
        <w:adjustRightInd w:val="0"/>
        <w:spacing w:after="0" w:line="240" w:lineRule="auto"/>
        <w:rPr>
          <w:sz w:val="24"/>
          <w:szCs w:val="24"/>
        </w:rPr>
      </w:pPr>
      <w:r>
        <w:rPr>
          <w:sz w:val="24"/>
          <w:szCs w:val="24"/>
        </w:rPr>
        <w:t xml:space="preserve">The operation of </w:t>
      </w:r>
      <w:r w:rsidR="003A625B">
        <w:rPr>
          <w:sz w:val="24"/>
          <w:szCs w:val="24"/>
        </w:rPr>
        <w:t xml:space="preserve">the “relevant expertise” limb </w:t>
      </w:r>
      <w:r>
        <w:rPr>
          <w:sz w:val="24"/>
          <w:szCs w:val="24"/>
        </w:rPr>
        <w:t xml:space="preserve">of the common law admissibility test does not only have the potential to exclude expert evidence but also has the potential to limit the evidence which an expert witness should be permitted to give. Thus, where expert </w:t>
      </w:r>
      <w:r w:rsidRPr="000030E3">
        <w:rPr>
          <w:sz w:val="24"/>
          <w:szCs w:val="24"/>
        </w:rPr>
        <w:t>evidence is admitted, the expert should still not be permitted to give evidence which falls outside the witness’</w:t>
      </w:r>
      <w:r w:rsidR="000030E3" w:rsidRPr="000030E3">
        <w:rPr>
          <w:sz w:val="24"/>
          <w:szCs w:val="24"/>
        </w:rPr>
        <w:t xml:space="preserve"> field of expertise. For example, </w:t>
      </w:r>
      <w:r w:rsidR="000030E3">
        <w:rPr>
          <w:sz w:val="24"/>
          <w:szCs w:val="24"/>
        </w:rPr>
        <w:t xml:space="preserve">in </w:t>
      </w:r>
      <w:r w:rsidR="000030E3" w:rsidRPr="000030E3">
        <w:rPr>
          <w:i/>
          <w:sz w:val="24"/>
          <w:szCs w:val="24"/>
        </w:rPr>
        <w:t>R v Clarke</w:t>
      </w:r>
      <w:r w:rsidR="000030E3" w:rsidRPr="000030E3">
        <w:rPr>
          <w:rStyle w:val="FootnoteReference"/>
          <w:sz w:val="24"/>
          <w:szCs w:val="24"/>
        </w:rPr>
        <w:footnoteReference w:id="45"/>
      </w:r>
      <w:r w:rsidR="000030E3">
        <w:rPr>
          <w:sz w:val="24"/>
          <w:szCs w:val="24"/>
        </w:rPr>
        <w:t xml:space="preserve">, </w:t>
      </w:r>
      <w:r w:rsidR="00CA7D0E">
        <w:rPr>
          <w:sz w:val="24"/>
          <w:szCs w:val="24"/>
        </w:rPr>
        <w:t xml:space="preserve">the Court of Appeal </w:t>
      </w:r>
      <w:r w:rsidR="008A3810">
        <w:rPr>
          <w:sz w:val="24"/>
          <w:szCs w:val="24"/>
        </w:rPr>
        <w:t>accepted</w:t>
      </w:r>
      <w:r w:rsidR="00CA7D0E">
        <w:rPr>
          <w:sz w:val="24"/>
          <w:szCs w:val="24"/>
        </w:rPr>
        <w:t xml:space="preserve"> that the judge had been entitled to rule that </w:t>
      </w:r>
      <w:r w:rsidR="000030E3">
        <w:rPr>
          <w:sz w:val="24"/>
          <w:szCs w:val="24"/>
        </w:rPr>
        <w:t xml:space="preserve">an expert in </w:t>
      </w:r>
      <w:proofErr w:type="spellStart"/>
      <w:r w:rsidR="000030E3" w:rsidRPr="000030E3">
        <w:rPr>
          <w:sz w:val="24"/>
          <w:szCs w:val="24"/>
        </w:rPr>
        <w:t>osteoarticular</w:t>
      </w:r>
      <w:proofErr w:type="spellEnd"/>
      <w:r w:rsidR="000030E3" w:rsidRPr="000030E3">
        <w:rPr>
          <w:sz w:val="24"/>
          <w:szCs w:val="24"/>
        </w:rPr>
        <w:t xml:space="preserve"> pathology </w:t>
      </w:r>
      <w:r w:rsidR="000030E3">
        <w:rPr>
          <w:sz w:val="24"/>
          <w:szCs w:val="24"/>
        </w:rPr>
        <w:t xml:space="preserve">who </w:t>
      </w:r>
      <w:r w:rsidR="000030E3" w:rsidRPr="000030E3">
        <w:rPr>
          <w:sz w:val="24"/>
          <w:szCs w:val="24"/>
        </w:rPr>
        <w:t>had never conducted a post mortem where murder was suspected</w:t>
      </w:r>
      <w:r w:rsidR="000030E3">
        <w:rPr>
          <w:sz w:val="24"/>
          <w:szCs w:val="24"/>
        </w:rPr>
        <w:t xml:space="preserve"> did </w:t>
      </w:r>
      <w:r w:rsidR="000030E3" w:rsidRPr="000030E3">
        <w:rPr>
          <w:sz w:val="24"/>
          <w:szCs w:val="24"/>
        </w:rPr>
        <w:t>not possess the expertise to give an opinion on ca</w:t>
      </w:r>
      <w:r w:rsidR="000030E3">
        <w:rPr>
          <w:sz w:val="24"/>
          <w:szCs w:val="24"/>
        </w:rPr>
        <w:t>use of death in a murder trial</w:t>
      </w:r>
      <w:r w:rsidR="00CA7D0E">
        <w:rPr>
          <w:sz w:val="24"/>
          <w:szCs w:val="24"/>
        </w:rPr>
        <w:t xml:space="preserve">. The judge </w:t>
      </w:r>
      <w:r w:rsidR="003A625B">
        <w:rPr>
          <w:sz w:val="24"/>
          <w:szCs w:val="24"/>
        </w:rPr>
        <w:t xml:space="preserve">had </w:t>
      </w:r>
      <w:r w:rsidR="00CA7D0E">
        <w:rPr>
          <w:sz w:val="24"/>
          <w:szCs w:val="24"/>
        </w:rPr>
        <w:t>not permit</w:t>
      </w:r>
      <w:r w:rsidR="003A625B">
        <w:rPr>
          <w:sz w:val="24"/>
          <w:szCs w:val="24"/>
        </w:rPr>
        <w:t>ted</w:t>
      </w:r>
      <w:r w:rsidR="00CA7D0E">
        <w:rPr>
          <w:sz w:val="24"/>
          <w:szCs w:val="24"/>
        </w:rPr>
        <w:t xml:space="preserve"> the expert to stray outside </w:t>
      </w:r>
      <w:r w:rsidR="00CD06BF">
        <w:rPr>
          <w:sz w:val="24"/>
          <w:szCs w:val="24"/>
        </w:rPr>
        <w:t xml:space="preserve">of </w:t>
      </w:r>
      <w:r w:rsidR="00CA7D0E">
        <w:rPr>
          <w:sz w:val="24"/>
          <w:szCs w:val="24"/>
        </w:rPr>
        <w:t>his field of expertise</w:t>
      </w:r>
      <w:r w:rsidR="003A625B">
        <w:rPr>
          <w:sz w:val="24"/>
          <w:szCs w:val="24"/>
        </w:rPr>
        <w:t>,</w:t>
      </w:r>
      <w:r w:rsidR="000030E3">
        <w:rPr>
          <w:sz w:val="24"/>
          <w:szCs w:val="24"/>
        </w:rPr>
        <w:t xml:space="preserve"> though </w:t>
      </w:r>
      <w:r w:rsidR="003A625B">
        <w:rPr>
          <w:sz w:val="24"/>
          <w:szCs w:val="24"/>
        </w:rPr>
        <w:t>had properly</w:t>
      </w:r>
      <w:r w:rsidR="00CA7D0E">
        <w:rPr>
          <w:sz w:val="24"/>
          <w:szCs w:val="24"/>
        </w:rPr>
        <w:t xml:space="preserve"> </w:t>
      </w:r>
      <w:r w:rsidR="000030E3">
        <w:rPr>
          <w:sz w:val="24"/>
          <w:szCs w:val="24"/>
        </w:rPr>
        <w:t>permit</w:t>
      </w:r>
      <w:r w:rsidR="00CA7D0E">
        <w:rPr>
          <w:sz w:val="24"/>
          <w:szCs w:val="24"/>
        </w:rPr>
        <w:t xml:space="preserve">ted </w:t>
      </w:r>
      <w:r w:rsidR="003A625B">
        <w:rPr>
          <w:sz w:val="24"/>
          <w:szCs w:val="24"/>
        </w:rPr>
        <w:t xml:space="preserve">the expert </w:t>
      </w:r>
      <w:r w:rsidR="000030E3">
        <w:rPr>
          <w:sz w:val="24"/>
          <w:szCs w:val="24"/>
        </w:rPr>
        <w:t xml:space="preserve">to give evidence concerning matters within his field of expertise, such as how long before the victim’s death the fractures to the victim’s ribs had occurred. </w:t>
      </w:r>
      <w:r w:rsidR="00024179">
        <w:rPr>
          <w:sz w:val="24"/>
          <w:szCs w:val="24"/>
        </w:rPr>
        <w:t xml:space="preserve">Conversely, the expert in </w:t>
      </w:r>
      <w:r w:rsidR="00024179" w:rsidRPr="00024179">
        <w:rPr>
          <w:i/>
          <w:sz w:val="24"/>
          <w:szCs w:val="24"/>
        </w:rPr>
        <w:t>Wright</w:t>
      </w:r>
      <w:r w:rsidR="00024179">
        <w:rPr>
          <w:rStyle w:val="FootnoteReference"/>
          <w:i/>
          <w:sz w:val="24"/>
          <w:szCs w:val="24"/>
        </w:rPr>
        <w:footnoteReference w:id="46"/>
      </w:r>
      <w:r w:rsidR="00024179">
        <w:rPr>
          <w:sz w:val="24"/>
          <w:szCs w:val="24"/>
        </w:rPr>
        <w:t xml:space="preserve"> </w:t>
      </w:r>
      <w:r w:rsidR="003A625B">
        <w:rPr>
          <w:sz w:val="24"/>
          <w:szCs w:val="24"/>
        </w:rPr>
        <w:t xml:space="preserve">should not have </w:t>
      </w:r>
      <w:r w:rsidR="00024179">
        <w:rPr>
          <w:sz w:val="24"/>
          <w:szCs w:val="24"/>
        </w:rPr>
        <w:t>stray</w:t>
      </w:r>
      <w:r w:rsidR="003A625B">
        <w:rPr>
          <w:sz w:val="24"/>
          <w:szCs w:val="24"/>
        </w:rPr>
        <w:t>ed</w:t>
      </w:r>
      <w:r w:rsidR="00024179">
        <w:rPr>
          <w:sz w:val="24"/>
          <w:szCs w:val="24"/>
        </w:rPr>
        <w:t xml:space="preserve"> from the area of valuation of drugs to those of identification of mushrooms as magic mushrooms, the duration of the magic mushroom growing season and the consequences of global warming thereupon. </w:t>
      </w:r>
    </w:p>
    <w:p w:rsidR="009D7A23" w:rsidRDefault="009D7A23" w:rsidP="000030E3">
      <w:pPr>
        <w:autoSpaceDE w:val="0"/>
        <w:autoSpaceDN w:val="0"/>
        <w:adjustRightInd w:val="0"/>
        <w:spacing w:after="0" w:line="240" w:lineRule="auto"/>
        <w:rPr>
          <w:sz w:val="24"/>
          <w:szCs w:val="24"/>
        </w:rPr>
      </w:pPr>
    </w:p>
    <w:p w:rsidR="00A5025F" w:rsidRDefault="009D7A23" w:rsidP="002614DC">
      <w:pPr>
        <w:autoSpaceDE w:val="0"/>
        <w:autoSpaceDN w:val="0"/>
        <w:adjustRightInd w:val="0"/>
        <w:spacing w:after="0" w:line="240" w:lineRule="auto"/>
        <w:rPr>
          <w:sz w:val="24"/>
          <w:szCs w:val="24"/>
        </w:rPr>
      </w:pPr>
      <w:proofErr w:type="spellStart"/>
      <w:r>
        <w:rPr>
          <w:sz w:val="24"/>
          <w:szCs w:val="24"/>
        </w:rPr>
        <w:t>CrimPR</w:t>
      </w:r>
      <w:proofErr w:type="spellEnd"/>
      <w:r>
        <w:rPr>
          <w:sz w:val="24"/>
          <w:szCs w:val="24"/>
        </w:rPr>
        <w:t xml:space="preserve"> Part 19 contains several provisions which are of relevance in </w:t>
      </w:r>
      <w:r w:rsidR="0088528C">
        <w:rPr>
          <w:sz w:val="24"/>
          <w:szCs w:val="24"/>
        </w:rPr>
        <w:t>relation to</w:t>
      </w:r>
      <w:r w:rsidR="00271075">
        <w:rPr>
          <w:sz w:val="24"/>
          <w:szCs w:val="24"/>
        </w:rPr>
        <w:t xml:space="preserve"> expert </w:t>
      </w:r>
      <w:r w:rsidR="008A3810">
        <w:rPr>
          <w:sz w:val="24"/>
          <w:szCs w:val="24"/>
        </w:rPr>
        <w:t xml:space="preserve">witness </w:t>
      </w:r>
      <w:r w:rsidR="00271075">
        <w:rPr>
          <w:sz w:val="24"/>
          <w:szCs w:val="24"/>
        </w:rPr>
        <w:t xml:space="preserve">competence, </w:t>
      </w:r>
      <w:r w:rsidR="00A5025F">
        <w:rPr>
          <w:sz w:val="24"/>
          <w:szCs w:val="24"/>
        </w:rPr>
        <w:t>the</w:t>
      </w:r>
      <w:r w:rsidR="00271075">
        <w:rPr>
          <w:sz w:val="24"/>
          <w:szCs w:val="24"/>
        </w:rPr>
        <w:t xml:space="preserve"> expert’s field of expertise and the credibility of expert witnesses</w:t>
      </w:r>
      <w:r w:rsidR="00A5025F">
        <w:rPr>
          <w:sz w:val="24"/>
          <w:szCs w:val="24"/>
        </w:rPr>
        <w:t>. S</w:t>
      </w:r>
      <w:r>
        <w:rPr>
          <w:sz w:val="24"/>
          <w:szCs w:val="24"/>
        </w:rPr>
        <w:t xml:space="preserve">ome of </w:t>
      </w:r>
      <w:r w:rsidR="00A5025F">
        <w:rPr>
          <w:sz w:val="24"/>
          <w:szCs w:val="24"/>
        </w:rPr>
        <w:t>these provisions</w:t>
      </w:r>
      <w:r w:rsidR="00276EA3">
        <w:rPr>
          <w:sz w:val="24"/>
          <w:szCs w:val="24"/>
        </w:rPr>
        <w:t xml:space="preserve"> were </w:t>
      </w:r>
      <w:r>
        <w:rPr>
          <w:sz w:val="24"/>
          <w:szCs w:val="24"/>
        </w:rPr>
        <w:t xml:space="preserve">introduced </w:t>
      </w:r>
      <w:r w:rsidR="000D030A">
        <w:rPr>
          <w:sz w:val="24"/>
          <w:szCs w:val="24"/>
        </w:rPr>
        <w:t xml:space="preserve">or amended </w:t>
      </w:r>
      <w:r>
        <w:rPr>
          <w:sz w:val="24"/>
          <w:szCs w:val="24"/>
        </w:rPr>
        <w:t>in 2014</w:t>
      </w:r>
      <w:r w:rsidR="00276EA3">
        <w:rPr>
          <w:sz w:val="24"/>
          <w:szCs w:val="24"/>
        </w:rPr>
        <w:t>,</w:t>
      </w:r>
      <w:r>
        <w:rPr>
          <w:sz w:val="24"/>
          <w:szCs w:val="24"/>
        </w:rPr>
        <w:t xml:space="preserve"> subsequent to the Government’s response to the Law Commission’s recommendations. </w:t>
      </w:r>
    </w:p>
    <w:p w:rsidR="00A5025F" w:rsidRDefault="00A5025F" w:rsidP="002614DC">
      <w:pPr>
        <w:autoSpaceDE w:val="0"/>
        <w:autoSpaceDN w:val="0"/>
        <w:adjustRightInd w:val="0"/>
        <w:spacing w:after="0" w:line="240" w:lineRule="auto"/>
        <w:rPr>
          <w:sz w:val="24"/>
          <w:szCs w:val="24"/>
        </w:rPr>
      </w:pPr>
    </w:p>
    <w:p w:rsidR="00A5025F" w:rsidRDefault="00156F11" w:rsidP="002614DC">
      <w:pPr>
        <w:autoSpaceDE w:val="0"/>
        <w:autoSpaceDN w:val="0"/>
        <w:adjustRightInd w:val="0"/>
        <w:spacing w:after="0" w:line="240" w:lineRule="auto"/>
        <w:rPr>
          <w:sz w:val="24"/>
          <w:szCs w:val="24"/>
        </w:rPr>
      </w:pPr>
      <w:proofErr w:type="spellStart"/>
      <w:r>
        <w:rPr>
          <w:sz w:val="24"/>
          <w:szCs w:val="24"/>
        </w:rPr>
        <w:t>CrimPR</w:t>
      </w:r>
      <w:proofErr w:type="spellEnd"/>
      <w:r>
        <w:rPr>
          <w:sz w:val="24"/>
          <w:szCs w:val="24"/>
        </w:rPr>
        <w:t xml:space="preserve"> 19.4(a) requires experts, in their reports, to provide details of “qualifications, relevant experience and accreditation”. </w:t>
      </w:r>
      <w:r w:rsidR="00A5025F">
        <w:rPr>
          <w:sz w:val="24"/>
          <w:szCs w:val="24"/>
        </w:rPr>
        <w:t xml:space="preserve">This will clearly provide information of assistance when the court is determining whether the witness is competent to give expert evidence. </w:t>
      </w:r>
    </w:p>
    <w:p w:rsidR="00A5025F" w:rsidRDefault="00A5025F" w:rsidP="002614DC">
      <w:pPr>
        <w:autoSpaceDE w:val="0"/>
        <w:autoSpaceDN w:val="0"/>
        <w:adjustRightInd w:val="0"/>
        <w:spacing w:after="0" w:line="240" w:lineRule="auto"/>
        <w:rPr>
          <w:sz w:val="24"/>
          <w:szCs w:val="24"/>
        </w:rPr>
      </w:pPr>
    </w:p>
    <w:p w:rsidR="00EE4324" w:rsidRDefault="00BF2084" w:rsidP="002614DC">
      <w:pPr>
        <w:autoSpaceDE w:val="0"/>
        <w:autoSpaceDN w:val="0"/>
        <w:adjustRightInd w:val="0"/>
        <w:spacing w:after="0" w:line="240" w:lineRule="auto"/>
        <w:rPr>
          <w:sz w:val="24"/>
          <w:szCs w:val="24"/>
        </w:rPr>
      </w:pPr>
      <w:proofErr w:type="spellStart"/>
      <w:r>
        <w:rPr>
          <w:sz w:val="24"/>
          <w:szCs w:val="24"/>
        </w:rPr>
        <w:t>CrimPR</w:t>
      </w:r>
      <w:proofErr w:type="spellEnd"/>
      <w:r>
        <w:rPr>
          <w:sz w:val="24"/>
          <w:szCs w:val="24"/>
        </w:rPr>
        <w:t xml:space="preserve"> 19.2, which concerns the expert’s duty to the court, contains several provisions which specifically relate to an expert’s field of expertise. It </w:t>
      </w:r>
      <w:r w:rsidR="000D030A">
        <w:rPr>
          <w:sz w:val="24"/>
          <w:szCs w:val="24"/>
        </w:rPr>
        <w:t xml:space="preserve">provides that </w:t>
      </w:r>
      <w:r>
        <w:rPr>
          <w:sz w:val="24"/>
          <w:szCs w:val="24"/>
        </w:rPr>
        <w:t xml:space="preserve">an </w:t>
      </w:r>
      <w:r w:rsidR="000D030A">
        <w:rPr>
          <w:sz w:val="24"/>
          <w:szCs w:val="24"/>
        </w:rPr>
        <w:t>expert’s duty to the court includes</w:t>
      </w:r>
      <w:r w:rsidR="00276EA3">
        <w:rPr>
          <w:sz w:val="24"/>
          <w:szCs w:val="24"/>
        </w:rPr>
        <w:t>, amongst other matters,</w:t>
      </w:r>
      <w:r w:rsidR="000D030A">
        <w:rPr>
          <w:sz w:val="24"/>
          <w:szCs w:val="24"/>
        </w:rPr>
        <w:t xml:space="preserve"> an obligation to give an opinion which </w:t>
      </w:r>
      <w:r w:rsidR="00574BA5">
        <w:rPr>
          <w:sz w:val="24"/>
          <w:szCs w:val="24"/>
        </w:rPr>
        <w:t>falls</w:t>
      </w:r>
      <w:r w:rsidR="000D030A">
        <w:rPr>
          <w:sz w:val="24"/>
          <w:szCs w:val="24"/>
        </w:rPr>
        <w:t xml:space="preserve"> </w:t>
      </w:r>
      <w:r w:rsidR="007B5731">
        <w:rPr>
          <w:sz w:val="24"/>
          <w:szCs w:val="24"/>
        </w:rPr>
        <w:t>“</w:t>
      </w:r>
      <w:r w:rsidR="000D030A" w:rsidRPr="007B5731">
        <w:rPr>
          <w:sz w:val="24"/>
          <w:szCs w:val="24"/>
        </w:rPr>
        <w:t>within the expert’s area or areas of expertise</w:t>
      </w:r>
      <w:r w:rsidR="007B5731" w:rsidRPr="007B5731">
        <w:rPr>
          <w:sz w:val="24"/>
          <w:szCs w:val="24"/>
        </w:rPr>
        <w:t>”, an obligation</w:t>
      </w:r>
      <w:r w:rsidR="00574BA5">
        <w:rPr>
          <w:sz w:val="24"/>
          <w:szCs w:val="24"/>
        </w:rPr>
        <w:t>, both in an expert’s report and when testifying,</w:t>
      </w:r>
      <w:r w:rsidR="007B5731" w:rsidRPr="007B5731">
        <w:rPr>
          <w:sz w:val="24"/>
          <w:szCs w:val="24"/>
        </w:rPr>
        <w:t xml:space="preserve"> “to define the expert’s area or areas of expertise</w:t>
      </w:r>
      <w:r w:rsidR="00574BA5">
        <w:rPr>
          <w:sz w:val="24"/>
          <w:szCs w:val="24"/>
        </w:rPr>
        <w:t xml:space="preserve">” </w:t>
      </w:r>
      <w:r w:rsidR="007B5731" w:rsidRPr="007B5731">
        <w:rPr>
          <w:sz w:val="24"/>
          <w:szCs w:val="24"/>
        </w:rPr>
        <w:t>and an obligation</w:t>
      </w:r>
      <w:r w:rsidR="00574BA5">
        <w:rPr>
          <w:sz w:val="24"/>
          <w:szCs w:val="24"/>
        </w:rPr>
        <w:t>, when testifying, “</w:t>
      </w:r>
      <w:r w:rsidR="007B5731" w:rsidRPr="007B5731">
        <w:rPr>
          <w:sz w:val="24"/>
          <w:szCs w:val="24"/>
        </w:rPr>
        <w:t>to draw the court’s attention to any question to which the answer would be outside the expert’s area or areas of expertise”.</w:t>
      </w:r>
      <w:r w:rsidR="004B45C6">
        <w:rPr>
          <w:rStyle w:val="FootnoteReference"/>
          <w:sz w:val="24"/>
          <w:szCs w:val="24"/>
        </w:rPr>
        <w:footnoteReference w:id="47"/>
      </w:r>
      <w:r w:rsidR="007B5731" w:rsidRPr="007B5731">
        <w:rPr>
          <w:sz w:val="24"/>
          <w:szCs w:val="24"/>
        </w:rPr>
        <w:t xml:space="preserve"> </w:t>
      </w:r>
    </w:p>
    <w:p w:rsidR="00A5025F" w:rsidRDefault="00A5025F" w:rsidP="002614DC">
      <w:pPr>
        <w:autoSpaceDE w:val="0"/>
        <w:autoSpaceDN w:val="0"/>
        <w:adjustRightInd w:val="0"/>
        <w:spacing w:after="0" w:line="240" w:lineRule="auto"/>
        <w:rPr>
          <w:sz w:val="24"/>
          <w:szCs w:val="24"/>
        </w:rPr>
      </w:pPr>
    </w:p>
    <w:p w:rsidR="002614DC" w:rsidRDefault="00156F11" w:rsidP="002614DC">
      <w:pPr>
        <w:autoSpaceDE w:val="0"/>
        <w:autoSpaceDN w:val="0"/>
        <w:adjustRightInd w:val="0"/>
        <w:spacing w:after="0" w:line="240" w:lineRule="auto"/>
        <w:rPr>
          <w:sz w:val="24"/>
          <w:szCs w:val="24"/>
        </w:rPr>
      </w:pPr>
      <w:r>
        <w:rPr>
          <w:sz w:val="24"/>
          <w:szCs w:val="24"/>
        </w:rPr>
        <w:t xml:space="preserve">Finally, </w:t>
      </w:r>
      <w:proofErr w:type="spellStart"/>
      <w:r w:rsidR="00271075">
        <w:rPr>
          <w:sz w:val="24"/>
          <w:szCs w:val="24"/>
        </w:rPr>
        <w:t>CrimPR</w:t>
      </w:r>
      <w:proofErr w:type="spellEnd"/>
      <w:r w:rsidR="00271075">
        <w:rPr>
          <w:sz w:val="24"/>
          <w:szCs w:val="24"/>
        </w:rPr>
        <w:t xml:space="preserve"> 19.3(c) requires an expert who wishes to introduce an expert’s evidence other than as an admitted fact to “</w:t>
      </w:r>
      <w:r w:rsidR="00271075" w:rsidRPr="0091023B">
        <w:rPr>
          <w:sz w:val="24"/>
          <w:szCs w:val="24"/>
        </w:rPr>
        <w:t xml:space="preserve">serve with the report notice of anything of which the party serving it is aware which might reasonably be thought capable of detracting substantially from the credibility of that expert”. </w:t>
      </w:r>
      <w:r w:rsidR="00881174">
        <w:rPr>
          <w:sz w:val="24"/>
          <w:szCs w:val="24"/>
        </w:rPr>
        <w:t xml:space="preserve">It is suggested that examples of matters which a party should disclose in order to comply with this requirement are provided by </w:t>
      </w:r>
      <w:r w:rsidR="00A5025F">
        <w:rPr>
          <w:sz w:val="24"/>
          <w:szCs w:val="24"/>
        </w:rPr>
        <w:t xml:space="preserve">those </w:t>
      </w:r>
      <w:r w:rsidR="002614DC">
        <w:rPr>
          <w:sz w:val="24"/>
          <w:szCs w:val="24"/>
        </w:rPr>
        <w:t xml:space="preserve">matters that prosecution experts are required to disclose to the prosecution when they complete the </w:t>
      </w:r>
      <w:r w:rsidR="002614DC" w:rsidRPr="002614DC">
        <w:rPr>
          <w:sz w:val="24"/>
          <w:szCs w:val="24"/>
        </w:rPr>
        <w:t xml:space="preserve">Expert </w:t>
      </w:r>
      <w:r w:rsidR="00A5025F">
        <w:rPr>
          <w:sz w:val="24"/>
          <w:szCs w:val="24"/>
        </w:rPr>
        <w:t>W</w:t>
      </w:r>
      <w:r w:rsidR="002614DC" w:rsidRPr="002614DC">
        <w:rPr>
          <w:sz w:val="24"/>
          <w:szCs w:val="24"/>
        </w:rPr>
        <w:t xml:space="preserve">itnesses </w:t>
      </w:r>
      <w:r w:rsidR="00A5025F">
        <w:rPr>
          <w:sz w:val="24"/>
          <w:szCs w:val="24"/>
        </w:rPr>
        <w:t>S</w:t>
      </w:r>
      <w:r w:rsidR="002614DC" w:rsidRPr="002614DC">
        <w:rPr>
          <w:sz w:val="24"/>
          <w:szCs w:val="24"/>
        </w:rPr>
        <w:t>elf-</w:t>
      </w:r>
      <w:r w:rsidR="00A5025F">
        <w:rPr>
          <w:sz w:val="24"/>
          <w:szCs w:val="24"/>
        </w:rPr>
        <w:t>C</w:t>
      </w:r>
      <w:r w:rsidR="002614DC" w:rsidRPr="002614DC">
        <w:rPr>
          <w:sz w:val="24"/>
          <w:szCs w:val="24"/>
        </w:rPr>
        <w:t>ertificate</w:t>
      </w:r>
      <w:r w:rsidR="002614DC">
        <w:rPr>
          <w:sz w:val="24"/>
          <w:szCs w:val="24"/>
        </w:rPr>
        <w:t xml:space="preserve"> contained in Appendix C to the </w:t>
      </w:r>
      <w:r w:rsidR="00881174">
        <w:rPr>
          <w:sz w:val="24"/>
          <w:szCs w:val="24"/>
        </w:rPr>
        <w:t>Crown Prosecution Service’s Guidance Booklet for Experts</w:t>
      </w:r>
      <w:r w:rsidR="002614DC">
        <w:rPr>
          <w:sz w:val="24"/>
          <w:szCs w:val="24"/>
        </w:rPr>
        <w:t>.</w:t>
      </w:r>
      <w:r w:rsidR="00881174">
        <w:rPr>
          <w:rStyle w:val="FootnoteReference"/>
          <w:sz w:val="24"/>
          <w:szCs w:val="24"/>
        </w:rPr>
        <w:footnoteReference w:id="48"/>
      </w:r>
      <w:r w:rsidR="001C3333">
        <w:rPr>
          <w:sz w:val="24"/>
          <w:szCs w:val="24"/>
        </w:rPr>
        <w:t xml:space="preserve"> The relevant matters include </w:t>
      </w:r>
      <w:r w:rsidR="00881174" w:rsidRPr="002614DC">
        <w:rPr>
          <w:sz w:val="24"/>
          <w:szCs w:val="24"/>
        </w:rPr>
        <w:t xml:space="preserve">previous convictions, </w:t>
      </w:r>
      <w:r w:rsidR="001C3333">
        <w:rPr>
          <w:sz w:val="24"/>
          <w:szCs w:val="24"/>
        </w:rPr>
        <w:t xml:space="preserve">cautions and penalty notices, criminal or civil </w:t>
      </w:r>
      <w:r w:rsidR="00881174" w:rsidRPr="002614DC">
        <w:rPr>
          <w:sz w:val="24"/>
          <w:szCs w:val="24"/>
        </w:rPr>
        <w:t xml:space="preserve">proceedings pending against </w:t>
      </w:r>
      <w:r w:rsidR="002614DC">
        <w:rPr>
          <w:sz w:val="24"/>
          <w:szCs w:val="24"/>
        </w:rPr>
        <w:t>the expert,</w:t>
      </w:r>
      <w:r w:rsidR="00881174" w:rsidRPr="002614DC">
        <w:rPr>
          <w:sz w:val="24"/>
          <w:szCs w:val="24"/>
        </w:rPr>
        <w:t xml:space="preserve"> adverse findings made by judges</w:t>
      </w:r>
      <w:r w:rsidR="001C3333">
        <w:rPr>
          <w:sz w:val="24"/>
          <w:szCs w:val="24"/>
        </w:rPr>
        <w:t xml:space="preserve">, magistrates or coroners </w:t>
      </w:r>
      <w:r w:rsidR="00881174" w:rsidRPr="002614DC">
        <w:rPr>
          <w:sz w:val="24"/>
          <w:szCs w:val="24"/>
        </w:rPr>
        <w:t xml:space="preserve">concerning the expert’s professional competence or credibility, adverse findings </w:t>
      </w:r>
      <w:r w:rsidR="001C3333">
        <w:rPr>
          <w:sz w:val="24"/>
          <w:szCs w:val="24"/>
        </w:rPr>
        <w:t>b</w:t>
      </w:r>
      <w:r w:rsidR="00881174" w:rsidRPr="002614DC">
        <w:rPr>
          <w:sz w:val="24"/>
          <w:szCs w:val="24"/>
        </w:rPr>
        <w:t>y professional or regulatory bodies</w:t>
      </w:r>
      <w:r w:rsidR="001C3333">
        <w:rPr>
          <w:sz w:val="24"/>
          <w:szCs w:val="24"/>
        </w:rPr>
        <w:t>,</w:t>
      </w:r>
      <w:r w:rsidR="00881174" w:rsidRPr="002614DC">
        <w:rPr>
          <w:sz w:val="24"/>
          <w:szCs w:val="24"/>
        </w:rPr>
        <w:t xml:space="preserve"> pending proceedings, referrals or investigations by such bodies</w:t>
      </w:r>
      <w:r w:rsidR="001C3333">
        <w:rPr>
          <w:sz w:val="24"/>
          <w:szCs w:val="24"/>
        </w:rPr>
        <w:t xml:space="preserve"> and any other information which may adversely affect the expert’s professional competence and credibility. </w:t>
      </w:r>
      <w:r w:rsidR="00FA253D">
        <w:rPr>
          <w:sz w:val="24"/>
          <w:szCs w:val="24"/>
        </w:rPr>
        <w:t xml:space="preserve">Perhaps a useful amendment either to </w:t>
      </w:r>
      <w:proofErr w:type="spellStart"/>
      <w:r w:rsidR="00FA253D">
        <w:rPr>
          <w:sz w:val="24"/>
          <w:szCs w:val="24"/>
        </w:rPr>
        <w:t>CrimPR</w:t>
      </w:r>
      <w:proofErr w:type="spellEnd"/>
      <w:r w:rsidR="00FA253D">
        <w:rPr>
          <w:sz w:val="24"/>
          <w:szCs w:val="24"/>
        </w:rPr>
        <w:t xml:space="preserve"> 19.3(c) or to </w:t>
      </w:r>
      <w:proofErr w:type="spellStart"/>
      <w:r w:rsidR="00FA253D">
        <w:rPr>
          <w:sz w:val="24"/>
          <w:szCs w:val="24"/>
        </w:rPr>
        <w:t>CrimPD</w:t>
      </w:r>
      <w:proofErr w:type="spellEnd"/>
      <w:r w:rsidR="00FA253D">
        <w:rPr>
          <w:sz w:val="24"/>
          <w:szCs w:val="24"/>
        </w:rPr>
        <w:t xml:space="preserve"> 19A which might assist parties when determining what matters should be disclosed under this requirement would be </w:t>
      </w:r>
      <w:r w:rsidR="008A3810">
        <w:rPr>
          <w:sz w:val="24"/>
          <w:szCs w:val="24"/>
        </w:rPr>
        <w:t xml:space="preserve">the addition of </w:t>
      </w:r>
      <w:r w:rsidR="00FA253D">
        <w:rPr>
          <w:sz w:val="24"/>
          <w:szCs w:val="24"/>
        </w:rPr>
        <w:t xml:space="preserve">examples of matters which might be relevant to credibility along the lines of the </w:t>
      </w:r>
      <w:proofErr w:type="spellStart"/>
      <w:r w:rsidR="008A3810">
        <w:rPr>
          <w:sz w:val="24"/>
          <w:szCs w:val="24"/>
        </w:rPr>
        <w:t>those</w:t>
      </w:r>
      <w:r w:rsidR="00FA253D">
        <w:rPr>
          <w:sz w:val="24"/>
          <w:szCs w:val="24"/>
        </w:rPr>
        <w:t>s</w:t>
      </w:r>
      <w:proofErr w:type="spellEnd"/>
      <w:r w:rsidR="00FA253D">
        <w:rPr>
          <w:sz w:val="24"/>
          <w:szCs w:val="24"/>
        </w:rPr>
        <w:t xml:space="preserve"> that prosecution experts are required to disclose. </w:t>
      </w:r>
    </w:p>
    <w:p w:rsidR="00631157" w:rsidRDefault="00631157" w:rsidP="002614DC">
      <w:pPr>
        <w:autoSpaceDE w:val="0"/>
        <w:autoSpaceDN w:val="0"/>
        <w:adjustRightInd w:val="0"/>
        <w:spacing w:after="0" w:line="240" w:lineRule="auto"/>
        <w:rPr>
          <w:sz w:val="24"/>
          <w:szCs w:val="24"/>
        </w:rPr>
      </w:pPr>
    </w:p>
    <w:p w:rsidR="00631157" w:rsidRDefault="00631157" w:rsidP="009526B8">
      <w:pPr>
        <w:autoSpaceDE w:val="0"/>
        <w:autoSpaceDN w:val="0"/>
        <w:adjustRightInd w:val="0"/>
        <w:spacing w:after="0" w:line="240" w:lineRule="auto"/>
        <w:rPr>
          <w:sz w:val="24"/>
          <w:szCs w:val="24"/>
        </w:rPr>
      </w:pPr>
    </w:p>
    <w:p w:rsidR="00C439C6" w:rsidRPr="00E870D8" w:rsidRDefault="00C439C6" w:rsidP="00C439C6">
      <w:pPr>
        <w:autoSpaceDE w:val="0"/>
        <w:autoSpaceDN w:val="0"/>
        <w:adjustRightInd w:val="0"/>
        <w:spacing w:after="0" w:line="240" w:lineRule="auto"/>
        <w:rPr>
          <w:sz w:val="24"/>
          <w:szCs w:val="24"/>
          <w:u w:val="single"/>
        </w:rPr>
      </w:pPr>
      <w:r w:rsidRPr="00890F7D">
        <w:rPr>
          <w:sz w:val="24"/>
          <w:szCs w:val="24"/>
          <w:u w:val="single"/>
        </w:rPr>
        <w:t>Reliability</w:t>
      </w:r>
    </w:p>
    <w:p w:rsidR="00C439C6" w:rsidRDefault="00C439C6" w:rsidP="009526B8">
      <w:pPr>
        <w:autoSpaceDE w:val="0"/>
        <w:autoSpaceDN w:val="0"/>
        <w:adjustRightInd w:val="0"/>
        <w:spacing w:after="0" w:line="240" w:lineRule="auto"/>
        <w:rPr>
          <w:sz w:val="24"/>
          <w:szCs w:val="24"/>
        </w:rPr>
      </w:pPr>
    </w:p>
    <w:p w:rsidR="00004274" w:rsidRDefault="00BA1E43" w:rsidP="00004274">
      <w:pPr>
        <w:autoSpaceDE w:val="0"/>
        <w:autoSpaceDN w:val="0"/>
        <w:adjustRightInd w:val="0"/>
        <w:spacing w:after="0" w:line="240" w:lineRule="auto"/>
        <w:rPr>
          <w:sz w:val="24"/>
          <w:szCs w:val="24"/>
        </w:rPr>
      </w:pPr>
      <w:r>
        <w:rPr>
          <w:sz w:val="24"/>
          <w:szCs w:val="24"/>
        </w:rPr>
        <w:t xml:space="preserve">As </w:t>
      </w:r>
      <w:r w:rsidR="00890F7D">
        <w:rPr>
          <w:sz w:val="24"/>
          <w:szCs w:val="24"/>
        </w:rPr>
        <w:t xml:space="preserve">was indicated above, </w:t>
      </w:r>
      <w:proofErr w:type="spellStart"/>
      <w:r w:rsidR="00890F7D">
        <w:rPr>
          <w:sz w:val="24"/>
          <w:szCs w:val="24"/>
        </w:rPr>
        <w:t>CrimPD</w:t>
      </w:r>
      <w:proofErr w:type="spellEnd"/>
      <w:r w:rsidR="00890F7D">
        <w:rPr>
          <w:sz w:val="24"/>
          <w:szCs w:val="24"/>
        </w:rPr>
        <w:t xml:space="preserve"> 19A.4 </w:t>
      </w:r>
      <w:r w:rsidRPr="00FC216E">
        <w:rPr>
          <w:sz w:val="24"/>
          <w:szCs w:val="24"/>
        </w:rPr>
        <w:t>extracts from the judgment of the Court of Appeal in </w:t>
      </w:r>
      <w:r w:rsidRPr="00FC216E">
        <w:rPr>
          <w:i/>
          <w:sz w:val="24"/>
          <w:szCs w:val="24"/>
        </w:rPr>
        <w:t xml:space="preserve">R v </w:t>
      </w:r>
      <w:proofErr w:type="spellStart"/>
      <w:r w:rsidRPr="00FC216E">
        <w:rPr>
          <w:i/>
          <w:sz w:val="24"/>
          <w:szCs w:val="24"/>
        </w:rPr>
        <w:t>Dlugosz</w:t>
      </w:r>
      <w:proofErr w:type="spellEnd"/>
      <w:r w:rsidR="00890F7D">
        <w:rPr>
          <w:i/>
          <w:sz w:val="24"/>
          <w:szCs w:val="24"/>
        </w:rPr>
        <w:t xml:space="preserve"> </w:t>
      </w:r>
      <w:r w:rsidRPr="00FC216E">
        <w:rPr>
          <w:rStyle w:val="FootnoteReference"/>
          <w:sz w:val="24"/>
          <w:szCs w:val="24"/>
        </w:rPr>
        <w:t xml:space="preserve"> </w:t>
      </w:r>
      <w:r w:rsidRPr="00FC216E">
        <w:rPr>
          <w:sz w:val="24"/>
          <w:szCs w:val="24"/>
        </w:rPr>
        <w:t xml:space="preserve">the proposition that “in determining the issue of admissibility, the court must be satisfied that there is a sufficiently reliable scientific basis for the evidence to be admitted. If there is then the court leaves the opposing views to be tested before the </w:t>
      </w:r>
      <w:r w:rsidRPr="00FC216E">
        <w:rPr>
          <w:sz w:val="24"/>
          <w:szCs w:val="24"/>
        </w:rPr>
        <w:lastRenderedPageBreak/>
        <w:t>jury</w:t>
      </w:r>
      <w:r>
        <w:rPr>
          <w:sz w:val="24"/>
          <w:szCs w:val="24"/>
        </w:rPr>
        <w:t>”</w:t>
      </w:r>
      <w:r w:rsidRPr="00FC216E">
        <w:rPr>
          <w:sz w:val="24"/>
          <w:szCs w:val="24"/>
        </w:rPr>
        <w:t>.</w:t>
      </w:r>
      <w:r w:rsidRPr="00FC216E">
        <w:rPr>
          <w:rStyle w:val="FootnoteReference"/>
          <w:sz w:val="24"/>
          <w:szCs w:val="24"/>
        </w:rPr>
        <w:footnoteReference w:id="49"/>
      </w:r>
      <w:r w:rsidR="00890F7D">
        <w:rPr>
          <w:sz w:val="24"/>
          <w:szCs w:val="24"/>
        </w:rPr>
        <w:t xml:space="preserve"> The Practice Direction then recognises that “nothing at common law precludes assessment by the court of the reliability of an expert opinion by reference to substantially similar factors to those the Law Commission recommended as conditions of admissibility” and encourages the courts to “actively enquire into such factors”.</w:t>
      </w:r>
      <w:r w:rsidR="00890F7D">
        <w:rPr>
          <w:rStyle w:val="FootnoteReference"/>
          <w:sz w:val="24"/>
          <w:szCs w:val="24"/>
        </w:rPr>
        <w:footnoteReference w:id="50"/>
      </w:r>
      <w:r w:rsidR="00890F7D">
        <w:rPr>
          <w:sz w:val="24"/>
          <w:szCs w:val="24"/>
        </w:rPr>
        <w:t xml:space="preserve"> </w:t>
      </w:r>
      <w:proofErr w:type="spellStart"/>
      <w:r w:rsidR="00890F7D">
        <w:rPr>
          <w:sz w:val="24"/>
          <w:szCs w:val="24"/>
        </w:rPr>
        <w:t>CrimPD</w:t>
      </w:r>
      <w:proofErr w:type="spellEnd"/>
      <w:r w:rsidR="00890F7D">
        <w:rPr>
          <w:sz w:val="24"/>
          <w:szCs w:val="24"/>
        </w:rPr>
        <w:t xml:space="preserve"> 19A.5</w:t>
      </w:r>
      <w:r w:rsidR="006B02AC">
        <w:rPr>
          <w:sz w:val="24"/>
          <w:szCs w:val="24"/>
        </w:rPr>
        <w:t xml:space="preserve"> </w:t>
      </w:r>
      <w:r w:rsidR="00004274">
        <w:rPr>
          <w:sz w:val="24"/>
          <w:szCs w:val="24"/>
        </w:rPr>
        <w:t xml:space="preserve">(reproducing </w:t>
      </w:r>
      <w:r w:rsidR="00890F7D">
        <w:rPr>
          <w:sz w:val="24"/>
          <w:szCs w:val="24"/>
        </w:rPr>
        <w:t xml:space="preserve">what </w:t>
      </w:r>
      <w:r w:rsidR="00004274">
        <w:rPr>
          <w:sz w:val="24"/>
          <w:szCs w:val="24"/>
        </w:rPr>
        <w:t xml:space="preserve">the Law Commission </w:t>
      </w:r>
      <w:r w:rsidR="00890F7D">
        <w:rPr>
          <w:sz w:val="24"/>
          <w:szCs w:val="24"/>
        </w:rPr>
        <w:t xml:space="preserve">referred to as its </w:t>
      </w:r>
      <w:r w:rsidR="00784B41">
        <w:rPr>
          <w:sz w:val="24"/>
          <w:szCs w:val="24"/>
        </w:rPr>
        <w:t>“lower</w:t>
      </w:r>
      <w:r w:rsidR="00820E06">
        <w:rPr>
          <w:sz w:val="24"/>
          <w:szCs w:val="24"/>
        </w:rPr>
        <w:t>-</w:t>
      </w:r>
      <w:r w:rsidR="00784B41">
        <w:rPr>
          <w:sz w:val="24"/>
          <w:szCs w:val="24"/>
        </w:rPr>
        <w:t>order</w:t>
      </w:r>
      <w:r w:rsidR="00004274">
        <w:rPr>
          <w:sz w:val="24"/>
          <w:szCs w:val="24"/>
        </w:rPr>
        <w:t xml:space="preserve"> factors</w:t>
      </w:r>
      <w:r w:rsidR="00820E06">
        <w:rPr>
          <w:sz w:val="24"/>
          <w:szCs w:val="24"/>
        </w:rPr>
        <w:t>”</w:t>
      </w:r>
      <w:r w:rsidR="0032536A">
        <w:rPr>
          <w:rStyle w:val="FootnoteReference"/>
          <w:sz w:val="24"/>
          <w:szCs w:val="24"/>
        </w:rPr>
        <w:footnoteReference w:id="51"/>
      </w:r>
      <w:r w:rsidR="00004274">
        <w:rPr>
          <w:sz w:val="24"/>
          <w:szCs w:val="24"/>
        </w:rPr>
        <w:t xml:space="preserve">) </w:t>
      </w:r>
      <w:r w:rsidR="00890F7D">
        <w:rPr>
          <w:sz w:val="24"/>
          <w:szCs w:val="24"/>
        </w:rPr>
        <w:t xml:space="preserve">then </w:t>
      </w:r>
      <w:r w:rsidR="006B02AC">
        <w:rPr>
          <w:sz w:val="24"/>
          <w:szCs w:val="24"/>
        </w:rPr>
        <w:t xml:space="preserve">indicates that the factors that the court may consider </w:t>
      </w:r>
      <w:r w:rsidR="00004274">
        <w:rPr>
          <w:sz w:val="24"/>
          <w:szCs w:val="24"/>
        </w:rPr>
        <w:t xml:space="preserve">when determining reliability </w:t>
      </w:r>
      <w:r w:rsidR="00132E0D">
        <w:rPr>
          <w:sz w:val="24"/>
          <w:szCs w:val="24"/>
        </w:rPr>
        <w:t xml:space="preserve">(and especially that of “expert scientific opinion”) </w:t>
      </w:r>
      <w:r w:rsidR="00004274">
        <w:rPr>
          <w:sz w:val="24"/>
          <w:szCs w:val="24"/>
        </w:rPr>
        <w:t>include,</w:t>
      </w:r>
    </w:p>
    <w:p w:rsidR="00611EFE" w:rsidRDefault="00611EFE" w:rsidP="00AE62DD">
      <w:pPr>
        <w:autoSpaceDE w:val="0"/>
        <w:autoSpaceDN w:val="0"/>
        <w:adjustRightInd w:val="0"/>
        <w:spacing w:after="0" w:line="240" w:lineRule="auto"/>
        <w:rPr>
          <w:sz w:val="24"/>
          <w:szCs w:val="24"/>
        </w:rPr>
      </w:pPr>
    </w:p>
    <w:p w:rsidR="00004274" w:rsidRDefault="00004274" w:rsidP="00004274">
      <w:pPr>
        <w:autoSpaceDE w:val="0"/>
        <w:autoSpaceDN w:val="0"/>
        <w:adjustRightInd w:val="0"/>
        <w:spacing w:after="0" w:line="240" w:lineRule="auto"/>
        <w:ind w:left="720"/>
        <w:rPr>
          <w:sz w:val="24"/>
          <w:szCs w:val="24"/>
        </w:rPr>
      </w:pPr>
      <w:r w:rsidRPr="00004274">
        <w:rPr>
          <w:sz w:val="24"/>
          <w:szCs w:val="24"/>
        </w:rPr>
        <w:t>(a) the extent and quality of the data on which the expert’s opinion is based, and the validity of the methods by which they were obtained;</w:t>
      </w:r>
      <w:r>
        <w:rPr>
          <w:sz w:val="24"/>
          <w:szCs w:val="24"/>
        </w:rPr>
        <w:t xml:space="preserve"> </w:t>
      </w:r>
      <w:r w:rsidRPr="00004274">
        <w:rPr>
          <w:sz w:val="24"/>
          <w:szCs w:val="24"/>
        </w:rPr>
        <w:t>(b) if the expert’s opinion relies on an inference from any findings, whether the opinion properly explains how safe or unsafe the inference is (whether by reference to statistical significance or in other appropriate terms);</w:t>
      </w:r>
      <w:r w:rsidR="00D93C78">
        <w:rPr>
          <w:sz w:val="24"/>
          <w:szCs w:val="24"/>
        </w:rPr>
        <w:t xml:space="preserve"> </w:t>
      </w:r>
      <w:r w:rsidRPr="00004274">
        <w:rPr>
          <w:sz w:val="24"/>
          <w:szCs w:val="24"/>
        </w:rPr>
        <w:t>(c) if the expert’s opinion relies on the results of the use of any method (for instance, a test, measurement or survey), whether the opinion takes proper account of matters, such as the degree of precision or margin of uncertainty, affecting the accuracy or reliability of those results;</w:t>
      </w:r>
      <w:r>
        <w:rPr>
          <w:sz w:val="24"/>
          <w:szCs w:val="24"/>
        </w:rPr>
        <w:t xml:space="preserve"> </w:t>
      </w:r>
      <w:r w:rsidRPr="00004274">
        <w:rPr>
          <w:sz w:val="24"/>
          <w:szCs w:val="24"/>
        </w:rPr>
        <w:t>(d) the extent to which any material upon which the expert’s opinion is based has been reviewed by others with relevant expertise (for instance, in peer-reviewed publications), and the views of those others on that material;</w:t>
      </w:r>
      <w:r>
        <w:rPr>
          <w:sz w:val="24"/>
          <w:szCs w:val="24"/>
        </w:rPr>
        <w:t xml:space="preserve"> </w:t>
      </w:r>
      <w:r w:rsidRPr="00004274">
        <w:rPr>
          <w:sz w:val="24"/>
          <w:szCs w:val="24"/>
        </w:rPr>
        <w:t>(e) the extent to which the expert’s opinion is based on material falling outside the expert’s own field of expertise;</w:t>
      </w:r>
      <w:r w:rsidR="00D93C78">
        <w:rPr>
          <w:sz w:val="24"/>
          <w:szCs w:val="24"/>
        </w:rPr>
        <w:t xml:space="preserve"> </w:t>
      </w:r>
      <w:r w:rsidRPr="00004274">
        <w:rPr>
          <w:sz w:val="24"/>
          <w:szCs w:val="24"/>
        </w:rPr>
        <w:t>(f) the completeness of the information which was available to the expert, and whether the expert took account of all relevant information in arriving at the opinion (including information as to the context of any facts to which the opinion relates);</w:t>
      </w:r>
      <w:r>
        <w:rPr>
          <w:sz w:val="24"/>
          <w:szCs w:val="24"/>
        </w:rPr>
        <w:t xml:space="preserve"> </w:t>
      </w:r>
      <w:r w:rsidRPr="00004274">
        <w:rPr>
          <w:sz w:val="24"/>
          <w:szCs w:val="24"/>
        </w:rPr>
        <w:t>(g) if there is a range of expert opinion on the matter in question, where in the range the expert’s own opinion lies and whether the expert’s preference has been properly explained; and</w:t>
      </w:r>
      <w:r>
        <w:rPr>
          <w:sz w:val="24"/>
          <w:szCs w:val="24"/>
        </w:rPr>
        <w:t xml:space="preserve"> </w:t>
      </w:r>
      <w:r w:rsidRPr="00004274">
        <w:rPr>
          <w:sz w:val="24"/>
          <w:szCs w:val="24"/>
        </w:rPr>
        <w:t>(h) whether the expert’s methods followed established practice in the field and, if they did not, whether the reason for the divergence has been properly explained</w:t>
      </w:r>
      <w:r w:rsidR="00D93C78">
        <w:rPr>
          <w:sz w:val="24"/>
          <w:szCs w:val="24"/>
        </w:rPr>
        <w:t>.</w:t>
      </w:r>
    </w:p>
    <w:p w:rsidR="00004274" w:rsidRDefault="00004274" w:rsidP="00AE62DD">
      <w:pPr>
        <w:autoSpaceDE w:val="0"/>
        <w:autoSpaceDN w:val="0"/>
        <w:adjustRightInd w:val="0"/>
        <w:spacing w:after="0" w:line="240" w:lineRule="auto"/>
        <w:rPr>
          <w:sz w:val="24"/>
          <w:szCs w:val="24"/>
        </w:rPr>
      </w:pPr>
    </w:p>
    <w:p w:rsidR="000B0691" w:rsidRDefault="00C637E1" w:rsidP="007B526F">
      <w:pPr>
        <w:autoSpaceDE w:val="0"/>
        <w:autoSpaceDN w:val="0"/>
        <w:adjustRightInd w:val="0"/>
        <w:spacing w:after="0" w:line="240" w:lineRule="auto"/>
        <w:rPr>
          <w:sz w:val="24"/>
          <w:szCs w:val="24"/>
        </w:rPr>
      </w:pPr>
      <w:r w:rsidRPr="00726686">
        <w:rPr>
          <w:sz w:val="24"/>
          <w:szCs w:val="24"/>
        </w:rPr>
        <w:t xml:space="preserve">The Law Commission intended that </w:t>
      </w:r>
      <w:r w:rsidR="000B0691">
        <w:rPr>
          <w:sz w:val="24"/>
          <w:szCs w:val="24"/>
        </w:rPr>
        <w:t xml:space="preserve">on a case by case basis </w:t>
      </w:r>
      <w:r>
        <w:rPr>
          <w:sz w:val="24"/>
          <w:szCs w:val="24"/>
        </w:rPr>
        <w:t xml:space="preserve">the </w:t>
      </w:r>
      <w:r w:rsidRPr="00726686">
        <w:rPr>
          <w:sz w:val="24"/>
          <w:szCs w:val="24"/>
        </w:rPr>
        <w:t>judge would select those factors that were appropriate in relation to the type of expert opinion evidence before the court, could take into account other factors that were not specifically listed and would not take into account factors that were not applicable.</w:t>
      </w:r>
      <w:r w:rsidRPr="004B5247">
        <w:rPr>
          <w:rStyle w:val="FootnoteReference"/>
          <w:sz w:val="24"/>
          <w:szCs w:val="24"/>
        </w:rPr>
        <w:footnoteReference w:id="52"/>
      </w:r>
      <w:r w:rsidR="008C6F99">
        <w:rPr>
          <w:sz w:val="24"/>
          <w:szCs w:val="24"/>
        </w:rPr>
        <w:t xml:space="preserve"> </w:t>
      </w:r>
      <w:r w:rsidR="00F713B0">
        <w:rPr>
          <w:sz w:val="24"/>
          <w:szCs w:val="24"/>
        </w:rPr>
        <w:t xml:space="preserve">Perhaps </w:t>
      </w:r>
      <w:proofErr w:type="spellStart"/>
      <w:r w:rsidR="00F713B0">
        <w:rPr>
          <w:sz w:val="24"/>
          <w:szCs w:val="24"/>
        </w:rPr>
        <w:t>CrimPD</w:t>
      </w:r>
      <w:proofErr w:type="spellEnd"/>
      <w:r w:rsidR="00F713B0">
        <w:rPr>
          <w:sz w:val="24"/>
          <w:szCs w:val="24"/>
        </w:rPr>
        <w:t xml:space="preserve"> 19A should make clear that this is how the guidance it provides which is drawn from the Law Commission’s lower-order factors should be deployed. </w:t>
      </w:r>
    </w:p>
    <w:p w:rsidR="000B0691" w:rsidRDefault="000B0691" w:rsidP="007B526F">
      <w:pPr>
        <w:autoSpaceDE w:val="0"/>
        <w:autoSpaceDN w:val="0"/>
        <w:adjustRightInd w:val="0"/>
        <w:spacing w:after="0" w:line="240" w:lineRule="auto"/>
        <w:rPr>
          <w:sz w:val="24"/>
          <w:szCs w:val="24"/>
        </w:rPr>
      </w:pPr>
    </w:p>
    <w:p w:rsidR="008C6F99" w:rsidRDefault="008C6F99" w:rsidP="007B526F">
      <w:pPr>
        <w:autoSpaceDE w:val="0"/>
        <w:autoSpaceDN w:val="0"/>
        <w:adjustRightInd w:val="0"/>
        <w:spacing w:after="0" w:line="240" w:lineRule="auto"/>
        <w:rPr>
          <w:sz w:val="24"/>
          <w:szCs w:val="24"/>
        </w:rPr>
      </w:pPr>
      <w:r>
        <w:rPr>
          <w:sz w:val="24"/>
          <w:szCs w:val="24"/>
        </w:rPr>
        <w:t xml:space="preserve">So far as factor (h), above is concerned, a footnote in the Law Commission’s Report makes clear that </w:t>
      </w:r>
      <w:r w:rsidR="00D75616">
        <w:rPr>
          <w:sz w:val="24"/>
          <w:szCs w:val="24"/>
        </w:rPr>
        <w:t>“</w:t>
      </w:r>
      <w:r>
        <w:rPr>
          <w:sz w:val="24"/>
          <w:szCs w:val="24"/>
        </w:rPr>
        <w:t>[t]</w:t>
      </w:r>
      <w:r w:rsidRPr="008C6F99">
        <w:rPr>
          <w:sz w:val="24"/>
          <w:szCs w:val="24"/>
        </w:rPr>
        <w:t>his factor should not in any way be understood as a presumption against the admission of expert opinion evidence based on new or nascent developments in science and technology</w:t>
      </w:r>
      <w:r>
        <w:rPr>
          <w:sz w:val="24"/>
          <w:szCs w:val="24"/>
        </w:rPr>
        <w:t>” but that an expert whose opinion is based on such developments “</w:t>
      </w:r>
      <w:r w:rsidRPr="008C6F99">
        <w:rPr>
          <w:sz w:val="24"/>
          <w:szCs w:val="24"/>
        </w:rPr>
        <w:t>should explain why an opinion founded on it is sound</w:t>
      </w:r>
      <w:r>
        <w:rPr>
          <w:sz w:val="24"/>
          <w:szCs w:val="24"/>
        </w:rPr>
        <w:t>”.</w:t>
      </w:r>
      <w:r>
        <w:rPr>
          <w:rStyle w:val="FootnoteReference"/>
          <w:sz w:val="24"/>
          <w:szCs w:val="24"/>
        </w:rPr>
        <w:footnoteReference w:id="53"/>
      </w:r>
      <w:r w:rsidR="005932B5">
        <w:rPr>
          <w:sz w:val="24"/>
          <w:szCs w:val="24"/>
        </w:rPr>
        <w:t xml:space="preserve"> </w:t>
      </w:r>
      <w:r w:rsidR="00AB33A7">
        <w:rPr>
          <w:sz w:val="24"/>
          <w:szCs w:val="24"/>
        </w:rPr>
        <w:t xml:space="preserve">Indeed, prior to the introduction of </w:t>
      </w:r>
      <w:proofErr w:type="spellStart"/>
      <w:r w:rsidR="00AB33A7">
        <w:rPr>
          <w:sz w:val="24"/>
          <w:szCs w:val="24"/>
        </w:rPr>
        <w:t>CrimPD</w:t>
      </w:r>
      <w:proofErr w:type="spellEnd"/>
      <w:r w:rsidR="00AB33A7">
        <w:rPr>
          <w:sz w:val="24"/>
          <w:szCs w:val="24"/>
        </w:rPr>
        <w:t xml:space="preserve"> 19A, </w:t>
      </w:r>
      <w:r w:rsidR="005932B5">
        <w:rPr>
          <w:sz w:val="24"/>
          <w:szCs w:val="24"/>
        </w:rPr>
        <w:t>the Court of Appeal ha</w:t>
      </w:r>
      <w:r w:rsidR="000B0691">
        <w:rPr>
          <w:sz w:val="24"/>
          <w:szCs w:val="24"/>
        </w:rPr>
        <w:t>d</w:t>
      </w:r>
      <w:r w:rsidR="005932B5">
        <w:rPr>
          <w:sz w:val="24"/>
          <w:szCs w:val="24"/>
        </w:rPr>
        <w:t xml:space="preserve"> emphasised on a number of occasions</w:t>
      </w:r>
      <w:r w:rsidR="000B0691">
        <w:rPr>
          <w:sz w:val="24"/>
          <w:szCs w:val="24"/>
        </w:rPr>
        <w:t xml:space="preserve"> that</w:t>
      </w:r>
      <w:r w:rsidR="005932B5">
        <w:rPr>
          <w:sz w:val="24"/>
          <w:szCs w:val="24"/>
        </w:rPr>
        <w:t xml:space="preserve"> the criminal courts should not be denied the advantages that such new developments can </w:t>
      </w:r>
      <w:r w:rsidR="005932B5">
        <w:rPr>
          <w:sz w:val="24"/>
          <w:szCs w:val="24"/>
        </w:rPr>
        <w:lastRenderedPageBreak/>
        <w:t>provide</w:t>
      </w:r>
      <w:r w:rsidR="00AB33A7">
        <w:rPr>
          <w:sz w:val="24"/>
          <w:szCs w:val="24"/>
        </w:rPr>
        <w:t>.</w:t>
      </w:r>
      <w:r w:rsidR="005932B5">
        <w:rPr>
          <w:rStyle w:val="FootnoteReference"/>
          <w:sz w:val="24"/>
          <w:szCs w:val="24"/>
        </w:rPr>
        <w:footnoteReference w:id="54"/>
      </w:r>
      <w:r w:rsidR="00AB33A7">
        <w:rPr>
          <w:sz w:val="24"/>
          <w:szCs w:val="24"/>
        </w:rPr>
        <w:t xml:space="preserve"> </w:t>
      </w:r>
      <w:r w:rsidR="00AA01A5">
        <w:rPr>
          <w:sz w:val="24"/>
          <w:szCs w:val="24"/>
        </w:rPr>
        <w:t>Whilst the courts should in future adopt “a more rigorous approach”</w:t>
      </w:r>
      <w:r w:rsidR="00AA01A5">
        <w:rPr>
          <w:rStyle w:val="FootnoteReference"/>
          <w:sz w:val="24"/>
          <w:szCs w:val="24"/>
        </w:rPr>
        <w:footnoteReference w:id="55"/>
      </w:r>
      <w:r w:rsidR="00AA01A5">
        <w:rPr>
          <w:sz w:val="24"/>
          <w:szCs w:val="24"/>
        </w:rPr>
        <w:t xml:space="preserve"> when considering, in the light of the new Practice Direction, whether expert evidence is sufficiently reliable to be admitted in criminal proceedings, it is hoped that they will continue </w:t>
      </w:r>
      <w:r w:rsidR="00AB33A7">
        <w:rPr>
          <w:sz w:val="24"/>
          <w:szCs w:val="24"/>
        </w:rPr>
        <w:t xml:space="preserve">to recognise the potential advantages of new scientific and technological developments. </w:t>
      </w:r>
      <w:r w:rsidR="00A661DB">
        <w:rPr>
          <w:sz w:val="24"/>
          <w:szCs w:val="24"/>
        </w:rPr>
        <w:t xml:space="preserve">The danger if the balance swings too far from the </w:t>
      </w:r>
      <w:r w:rsidR="000B0691">
        <w:rPr>
          <w:sz w:val="24"/>
          <w:szCs w:val="24"/>
        </w:rPr>
        <w:t xml:space="preserve">previous </w:t>
      </w:r>
      <w:r w:rsidR="00A661DB">
        <w:rPr>
          <w:sz w:val="24"/>
          <w:szCs w:val="24"/>
        </w:rPr>
        <w:t xml:space="preserve">“laissez faire” approach to </w:t>
      </w:r>
      <w:r w:rsidR="000B0691">
        <w:rPr>
          <w:sz w:val="24"/>
          <w:szCs w:val="24"/>
        </w:rPr>
        <w:t>the admission of</w:t>
      </w:r>
      <w:r w:rsidR="00A661DB">
        <w:rPr>
          <w:sz w:val="24"/>
          <w:szCs w:val="24"/>
        </w:rPr>
        <w:t xml:space="preserve"> </w:t>
      </w:r>
      <w:r w:rsidR="00580BF3">
        <w:rPr>
          <w:sz w:val="24"/>
          <w:szCs w:val="24"/>
        </w:rPr>
        <w:t>ex</w:t>
      </w:r>
      <w:r w:rsidR="00B05601">
        <w:rPr>
          <w:sz w:val="24"/>
          <w:szCs w:val="24"/>
        </w:rPr>
        <w:t>p</w:t>
      </w:r>
      <w:r w:rsidR="00580BF3">
        <w:rPr>
          <w:sz w:val="24"/>
          <w:szCs w:val="24"/>
        </w:rPr>
        <w:t xml:space="preserve">ert opinion evidence </w:t>
      </w:r>
      <w:r w:rsidR="00A661DB">
        <w:rPr>
          <w:sz w:val="24"/>
          <w:szCs w:val="24"/>
        </w:rPr>
        <w:t xml:space="preserve">that the Law Commission intended to </w:t>
      </w:r>
      <w:r w:rsidR="00580BF3">
        <w:rPr>
          <w:sz w:val="24"/>
          <w:szCs w:val="24"/>
        </w:rPr>
        <w:t>replace with its new admissibility test</w:t>
      </w:r>
      <w:r w:rsidR="00580BF3">
        <w:rPr>
          <w:rStyle w:val="FootnoteReference"/>
          <w:sz w:val="24"/>
          <w:szCs w:val="24"/>
        </w:rPr>
        <w:footnoteReference w:id="56"/>
      </w:r>
      <w:r w:rsidR="00A661DB">
        <w:rPr>
          <w:sz w:val="24"/>
          <w:szCs w:val="24"/>
        </w:rPr>
        <w:t xml:space="preserve"> to </w:t>
      </w:r>
      <w:r w:rsidR="000B0691">
        <w:rPr>
          <w:sz w:val="24"/>
          <w:szCs w:val="24"/>
        </w:rPr>
        <w:t xml:space="preserve">a new approach of </w:t>
      </w:r>
      <w:r w:rsidR="00B05601">
        <w:rPr>
          <w:sz w:val="24"/>
          <w:szCs w:val="24"/>
        </w:rPr>
        <w:t>rigid</w:t>
      </w:r>
      <w:r w:rsidR="00A661DB">
        <w:rPr>
          <w:sz w:val="24"/>
          <w:szCs w:val="24"/>
        </w:rPr>
        <w:t xml:space="preserve"> enforc</w:t>
      </w:r>
      <w:r w:rsidR="00AA01A5">
        <w:rPr>
          <w:sz w:val="24"/>
          <w:szCs w:val="24"/>
        </w:rPr>
        <w:t>ement of</w:t>
      </w:r>
      <w:r w:rsidR="000B0691">
        <w:rPr>
          <w:sz w:val="24"/>
          <w:szCs w:val="24"/>
        </w:rPr>
        <w:t xml:space="preserve"> </w:t>
      </w:r>
      <w:r w:rsidR="00F037EF">
        <w:rPr>
          <w:sz w:val="24"/>
          <w:szCs w:val="24"/>
        </w:rPr>
        <w:t>the common law</w:t>
      </w:r>
      <w:r w:rsidR="00AA01A5">
        <w:rPr>
          <w:sz w:val="24"/>
          <w:szCs w:val="24"/>
        </w:rPr>
        <w:t xml:space="preserve"> </w:t>
      </w:r>
      <w:r w:rsidR="00B05601">
        <w:rPr>
          <w:sz w:val="24"/>
          <w:szCs w:val="24"/>
        </w:rPr>
        <w:t xml:space="preserve">reliability test </w:t>
      </w:r>
      <w:r w:rsidR="00A661DB">
        <w:rPr>
          <w:sz w:val="24"/>
          <w:szCs w:val="24"/>
        </w:rPr>
        <w:t>is that</w:t>
      </w:r>
      <w:r w:rsidR="00B05601">
        <w:rPr>
          <w:sz w:val="24"/>
          <w:szCs w:val="24"/>
        </w:rPr>
        <w:t>,</w:t>
      </w:r>
      <w:r w:rsidR="00A661DB">
        <w:rPr>
          <w:sz w:val="24"/>
          <w:szCs w:val="24"/>
        </w:rPr>
        <w:t xml:space="preserve">  </w:t>
      </w:r>
    </w:p>
    <w:p w:rsidR="00580BF3" w:rsidRDefault="00580BF3" w:rsidP="007B526F">
      <w:pPr>
        <w:autoSpaceDE w:val="0"/>
        <w:autoSpaceDN w:val="0"/>
        <w:adjustRightInd w:val="0"/>
        <w:spacing w:after="0" w:line="240" w:lineRule="auto"/>
        <w:rPr>
          <w:sz w:val="24"/>
          <w:szCs w:val="24"/>
        </w:rPr>
      </w:pPr>
    </w:p>
    <w:p w:rsidR="00A661DB" w:rsidRDefault="00B05601" w:rsidP="00B05601">
      <w:pPr>
        <w:autoSpaceDE w:val="0"/>
        <w:autoSpaceDN w:val="0"/>
        <w:adjustRightInd w:val="0"/>
        <w:spacing w:after="0" w:line="240" w:lineRule="auto"/>
        <w:ind w:left="720"/>
        <w:rPr>
          <w:sz w:val="24"/>
          <w:szCs w:val="24"/>
        </w:rPr>
      </w:pPr>
      <w:r w:rsidRPr="00B05601">
        <w:rPr>
          <w:sz w:val="24"/>
          <w:szCs w:val="24"/>
        </w:rPr>
        <w:t>a significant proportion of currently admissible techniques and expert opinions--that have presumably assisted in procuring convictions--would be inadmissible</w:t>
      </w:r>
      <w:r>
        <w:rPr>
          <w:sz w:val="24"/>
          <w:szCs w:val="24"/>
        </w:rPr>
        <w:t xml:space="preserve"> [and]</w:t>
      </w:r>
      <w:r w:rsidRPr="00B05601">
        <w:rPr>
          <w:sz w:val="24"/>
          <w:szCs w:val="24"/>
        </w:rPr>
        <w:t xml:space="preserve"> some techniques that might eventually prove to be reliable will face delay before criminal courts accept them</w:t>
      </w:r>
      <w:r>
        <w:rPr>
          <w:sz w:val="24"/>
          <w:szCs w:val="24"/>
        </w:rPr>
        <w:t xml:space="preserve"> [which could] </w:t>
      </w:r>
      <w:r w:rsidRPr="00B05601">
        <w:rPr>
          <w:sz w:val="24"/>
          <w:szCs w:val="24"/>
        </w:rPr>
        <w:t>leave more serious offenders in our communities.</w:t>
      </w:r>
      <w:r>
        <w:rPr>
          <w:rStyle w:val="FootnoteReference"/>
          <w:sz w:val="24"/>
          <w:szCs w:val="24"/>
        </w:rPr>
        <w:footnoteReference w:id="57"/>
      </w:r>
    </w:p>
    <w:p w:rsidR="000B0691" w:rsidRDefault="000B0691" w:rsidP="007B526F">
      <w:pPr>
        <w:autoSpaceDE w:val="0"/>
        <w:autoSpaceDN w:val="0"/>
        <w:adjustRightInd w:val="0"/>
        <w:spacing w:after="0" w:line="240" w:lineRule="auto"/>
        <w:rPr>
          <w:sz w:val="24"/>
          <w:szCs w:val="24"/>
        </w:rPr>
      </w:pPr>
    </w:p>
    <w:p w:rsidR="00F037EF" w:rsidRDefault="00F037EF" w:rsidP="00F037EF">
      <w:pPr>
        <w:autoSpaceDE w:val="0"/>
        <w:autoSpaceDN w:val="0"/>
        <w:adjustRightInd w:val="0"/>
        <w:spacing w:after="0" w:line="240" w:lineRule="auto"/>
        <w:rPr>
          <w:sz w:val="24"/>
          <w:szCs w:val="24"/>
        </w:rPr>
      </w:pPr>
      <w:r>
        <w:rPr>
          <w:sz w:val="24"/>
          <w:szCs w:val="24"/>
        </w:rPr>
        <w:t xml:space="preserve">Perhaps an amendment to </w:t>
      </w:r>
      <w:proofErr w:type="spellStart"/>
      <w:r>
        <w:rPr>
          <w:sz w:val="24"/>
          <w:szCs w:val="24"/>
        </w:rPr>
        <w:t>CrimPD</w:t>
      </w:r>
      <w:proofErr w:type="spellEnd"/>
      <w:r>
        <w:rPr>
          <w:sz w:val="24"/>
          <w:szCs w:val="24"/>
        </w:rPr>
        <w:t xml:space="preserve"> 19A </w:t>
      </w:r>
      <w:r w:rsidR="00C47693">
        <w:rPr>
          <w:sz w:val="24"/>
          <w:szCs w:val="24"/>
        </w:rPr>
        <w:t xml:space="preserve">could </w:t>
      </w:r>
      <w:r w:rsidR="00890F14">
        <w:rPr>
          <w:sz w:val="24"/>
          <w:szCs w:val="24"/>
        </w:rPr>
        <w:t xml:space="preserve">usefully </w:t>
      </w:r>
      <w:r>
        <w:rPr>
          <w:sz w:val="24"/>
          <w:szCs w:val="24"/>
        </w:rPr>
        <w:t>mak</w:t>
      </w:r>
      <w:r w:rsidR="00C47693">
        <w:rPr>
          <w:sz w:val="24"/>
          <w:szCs w:val="24"/>
        </w:rPr>
        <w:t>e</w:t>
      </w:r>
      <w:r>
        <w:rPr>
          <w:sz w:val="24"/>
          <w:szCs w:val="24"/>
        </w:rPr>
        <w:t xml:space="preserve"> clear that the guidance it contains is not intended to prevent the courts from admitting expert evidence based on new science or new technology provided that the court </w:t>
      </w:r>
      <w:r w:rsidR="00890F14">
        <w:rPr>
          <w:sz w:val="24"/>
          <w:szCs w:val="24"/>
        </w:rPr>
        <w:t>h</w:t>
      </w:r>
      <w:r>
        <w:rPr>
          <w:sz w:val="24"/>
          <w:szCs w:val="24"/>
        </w:rPr>
        <w:t xml:space="preserve">as undertaken a sufficiently rigorous </w:t>
      </w:r>
      <w:r w:rsidR="00C47693">
        <w:rPr>
          <w:sz w:val="24"/>
          <w:szCs w:val="24"/>
        </w:rPr>
        <w:t>examination of its reliability?</w:t>
      </w:r>
    </w:p>
    <w:p w:rsidR="00F037EF" w:rsidRDefault="00F037EF" w:rsidP="007B526F">
      <w:pPr>
        <w:autoSpaceDE w:val="0"/>
        <w:autoSpaceDN w:val="0"/>
        <w:adjustRightInd w:val="0"/>
        <w:spacing w:after="0" w:line="240" w:lineRule="auto"/>
        <w:rPr>
          <w:sz w:val="24"/>
          <w:szCs w:val="24"/>
        </w:rPr>
      </w:pPr>
    </w:p>
    <w:p w:rsidR="007B526F" w:rsidRDefault="00C637E1" w:rsidP="007B526F">
      <w:pPr>
        <w:autoSpaceDE w:val="0"/>
        <w:autoSpaceDN w:val="0"/>
        <w:adjustRightInd w:val="0"/>
        <w:spacing w:after="0" w:line="240" w:lineRule="auto"/>
        <w:rPr>
          <w:sz w:val="24"/>
          <w:szCs w:val="24"/>
        </w:rPr>
      </w:pPr>
      <w:r>
        <w:rPr>
          <w:sz w:val="24"/>
          <w:szCs w:val="24"/>
        </w:rPr>
        <w:t xml:space="preserve">As well as reproducing the Law Commission’s lower-order factors, </w:t>
      </w:r>
      <w:proofErr w:type="spellStart"/>
      <w:r w:rsidR="007B526F">
        <w:rPr>
          <w:sz w:val="24"/>
          <w:szCs w:val="24"/>
        </w:rPr>
        <w:t>CrimPD</w:t>
      </w:r>
      <w:proofErr w:type="spellEnd"/>
      <w:r w:rsidR="00AA01A5">
        <w:rPr>
          <w:sz w:val="24"/>
          <w:szCs w:val="24"/>
        </w:rPr>
        <w:t xml:space="preserve"> </w:t>
      </w:r>
      <w:r w:rsidR="007B526F">
        <w:rPr>
          <w:sz w:val="24"/>
          <w:szCs w:val="24"/>
        </w:rPr>
        <w:t>19A</w:t>
      </w:r>
      <w:r w:rsidR="007B526F" w:rsidRPr="00AA01A5">
        <w:rPr>
          <w:rStyle w:val="FootnoteReference"/>
          <w:sz w:val="24"/>
          <w:szCs w:val="24"/>
        </w:rPr>
        <w:footnoteReference w:id="58"/>
      </w:r>
      <w:r w:rsidR="007B526F" w:rsidRPr="00AA01A5">
        <w:rPr>
          <w:rStyle w:val="FootnoteReference"/>
        </w:rPr>
        <w:t xml:space="preserve"> </w:t>
      </w:r>
      <w:r w:rsidR="007B526F">
        <w:rPr>
          <w:sz w:val="24"/>
          <w:szCs w:val="24"/>
        </w:rPr>
        <w:t xml:space="preserve">also indicates that when the court is considering the reliability of expert </w:t>
      </w:r>
      <w:r w:rsidR="00F34F09">
        <w:rPr>
          <w:sz w:val="24"/>
          <w:szCs w:val="24"/>
        </w:rPr>
        <w:t xml:space="preserve">opinion </w:t>
      </w:r>
      <w:r w:rsidR="007B526F">
        <w:rPr>
          <w:sz w:val="24"/>
          <w:szCs w:val="24"/>
        </w:rPr>
        <w:t xml:space="preserve">evidence (and especially </w:t>
      </w:r>
      <w:r w:rsidR="00A910E1">
        <w:rPr>
          <w:sz w:val="24"/>
          <w:szCs w:val="24"/>
        </w:rPr>
        <w:t xml:space="preserve">that of </w:t>
      </w:r>
      <w:r w:rsidR="007B526F">
        <w:rPr>
          <w:sz w:val="24"/>
          <w:szCs w:val="24"/>
        </w:rPr>
        <w:t xml:space="preserve">scientific opinion) </w:t>
      </w:r>
      <w:r w:rsidR="00890F14">
        <w:rPr>
          <w:sz w:val="24"/>
          <w:szCs w:val="24"/>
        </w:rPr>
        <w:t xml:space="preserve">it </w:t>
      </w:r>
      <w:r w:rsidR="007B526F">
        <w:rPr>
          <w:sz w:val="24"/>
          <w:szCs w:val="24"/>
        </w:rPr>
        <w:t xml:space="preserve">“should be astute to identify </w:t>
      </w:r>
      <w:r w:rsidR="007B526F" w:rsidRPr="00132E0D">
        <w:rPr>
          <w:sz w:val="24"/>
          <w:szCs w:val="24"/>
        </w:rPr>
        <w:t xml:space="preserve">potential flaws </w:t>
      </w:r>
      <w:r w:rsidR="007B526F">
        <w:rPr>
          <w:sz w:val="24"/>
          <w:szCs w:val="24"/>
        </w:rPr>
        <w:t>in such opinion</w:t>
      </w:r>
      <w:r w:rsidR="007B526F" w:rsidRPr="00132E0D">
        <w:rPr>
          <w:sz w:val="24"/>
          <w:szCs w:val="24"/>
        </w:rPr>
        <w:t xml:space="preserve"> </w:t>
      </w:r>
      <w:r w:rsidR="007B526F">
        <w:rPr>
          <w:sz w:val="24"/>
          <w:szCs w:val="24"/>
        </w:rPr>
        <w:t>which detract from its reliability”</w:t>
      </w:r>
      <w:r w:rsidR="00A910E1">
        <w:rPr>
          <w:sz w:val="24"/>
          <w:szCs w:val="24"/>
        </w:rPr>
        <w:t>.</w:t>
      </w:r>
      <w:r w:rsidR="00A910E1" w:rsidRPr="00AA01A5">
        <w:rPr>
          <w:rStyle w:val="FootnoteReference"/>
          <w:sz w:val="24"/>
          <w:szCs w:val="24"/>
        </w:rPr>
        <w:footnoteReference w:id="59"/>
      </w:r>
      <w:r w:rsidR="00A910E1" w:rsidRPr="00AA01A5">
        <w:rPr>
          <w:rStyle w:val="FootnoteReference"/>
        </w:rPr>
        <w:t xml:space="preserve"> </w:t>
      </w:r>
      <w:r w:rsidR="00A910E1">
        <w:rPr>
          <w:sz w:val="24"/>
          <w:szCs w:val="24"/>
        </w:rPr>
        <w:t xml:space="preserve"> </w:t>
      </w:r>
      <w:proofErr w:type="spellStart"/>
      <w:r w:rsidR="00A910E1">
        <w:rPr>
          <w:sz w:val="24"/>
          <w:szCs w:val="24"/>
        </w:rPr>
        <w:t>CrimPD</w:t>
      </w:r>
      <w:proofErr w:type="spellEnd"/>
      <w:r w:rsidR="00A910E1">
        <w:rPr>
          <w:sz w:val="24"/>
          <w:szCs w:val="24"/>
        </w:rPr>
        <w:t xml:space="preserve"> 19A.6 th</w:t>
      </w:r>
      <w:r w:rsidR="00890F14">
        <w:rPr>
          <w:sz w:val="24"/>
          <w:szCs w:val="24"/>
        </w:rPr>
        <w:t>en</w:t>
      </w:r>
      <w:r w:rsidR="00A910E1">
        <w:rPr>
          <w:sz w:val="24"/>
          <w:szCs w:val="24"/>
        </w:rPr>
        <w:t xml:space="preserve"> </w:t>
      </w:r>
      <w:r w:rsidR="007B526F">
        <w:rPr>
          <w:sz w:val="24"/>
          <w:szCs w:val="24"/>
        </w:rPr>
        <w:t xml:space="preserve">reproduces the Law Commission’s </w:t>
      </w:r>
      <w:r w:rsidR="00784B41">
        <w:rPr>
          <w:sz w:val="24"/>
          <w:szCs w:val="24"/>
        </w:rPr>
        <w:t xml:space="preserve">“higher-order examples” of expert evidence which </w:t>
      </w:r>
      <w:r w:rsidR="00A910E1">
        <w:rPr>
          <w:sz w:val="24"/>
          <w:szCs w:val="24"/>
        </w:rPr>
        <w:t xml:space="preserve">is </w:t>
      </w:r>
      <w:r w:rsidR="00784B41">
        <w:rPr>
          <w:sz w:val="24"/>
          <w:szCs w:val="24"/>
        </w:rPr>
        <w:t>insufficiently reliable to be admitted</w:t>
      </w:r>
      <w:r w:rsidR="007B526F" w:rsidRPr="007B526F">
        <w:rPr>
          <w:rStyle w:val="FootnoteReference"/>
          <w:sz w:val="24"/>
          <w:szCs w:val="24"/>
        </w:rPr>
        <w:footnoteReference w:id="60"/>
      </w:r>
      <w:r w:rsidR="007B526F" w:rsidRPr="00A910E1">
        <w:rPr>
          <w:sz w:val="24"/>
          <w:szCs w:val="24"/>
        </w:rPr>
        <w:t>,</w:t>
      </w:r>
      <w:r w:rsidR="007B526F">
        <w:rPr>
          <w:sz w:val="24"/>
          <w:szCs w:val="24"/>
        </w:rPr>
        <w:t xml:space="preserve"> namely, </w:t>
      </w:r>
    </w:p>
    <w:p w:rsidR="007B526F" w:rsidRDefault="007B526F" w:rsidP="007B526F">
      <w:pPr>
        <w:autoSpaceDE w:val="0"/>
        <w:autoSpaceDN w:val="0"/>
        <w:adjustRightInd w:val="0"/>
        <w:spacing w:after="0" w:line="240" w:lineRule="auto"/>
        <w:rPr>
          <w:sz w:val="24"/>
          <w:szCs w:val="24"/>
        </w:rPr>
      </w:pPr>
    </w:p>
    <w:p w:rsidR="007B526F" w:rsidRDefault="00D75616" w:rsidP="00820E06">
      <w:pPr>
        <w:autoSpaceDE w:val="0"/>
        <w:autoSpaceDN w:val="0"/>
        <w:adjustRightInd w:val="0"/>
        <w:spacing w:after="0" w:line="240" w:lineRule="auto"/>
        <w:ind w:left="720"/>
        <w:rPr>
          <w:sz w:val="24"/>
          <w:szCs w:val="24"/>
        </w:rPr>
      </w:pPr>
      <w:r>
        <w:rPr>
          <w:sz w:val="24"/>
          <w:szCs w:val="24"/>
        </w:rPr>
        <w:t xml:space="preserve">(a) </w:t>
      </w:r>
      <w:r w:rsidR="007B526F" w:rsidRPr="007B526F">
        <w:rPr>
          <w:sz w:val="24"/>
          <w:szCs w:val="24"/>
        </w:rPr>
        <w:t>being based on a hypothesis which has not been subjected to sufficient scrutiny (including, where appropriate, experimental or other testing), or which has failed to stand up to scrutiny; (b) being based on an unjustifiable assumption; (c) being based on flawed data; (d) relying on an examination, technique, method or process which was not properly carried out or applied, or was not appropriate for use in the particular case; or (e) relying on an inference or conclusion which</w:t>
      </w:r>
      <w:r w:rsidR="00820E06">
        <w:rPr>
          <w:sz w:val="24"/>
          <w:szCs w:val="24"/>
        </w:rPr>
        <w:t xml:space="preserve"> has not been properly reached.</w:t>
      </w:r>
    </w:p>
    <w:p w:rsidR="00820E06" w:rsidRDefault="00820E06" w:rsidP="00820E06">
      <w:pPr>
        <w:autoSpaceDE w:val="0"/>
        <w:autoSpaceDN w:val="0"/>
        <w:adjustRightInd w:val="0"/>
        <w:spacing w:after="0" w:line="240" w:lineRule="auto"/>
        <w:ind w:left="720"/>
        <w:rPr>
          <w:sz w:val="24"/>
          <w:szCs w:val="24"/>
        </w:rPr>
      </w:pPr>
    </w:p>
    <w:p w:rsidR="0022538E" w:rsidRDefault="00820E06" w:rsidP="00C9266C">
      <w:pPr>
        <w:autoSpaceDE w:val="0"/>
        <w:autoSpaceDN w:val="0"/>
        <w:adjustRightInd w:val="0"/>
        <w:spacing w:after="0" w:line="240" w:lineRule="auto"/>
        <w:rPr>
          <w:sz w:val="24"/>
          <w:szCs w:val="24"/>
        </w:rPr>
      </w:pPr>
      <w:r>
        <w:rPr>
          <w:sz w:val="24"/>
          <w:szCs w:val="24"/>
        </w:rPr>
        <w:lastRenderedPageBreak/>
        <w:t>The Law Commission believed that the combination of its higher-order examples and lower-order factors would both “</w:t>
      </w:r>
      <w:r w:rsidRPr="00820E06">
        <w:rPr>
          <w:sz w:val="24"/>
          <w:szCs w:val="24"/>
        </w:rPr>
        <w:t>direct the trial judge to matters which have a bearing on the question of evidentiary reliability in a particular case</w:t>
      </w:r>
      <w:r>
        <w:rPr>
          <w:sz w:val="24"/>
          <w:szCs w:val="24"/>
        </w:rPr>
        <w:t xml:space="preserve"> [and]</w:t>
      </w:r>
      <w:r w:rsidR="00A910E1">
        <w:rPr>
          <w:sz w:val="24"/>
          <w:szCs w:val="24"/>
        </w:rPr>
        <w:t xml:space="preserve"> </w:t>
      </w:r>
      <w:r w:rsidR="00A910E1" w:rsidRPr="00A910E1">
        <w:rPr>
          <w:sz w:val="24"/>
          <w:szCs w:val="24"/>
        </w:rPr>
        <w:t>explain what the reliability test means for the type of expert evidence being proffered for admission</w:t>
      </w:r>
      <w:r>
        <w:rPr>
          <w:sz w:val="24"/>
          <w:szCs w:val="24"/>
        </w:rPr>
        <w:t>”.</w:t>
      </w:r>
      <w:r>
        <w:rPr>
          <w:rStyle w:val="FootnoteReference"/>
          <w:sz w:val="24"/>
          <w:szCs w:val="24"/>
        </w:rPr>
        <w:footnoteReference w:id="61"/>
      </w:r>
      <w:r w:rsidR="00D3726B">
        <w:rPr>
          <w:sz w:val="24"/>
          <w:szCs w:val="24"/>
        </w:rPr>
        <w:t xml:space="preserve"> </w:t>
      </w:r>
      <w:r w:rsidR="00AE62DD">
        <w:rPr>
          <w:sz w:val="24"/>
          <w:szCs w:val="24"/>
        </w:rPr>
        <w:t>The reliability limb of the Law Commission’s proposed admissibility test</w:t>
      </w:r>
      <w:r w:rsidR="007B526F">
        <w:rPr>
          <w:sz w:val="24"/>
          <w:szCs w:val="24"/>
        </w:rPr>
        <w:t xml:space="preserve"> in </w:t>
      </w:r>
      <w:proofErr w:type="gramStart"/>
      <w:r w:rsidR="007B526F">
        <w:rPr>
          <w:sz w:val="24"/>
          <w:szCs w:val="24"/>
        </w:rPr>
        <w:t>cl.1(</w:t>
      </w:r>
      <w:proofErr w:type="gramEnd"/>
      <w:r w:rsidR="007B526F">
        <w:rPr>
          <w:sz w:val="24"/>
          <w:szCs w:val="24"/>
        </w:rPr>
        <w:t>2)</w:t>
      </w:r>
      <w:r w:rsidR="00784B41">
        <w:rPr>
          <w:sz w:val="24"/>
          <w:szCs w:val="24"/>
        </w:rPr>
        <w:t xml:space="preserve"> of its draft Bill</w:t>
      </w:r>
      <w:r w:rsidR="007B526F">
        <w:rPr>
          <w:sz w:val="24"/>
          <w:szCs w:val="24"/>
        </w:rPr>
        <w:t xml:space="preserve"> </w:t>
      </w:r>
      <w:r w:rsidR="00AE62DD">
        <w:rPr>
          <w:sz w:val="24"/>
          <w:szCs w:val="24"/>
        </w:rPr>
        <w:t xml:space="preserve"> would have provided that “</w:t>
      </w:r>
      <w:r w:rsidR="00AE62DD" w:rsidRPr="00AE62DD">
        <w:rPr>
          <w:sz w:val="24"/>
          <w:szCs w:val="24"/>
        </w:rPr>
        <w:t>expert opinion evidence is admissible in criminal proceedings only</w:t>
      </w:r>
      <w:r w:rsidR="00784B41">
        <w:rPr>
          <w:sz w:val="24"/>
          <w:szCs w:val="24"/>
        </w:rPr>
        <w:t xml:space="preserve"> </w:t>
      </w:r>
      <w:r w:rsidR="00AE62DD" w:rsidRPr="00AE62DD">
        <w:rPr>
          <w:sz w:val="24"/>
          <w:szCs w:val="24"/>
        </w:rPr>
        <w:t>if it is sufficiently reliable to be admitted</w:t>
      </w:r>
      <w:r w:rsidR="00AE62DD">
        <w:rPr>
          <w:sz w:val="24"/>
          <w:szCs w:val="24"/>
        </w:rPr>
        <w:t>”</w:t>
      </w:r>
      <w:r w:rsidR="00AE62DD" w:rsidRPr="00AE62DD">
        <w:rPr>
          <w:sz w:val="24"/>
          <w:szCs w:val="24"/>
        </w:rPr>
        <w:t>.</w:t>
      </w:r>
      <w:r w:rsidR="00AE62DD">
        <w:rPr>
          <w:rStyle w:val="FootnoteReference"/>
          <w:sz w:val="24"/>
          <w:szCs w:val="24"/>
        </w:rPr>
        <w:footnoteReference w:id="62"/>
      </w:r>
      <w:r w:rsidR="00AE62DD">
        <w:rPr>
          <w:sz w:val="24"/>
          <w:szCs w:val="24"/>
        </w:rPr>
        <w:t xml:space="preserve"> In determining whether this was so the Law Commission </w:t>
      </w:r>
      <w:r w:rsidR="007962B2">
        <w:rPr>
          <w:sz w:val="24"/>
          <w:szCs w:val="24"/>
        </w:rPr>
        <w:t xml:space="preserve">envisaged that </w:t>
      </w:r>
      <w:r w:rsidR="00784B41">
        <w:rPr>
          <w:sz w:val="24"/>
          <w:szCs w:val="24"/>
        </w:rPr>
        <w:t>its lower-order factors would</w:t>
      </w:r>
      <w:r w:rsidR="007A36AC">
        <w:rPr>
          <w:sz w:val="24"/>
          <w:szCs w:val="24"/>
        </w:rPr>
        <w:t xml:space="preserve"> be read in conjunction not only with the abovementioned reliability limb </w:t>
      </w:r>
      <w:r w:rsidR="00E20665">
        <w:rPr>
          <w:sz w:val="24"/>
          <w:szCs w:val="24"/>
        </w:rPr>
        <w:t xml:space="preserve">and </w:t>
      </w:r>
      <w:r w:rsidR="00801014">
        <w:rPr>
          <w:sz w:val="24"/>
          <w:szCs w:val="24"/>
        </w:rPr>
        <w:t xml:space="preserve">its </w:t>
      </w:r>
      <w:r w:rsidR="00E20665">
        <w:rPr>
          <w:sz w:val="24"/>
          <w:szCs w:val="24"/>
        </w:rPr>
        <w:t>higher-</w:t>
      </w:r>
      <w:r w:rsidR="00F713B0">
        <w:rPr>
          <w:sz w:val="24"/>
          <w:szCs w:val="24"/>
        </w:rPr>
        <w:t>order</w:t>
      </w:r>
      <w:r w:rsidR="00E20665">
        <w:rPr>
          <w:sz w:val="24"/>
          <w:szCs w:val="24"/>
        </w:rPr>
        <w:t xml:space="preserve"> examples </w:t>
      </w:r>
      <w:r w:rsidR="007A36AC">
        <w:rPr>
          <w:sz w:val="24"/>
          <w:szCs w:val="24"/>
        </w:rPr>
        <w:t xml:space="preserve">but also in conjunction with </w:t>
      </w:r>
      <w:r w:rsidR="00E20665">
        <w:rPr>
          <w:sz w:val="24"/>
          <w:szCs w:val="24"/>
        </w:rPr>
        <w:t>the</w:t>
      </w:r>
      <w:r w:rsidR="007A36AC">
        <w:rPr>
          <w:sz w:val="24"/>
          <w:szCs w:val="24"/>
        </w:rPr>
        <w:t xml:space="preserve"> “core test”</w:t>
      </w:r>
      <w:r w:rsidR="007B526F">
        <w:rPr>
          <w:sz w:val="24"/>
          <w:szCs w:val="24"/>
        </w:rPr>
        <w:t xml:space="preserve"> in cl. 4(1).</w:t>
      </w:r>
      <w:r w:rsidR="00FF11C6">
        <w:rPr>
          <w:rStyle w:val="FootnoteReference"/>
          <w:sz w:val="24"/>
          <w:szCs w:val="24"/>
        </w:rPr>
        <w:footnoteReference w:id="63"/>
      </w:r>
      <w:r w:rsidR="00FF11C6">
        <w:rPr>
          <w:sz w:val="24"/>
          <w:szCs w:val="24"/>
        </w:rPr>
        <w:t xml:space="preserve">  This core test would have</w:t>
      </w:r>
      <w:r w:rsidR="007A36AC">
        <w:rPr>
          <w:sz w:val="24"/>
          <w:szCs w:val="24"/>
        </w:rPr>
        <w:t xml:space="preserve"> provided that “[e]</w:t>
      </w:r>
      <w:proofErr w:type="spellStart"/>
      <w:r w:rsidR="007A36AC" w:rsidRPr="007962B2">
        <w:rPr>
          <w:sz w:val="24"/>
          <w:szCs w:val="24"/>
        </w:rPr>
        <w:t>xpert</w:t>
      </w:r>
      <w:proofErr w:type="spellEnd"/>
      <w:r w:rsidR="007A36AC" w:rsidRPr="007962B2">
        <w:rPr>
          <w:sz w:val="24"/>
          <w:szCs w:val="24"/>
        </w:rPr>
        <w:t xml:space="preserve"> opinion evidence is sufficiently reliable to be admitted if—(a) the opinion is soundly based, and</w:t>
      </w:r>
      <w:r w:rsidR="007A36AC">
        <w:rPr>
          <w:sz w:val="24"/>
          <w:szCs w:val="24"/>
        </w:rPr>
        <w:t xml:space="preserve"> </w:t>
      </w:r>
      <w:r w:rsidR="007A36AC" w:rsidRPr="007962B2">
        <w:rPr>
          <w:sz w:val="24"/>
          <w:szCs w:val="24"/>
        </w:rPr>
        <w:t>(b) the strength of the opinion is warranted having regard to the grounds</w:t>
      </w:r>
      <w:r w:rsidR="007A36AC">
        <w:rPr>
          <w:sz w:val="24"/>
          <w:szCs w:val="24"/>
        </w:rPr>
        <w:t xml:space="preserve"> </w:t>
      </w:r>
      <w:r w:rsidR="007A36AC" w:rsidRPr="007962B2">
        <w:rPr>
          <w:sz w:val="24"/>
          <w:szCs w:val="24"/>
        </w:rPr>
        <w:t>on which it is based</w:t>
      </w:r>
      <w:r w:rsidR="007A36AC">
        <w:rPr>
          <w:sz w:val="24"/>
          <w:szCs w:val="24"/>
        </w:rPr>
        <w:t>”</w:t>
      </w:r>
      <w:r w:rsidR="007A36AC" w:rsidRPr="007962B2">
        <w:rPr>
          <w:sz w:val="24"/>
          <w:szCs w:val="24"/>
        </w:rPr>
        <w:t>.</w:t>
      </w:r>
      <w:r w:rsidR="007A36AC">
        <w:rPr>
          <w:rStyle w:val="FootnoteReference"/>
          <w:sz w:val="24"/>
          <w:szCs w:val="24"/>
        </w:rPr>
        <w:footnoteReference w:id="64"/>
      </w:r>
      <w:r w:rsidR="007A36AC">
        <w:rPr>
          <w:sz w:val="24"/>
          <w:szCs w:val="24"/>
        </w:rPr>
        <w:t xml:space="preserve"> </w:t>
      </w:r>
      <w:r w:rsidR="00E20665">
        <w:rPr>
          <w:sz w:val="24"/>
          <w:szCs w:val="24"/>
        </w:rPr>
        <w:t>T</w:t>
      </w:r>
      <w:r w:rsidR="007A36AC">
        <w:rPr>
          <w:sz w:val="24"/>
          <w:szCs w:val="24"/>
        </w:rPr>
        <w:t xml:space="preserve">he core test </w:t>
      </w:r>
      <w:r w:rsidR="00E20665">
        <w:rPr>
          <w:sz w:val="24"/>
          <w:szCs w:val="24"/>
        </w:rPr>
        <w:t>is</w:t>
      </w:r>
      <w:r w:rsidR="007A36AC">
        <w:rPr>
          <w:sz w:val="24"/>
          <w:szCs w:val="24"/>
        </w:rPr>
        <w:t xml:space="preserve"> not referred to by </w:t>
      </w:r>
      <w:proofErr w:type="spellStart"/>
      <w:r w:rsidR="007A36AC">
        <w:rPr>
          <w:sz w:val="24"/>
          <w:szCs w:val="24"/>
        </w:rPr>
        <w:t>CrimPD</w:t>
      </w:r>
      <w:proofErr w:type="spellEnd"/>
      <w:r w:rsidR="007A36AC">
        <w:rPr>
          <w:sz w:val="24"/>
          <w:szCs w:val="24"/>
        </w:rPr>
        <w:t xml:space="preserve"> 19A. </w:t>
      </w:r>
      <w:r w:rsidR="00947AB1">
        <w:rPr>
          <w:sz w:val="24"/>
          <w:szCs w:val="24"/>
        </w:rPr>
        <w:t xml:space="preserve">It is suggested that adding the core test to the matters stated in </w:t>
      </w:r>
      <w:proofErr w:type="spellStart"/>
      <w:r w:rsidR="00947AB1">
        <w:rPr>
          <w:sz w:val="24"/>
          <w:szCs w:val="24"/>
        </w:rPr>
        <w:t>CrimPD</w:t>
      </w:r>
      <w:proofErr w:type="spellEnd"/>
      <w:r w:rsidR="00947AB1">
        <w:rPr>
          <w:sz w:val="24"/>
          <w:szCs w:val="24"/>
        </w:rPr>
        <w:t xml:space="preserve"> 19A to wh</w:t>
      </w:r>
      <w:r w:rsidR="00AD28D7">
        <w:rPr>
          <w:sz w:val="24"/>
          <w:szCs w:val="24"/>
        </w:rPr>
        <w:t>i</w:t>
      </w:r>
      <w:r w:rsidR="00947AB1">
        <w:rPr>
          <w:sz w:val="24"/>
          <w:szCs w:val="24"/>
        </w:rPr>
        <w:t>ch the court is entitled to refer when applying the common law reliability test would enhance the utility of the Practice Direction. However</w:t>
      </w:r>
      <w:r w:rsidR="007A36AC">
        <w:rPr>
          <w:sz w:val="24"/>
          <w:szCs w:val="24"/>
        </w:rPr>
        <w:t>, even though the</w:t>
      </w:r>
      <w:r w:rsidR="00E20665">
        <w:rPr>
          <w:sz w:val="24"/>
          <w:szCs w:val="24"/>
        </w:rPr>
        <w:t xml:space="preserve"> core test is not </w:t>
      </w:r>
      <w:r w:rsidR="00801014">
        <w:rPr>
          <w:sz w:val="24"/>
          <w:szCs w:val="24"/>
        </w:rPr>
        <w:t>reproduced</w:t>
      </w:r>
      <w:r w:rsidR="00E20665">
        <w:rPr>
          <w:sz w:val="24"/>
          <w:szCs w:val="24"/>
        </w:rPr>
        <w:t xml:space="preserve"> in the Practice Direction</w:t>
      </w:r>
      <w:r w:rsidR="009A01A2">
        <w:rPr>
          <w:sz w:val="24"/>
          <w:szCs w:val="24"/>
        </w:rPr>
        <w:t>,</w:t>
      </w:r>
      <w:r w:rsidR="00E20665">
        <w:rPr>
          <w:sz w:val="24"/>
          <w:szCs w:val="24"/>
        </w:rPr>
        <w:t xml:space="preserve"> there is </w:t>
      </w:r>
      <w:r w:rsidR="00947AB1">
        <w:rPr>
          <w:sz w:val="24"/>
          <w:szCs w:val="24"/>
        </w:rPr>
        <w:t xml:space="preserve">presumably </w:t>
      </w:r>
      <w:r w:rsidR="00E20665">
        <w:rPr>
          <w:sz w:val="24"/>
          <w:szCs w:val="24"/>
        </w:rPr>
        <w:t xml:space="preserve">no reason why a court could not </w:t>
      </w:r>
      <w:r w:rsidR="00AD28D7">
        <w:rPr>
          <w:sz w:val="24"/>
          <w:szCs w:val="24"/>
        </w:rPr>
        <w:t xml:space="preserve">treat the Law Commission’s core test as additional guidance to assist it when </w:t>
      </w:r>
      <w:r w:rsidR="00E20665">
        <w:rPr>
          <w:sz w:val="24"/>
          <w:szCs w:val="24"/>
        </w:rPr>
        <w:t>consider</w:t>
      </w:r>
      <w:r w:rsidR="00AD28D7">
        <w:rPr>
          <w:sz w:val="24"/>
          <w:szCs w:val="24"/>
        </w:rPr>
        <w:t>ing</w:t>
      </w:r>
      <w:r w:rsidR="00E20665">
        <w:rPr>
          <w:sz w:val="24"/>
          <w:szCs w:val="24"/>
        </w:rPr>
        <w:t xml:space="preserve"> whether expert opinion has a sound basis the strength of which is warranted with regards to the </w:t>
      </w:r>
      <w:r w:rsidR="00506C28">
        <w:rPr>
          <w:sz w:val="24"/>
          <w:szCs w:val="24"/>
        </w:rPr>
        <w:t xml:space="preserve">grounds which form its basis in order to assist it </w:t>
      </w:r>
      <w:r w:rsidR="009A01A2">
        <w:rPr>
          <w:sz w:val="24"/>
          <w:szCs w:val="24"/>
        </w:rPr>
        <w:t>when</w:t>
      </w:r>
      <w:r w:rsidR="00506C28">
        <w:rPr>
          <w:sz w:val="24"/>
          <w:szCs w:val="24"/>
        </w:rPr>
        <w:t xml:space="preserve"> </w:t>
      </w:r>
      <w:r w:rsidR="00E20665">
        <w:rPr>
          <w:sz w:val="24"/>
          <w:szCs w:val="24"/>
        </w:rPr>
        <w:t xml:space="preserve">applying the common law </w:t>
      </w:r>
      <w:r w:rsidR="009A01A2">
        <w:rPr>
          <w:sz w:val="24"/>
          <w:szCs w:val="24"/>
        </w:rPr>
        <w:t xml:space="preserve">reliability </w:t>
      </w:r>
      <w:r w:rsidR="00E20665">
        <w:rPr>
          <w:sz w:val="24"/>
          <w:szCs w:val="24"/>
        </w:rPr>
        <w:t xml:space="preserve">test. </w:t>
      </w:r>
      <w:r w:rsidR="00506C28">
        <w:rPr>
          <w:sz w:val="24"/>
          <w:szCs w:val="24"/>
        </w:rPr>
        <w:t xml:space="preserve"> </w:t>
      </w:r>
    </w:p>
    <w:p w:rsidR="0022538E" w:rsidRDefault="0022538E" w:rsidP="00C9266C">
      <w:pPr>
        <w:autoSpaceDE w:val="0"/>
        <w:autoSpaceDN w:val="0"/>
        <w:adjustRightInd w:val="0"/>
        <w:spacing w:after="0" w:line="240" w:lineRule="auto"/>
        <w:rPr>
          <w:sz w:val="24"/>
          <w:szCs w:val="24"/>
        </w:rPr>
      </w:pPr>
    </w:p>
    <w:p w:rsidR="00C45A2F" w:rsidRDefault="007A36AC" w:rsidP="00C9266C">
      <w:pPr>
        <w:autoSpaceDE w:val="0"/>
        <w:autoSpaceDN w:val="0"/>
        <w:adjustRightInd w:val="0"/>
        <w:spacing w:after="0" w:line="240" w:lineRule="auto"/>
        <w:rPr>
          <w:sz w:val="24"/>
          <w:szCs w:val="24"/>
        </w:rPr>
      </w:pPr>
      <w:bookmarkStart w:id="0" w:name="_GoBack"/>
      <w:bookmarkEnd w:id="0"/>
      <w:r w:rsidRPr="007A36AC">
        <w:rPr>
          <w:sz w:val="24"/>
          <w:szCs w:val="24"/>
        </w:rPr>
        <w:t>Another omission</w:t>
      </w:r>
      <w:r>
        <w:rPr>
          <w:i/>
          <w:sz w:val="24"/>
          <w:szCs w:val="24"/>
        </w:rPr>
        <w:t xml:space="preserve"> </w:t>
      </w:r>
      <w:r w:rsidRPr="007A36AC">
        <w:rPr>
          <w:sz w:val="24"/>
          <w:szCs w:val="24"/>
        </w:rPr>
        <w:t xml:space="preserve">from </w:t>
      </w:r>
      <w:proofErr w:type="spellStart"/>
      <w:r>
        <w:rPr>
          <w:sz w:val="24"/>
          <w:szCs w:val="24"/>
        </w:rPr>
        <w:t>CrimPD</w:t>
      </w:r>
      <w:proofErr w:type="spellEnd"/>
      <w:r>
        <w:rPr>
          <w:sz w:val="24"/>
          <w:szCs w:val="24"/>
        </w:rPr>
        <w:t xml:space="preserve"> 19A </w:t>
      </w:r>
      <w:r w:rsidR="00C9266C">
        <w:rPr>
          <w:sz w:val="24"/>
          <w:szCs w:val="24"/>
        </w:rPr>
        <w:t xml:space="preserve">when compared to the Law </w:t>
      </w:r>
      <w:r w:rsidR="00736080">
        <w:rPr>
          <w:sz w:val="24"/>
          <w:szCs w:val="24"/>
        </w:rPr>
        <w:t>Commission’s</w:t>
      </w:r>
      <w:r w:rsidR="00C9266C">
        <w:rPr>
          <w:sz w:val="24"/>
          <w:szCs w:val="24"/>
        </w:rPr>
        <w:t xml:space="preserve"> draft Bill </w:t>
      </w:r>
      <w:r>
        <w:rPr>
          <w:sz w:val="24"/>
          <w:szCs w:val="24"/>
        </w:rPr>
        <w:t xml:space="preserve">is </w:t>
      </w:r>
      <w:r w:rsidR="00C9266C">
        <w:rPr>
          <w:sz w:val="24"/>
          <w:szCs w:val="24"/>
        </w:rPr>
        <w:t xml:space="preserve">a specific indication that apart from the </w:t>
      </w:r>
      <w:r w:rsidR="009A01A2">
        <w:rPr>
          <w:sz w:val="24"/>
          <w:szCs w:val="24"/>
        </w:rPr>
        <w:t>lower-</w:t>
      </w:r>
      <w:r w:rsidR="00F713B0">
        <w:rPr>
          <w:sz w:val="24"/>
          <w:szCs w:val="24"/>
        </w:rPr>
        <w:t>order</w:t>
      </w:r>
      <w:r w:rsidR="00C9266C">
        <w:rPr>
          <w:sz w:val="24"/>
          <w:szCs w:val="24"/>
        </w:rPr>
        <w:t xml:space="preserve"> factors </w:t>
      </w:r>
      <w:r w:rsidR="009A01A2">
        <w:rPr>
          <w:sz w:val="24"/>
          <w:szCs w:val="24"/>
        </w:rPr>
        <w:t>that are reproduced in</w:t>
      </w:r>
      <w:r w:rsidR="00C9266C">
        <w:rPr>
          <w:sz w:val="24"/>
          <w:szCs w:val="24"/>
        </w:rPr>
        <w:t xml:space="preserve"> </w:t>
      </w:r>
      <w:proofErr w:type="spellStart"/>
      <w:r w:rsidR="00C9266C">
        <w:rPr>
          <w:sz w:val="24"/>
          <w:szCs w:val="24"/>
        </w:rPr>
        <w:t>CrimPD</w:t>
      </w:r>
      <w:proofErr w:type="spellEnd"/>
      <w:r w:rsidR="00C9266C">
        <w:rPr>
          <w:sz w:val="24"/>
          <w:szCs w:val="24"/>
        </w:rPr>
        <w:t xml:space="preserve"> 19A.5 the court should also consider “</w:t>
      </w:r>
      <w:r w:rsidR="00C9266C" w:rsidRPr="00C9266C">
        <w:rPr>
          <w:sz w:val="24"/>
          <w:szCs w:val="24"/>
        </w:rPr>
        <w:t>anything else which appears to the court to be relevant</w:t>
      </w:r>
      <w:r w:rsidR="00C9266C">
        <w:rPr>
          <w:sz w:val="24"/>
          <w:szCs w:val="24"/>
        </w:rPr>
        <w:t>”</w:t>
      </w:r>
      <w:r w:rsidR="00C9266C" w:rsidRPr="00C9266C">
        <w:rPr>
          <w:sz w:val="24"/>
          <w:szCs w:val="24"/>
        </w:rPr>
        <w:t>.</w:t>
      </w:r>
      <w:r w:rsidR="00C9266C">
        <w:rPr>
          <w:rStyle w:val="FootnoteReference"/>
          <w:sz w:val="24"/>
          <w:szCs w:val="24"/>
        </w:rPr>
        <w:footnoteReference w:id="65"/>
      </w:r>
      <w:r w:rsidR="007B526F">
        <w:rPr>
          <w:sz w:val="24"/>
          <w:szCs w:val="24"/>
        </w:rPr>
        <w:t xml:space="preserve"> I</w:t>
      </w:r>
      <w:r w:rsidR="00BE03F5">
        <w:rPr>
          <w:sz w:val="24"/>
          <w:szCs w:val="24"/>
        </w:rPr>
        <w:t xml:space="preserve">t </w:t>
      </w:r>
      <w:r w:rsidR="00F73F31">
        <w:rPr>
          <w:sz w:val="24"/>
          <w:szCs w:val="24"/>
        </w:rPr>
        <w:t xml:space="preserve">is </w:t>
      </w:r>
      <w:r w:rsidR="00BE03F5">
        <w:rPr>
          <w:sz w:val="24"/>
          <w:szCs w:val="24"/>
        </w:rPr>
        <w:t xml:space="preserve">assumed that </w:t>
      </w:r>
      <w:r w:rsidR="009A01A2">
        <w:rPr>
          <w:sz w:val="24"/>
          <w:szCs w:val="24"/>
        </w:rPr>
        <w:t xml:space="preserve">whilst </w:t>
      </w:r>
      <w:proofErr w:type="spellStart"/>
      <w:r w:rsidR="009A01A2">
        <w:rPr>
          <w:sz w:val="24"/>
          <w:szCs w:val="24"/>
        </w:rPr>
        <w:t>CrimPD</w:t>
      </w:r>
      <w:proofErr w:type="spellEnd"/>
      <w:r w:rsidR="009A01A2">
        <w:rPr>
          <w:sz w:val="24"/>
          <w:szCs w:val="24"/>
        </w:rPr>
        <w:t xml:space="preserve"> 19A does not specifically make this clear, </w:t>
      </w:r>
      <w:r w:rsidR="00BE03F5">
        <w:rPr>
          <w:sz w:val="24"/>
          <w:szCs w:val="24"/>
        </w:rPr>
        <w:t>this does in fact reflect the ethos underlying</w:t>
      </w:r>
      <w:r w:rsidR="00947AB1">
        <w:rPr>
          <w:sz w:val="24"/>
          <w:szCs w:val="24"/>
        </w:rPr>
        <w:t xml:space="preserve"> </w:t>
      </w:r>
      <w:r w:rsidR="009A01A2">
        <w:rPr>
          <w:sz w:val="24"/>
          <w:szCs w:val="24"/>
        </w:rPr>
        <w:t>the new Practice Direction</w:t>
      </w:r>
      <w:r w:rsidR="00BE03F5">
        <w:rPr>
          <w:sz w:val="24"/>
          <w:szCs w:val="24"/>
        </w:rPr>
        <w:t xml:space="preserve">. </w:t>
      </w:r>
    </w:p>
    <w:p w:rsidR="00220C3A" w:rsidRPr="009670E6" w:rsidRDefault="00220C3A" w:rsidP="00C9266C">
      <w:pPr>
        <w:autoSpaceDE w:val="0"/>
        <w:autoSpaceDN w:val="0"/>
        <w:adjustRightInd w:val="0"/>
        <w:spacing w:after="0" w:line="240" w:lineRule="auto"/>
        <w:rPr>
          <w:sz w:val="24"/>
          <w:szCs w:val="24"/>
        </w:rPr>
      </w:pPr>
    </w:p>
    <w:p w:rsidR="00DF6693" w:rsidRDefault="009670E6" w:rsidP="00DF6693">
      <w:pPr>
        <w:autoSpaceDE w:val="0"/>
        <w:autoSpaceDN w:val="0"/>
        <w:adjustRightInd w:val="0"/>
        <w:spacing w:after="0" w:line="240" w:lineRule="auto"/>
        <w:rPr>
          <w:sz w:val="24"/>
          <w:szCs w:val="24"/>
        </w:rPr>
      </w:pPr>
      <w:r>
        <w:rPr>
          <w:sz w:val="24"/>
          <w:szCs w:val="24"/>
        </w:rPr>
        <w:t>Whilst t</w:t>
      </w:r>
      <w:r w:rsidR="00DF6693" w:rsidRPr="00726686">
        <w:rPr>
          <w:sz w:val="24"/>
          <w:szCs w:val="24"/>
        </w:rPr>
        <w:t xml:space="preserve">he common law test is stated in </w:t>
      </w:r>
      <w:proofErr w:type="spellStart"/>
      <w:r w:rsidR="00F037EF" w:rsidRPr="00F037EF">
        <w:rPr>
          <w:i/>
          <w:sz w:val="24"/>
          <w:szCs w:val="24"/>
        </w:rPr>
        <w:t>Dlugosz</w:t>
      </w:r>
      <w:proofErr w:type="spellEnd"/>
      <w:r w:rsidR="00F037EF">
        <w:rPr>
          <w:sz w:val="24"/>
          <w:szCs w:val="24"/>
        </w:rPr>
        <w:t xml:space="preserve"> in </w:t>
      </w:r>
      <w:r w:rsidR="00DF6693" w:rsidRPr="00726686">
        <w:rPr>
          <w:sz w:val="24"/>
          <w:szCs w:val="24"/>
        </w:rPr>
        <w:t xml:space="preserve">terms of there being a sufficiently reliable “scientific” basis to justify the admission of the relevant evidence, the Law Commission </w:t>
      </w:r>
      <w:r w:rsidR="00DF6693">
        <w:rPr>
          <w:sz w:val="24"/>
          <w:szCs w:val="24"/>
        </w:rPr>
        <w:t xml:space="preserve">had </w:t>
      </w:r>
      <w:r w:rsidR="00DF6693" w:rsidRPr="00726686">
        <w:rPr>
          <w:sz w:val="24"/>
          <w:szCs w:val="24"/>
        </w:rPr>
        <w:t xml:space="preserve">intended </w:t>
      </w:r>
      <w:r w:rsidR="00DF6693">
        <w:rPr>
          <w:sz w:val="24"/>
          <w:szCs w:val="24"/>
        </w:rPr>
        <w:t xml:space="preserve">its </w:t>
      </w:r>
      <w:r>
        <w:rPr>
          <w:sz w:val="24"/>
          <w:szCs w:val="24"/>
        </w:rPr>
        <w:t xml:space="preserve">proposed </w:t>
      </w:r>
      <w:r w:rsidR="00DF6693">
        <w:rPr>
          <w:sz w:val="24"/>
          <w:szCs w:val="24"/>
        </w:rPr>
        <w:t xml:space="preserve">reliability test </w:t>
      </w:r>
      <w:r w:rsidR="00DF6693" w:rsidRPr="00726686">
        <w:rPr>
          <w:sz w:val="24"/>
          <w:szCs w:val="24"/>
        </w:rPr>
        <w:t>to be applicable both to scientific and to non-scientific (experience based) expert opinion evidence</w:t>
      </w:r>
      <w:r w:rsidR="00DF6693">
        <w:rPr>
          <w:sz w:val="24"/>
          <w:szCs w:val="24"/>
        </w:rPr>
        <w:t>.</w:t>
      </w:r>
      <w:r w:rsidR="00DF6693">
        <w:rPr>
          <w:rStyle w:val="FootnoteReference"/>
          <w:sz w:val="24"/>
          <w:szCs w:val="24"/>
        </w:rPr>
        <w:footnoteReference w:id="66"/>
      </w:r>
      <w:r w:rsidR="00DF6693" w:rsidRPr="00726686">
        <w:rPr>
          <w:sz w:val="24"/>
          <w:szCs w:val="24"/>
        </w:rPr>
        <w:t xml:space="preserve"> </w:t>
      </w:r>
      <w:r>
        <w:rPr>
          <w:sz w:val="24"/>
          <w:szCs w:val="24"/>
        </w:rPr>
        <w:t xml:space="preserve">The Law Commission </w:t>
      </w:r>
      <w:r w:rsidR="00DF6693">
        <w:rPr>
          <w:sz w:val="24"/>
          <w:szCs w:val="24"/>
        </w:rPr>
        <w:t xml:space="preserve">recognised, however, that </w:t>
      </w:r>
      <w:r>
        <w:rPr>
          <w:sz w:val="24"/>
          <w:szCs w:val="24"/>
        </w:rPr>
        <w:t xml:space="preserve">whilst it might occasionally be necessary to apply its reliability test to non-scientific evidence </w:t>
      </w:r>
      <w:r w:rsidR="00DF6693">
        <w:rPr>
          <w:sz w:val="24"/>
          <w:szCs w:val="24"/>
        </w:rPr>
        <w:t>i</w:t>
      </w:r>
      <w:r>
        <w:rPr>
          <w:sz w:val="24"/>
          <w:szCs w:val="24"/>
        </w:rPr>
        <w:t xml:space="preserve">t would often be unnecessary to do so and that in many cases </w:t>
      </w:r>
      <w:r w:rsidR="00DF6693">
        <w:rPr>
          <w:sz w:val="24"/>
          <w:szCs w:val="24"/>
        </w:rPr>
        <w:t xml:space="preserve">the only issue </w:t>
      </w:r>
      <w:r>
        <w:rPr>
          <w:sz w:val="24"/>
          <w:szCs w:val="24"/>
        </w:rPr>
        <w:t xml:space="preserve">with such evidence </w:t>
      </w:r>
      <w:r w:rsidR="00DF6693">
        <w:rPr>
          <w:sz w:val="24"/>
          <w:szCs w:val="24"/>
        </w:rPr>
        <w:t xml:space="preserve">would be whether the witness possessed the </w:t>
      </w:r>
      <w:r>
        <w:rPr>
          <w:sz w:val="24"/>
          <w:szCs w:val="24"/>
        </w:rPr>
        <w:t>requisite skill</w:t>
      </w:r>
      <w:r w:rsidR="00DF6693">
        <w:rPr>
          <w:sz w:val="24"/>
          <w:szCs w:val="24"/>
        </w:rPr>
        <w:t>.</w:t>
      </w:r>
      <w:r w:rsidR="00DF6693">
        <w:rPr>
          <w:rStyle w:val="FootnoteReference"/>
          <w:sz w:val="24"/>
          <w:szCs w:val="24"/>
        </w:rPr>
        <w:footnoteReference w:id="67"/>
      </w:r>
      <w:r w:rsidR="00DF6693">
        <w:rPr>
          <w:sz w:val="24"/>
          <w:szCs w:val="24"/>
        </w:rPr>
        <w:t xml:space="preserve"> </w:t>
      </w:r>
      <w:r w:rsidR="00DF6693" w:rsidRPr="00726686">
        <w:rPr>
          <w:sz w:val="24"/>
          <w:szCs w:val="24"/>
        </w:rPr>
        <w:t xml:space="preserve">The Practice Direction </w:t>
      </w:r>
      <w:r>
        <w:rPr>
          <w:sz w:val="24"/>
          <w:szCs w:val="24"/>
        </w:rPr>
        <w:t xml:space="preserve">seems to </w:t>
      </w:r>
      <w:r w:rsidR="00DF6693" w:rsidRPr="00726686">
        <w:rPr>
          <w:sz w:val="24"/>
          <w:szCs w:val="24"/>
        </w:rPr>
        <w:t xml:space="preserve">implicitly recognise that the guidance </w:t>
      </w:r>
      <w:r>
        <w:rPr>
          <w:sz w:val="24"/>
          <w:szCs w:val="24"/>
        </w:rPr>
        <w:t xml:space="preserve">that it provides </w:t>
      </w:r>
      <w:r w:rsidR="00DF6693" w:rsidRPr="00726686">
        <w:rPr>
          <w:sz w:val="24"/>
          <w:szCs w:val="24"/>
        </w:rPr>
        <w:t>extend</w:t>
      </w:r>
      <w:r w:rsidR="00DF6693">
        <w:rPr>
          <w:sz w:val="24"/>
          <w:szCs w:val="24"/>
        </w:rPr>
        <w:t>s</w:t>
      </w:r>
      <w:r w:rsidR="00DF6693" w:rsidRPr="00726686">
        <w:rPr>
          <w:sz w:val="24"/>
          <w:szCs w:val="24"/>
        </w:rPr>
        <w:t xml:space="preserve"> beyond the realm of scientific evidence</w:t>
      </w:r>
      <w:r w:rsidR="00DF6693">
        <w:rPr>
          <w:sz w:val="24"/>
          <w:szCs w:val="24"/>
        </w:rPr>
        <w:t xml:space="preserve"> </w:t>
      </w:r>
      <w:r w:rsidR="00DF6693" w:rsidRPr="00726686">
        <w:rPr>
          <w:sz w:val="24"/>
          <w:szCs w:val="24"/>
        </w:rPr>
        <w:t>but is primarily relevant to scientific evidence</w:t>
      </w:r>
      <w:r w:rsidR="00DF6693">
        <w:rPr>
          <w:sz w:val="24"/>
          <w:szCs w:val="24"/>
        </w:rPr>
        <w:t xml:space="preserve"> </w:t>
      </w:r>
      <w:r w:rsidR="00DF6693" w:rsidRPr="00726686">
        <w:rPr>
          <w:sz w:val="24"/>
          <w:szCs w:val="24"/>
        </w:rPr>
        <w:t>where it states that, “factors which the court may take into account in determining the reliability of expert opinion, and especially of expert scientific opinion, include</w:t>
      </w:r>
      <w:r w:rsidR="00DF6693">
        <w:rPr>
          <w:sz w:val="24"/>
          <w:szCs w:val="24"/>
        </w:rPr>
        <w:t>…</w:t>
      </w:r>
      <w:proofErr w:type="gramStart"/>
      <w:r w:rsidR="00DF6693">
        <w:rPr>
          <w:sz w:val="24"/>
          <w:szCs w:val="24"/>
        </w:rPr>
        <w:t>”</w:t>
      </w:r>
      <w:r w:rsidR="00DF6693" w:rsidRPr="00726686">
        <w:rPr>
          <w:sz w:val="24"/>
          <w:szCs w:val="24"/>
        </w:rPr>
        <w:t>.</w:t>
      </w:r>
      <w:proofErr w:type="gramEnd"/>
      <w:r w:rsidR="00DF6693" w:rsidRPr="004B5247">
        <w:rPr>
          <w:rStyle w:val="FootnoteReference"/>
          <w:sz w:val="24"/>
          <w:szCs w:val="24"/>
        </w:rPr>
        <w:footnoteReference w:id="68"/>
      </w:r>
      <w:r w:rsidR="00DF6693" w:rsidRPr="00726686">
        <w:rPr>
          <w:sz w:val="24"/>
          <w:szCs w:val="24"/>
        </w:rPr>
        <w:t xml:space="preserve"> </w:t>
      </w:r>
      <w:r w:rsidR="008710D7">
        <w:rPr>
          <w:sz w:val="24"/>
          <w:szCs w:val="24"/>
        </w:rPr>
        <w:t xml:space="preserve">An amendment to </w:t>
      </w:r>
      <w:proofErr w:type="spellStart"/>
      <w:r w:rsidR="008710D7">
        <w:rPr>
          <w:sz w:val="24"/>
          <w:szCs w:val="24"/>
        </w:rPr>
        <w:t>CrimPD</w:t>
      </w:r>
      <w:proofErr w:type="spellEnd"/>
      <w:r w:rsidR="008710D7">
        <w:rPr>
          <w:sz w:val="24"/>
          <w:szCs w:val="24"/>
        </w:rPr>
        <w:t xml:space="preserve"> 19A making it clear that the guidance it reproduces is intended to be generic might make sense.</w:t>
      </w:r>
    </w:p>
    <w:p w:rsidR="00DF6693" w:rsidRDefault="00DF6693" w:rsidP="00DF6693">
      <w:pPr>
        <w:autoSpaceDE w:val="0"/>
        <w:autoSpaceDN w:val="0"/>
        <w:adjustRightInd w:val="0"/>
        <w:spacing w:after="0" w:line="240" w:lineRule="auto"/>
        <w:rPr>
          <w:sz w:val="24"/>
          <w:szCs w:val="24"/>
        </w:rPr>
      </w:pPr>
    </w:p>
    <w:p w:rsidR="00DF6693" w:rsidRDefault="009670E6" w:rsidP="00DF6693">
      <w:pPr>
        <w:autoSpaceDE w:val="0"/>
        <w:autoSpaceDN w:val="0"/>
        <w:adjustRightInd w:val="0"/>
        <w:spacing w:after="0" w:line="240" w:lineRule="auto"/>
        <w:rPr>
          <w:sz w:val="24"/>
          <w:szCs w:val="24"/>
        </w:rPr>
      </w:pPr>
      <w:r>
        <w:rPr>
          <w:sz w:val="24"/>
          <w:szCs w:val="24"/>
        </w:rPr>
        <w:t xml:space="preserve">So far as </w:t>
      </w:r>
      <w:r w:rsidR="00DF6693">
        <w:rPr>
          <w:sz w:val="24"/>
          <w:szCs w:val="24"/>
        </w:rPr>
        <w:t>scientific (including medical) evidence</w:t>
      </w:r>
      <w:r>
        <w:rPr>
          <w:sz w:val="24"/>
          <w:szCs w:val="24"/>
        </w:rPr>
        <w:t xml:space="preserve"> is concerned</w:t>
      </w:r>
      <w:r w:rsidR="00DF6693">
        <w:rPr>
          <w:sz w:val="24"/>
          <w:szCs w:val="24"/>
        </w:rPr>
        <w:t>, the Law Commission envisaged that in order to satisfy its reliability test,</w:t>
      </w:r>
    </w:p>
    <w:p w:rsidR="00DF6693" w:rsidRPr="0089592B" w:rsidRDefault="00DF6693" w:rsidP="00DF6693">
      <w:pPr>
        <w:autoSpaceDE w:val="0"/>
        <w:autoSpaceDN w:val="0"/>
        <w:adjustRightInd w:val="0"/>
        <w:spacing w:after="0" w:line="240" w:lineRule="auto"/>
        <w:rPr>
          <w:sz w:val="24"/>
          <w:szCs w:val="24"/>
        </w:rPr>
      </w:pPr>
    </w:p>
    <w:p w:rsidR="00DF6693" w:rsidRPr="0089592B" w:rsidRDefault="00DF6693" w:rsidP="00DF6693">
      <w:pPr>
        <w:autoSpaceDE w:val="0"/>
        <w:autoSpaceDN w:val="0"/>
        <w:adjustRightInd w:val="0"/>
        <w:spacing w:after="0" w:line="240" w:lineRule="auto"/>
        <w:ind w:left="720"/>
        <w:rPr>
          <w:sz w:val="24"/>
          <w:szCs w:val="24"/>
        </w:rPr>
      </w:pPr>
      <w:proofErr w:type="gramStart"/>
      <w:r>
        <w:rPr>
          <w:sz w:val="24"/>
          <w:szCs w:val="24"/>
        </w:rPr>
        <w:t>a</w:t>
      </w:r>
      <w:r w:rsidRPr="0089592B">
        <w:rPr>
          <w:sz w:val="24"/>
          <w:szCs w:val="24"/>
        </w:rPr>
        <w:t>ny</w:t>
      </w:r>
      <w:proofErr w:type="gramEnd"/>
      <w:r w:rsidRPr="0089592B">
        <w:rPr>
          <w:sz w:val="24"/>
          <w:szCs w:val="24"/>
        </w:rPr>
        <w:t xml:space="preserve"> inference drawn by the expert must be expressed with no greater degree of precision or certainty than can be justified by the material supporting it. The onus will be on the party proffering the evidence, and the party’s experts, to refer to properly conducted empirical research (testing and observing) which substantiates the hypothesis and does not undermine it. The court will then consider whether the opinion evidence the expert wishes to provide (including its strength) is sufficiently reliable to be admitted, bearing in mind the extent and quality of the research, the margins of uncertainty in the findings, the extent of the data relied on, any “known unknowns” and, in particular, whether there is a plausible, alternative explanation for the findings.</w:t>
      </w:r>
      <w:r>
        <w:rPr>
          <w:rStyle w:val="FootnoteReference"/>
          <w:sz w:val="24"/>
          <w:szCs w:val="24"/>
        </w:rPr>
        <w:footnoteReference w:id="69"/>
      </w:r>
      <w:r w:rsidRPr="0089592B">
        <w:rPr>
          <w:sz w:val="24"/>
          <w:szCs w:val="24"/>
        </w:rPr>
        <w:t xml:space="preserve">  </w:t>
      </w:r>
    </w:p>
    <w:p w:rsidR="00DF6693" w:rsidRDefault="00DF6693" w:rsidP="00DF6693">
      <w:pPr>
        <w:autoSpaceDE w:val="0"/>
        <w:autoSpaceDN w:val="0"/>
        <w:adjustRightInd w:val="0"/>
        <w:spacing w:after="0" w:line="240" w:lineRule="auto"/>
        <w:rPr>
          <w:sz w:val="24"/>
          <w:szCs w:val="24"/>
        </w:rPr>
      </w:pPr>
    </w:p>
    <w:p w:rsidR="00DF6693" w:rsidRDefault="00DF6693" w:rsidP="00DF6693">
      <w:pPr>
        <w:autoSpaceDE w:val="0"/>
        <w:autoSpaceDN w:val="0"/>
        <w:adjustRightInd w:val="0"/>
        <w:spacing w:after="0" w:line="240" w:lineRule="auto"/>
        <w:rPr>
          <w:sz w:val="24"/>
          <w:szCs w:val="24"/>
        </w:rPr>
      </w:pPr>
      <w:r>
        <w:rPr>
          <w:sz w:val="24"/>
          <w:szCs w:val="24"/>
        </w:rPr>
        <w:t xml:space="preserve">The Law Commission accepted, however, that whilst </w:t>
      </w:r>
    </w:p>
    <w:p w:rsidR="00DF6693" w:rsidRDefault="00DF6693" w:rsidP="00DF6693">
      <w:pPr>
        <w:pStyle w:val="ListBullet"/>
        <w:numPr>
          <w:ilvl w:val="0"/>
          <w:numId w:val="0"/>
        </w:numPr>
        <w:autoSpaceDE w:val="0"/>
        <w:autoSpaceDN w:val="0"/>
        <w:adjustRightInd w:val="0"/>
        <w:spacing w:after="0" w:line="240" w:lineRule="auto"/>
        <w:ind w:left="360" w:hanging="360"/>
        <w:rPr>
          <w:sz w:val="24"/>
          <w:szCs w:val="24"/>
        </w:rPr>
      </w:pPr>
    </w:p>
    <w:p w:rsidR="00DF6693" w:rsidRDefault="00DF6693" w:rsidP="00DF6693">
      <w:pPr>
        <w:autoSpaceDE w:val="0"/>
        <w:autoSpaceDN w:val="0"/>
        <w:adjustRightInd w:val="0"/>
        <w:spacing w:after="0" w:line="240" w:lineRule="auto"/>
        <w:ind w:left="720"/>
        <w:rPr>
          <w:sz w:val="24"/>
          <w:szCs w:val="24"/>
        </w:rPr>
      </w:pPr>
      <w:r w:rsidRPr="0089592B">
        <w:rPr>
          <w:sz w:val="24"/>
          <w:szCs w:val="24"/>
        </w:rPr>
        <w:t>the underlying evidence supporting the hypothesis and the chain of reasoning underpinning the opinion would always need to be scientifically valid</w:t>
      </w:r>
      <w:r>
        <w:rPr>
          <w:sz w:val="24"/>
          <w:szCs w:val="24"/>
        </w:rPr>
        <w:t>…</w:t>
      </w:r>
      <w:r w:rsidRPr="0089592B">
        <w:rPr>
          <w:sz w:val="24"/>
          <w:szCs w:val="24"/>
        </w:rPr>
        <w:t>the required extent to which there has been scientific research and the required extent of the corroborative data supporting a hypothesis will depend on the nature and strength of the opinion and the extent to which it is qualified.</w:t>
      </w:r>
      <w:r>
        <w:rPr>
          <w:rStyle w:val="FootnoteReference"/>
          <w:sz w:val="24"/>
          <w:szCs w:val="24"/>
        </w:rPr>
        <w:footnoteReference w:id="70"/>
      </w:r>
    </w:p>
    <w:p w:rsidR="00DF6693" w:rsidRDefault="00DF6693" w:rsidP="00DF6693">
      <w:pPr>
        <w:pStyle w:val="ListBullet"/>
        <w:numPr>
          <w:ilvl w:val="0"/>
          <w:numId w:val="0"/>
        </w:numPr>
        <w:autoSpaceDE w:val="0"/>
        <w:autoSpaceDN w:val="0"/>
        <w:adjustRightInd w:val="0"/>
        <w:spacing w:after="0" w:line="240" w:lineRule="auto"/>
        <w:ind w:left="360" w:hanging="360"/>
        <w:rPr>
          <w:sz w:val="24"/>
          <w:szCs w:val="24"/>
        </w:rPr>
      </w:pPr>
    </w:p>
    <w:p w:rsidR="00DF6693" w:rsidRDefault="00A30A46" w:rsidP="00DF6693">
      <w:pPr>
        <w:autoSpaceDE w:val="0"/>
        <w:autoSpaceDN w:val="0"/>
        <w:adjustRightInd w:val="0"/>
        <w:spacing w:after="0" w:line="240" w:lineRule="auto"/>
        <w:rPr>
          <w:sz w:val="24"/>
          <w:szCs w:val="24"/>
        </w:rPr>
      </w:pPr>
      <w:r>
        <w:rPr>
          <w:sz w:val="24"/>
          <w:szCs w:val="24"/>
        </w:rPr>
        <w:t xml:space="preserve">With regard to </w:t>
      </w:r>
      <w:r w:rsidR="00DF6693">
        <w:rPr>
          <w:sz w:val="24"/>
          <w:szCs w:val="24"/>
        </w:rPr>
        <w:t>non-scientific evidence</w:t>
      </w:r>
      <w:r>
        <w:rPr>
          <w:sz w:val="24"/>
          <w:szCs w:val="24"/>
        </w:rPr>
        <w:t xml:space="preserve">, </w:t>
      </w:r>
      <w:r w:rsidR="00DF6693">
        <w:rPr>
          <w:sz w:val="24"/>
          <w:szCs w:val="24"/>
        </w:rPr>
        <w:t>the Law Commission, taking the example of lip-reading evidence, indicated that in th</w:t>
      </w:r>
      <w:r>
        <w:rPr>
          <w:sz w:val="24"/>
          <w:szCs w:val="24"/>
        </w:rPr>
        <w:t>e</w:t>
      </w:r>
      <w:r w:rsidR="00DF6693">
        <w:rPr>
          <w:sz w:val="24"/>
          <w:szCs w:val="24"/>
        </w:rPr>
        <w:t xml:space="preserve"> occasional circumstances in which it </w:t>
      </w:r>
      <w:r>
        <w:rPr>
          <w:sz w:val="24"/>
          <w:szCs w:val="24"/>
        </w:rPr>
        <w:t>would be</w:t>
      </w:r>
      <w:r w:rsidR="00DF6693">
        <w:rPr>
          <w:sz w:val="24"/>
          <w:szCs w:val="24"/>
        </w:rPr>
        <w:t xml:space="preserve"> necessary to apply the reliability test </w:t>
      </w:r>
      <w:r>
        <w:rPr>
          <w:sz w:val="24"/>
          <w:szCs w:val="24"/>
        </w:rPr>
        <w:t xml:space="preserve">(as opposed to the </w:t>
      </w:r>
      <w:r w:rsidR="009F5585">
        <w:rPr>
          <w:sz w:val="24"/>
          <w:szCs w:val="24"/>
        </w:rPr>
        <w:t xml:space="preserve">relevant </w:t>
      </w:r>
      <w:r>
        <w:rPr>
          <w:sz w:val="24"/>
          <w:szCs w:val="24"/>
        </w:rPr>
        <w:t xml:space="preserve">expertise test) </w:t>
      </w:r>
      <w:r w:rsidR="00DF6693">
        <w:rPr>
          <w:sz w:val="24"/>
          <w:szCs w:val="24"/>
        </w:rPr>
        <w:t>to such evidence, it would be necessary “</w:t>
      </w:r>
      <w:r w:rsidR="00DF6693" w:rsidRPr="00550D20">
        <w:rPr>
          <w:sz w:val="24"/>
          <w:szCs w:val="24"/>
        </w:rPr>
        <w:t>to show that the lip-reader’s methodology, or the way the expert applied his or her skill for the instant case, provides sufficient evidence of reliability to justify his or her opinion evidence being placed before the jury</w:t>
      </w:r>
      <w:r w:rsidR="009F5585">
        <w:rPr>
          <w:sz w:val="24"/>
          <w:szCs w:val="24"/>
        </w:rPr>
        <w:t>”</w:t>
      </w:r>
      <w:r w:rsidR="00DF6693">
        <w:rPr>
          <w:sz w:val="24"/>
          <w:szCs w:val="24"/>
        </w:rPr>
        <w:t>.</w:t>
      </w:r>
      <w:r w:rsidR="00DF6693">
        <w:rPr>
          <w:rStyle w:val="FootnoteReference"/>
          <w:sz w:val="24"/>
          <w:szCs w:val="24"/>
        </w:rPr>
        <w:footnoteReference w:id="71"/>
      </w:r>
      <w:r w:rsidR="00DF6693">
        <w:rPr>
          <w:sz w:val="24"/>
          <w:szCs w:val="24"/>
        </w:rPr>
        <w:t xml:space="preserve"> The Law Commission accepted that, </w:t>
      </w:r>
    </w:p>
    <w:p w:rsidR="00DF6693" w:rsidRDefault="00DF6693" w:rsidP="00DF6693">
      <w:pPr>
        <w:pStyle w:val="ListBullet"/>
        <w:numPr>
          <w:ilvl w:val="0"/>
          <w:numId w:val="0"/>
        </w:numPr>
        <w:autoSpaceDE w:val="0"/>
        <w:autoSpaceDN w:val="0"/>
        <w:adjustRightInd w:val="0"/>
        <w:spacing w:after="0" w:line="240" w:lineRule="auto"/>
        <w:ind w:left="360" w:hanging="360"/>
        <w:rPr>
          <w:sz w:val="24"/>
          <w:szCs w:val="24"/>
        </w:rPr>
      </w:pPr>
    </w:p>
    <w:p w:rsidR="00DF6693" w:rsidRDefault="00DF6693" w:rsidP="00DF6693">
      <w:pPr>
        <w:autoSpaceDE w:val="0"/>
        <w:autoSpaceDN w:val="0"/>
        <w:adjustRightInd w:val="0"/>
        <w:spacing w:after="0" w:line="240" w:lineRule="auto"/>
        <w:ind w:left="720"/>
        <w:rPr>
          <w:sz w:val="24"/>
          <w:szCs w:val="24"/>
        </w:rPr>
      </w:pPr>
      <w:r w:rsidRPr="00276C5E">
        <w:rPr>
          <w:sz w:val="24"/>
          <w:szCs w:val="24"/>
        </w:rPr>
        <w:t>Factors such as line-of-sight, facial hair, regional accents and lighting may have a bearing on the reliability of a lip-reader’s interpretation. If the angle of observation and the lighting were poor, and the fundamental issue is whether the observed person said just one or a few key words, then the lip-reader’s evidence could be insufficiently reliable to be admitted in a given case.</w:t>
      </w:r>
      <w:r>
        <w:rPr>
          <w:rStyle w:val="FootnoteReference"/>
          <w:sz w:val="24"/>
          <w:szCs w:val="24"/>
        </w:rPr>
        <w:footnoteReference w:id="72"/>
      </w:r>
    </w:p>
    <w:p w:rsidR="00DF6693" w:rsidRPr="009F5585" w:rsidRDefault="00DF6693" w:rsidP="00DF6693">
      <w:pPr>
        <w:pStyle w:val="ListBullet"/>
        <w:numPr>
          <w:ilvl w:val="0"/>
          <w:numId w:val="0"/>
        </w:numPr>
        <w:autoSpaceDE w:val="0"/>
        <w:autoSpaceDN w:val="0"/>
        <w:adjustRightInd w:val="0"/>
        <w:spacing w:after="0" w:line="240" w:lineRule="auto"/>
        <w:ind w:left="360" w:hanging="360"/>
        <w:rPr>
          <w:sz w:val="24"/>
          <w:szCs w:val="24"/>
        </w:rPr>
      </w:pPr>
    </w:p>
    <w:p w:rsidR="001564F2" w:rsidRDefault="00DF6693" w:rsidP="001564F2">
      <w:pPr>
        <w:autoSpaceDE w:val="0"/>
        <w:autoSpaceDN w:val="0"/>
        <w:adjustRightInd w:val="0"/>
        <w:spacing w:after="0" w:line="240" w:lineRule="auto"/>
        <w:rPr>
          <w:sz w:val="24"/>
          <w:szCs w:val="24"/>
        </w:rPr>
      </w:pPr>
      <w:r w:rsidRPr="007F5994">
        <w:rPr>
          <w:sz w:val="24"/>
          <w:szCs w:val="24"/>
        </w:rPr>
        <w:t xml:space="preserve">The Law Commission intended that the assistance, </w:t>
      </w:r>
      <w:r w:rsidR="00DD3B59">
        <w:rPr>
          <w:sz w:val="24"/>
          <w:szCs w:val="24"/>
        </w:rPr>
        <w:t xml:space="preserve">relevant </w:t>
      </w:r>
      <w:r w:rsidRPr="007F5994">
        <w:rPr>
          <w:sz w:val="24"/>
          <w:szCs w:val="24"/>
        </w:rPr>
        <w:t>expertise and impartiality limbs of its admissibility test would apply to all expert evidence whereas the reliability limb would only apply to expert opinion evidence</w:t>
      </w:r>
      <w:r>
        <w:rPr>
          <w:sz w:val="24"/>
          <w:szCs w:val="24"/>
        </w:rPr>
        <w:t>.</w:t>
      </w:r>
      <w:r>
        <w:rPr>
          <w:rStyle w:val="FootnoteReference"/>
          <w:sz w:val="24"/>
          <w:szCs w:val="24"/>
        </w:rPr>
        <w:footnoteReference w:id="73"/>
      </w:r>
      <w:r w:rsidRPr="007F5994">
        <w:rPr>
          <w:sz w:val="24"/>
          <w:szCs w:val="24"/>
        </w:rPr>
        <w:t xml:space="preserve"> It recognised that </w:t>
      </w:r>
      <w:r w:rsidRPr="00DD3B59">
        <w:rPr>
          <w:i/>
          <w:sz w:val="24"/>
          <w:szCs w:val="24"/>
        </w:rPr>
        <w:t>R v Meads</w:t>
      </w:r>
      <w:r>
        <w:rPr>
          <w:rStyle w:val="FootnoteReference"/>
          <w:sz w:val="24"/>
          <w:szCs w:val="24"/>
        </w:rPr>
        <w:footnoteReference w:id="74"/>
      </w:r>
      <w:r>
        <w:rPr>
          <w:sz w:val="24"/>
          <w:szCs w:val="24"/>
        </w:rPr>
        <w:t xml:space="preserve"> provided authority </w:t>
      </w:r>
      <w:r w:rsidRPr="007F5994">
        <w:rPr>
          <w:sz w:val="24"/>
          <w:szCs w:val="24"/>
        </w:rPr>
        <w:t xml:space="preserve">for the proposition that the common law admissibility criteria only apply to expert opinion </w:t>
      </w:r>
      <w:r w:rsidRPr="007F5994">
        <w:rPr>
          <w:sz w:val="24"/>
          <w:szCs w:val="24"/>
        </w:rPr>
        <w:lastRenderedPageBreak/>
        <w:t xml:space="preserve">evidence and not to expert evidence of fact but </w:t>
      </w:r>
      <w:r>
        <w:rPr>
          <w:sz w:val="24"/>
          <w:szCs w:val="24"/>
        </w:rPr>
        <w:t xml:space="preserve">also that the existing </w:t>
      </w:r>
      <w:r w:rsidRPr="007F5994">
        <w:rPr>
          <w:sz w:val="24"/>
          <w:szCs w:val="24"/>
        </w:rPr>
        <w:t xml:space="preserve">case law almost exclusively relates to expert opinion evidence. </w:t>
      </w:r>
      <w:r>
        <w:rPr>
          <w:sz w:val="24"/>
          <w:szCs w:val="24"/>
        </w:rPr>
        <w:t xml:space="preserve">The Law </w:t>
      </w:r>
      <w:r w:rsidR="00DD3B59">
        <w:rPr>
          <w:sz w:val="24"/>
          <w:szCs w:val="24"/>
        </w:rPr>
        <w:t xml:space="preserve">Commission </w:t>
      </w:r>
      <w:r>
        <w:rPr>
          <w:sz w:val="24"/>
          <w:szCs w:val="24"/>
        </w:rPr>
        <w:t>contrasted, the situation where a police officer was called to give factual evidence (such as evidence of paraphernalia that drug-dealers commonly use) from that in which a police officer was called to give expert opinion evidence (such as whether the quantity of drugs found in the accused’s possession exceeded that required for personal consumption).</w:t>
      </w:r>
      <w:r>
        <w:rPr>
          <w:rStyle w:val="FootnoteReference"/>
          <w:sz w:val="24"/>
          <w:szCs w:val="24"/>
        </w:rPr>
        <w:footnoteReference w:id="75"/>
      </w:r>
      <w:r>
        <w:rPr>
          <w:sz w:val="24"/>
          <w:szCs w:val="24"/>
        </w:rPr>
        <w:t xml:space="preserve"> In the former situation, the Law Commission’s reliability test would not have been applicable and the issue so far as the admissibility of the expert’s factual evidence was concerned would simply have been whether the police officer “</w:t>
      </w:r>
      <w:r w:rsidRPr="00F4048A">
        <w:rPr>
          <w:sz w:val="24"/>
          <w:szCs w:val="24"/>
        </w:rPr>
        <w:t>was qualified to provide expert evidence, with reference to information such as the number of recent cases involving drugs he or she has worked on, the nature and extent of his or her involvement, the courses and seminars attended and so on</w:t>
      </w:r>
      <w:r>
        <w:rPr>
          <w:sz w:val="24"/>
          <w:szCs w:val="24"/>
        </w:rPr>
        <w:t>”</w:t>
      </w:r>
      <w:r w:rsidRPr="00F4048A">
        <w:rPr>
          <w:sz w:val="24"/>
          <w:szCs w:val="24"/>
        </w:rPr>
        <w:t>.</w:t>
      </w:r>
      <w:r>
        <w:rPr>
          <w:rStyle w:val="FootnoteReference"/>
          <w:sz w:val="24"/>
          <w:szCs w:val="24"/>
        </w:rPr>
        <w:footnoteReference w:id="76"/>
      </w:r>
      <w:r w:rsidRPr="00F4048A">
        <w:rPr>
          <w:sz w:val="24"/>
          <w:szCs w:val="24"/>
        </w:rPr>
        <w:t xml:space="preserve"> </w:t>
      </w:r>
      <w:r>
        <w:rPr>
          <w:sz w:val="24"/>
          <w:szCs w:val="24"/>
        </w:rPr>
        <w:t xml:space="preserve">In the latter situation the Law Commission’s reliability limb would potentially have been applicable and if </w:t>
      </w:r>
      <w:r w:rsidR="00DD3B59">
        <w:rPr>
          <w:sz w:val="24"/>
          <w:szCs w:val="24"/>
        </w:rPr>
        <w:t>it</w:t>
      </w:r>
      <w:r>
        <w:rPr>
          <w:sz w:val="24"/>
          <w:szCs w:val="24"/>
        </w:rPr>
        <w:t xml:space="preserve"> had been applied it would have been necessary both to show that the police officer was “</w:t>
      </w:r>
      <w:r w:rsidRPr="00F4048A">
        <w:rPr>
          <w:sz w:val="24"/>
          <w:szCs w:val="24"/>
        </w:rPr>
        <w:t>qualified to provide an expert opinion on such matters</w:t>
      </w:r>
      <w:r>
        <w:rPr>
          <w:sz w:val="24"/>
          <w:szCs w:val="24"/>
        </w:rPr>
        <w:t xml:space="preserve">” and to show that the police officer’s “opinion </w:t>
      </w:r>
      <w:r w:rsidRPr="00F4048A">
        <w:rPr>
          <w:sz w:val="24"/>
          <w:szCs w:val="24"/>
        </w:rPr>
        <w:t>was based on sound empirical research and that the strength of the opinion was warranted by the data relied on and the inferences legitimately to be drawn from the data</w:t>
      </w:r>
      <w:r>
        <w:rPr>
          <w:sz w:val="24"/>
          <w:szCs w:val="24"/>
        </w:rPr>
        <w:t>”.</w:t>
      </w:r>
      <w:r>
        <w:rPr>
          <w:rStyle w:val="FootnoteReference"/>
          <w:sz w:val="24"/>
          <w:szCs w:val="24"/>
        </w:rPr>
        <w:footnoteReference w:id="77"/>
      </w:r>
      <w:r w:rsidR="00DD3B59">
        <w:rPr>
          <w:sz w:val="24"/>
          <w:szCs w:val="24"/>
        </w:rPr>
        <w:t xml:space="preserve"> </w:t>
      </w:r>
      <w:r w:rsidR="00F31B85">
        <w:rPr>
          <w:sz w:val="24"/>
          <w:szCs w:val="24"/>
        </w:rPr>
        <w:t xml:space="preserve"> </w:t>
      </w:r>
    </w:p>
    <w:p w:rsidR="001564F2" w:rsidRDefault="001564F2" w:rsidP="001564F2">
      <w:pPr>
        <w:autoSpaceDE w:val="0"/>
        <w:autoSpaceDN w:val="0"/>
        <w:adjustRightInd w:val="0"/>
        <w:spacing w:after="0" w:line="240" w:lineRule="auto"/>
        <w:rPr>
          <w:sz w:val="24"/>
          <w:szCs w:val="24"/>
        </w:rPr>
      </w:pPr>
    </w:p>
    <w:p w:rsidR="00DF6693" w:rsidRDefault="001564F2" w:rsidP="00DF6693">
      <w:pPr>
        <w:autoSpaceDE w:val="0"/>
        <w:autoSpaceDN w:val="0"/>
        <w:adjustRightInd w:val="0"/>
        <w:spacing w:after="0" w:line="240" w:lineRule="auto"/>
        <w:rPr>
          <w:sz w:val="24"/>
          <w:szCs w:val="24"/>
        </w:rPr>
      </w:pPr>
      <w:r>
        <w:rPr>
          <w:sz w:val="24"/>
          <w:szCs w:val="24"/>
        </w:rPr>
        <w:t xml:space="preserve">For present purposes, the crucial question is to what extent </w:t>
      </w:r>
      <w:r w:rsidR="00DF6693">
        <w:rPr>
          <w:sz w:val="24"/>
          <w:szCs w:val="24"/>
        </w:rPr>
        <w:t xml:space="preserve">the </w:t>
      </w:r>
      <w:r>
        <w:rPr>
          <w:sz w:val="24"/>
          <w:szCs w:val="24"/>
        </w:rPr>
        <w:t xml:space="preserve">three limbs of the </w:t>
      </w:r>
      <w:r w:rsidR="00DF6693">
        <w:rPr>
          <w:sz w:val="24"/>
          <w:szCs w:val="24"/>
        </w:rPr>
        <w:t>common law admissibility test and</w:t>
      </w:r>
      <w:r>
        <w:rPr>
          <w:sz w:val="24"/>
          <w:szCs w:val="24"/>
        </w:rPr>
        <w:t>/or</w:t>
      </w:r>
      <w:r w:rsidR="00DF6693">
        <w:rPr>
          <w:sz w:val="24"/>
          <w:szCs w:val="24"/>
        </w:rPr>
        <w:t xml:space="preserve"> the common law reliability test </w:t>
      </w:r>
      <w:r>
        <w:rPr>
          <w:sz w:val="24"/>
          <w:szCs w:val="24"/>
        </w:rPr>
        <w:t>would be applicable in the context of the Law Commission’s two police officer scenarios.</w:t>
      </w:r>
      <w:r w:rsidR="00DF6693">
        <w:rPr>
          <w:sz w:val="24"/>
          <w:szCs w:val="24"/>
        </w:rPr>
        <w:t xml:space="preserve"> </w:t>
      </w:r>
      <w:proofErr w:type="spellStart"/>
      <w:r w:rsidR="00DF6693">
        <w:rPr>
          <w:sz w:val="24"/>
          <w:szCs w:val="24"/>
        </w:rPr>
        <w:t>CrimPD</w:t>
      </w:r>
      <w:proofErr w:type="spellEnd"/>
      <w:r w:rsidR="00DF6693">
        <w:rPr>
          <w:sz w:val="24"/>
          <w:szCs w:val="24"/>
        </w:rPr>
        <w:t xml:space="preserve"> 19A r</w:t>
      </w:r>
      <w:r w:rsidR="00DF6693" w:rsidRPr="007F5994">
        <w:rPr>
          <w:sz w:val="24"/>
          <w:szCs w:val="24"/>
        </w:rPr>
        <w:t xml:space="preserve">efers </w:t>
      </w:r>
      <w:r>
        <w:rPr>
          <w:sz w:val="24"/>
          <w:szCs w:val="24"/>
        </w:rPr>
        <w:t xml:space="preserve">to three common law </w:t>
      </w:r>
      <w:r w:rsidR="00DF6693">
        <w:rPr>
          <w:sz w:val="24"/>
          <w:szCs w:val="24"/>
        </w:rPr>
        <w:t xml:space="preserve">limbs in terms of the admissibility of “expert opinion evidence” and to the guidance </w:t>
      </w:r>
      <w:r>
        <w:rPr>
          <w:sz w:val="24"/>
          <w:szCs w:val="24"/>
        </w:rPr>
        <w:t xml:space="preserve">it adopted </w:t>
      </w:r>
      <w:r w:rsidR="00DF6693">
        <w:rPr>
          <w:sz w:val="24"/>
          <w:szCs w:val="24"/>
        </w:rPr>
        <w:t>from the Law Commissions draft Bill in terms of “expert opinion”</w:t>
      </w:r>
      <w:r>
        <w:rPr>
          <w:sz w:val="24"/>
          <w:szCs w:val="24"/>
        </w:rPr>
        <w:t xml:space="preserve"> and “expert scientific opinion”</w:t>
      </w:r>
      <w:r w:rsidR="00DF6693">
        <w:rPr>
          <w:sz w:val="24"/>
          <w:szCs w:val="24"/>
        </w:rPr>
        <w:t>.</w:t>
      </w:r>
      <w:r w:rsidR="00DF6693">
        <w:rPr>
          <w:rStyle w:val="FootnoteReference"/>
          <w:sz w:val="24"/>
          <w:szCs w:val="24"/>
        </w:rPr>
        <w:footnoteReference w:id="78"/>
      </w:r>
      <w:r w:rsidR="00DF6693">
        <w:rPr>
          <w:sz w:val="24"/>
          <w:szCs w:val="24"/>
        </w:rPr>
        <w:t xml:space="preserve"> </w:t>
      </w:r>
      <w:r>
        <w:rPr>
          <w:sz w:val="24"/>
          <w:szCs w:val="24"/>
        </w:rPr>
        <w:t xml:space="preserve">This would suggest that, in line with the decision of the Court of Appeal in </w:t>
      </w:r>
      <w:r w:rsidRPr="001564F2">
        <w:rPr>
          <w:i/>
          <w:sz w:val="24"/>
          <w:szCs w:val="24"/>
        </w:rPr>
        <w:t>Meads</w:t>
      </w:r>
      <w:r>
        <w:rPr>
          <w:sz w:val="24"/>
          <w:szCs w:val="24"/>
        </w:rPr>
        <w:t xml:space="preserve">, the three limbs of the common law admissibility test and the </w:t>
      </w:r>
      <w:r w:rsidR="00F037EF">
        <w:rPr>
          <w:sz w:val="24"/>
          <w:szCs w:val="24"/>
        </w:rPr>
        <w:t xml:space="preserve">common law </w:t>
      </w:r>
      <w:r>
        <w:rPr>
          <w:sz w:val="24"/>
          <w:szCs w:val="24"/>
        </w:rPr>
        <w:t xml:space="preserve">reliability test </w:t>
      </w:r>
      <w:r w:rsidR="00DF6693">
        <w:rPr>
          <w:sz w:val="24"/>
          <w:szCs w:val="24"/>
        </w:rPr>
        <w:t xml:space="preserve">would be inapplicable to the Law Commission’s former scenario but would apply to the latter. The decision in </w:t>
      </w:r>
      <w:r w:rsidR="00DF6693" w:rsidRPr="003A46B2">
        <w:rPr>
          <w:i/>
          <w:sz w:val="24"/>
          <w:szCs w:val="24"/>
        </w:rPr>
        <w:t>Meads</w:t>
      </w:r>
      <w:r w:rsidR="00DF6693">
        <w:rPr>
          <w:sz w:val="24"/>
          <w:szCs w:val="24"/>
        </w:rPr>
        <w:t xml:space="preserve"> (which concerned factual evidence of tests </w:t>
      </w:r>
      <w:r w:rsidR="00BB301C">
        <w:rPr>
          <w:sz w:val="24"/>
          <w:szCs w:val="24"/>
        </w:rPr>
        <w:t xml:space="preserve">performed by handwriting experts into whether police officers could have written handwritten notes in the time in which they had allegedly been written) </w:t>
      </w:r>
      <w:r w:rsidR="00DF6693">
        <w:rPr>
          <w:sz w:val="24"/>
          <w:szCs w:val="24"/>
        </w:rPr>
        <w:t xml:space="preserve">has, however, been subject to criticism, including </w:t>
      </w:r>
      <w:r>
        <w:rPr>
          <w:sz w:val="24"/>
          <w:szCs w:val="24"/>
        </w:rPr>
        <w:t xml:space="preserve">criticism </w:t>
      </w:r>
      <w:r w:rsidR="00DF6693">
        <w:rPr>
          <w:sz w:val="24"/>
          <w:szCs w:val="24"/>
        </w:rPr>
        <w:t>by the Law Commission itself.</w:t>
      </w:r>
      <w:r w:rsidR="00DF6693">
        <w:rPr>
          <w:rStyle w:val="FootnoteReference"/>
          <w:sz w:val="24"/>
          <w:szCs w:val="24"/>
        </w:rPr>
        <w:footnoteReference w:id="79"/>
      </w:r>
      <w:r w:rsidR="00DF6693">
        <w:rPr>
          <w:sz w:val="24"/>
          <w:szCs w:val="24"/>
        </w:rPr>
        <w:t xml:space="preserve"> Whilst </w:t>
      </w:r>
      <w:r w:rsidR="00DF6693" w:rsidRPr="000A6450">
        <w:rPr>
          <w:i/>
          <w:sz w:val="24"/>
          <w:szCs w:val="24"/>
        </w:rPr>
        <w:t xml:space="preserve">Meads </w:t>
      </w:r>
      <w:r w:rsidR="00DF6693">
        <w:rPr>
          <w:sz w:val="24"/>
          <w:szCs w:val="24"/>
        </w:rPr>
        <w:t>has been applied by the Divisional Court</w:t>
      </w:r>
      <w:r w:rsidR="00DF6693">
        <w:rPr>
          <w:rStyle w:val="FootnoteReference"/>
          <w:sz w:val="24"/>
          <w:szCs w:val="24"/>
        </w:rPr>
        <w:footnoteReference w:id="80"/>
      </w:r>
      <w:r w:rsidR="00DF6693">
        <w:rPr>
          <w:sz w:val="24"/>
          <w:szCs w:val="24"/>
        </w:rPr>
        <w:t>, it is suggested that the better approach to admissibility at common law would be that</w:t>
      </w:r>
      <w:r>
        <w:rPr>
          <w:sz w:val="24"/>
          <w:szCs w:val="24"/>
        </w:rPr>
        <w:t>,</w:t>
      </w:r>
      <w:r w:rsidR="00DF6693">
        <w:rPr>
          <w:sz w:val="24"/>
          <w:szCs w:val="24"/>
        </w:rPr>
        <w:t xml:space="preserve"> at the very least</w:t>
      </w:r>
      <w:r>
        <w:rPr>
          <w:sz w:val="24"/>
          <w:szCs w:val="24"/>
        </w:rPr>
        <w:t>,</w:t>
      </w:r>
      <w:r w:rsidR="00DF6693">
        <w:rPr>
          <w:sz w:val="24"/>
          <w:szCs w:val="24"/>
        </w:rPr>
        <w:t xml:space="preserve"> the three traditional limbs of the common law admissibility test should be applicable to evidence such as that </w:t>
      </w:r>
      <w:r w:rsidR="00AD28D7">
        <w:rPr>
          <w:sz w:val="24"/>
          <w:szCs w:val="24"/>
        </w:rPr>
        <w:t xml:space="preserve">encountered </w:t>
      </w:r>
      <w:r w:rsidR="00DF6693">
        <w:rPr>
          <w:sz w:val="24"/>
          <w:szCs w:val="24"/>
        </w:rPr>
        <w:t>in the former of the Law Commission’s two police officer scenarios.</w:t>
      </w:r>
      <w:r>
        <w:rPr>
          <w:sz w:val="24"/>
          <w:szCs w:val="24"/>
        </w:rPr>
        <w:t xml:space="preserve"> </w:t>
      </w:r>
      <w:r w:rsidR="00306304">
        <w:rPr>
          <w:sz w:val="24"/>
          <w:szCs w:val="24"/>
        </w:rPr>
        <w:t xml:space="preserve">It may be that this is a matter that the Court of Appeal should revisit. </w:t>
      </w:r>
      <w:r>
        <w:rPr>
          <w:sz w:val="24"/>
          <w:szCs w:val="24"/>
        </w:rPr>
        <w:t xml:space="preserve">If </w:t>
      </w:r>
      <w:r w:rsidR="00306304">
        <w:rPr>
          <w:sz w:val="24"/>
          <w:szCs w:val="24"/>
        </w:rPr>
        <w:t>expert evidence of fact was</w:t>
      </w:r>
      <w:r>
        <w:rPr>
          <w:sz w:val="24"/>
          <w:szCs w:val="24"/>
        </w:rPr>
        <w:t xml:space="preserve"> </w:t>
      </w:r>
      <w:r w:rsidR="00306304">
        <w:rPr>
          <w:sz w:val="24"/>
          <w:szCs w:val="24"/>
        </w:rPr>
        <w:t xml:space="preserve">treated as falling within the ambit of the common law admissibility test </w:t>
      </w:r>
      <w:r w:rsidR="00F713B0">
        <w:rPr>
          <w:sz w:val="24"/>
          <w:szCs w:val="24"/>
        </w:rPr>
        <w:t xml:space="preserve">but not within that of the new </w:t>
      </w:r>
      <w:r w:rsidR="00306304">
        <w:rPr>
          <w:sz w:val="24"/>
          <w:szCs w:val="24"/>
        </w:rPr>
        <w:t>common law reliability test</w:t>
      </w:r>
      <w:r>
        <w:rPr>
          <w:sz w:val="24"/>
          <w:szCs w:val="24"/>
        </w:rPr>
        <w:t xml:space="preserve">, the </w:t>
      </w:r>
      <w:r w:rsidR="00306304">
        <w:rPr>
          <w:sz w:val="24"/>
          <w:szCs w:val="24"/>
        </w:rPr>
        <w:t>sole live</w:t>
      </w:r>
      <w:r>
        <w:rPr>
          <w:sz w:val="24"/>
          <w:szCs w:val="24"/>
        </w:rPr>
        <w:t xml:space="preserve"> issue in the former </w:t>
      </w:r>
      <w:r w:rsidR="00306304">
        <w:rPr>
          <w:sz w:val="24"/>
          <w:szCs w:val="24"/>
        </w:rPr>
        <w:t xml:space="preserve">of the Law Commission’s </w:t>
      </w:r>
      <w:r>
        <w:rPr>
          <w:sz w:val="24"/>
          <w:szCs w:val="24"/>
        </w:rPr>
        <w:t>scenario</w:t>
      </w:r>
      <w:r w:rsidR="00306304">
        <w:rPr>
          <w:sz w:val="24"/>
          <w:szCs w:val="24"/>
        </w:rPr>
        <w:t>s</w:t>
      </w:r>
      <w:r>
        <w:rPr>
          <w:sz w:val="24"/>
          <w:szCs w:val="24"/>
        </w:rPr>
        <w:t xml:space="preserve"> would be whether the police witness was competent to give such </w:t>
      </w:r>
      <w:r>
        <w:rPr>
          <w:sz w:val="24"/>
          <w:szCs w:val="24"/>
        </w:rPr>
        <w:lastRenderedPageBreak/>
        <w:t>evidence whereas in the latter scenario reliability wo</w:t>
      </w:r>
      <w:r w:rsidR="00306304">
        <w:rPr>
          <w:sz w:val="24"/>
          <w:szCs w:val="24"/>
        </w:rPr>
        <w:t>uld also, potentially, become a live</w:t>
      </w:r>
      <w:r>
        <w:rPr>
          <w:sz w:val="24"/>
          <w:szCs w:val="24"/>
        </w:rPr>
        <w:t xml:space="preserve"> issue. </w:t>
      </w:r>
    </w:p>
    <w:p w:rsidR="00DF6693" w:rsidRDefault="00DF6693" w:rsidP="00DF6693">
      <w:pPr>
        <w:autoSpaceDE w:val="0"/>
        <w:autoSpaceDN w:val="0"/>
        <w:adjustRightInd w:val="0"/>
        <w:spacing w:after="0" w:line="240" w:lineRule="auto"/>
        <w:rPr>
          <w:sz w:val="24"/>
          <w:szCs w:val="24"/>
        </w:rPr>
      </w:pPr>
    </w:p>
    <w:p w:rsidR="003C6346" w:rsidRDefault="0096026C" w:rsidP="003C6346">
      <w:pPr>
        <w:pStyle w:val="FootnoteText"/>
        <w:rPr>
          <w:sz w:val="24"/>
          <w:szCs w:val="24"/>
        </w:rPr>
      </w:pPr>
      <w:r>
        <w:rPr>
          <w:sz w:val="24"/>
          <w:szCs w:val="24"/>
        </w:rPr>
        <w:t xml:space="preserve">The requirements of </w:t>
      </w:r>
      <w:proofErr w:type="spellStart"/>
      <w:r>
        <w:rPr>
          <w:sz w:val="24"/>
          <w:szCs w:val="24"/>
        </w:rPr>
        <w:t>CrimPR</w:t>
      </w:r>
      <w:proofErr w:type="spellEnd"/>
      <w:r>
        <w:rPr>
          <w:sz w:val="24"/>
          <w:szCs w:val="24"/>
        </w:rPr>
        <w:t xml:space="preserve"> 19.4 concerning the content of experts’ reports require </w:t>
      </w:r>
      <w:r w:rsidR="000C0336">
        <w:rPr>
          <w:sz w:val="24"/>
          <w:szCs w:val="24"/>
        </w:rPr>
        <w:t xml:space="preserve">the provision of information some of which should be of value when the court is required to determine the reliability of expert evidence. </w:t>
      </w:r>
      <w:r w:rsidR="00616641" w:rsidRPr="00616641">
        <w:rPr>
          <w:sz w:val="24"/>
          <w:szCs w:val="24"/>
        </w:rPr>
        <w:t xml:space="preserve">For example, </w:t>
      </w:r>
      <w:r w:rsidR="00616641">
        <w:rPr>
          <w:sz w:val="24"/>
          <w:szCs w:val="24"/>
        </w:rPr>
        <w:t xml:space="preserve">the report must provide </w:t>
      </w:r>
      <w:r w:rsidR="00616641" w:rsidRPr="00616641">
        <w:rPr>
          <w:sz w:val="24"/>
          <w:szCs w:val="24"/>
        </w:rPr>
        <w:t xml:space="preserve">details of the literature </w:t>
      </w:r>
      <w:proofErr w:type="spellStart"/>
      <w:r w:rsidR="00616641" w:rsidRPr="00616641">
        <w:rPr>
          <w:sz w:val="24"/>
          <w:szCs w:val="24"/>
        </w:rPr>
        <w:t>etc</w:t>
      </w:r>
      <w:proofErr w:type="spellEnd"/>
      <w:r w:rsidR="00616641" w:rsidRPr="00616641">
        <w:rPr>
          <w:sz w:val="24"/>
          <w:szCs w:val="24"/>
        </w:rPr>
        <w:t xml:space="preserve"> relied upon by the expert, </w:t>
      </w:r>
      <w:r w:rsidR="00616641">
        <w:rPr>
          <w:sz w:val="24"/>
          <w:szCs w:val="24"/>
        </w:rPr>
        <w:t xml:space="preserve">set out the substance </w:t>
      </w:r>
      <w:r w:rsidR="00F713B0">
        <w:rPr>
          <w:sz w:val="24"/>
          <w:szCs w:val="24"/>
        </w:rPr>
        <w:t xml:space="preserve">of </w:t>
      </w:r>
      <w:r w:rsidR="00616641" w:rsidRPr="00616641">
        <w:rPr>
          <w:sz w:val="24"/>
          <w:szCs w:val="24"/>
        </w:rPr>
        <w:t xml:space="preserve">the facts on which the expert’s opinion is based, </w:t>
      </w:r>
      <w:r w:rsidR="00FB6263">
        <w:rPr>
          <w:sz w:val="24"/>
          <w:szCs w:val="24"/>
        </w:rPr>
        <w:t xml:space="preserve">clarify which facts fall within the expert’s personal knowledge, identify those who carried out tests and experiments </w:t>
      </w:r>
      <w:proofErr w:type="spellStart"/>
      <w:r w:rsidR="00FB6263">
        <w:rPr>
          <w:sz w:val="24"/>
          <w:szCs w:val="24"/>
        </w:rPr>
        <w:t>etc</w:t>
      </w:r>
      <w:proofErr w:type="spellEnd"/>
      <w:r w:rsidR="00FB6263">
        <w:rPr>
          <w:sz w:val="24"/>
          <w:szCs w:val="24"/>
        </w:rPr>
        <w:t xml:space="preserve"> (detailing the qualifications </w:t>
      </w:r>
      <w:proofErr w:type="spellStart"/>
      <w:r w:rsidR="00FB6263">
        <w:rPr>
          <w:sz w:val="24"/>
          <w:szCs w:val="24"/>
        </w:rPr>
        <w:t>etc</w:t>
      </w:r>
      <w:proofErr w:type="spellEnd"/>
      <w:r w:rsidR="00FB6263">
        <w:rPr>
          <w:sz w:val="24"/>
          <w:szCs w:val="24"/>
        </w:rPr>
        <w:t xml:space="preserve"> of such persons), summarise the range of opinion in the area (if there is</w:t>
      </w:r>
      <w:r w:rsidR="00636B7B">
        <w:rPr>
          <w:sz w:val="24"/>
          <w:szCs w:val="24"/>
        </w:rPr>
        <w:t xml:space="preserve"> </w:t>
      </w:r>
      <w:r w:rsidR="00FB6263">
        <w:rPr>
          <w:sz w:val="24"/>
          <w:szCs w:val="24"/>
        </w:rPr>
        <w:t>such  a range) providing reasons for the opinion formed by the expert and if the opinion is a qualified opinion, state that this is so.</w:t>
      </w:r>
      <w:r w:rsidR="00FB6263">
        <w:rPr>
          <w:rStyle w:val="FootnoteReference"/>
          <w:sz w:val="24"/>
          <w:szCs w:val="24"/>
        </w:rPr>
        <w:footnoteReference w:id="81"/>
      </w:r>
      <w:r w:rsidR="00FB6263">
        <w:rPr>
          <w:sz w:val="24"/>
          <w:szCs w:val="24"/>
        </w:rPr>
        <w:t xml:space="preserve"> </w:t>
      </w:r>
      <w:r w:rsidR="000C0336">
        <w:rPr>
          <w:sz w:val="24"/>
          <w:szCs w:val="24"/>
        </w:rPr>
        <w:t xml:space="preserve">The </w:t>
      </w:r>
      <w:r w:rsidR="00FB6263">
        <w:rPr>
          <w:sz w:val="24"/>
          <w:szCs w:val="24"/>
        </w:rPr>
        <w:t xml:space="preserve">requirement imposed by </w:t>
      </w:r>
      <w:proofErr w:type="spellStart"/>
      <w:r w:rsidR="00FB6263">
        <w:rPr>
          <w:sz w:val="24"/>
          <w:szCs w:val="24"/>
        </w:rPr>
        <w:t>CrimPR</w:t>
      </w:r>
      <w:proofErr w:type="spellEnd"/>
      <w:r w:rsidR="00FB6263">
        <w:rPr>
          <w:sz w:val="24"/>
          <w:szCs w:val="24"/>
        </w:rPr>
        <w:t xml:space="preserve"> 19.4 which most obviously concerns the reliability of expert evidence </w:t>
      </w:r>
      <w:r w:rsidR="000C0336">
        <w:rPr>
          <w:sz w:val="24"/>
          <w:szCs w:val="24"/>
        </w:rPr>
        <w:t>is that imposed by a</w:t>
      </w:r>
      <w:r w:rsidR="000506AF">
        <w:rPr>
          <w:sz w:val="24"/>
          <w:szCs w:val="24"/>
        </w:rPr>
        <w:t xml:space="preserve">n </w:t>
      </w:r>
      <w:r w:rsidR="000C0336">
        <w:rPr>
          <w:sz w:val="24"/>
          <w:szCs w:val="24"/>
        </w:rPr>
        <w:t xml:space="preserve">amendment to the </w:t>
      </w:r>
      <w:proofErr w:type="spellStart"/>
      <w:r w:rsidR="000C0336">
        <w:rPr>
          <w:sz w:val="24"/>
          <w:szCs w:val="24"/>
        </w:rPr>
        <w:t>CrimPR</w:t>
      </w:r>
      <w:proofErr w:type="spellEnd"/>
      <w:r w:rsidR="00B638D0">
        <w:rPr>
          <w:sz w:val="24"/>
          <w:szCs w:val="24"/>
        </w:rPr>
        <w:t xml:space="preserve"> made </w:t>
      </w:r>
      <w:r w:rsidR="000506AF">
        <w:rPr>
          <w:sz w:val="24"/>
          <w:szCs w:val="24"/>
        </w:rPr>
        <w:t xml:space="preserve">by the </w:t>
      </w:r>
      <w:proofErr w:type="spellStart"/>
      <w:r w:rsidR="000506AF">
        <w:rPr>
          <w:sz w:val="24"/>
          <w:szCs w:val="24"/>
        </w:rPr>
        <w:t>CrimPRC</w:t>
      </w:r>
      <w:proofErr w:type="spellEnd"/>
      <w:r w:rsidR="000506AF">
        <w:rPr>
          <w:sz w:val="24"/>
          <w:szCs w:val="24"/>
        </w:rPr>
        <w:t xml:space="preserve"> following a request made by the Government in its response to the Law Commission’s Report</w:t>
      </w:r>
      <w:r w:rsidR="000506AF">
        <w:rPr>
          <w:rStyle w:val="FootnoteReference"/>
          <w:sz w:val="24"/>
          <w:szCs w:val="24"/>
        </w:rPr>
        <w:footnoteReference w:id="82"/>
      </w:r>
      <w:r w:rsidR="000506AF">
        <w:rPr>
          <w:sz w:val="24"/>
          <w:szCs w:val="24"/>
        </w:rPr>
        <w:t>,</w:t>
      </w:r>
      <w:r w:rsidR="000C0336">
        <w:rPr>
          <w:sz w:val="24"/>
          <w:szCs w:val="24"/>
        </w:rPr>
        <w:t xml:space="preserve"> namely, that an expert’s report must “</w:t>
      </w:r>
      <w:r w:rsidR="000C0336" w:rsidRPr="000C0336">
        <w:rPr>
          <w:sz w:val="24"/>
          <w:szCs w:val="24"/>
        </w:rPr>
        <w:t>include such information as the court may need to decide whether the expert’s opinion is sufficiently reliable to be admissible as evidence</w:t>
      </w:r>
      <w:r w:rsidR="000C0336">
        <w:rPr>
          <w:sz w:val="24"/>
          <w:szCs w:val="24"/>
        </w:rPr>
        <w:t>”.</w:t>
      </w:r>
      <w:r w:rsidR="000C0336">
        <w:rPr>
          <w:rStyle w:val="FootnoteReference"/>
          <w:sz w:val="24"/>
          <w:szCs w:val="24"/>
        </w:rPr>
        <w:footnoteReference w:id="83"/>
      </w:r>
      <w:r w:rsidR="005F298D">
        <w:rPr>
          <w:sz w:val="24"/>
          <w:szCs w:val="24"/>
        </w:rPr>
        <w:t xml:space="preserve"> </w:t>
      </w:r>
      <w:r w:rsidR="003C6346">
        <w:rPr>
          <w:sz w:val="24"/>
          <w:szCs w:val="24"/>
        </w:rPr>
        <w:t>The</w:t>
      </w:r>
      <w:r w:rsidR="00947AB1">
        <w:rPr>
          <w:sz w:val="24"/>
          <w:szCs w:val="24"/>
        </w:rPr>
        <w:t xml:space="preserve"> Crown Prosecution Service Guidance on Expert Evidence</w:t>
      </w:r>
      <w:r w:rsidR="003C6346">
        <w:rPr>
          <w:sz w:val="24"/>
          <w:szCs w:val="24"/>
        </w:rPr>
        <w:t xml:space="preserve"> suggest</w:t>
      </w:r>
      <w:r w:rsidR="00947AB1">
        <w:rPr>
          <w:sz w:val="24"/>
          <w:szCs w:val="24"/>
        </w:rPr>
        <w:t>s</w:t>
      </w:r>
      <w:r w:rsidR="003C6346">
        <w:rPr>
          <w:sz w:val="24"/>
          <w:szCs w:val="24"/>
        </w:rPr>
        <w:t xml:space="preserve"> that </w:t>
      </w:r>
      <w:r w:rsidR="001B2DB1">
        <w:rPr>
          <w:sz w:val="24"/>
          <w:szCs w:val="24"/>
        </w:rPr>
        <w:t>when an expert is considering what to include in a report in order to comply with this new requirement the expert should have regard to the guidance provided by the Practice Direction.</w:t>
      </w:r>
      <w:r w:rsidR="001B2DB1">
        <w:rPr>
          <w:rStyle w:val="FootnoteReference"/>
          <w:sz w:val="24"/>
          <w:szCs w:val="24"/>
        </w:rPr>
        <w:footnoteReference w:id="84"/>
      </w:r>
      <w:r w:rsidR="00626E59">
        <w:rPr>
          <w:sz w:val="24"/>
          <w:szCs w:val="24"/>
        </w:rPr>
        <w:t xml:space="preserve"> </w:t>
      </w:r>
      <w:r w:rsidR="00D455CE">
        <w:rPr>
          <w:sz w:val="24"/>
          <w:szCs w:val="24"/>
        </w:rPr>
        <w:t xml:space="preserve">It is suggested that guidance to this effect could usefully be added either to </w:t>
      </w:r>
      <w:proofErr w:type="spellStart"/>
      <w:r w:rsidR="00D455CE">
        <w:rPr>
          <w:sz w:val="24"/>
          <w:szCs w:val="24"/>
        </w:rPr>
        <w:t>CrimPR</w:t>
      </w:r>
      <w:proofErr w:type="spellEnd"/>
      <w:r w:rsidR="00D455CE">
        <w:rPr>
          <w:sz w:val="24"/>
          <w:szCs w:val="24"/>
        </w:rPr>
        <w:t xml:space="preserve"> 19.4 itself or to </w:t>
      </w:r>
      <w:proofErr w:type="spellStart"/>
      <w:r w:rsidR="00D455CE">
        <w:rPr>
          <w:sz w:val="24"/>
          <w:szCs w:val="24"/>
        </w:rPr>
        <w:t>CrimPD</w:t>
      </w:r>
      <w:proofErr w:type="spellEnd"/>
      <w:r w:rsidR="00D455CE">
        <w:rPr>
          <w:sz w:val="24"/>
          <w:szCs w:val="24"/>
        </w:rPr>
        <w:t xml:space="preserve"> 19A. </w:t>
      </w:r>
    </w:p>
    <w:p w:rsidR="00D455CE" w:rsidRDefault="00D455CE" w:rsidP="003C6346">
      <w:pPr>
        <w:pStyle w:val="FootnoteText"/>
        <w:rPr>
          <w:sz w:val="24"/>
          <w:szCs w:val="24"/>
        </w:rPr>
      </w:pPr>
    </w:p>
    <w:p w:rsidR="003D7762" w:rsidRDefault="00DF6693" w:rsidP="00461A20">
      <w:pPr>
        <w:autoSpaceDE w:val="0"/>
        <w:autoSpaceDN w:val="0"/>
        <w:adjustRightInd w:val="0"/>
        <w:spacing w:after="0" w:line="240" w:lineRule="auto"/>
        <w:rPr>
          <w:sz w:val="24"/>
          <w:szCs w:val="24"/>
        </w:rPr>
      </w:pPr>
      <w:r>
        <w:rPr>
          <w:sz w:val="24"/>
          <w:szCs w:val="24"/>
        </w:rPr>
        <w:t>The Law Commission d</w:t>
      </w:r>
      <w:r w:rsidR="00374394">
        <w:rPr>
          <w:sz w:val="24"/>
          <w:szCs w:val="24"/>
        </w:rPr>
        <w:t>id not believe that its proposed evidentiary reliability test would have provided “a panacea”.</w:t>
      </w:r>
      <w:r w:rsidR="00374394">
        <w:rPr>
          <w:rStyle w:val="FootnoteReference"/>
          <w:sz w:val="24"/>
          <w:szCs w:val="24"/>
        </w:rPr>
        <w:footnoteReference w:id="85"/>
      </w:r>
      <w:r w:rsidR="00374394">
        <w:rPr>
          <w:sz w:val="24"/>
          <w:szCs w:val="24"/>
        </w:rPr>
        <w:t xml:space="preserve"> It believed, however, that the problems that been encountered in the United States of America</w:t>
      </w:r>
      <w:r w:rsidR="009B2EB4">
        <w:rPr>
          <w:rStyle w:val="FootnoteReference"/>
          <w:sz w:val="24"/>
          <w:szCs w:val="24"/>
        </w:rPr>
        <w:footnoteReference w:id="86"/>
      </w:r>
      <w:r w:rsidR="00374394">
        <w:rPr>
          <w:sz w:val="24"/>
          <w:szCs w:val="24"/>
        </w:rPr>
        <w:t xml:space="preserve"> in relation to the application of </w:t>
      </w:r>
      <w:r w:rsidR="009B2EB4">
        <w:rPr>
          <w:sz w:val="24"/>
          <w:szCs w:val="24"/>
        </w:rPr>
        <w:t xml:space="preserve">the </w:t>
      </w:r>
      <w:proofErr w:type="spellStart"/>
      <w:r w:rsidR="009B2EB4" w:rsidRPr="003B22BC">
        <w:rPr>
          <w:i/>
          <w:sz w:val="24"/>
          <w:szCs w:val="24"/>
        </w:rPr>
        <w:t>Daubert</w:t>
      </w:r>
      <w:proofErr w:type="spellEnd"/>
      <w:r w:rsidR="009B2EB4">
        <w:rPr>
          <w:rStyle w:val="FootnoteReference"/>
          <w:i/>
          <w:sz w:val="24"/>
          <w:szCs w:val="24"/>
        </w:rPr>
        <w:footnoteReference w:id="87"/>
      </w:r>
      <w:r w:rsidR="009B2EB4">
        <w:rPr>
          <w:sz w:val="24"/>
          <w:szCs w:val="24"/>
        </w:rPr>
        <w:t xml:space="preserve"> reliability test, which is now codified in Federal Rule of Evidence 702</w:t>
      </w:r>
      <w:r w:rsidR="009B2EB4">
        <w:rPr>
          <w:rStyle w:val="FootnoteReference"/>
          <w:sz w:val="24"/>
          <w:szCs w:val="24"/>
        </w:rPr>
        <w:footnoteReference w:id="88"/>
      </w:r>
      <w:r w:rsidR="009B2EB4">
        <w:rPr>
          <w:sz w:val="24"/>
          <w:szCs w:val="24"/>
        </w:rPr>
        <w:t>, would not be replicated if its recommended reliability test was implemented in England and Wales</w:t>
      </w:r>
      <w:r w:rsidR="00AD28D7">
        <w:rPr>
          <w:sz w:val="24"/>
          <w:szCs w:val="24"/>
        </w:rPr>
        <w:t xml:space="preserve">. This it believed was </w:t>
      </w:r>
      <w:proofErr w:type="gramStart"/>
      <w:r w:rsidR="00AD28D7">
        <w:rPr>
          <w:sz w:val="24"/>
          <w:szCs w:val="24"/>
        </w:rPr>
        <w:t xml:space="preserve">so </w:t>
      </w:r>
      <w:r w:rsidR="009B2EB4">
        <w:rPr>
          <w:sz w:val="24"/>
          <w:szCs w:val="24"/>
        </w:rPr>
        <w:t xml:space="preserve"> because</w:t>
      </w:r>
      <w:proofErr w:type="gramEnd"/>
      <w:r w:rsidR="009B2EB4">
        <w:rPr>
          <w:sz w:val="24"/>
          <w:szCs w:val="24"/>
        </w:rPr>
        <w:t xml:space="preserve"> the courts would have </w:t>
      </w:r>
      <w:r w:rsidR="00AD28D7">
        <w:rPr>
          <w:sz w:val="24"/>
          <w:szCs w:val="24"/>
        </w:rPr>
        <w:t xml:space="preserve">had </w:t>
      </w:r>
      <w:r w:rsidR="009B2EB4">
        <w:rPr>
          <w:sz w:val="24"/>
          <w:szCs w:val="24"/>
        </w:rPr>
        <w:t xml:space="preserve">the benefit </w:t>
      </w:r>
      <w:r w:rsidR="00374394">
        <w:rPr>
          <w:sz w:val="24"/>
          <w:szCs w:val="24"/>
        </w:rPr>
        <w:t>of the guidance provided by its higher-order examples and lower-order factors, judges</w:t>
      </w:r>
      <w:r w:rsidR="00FD1B31">
        <w:rPr>
          <w:sz w:val="24"/>
          <w:szCs w:val="24"/>
        </w:rPr>
        <w:t xml:space="preserve"> would </w:t>
      </w:r>
      <w:r w:rsidR="00AD28D7">
        <w:rPr>
          <w:sz w:val="24"/>
          <w:szCs w:val="24"/>
        </w:rPr>
        <w:t xml:space="preserve">have </w:t>
      </w:r>
      <w:r w:rsidR="00FD1B31">
        <w:rPr>
          <w:sz w:val="24"/>
          <w:szCs w:val="24"/>
        </w:rPr>
        <w:t>receive</w:t>
      </w:r>
      <w:r w:rsidR="00AD28D7">
        <w:rPr>
          <w:sz w:val="24"/>
          <w:szCs w:val="24"/>
        </w:rPr>
        <w:t>d</w:t>
      </w:r>
      <w:r w:rsidR="00FD1B31">
        <w:rPr>
          <w:sz w:val="24"/>
          <w:szCs w:val="24"/>
        </w:rPr>
        <w:t xml:space="preserve"> practical training</w:t>
      </w:r>
      <w:r w:rsidR="00374394">
        <w:rPr>
          <w:sz w:val="24"/>
          <w:szCs w:val="24"/>
        </w:rPr>
        <w:t xml:space="preserve">, </w:t>
      </w:r>
      <w:r w:rsidR="00FD1B31">
        <w:rPr>
          <w:sz w:val="24"/>
          <w:szCs w:val="24"/>
        </w:rPr>
        <w:t>the</w:t>
      </w:r>
      <w:r w:rsidR="00374394">
        <w:rPr>
          <w:sz w:val="24"/>
          <w:szCs w:val="24"/>
        </w:rPr>
        <w:t xml:space="preserve"> reliability test </w:t>
      </w:r>
      <w:r w:rsidR="00FD1B31">
        <w:rPr>
          <w:sz w:val="24"/>
          <w:szCs w:val="24"/>
        </w:rPr>
        <w:t xml:space="preserve">would </w:t>
      </w:r>
      <w:r w:rsidR="00AD28D7">
        <w:rPr>
          <w:sz w:val="24"/>
          <w:szCs w:val="24"/>
        </w:rPr>
        <w:t xml:space="preserve">have </w:t>
      </w:r>
      <w:r w:rsidR="00FD1B31">
        <w:rPr>
          <w:sz w:val="24"/>
          <w:szCs w:val="24"/>
        </w:rPr>
        <w:t>be</w:t>
      </w:r>
      <w:r w:rsidR="00AD28D7">
        <w:rPr>
          <w:sz w:val="24"/>
          <w:szCs w:val="24"/>
        </w:rPr>
        <w:t>en</w:t>
      </w:r>
      <w:r w:rsidR="00FD1B31">
        <w:rPr>
          <w:sz w:val="24"/>
          <w:szCs w:val="24"/>
        </w:rPr>
        <w:t xml:space="preserve"> policed </w:t>
      </w:r>
      <w:r w:rsidR="00374394">
        <w:rPr>
          <w:sz w:val="24"/>
          <w:szCs w:val="24"/>
        </w:rPr>
        <w:t xml:space="preserve">by the Court </w:t>
      </w:r>
      <w:r w:rsidR="00AE190C">
        <w:rPr>
          <w:sz w:val="24"/>
          <w:szCs w:val="24"/>
        </w:rPr>
        <w:t>of Appeal, judge</w:t>
      </w:r>
      <w:r w:rsidR="00FD1B31">
        <w:rPr>
          <w:sz w:val="24"/>
          <w:szCs w:val="24"/>
        </w:rPr>
        <w:t>s</w:t>
      </w:r>
      <w:r w:rsidR="00AE190C">
        <w:rPr>
          <w:sz w:val="24"/>
          <w:szCs w:val="24"/>
        </w:rPr>
        <w:t xml:space="preserve"> </w:t>
      </w:r>
      <w:r w:rsidR="00FD1B31">
        <w:rPr>
          <w:sz w:val="24"/>
          <w:szCs w:val="24"/>
        </w:rPr>
        <w:t>w</w:t>
      </w:r>
      <w:r w:rsidR="00AE190C">
        <w:rPr>
          <w:sz w:val="24"/>
          <w:szCs w:val="24"/>
        </w:rPr>
        <w:t xml:space="preserve">ould </w:t>
      </w:r>
      <w:r w:rsidR="00AD28D7">
        <w:rPr>
          <w:sz w:val="24"/>
          <w:szCs w:val="24"/>
        </w:rPr>
        <w:t xml:space="preserve">(under its recommendations) </w:t>
      </w:r>
      <w:r w:rsidR="00FD1B31">
        <w:rPr>
          <w:sz w:val="24"/>
          <w:szCs w:val="24"/>
        </w:rPr>
        <w:t xml:space="preserve">have been entitled to </w:t>
      </w:r>
      <w:r w:rsidR="00AE190C">
        <w:rPr>
          <w:sz w:val="24"/>
          <w:szCs w:val="24"/>
        </w:rPr>
        <w:t>call on additional expertise in complex cases</w:t>
      </w:r>
      <w:r w:rsidR="00FD1B31">
        <w:rPr>
          <w:sz w:val="24"/>
          <w:szCs w:val="24"/>
        </w:rPr>
        <w:t xml:space="preserve"> </w:t>
      </w:r>
      <w:r w:rsidR="00AD28D7">
        <w:rPr>
          <w:sz w:val="24"/>
          <w:szCs w:val="24"/>
        </w:rPr>
        <w:t>and</w:t>
      </w:r>
      <w:r w:rsidR="00FD1B31">
        <w:rPr>
          <w:sz w:val="24"/>
          <w:szCs w:val="24"/>
        </w:rPr>
        <w:t xml:space="preserve"> </w:t>
      </w:r>
      <w:r w:rsidR="00AE190C">
        <w:rPr>
          <w:sz w:val="24"/>
          <w:szCs w:val="24"/>
        </w:rPr>
        <w:lastRenderedPageBreak/>
        <w:t xml:space="preserve">its recommended amendments to the </w:t>
      </w:r>
      <w:proofErr w:type="spellStart"/>
      <w:r w:rsidR="00AE190C">
        <w:rPr>
          <w:sz w:val="24"/>
          <w:szCs w:val="24"/>
        </w:rPr>
        <w:t>CrimPR</w:t>
      </w:r>
      <w:proofErr w:type="spellEnd"/>
      <w:r w:rsidR="00AE190C">
        <w:rPr>
          <w:sz w:val="24"/>
          <w:szCs w:val="24"/>
        </w:rPr>
        <w:t xml:space="preserve"> </w:t>
      </w:r>
      <w:r w:rsidR="00FD1B31">
        <w:rPr>
          <w:sz w:val="24"/>
          <w:szCs w:val="24"/>
        </w:rPr>
        <w:t xml:space="preserve">would have </w:t>
      </w:r>
      <w:r w:rsidR="00AE190C">
        <w:rPr>
          <w:sz w:val="24"/>
          <w:szCs w:val="24"/>
        </w:rPr>
        <w:t>ensure</w:t>
      </w:r>
      <w:r w:rsidR="00FD1B31">
        <w:rPr>
          <w:sz w:val="24"/>
          <w:szCs w:val="24"/>
        </w:rPr>
        <w:t>d</w:t>
      </w:r>
      <w:r w:rsidR="00AE190C">
        <w:rPr>
          <w:sz w:val="24"/>
          <w:szCs w:val="24"/>
        </w:rPr>
        <w:t xml:space="preserve"> that all relevant material was available to the judge.</w:t>
      </w:r>
      <w:r w:rsidR="00AE190C">
        <w:rPr>
          <w:rStyle w:val="FootnoteReference"/>
          <w:sz w:val="24"/>
          <w:szCs w:val="24"/>
        </w:rPr>
        <w:footnoteReference w:id="89"/>
      </w:r>
      <w:r w:rsidR="00AE190C">
        <w:rPr>
          <w:sz w:val="24"/>
          <w:szCs w:val="24"/>
        </w:rPr>
        <w:t xml:space="preserve"> </w:t>
      </w:r>
      <w:r w:rsidR="005267F2">
        <w:rPr>
          <w:sz w:val="24"/>
          <w:szCs w:val="24"/>
        </w:rPr>
        <w:t>In particular, the Law Commission emphasised “</w:t>
      </w:r>
      <w:r w:rsidR="005267F2" w:rsidRPr="005267F2">
        <w:rPr>
          <w:sz w:val="24"/>
          <w:szCs w:val="24"/>
        </w:rPr>
        <w:t>the importance of training, both for lawyers and the judiciary, and the need for a more proactive, enquiring approach to expert opinion evidence in criminal proceedings</w:t>
      </w:r>
      <w:r w:rsidR="005267F2">
        <w:rPr>
          <w:sz w:val="24"/>
          <w:szCs w:val="24"/>
        </w:rPr>
        <w:t>”</w:t>
      </w:r>
      <w:r w:rsidR="001464C3">
        <w:rPr>
          <w:sz w:val="24"/>
          <w:szCs w:val="24"/>
        </w:rPr>
        <w:t>.</w:t>
      </w:r>
      <w:r w:rsidR="005267F2">
        <w:rPr>
          <w:rStyle w:val="FootnoteReference"/>
          <w:sz w:val="24"/>
          <w:szCs w:val="24"/>
        </w:rPr>
        <w:footnoteReference w:id="90"/>
      </w:r>
      <w:r w:rsidR="003D7762">
        <w:rPr>
          <w:sz w:val="24"/>
          <w:szCs w:val="24"/>
        </w:rPr>
        <w:t xml:space="preserve"> </w:t>
      </w:r>
      <w:r w:rsidR="001464C3">
        <w:rPr>
          <w:sz w:val="24"/>
          <w:szCs w:val="24"/>
        </w:rPr>
        <w:t xml:space="preserve">Edmond suggests, however, that the Law Commission “overstated” the differences between its proposals and the positions in the United States of America because the </w:t>
      </w:r>
      <w:proofErr w:type="spellStart"/>
      <w:r w:rsidR="001464C3" w:rsidRPr="00FD1B31">
        <w:rPr>
          <w:i/>
          <w:sz w:val="24"/>
          <w:szCs w:val="24"/>
        </w:rPr>
        <w:t>Daubert</w:t>
      </w:r>
      <w:proofErr w:type="spellEnd"/>
      <w:r w:rsidR="001464C3">
        <w:rPr>
          <w:sz w:val="24"/>
          <w:szCs w:val="24"/>
        </w:rPr>
        <w:t xml:space="preserve"> test includes criteria to assist the court in assessing reliability, lawyers and judges in the United States of America also receive education and training</w:t>
      </w:r>
      <w:r w:rsidR="00887040">
        <w:rPr>
          <w:sz w:val="24"/>
          <w:szCs w:val="24"/>
        </w:rPr>
        <w:t xml:space="preserve">, the Court of Appeal might not quash a conviction and order a retrial if the case against the accused is compelling even if the expert evidence ought not to have been admitted and </w:t>
      </w:r>
      <w:r w:rsidR="001464C3">
        <w:rPr>
          <w:sz w:val="24"/>
          <w:szCs w:val="24"/>
        </w:rPr>
        <w:t xml:space="preserve"> </w:t>
      </w:r>
      <w:r w:rsidR="00AD28D7">
        <w:rPr>
          <w:sz w:val="24"/>
          <w:szCs w:val="24"/>
        </w:rPr>
        <w:t>the c</w:t>
      </w:r>
      <w:r w:rsidR="00887040">
        <w:rPr>
          <w:sz w:val="24"/>
          <w:szCs w:val="24"/>
        </w:rPr>
        <w:t>ourts in the United States rarely exercise their powers to appoint expert witnesses to assist them.</w:t>
      </w:r>
      <w:r w:rsidR="00887040">
        <w:rPr>
          <w:rStyle w:val="FootnoteReference"/>
          <w:sz w:val="24"/>
          <w:szCs w:val="24"/>
        </w:rPr>
        <w:footnoteReference w:id="91"/>
      </w:r>
      <w:r w:rsidR="00887040">
        <w:rPr>
          <w:sz w:val="24"/>
          <w:szCs w:val="24"/>
        </w:rPr>
        <w:t xml:space="preserve"> </w:t>
      </w:r>
      <w:r w:rsidR="003D7762">
        <w:rPr>
          <w:sz w:val="24"/>
          <w:szCs w:val="24"/>
        </w:rPr>
        <w:t xml:space="preserve">Edmond </w:t>
      </w:r>
      <w:r w:rsidR="001464C3">
        <w:rPr>
          <w:sz w:val="24"/>
          <w:szCs w:val="24"/>
        </w:rPr>
        <w:t xml:space="preserve">also suggests, with reference to the difficulty of </w:t>
      </w:r>
      <w:r w:rsidR="003D7762">
        <w:rPr>
          <w:sz w:val="24"/>
          <w:szCs w:val="24"/>
        </w:rPr>
        <w:t xml:space="preserve"> </w:t>
      </w:r>
      <w:r w:rsidR="001464C3">
        <w:rPr>
          <w:sz w:val="24"/>
          <w:szCs w:val="24"/>
        </w:rPr>
        <w:t>dealing with “</w:t>
      </w:r>
      <w:r w:rsidR="001464C3" w:rsidRPr="001464C3">
        <w:rPr>
          <w:sz w:val="24"/>
          <w:szCs w:val="24"/>
        </w:rPr>
        <w:t xml:space="preserve">varying degrees of technical and methodological sophistication (and illiteracy) </w:t>
      </w:r>
      <w:r w:rsidR="001464C3">
        <w:rPr>
          <w:sz w:val="24"/>
          <w:szCs w:val="24"/>
        </w:rPr>
        <w:t xml:space="preserve">[which] </w:t>
      </w:r>
      <w:r w:rsidR="001464C3" w:rsidRPr="001464C3">
        <w:rPr>
          <w:sz w:val="24"/>
          <w:szCs w:val="24"/>
        </w:rPr>
        <w:t>limit the ability to comprehend and adapt</w:t>
      </w:r>
      <w:r w:rsidR="001464C3">
        <w:rPr>
          <w:sz w:val="24"/>
          <w:szCs w:val="24"/>
        </w:rPr>
        <w:t xml:space="preserve">”, </w:t>
      </w:r>
      <w:r w:rsidR="003D7762">
        <w:rPr>
          <w:sz w:val="24"/>
          <w:szCs w:val="24"/>
        </w:rPr>
        <w:t>that “[</w:t>
      </w:r>
      <w:proofErr w:type="spellStart"/>
      <w:r w:rsidR="003D7762">
        <w:rPr>
          <w:sz w:val="24"/>
          <w:szCs w:val="24"/>
        </w:rPr>
        <w:t>i</w:t>
      </w:r>
      <w:proofErr w:type="spellEnd"/>
      <w:r w:rsidR="003D7762">
        <w:rPr>
          <w:sz w:val="24"/>
          <w:szCs w:val="24"/>
        </w:rPr>
        <w:t>]</w:t>
      </w:r>
      <w:r w:rsidR="003D7762" w:rsidRPr="003D7762">
        <w:rPr>
          <w:sz w:val="24"/>
          <w:szCs w:val="24"/>
        </w:rPr>
        <w:t>t is far from obvious that training, even training based around conventional legal values, will facilitate the kinds of changes that appear to be required</w:t>
      </w:r>
      <w:r w:rsidR="003D7762">
        <w:rPr>
          <w:sz w:val="24"/>
          <w:szCs w:val="24"/>
        </w:rPr>
        <w:t>”</w:t>
      </w:r>
      <w:r w:rsidR="001464C3">
        <w:rPr>
          <w:sz w:val="24"/>
          <w:szCs w:val="24"/>
        </w:rPr>
        <w:t>.</w:t>
      </w:r>
      <w:r w:rsidR="001464C3">
        <w:rPr>
          <w:rStyle w:val="FootnoteReference"/>
          <w:sz w:val="24"/>
          <w:szCs w:val="24"/>
        </w:rPr>
        <w:footnoteReference w:id="92"/>
      </w:r>
      <w:r w:rsidR="001464C3">
        <w:rPr>
          <w:sz w:val="24"/>
          <w:szCs w:val="24"/>
        </w:rPr>
        <w:t xml:space="preserve"> </w:t>
      </w:r>
      <w:r w:rsidR="00887040">
        <w:rPr>
          <w:sz w:val="24"/>
          <w:szCs w:val="24"/>
        </w:rPr>
        <w:t xml:space="preserve">In practice, the recommendation that the court should possess the power to appoint an expert to </w:t>
      </w:r>
      <w:r w:rsidR="00FD1B31">
        <w:rPr>
          <w:sz w:val="24"/>
          <w:szCs w:val="24"/>
        </w:rPr>
        <w:t>assist it</w:t>
      </w:r>
      <w:r w:rsidR="00887040">
        <w:rPr>
          <w:sz w:val="24"/>
          <w:szCs w:val="24"/>
        </w:rPr>
        <w:t xml:space="preserve"> in complex </w:t>
      </w:r>
      <w:r w:rsidR="00FD1B31">
        <w:rPr>
          <w:sz w:val="24"/>
          <w:szCs w:val="24"/>
        </w:rPr>
        <w:t>cases</w:t>
      </w:r>
      <w:r w:rsidR="00FD1B31">
        <w:rPr>
          <w:rStyle w:val="FootnoteReference"/>
          <w:sz w:val="24"/>
          <w:szCs w:val="24"/>
        </w:rPr>
        <w:footnoteReference w:id="93"/>
      </w:r>
      <w:r w:rsidR="00FD1B31">
        <w:rPr>
          <w:sz w:val="24"/>
          <w:szCs w:val="24"/>
        </w:rPr>
        <w:t xml:space="preserve"> has </w:t>
      </w:r>
      <w:r w:rsidR="00887040" w:rsidRPr="00887040">
        <w:rPr>
          <w:sz w:val="24"/>
          <w:szCs w:val="24"/>
        </w:rPr>
        <w:t>not been implemented</w:t>
      </w:r>
      <w:r w:rsidR="00887040">
        <w:rPr>
          <w:sz w:val="24"/>
          <w:szCs w:val="24"/>
        </w:rPr>
        <w:t xml:space="preserve">, the extent, quality and efficacy of the training provided for judges and lawyers remains to be seen and at the time of writing, </w:t>
      </w:r>
      <w:r w:rsidR="00FD1B31">
        <w:rPr>
          <w:sz w:val="24"/>
          <w:szCs w:val="24"/>
        </w:rPr>
        <w:t xml:space="preserve">it remains to be seen </w:t>
      </w:r>
      <w:r w:rsidR="00887040">
        <w:rPr>
          <w:sz w:val="24"/>
          <w:szCs w:val="24"/>
        </w:rPr>
        <w:t xml:space="preserve">what the approach </w:t>
      </w:r>
      <w:r w:rsidR="00FD1B31">
        <w:rPr>
          <w:sz w:val="24"/>
          <w:szCs w:val="24"/>
        </w:rPr>
        <w:t xml:space="preserve">of the Court of Appeal </w:t>
      </w:r>
      <w:r w:rsidR="00887040">
        <w:rPr>
          <w:sz w:val="24"/>
          <w:szCs w:val="24"/>
        </w:rPr>
        <w:t xml:space="preserve">to </w:t>
      </w:r>
      <w:r w:rsidR="00FD1B31">
        <w:rPr>
          <w:sz w:val="24"/>
          <w:szCs w:val="24"/>
        </w:rPr>
        <w:t xml:space="preserve">the </w:t>
      </w:r>
      <w:r w:rsidR="00887040">
        <w:rPr>
          <w:sz w:val="24"/>
          <w:szCs w:val="24"/>
        </w:rPr>
        <w:t xml:space="preserve">application </w:t>
      </w:r>
      <w:r w:rsidR="00FD1B31">
        <w:rPr>
          <w:sz w:val="24"/>
          <w:szCs w:val="24"/>
        </w:rPr>
        <w:t xml:space="preserve">of the reliability of the common law reliability test in the context of the guidance now provided by </w:t>
      </w:r>
      <w:proofErr w:type="spellStart"/>
      <w:r w:rsidR="00FD1B31">
        <w:rPr>
          <w:sz w:val="24"/>
          <w:szCs w:val="24"/>
        </w:rPr>
        <w:t>CrimPD</w:t>
      </w:r>
      <w:proofErr w:type="spellEnd"/>
      <w:r w:rsidR="00FD1B31">
        <w:rPr>
          <w:sz w:val="24"/>
          <w:szCs w:val="24"/>
        </w:rPr>
        <w:t xml:space="preserve"> 19A </w:t>
      </w:r>
      <w:r w:rsidR="00887040">
        <w:rPr>
          <w:sz w:val="24"/>
          <w:szCs w:val="24"/>
        </w:rPr>
        <w:t xml:space="preserve">will be. </w:t>
      </w:r>
    </w:p>
    <w:p w:rsidR="003D7762" w:rsidRDefault="003D7762" w:rsidP="00461A20">
      <w:pPr>
        <w:autoSpaceDE w:val="0"/>
        <w:autoSpaceDN w:val="0"/>
        <w:adjustRightInd w:val="0"/>
        <w:spacing w:after="0" w:line="240" w:lineRule="auto"/>
        <w:rPr>
          <w:sz w:val="24"/>
          <w:szCs w:val="24"/>
        </w:rPr>
      </w:pPr>
    </w:p>
    <w:p w:rsidR="0096026C" w:rsidRDefault="0096026C" w:rsidP="008F3892">
      <w:pPr>
        <w:autoSpaceDE w:val="0"/>
        <w:autoSpaceDN w:val="0"/>
        <w:adjustRightInd w:val="0"/>
        <w:spacing w:after="0" w:line="240" w:lineRule="auto"/>
      </w:pPr>
    </w:p>
    <w:p w:rsidR="008F3892" w:rsidRPr="00E870D8" w:rsidRDefault="008F3892" w:rsidP="008F3892">
      <w:pPr>
        <w:autoSpaceDE w:val="0"/>
        <w:autoSpaceDN w:val="0"/>
        <w:adjustRightInd w:val="0"/>
        <w:spacing w:after="0" w:line="240" w:lineRule="auto"/>
        <w:rPr>
          <w:sz w:val="24"/>
          <w:szCs w:val="24"/>
          <w:u w:val="single"/>
        </w:rPr>
      </w:pPr>
      <w:r>
        <w:rPr>
          <w:sz w:val="24"/>
          <w:szCs w:val="24"/>
          <w:u w:val="single"/>
        </w:rPr>
        <w:t>Impartiality</w:t>
      </w:r>
    </w:p>
    <w:p w:rsidR="008F3892" w:rsidRDefault="008F3892" w:rsidP="008F3892">
      <w:pPr>
        <w:autoSpaceDE w:val="0"/>
        <w:autoSpaceDN w:val="0"/>
        <w:adjustRightInd w:val="0"/>
        <w:spacing w:after="0" w:line="240" w:lineRule="auto"/>
        <w:rPr>
          <w:sz w:val="24"/>
          <w:szCs w:val="24"/>
        </w:rPr>
      </w:pPr>
    </w:p>
    <w:p w:rsidR="008F3892" w:rsidRDefault="008F3892" w:rsidP="008F3892">
      <w:pPr>
        <w:autoSpaceDE w:val="0"/>
        <w:autoSpaceDN w:val="0"/>
        <w:adjustRightInd w:val="0"/>
        <w:spacing w:after="0" w:line="240" w:lineRule="auto"/>
        <w:rPr>
          <w:sz w:val="24"/>
          <w:szCs w:val="24"/>
        </w:rPr>
      </w:pPr>
      <w:r>
        <w:rPr>
          <w:sz w:val="24"/>
          <w:szCs w:val="24"/>
        </w:rPr>
        <w:t>Under the Law Commission’s recommended admissibility test, if it appeared to the court that there was a significant risk that an expert would not or had not complied with the expert’s duty to the court to give objective and unbiased evidence, the expert</w:t>
      </w:r>
      <w:r w:rsidR="00AD28D7">
        <w:rPr>
          <w:sz w:val="24"/>
          <w:szCs w:val="24"/>
        </w:rPr>
        <w:t>’s</w:t>
      </w:r>
      <w:r>
        <w:rPr>
          <w:sz w:val="24"/>
          <w:szCs w:val="24"/>
        </w:rPr>
        <w:t xml:space="preserve"> evidence would not have been admissible unless the court was satisfied that its admission was in the interests of justice, though the fa</w:t>
      </w:r>
      <w:r w:rsidR="008A0C6A">
        <w:rPr>
          <w:sz w:val="24"/>
          <w:szCs w:val="24"/>
        </w:rPr>
        <w:t>c</w:t>
      </w:r>
      <w:r>
        <w:rPr>
          <w:sz w:val="24"/>
          <w:szCs w:val="24"/>
        </w:rPr>
        <w:t>t that the expert had an association, such as an employment relationship, which might have made a reasonable observer think that the expert might not so comply would not in itself have demonstrated a significant risk.</w:t>
      </w:r>
      <w:r>
        <w:rPr>
          <w:rStyle w:val="FootnoteReference"/>
          <w:sz w:val="24"/>
          <w:szCs w:val="24"/>
        </w:rPr>
        <w:footnoteReference w:id="94"/>
      </w:r>
      <w:r>
        <w:rPr>
          <w:sz w:val="24"/>
          <w:szCs w:val="24"/>
        </w:rPr>
        <w:t xml:space="preserve"> The Law Commission regarded this provision as codifying an existing limb of the common law admissibility test which it regarded as fundamentally sound, though it accepted that its </w:t>
      </w:r>
      <w:r w:rsidR="008A0C6A">
        <w:rPr>
          <w:sz w:val="24"/>
          <w:szCs w:val="24"/>
        </w:rPr>
        <w:t xml:space="preserve">view </w:t>
      </w:r>
      <w:r>
        <w:rPr>
          <w:sz w:val="24"/>
          <w:szCs w:val="24"/>
        </w:rPr>
        <w:t>was based on civil jurisprudence due to the lack of criminal authorities in this area and that its recommendations might “</w:t>
      </w:r>
      <w:r w:rsidRPr="008F6C65">
        <w:rPr>
          <w:sz w:val="24"/>
          <w:szCs w:val="24"/>
        </w:rPr>
        <w:t>be slightly different from the common law position for criminal proceedings</w:t>
      </w:r>
      <w:r>
        <w:rPr>
          <w:sz w:val="24"/>
          <w:szCs w:val="24"/>
        </w:rPr>
        <w:t>”.</w:t>
      </w:r>
      <w:r>
        <w:rPr>
          <w:rStyle w:val="FootnoteReference"/>
          <w:sz w:val="24"/>
          <w:szCs w:val="24"/>
        </w:rPr>
        <w:footnoteReference w:id="95"/>
      </w:r>
      <w:r>
        <w:rPr>
          <w:sz w:val="24"/>
          <w:szCs w:val="24"/>
        </w:rPr>
        <w:t xml:space="preserve"> In fact, the criminal authorities in this area provide no authority for the proposition that impartiality forms a limb of the common law admissibility test (and, indeed, </w:t>
      </w:r>
      <w:proofErr w:type="spellStart"/>
      <w:r>
        <w:rPr>
          <w:sz w:val="24"/>
          <w:szCs w:val="24"/>
        </w:rPr>
        <w:t>CrimPD</w:t>
      </w:r>
      <w:proofErr w:type="spellEnd"/>
      <w:r>
        <w:rPr>
          <w:sz w:val="24"/>
          <w:szCs w:val="24"/>
        </w:rPr>
        <w:t xml:space="preserve"> 19A, when summarising the limbs of the common law admissibility test, does not mention impartiality). Rather, the position in criminal proceedings is that </w:t>
      </w:r>
    </w:p>
    <w:p w:rsidR="008F3892" w:rsidRDefault="008F3892" w:rsidP="008F3892">
      <w:pPr>
        <w:autoSpaceDE w:val="0"/>
        <w:autoSpaceDN w:val="0"/>
        <w:adjustRightInd w:val="0"/>
        <w:spacing w:after="0" w:line="240" w:lineRule="auto"/>
        <w:rPr>
          <w:sz w:val="24"/>
          <w:szCs w:val="24"/>
        </w:rPr>
      </w:pPr>
    </w:p>
    <w:p w:rsidR="008F3892" w:rsidRDefault="008F3892" w:rsidP="008F3892">
      <w:pPr>
        <w:autoSpaceDE w:val="0"/>
        <w:autoSpaceDN w:val="0"/>
        <w:adjustRightInd w:val="0"/>
        <w:spacing w:after="0" w:line="240" w:lineRule="auto"/>
        <w:ind w:left="720"/>
        <w:rPr>
          <w:sz w:val="24"/>
          <w:szCs w:val="24"/>
        </w:rPr>
      </w:pPr>
      <w:r>
        <w:rPr>
          <w:sz w:val="24"/>
          <w:szCs w:val="24"/>
        </w:rPr>
        <w:lastRenderedPageBreak/>
        <w:t>“[e]</w:t>
      </w:r>
      <w:proofErr w:type="spellStart"/>
      <w:r w:rsidRPr="00D90E9C">
        <w:rPr>
          <w:sz w:val="24"/>
          <w:szCs w:val="24"/>
        </w:rPr>
        <w:t>xpertise</w:t>
      </w:r>
      <w:proofErr w:type="spellEnd"/>
      <w:r w:rsidRPr="00D90E9C">
        <w:rPr>
          <w:sz w:val="24"/>
          <w:szCs w:val="24"/>
        </w:rPr>
        <w:t xml:space="preserve"> and independence are separate issues</w:t>
      </w:r>
      <w:r>
        <w:rPr>
          <w:sz w:val="24"/>
          <w:szCs w:val="24"/>
        </w:rPr>
        <w:t xml:space="preserve"> [it being] </w:t>
      </w:r>
      <w:r w:rsidRPr="00D90E9C">
        <w:rPr>
          <w:sz w:val="24"/>
          <w:szCs w:val="24"/>
        </w:rPr>
        <w:t xml:space="preserve">a matter for the jury to determine whether there </w:t>
      </w:r>
      <w:r>
        <w:rPr>
          <w:sz w:val="24"/>
          <w:szCs w:val="24"/>
        </w:rPr>
        <w:t xml:space="preserve">[is] </w:t>
      </w:r>
      <w:r w:rsidRPr="00D90E9C">
        <w:rPr>
          <w:sz w:val="24"/>
          <w:szCs w:val="24"/>
        </w:rPr>
        <w:t xml:space="preserve">any conscious or unconscious bias or lack of objectivity that might render </w:t>
      </w:r>
      <w:r>
        <w:rPr>
          <w:sz w:val="24"/>
          <w:szCs w:val="24"/>
        </w:rPr>
        <w:t xml:space="preserve">[an expert’s] </w:t>
      </w:r>
      <w:r w:rsidRPr="00D90E9C">
        <w:rPr>
          <w:sz w:val="24"/>
          <w:szCs w:val="24"/>
        </w:rPr>
        <w:t>evidence unreliable</w:t>
      </w:r>
      <w:r>
        <w:rPr>
          <w:sz w:val="24"/>
          <w:szCs w:val="24"/>
        </w:rPr>
        <w:t xml:space="preserve"> [this being] </w:t>
      </w:r>
      <w:r w:rsidRPr="00D90E9C">
        <w:rPr>
          <w:sz w:val="24"/>
          <w:szCs w:val="24"/>
        </w:rPr>
        <w:t>a matter going to weight rather than admissibility</w:t>
      </w:r>
      <w:r>
        <w:rPr>
          <w:sz w:val="24"/>
          <w:szCs w:val="24"/>
        </w:rPr>
        <w:t>”.</w:t>
      </w:r>
      <w:r>
        <w:rPr>
          <w:rStyle w:val="FootnoteReference"/>
          <w:sz w:val="24"/>
          <w:szCs w:val="24"/>
        </w:rPr>
        <w:footnoteReference w:id="96"/>
      </w:r>
    </w:p>
    <w:p w:rsidR="008F3892" w:rsidRDefault="008F3892" w:rsidP="008F3892">
      <w:pPr>
        <w:autoSpaceDE w:val="0"/>
        <w:autoSpaceDN w:val="0"/>
        <w:adjustRightInd w:val="0"/>
        <w:spacing w:after="0" w:line="240" w:lineRule="auto"/>
        <w:rPr>
          <w:sz w:val="24"/>
          <w:szCs w:val="24"/>
        </w:rPr>
      </w:pPr>
    </w:p>
    <w:p w:rsidR="008F3892" w:rsidRDefault="008F3892" w:rsidP="008F3892">
      <w:pPr>
        <w:autoSpaceDE w:val="0"/>
        <w:autoSpaceDN w:val="0"/>
        <w:adjustRightInd w:val="0"/>
        <w:spacing w:after="0" w:line="240" w:lineRule="auto"/>
        <w:rPr>
          <w:sz w:val="24"/>
          <w:szCs w:val="24"/>
        </w:rPr>
      </w:pPr>
      <w:r>
        <w:rPr>
          <w:sz w:val="24"/>
          <w:szCs w:val="24"/>
        </w:rPr>
        <w:t xml:space="preserve">Whilst impartiality does not amount to a limb of the </w:t>
      </w:r>
      <w:r w:rsidR="008A0C6A">
        <w:rPr>
          <w:sz w:val="24"/>
          <w:szCs w:val="24"/>
        </w:rPr>
        <w:t xml:space="preserve">common law </w:t>
      </w:r>
      <w:r>
        <w:rPr>
          <w:sz w:val="24"/>
          <w:szCs w:val="24"/>
        </w:rPr>
        <w:t xml:space="preserve">admissibility test, </w:t>
      </w:r>
      <w:proofErr w:type="spellStart"/>
      <w:r>
        <w:rPr>
          <w:sz w:val="24"/>
          <w:szCs w:val="24"/>
        </w:rPr>
        <w:t>CrimPR</w:t>
      </w:r>
      <w:proofErr w:type="spellEnd"/>
      <w:r>
        <w:rPr>
          <w:sz w:val="24"/>
          <w:szCs w:val="24"/>
        </w:rPr>
        <w:t xml:space="preserve"> Part 19 makes clear, amongst other matters, that the expert’s duty to the court, which overrides the expert’s obligation to the person instructing or paying the expert, includes the duty to give evidence which is “o</w:t>
      </w:r>
      <w:r w:rsidRPr="00EC26D2">
        <w:rPr>
          <w:sz w:val="24"/>
          <w:szCs w:val="24"/>
        </w:rPr>
        <w:t>bjective and unbiased”</w:t>
      </w:r>
      <w:r>
        <w:rPr>
          <w:sz w:val="24"/>
          <w:szCs w:val="24"/>
        </w:rPr>
        <w:t>.</w:t>
      </w:r>
      <w:r>
        <w:rPr>
          <w:rStyle w:val="FootnoteReference"/>
          <w:sz w:val="24"/>
          <w:szCs w:val="24"/>
        </w:rPr>
        <w:footnoteReference w:id="97"/>
      </w:r>
      <w:r>
        <w:rPr>
          <w:sz w:val="24"/>
          <w:szCs w:val="24"/>
        </w:rPr>
        <w:t xml:space="preserve"> </w:t>
      </w:r>
      <w:r w:rsidR="008A0C6A">
        <w:rPr>
          <w:sz w:val="24"/>
          <w:szCs w:val="24"/>
        </w:rPr>
        <w:t xml:space="preserve">Moreover, </w:t>
      </w:r>
      <w:proofErr w:type="spellStart"/>
      <w:r>
        <w:rPr>
          <w:sz w:val="24"/>
          <w:szCs w:val="24"/>
        </w:rPr>
        <w:t>CrimPR</w:t>
      </w:r>
      <w:proofErr w:type="spellEnd"/>
      <w:r>
        <w:rPr>
          <w:sz w:val="24"/>
          <w:szCs w:val="24"/>
        </w:rPr>
        <w:t xml:space="preserve"> 19.4(j)</w:t>
      </w:r>
      <w:r w:rsidRPr="00EC26D2">
        <w:rPr>
          <w:sz w:val="24"/>
          <w:szCs w:val="24"/>
        </w:rPr>
        <w:t xml:space="preserve"> </w:t>
      </w:r>
      <w:r>
        <w:rPr>
          <w:sz w:val="24"/>
          <w:szCs w:val="24"/>
        </w:rPr>
        <w:t xml:space="preserve">provides that </w:t>
      </w:r>
      <w:r w:rsidRPr="00EC26D2">
        <w:rPr>
          <w:sz w:val="24"/>
          <w:szCs w:val="24"/>
        </w:rPr>
        <w:t xml:space="preserve">an expert’s report must </w:t>
      </w:r>
      <w:r>
        <w:rPr>
          <w:sz w:val="24"/>
          <w:szCs w:val="24"/>
        </w:rPr>
        <w:t>“</w:t>
      </w:r>
      <w:r w:rsidRPr="00EC26D2">
        <w:rPr>
          <w:sz w:val="24"/>
          <w:szCs w:val="24"/>
        </w:rPr>
        <w:t>contain a statement that the expert understands an expert’s duty to the court, and has complied and will continue to comply with that duty</w:t>
      </w:r>
      <w:r>
        <w:rPr>
          <w:sz w:val="24"/>
          <w:szCs w:val="24"/>
        </w:rPr>
        <w:t xml:space="preserve">”. </w:t>
      </w:r>
    </w:p>
    <w:p w:rsidR="008F3892" w:rsidRDefault="008F3892" w:rsidP="008F3892">
      <w:pPr>
        <w:autoSpaceDE w:val="0"/>
        <w:autoSpaceDN w:val="0"/>
        <w:adjustRightInd w:val="0"/>
        <w:spacing w:after="0" w:line="240" w:lineRule="auto"/>
        <w:rPr>
          <w:sz w:val="24"/>
          <w:szCs w:val="24"/>
        </w:rPr>
      </w:pPr>
    </w:p>
    <w:p w:rsidR="00A251A9" w:rsidRDefault="008F3892" w:rsidP="008F3892">
      <w:pPr>
        <w:autoSpaceDE w:val="0"/>
        <w:autoSpaceDN w:val="0"/>
        <w:adjustRightInd w:val="0"/>
        <w:spacing w:after="0" w:line="240" w:lineRule="auto"/>
        <w:rPr>
          <w:sz w:val="24"/>
          <w:szCs w:val="24"/>
        </w:rPr>
      </w:pPr>
      <w:r>
        <w:rPr>
          <w:sz w:val="24"/>
          <w:szCs w:val="24"/>
        </w:rPr>
        <w:t>The current approach in civil proceedings as regards impartiality is that</w:t>
      </w:r>
    </w:p>
    <w:p w:rsidR="00A251A9" w:rsidRDefault="00A251A9" w:rsidP="008F3892">
      <w:pPr>
        <w:autoSpaceDE w:val="0"/>
        <w:autoSpaceDN w:val="0"/>
        <w:adjustRightInd w:val="0"/>
        <w:spacing w:after="0" w:line="240" w:lineRule="auto"/>
        <w:rPr>
          <w:sz w:val="24"/>
          <w:szCs w:val="24"/>
        </w:rPr>
      </w:pPr>
    </w:p>
    <w:p w:rsidR="00A251A9" w:rsidRDefault="008F3892" w:rsidP="00A251A9">
      <w:pPr>
        <w:autoSpaceDE w:val="0"/>
        <w:autoSpaceDN w:val="0"/>
        <w:adjustRightInd w:val="0"/>
        <w:spacing w:after="0" w:line="240" w:lineRule="auto"/>
        <w:ind w:left="720" w:firstLine="60"/>
        <w:rPr>
          <w:sz w:val="24"/>
          <w:szCs w:val="24"/>
        </w:rPr>
      </w:pPr>
      <w:r>
        <w:rPr>
          <w:sz w:val="24"/>
          <w:szCs w:val="24"/>
        </w:rPr>
        <w:t>[</w:t>
      </w:r>
      <w:proofErr w:type="spellStart"/>
      <w:r>
        <w:rPr>
          <w:sz w:val="24"/>
          <w:szCs w:val="24"/>
        </w:rPr>
        <w:t>i</w:t>
      </w:r>
      <w:proofErr w:type="spellEnd"/>
      <w:r>
        <w:rPr>
          <w:sz w:val="24"/>
          <w:szCs w:val="24"/>
        </w:rPr>
        <w:t>]</w:t>
      </w:r>
      <w:r w:rsidRPr="00036168">
        <w:rPr>
          <w:sz w:val="24"/>
          <w:szCs w:val="24"/>
        </w:rPr>
        <w:t xml:space="preserve">t is always a matter </w:t>
      </w:r>
      <w:r>
        <w:rPr>
          <w:sz w:val="24"/>
          <w:szCs w:val="24"/>
        </w:rPr>
        <w:t>for the court to decide whether…</w:t>
      </w:r>
      <w:r w:rsidRPr="00036168">
        <w:rPr>
          <w:sz w:val="24"/>
          <w:szCs w:val="24"/>
        </w:rPr>
        <w:t xml:space="preserve">connections </w:t>
      </w:r>
      <w:r>
        <w:rPr>
          <w:sz w:val="24"/>
          <w:szCs w:val="24"/>
        </w:rPr>
        <w:t xml:space="preserve">[between the expert and the litigation or the litigating parties] </w:t>
      </w:r>
      <w:r w:rsidRPr="00036168">
        <w:rPr>
          <w:sz w:val="24"/>
          <w:szCs w:val="24"/>
        </w:rPr>
        <w:t>disqualify the expert from giving evidence or whether, as will often be the case, they go not to the admissibility of the evidence but to the weight to be attached to it</w:t>
      </w:r>
      <w:r>
        <w:rPr>
          <w:sz w:val="24"/>
          <w:szCs w:val="24"/>
        </w:rPr>
        <w:t>.</w:t>
      </w:r>
      <w:r>
        <w:rPr>
          <w:rStyle w:val="FootnoteReference"/>
          <w:sz w:val="24"/>
          <w:szCs w:val="24"/>
        </w:rPr>
        <w:footnoteReference w:id="98"/>
      </w:r>
      <w:r>
        <w:rPr>
          <w:sz w:val="24"/>
          <w:szCs w:val="24"/>
        </w:rPr>
        <w:t xml:space="preserve"> </w:t>
      </w:r>
    </w:p>
    <w:p w:rsidR="00A251A9" w:rsidRDefault="00A251A9" w:rsidP="008F3892">
      <w:pPr>
        <w:autoSpaceDE w:val="0"/>
        <w:autoSpaceDN w:val="0"/>
        <w:adjustRightInd w:val="0"/>
        <w:spacing w:after="0" w:line="240" w:lineRule="auto"/>
        <w:rPr>
          <w:sz w:val="24"/>
          <w:szCs w:val="24"/>
        </w:rPr>
      </w:pPr>
    </w:p>
    <w:p w:rsidR="008F3892" w:rsidRDefault="008F3892" w:rsidP="008F3892">
      <w:pPr>
        <w:autoSpaceDE w:val="0"/>
        <w:autoSpaceDN w:val="0"/>
        <w:adjustRightInd w:val="0"/>
        <w:spacing w:after="0" w:line="240" w:lineRule="auto"/>
        <w:rPr>
          <w:sz w:val="24"/>
          <w:szCs w:val="24"/>
        </w:rPr>
      </w:pPr>
      <w:r>
        <w:rPr>
          <w:sz w:val="24"/>
          <w:szCs w:val="24"/>
        </w:rPr>
        <w:t xml:space="preserve">The key question that the </w:t>
      </w:r>
      <w:r w:rsidR="00A251A9">
        <w:rPr>
          <w:sz w:val="24"/>
          <w:szCs w:val="24"/>
        </w:rPr>
        <w:t xml:space="preserve">civil </w:t>
      </w:r>
      <w:r>
        <w:rPr>
          <w:sz w:val="24"/>
          <w:szCs w:val="24"/>
        </w:rPr>
        <w:t>court must determine when determining whether an expert who has some form of interest in the outcome of civil proceedings should be permitted to give expert evidence in those proceedings is “whether…</w:t>
      </w:r>
      <w:r w:rsidRPr="006128FC">
        <w:rPr>
          <w:sz w:val="24"/>
          <w:szCs w:val="24"/>
        </w:rPr>
        <w:t>he or she is aware of their primary duty to the Court if they give expert evidence, and willing and able, despite the interest or connection with the litigation or a party thereto, to carry out that duty</w:t>
      </w:r>
      <w:r>
        <w:rPr>
          <w:sz w:val="24"/>
          <w:szCs w:val="24"/>
        </w:rPr>
        <w:t>”.</w:t>
      </w:r>
      <w:r>
        <w:rPr>
          <w:rStyle w:val="FootnoteReference"/>
          <w:sz w:val="24"/>
          <w:szCs w:val="24"/>
        </w:rPr>
        <w:footnoteReference w:id="99"/>
      </w:r>
      <w:r>
        <w:rPr>
          <w:sz w:val="24"/>
          <w:szCs w:val="24"/>
        </w:rPr>
        <w:t xml:space="preserve"> Whilst the Law Commission regarded civil jurisprudence as providing authority for the existence of a common law admissibility limb based on impartiality</w:t>
      </w:r>
      <w:r>
        <w:rPr>
          <w:rStyle w:val="FootnoteReference"/>
          <w:sz w:val="24"/>
          <w:szCs w:val="24"/>
        </w:rPr>
        <w:footnoteReference w:id="100"/>
      </w:r>
      <w:r>
        <w:rPr>
          <w:sz w:val="24"/>
          <w:szCs w:val="24"/>
        </w:rPr>
        <w:t xml:space="preserve">, it does not seem to have </w:t>
      </w:r>
      <w:r w:rsidR="00A251A9">
        <w:rPr>
          <w:sz w:val="24"/>
          <w:szCs w:val="24"/>
        </w:rPr>
        <w:t>recognised</w:t>
      </w:r>
      <w:r>
        <w:rPr>
          <w:sz w:val="24"/>
          <w:szCs w:val="24"/>
        </w:rPr>
        <w:t xml:space="preserve">  that the admissibility of expert evidence in civil proceedings is governed not by the common law but by statute</w:t>
      </w:r>
      <w:r>
        <w:rPr>
          <w:rStyle w:val="FootnoteReference"/>
          <w:sz w:val="24"/>
          <w:szCs w:val="24"/>
        </w:rPr>
        <w:footnoteReference w:id="101"/>
      </w:r>
      <w:r>
        <w:rPr>
          <w:sz w:val="24"/>
          <w:szCs w:val="24"/>
        </w:rPr>
        <w:t xml:space="preserve"> </w:t>
      </w:r>
      <w:r w:rsidR="00A251A9">
        <w:rPr>
          <w:sz w:val="24"/>
          <w:szCs w:val="24"/>
        </w:rPr>
        <w:t>and</w:t>
      </w:r>
      <w:r>
        <w:rPr>
          <w:sz w:val="24"/>
          <w:szCs w:val="24"/>
        </w:rPr>
        <w:t xml:space="preserve">, more significantly, </w:t>
      </w:r>
      <w:r w:rsidR="00A251A9">
        <w:rPr>
          <w:sz w:val="24"/>
          <w:szCs w:val="24"/>
        </w:rPr>
        <w:t xml:space="preserve">it does not appear to have taken into account the fact </w:t>
      </w:r>
      <w:r>
        <w:rPr>
          <w:sz w:val="24"/>
          <w:szCs w:val="24"/>
        </w:rPr>
        <w:t>that, under the Civil Procedure Rules (CPR), the civil courts possess powers both to restrict expert evidence</w:t>
      </w:r>
      <w:r>
        <w:rPr>
          <w:rStyle w:val="FootnoteReference"/>
          <w:sz w:val="24"/>
          <w:szCs w:val="24"/>
        </w:rPr>
        <w:footnoteReference w:id="102"/>
      </w:r>
      <w:r>
        <w:rPr>
          <w:sz w:val="24"/>
          <w:szCs w:val="24"/>
        </w:rPr>
        <w:t xml:space="preserve"> and to exclude evidence that would otherwise be admissible</w:t>
      </w:r>
      <w:r>
        <w:rPr>
          <w:rStyle w:val="FootnoteReference"/>
          <w:sz w:val="24"/>
          <w:szCs w:val="24"/>
        </w:rPr>
        <w:footnoteReference w:id="103"/>
      </w:r>
      <w:r>
        <w:rPr>
          <w:sz w:val="24"/>
          <w:szCs w:val="24"/>
        </w:rPr>
        <w:t xml:space="preserve"> that their criminal counterparts do not possess. </w:t>
      </w:r>
    </w:p>
    <w:p w:rsidR="008F3892" w:rsidRDefault="008F3892" w:rsidP="008F3892">
      <w:pPr>
        <w:autoSpaceDE w:val="0"/>
        <w:autoSpaceDN w:val="0"/>
        <w:adjustRightInd w:val="0"/>
        <w:spacing w:after="0" w:line="240" w:lineRule="auto"/>
        <w:rPr>
          <w:sz w:val="24"/>
          <w:szCs w:val="24"/>
        </w:rPr>
      </w:pPr>
    </w:p>
    <w:p w:rsidR="009E3CFA" w:rsidRDefault="008F3892" w:rsidP="008F3892">
      <w:pPr>
        <w:autoSpaceDE w:val="0"/>
        <w:autoSpaceDN w:val="0"/>
        <w:adjustRightInd w:val="0"/>
        <w:spacing w:after="0" w:line="240" w:lineRule="auto"/>
        <w:rPr>
          <w:sz w:val="24"/>
          <w:szCs w:val="24"/>
        </w:rPr>
      </w:pPr>
      <w:r>
        <w:rPr>
          <w:sz w:val="24"/>
          <w:szCs w:val="24"/>
        </w:rPr>
        <w:t xml:space="preserve">Whilst impartiality does not form a distinct limb of the common law admissibility test and the case management powers conferred on the criminal courts by </w:t>
      </w:r>
      <w:proofErr w:type="spellStart"/>
      <w:r>
        <w:rPr>
          <w:sz w:val="24"/>
          <w:szCs w:val="24"/>
        </w:rPr>
        <w:t>CrimPR</w:t>
      </w:r>
      <w:proofErr w:type="spellEnd"/>
      <w:r>
        <w:rPr>
          <w:sz w:val="24"/>
          <w:szCs w:val="24"/>
        </w:rPr>
        <w:t xml:space="preserve"> Part 19 are less extensive than those conferred on their civil counterparts by CPR Part 35, there </w:t>
      </w:r>
      <w:r w:rsidR="00A251A9">
        <w:rPr>
          <w:sz w:val="24"/>
          <w:szCs w:val="24"/>
        </w:rPr>
        <w:t xml:space="preserve">do appear to be at least two possible routes via which a criminal court could potentially exclude expert evidence solely or partially in consequence of bias on the part of an expert witness.  First, there </w:t>
      </w:r>
      <w:r>
        <w:rPr>
          <w:sz w:val="24"/>
          <w:szCs w:val="24"/>
        </w:rPr>
        <w:t xml:space="preserve">seems to be no reason why </w:t>
      </w:r>
      <w:r w:rsidR="00A251A9">
        <w:rPr>
          <w:sz w:val="24"/>
          <w:szCs w:val="24"/>
        </w:rPr>
        <w:t xml:space="preserve">a criminal </w:t>
      </w:r>
      <w:r>
        <w:rPr>
          <w:sz w:val="24"/>
          <w:szCs w:val="24"/>
        </w:rPr>
        <w:t xml:space="preserve">court </w:t>
      </w:r>
      <w:r w:rsidR="00A251A9">
        <w:rPr>
          <w:sz w:val="24"/>
          <w:szCs w:val="24"/>
        </w:rPr>
        <w:t xml:space="preserve">in the exercise of its exclusionary discretion under s.78 of the Police and Criminal Evidence Act </w:t>
      </w:r>
      <w:r>
        <w:rPr>
          <w:sz w:val="24"/>
          <w:szCs w:val="24"/>
        </w:rPr>
        <w:t>would not be entitled</w:t>
      </w:r>
      <w:r w:rsidR="00A251A9">
        <w:rPr>
          <w:sz w:val="24"/>
          <w:szCs w:val="24"/>
        </w:rPr>
        <w:t xml:space="preserve"> </w:t>
      </w:r>
      <w:r>
        <w:rPr>
          <w:sz w:val="24"/>
          <w:szCs w:val="24"/>
        </w:rPr>
        <w:t xml:space="preserve">to </w:t>
      </w:r>
      <w:r>
        <w:rPr>
          <w:sz w:val="24"/>
          <w:szCs w:val="24"/>
        </w:rPr>
        <w:lastRenderedPageBreak/>
        <w:t xml:space="preserve">exclude </w:t>
      </w:r>
      <w:r w:rsidR="00A251A9">
        <w:rPr>
          <w:sz w:val="24"/>
          <w:szCs w:val="24"/>
        </w:rPr>
        <w:t xml:space="preserve">expert </w:t>
      </w:r>
      <w:r>
        <w:rPr>
          <w:sz w:val="24"/>
          <w:szCs w:val="24"/>
        </w:rPr>
        <w:t xml:space="preserve">evidence </w:t>
      </w:r>
      <w:r w:rsidR="00A251A9">
        <w:rPr>
          <w:sz w:val="24"/>
          <w:szCs w:val="24"/>
        </w:rPr>
        <w:t xml:space="preserve">tendered by the prosecution which was so tainted by bias that a civil court would have excluded it </w:t>
      </w:r>
      <w:r>
        <w:rPr>
          <w:sz w:val="24"/>
          <w:szCs w:val="24"/>
        </w:rPr>
        <w:t xml:space="preserve">on the basis that </w:t>
      </w:r>
      <w:r w:rsidR="00A251A9">
        <w:rPr>
          <w:sz w:val="24"/>
          <w:szCs w:val="24"/>
        </w:rPr>
        <w:t>admitting the evidence</w:t>
      </w:r>
      <w:r>
        <w:rPr>
          <w:sz w:val="24"/>
          <w:szCs w:val="24"/>
        </w:rPr>
        <w:t xml:space="preserve"> would have such an adverse on the fairness of the proceedings that it ought not to be admitted. Indeed, the decision of the Court of Appeal in </w:t>
      </w:r>
      <w:r w:rsidRPr="00627556">
        <w:rPr>
          <w:i/>
          <w:sz w:val="24"/>
          <w:szCs w:val="24"/>
        </w:rPr>
        <w:t>R v Luttrell</w:t>
      </w:r>
      <w:r>
        <w:rPr>
          <w:rStyle w:val="FootnoteReference"/>
          <w:sz w:val="24"/>
          <w:szCs w:val="24"/>
        </w:rPr>
        <w:footnoteReference w:id="104"/>
      </w:r>
      <w:r>
        <w:rPr>
          <w:sz w:val="24"/>
          <w:szCs w:val="24"/>
        </w:rPr>
        <w:t xml:space="preserve"> (whilst not concerning impartiality) made clear that the court is entitled to exclude expert evidence tendered by the prosecution in order to secure the fairness of the proceedings. </w:t>
      </w:r>
      <w:r w:rsidR="009E3CFA">
        <w:rPr>
          <w:sz w:val="24"/>
          <w:szCs w:val="24"/>
        </w:rPr>
        <w:t xml:space="preserve">Similarly, in </w:t>
      </w:r>
      <w:r w:rsidR="009E3CFA" w:rsidRPr="009E3CFA">
        <w:rPr>
          <w:i/>
          <w:sz w:val="24"/>
          <w:szCs w:val="24"/>
        </w:rPr>
        <w:t xml:space="preserve">R v </w:t>
      </w:r>
      <w:proofErr w:type="spellStart"/>
      <w:r w:rsidR="009E3CFA" w:rsidRPr="009E3CFA">
        <w:rPr>
          <w:i/>
          <w:sz w:val="24"/>
          <w:szCs w:val="24"/>
        </w:rPr>
        <w:t>Dlugosz</w:t>
      </w:r>
      <w:proofErr w:type="spellEnd"/>
      <w:r w:rsidR="0078374E">
        <w:rPr>
          <w:sz w:val="24"/>
          <w:szCs w:val="24"/>
        </w:rPr>
        <w:t xml:space="preserve"> </w:t>
      </w:r>
      <w:r w:rsidR="009E3CFA">
        <w:rPr>
          <w:sz w:val="24"/>
          <w:szCs w:val="24"/>
        </w:rPr>
        <w:t xml:space="preserve">(again admittedly not in the context of impartiality) </w:t>
      </w:r>
      <w:r w:rsidR="00A251A9">
        <w:rPr>
          <w:sz w:val="24"/>
          <w:szCs w:val="24"/>
        </w:rPr>
        <w:t xml:space="preserve">the Court of Appeal </w:t>
      </w:r>
      <w:r w:rsidR="009E3CFA">
        <w:rPr>
          <w:sz w:val="24"/>
          <w:szCs w:val="24"/>
        </w:rPr>
        <w:t>made clear that if there is a danger that a jury might “attach a false or misleading impression” to expert evidence, “</w:t>
      </w:r>
      <w:r w:rsidR="009E3CFA" w:rsidRPr="009E3CFA">
        <w:rPr>
          <w:sz w:val="24"/>
          <w:szCs w:val="24"/>
        </w:rPr>
        <w:t xml:space="preserve">then, even though admissible, the court should decline to admit it under its powers under </w:t>
      </w:r>
      <w:hyperlink r:id="rId9" w:history="1">
        <w:r w:rsidR="009E3CFA" w:rsidRPr="009E3CFA">
          <w:rPr>
            <w:sz w:val="24"/>
            <w:szCs w:val="24"/>
          </w:rPr>
          <w:t>s.78 of PACE</w:t>
        </w:r>
      </w:hyperlink>
      <w:r w:rsidR="009E3CFA">
        <w:rPr>
          <w:sz w:val="24"/>
          <w:szCs w:val="24"/>
        </w:rPr>
        <w:t>”</w:t>
      </w:r>
      <w:r w:rsidR="009E3CFA" w:rsidRPr="009E3CFA">
        <w:rPr>
          <w:sz w:val="24"/>
          <w:szCs w:val="24"/>
        </w:rPr>
        <w:t>.</w:t>
      </w:r>
      <w:r w:rsidR="008D1073">
        <w:rPr>
          <w:rStyle w:val="FootnoteReference"/>
          <w:sz w:val="24"/>
          <w:szCs w:val="24"/>
        </w:rPr>
        <w:footnoteReference w:id="105"/>
      </w:r>
    </w:p>
    <w:p w:rsidR="009E3CFA" w:rsidRDefault="009E3CFA" w:rsidP="008F3892">
      <w:pPr>
        <w:autoSpaceDE w:val="0"/>
        <w:autoSpaceDN w:val="0"/>
        <w:adjustRightInd w:val="0"/>
        <w:spacing w:after="0" w:line="240" w:lineRule="auto"/>
        <w:rPr>
          <w:sz w:val="24"/>
          <w:szCs w:val="24"/>
        </w:rPr>
      </w:pPr>
    </w:p>
    <w:p w:rsidR="00AD60E1" w:rsidRDefault="008F3892" w:rsidP="008F3892">
      <w:pPr>
        <w:autoSpaceDE w:val="0"/>
        <w:autoSpaceDN w:val="0"/>
        <w:adjustRightInd w:val="0"/>
        <w:spacing w:after="0" w:line="240" w:lineRule="auto"/>
        <w:rPr>
          <w:sz w:val="24"/>
          <w:szCs w:val="24"/>
        </w:rPr>
      </w:pPr>
      <w:r>
        <w:rPr>
          <w:sz w:val="24"/>
          <w:szCs w:val="24"/>
        </w:rPr>
        <w:t>The s.78 option would</w:t>
      </w:r>
      <w:r w:rsidR="00C11229">
        <w:rPr>
          <w:sz w:val="24"/>
          <w:szCs w:val="24"/>
        </w:rPr>
        <w:t xml:space="preserve"> </w:t>
      </w:r>
      <w:r>
        <w:rPr>
          <w:sz w:val="24"/>
          <w:szCs w:val="24"/>
        </w:rPr>
        <w:t>not be available to the judge where the tainted evidence was tendered by the defence</w:t>
      </w:r>
      <w:r w:rsidR="00C11229">
        <w:rPr>
          <w:sz w:val="24"/>
          <w:szCs w:val="24"/>
        </w:rPr>
        <w:t xml:space="preserve"> because s.78 only applies to prosecution evidence. C</w:t>
      </w:r>
      <w:r>
        <w:rPr>
          <w:sz w:val="24"/>
          <w:szCs w:val="24"/>
        </w:rPr>
        <w:t>onsequently, arguments aimed at excluding defence expert evide</w:t>
      </w:r>
      <w:r w:rsidR="00C11229">
        <w:rPr>
          <w:sz w:val="24"/>
          <w:szCs w:val="24"/>
        </w:rPr>
        <w:t>nce on the basis of bias would h</w:t>
      </w:r>
      <w:r>
        <w:rPr>
          <w:sz w:val="24"/>
          <w:szCs w:val="24"/>
        </w:rPr>
        <w:t xml:space="preserve">ave to be targeted via one or more of the limbs of the common law admissibility test and/or the </w:t>
      </w:r>
      <w:r w:rsidR="00F037EF">
        <w:rPr>
          <w:sz w:val="24"/>
          <w:szCs w:val="24"/>
        </w:rPr>
        <w:t xml:space="preserve">common law </w:t>
      </w:r>
      <w:r>
        <w:rPr>
          <w:sz w:val="24"/>
          <w:szCs w:val="24"/>
        </w:rPr>
        <w:t>reliability test</w:t>
      </w:r>
      <w:r w:rsidR="00F037EF">
        <w:rPr>
          <w:sz w:val="24"/>
          <w:szCs w:val="24"/>
        </w:rPr>
        <w:t>.</w:t>
      </w:r>
      <w:r>
        <w:rPr>
          <w:sz w:val="24"/>
          <w:szCs w:val="24"/>
        </w:rPr>
        <w:t xml:space="preserve"> </w:t>
      </w:r>
      <w:r w:rsidR="00C11229">
        <w:rPr>
          <w:sz w:val="24"/>
          <w:szCs w:val="24"/>
        </w:rPr>
        <w:t>U</w:t>
      </w:r>
      <w:r>
        <w:rPr>
          <w:sz w:val="24"/>
          <w:szCs w:val="24"/>
        </w:rPr>
        <w:t xml:space="preserve">nless the evidence was so tainted by bias as to have no probative value it would </w:t>
      </w:r>
      <w:r w:rsidR="00C11229">
        <w:rPr>
          <w:sz w:val="24"/>
          <w:szCs w:val="24"/>
        </w:rPr>
        <w:t xml:space="preserve">presumably be </w:t>
      </w:r>
      <w:r>
        <w:rPr>
          <w:sz w:val="24"/>
          <w:szCs w:val="24"/>
        </w:rPr>
        <w:t xml:space="preserve">difficult to </w:t>
      </w:r>
      <w:r w:rsidR="00C11229">
        <w:rPr>
          <w:sz w:val="24"/>
          <w:szCs w:val="24"/>
        </w:rPr>
        <w:t xml:space="preserve">justify its </w:t>
      </w:r>
      <w:r>
        <w:rPr>
          <w:sz w:val="24"/>
          <w:szCs w:val="24"/>
        </w:rPr>
        <w:t>exclu</w:t>
      </w:r>
      <w:r w:rsidR="00C11229">
        <w:rPr>
          <w:sz w:val="24"/>
          <w:szCs w:val="24"/>
        </w:rPr>
        <w:t>sion</w:t>
      </w:r>
      <w:r>
        <w:rPr>
          <w:sz w:val="24"/>
          <w:szCs w:val="24"/>
        </w:rPr>
        <w:t xml:space="preserve"> it on the basis of irrelevance. Similarly, if the evidence possessed more than minimal probative value it would be difficult to assert purely on the basis of bias either that it was incapable of providing the jury with some assistance in resolving issues outside of its knowledge and experience of that its maker did not possess sufficient skill in the relevant field of expertise to be competent to give expert evidence. Thus, it may be that the most viable approach would be to assert (in circumstances where this was so) that in consequence of bias there was not </w:t>
      </w:r>
      <w:r w:rsidRPr="00FC216E">
        <w:rPr>
          <w:sz w:val="24"/>
          <w:szCs w:val="24"/>
        </w:rPr>
        <w:t xml:space="preserve">a sufficiently reliable scientific basis for </w:t>
      </w:r>
      <w:r w:rsidR="00F34F09">
        <w:rPr>
          <w:sz w:val="24"/>
          <w:szCs w:val="24"/>
        </w:rPr>
        <w:t>expert opinion</w:t>
      </w:r>
      <w:r w:rsidRPr="00FC216E">
        <w:rPr>
          <w:sz w:val="24"/>
          <w:szCs w:val="24"/>
        </w:rPr>
        <w:t xml:space="preserve"> evidence to be admitted</w:t>
      </w:r>
      <w:r>
        <w:rPr>
          <w:sz w:val="24"/>
          <w:szCs w:val="24"/>
        </w:rPr>
        <w:t xml:space="preserve"> (an argument which, of course, could equally be applied to expert evidence tendered by the prosecution). </w:t>
      </w:r>
    </w:p>
    <w:p w:rsidR="00AD60E1" w:rsidRDefault="00AD60E1" w:rsidP="008F3892">
      <w:pPr>
        <w:autoSpaceDE w:val="0"/>
        <w:autoSpaceDN w:val="0"/>
        <w:adjustRightInd w:val="0"/>
        <w:spacing w:after="0" w:line="240" w:lineRule="auto"/>
        <w:rPr>
          <w:sz w:val="24"/>
          <w:szCs w:val="24"/>
        </w:rPr>
      </w:pPr>
    </w:p>
    <w:p w:rsidR="00AD60E1" w:rsidRDefault="00C11229" w:rsidP="008F3892">
      <w:pPr>
        <w:autoSpaceDE w:val="0"/>
        <w:autoSpaceDN w:val="0"/>
        <w:adjustRightInd w:val="0"/>
        <w:spacing w:after="0" w:line="240" w:lineRule="auto"/>
        <w:rPr>
          <w:sz w:val="24"/>
          <w:szCs w:val="24"/>
        </w:rPr>
      </w:pPr>
      <w:r>
        <w:rPr>
          <w:sz w:val="24"/>
          <w:szCs w:val="24"/>
        </w:rPr>
        <w:t xml:space="preserve">So far as the US </w:t>
      </w:r>
      <w:proofErr w:type="spellStart"/>
      <w:r w:rsidRPr="003B22BC">
        <w:rPr>
          <w:i/>
          <w:sz w:val="24"/>
          <w:szCs w:val="24"/>
        </w:rPr>
        <w:t>Daubert</w:t>
      </w:r>
      <w:proofErr w:type="spellEnd"/>
      <w:r>
        <w:rPr>
          <w:sz w:val="24"/>
          <w:szCs w:val="24"/>
        </w:rPr>
        <w:t xml:space="preserve"> reliability test, codified in Federal Rule of Evidence 702, is concerned, </w:t>
      </w:r>
      <w:r w:rsidR="008F3892">
        <w:rPr>
          <w:sz w:val="24"/>
          <w:szCs w:val="24"/>
        </w:rPr>
        <w:t xml:space="preserve">David Bernstein </w:t>
      </w:r>
      <w:r w:rsidR="00F713B0">
        <w:rPr>
          <w:sz w:val="24"/>
          <w:szCs w:val="24"/>
        </w:rPr>
        <w:t xml:space="preserve">suggested </w:t>
      </w:r>
      <w:r w:rsidR="008F3892">
        <w:rPr>
          <w:sz w:val="24"/>
          <w:szCs w:val="24"/>
        </w:rPr>
        <w:t xml:space="preserve">that </w:t>
      </w:r>
      <w:r>
        <w:rPr>
          <w:sz w:val="24"/>
          <w:szCs w:val="24"/>
        </w:rPr>
        <w:t xml:space="preserve">the </w:t>
      </w:r>
      <w:r w:rsidR="008F3892">
        <w:rPr>
          <w:sz w:val="24"/>
          <w:szCs w:val="24"/>
        </w:rPr>
        <w:t>“</w:t>
      </w:r>
      <w:r w:rsidR="008F3892" w:rsidRPr="003B22BC">
        <w:rPr>
          <w:sz w:val="24"/>
          <w:szCs w:val="24"/>
        </w:rPr>
        <w:t>implicit rationale for the reliability test is to preserve the perceived</w:t>
      </w:r>
      <w:r w:rsidR="008F3892">
        <w:rPr>
          <w:sz w:val="24"/>
          <w:szCs w:val="24"/>
        </w:rPr>
        <w:t xml:space="preserve"> </w:t>
      </w:r>
      <w:r w:rsidR="008F3892" w:rsidRPr="003B22BC">
        <w:rPr>
          <w:sz w:val="24"/>
          <w:szCs w:val="24"/>
        </w:rPr>
        <w:t>advantages of the adversarial system while mitigating the harms to the</w:t>
      </w:r>
      <w:r w:rsidR="008F3892">
        <w:rPr>
          <w:sz w:val="24"/>
          <w:szCs w:val="24"/>
        </w:rPr>
        <w:t xml:space="preserve"> </w:t>
      </w:r>
      <w:r w:rsidR="008F3892" w:rsidRPr="003B22BC">
        <w:rPr>
          <w:sz w:val="24"/>
          <w:szCs w:val="24"/>
        </w:rPr>
        <w:t>courts' truth-seeking function by the inevitable and strong biases that</w:t>
      </w:r>
      <w:r w:rsidR="008F3892">
        <w:rPr>
          <w:sz w:val="24"/>
          <w:szCs w:val="24"/>
        </w:rPr>
        <w:t xml:space="preserve"> </w:t>
      </w:r>
      <w:r w:rsidR="008F3892" w:rsidRPr="003B22BC">
        <w:rPr>
          <w:sz w:val="24"/>
          <w:szCs w:val="24"/>
        </w:rPr>
        <w:t>accompany adversarial expert testimony</w:t>
      </w:r>
      <w:r w:rsidR="008F3892">
        <w:rPr>
          <w:sz w:val="24"/>
          <w:szCs w:val="24"/>
        </w:rPr>
        <w:t>”</w:t>
      </w:r>
      <w:r w:rsidR="008F3892" w:rsidRPr="003B22BC">
        <w:rPr>
          <w:sz w:val="24"/>
          <w:szCs w:val="24"/>
        </w:rPr>
        <w:t>.</w:t>
      </w:r>
      <w:r w:rsidR="008F3892">
        <w:rPr>
          <w:rStyle w:val="FootnoteReference"/>
          <w:sz w:val="24"/>
          <w:szCs w:val="24"/>
        </w:rPr>
        <w:footnoteReference w:id="106"/>
      </w:r>
      <w:r w:rsidR="008F3892">
        <w:rPr>
          <w:sz w:val="24"/>
          <w:szCs w:val="24"/>
        </w:rPr>
        <w:t xml:space="preserve"> Bernstein believes, however, that the </w:t>
      </w:r>
      <w:proofErr w:type="spellStart"/>
      <w:r w:rsidR="008F3892" w:rsidRPr="003C01D0">
        <w:rPr>
          <w:i/>
          <w:sz w:val="24"/>
          <w:szCs w:val="24"/>
        </w:rPr>
        <w:t>Daubert</w:t>
      </w:r>
      <w:proofErr w:type="spellEnd"/>
      <w:r w:rsidR="008F3892" w:rsidRPr="003C01D0">
        <w:rPr>
          <w:i/>
          <w:sz w:val="24"/>
          <w:szCs w:val="24"/>
        </w:rPr>
        <w:t xml:space="preserve"> </w:t>
      </w:r>
      <w:r w:rsidR="008F3892">
        <w:rPr>
          <w:sz w:val="24"/>
          <w:szCs w:val="24"/>
        </w:rPr>
        <w:t>test “</w:t>
      </w:r>
      <w:r w:rsidR="008F3892" w:rsidRPr="003B22BC">
        <w:rPr>
          <w:sz w:val="24"/>
          <w:szCs w:val="24"/>
        </w:rPr>
        <w:t>far from fully</w:t>
      </w:r>
      <w:r w:rsidR="008F3892">
        <w:rPr>
          <w:sz w:val="24"/>
          <w:szCs w:val="24"/>
        </w:rPr>
        <w:t xml:space="preserve"> </w:t>
      </w:r>
      <w:r w:rsidR="008F3892" w:rsidRPr="003B22BC">
        <w:rPr>
          <w:sz w:val="24"/>
          <w:szCs w:val="24"/>
        </w:rPr>
        <w:t>succeeds in efficiently achieving this goal</w:t>
      </w:r>
      <w:r w:rsidR="008F3892">
        <w:rPr>
          <w:sz w:val="24"/>
          <w:szCs w:val="24"/>
        </w:rPr>
        <w:t>” and believes that Rule 702 and the “</w:t>
      </w:r>
      <w:proofErr w:type="spellStart"/>
      <w:r w:rsidR="008F3892" w:rsidRPr="00BA7165">
        <w:rPr>
          <w:i/>
          <w:sz w:val="24"/>
          <w:szCs w:val="24"/>
        </w:rPr>
        <w:t>Daubert</w:t>
      </w:r>
      <w:proofErr w:type="spellEnd"/>
      <w:r w:rsidR="008F3892">
        <w:rPr>
          <w:sz w:val="24"/>
          <w:szCs w:val="24"/>
        </w:rPr>
        <w:t xml:space="preserve"> trilogy”</w:t>
      </w:r>
      <w:r w:rsidR="008F3892">
        <w:rPr>
          <w:rStyle w:val="FootnoteReference"/>
          <w:sz w:val="24"/>
          <w:szCs w:val="24"/>
        </w:rPr>
        <w:footnoteReference w:id="107"/>
      </w:r>
      <w:r w:rsidR="008F3892">
        <w:rPr>
          <w:sz w:val="24"/>
          <w:szCs w:val="24"/>
        </w:rPr>
        <w:t xml:space="preserve"> took a “wrong turn” by “</w:t>
      </w:r>
      <w:r w:rsidR="008F3892" w:rsidRPr="003B22BC">
        <w:rPr>
          <w:sz w:val="24"/>
          <w:szCs w:val="24"/>
        </w:rPr>
        <w:t>insisting that judges attempt to discern the</w:t>
      </w:r>
      <w:r w:rsidR="008F3892">
        <w:rPr>
          <w:sz w:val="24"/>
          <w:szCs w:val="24"/>
        </w:rPr>
        <w:t xml:space="preserve"> </w:t>
      </w:r>
      <w:r w:rsidR="008F3892" w:rsidRPr="003B22BC">
        <w:rPr>
          <w:sz w:val="24"/>
          <w:szCs w:val="24"/>
        </w:rPr>
        <w:t>underlying reliability of proffered expert testimony in a given case</w:t>
      </w:r>
      <w:r w:rsidR="008F3892">
        <w:rPr>
          <w:sz w:val="24"/>
          <w:szCs w:val="24"/>
        </w:rPr>
        <w:t>” rather than focussing “</w:t>
      </w:r>
      <w:r w:rsidR="008F3892" w:rsidRPr="003B22BC">
        <w:rPr>
          <w:sz w:val="24"/>
          <w:szCs w:val="24"/>
        </w:rPr>
        <w:t>on whether the testimony reflects</w:t>
      </w:r>
      <w:r w:rsidR="008F3892">
        <w:rPr>
          <w:sz w:val="24"/>
          <w:szCs w:val="24"/>
        </w:rPr>
        <w:t xml:space="preserve"> </w:t>
      </w:r>
      <w:r w:rsidR="008F3892" w:rsidRPr="003B22BC">
        <w:rPr>
          <w:sz w:val="24"/>
          <w:szCs w:val="24"/>
        </w:rPr>
        <w:t>unbiased, nonpartisan opinion within the expert witness's legitimate field of</w:t>
      </w:r>
      <w:r w:rsidR="008F3892">
        <w:rPr>
          <w:sz w:val="24"/>
          <w:szCs w:val="24"/>
        </w:rPr>
        <w:t xml:space="preserve"> </w:t>
      </w:r>
      <w:r w:rsidR="008F3892" w:rsidRPr="003B22BC">
        <w:rPr>
          <w:sz w:val="24"/>
          <w:szCs w:val="24"/>
        </w:rPr>
        <w:t>expertise</w:t>
      </w:r>
      <w:r w:rsidR="008F3892">
        <w:rPr>
          <w:sz w:val="24"/>
          <w:szCs w:val="24"/>
        </w:rPr>
        <w:t>”.</w:t>
      </w:r>
      <w:r w:rsidR="008F3892">
        <w:rPr>
          <w:rStyle w:val="FootnoteReference"/>
          <w:sz w:val="24"/>
          <w:szCs w:val="24"/>
        </w:rPr>
        <w:footnoteReference w:id="108"/>
      </w:r>
      <w:r w:rsidR="008F3892">
        <w:rPr>
          <w:sz w:val="24"/>
          <w:szCs w:val="24"/>
        </w:rPr>
        <w:t xml:space="preserve"> </w:t>
      </w:r>
    </w:p>
    <w:p w:rsidR="00AD60E1" w:rsidRDefault="00AD60E1" w:rsidP="008F3892">
      <w:pPr>
        <w:autoSpaceDE w:val="0"/>
        <w:autoSpaceDN w:val="0"/>
        <w:adjustRightInd w:val="0"/>
        <w:spacing w:after="0" w:line="240" w:lineRule="auto"/>
        <w:rPr>
          <w:sz w:val="24"/>
          <w:szCs w:val="24"/>
        </w:rPr>
      </w:pPr>
    </w:p>
    <w:p w:rsidR="008F3892" w:rsidRDefault="00C11229" w:rsidP="008F3892">
      <w:pPr>
        <w:autoSpaceDE w:val="0"/>
        <w:autoSpaceDN w:val="0"/>
        <w:adjustRightInd w:val="0"/>
        <w:spacing w:after="0" w:line="240" w:lineRule="auto"/>
        <w:rPr>
          <w:sz w:val="24"/>
          <w:szCs w:val="24"/>
        </w:rPr>
      </w:pPr>
      <w:r>
        <w:rPr>
          <w:sz w:val="24"/>
          <w:szCs w:val="24"/>
        </w:rPr>
        <w:t>In its final Report, t</w:t>
      </w:r>
      <w:r w:rsidR="008F3892">
        <w:rPr>
          <w:sz w:val="24"/>
          <w:szCs w:val="24"/>
        </w:rPr>
        <w:t>he Law Commission deliberately avoided including factors relating to expertise or impartiality in the reliability limb of its admissibility test in order to avoid judges being required to apply distinct tests which overlapped</w:t>
      </w:r>
      <w:r>
        <w:rPr>
          <w:sz w:val="24"/>
          <w:szCs w:val="24"/>
        </w:rPr>
        <w:t>.</w:t>
      </w:r>
      <w:r>
        <w:rPr>
          <w:rStyle w:val="FootnoteReference"/>
          <w:sz w:val="24"/>
          <w:szCs w:val="24"/>
        </w:rPr>
        <w:footnoteReference w:id="109"/>
      </w:r>
      <w:r w:rsidR="008F3892">
        <w:rPr>
          <w:sz w:val="24"/>
          <w:szCs w:val="24"/>
        </w:rPr>
        <w:t xml:space="preserve"> </w:t>
      </w:r>
      <w:r>
        <w:rPr>
          <w:sz w:val="24"/>
          <w:szCs w:val="24"/>
        </w:rPr>
        <w:t xml:space="preserve">In its original Consultation Paper, </w:t>
      </w:r>
      <w:r>
        <w:rPr>
          <w:sz w:val="24"/>
          <w:szCs w:val="24"/>
        </w:rPr>
        <w:lastRenderedPageBreak/>
        <w:t>however, the Law Commission had included in its lists of guidelines relating to scientific and experience based expert opinion evidence the factor “</w:t>
      </w:r>
      <w:r w:rsidRPr="008F3892">
        <w:rPr>
          <w:sz w:val="24"/>
          <w:szCs w:val="24"/>
        </w:rPr>
        <w:t>whether there is evidence to</w:t>
      </w:r>
      <w:r>
        <w:rPr>
          <w:sz w:val="24"/>
          <w:szCs w:val="24"/>
        </w:rPr>
        <w:t xml:space="preserve"> </w:t>
      </w:r>
      <w:r w:rsidRPr="008F3892">
        <w:rPr>
          <w:sz w:val="24"/>
          <w:szCs w:val="24"/>
        </w:rPr>
        <w:t>suggest that the expert witness has failed to act in accordance with his or her overriding duty of impartiality</w:t>
      </w:r>
      <w:r>
        <w:rPr>
          <w:sz w:val="24"/>
          <w:szCs w:val="24"/>
        </w:rPr>
        <w:t>”.</w:t>
      </w:r>
      <w:r>
        <w:rPr>
          <w:rStyle w:val="FootnoteReference"/>
          <w:sz w:val="24"/>
          <w:szCs w:val="24"/>
        </w:rPr>
        <w:footnoteReference w:id="110"/>
      </w:r>
      <w:r>
        <w:rPr>
          <w:sz w:val="24"/>
          <w:szCs w:val="24"/>
        </w:rPr>
        <w:t xml:space="preserve"> G</w:t>
      </w:r>
      <w:r w:rsidR="008F3892">
        <w:rPr>
          <w:sz w:val="24"/>
          <w:szCs w:val="24"/>
        </w:rPr>
        <w:t xml:space="preserve">iven that the </w:t>
      </w:r>
      <w:r>
        <w:rPr>
          <w:sz w:val="24"/>
          <w:szCs w:val="24"/>
        </w:rPr>
        <w:t xml:space="preserve">Law Commission’s recommended </w:t>
      </w:r>
      <w:r w:rsidR="008F3892">
        <w:rPr>
          <w:sz w:val="24"/>
          <w:szCs w:val="24"/>
        </w:rPr>
        <w:t>impartiality limb does not exist at common law</w:t>
      </w:r>
      <w:r>
        <w:rPr>
          <w:sz w:val="24"/>
          <w:szCs w:val="24"/>
        </w:rPr>
        <w:t xml:space="preserve">, the </w:t>
      </w:r>
      <w:r w:rsidR="00AD60E1">
        <w:rPr>
          <w:sz w:val="24"/>
          <w:szCs w:val="24"/>
        </w:rPr>
        <w:t>potential overlap between reliability and impartiality limbs</w:t>
      </w:r>
      <w:r>
        <w:rPr>
          <w:sz w:val="24"/>
          <w:szCs w:val="24"/>
        </w:rPr>
        <w:t xml:space="preserve"> that persuaded the Law Commission not to include an impartiality factor in its </w:t>
      </w:r>
      <w:r w:rsidR="00F14F2B">
        <w:rPr>
          <w:sz w:val="24"/>
          <w:szCs w:val="24"/>
        </w:rPr>
        <w:t>lower-order factors</w:t>
      </w:r>
      <w:r w:rsidR="00AD60E1">
        <w:rPr>
          <w:sz w:val="24"/>
          <w:szCs w:val="24"/>
        </w:rPr>
        <w:t xml:space="preserve"> is no</w:t>
      </w:r>
      <w:r w:rsidR="008D1073">
        <w:rPr>
          <w:sz w:val="24"/>
          <w:szCs w:val="24"/>
        </w:rPr>
        <w:t>t</w:t>
      </w:r>
      <w:r w:rsidR="00AD60E1">
        <w:rPr>
          <w:sz w:val="24"/>
          <w:szCs w:val="24"/>
        </w:rPr>
        <w:t xml:space="preserve"> an issue. Thus there </w:t>
      </w:r>
      <w:r w:rsidR="008F3892">
        <w:rPr>
          <w:sz w:val="24"/>
          <w:szCs w:val="24"/>
        </w:rPr>
        <w:t xml:space="preserve">would seem to be no reason why the </w:t>
      </w:r>
      <w:r w:rsidR="00AD60E1">
        <w:rPr>
          <w:sz w:val="24"/>
          <w:szCs w:val="24"/>
        </w:rPr>
        <w:t xml:space="preserve">criminal </w:t>
      </w:r>
      <w:r w:rsidR="008F3892">
        <w:rPr>
          <w:sz w:val="24"/>
          <w:szCs w:val="24"/>
        </w:rPr>
        <w:t>courts could not take th</w:t>
      </w:r>
      <w:r w:rsidR="00AD60E1">
        <w:rPr>
          <w:sz w:val="24"/>
          <w:szCs w:val="24"/>
        </w:rPr>
        <w:t>e</w:t>
      </w:r>
      <w:r w:rsidR="008F3892">
        <w:rPr>
          <w:sz w:val="24"/>
          <w:szCs w:val="24"/>
        </w:rPr>
        <w:t xml:space="preserve"> </w:t>
      </w:r>
      <w:r w:rsidR="00AD60E1">
        <w:rPr>
          <w:sz w:val="24"/>
          <w:szCs w:val="24"/>
        </w:rPr>
        <w:t xml:space="preserve">impartiality </w:t>
      </w:r>
      <w:r w:rsidR="008F3892">
        <w:rPr>
          <w:sz w:val="24"/>
          <w:szCs w:val="24"/>
        </w:rPr>
        <w:t xml:space="preserve">factor </w:t>
      </w:r>
      <w:r w:rsidR="00AD60E1">
        <w:rPr>
          <w:sz w:val="24"/>
          <w:szCs w:val="24"/>
        </w:rPr>
        <w:t>from the Law Commission’s Consultation Paper into</w:t>
      </w:r>
      <w:r w:rsidR="008F3892">
        <w:rPr>
          <w:sz w:val="24"/>
          <w:szCs w:val="24"/>
        </w:rPr>
        <w:t xml:space="preserve"> account </w:t>
      </w:r>
      <w:r w:rsidR="008D1073">
        <w:rPr>
          <w:sz w:val="24"/>
          <w:szCs w:val="24"/>
        </w:rPr>
        <w:t xml:space="preserve">as guidance </w:t>
      </w:r>
      <w:r w:rsidR="008F3892">
        <w:rPr>
          <w:sz w:val="24"/>
          <w:szCs w:val="24"/>
        </w:rPr>
        <w:t xml:space="preserve">when </w:t>
      </w:r>
      <w:r w:rsidR="00AD60E1">
        <w:rPr>
          <w:sz w:val="24"/>
          <w:szCs w:val="24"/>
        </w:rPr>
        <w:t xml:space="preserve">applying the common law reliability test. Indeed, it is arguable that alleged bias could also be relevant to the application of the common law reliability test when the Court is considering, in line with the guidance provided by </w:t>
      </w:r>
      <w:proofErr w:type="spellStart"/>
      <w:r w:rsidR="00AD60E1">
        <w:rPr>
          <w:sz w:val="24"/>
          <w:szCs w:val="24"/>
        </w:rPr>
        <w:t>CrimPD</w:t>
      </w:r>
      <w:proofErr w:type="spellEnd"/>
      <w:r w:rsidR="00AD60E1">
        <w:rPr>
          <w:sz w:val="24"/>
          <w:szCs w:val="24"/>
        </w:rPr>
        <w:t xml:space="preserve"> 19A.5, whether an expert took full account of all relevant information, whether an expert’s preference from a range of opinion relating to the relevant matter </w:t>
      </w:r>
      <w:r w:rsidR="00F14F2B">
        <w:rPr>
          <w:sz w:val="24"/>
          <w:szCs w:val="24"/>
        </w:rPr>
        <w:t xml:space="preserve">has been properly explained </w:t>
      </w:r>
      <w:r w:rsidR="008D1073">
        <w:rPr>
          <w:sz w:val="24"/>
          <w:szCs w:val="24"/>
        </w:rPr>
        <w:t>and/</w:t>
      </w:r>
      <w:r w:rsidR="00AD60E1">
        <w:rPr>
          <w:sz w:val="24"/>
          <w:szCs w:val="24"/>
        </w:rPr>
        <w:t>or whether an expert’s divergence from established practice in the field has been properly explained.</w:t>
      </w:r>
      <w:r w:rsidR="00AD60E1">
        <w:rPr>
          <w:rStyle w:val="FootnoteReference"/>
          <w:sz w:val="24"/>
          <w:szCs w:val="24"/>
        </w:rPr>
        <w:footnoteReference w:id="111"/>
      </w:r>
    </w:p>
    <w:p w:rsidR="008F3892" w:rsidRDefault="008F3892" w:rsidP="008F3892">
      <w:pPr>
        <w:autoSpaceDE w:val="0"/>
        <w:autoSpaceDN w:val="0"/>
        <w:adjustRightInd w:val="0"/>
        <w:spacing w:after="0" w:line="240" w:lineRule="auto"/>
        <w:rPr>
          <w:sz w:val="24"/>
          <w:szCs w:val="24"/>
        </w:rPr>
      </w:pPr>
    </w:p>
    <w:p w:rsidR="008F3892" w:rsidRDefault="008F3892" w:rsidP="008F3892">
      <w:pPr>
        <w:autoSpaceDE w:val="0"/>
        <w:autoSpaceDN w:val="0"/>
        <w:adjustRightInd w:val="0"/>
        <w:spacing w:after="0" w:line="240" w:lineRule="auto"/>
        <w:rPr>
          <w:sz w:val="24"/>
          <w:szCs w:val="24"/>
        </w:rPr>
      </w:pPr>
      <w:r>
        <w:rPr>
          <w:sz w:val="24"/>
          <w:szCs w:val="24"/>
        </w:rPr>
        <w:t xml:space="preserve">It is not suggested that recourse to the </w:t>
      </w:r>
      <w:r w:rsidR="00362C9A">
        <w:rPr>
          <w:sz w:val="24"/>
          <w:szCs w:val="24"/>
        </w:rPr>
        <w:t xml:space="preserve">common law </w:t>
      </w:r>
      <w:r>
        <w:rPr>
          <w:sz w:val="24"/>
          <w:szCs w:val="24"/>
        </w:rPr>
        <w:t>reliability test</w:t>
      </w:r>
      <w:r w:rsidR="00AD60E1" w:rsidRPr="00AD60E1">
        <w:rPr>
          <w:i/>
          <w:sz w:val="24"/>
          <w:szCs w:val="24"/>
        </w:rPr>
        <w:t xml:space="preserve"> </w:t>
      </w:r>
      <w:r w:rsidR="00AD60E1" w:rsidRPr="00AD60E1">
        <w:rPr>
          <w:sz w:val="24"/>
          <w:szCs w:val="24"/>
        </w:rPr>
        <w:t xml:space="preserve">as a means of </w:t>
      </w:r>
      <w:r w:rsidR="00AD60E1">
        <w:rPr>
          <w:sz w:val="24"/>
          <w:szCs w:val="24"/>
        </w:rPr>
        <w:t xml:space="preserve">challenging the </w:t>
      </w:r>
      <w:r>
        <w:rPr>
          <w:sz w:val="24"/>
          <w:szCs w:val="24"/>
        </w:rPr>
        <w:t xml:space="preserve">impartiality </w:t>
      </w:r>
      <w:r w:rsidR="00AD60E1">
        <w:rPr>
          <w:sz w:val="24"/>
          <w:szCs w:val="24"/>
        </w:rPr>
        <w:t>of an expert witness is</w:t>
      </w:r>
      <w:r>
        <w:rPr>
          <w:sz w:val="24"/>
          <w:szCs w:val="24"/>
        </w:rPr>
        <w:t xml:space="preserve"> something that should be attempted regularly</w:t>
      </w:r>
      <w:r w:rsidR="00FF434A">
        <w:rPr>
          <w:sz w:val="24"/>
          <w:szCs w:val="24"/>
        </w:rPr>
        <w:t>.</w:t>
      </w:r>
      <w:r>
        <w:rPr>
          <w:sz w:val="24"/>
          <w:szCs w:val="24"/>
        </w:rPr>
        <w:t xml:space="preserve"> Fundamentally, as </w:t>
      </w:r>
      <w:proofErr w:type="spellStart"/>
      <w:r>
        <w:rPr>
          <w:sz w:val="24"/>
          <w:szCs w:val="24"/>
        </w:rPr>
        <w:t>Michell</w:t>
      </w:r>
      <w:proofErr w:type="spellEnd"/>
      <w:r>
        <w:rPr>
          <w:sz w:val="24"/>
          <w:szCs w:val="24"/>
        </w:rPr>
        <w:t xml:space="preserve"> and </w:t>
      </w:r>
      <w:proofErr w:type="spellStart"/>
      <w:r>
        <w:rPr>
          <w:sz w:val="24"/>
          <w:szCs w:val="24"/>
        </w:rPr>
        <w:t>Mandhane</w:t>
      </w:r>
      <w:proofErr w:type="spellEnd"/>
      <w:r>
        <w:rPr>
          <w:sz w:val="24"/>
          <w:szCs w:val="24"/>
        </w:rPr>
        <w:t xml:space="preserve"> recognised, </w:t>
      </w:r>
    </w:p>
    <w:p w:rsidR="008F3892" w:rsidRDefault="008F3892" w:rsidP="008F3892">
      <w:pPr>
        <w:autoSpaceDE w:val="0"/>
        <w:autoSpaceDN w:val="0"/>
        <w:adjustRightInd w:val="0"/>
        <w:spacing w:after="0" w:line="240" w:lineRule="auto"/>
        <w:rPr>
          <w:sz w:val="24"/>
          <w:szCs w:val="24"/>
        </w:rPr>
      </w:pPr>
    </w:p>
    <w:p w:rsidR="008F3892" w:rsidRDefault="008F3892" w:rsidP="008F3892">
      <w:pPr>
        <w:autoSpaceDE w:val="0"/>
        <w:autoSpaceDN w:val="0"/>
        <w:adjustRightInd w:val="0"/>
        <w:spacing w:after="0" w:line="240" w:lineRule="auto"/>
        <w:ind w:left="720"/>
        <w:rPr>
          <w:sz w:val="24"/>
          <w:szCs w:val="24"/>
        </w:rPr>
      </w:pPr>
      <w:proofErr w:type="gramStart"/>
      <w:r w:rsidRPr="00253374">
        <w:rPr>
          <w:sz w:val="24"/>
          <w:szCs w:val="24"/>
        </w:rPr>
        <w:t>courts</w:t>
      </w:r>
      <w:proofErr w:type="gramEnd"/>
      <w:r w:rsidRPr="00253374">
        <w:rPr>
          <w:sz w:val="24"/>
          <w:szCs w:val="24"/>
        </w:rPr>
        <w:t xml:space="preserve"> should not be too quick to find bias on the part of expert witnesses</w:t>
      </w:r>
      <w:r>
        <w:rPr>
          <w:sz w:val="24"/>
          <w:szCs w:val="24"/>
        </w:rPr>
        <w:t>…</w:t>
      </w:r>
      <w:r w:rsidRPr="00253374">
        <w:rPr>
          <w:sz w:val="24"/>
          <w:szCs w:val="24"/>
        </w:rPr>
        <w:t xml:space="preserve"> </w:t>
      </w:r>
    </w:p>
    <w:p w:rsidR="008F3892" w:rsidRDefault="008F3892" w:rsidP="008F3892">
      <w:pPr>
        <w:autoSpaceDE w:val="0"/>
        <w:autoSpaceDN w:val="0"/>
        <w:adjustRightInd w:val="0"/>
        <w:spacing w:after="0" w:line="240" w:lineRule="auto"/>
        <w:ind w:left="720"/>
        <w:rPr>
          <w:sz w:val="24"/>
          <w:szCs w:val="24"/>
        </w:rPr>
      </w:pPr>
      <w:r>
        <w:rPr>
          <w:sz w:val="24"/>
          <w:szCs w:val="24"/>
        </w:rPr>
        <w:t xml:space="preserve">[Partisanship] </w:t>
      </w:r>
      <w:r w:rsidRPr="00253374">
        <w:rPr>
          <w:sz w:val="24"/>
          <w:szCs w:val="24"/>
        </w:rPr>
        <w:t xml:space="preserve">should be discouraged, but </w:t>
      </w:r>
      <w:r>
        <w:rPr>
          <w:sz w:val="24"/>
          <w:szCs w:val="24"/>
        </w:rPr>
        <w:t xml:space="preserve">[conflict between expert </w:t>
      </w:r>
      <w:proofErr w:type="gramStart"/>
      <w:r>
        <w:rPr>
          <w:sz w:val="24"/>
          <w:szCs w:val="24"/>
        </w:rPr>
        <w:t>testimony</w:t>
      </w:r>
      <w:proofErr w:type="gramEnd"/>
      <w:r>
        <w:rPr>
          <w:sz w:val="24"/>
          <w:szCs w:val="24"/>
        </w:rPr>
        <w:t xml:space="preserve">] </w:t>
      </w:r>
      <w:r w:rsidRPr="00253374">
        <w:rPr>
          <w:sz w:val="24"/>
          <w:szCs w:val="24"/>
        </w:rPr>
        <w:t>may</w:t>
      </w:r>
      <w:r>
        <w:rPr>
          <w:sz w:val="24"/>
          <w:szCs w:val="24"/>
        </w:rPr>
        <w:t xml:space="preserve"> </w:t>
      </w:r>
      <w:r w:rsidRPr="00253374">
        <w:rPr>
          <w:sz w:val="24"/>
          <w:szCs w:val="24"/>
        </w:rPr>
        <w:t>reflect a genuine divergence of opinion amongst experts, which is essential to the adversarial</w:t>
      </w:r>
      <w:r>
        <w:rPr>
          <w:sz w:val="24"/>
          <w:szCs w:val="24"/>
        </w:rPr>
        <w:t xml:space="preserve"> </w:t>
      </w:r>
      <w:r w:rsidRPr="00253374">
        <w:rPr>
          <w:sz w:val="24"/>
          <w:szCs w:val="24"/>
        </w:rPr>
        <w:t>process.</w:t>
      </w:r>
      <w:r>
        <w:rPr>
          <w:rStyle w:val="FootnoteReference"/>
          <w:sz w:val="24"/>
          <w:szCs w:val="24"/>
        </w:rPr>
        <w:footnoteReference w:id="112"/>
      </w:r>
      <w:r>
        <w:rPr>
          <w:sz w:val="24"/>
          <w:szCs w:val="24"/>
        </w:rPr>
        <w:t xml:space="preserve">  </w:t>
      </w:r>
    </w:p>
    <w:p w:rsidR="008F3892" w:rsidRDefault="008F3892" w:rsidP="008F3892">
      <w:pPr>
        <w:autoSpaceDE w:val="0"/>
        <w:autoSpaceDN w:val="0"/>
        <w:adjustRightInd w:val="0"/>
        <w:spacing w:after="0" w:line="240" w:lineRule="auto"/>
        <w:rPr>
          <w:sz w:val="24"/>
          <w:szCs w:val="24"/>
        </w:rPr>
      </w:pPr>
    </w:p>
    <w:p w:rsidR="008F3892" w:rsidRDefault="008F3892" w:rsidP="008F3892">
      <w:pPr>
        <w:autoSpaceDE w:val="0"/>
        <w:autoSpaceDN w:val="0"/>
        <w:adjustRightInd w:val="0"/>
        <w:spacing w:after="0" w:line="240" w:lineRule="auto"/>
        <w:rPr>
          <w:sz w:val="24"/>
          <w:szCs w:val="24"/>
        </w:rPr>
      </w:pPr>
      <w:r>
        <w:rPr>
          <w:sz w:val="24"/>
          <w:szCs w:val="24"/>
        </w:rPr>
        <w:t xml:space="preserve">Thus, even if the courts become willing to consider arguments based on bias when considering whether expert </w:t>
      </w:r>
      <w:r w:rsidR="00F34F09">
        <w:rPr>
          <w:sz w:val="24"/>
          <w:szCs w:val="24"/>
        </w:rPr>
        <w:t xml:space="preserve">opinion </w:t>
      </w:r>
      <w:r>
        <w:rPr>
          <w:sz w:val="24"/>
          <w:szCs w:val="24"/>
        </w:rPr>
        <w:t xml:space="preserve">evidence is sufficiently reliable to be admitted, </w:t>
      </w:r>
      <w:r w:rsidR="00FF434A">
        <w:rPr>
          <w:sz w:val="24"/>
          <w:szCs w:val="24"/>
        </w:rPr>
        <w:t xml:space="preserve">it may be that </w:t>
      </w:r>
      <w:r>
        <w:rPr>
          <w:sz w:val="24"/>
          <w:szCs w:val="24"/>
        </w:rPr>
        <w:t xml:space="preserve">they </w:t>
      </w:r>
      <w:proofErr w:type="gramStart"/>
      <w:r>
        <w:rPr>
          <w:sz w:val="24"/>
          <w:szCs w:val="24"/>
        </w:rPr>
        <w:t>should  not</w:t>
      </w:r>
      <w:proofErr w:type="gramEnd"/>
      <w:r>
        <w:rPr>
          <w:sz w:val="24"/>
          <w:szCs w:val="24"/>
        </w:rPr>
        <w:t xml:space="preserve"> be too willing to do so. </w:t>
      </w:r>
    </w:p>
    <w:p w:rsidR="008F3892" w:rsidRDefault="008F3892" w:rsidP="008F3892">
      <w:pPr>
        <w:autoSpaceDE w:val="0"/>
        <w:autoSpaceDN w:val="0"/>
        <w:adjustRightInd w:val="0"/>
        <w:spacing w:after="0" w:line="240" w:lineRule="auto"/>
        <w:rPr>
          <w:sz w:val="24"/>
          <w:szCs w:val="24"/>
        </w:rPr>
      </w:pPr>
    </w:p>
    <w:p w:rsidR="004B2160" w:rsidRDefault="008F3892" w:rsidP="008F3892">
      <w:pPr>
        <w:autoSpaceDE w:val="0"/>
        <w:autoSpaceDN w:val="0"/>
        <w:adjustRightInd w:val="0"/>
        <w:spacing w:after="0" w:line="240" w:lineRule="auto"/>
        <w:rPr>
          <w:sz w:val="24"/>
          <w:szCs w:val="24"/>
        </w:rPr>
      </w:pPr>
      <w:r>
        <w:rPr>
          <w:sz w:val="24"/>
          <w:szCs w:val="24"/>
        </w:rPr>
        <w:t xml:space="preserve">Whilst it is possible to speculate that the criminal courts might be persuaded to exclude expert evidence which is tainted by bias either under s.78 or on the basis of unreliability, </w:t>
      </w:r>
      <w:r w:rsidR="00FF434A">
        <w:rPr>
          <w:sz w:val="24"/>
          <w:szCs w:val="24"/>
        </w:rPr>
        <w:t xml:space="preserve">currently </w:t>
      </w:r>
      <w:r>
        <w:rPr>
          <w:sz w:val="24"/>
          <w:szCs w:val="24"/>
        </w:rPr>
        <w:t xml:space="preserve">the main option for counsel who wishes to challenge expert evidence in criminal proceedings upon the basis of bias would appear to </w:t>
      </w:r>
      <w:r w:rsidR="00FF434A">
        <w:rPr>
          <w:sz w:val="24"/>
          <w:szCs w:val="24"/>
        </w:rPr>
        <w:t xml:space="preserve">remain </w:t>
      </w:r>
      <w:r>
        <w:rPr>
          <w:sz w:val="24"/>
          <w:szCs w:val="24"/>
        </w:rPr>
        <w:t>that of developing an appropriate cross-examination strategy. In order to do so it is important to recognise that bias may have a variety of causes. A valuable analysis of the causes of expert witness bias was provided by Deidre Dwyer, who identified three categories, namely, “</w:t>
      </w:r>
      <w:r w:rsidRPr="004F30C9">
        <w:rPr>
          <w:sz w:val="24"/>
          <w:szCs w:val="24"/>
        </w:rPr>
        <w:t>personal interest, financial interest and intellectual interest</w:t>
      </w:r>
      <w:r>
        <w:rPr>
          <w:sz w:val="24"/>
          <w:szCs w:val="24"/>
        </w:rPr>
        <w:t>”.</w:t>
      </w:r>
      <w:r>
        <w:rPr>
          <w:rStyle w:val="FootnoteReference"/>
          <w:sz w:val="24"/>
          <w:szCs w:val="24"/>
        </w:rPr>
        <w:footnoteReference w:id="113"/>
      </w:r>
      <w:r>
        <w:rPr>
          <w:sz w:val="24"/>
          <w:szCs w:val="24"/>
        </w:rPr>
        <w:t xml:space="preserve"> Whilst Dwyer’s analysis was directed at the civil context, most of the causes of expert witness bias she identifies are clearly relevant in the context of criminal proceedings. Dwyer subdivided the personal interest category into “personal predisposition” (encompassing moral opinions, personal relationships, common memberships and other professional relationships) and “personal involvement (i.e. the expert developing sympathy for the instructing party).</w:t>
      </w:r>
      <w:r>
        <w:rPr>
          <w:rStyle w:val="FootnoteReference"/>
          <w:sz w:val="24"/>
          <w:szCs w:val="24"/>
        </w:rPr>
        <w:footnoteReference w:id="114"/>
      </w:r>
      <w:r>
        <w:rPr>
          <w:sz w:val="24"/>
          <w:szCs w:val="24"/>
        </w:rPr>
        <w:t xml:space="preserve"> Dwyer subdivided the financial </w:t>
      </w:r>
      <w:r>
        <w:rPr>
          <w:sz w:val="24"/>
          <w:szCs w:val="24"/>
        </w:rPr>
        <w:lastRenderedPageBreak/>
        <w:t>interest category into “financial predisposition” (encompassing expert as shareholders, experts as employees and developing a future career as an expert) and “financial involvement” (i.e. the fact that the expert is being paid by one of the parties).</w:t>
      </w:r>
      <w:r>
        <w:rPr>
          <w:rStyle w:val="FootnoteReference"/>
          <w:sz w:val="24"/>
          <w:szCs w:val="24"/>
        </w:rPr>
        <w:footnoteReference w:id="115"/>
      </w:r>
      <w:r>
        <w:rPr>
          <w:sz w:val="24"/>
          <w:szCs w:val="24"/>
        </w:rPr>
        <w:t xml:space="preserve"> Finally, the intellectual interest category concerns the potential for bias where an expert’s standing in the expert’s profession may be increased or reduced depending upon the court’s conclusions in relation to a method or theory in relation to which the expert is a leading authority.</w:t>
      </w:r>
      <w:r>
        <w:rPr>
          <w:rStyle w:val="FootnoteReference"/>
          <w:sz w:val="24"/>
          <w:szCs w:val="24"/>
        </w:rPr>
        <w:footnoteReference w:id="116"/>
      </w:r>
      <w:r>
        <w:rPr>
          <w:sz w:val="24"/>
          <w:szCs w:val="24"/>
        </w:rPr>
        <w:t xml:space="preserve">  </w:t>
      </w:r>
    </w:p>
    <w:p w:rsidR="004B2160" w:rsidRDefault="004B2160" w:rsidP="008F3892">
      <w:pPr>
        <w:autoSpaceDE w:val="0"/>
        <w:autoSpaceDN w:val="0"/>
        <w:adjustRightInd w:val="0"/>
        <w:spacing w:after="0" w:line="240" w:lineRule="auto"/>
        <w:rPr>
          <w:sz w:val="24"/>
          <w:szCs w:val="24"/>
        </w:rPr>
      </w:pPr>
    </w:p>
    <w:p w:rsidR="008F3892" w:rsidRDefault="008F3892" w:rsidP="008F3892">
      <w:pPr>
        <w:autoSpaceDE w:val="0"/>
        <w:autoSpaceDN w:val="0"/>
        <w:adjustRightInd w:val="0"/>
        <w:spacing w:after="0" w:line="240" w:lineRule="auto"/>
        <w:rPr>
          <w:sz w:val="24"/>
          <w:szCs w:val="24"/>
        </w:rPr>
      </w:pPr>
      <w:r>
        <w:rPr>
          <w:sz w:val="24"/>
          <w:szCs w:val="24"/>
        </w:rPr>
        <w:t xml:space="preserve">With regard to potential cross-examination strategies, David </w:t>
      </w:r>
      <w:proofErr w:type="spellStart"/>
      <w:r>
        <w:rPr>
          <w:sz w:val="24"/>
          <w:szCs w:val="24"/>
        </w:rPr>
        <w:t>Paciocco’s</w:t>
      </w:r>
      <w:proofErr w:type="spellEnd"/>
      <w:r>
        <w:rPr>
          <w:sz w:val="24"/>
          <w:szCs w:val="24"/>
        </w:rPr>
        <w:t xml:space="preserve"> analysis is helpful</w:t>
      </w:r>
      <w:r>
        <w:rPr>
          <w:rStyle w:val="FootnoteReference"/>
          <w:sz w:val="24"/>
          <w:szCs w:val="24"/>
        </w:rPr>
        <w:footnoteReference w:id="117"/>
      </w:r>
      <w:r>
        <w:rPr>
          <w:sz w:val="24"/>
          <w:szCs w:val="24"/>
        </w:rPr>
        <w:t xml:space="preserve">. </w:t>
      </w:r>
      <w:proofErr w:type="spellStart"/>
      <w:r>
        <w:rPr>
          <w:sz w:val="24"/>
          <w:szCs w:val="24"/>
        </w:rPr>
        <w:t>Paciocco</w:t>
      </w:r>
      <w:proofErr w:type="spellEnd"/>
      <w:r>
        <w:rPr>
          <w:sz w:val="24"/>
          <w:szCs w:val="24"/>
        </w:rPr>
        <w:t>, whilst recognising that “[b]</w:t>
      </w:r>
      <w:proofErr w:type="spellStart"/>
      <w:r w:rsidRPr="00FE53D5">
        <w:rPr>
          <w:sz w:val="24"/>
          <w:szCs w:val="24"/>
        </w:rPr>
        <w:t>ias</w:t>
      </w:r>
      <w:proofErr w:type="spellEnd"/>
      <w:r w:rsidRPr="00FE53D5">
        <w:rPr>
          <w:sz w:val="24"/>
          <w:szCs w:val="24"/>
        </w:rPr>
        <w:t xml:space="preserve"> is notoriously difficult to prove</w:t>
      </w:r>
      <w:r>
        <w:rPr>
          <w:sz w:val="24"/>
          <w:szCs w:val="24"/>
        </w:rPr>
        <w:t>” also believes that “[bias] has</w:t>
      </w:r>
      <w:r w:rsidRPr="00FE53D5">
        <w:rPr>
          <w:sz w:val="24"/>
          <w:szCs w:val="24"/>
        </w:rPr>
        <w:t xml:space="preserve"> its high-risk contexts,</w:t>
      </w:r>
      <w:r>
        <w:rPr>
          <w:sz w:val="24"/>
          <w:szCs w:val="24"/>
        </w:rPr>
        <w:t xml:space="preserve"> </w:t>
      </w:r>
      <w:r w:rsidRPr="00FE53D5">
        <w:rPr>
          <w:sz w:val="24"/>
          <w:szCs w:val="24"/>
        </w:rPr>
        <w:t>practices and symptoms; these can and should be exposed during cross</w:t>
      </w:r>
      <w:r>
        <w:rPr>
          <w:sz w:val="24"/>
          <w:szCs w:val="24"/>
        </w:rPr>
        <w:t>-</w:t>
      </w:r>
      <w:r w:rsidRPr="00FE53D5">
        <w:rPr>
          <w:sz w:val="24"/>
          <w:szCs w:val="24"/>
        </w:rPr>
        <w:t>examination</w:t>
      </w:r>
      <w:r>
        <w:rPr>
          <w:sz w:val="24"/>
          <w:szCs w:val="24"/>
        </w:rPr>
        <w:t xml:space="preserve"> </w:t>
      </w:r>
      <w:r w:rsidRPr="00FE53D5">
        <w:rPr>
          <w:sz w:val="24"/>
          <w:szCs w:val="24"/>
        </w:rPr>
        <w:t>and, where a credible foundation is created, referred to in</w:t>
      </w:r>
      <w:r>
        <w:rPr>
          <w:sz w:val="24"/>
          <w:szCs w:val="24"/>
        </w:rPr>
        <w:t xml:space="preserve"> </w:t>
      </w:r>
      <w:r w:rsidRPr="00FE53D5">
        <w:rPr>
          <w:sz w:val="24"/>
          <w:szCs w:val="24"/>
        </w:rPr>
        <w:t>counsel's submissions</w:t>
      </w:r>
      <w:r>
        <w:rPr>
          <w:sz w:val="24"/>
          <w:szCs w:val="24"/>
        </w:rPr>
        <w:t>”</w:t>
      </w:r>
      <w:r w:rsidRPr="00FE53D5">
        <w:rPr>
          <w:sz w:val="24"/>
          <w:szCs w:val="24"/>
        </w:rPr>
        <w:t>.</w:t>
      </w:r>
      <w:r>
        <w:rPr>
          <w:rStyle w:val="FootnoteReference"/>
          <w:sz w:val="24"/>
          <w:szCs w:val="24"/>
        </w:rPr>
        <w:footnoteReference w:id="118"/>
      </w:r>
      <w:r>
        <w:rPr>
          <w:sz w:val="24"/>
          <w:szCs w:val="24"/>
        </w:rPr>
        <w:t xml:space="preserve"> Thus, based on </w:t>
      </w:r>
      <w:proofErr w:type="spellStart"/>
      <w:r>
        <w:rPr>
          <w:sz w:val="24"/>
          <w:szCs w:val="24"/>
        </w:rPr>
        <w:t>Paciocco’s</w:t>
      </w:r>
      <w:proofErr w:type="spellEnd"/>
      <w:r>
        <w:rPr>
          <w:sz w:val="24"/>
          <w:szCs w:val="24"/>
        </w:rPr>
        <w:t xml:space="preserve"> work, a cross-examination strategy might, for example, be aimed at revealing “selection bias” (i.e. that a witness has been selected because the witness’ ideas align with the party’s interests), at questioning whether an expert witness has understood expert’s duty to the court, at exposing personal or professional bias or at exploring litigation influences (i.e. pressures) to which the witness was exposed by the instructing party.</w:t>
      </w:r>
      <w:r>
        <w:rPr>
          <w:rStyle w:val="FootnoteReference"/>
          <w:sz w:val="24"/>
          <w:szCs w:val="24"/>
        </w:rPr>
        <w:footnoteReference w:id="119"/>
      </w:r>
      <w:r>
        <w:rPr>
          <w:sz w:val="24"/>
          <w:szCs w:val="24"/>
        </w:rPr>
        <w:t xml:space="preserve"> </w:t>
      </w:r>
    </w:p>
    <w:p w:rsidR="00A12C2C" w:rsidRDefault="00A12C2C" w:rsidP="00E870D8">
      <w:pPr>
        <w:autoSpaceDE w:val="0"/>
        <w:autoSpaceDN w:val="0"/>
        <w:adjustRightInd w:val="0"/>
        <w:spacing w:after="0" w:line="240" w:lineRule="auto"/>
        <w:rPr>
          <w:color w:val="FF0000"/>
          <w:sz w:val="24"/>
          <w:szCs w:val="24"/>
        </w:rPr>
      </w:pPr>
    </w:p>
    <w:p w:rsidR="00835572" w:rsidRPr="00835572" w:rsidRDefault="00835572" w:rsidP="00E870D8">
      <w:pPr>
        <w:autoSpaceDE w:val="0"/>
        <w:autoSpaceDN w:val="0"/>
        <w:adjustRightInd w:val="0"/>
        <w:spacing w:after="0" w:line="240" w:lineRule="auto"/>
        <w:rPr>
          <w:sz w:val="24"/>
          <w:szCs w:val="24"/>
        </w:rPr>
      </w:pPr>
      <w:r>
        <w:rPr>
          <w:sz w:val="24"/>
          <w:szCs w:val="24"/>
        </w:rPr>
        <w:t xml:space="preserve">Some of the forms of bias identified by Dwyer and considered by </w:t>
      </w:r>
      <w:proofErr w:type="spellStart"/>
      <w:r>
        <w:rPr>
          <w:sz w:val="24"/>
          <w:szCs w:val="24"/>
        </w:rPr>
        <w:t>Paciocco</w:t>
      </w:r>
      <w:proofErr w:type="spellEnd"/>
      <w:r>
        <w:rPr>
          <w:sz w:val="24"/>
          <w:szCs w:val="24"/>
        </w:rPr>
        <w:t xml:space="preserve"> </w:t>
      </w:r>
      <w:r w:rsidR="00E74794">
        <w:rPr>
          <w:sz w:val="24"/>
          <w:szCs w:val="24"/>
        </w:rPr>
        <w:t>might be less obvious either to the expert or to the party instructing the expert than others.</w:t>
      </w:r>
      <w:r>
        <w:rPr>
          <w:sz w:val="24"/>
          <w:szCs w:val="24"/>
        </w:rPr>
        <w:t xml:space="preserve"> </w:t>
      </w:r>
      <w:r w:rsidRPr="00835572">
        <w:rPr>
          <w:sz w:val="24"/>
          <w:szCs w:val="24"/>
        </w:rPr>
        <w:t xml:space="preserve">It is suggested that a desirable amendment to the provisions of </w:t>
      </w:r>
      <w:proofErr w:type="spellStart"/>
      <w:r w:rsidRPr="00835572">
        <w:rPr>
          <w:sz w:val="24"/>
          <w:szCs w:val="24"/>
        </w:rPr>
        <w:t>CrimPR</w:t>
      </w:r>
      <w:proofErr w:type="spellEnd"/>
      <w:r w:rsidRPr="00835572">
        <w:rPr>
          <w:sz w:val="24"/>
          <w:szCs w:val="24"/>
        </w:rPr>
        <w:t xml:space="preserve"> </w:t>
      </w:r>
      <w:r w:rsidR="00A75A36">
        <w:rPr>
          <w:sz w:val="24"/>
          <w:szCs w:val="24"/>
        </w:rPr>
        <w:t xml:space="preserve">Part 19 </w:t>
      </w:r>
      <w:r w:rsidRPr="00835572">
        <w:rPr>
          <w:sz w:val="24"/>
          <w:szCs w:val="24"/>
        </w:rPr>
        <w:t>concerning expert’s dutie</w:t>
      </w:r>
      <w:r>
        <w:rPr>
          <w:sz w:val="24"/>
          <w:szCs w:val="24"/>
        </w:rPr>
        <w:t xml:space="preserve">s in criminal proceedings would </w:t>
      </w:r>
      <w:r w:rsidR="00A75A36">
        <w:rPr>
          <w:sz w:val="24"/>
          <w:szCs w:val="24"/>
        </w:rPr>
        <w:t>be</w:t>
      </w:r>
      <w:r>
        <w:rPr>
          <w:sz w:val="24"/>
          <w:szCs w:val="24"/>
        </w:rPr>
        <w:t xml:space="preserve"> elaboration concerning some of the key forms of bias that might be encountered in criminal proceedings which could have the effect of drawing to experts’ attention some of the less obvious forms of which they might not be aware but to which they might be prone. </w:t>
      </w:r>
      <w:r w:rsidR="007A573D">
        <w:rPr>
          <w:sz w:val="24"/>
          <w:szCs w:val="24"/>
        </w:rPr>
        <w:t xml:space="preserve">Moreover, it is suggested that a valuable amendment to </w:t>
      </w:r>
      <w:proofErr w:type="spellStart"/>
      <w:r w:rsidR="007A573D">
        <w:rPr>
          <w:sz w:val="24"/>
          <w:szCs w:val="24"/>
        </w:rPr>
        <w:t>CrimPD</w:t>
      </w:r>
      <w:proofErr w:type="spellEnd"/>
      <w:r w:rsidR="007A573D">
        <w:rPr>
          <w:sz w:val="24"/>
          <w:szCs w:val="24"/>
        </w:rPr>
        <w:t xml:space="preserve"> 19A might be to add to the </w:t>
      </w:r>
      <w:r w:rsidR="00E74794">
        <w:rPr>
          <w:sz w:val="24"/>
          <w:szCs w:val="24"/>
        </w:rPr>
        <w:t xml:space="preserve">list of </w:t>
      </w:r>
      <w:r w:rsidR="007A573D">
        <w:rPr>
          <w:sz w:val="24"/>
          <w:szCs w:val="24"/>
        </w:rPr>
        <w:t>lower-</w:t>
      </w:r>
      <w:r w:rsidR="00F14F2B">
        <w:rPr>
          <w:sz w:val="24"/>
          <w:szCs w:val="24"/>
        </w:rPr>
        <w:t>order</w:t>
      </w:r>
      <w:r w:rsidR="007A573D">
        <w:rPr>
          <w:sz w:val="24"/>
          <w:szCs w:val="24"/>
        </w:rPr>
        <w:t xml:space="preserve"> factors which it reproduces from the Law Commission’s Report the impartiality factor that is to be found in the Law Commission’s earlier consultation paper. </w:t>
      </w:r>
    </w:p>
    <w:p w:rsidR="004B2160" w:rsidRDefault="004B2160" w:rsidP="00E870D8">
      <w:pPr>
        <w:autoSpaceDE w:val="0"/>
        <w:autoSpaceDN w:val="0"/>
        <w:adjustRightInd w:val="0"/>
        <w:spacing w:after="0" w:line="240" w:lineRule="auto"/>
        <w:rPr>
          <w:color w:val="FF0000"/>
          <w:sz w:val="24"/>
          <w:szCs w:val="24"/>
        </w:rPr>
      </w:pPr>
    </w:p>
    <w:p w:rsidR="009B087F" w:rsidRPr="009B087F" w:rsidRDefault="009B087F" w:rsidP="00E870D8">
      <w:pPr>
        <w:autoSpaceDE w:val="0"/>
        <w:autoSpaceDN w:val="0"/>
        <w:adjustRightInd w:val="0"/>
        <w:spacing w:after="0" w:line="240" w:lineRule="auto"/>
        <w:rPr>
          <w:sz w:val="24"/>
          <w:szCs w:val="24"/>
          <w:u w:val="single"/>
        </w:rPr>
      </w:pPr>
      <w:r w:rsidRPr="009B087F">
        <w:rPr>
          <w:sz w:val="24"/>
          <w:szCs w:val="24"/>
          <w:u w:val="single"/>
        </w:rPr>
        <w:t>Conclusion</w:t>
      </w:r>
    </w:p>
    <w:p w:rsidR="009B087F" w:rsidRDefault="009B087F" w:rsidP="00E870D8">
      <w:pPr>
        <w:autoSpaceDE w:val="0"/>
        <w:autoSpaceDN w:val="0"/>
        <w:adjustRightInd w:val="0"/>
        <w:spacing w:after="0" w:line="240" w:lineRule="auto"/>
        <w:rPr>
          <w:color w:val="FF0000"/>
          <w:sz w:val="24"/>
          <w:szCs w:val="24"/>
        </w:rPr>
      </w:pPr>
    </w:p>
    <w:p w:rsidR="00CE28FE" w:rsidRDefault="000C036B" w:rsidP="00E870D8">
      <w:pPr>
        <w:autoSpaceDE w:val="0"/>
        <w:autoSpaceDN w:val="0"/>
        <w:adjustRightInd w:val="0"/>
        <w:spacing w:after="0" w:line="240" w:lineRule="auto"/>
        <w:rPr>
          <w:sz w:val="24"/>
          <w:szCs w:val="24"/>
        </w:rPr>
      </w:pPr>
      <w:r>
        <w:rPr>
          <w:sz w:val="24"/>
          <w:szCs w:val="24"/>
        </w:rPr>
        <w:t>Following the Government’s decision not to implement the Law Commission’s recommendations concerning expert evidence in criminal proceedings, t</w:t>
      </w:r>
      <w:r w:rsidRPr="000C036B">
        <w:rPr>
          <w:sz w:val="24"/>
          <w:szCs w:val="24"/>
        </w:rPr>
        <w:t xml:space="preserve">he admissibility of expert </w:t>
      </w:r>
      <w:r w:rsidR="00CE28FE">
        <w:rPr>
          <w:sz w:val="24"/>
          <w:szCs w:val="24"/>
        </w:rPr>
        <w:t xml:space="preserve">opinion </w:t>
      </w:r>
      <w:r w:rsidRPr="000C036B">
        <w:rPr>
          <w:sz w:val="24"/>
          <w:szCs w:val="24"/>
        </w:rPr>
        <w:t>evidence</w:t>
      </w:r>
      <w:r>
        <w:rPr>
          <w:sz w:val="24"/>
          <w:szCs w:val="24"/>
        </w:rPr>
        <w:t xml:space="preserve"> in criminal proceedings in England and Wales continues to be governed by a three limbed common law admissibility test which does not include an impartiality limb but now</w:t>
      </w:r>
      <w:r w:rsidR="00693A40">
        <w:rPr>
          <w:sz w:val="24"/>
          <w:szCs w:val="24"/>
        </w:rPr>
        <w:t>, it is suggested, is</w:t>
      </w:r>
      <w:r>
        <w:rPr>
          <w:sz w:val="24"/>
          <w:szCs w:val="24"/>
        </w:rPr>
        <w:t xml:space="preserve"> supplemented by</w:t>
      </w:r>
      <w:r w:rsidR="00693A40">
        <w:rPr>
          <w:sz w:val="24"/>
          <w:szCs w:val="24"/>
        </w:rPr>
        <w:t xml:space="preserve"> a common law reliability test which has developed via recent jurisprudence of the Court of Appeal. </w:t>
      </w:r>
      <w:r w:rsidR="00CE28FE">
        <w:rPr>
          <w:sz w:val="24"/>
          <w:szCs w:val="24"/>
        </w:rPr>
        <w:t xml:space="preserve">The existence of a reliability test should not, however, taken to suggest that the criminal courts will be required to conduct investigations into the admissibility of all expert evidence as a matter of routine. </w:t>
      </w:r>
    </w:p>
    <w:p w:rsidR="00CE28FE" w:rsidRDefault="00CE28FE" w:rsidP="00E870D8">
      <w:pPr>
        <w:autoSpaceDE w:val="0"/>
        <w:autoSpaceDN w:val="0"/>
        <w:adjustRightInd w:val="0"/>
        <w:spacing w:after="0" w:line="240" w:lineRule="auto"/>
        <w:rPr>
          <w:sz w:val="24"/>
          <w:szCs w:val="24"/>
        </w:rPr>
      </w:pPr>
    </w:p>
    <w:p w:rsidR="00991C05" w:rsidRDefault="000C036B" w:rsidP="00FA253D">
      <w:pPr>
        <w:autoSpaceDE w:val="0"/>
        <w:autoSpaceDN w:val="0"/>
        <w:adjustRightInd w:val="0"/>
        <w:spacing w:after="0" w:line="240" w:lineRule="auto"/>
        <w:rPr>
          <w:sz w:val="24"/>
          <w:szCs w:val="24"/>
        </w:rPr>
      </w:pPr>
      <w:r>
        <w:rPr>
          <w:sz w:val="24"/>
          <w:szCs w:val="24"/>
        </w:rPr>
        <w:t xml:space="preserve">Expert evidence must be relevant and the court, taking appropriate case management steps, should ensure that where expert evidence is admitted the attention of the jury is focussed on the relevant issues. </w:t>
      </w:r>
      <w:r w:rsidR="00991C05">
        <w:rPr>
          <w:sz w:val="24"/>
          <w:szCs w:val="24"/>
        </w:rPr>
        <w:t>Moreover, such evidence</w:t>
      </w:r>
      <w:r>
        <w:rPr>
          <w:sz w:val="24"/>
          <w:szCs w:val="24"/>
        </w:rPr>
        <w:t xml:space="preserve"> evidence should only be admitted if it provides information that is </w:t>
      </w:r>
      <w:r w:rsidRPr="003C64AE">
        <w:rPr>
          <w:sz w:val="24"/>
          <w:szCs w:val="24"/>
        </w:rPr>
        <w:t>likely to be outside the court’s knowledge and experience</w:t>
      </w:r>
      <w:r>
        <w:rPr>
          <w:sz w:val="24"/>
          <w:szCs w:val="24"/>
        </w:rPr>
        <w:t xml:space="preserve"> and, again, the court shou</w:t>
      </w:r>
      <w:r w:rsidR="00CE28FE">
        <w:rPr>
          <w:sz w:val="24"/>
          <w:szCs w:val="24"/>
        </w:rPr>
        <w:t>l</w:t>
      </w:r>
      <w:r>
        <w:rPr>
          <w:sz w:val="24"/>
          <w:szCs w:val="24"/>
        </w:rPr>
        <w:t xml:space="preserve">d ensure that </w:t>
      </w:r>
      <w:r w:rsidR="00CE28FE">
        <w:rPr>
          <w:sz w:val="24"/>
          <w:szCs w:val="24"/>
        </w:rPr>
        <w:t xml:space="preserve">where an expert witness is called, expert opinion is restricted to issues in relation to which this test is satisfied. </w:t>
      </w:r>
    </w:p>
    <w:p w:rsidR="00991C05" w:rsidRDefault="00991C05" w:rsidP="00FA253D">
      <w:pPr>
        <w:autoSpaceDE w:val="0"/>
        <w:autoSpaceDN w:val="0"/>
        <w:adjustRightInd w:val="0"/>
        <w:spacing w:after="0" w:line="240" w:lineRule="auto"/>
        <w:rPr>
          <w:sz w:val="24"/>
          <w:szCs w:val="24"/>
        </w:rPr>
      </w:pPr>
    </w:p>
    <w:p w:rsidR="00FA253D" w:rsidRDefault="00CE28FE" w:rsidP="00FA253D">
      <w:pPr>
        <w:autoSpaceDE w:val="0"/>
        <w:autoSpaceDN w:val="0"/>
        <w:adjustRightInd w:val="0"/>
        <w:spacing w:after="0" w:line="240" w:lineRule="auto"/>
        <w:rPr>
          <w:sz w:val="24"/>
          <w:szCs w:val="24"/>
        </w:rPr>
      </w:pPr>
      <w:r>
        <w:rPr>
          <w:sz w:val="24"/>
          <w:szCs w:val="24"/>
        </w:rPr>
        <w:t xml:space="preserve"> An expert witness must be competent to give expert evidence and where </w:t>
      </w:r>
      <w:proofErr w:type="gramStart"/>
      <w:r>
        <w:rPr>
          <w:sz w:val="24"/>
          <w:szCs w:val="24"/>
        </w:rPr>
        <w:t>an</w:t>
      </w:r>
      <w:proofErr w:type="gramEnd"/>
      <w:r>
        <w:rPr>
          <w:sz w:val="24"/>
          <w:szCs w:val="24"/>
        </w:rPr>
        <w:t xml:space="preserve"> witness is so competent the court should ensure that the witness is not permitted to give evidence which strays outside the witness’ field of expertise. Provisions of </w:t>
      </w:r>
      <w:proofErr w:type="spellStart"/>
      <w:r>
        <w:rPr>
          <w:sz w:val="24"/>
          <w:szCs w:val="24"/>
        </w:rPr>
        <w:t>CrimPR</w:t>
      </w:r>
      <w:proofErr w:type="spellEnd"/>
      <w:r>
        <w:rPr>
          <w:sz w:val="24"/>
          <w:szCs w:val="24"/>
        </w:rPr>
        <w:t xml:space="preserve"> </w:t>
      </w:r>
      <w:r w:rsidR="00B0761E">
        <w:rPr>
          <w:sz w:val="24"/>
          <w:szCs w:val="24"/>
        </w:rPr>
        <w:t xml:space="preserve">Part 19 </w:t>
      </w:r>
      <w:r>
        <w:rPr>
          <w:sz w:val="24"/>
          <w:szCs w:val="24"/>
        </w:rPr>
        <w:t xml:space="preserve">require the provision of information which should assist the court when it is determining </w:t>
      </w:r>
      <w:r w:rsidR="00693A40">
        <w:rPr>
          <w:sz w:val="24"/>
          <w:szCs w:val="24"/>
        </w:rPr>
        <w:t xml:space="preserve">the </w:t>
      </w:r>
      <w:r>
        <w:rPr>
          <w:sz w:val="24"/>
          <w:szCs w:val="24"/>
        </w:rPr>
        <w:t>competence of a</w:t>
      </w:r>
      <w:r w:rsidR="00693A40">
        <w:rPr>
          <w:sz w:val="24"/>
          <w:szCs w:val="24"/>
        </w:rPr>
        <w:t xml:space="preserve"> witness to give expert evidence, when it is evaluating the ambit of an expert’s field of expertise</w:t>
      </w:r>
      <w:r>
        <w:rPr>
          <w:sz w:val="24"/>
          <w:szCs w:val="24"/>
        </w:rPr>
        <w:t xml:space="preserve"> and when it is assessing the credibility of an expert witness</w:t>
      </w:r>
      <w:r w:rsidR="00693A40">
        <w:rPr>
          <w:sz w:val="24"/>
          <w:szCs w:val="24"/>
        </w:rPr>
        <w:t xml:space="preserve"> and </w:t>
      </w:r>
      <w:r w:rsidR="00B0761E">
        <w:rPr>
          <w:sz w:val="24"/>
          <w:szCs w:val="24"/>
        </w:rPr>
        <w:t xml:space="preserve">Part 19 </w:t>
      </w:r>
      <w:r w:rsidR="00693A40">
        <w:rPr>
          <w:sz w:val="24"/>
          <w:szCs w:val="24"/>
        </w:rPr>
        <w:t xml:space="preserve">also contains provisions which emphasise the duty of an expert to give evidence which falls within the ambit of the expert’s field of expertise. </w:t>
      </w:r>
      <w:r w:rsidR="00FA253D">
        <w:rPr>
          <w:sz w:val="24"/>
          <w:szCs w:val="24"/>
        </w:rPr>
        <w:t xml:space="preserve">It is suggested that </w:t>
      </w:r>
      <w:r w:rsidR="00386E42">
        <w:rPr>
          <w:sz w:val="24"/>
          <w:szCs w:val="24"/>
        </w:rPr>
        <w:t xml:space="preserve">either </w:t>
      </w:r>
      <w:r w:rsidR="00FA253D">
        <w:rPr>
          <w:sz w:val="24"/>
          <w:szCs w:val="24"/>
        </w:rPr>
        <w:t xml:space="preserve">the new credibility provision </w:t>
      </w:r>
      <w:r w:rsidR="00386E42">
        <w:rPr>
          <w:sz w:val="24"/>
          <w:szCs w:val="24"/>
        </w:rPr>
        <w:t xml:space="preserve">within </w:t>
      </w:r>
      <w:proofErr w:type="spellStart"/>
      <w:r w:rsidR="00386E42">
        <w:rPr>
          <w:sz w:val="24"/>
          <w:szCs w:val="24"/>
        </w:rPr>
        <w:t>CrimPR</w:t>
      </w:r>
      <w:proofErr w:type="spellEnd"/>
      <w:r w:rsidR="00386E42">
        <w:rPr>
          <w:sz w:val="24"/>
          <w:szCs w:val="24"/>
        </w:rPr>
        <w:t xml:space="preserve"> 19 itself or </w:t>
      </w:r>
      <w:proofErr w:type="spellStart"/>
      <w:r w:rsidR="00386E42">
        <w:rPr>
          <w:sz w:val="24"/>
          <w:szCs w:val="24"/>
        </w:rPr>
        <w:t>CrimPD</w:t>
      </w:r>
      <w:proofErr w:type="spellEnd"/>
      <w:r w:rsidR="00386E42">
        <w:rPr>
          <w:sz w:val="24"/>
          <w:szCs w:val="24"/>
        </w:rPr>
        <w:t xml:space="preserve"> 19A </w:t>
      </w:r>
      <w:r w:rsidR="00FA253D">
        <w:rPr>
          <w:sz w:val="24"/>
          <w:szCs w:val="24"/>
        </w:rPr>
        <w:t xml:space="preserve">might beneficially be </w:t>
      </w:r>
      <w:r w:rsidR="00386E42">
        <w:rPr>
          <w:sz w:val="24"/>
          <w:szCs w:val="24"/>
        </w:rPr>
        <w:t>amended</w:t>
      </w:r>
      <w:r w:rsidR="00FA253D">
        <w:rPr>
          <w:sz w:val="24"/>
          <w:szCs w:val="24"/>
        </w:rPr>
        <w:t xml:space="preserve"> so as to provide </w:t>
      </w:r>
      <w:r w:rsidR="00386E42">
        <w:rPr>
          <w:sz w:val="24"/>
          <w:szCs w:val="24"/>
        </w:rPr>
        <w:t xml:space="preserve">parties with </w:t>
      </w:r>
      <w:r w:rsidR="00FA253D">
        <w:rPr>
          <w:sz w:val="24"/>
          <w:szCs w:val="24"/>
        </w:rPr>
        <w:t xml:space="preserve">examples of the </w:t>
      </w:r>
      <w:r w:rsidR="00386E42">
        <w:rPr>
          <w:sz w:val="24"/>
          <w:szCs w:val="24"/>
        </w:rPr>
        <w:t>types</w:t>
      </w:r>
      <w:r w:rsidR="00FA253D">
        <w:rPr>
          <w:sz w:val="24"/>
          <w:szCs w:val="24"/>
        </w:rPr>
        <w:t xml:space="preserve"> of matter that </w:t>
      </w:r>
      <w:r w:rsidR="00386E42">
        <w:rPr>
          <w:sz w:val="24"/>
          <w:szCs w:val="24"/>
        </w:rPr>
        <w:t>they are required to</w:t>
      </w:r>
      <w:r w:rsidR="00FA253D">
        <w:rPr>
          <w:sz w:val="24"/>
          <w:szCs w:val="24"/>
        </w:rPr>
        <w:t xml:space="preserve"> disclose. </w:t>
      </w:r>
    </w:p>
    <w:p w:rsidR="00991C05" w:rsidRDefault="00991C05" w:rsidP="00FA253D">
      <w:pPr>
        <w:autoSpaceDE w:val="0"/>
        <w:autoSpaceDN w:val="0"/>
        <w:adjustRightInd w:val="0"/>
        <w:spacing w:after="0" w:line="240" w:lineRule="auto"/>
        <w:rPr>
          <w:sz w:val="24"/>
          <w:szCs w:val="24"/>
        </w:rPr>
      </w:pPr>
    </w:p>
    <w:p w:rsidR="00991C05" w:rsidRDefault="00991C05" w:rsidP="00FA253D">
      <w:pPr>
        <w:autoSpaceDE w:val="0"/>
        <w:autoSpaceDN w:val="0"/>
        <w:adjustRightInd w:val="0"/>
        <w:spacing w:after="0" w:line="240" w:lineRule="auto"/>
        <w:rPr>
          <w:sz w:val="24"/>
          <w:szCs w:val="24"/>
        </w:rPr>
      </w:pPr>
      <w:r>
        <w:rPr>
          <w:sz w:val="24"/>
          <w:szCs w:val="24"/>
        </w:rPr>
        <w:t xml:space="preserve">The guidance contained in </w:t>
      </w:r>
      <w:proofErr w:type="spellStart"/>
      <w:r>
        <w:rPr>
          <w:sz w:val="24"/>
          <w:szCs w:val="24"/>
        </w:rPr>
        <w:t>CrimPD</w:t>
      </w:r>
      <w:proofErr w:type="spellEnd"/>
      <w:r>
        <w:rPr>
          <w:sz w:val="24"/>
          <w:szCs w:val="24"/>
        </w:rPr>
        <w:t xml:space="preserve"> 19A is intended to inform the application of the common law reliability test, as stated in </w:t>
      </w:r>
      <w:r w:rsidRPr="00991C05">
        <w:rPr>
          <w:i/>
          <w:sz w:val="24"/>
          <w:szCs w:val="24"/>
        </w:rPr>
        <w:t xml:space="preserve">R v </w:t>
      </w:r>
      <w:proofErr w:type="spellStart"/>
      <w:r w:rsidRPr="00991C05">
        <w:rPr>
          <w:i/>
          <w:sz w:val="24"/>
          <w:szCs w:val="24"/>
        </w:rPr>
        <w:t>Dlugosz</w:t>
      </w:r>
      <w:proofErr w:type="spellEnd"/>
      <w:r>
        <w:rPr>
          <w:sz w:val="24"/>
          <w:szCs w:val="24"/>
        </w:rPr>
        <w:t xml:space="preserve">. </w:t>
      </w:r>
      <w:r w:rsidR="008710D7">
        <w:rPr>
          <w:sz w:val="24"/>
          <w:szCs w:val="24"/>
        </w:rPr>
        <w:t xml:space="preserve">The </w:t>
      </w:r>
      <w:r w:rsidR="00B0761E">
        <w:rPr>
          <w:sz w:val="24"/>
          <w:szCs w:val="24"/>
        </w:rPr>
        <w:t xml:space="preserve">common law </w:t>
      </w:r>
      <w:r w:rsidR="008710D7">
        <w:rPr>
          <w:sz w:val="24"/>
          <w:szCs w:val="24"/>
        </w:rPr>
        <w:t xml:space="preserve">reliability test in </w:t>
      </w:r>
      <w:proofErr w:type="spellStart"/>
      <w:r w:rsidR="008710D7" w:rsidRPr="008710D7">
        <w:rPr>
          <w:i/>
          <w:sz w:val="24"/>
          <w:szCs w:val="24"/>
        </w:rPr>
        <w:t>Dlugosz</w:t>
      </w:r>
      <w:proofErr w:type="spellEnd"/>
      <w:r w:rsidR="008710D7" w:rsidRPr="008710D7">
        <w:rPr>
          <w:i/>
          <w:sz w:val="24"/>
          <w:szCs w:val="24"/>
        </w:rPr>
        <w:t xml:space="preserve"> </w:t>
      </w:r>
      <w:r w:rsidR="008710D7">
        <w:rPr>
          <w:sz w:val="24"/>
          <w:szCs w:val="24"/>
        </w:rPr>
        <w:t xml:space="preserve">was framed in terms of scientific evidence whereas the Law Commission intended its guidance to apply to both scientific and non-scientific expert evidence. Whilst the Practice Direction appears to recognise that the guidance it produces is applicable to expert evidence of both types, an amendment making clear that the reliability test is generic might be of assistance. </w:t>
      </w:r>
      <w:r w:rsidR="00306304">
        <w:rPr>
          <w:sz w:val="24"/>
          <w:szCs w:val="24"/>
        </w:rPr>
        <w:t xml:space="preserve">Moreover, the Practice Direction appears to accept that both the common law admissibility test </w:t>
      </w:r>
      <w:r w:rsidR="00B0761E">
        <w:rPr>
          <w:sz w:val="24"/>
          <w:szCs w:val="24"/>
        </w:rPr>
        <w:t>which</w:t>
      </w:r>
      <w:r w:rsidR="00306304">
        <w:rPr>
          <w:sz w:val="24"/>
          <w:szCs w:val="24"/>
        </w:rPr>
        <w:t xml:space="preserve"> it reproduces and the guidance it </w:t>
      </w:r>
      <w:r w:rsidR="00B0761E">
        <w:rPr>
          <w:sz w:val="24"/>
          <w:szCs w:val="24"/>
        </w:rPr>
        <w:t xml:space="preserve">imports from the Law Commission’s Report are both </w:t>
      </w:r>
      <w:r w:rsidR="00306304">
        <w:rPr>
          <w:sz w:val="24"/>
          <w:szCs w:val="24"/>
        </w:rPr>
        <w:t xml:space="preserve">applicable to expert opinion evidence but </w:t>
      </w:r>
      <w:r w:rsidR="00B0761E">
        <w:rPr>
          <w:sz w:val="24"/>
          <w:szCs w:val="24"/>
        </w:rPr>
        <w:t xml:space="preserve">do </w:t>
      </w:r>
      <w:r w:rsidR="00306304">
        <w:rPr>
          <w:sz w:val="24"/>
          <w:szCs w:val="24"/>
        </w:rPr>
        <w:t xml:space="preserve">not </w:t>
      </w:r>
      <w:r w:rsidR="00B0761E">
        <w:rPr>
          <w:sz w:val="24"/>
          <w:szCs w:val="24"/>
        </w:rPr>
        <w:t xml:space="preserve">apply </w:t>
      </w:r>
      <w:r w:rsidR="00306304">
        <w:rPr>
          <w:sz w:val="24"/>
          <w:szCs w:val="24"/>
        </w:rPr>
        <w:t xml:space="preserve">when an expert gives evidence of fact. This appears to be in line with the very limited jurisprudence in relation to the issue but may be a matter that the Court of Appeal could usefully revisit. </w:t>
      </w:r>
      <w:proofErr w:type="spellStart"/>
      <w:r w:rsidR="008710D7">
        <w:rPr>
          <w:sz w:val="24"/>
          <w:szCs w:val="24"/>
        </w:rPr>
        <w:t>CrimPD</w:t>
      </w:r>
      <w:proofErr w:type="spellEnd"/>
      <w:r w:rsidR="008710D7">
        <w:rPr>
          <w:sz w:val="24"/>
          <w:szCs w:val="24"/>
        </w:rPr>
        <w:t xml:space="preserve"> 19A </w:t>
      </w:r>
      <w:r>
        <w:rPr>
          <w:sz w:val="24"/>
          <w:szCs w:val="24"/>
        </w:rPr>
        <w:t xml:space="preserve">reproduces the Law Commission’s “lower-order factors” </w:t>
      </w:r>
      <w:proofErr w:type="gramStart"/>
      <w:r>
        <w:rPr>
          <w:sz w:val="24"/>
          <w:szCs w:val="24"/>
        </w:rPr>
        <w:t>and  “</w:t>
      </w:r>
      <w:proofErr w:type="gramEnd"/>
      <w:r>
        <w:rPr>
          <w:sz w:val="24"/>
          <w:szCs w:val="24"/>
        </w:rPr>
        <w:t>higher-order examples” but fails to reproduce the Law Commission’s “core test”. It is suggested that amendment of  the Practice Direction so as to encompass the core test as additional high level guidance which the courts could take into account when deciding whether expert evidence is sufficiently reliable would enhance the coherence of the Practice Direction and the utility of the guidance that it provides.</w:t>
      </w:r>
      <w:r w:rsidR="008710D7">
        <w:rPr>
          <w:sz w:val="24"/>
          <w:szCs w:val="24"/>
        </w:rPr>
        <w:t xml:space="preserve"> I</w:t>
      </w:r>
      <w:r w:rsidR="0088082A">
        <w:rPr>
          <w:sz w:val="24"/>
          <w:szCs w:val="24"/>
        </w:rPr>
        <w:t xml:space="preserve">t is suggested </w:t>
      </w:r>
      <w:r w:rsidR="00B0761E">
        <w:rPr>
          <w:sz w:val="24"/>
          <w:szCs w:val="24"/>
        </w:rPr>
        <w:t xml:space="preserve">also </w:t>
      </w:r>
      <w:r w:rsidR="0088082A">
        <w:rPr>
          <w:sz w:val="24"/>
          <w:szCs w:val="24"/>
        </w:rPr>
        <w:t xml:space="preserve">that </w:t>
      </w:r>
      <w:proofErr w:type="spellStart"/>
      <w:r w:rsidR="008710D7">
        <w:rPr>
          <w:sz w:val="24"/>
          <w:szCs w:val="24"/>
        </w:rPr>
        <w:t>CrimPD</w:t>
      </w:r>
      <w:proofErr w:type="spellEnd"/>
      <w:r w:rsidR="008710D7">
        <w:rPr>
          <w:sz w:val="24"/>
          <w:szCs w:val="24"/>
        </w:rPr>
        <w:t xml:space="preserve"> 19A should be </w:t>
      </w:r>
      <w:r w:rsidR="00B0761E">
        <w:rPr>
          <w:sz w:val="24"/>
          <w:szCs w:val="24"/>
        </w:rPr>
        <w:t xml:space="preserve">further </w:t>
      </w:r>
      <w:r w:rsidR="008710D7">
        <w:rPr>
          <w:sz w:val="24"/>
          <w:szCs w:val="24"/>
        </w:rPr>
        <w:t xml:space="preserve">amended to make clear </w:t>
      </w:r>
      <w:r w:rsidR="00B062FD">
        <w:rPr>
          <w:sz w:val="24"/>
          <w:szCs w:val="24"/>
        </w:rPr>
        <w:t xml:space="preserve">both that the courts should, on a case by case basis, take into account only those of the Law Commission’s lower-order factors that are </w:t>
      </w:r>
      <w:r w:rsidR="00B062FD" w:rsidRPr="00726686">
        <w:rPr>
          <w:sz w:val="24"/>
          <w:szCs w:val="24"/>
        </w:rPr>
        <w:t xml:space="preserve">appropriate in relation to the type of expert opinion evidence </w:t>
      </w:r>
      <w:r w:rsidR="00B062FD">
        <w:rPr>
          <w:sz w:val="24"/>
          <w:szCs w:val="24"/>
        </w:rPr>
        <w:t xml:space="preserve">which is before them and </w:t>
      </w:r>
      <w:r w:rsidR="008710D7">
        <w:rPr>
          <w:sz w:val="24"/>
          <w:szCs w:val="24"/>
        </w:rPr>
        <w:t xml:space="preserve">that as well as the lower-order factors the court should also consider any other factors </w:t>
      </w:r>
      <w:r w:rsidR="00B062FD">
        <w:rPr>
          <w:sz w:val="24"/>
          <w:szCs w:val="24"/>
        </w:rPr>
        <w:t xml:space="preserve">that are relevant to </w:t>
      </w:r>
      <w:proofErr w:type="gramStart"/>
      <w:r w:rsidR="00B062FD">
        <w:rPr>
          <w:sz w:val="24"/>
          <w:szCs w:val="24"/>
        </w:rPr>
        <w:t xml:space="preserve">evaluating </w:t>
      </w:r>
      <w:r w:rsidR="008710D7">
        <w:rPr>
          <w:sz w:val="24"/>
          <w:szCs w:val="24"/>
        </w:rPr>
        <w:t xml:space="preserve"> the</w:t>
      </w:r>
      <w:proofErr w:type="gramEnd"/>
      <w:r w:rsidR="008710D7">
        <w:rPr>
          <w:sz w:val="24"/>
          <w:szCs w:val="24"/>
        </w:rPr>
        <w:t xml:space="preserve"> reliability of </w:t>
      </w:r>
      <w:r w:rsidR="00B062FD">
        <w:rPr>
          <w:sz w:val="24"/>
          <w:szCs w:val="24"/>
        </w:rPr>
        <w:t xml:space="preserve">the </w:t>
      </w:r>
      <w:r w:rsidR="008710D7">
        <w:rPr>
          <w:sz w:val="24"/>
          <w:szCs w:val="24"/>
        </w:rPr>
        <w:t>expert evidence</w:t>
      </w:r>
      <w:r w:rsidR="00B062FD">
        <w:rPr>
          <w:sz w:val="24"/>
          <w:szCs w:val="24"/>
        </w:rPr>
        <w:t xml:space="preserve"> which is before them</w:t>
      </w:r>
      <w:r w:rsidR="008710D7">
        <w:rPr>
          <w:sz w:val="24"/>
          <w:szCs w:val="24"/>
        </w:rPr>
        <w:t xml:space="preserve">. </w:t>
      </w:r>
      <w:r w:rsidR="00F037EF">
        <w:rPr>
          <w:sz w:val="24"/>
          <w:szCs w:val="24"/>
        </w:rPr>
        <w:t xml:space="preserve">Another potential amendment to the Practice Direction might be one making clear that the guidance it contains is not intended to prevent the courts from admitting expert evidence based on new science or new technology provided that the court </w:t>
      </w:r>
      <w:r w:rsidR="00B0761E">
        <w:rPr>
          <w:sz w:val="24"/>
          <w:szCs w:val="24"/>
        </w:rPr>
        <w:t>h</w:t>
      </w:r>
      <w:r w:rsidR="00F037EF">
        <w:rPr>
          <w:sz w:val="24"/>
          <w:szCs w:val="24"/>
        </w:rPr>
        <w:t xml:space="preserve">as undertaken a sufficiently rigorous examination of its reliability. </w:t>
      </w:r>
      <w:r w:rsidR="003F0112">
        <w:rPr>
          <w:sz w:val="24"/>
          <w:szCs w:val="24"/>
        </w:rPr>
        <w:t xml:space="preserve">Several of the provisions of </w:t>
      </w:r>
      <w:proofErr w:type="spellStart"/>
      <w:r w:rsidR="003F0112">
        <w:rPr>
          <w:sz w:val="24"/>
          <w:szCs w:val="24"/>
        </w:rPr>
        <w:t>CrimPR</w:t>
      </w:r>
      <w:proofErr w:type="spellEnd"/>
      <w:r w:rsidR="003F0112">
        <w:rPr>
          <w:sz w:val="24"/>
          <w:szCs w:val="24"/>
        </w:rPr>
        <w:t xml:space="preserve"> Part 19 which concern the content of experts’ reports require experts to provide information which the court should find of value when required </w:t>
      </w:r>
      <w:r w:rsidR="003F0112">
        <w:rPr>
          <w:sz w:val="24"/>
          <w:szCs w:val="24"/>
        </w:rPr>
        <w:lastRenderedPageBreak/>
        <w:t xml:space="preserve">to evaluate the reliability of their evidence. In particular, experts are now required to provide the information that the court may require in order to apply the common law reliability test. It is suggested that both experts and the parties instructing them would be likely to value guidance concerning what is required in order to comply with that requirement and that such guidance should be made explicit either in </w:t>
      </w:r>
      <w:proofErr w:type="spellStart"/>
      <w:r w:rsidR="003F0112">
        <w:rPr>
          <w:sz w:val="24"/>
          <w:szCs w:val="24"/>
        </w:rPr>
        <w:t>CrimPR</w:t>
      </w:r>
      <w:proofErr w:type="spellEnd"/>
      <w:r w:rsidR="003F0112">
        <w:rPr>
          <w:sz w:val="24"/>
          <w:szCs w:val="24"/>
        </w:rPr>
        <w:t xml:space="preserve"> part 19 itself or in </w:t>
      </w:r>
      <w:proofErr w:type="spellStart"/>
      <w:r w:rsidR="003F0112">
        <w:rPr>
          <w:sz w:val="24"/>
          <w:szCs w:val="24"/>
        </w:rPr>
        <w:t>CrimPD</w:t>
      </w:r>
      <w:proofErr w:type="spellEnd"/>
      <w:r w:rsidR="003F0112">
        <w:rPr>
          <w:sz w:val="24"/>
          <w:szCs w:val="24"/>
        </w:rPr>
        <w:t xml:space="preserve"> 19A. </w:t>
      </w:r>
      <w:r w:rsidR="00F037EF">
        <w:rPr>
          <w:sz w:val="24"/>
          <w:szCs w:val="24"/>
        </w:rPr>
        <w:t xml:space="preserve">Moreover, whilst the Law Commission emphasised the importance of training for judges and lawyers as regards the application of its proposed reliability test, it remains to be seen both what training will be provided in relation to the application of the common law reliability test in the context of the guidance provided by </w:t>
      </w:r>
      <w:proofErr w:type="spellStart"/>
      <w:r w:rsidR="00F037EF">
        <w:rPr>
          <w:sz w:val="24"/>
          <w:szCs w:val="24"/>
        </w:rPr>
        <w:t>CrimPD</w:t>
      </w:r>
      <w:proofErr w:type="spellEnd"/>
      <w:r w:rsidR="00F037EF">
        <w:rPr>
          <w:sz w:val="24"/>
          <w:szCs w:val="24"/>
        </w:rPr>
        <w:t xml:space="preserve"> 19A and how successful that training will be. </w:t>
      </w:r>
    </w:p>
    <w:p w:rsidR="000C036B" w:rsidRDefault="000C036B" w:rsidP="00E870D8">
      <w:pPr>
        <w:autoSpaceDE w:val="0"/>
        <w:autoSpaceDN w:val="0"/>
        <w:adjustRightInd w:val="0"/>
        <w:spacing w:after="0" w:line="240" w:lineRule="auto"/>
        <w:rPr>
          <w:sz w:val="24"/>
          <w:szCs w:val="24"/>
        </w:rPr>
      </w:pPr>
    </w:p>
    <w:p w:rsidR="00941671" w:rsidRDefault="00835572" w:rsidP="00E870D8">
      <w:pPr>
        <w:autoSpaceDE w:val="0"/>
        <w:autoSpaceDN w:val="0"/>
        <w:adjustRightInd w:val="0"/>
        <w:spacing w:after="0" w:line="240" w:lineRule="auto"/>
        <w:rPr>
          <w:sz w:val="24"/>
          <w:szCs w:val="24"/>
        </w:rPr>
      </w:pPr>
      <w:r w:rsidRPr="00835572">
        <w:rPr>
          <w:sz w:val="24"/>
          <w:szCs w:val="24"/>
        </w:rPr>
        <w:t xml:space="preserve">Finally, </w:t>
      </w:r>
      <w:r>
        <w:rPr>
          <w:sz w:val="24"/>
          <w:szCs w:val="24"/>
        </w:rPr>
        <w:t xml:space="preserve">whilst impartiality does not appear to amount to a condition precedent to the admissibility of expert evidence in criminal proceedings, it is suggested that there are at least two routes via which a party to criminal proceedings could potentially deploy arguments based on alleged expert witness bias in attempting to persuade the court to exclude such evidence. First, there would seem to be no obvious reason why the court could not exclude expert evidence tendered by the prosecution in the exercise of its exclusionary discretion under s.78 of the Police and Criminal Evidence Act 1984 in circumstances in which a civil court would exercise its case management powers so as to exclude expert evidence in consequence of expert witness bias. Secondly, </w:t>
      </w:r>
      <w:r w:rsidR="00941671">
        <w:rPr>
          <w:sz w:val="24"/>
          <w:szCs w:val="24"/>
        </w:rPr>
        <w:t xml:space="preserve">given that the common law admissibility test does not possess a discrete impartiality limb, </w:t>
      </w:r>
      <w:r>
        <w:rPr>
          <w:sz w:val="24"/>
          <w:szCs w:val="24"/>
        </w:rPr>
        <w:t xml:space="preserve">there would seem to be no reason why the court could not take expert witness bias into account when applying the common law reliability test. </w:t>
      </w:r>
      <w:r w:rsidR="00947AB1">
        <w:rPr>
          <w:sz w:val="24"/>
          <w:szCs w:val="24"/>
        </w:rPr>
        <w:t>A</w:t>
      </w:r>
      <w:r w:rsidR="00941671">
        <w:rPr>
          <w:sz w:val="24"/>
          <w:szCs w:val="24"/>
        </w:rPr>
        <w:t>ccepting</w:t>
      </w:r>
      <w:r w:rsidR="00947AB1">
        <w:rPr>
          <w:sz w:val="24"/>
          <w:szCs w:val="24"/>
        </w:rPr>
        <w:t>, however,</w:t>
      </w:r>
      <w:r w:rsidR="00941671">
        <w:rPr>
          <w:sz w:val="24"/>
          <w:szCs w:val="24"/>
        </w:rPr>
        <w:t xml:space="preserve"> that the courts may not be prepared to exclude expert evidence on the basis of either of these </w:t>
      </w:r>
      <w:r w:rsidR="00947AB1">
        <w:rPr>
          <w:sz w:val="24"/>
          <w:szCs w:val="24"/>
        </w:rPr>
        <w:t xml:space="preserve">two suggested routes, it remains important for counsel to be aware of the various forms that bias can take and, in circumstances in which expert evidence appears to be tainted by bias, to develop an appropriate cross-examination strategy. A final suggestion is that whilst </w:t>
      </w:r>
      <w:proofErr w:type="spellStart"/>
      <w:r w:rsidR="00947AB1">
        <w:rPr>
          <w:sz w:val="24"/>
          <w:szCs w:val="24"/>
        </w:rPr>
        <w:t>CrimPR</w:t>
      </w:r>
      <w:proofErr w:type="spellEnd"/>
      <w:r w:rsidR="00947AB1">
        <w:rPr>
          <w:sz w:val="24"/>
          <w:szCs w:val="24"/>
        </w:rPr>
        <w:t xml:space="preserve"> Part 19 clearly states the expert’s overriding duty to the court, it might be </w:t>
      </w:r>
      <w:r w:rsidR="00B0761E">
        <w:rPr>
          <w:sz w:val="24"/>
          <w:szCs w:val="24"/>
        </w:rPr>
        <w:t>helpful</w:t>
      </w:r>
      <w:r w:rsidR="00947AB1">
        <w:rPr>
          <w:sz w:val="24"/>
          <w:szCs w:val="24"/>
        </w:rPr>
        <w:t xml:space="preserve"> for the rules to provide some examples of the various forms that bias can take in order to draw some of the less obvious forms to the attention both of experts and of the parties instructing them. </w:t>
      </w:r>
    </w:p>
    <w:p w:rsidR="00941671" w:rsidRDefault="00941671" w:rsidP="00E870D8">
      <w:pPr>
        <w:autoSpaceDE w:val="0"/>
        <w:autoSpaceDN w:val="0"/>
        <w:adjustRightInd w:val="0"/>
        <w:spacing w:after="0" w:line="240" w:lineRule="auto"/>
        <w:rPr>
          <w:sz w:val="24"/>
          <w:szCs w:val="24"/>
        </w:rPr>
      </w:pPr>
    </w:p>
    <w:sectPr w:rsidR="0094167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B8" w:rsidRDefault="00D979B8" w:rsidP="00F4124A">
      <w:pPr>
        <w:spacing w:after="0" w:line="240" w:lineRule="auto"/>
      </w:pPr>
      <w:r>
        <w:separator/>
      </w:r>
    </w:p>
  </w:endnote>
  <w:endnote w:type="continuationSeparator" w:id="0">
    <w:p w:rsidR="00D979B8" w:rsidRDefault="00D979B8" w:rsidP="00F4124A">
      <w:pPr>
        <w:spacing w:after="0" w:line="240" w:lineRule="auto"/>
      </w:pPr>
      <w:r>
        <w:continuationSeparator/>
      </w:r>
    </w:p>
  </w:endnote>
  <w:endnote w:id="1">
    <w:p w:rsidR="00CE28FE" w:rsidRPr="00471C01" w:rsidRDefault="00CE28FE" w:rsidP="009F5585">
      <w:r>
        <w:rPr>
          <w:rStyle w:val="EndnoteReference"/>
        </w:rPr>
        <w:t>*</w:t>
      </w:r>
      <w:r>
        <w:t xml:space="preserve"> </w:t>
      </w:r>
      <w:r w:rsidRPr="00471C01">
        <w:t xml:space="preserve">This </w:t>
      </w:r>
      <w:r>
        <w:t>paper</w:t>
      </w:r>
      <w:r w:rsidRPr="00471C01">
        <w:t xml:space="preserve"> contains public sector information licensed under the Open Government Licence v1.0.</w:t>
      </w:r>
    </w:p>
    <w:p w:rsidR="00CE28FE" w:rsidRDefault="00CE28FE" w:rsidP="009F558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988"/>
      <w:docPartObj>
        <w:docPartGallery w:val="Page Numbers (Bottom of Page)"/>
        <w:docPartUnique/>
      </w:docPartObj>
    </w:sdtPr>
    <w:sdtEndPr>
      <w:rPr>
        <w:noProof/>
      </w:rPr>
    </w:sdtEndPr>
    <w:sdtContent>
      <w:p w:rsidR="00CE28FE" w:rsidRDefault="00CE28FE">
        <w:pPr>
          <w:pStyle w:val="Footer"/>
        </w:pPr>
        <w:r>
          <w:fldChar w:fldCharType="begin"/>
        </w:r>
        <w:r>
          <w:instrText xml:space="preserve"> PAGE   \* MERGEFORMAT </w:instrText>
        </w:r>
        <w:r>
          <w:fldChar w:fldCharType="separate"/>
        </w:r>
        <w:r w:rsidR="0022538E">
          <w:rPr>
            <w:noProof/>
          </w:rPr>
          <w:t>16</w:t>
        </w:r>
        <w:r>
          <w:rPr>
            <w:noProof/>
          </w:rPr>
          <w:fldChar w:fldCharType="end"/>
        </w:r>
      </w:p>
    </w:sdtContent>
  </w:sdt>
  <w:p w:rsidR="00CE28FE" w:rsidRDefault="00CE2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B8" w:rsidRDefault="00D979B8" w:rsidP="00F4124A">
      <w:pPr>
        <w:spacing w:after="0" w:line="240" w:lineRule="auto"/>
      </w:pPr>
      <w:r>
        <w:separator/>
      </w:r>
    </w:p>
  </w:footnote>
  <w:footnote w:type="continuationSeparator" w:id="0">
    <w:p w:rsidR="00D979B8" w:rsidRDefault="00D979B8" w:rsidP="00F4124A">
      <w:pPr>
        <w:spacing w:after="0" w:line="240" w:lineRule="auto"/>
      </w:pPr>
      <w:r>
        <w:continuationSeparator/>
      </w:r>
    </w:p>
  </w:footnote>
  <w:footnote w:id="1">
    <w:p w:rsidR="00CE28FE" w:rsidRDefault="00CE28FE">
      <w:pPr>
        <w:pStyle w:val="FootnoteText"/>
      </w:pPr>
      <w:r>
        <w:rPr>
          <w:rStyle w:val="FootnoteReference"/>
        </w:rPr>
        <w:footnoteRef/>
      </w:r>
      <w:r>
        <w:t xml:space="preserve"> </w:t>
      </w:r>
      <w:r w:rsidRPr="00691800">
        <w:t>Law Commission Consultation Paper No 190 (2009</w:t>
      </w:r>
      <w:r>
        <w:t>).</w:t>
      </w:r>
    </w:p>
  </w:footnote>
  <w:footnote w:id="2">
    <w:p w:rsidR="00CE28FE" w:rsidRDefault="00CE28FE" w:rsidP="009B087F">
      <w:pPr>
        <w:pStyle w:val="FootnoteText"/>
      </w:pPr>
      <w:r>
        <w:rPr>
          <w:rStyle w:val="FootnoteReference"/>
        </w:rPr>
        <w:footnoteRef/>
      </w:r>
      <w:r>
        <w:t xml:space="preserve"> </w:t>
      </w:r>
      <w:proofErr w:type="gramStart"/>
      <w:r w:rsidRPr="00525D7C">
        <w:t>Forensic Science on Trial, Seventh Report (2004–2005) HC 96-</w:t>
      </w:r>
      <w:r>
        <w:t>1</w:t>
      </w:r>
      <w:r w:rsidR="004E3C4F">
        <w:t>.</w:t>
      </w:r>
      <w:proofErr w:type="gramEnd"/>
    </w:p>
  </w:footnote>
  <w:footnote w:id="3">
    <w:p w:rsidR="00CE28FE" w:rsidRDefault="00CE28FE">
      <w:pPr>
        <w:pStyle w:val="FootnoteText"/>
      </w:pPr>
      <w:r>
        <w:rPr>
          <w:rStyle w:val="FootnoteReference"/>
        </w:rPr>
        <w:footnoteRef/>
      </w:r>
      <w:r>
        <w:t xml:space="preserve"> Law Commission, </w:t>
      </w:r>
      <w:r w:rsidRPr="00ED0B44">
        <w:t>Expert Evidence in Criminal Proceedings in England and Wales</w:t>
      </w:r>
      <w:r>
        <w:t xml:space="preserve">, </w:t>
      </w:r>
      <w:r w:rsidRPr="00EA7D86">
        <w:t>LAW COM No 325</w:t>
      </w:r>
      <w:r>
        <w:t xml:space="preserve"> at [1.2]. </w:t>
      </w:r>
    </w:p>
  </w:footnote>
  <w:footnote w:id="4">
    <w:p w:rsidR="00CE28FE" w:rsidRDefault="00CE28FE">
      <w:pPr>
        <w:pStyle w:val="FootnoteText"/>
      </w:pPr>
      <w:r>
        <w:rPr>
          <w:rStyle w:val="FootnoteReference"/>
        </w:rPr>
        <w:footnoteRef/>
      </w:r>
      <w:r>
        <w:t xml:space="preserve"> </w:t>
      </w:r>
      <w:proofErr w:type="gramStart"/>
      <w:r w:rsidRPr="00E41585">
        <w:t>Ibid. at [</w:t>
      </w:r>
      <w:r>
        <w:t>1.37-1.38</w:t>
      </w:r>
      <w:r w:rsidRPr="00E41585">
        <w:t>].</w:t>
      </w:r>
      <w:proofErr w:type="gramEnd"/>
      <w:r>
        <w:t xml:space="preserve">   </w:t>
      </w:r>
    </w:p>
  </w:footnote>
  <w:footnote w:id="5">
    <w:p w:rsidR="00CE28FE" w:rsidRDefault="00CE28FE" w:rsidP="00925CE8">
      <w:pPr>
        <w:pStyle w:val="FootnoteText"/>
      </w:pPr>
      <w:r>
        <w:rPr>
          <w:rStyle w:val="FootnoteReference"/>
        </w:rPr>
        <w:footnoteRef/>
      </w:r>
      <w:r>
        <w:t xml:space="preserve"> </w:t>
      </w:r>
      <w:proofErr w:type="gramStart"/>
      <w:r w:rsidRPr="00E41585">
        <w:t>Ibid. at [</w:t>
      </w:r>
      <w:r>
        <w:t>1.41</w:t>
      </w:r>
      <w:r w:rsidRPr="00E41585">
        <w:t>].</w:t>
      </w:r>
      <w:proofErr w:type="gramEnd"/>
    </w:p>
  </w:footnote>
  <w:footnote w:id="6">
    <w:p w:rsidR="00CE28FE" w:rsidRDefault="00CE28FE" w:rsidP="00925CE8">
      <w:pPr>
        <w:pStyle w:val="FootnoteText"/>
      </w:pPr>
      <w:r>
        <w:rPr>
          <w:rStyle w:val="FootnoteReference"/>
        </w:rPr>
        <w:footnoteRef/>
      </w:r>
      <w:r>
        <w:t xml:space="preserve"> </w:t>
      </w:r>
      <w:proofErr w:type="gramStart"/>
      <w:r w:rsidRPr="00E41585">
        <w:t>Ibid. at [</w:t>
      </w:r>
      <w:r>
        <w:t>1.42-1.43</w:t>
      </w:r>
      <w:r w:rsidRPr="00E41585">
        <w:t>].</w:t>
      </w:r>
      <w:proofErr w:type="gramEnd"/>
    </w:p>
  </w:footnote>
  <w:footnote w:id="7">
    <w:p w:rsidR="00CE28FE" w:rsidRDefault="00CE28FE" w:rsidP="00E56790">
      <w:pPr>
        <w:pStyle w:val="FootnoteText"/>
        <w:tabs>
          <w:tab w:val="left" w:pos="5610"/>
        </w:tabs>
      </w:pPr>
      <w:r>
        <w:rPr>
          <w:rStyle w:val="FootnoteReference"/>
        </w:rPr>
        <w:footnoteRef/>
      </w:r>
      <w:r>
        <w:t xml:space="preserve"> </w:t>
      </w:r>
      <w:proofErr w:type="gramStart"/>
      <w:r>
        <w:t>Ibid. at 165.</w:t>
      </w:r>
      <w:proofErr w:type="gramEnd"/>
      <w:r>
        <w:tab/>
      </w:r>
    </w:p>
  </w:footnote>
  <w:footnote w:id="8">
    <w:p w:rsidR="00CE28FE" w:rsidRDefault="00CE28FE" w:rsidP="00912241">
      <w:pPr>
        <w:pStyle w:val="FootnoteText"/>
      </w:pPr>
      <w:r>
        <w:rPr>
          <w:rStyle w:val="FootnoteReference"/>
        </w:rPr>
        <w:footnoteRef/>
      </w:r>
      <w:r>
        <w:t xml:space="preserve"> </w:t>
      </w:r>
      <w:r w:rsidRPr="007A3205">
        <w:t>Ministry of Justice (2013) The Government's response to the Law Commission Report: Expert evidence in criminal proceedings in England and Wales (Law Com No 325)</w:t>
      </w:r>
      <w:r>
        <w:t xml:space="preserve"> at [3].</w:t>
      </w:r>
      <w:r w:rsidRPr="007A3205">
        <w:t xml:space="preserve"> Available at: https://www.gov.uk/government/uploads/system/uploads/attachment_data/file/260369/govt-resp-experts-evidence.pdf (accessed </w:t>
      </w:r>
      <w:r>
        <w:t>30/01/2016).</w:t>
      </w:r>
    </w:p>
  </w:footnote>
  <w:footnote w:id="9">
    <w:p w:rsidR="00CE28FE" w:rsidRDefault="00CE28FE" w:rsidP="00006078">
      <w:pPr>
        <w:pStyle w:val="FootnoteText"/>
      </w:pPr>
      <w:r>
        <w:rPr>
          <w:rStyle w:val="FootnoteReference"/>
        </w:rPr>
        <w:footnoteRef/>
      </w:r>
      <w:r>
        <w:t xml:space="preserve"> Ibid. at [4-5].</w:t>
      </w:r>
    </w:p>
  </w:footnote>
  <w:footnote w:id="10">
    <w:p w:rsidR="00CE28FE" w:rsidRDefault="00CE28FE">
      <w:pPr>
        <w:pStyle w:val="FootnoteText"/>
      </w:pPr>
      <w:r>
        <w:rPr>
          <w:rStyle w:val="FootnoteReference"/>
        </w:rPr>
        <w:footnoteRef/>
      </w:r>
      <w:r>
        <w:t xml:space="preserve"> </w:t>
      </w:r>
      <w:r w:rsidRPr="00792487">
        <w:t xml:space="preserve">Thomas J (Baron Thomas of </w:t>
      </w:r>
      <w:proofErr w:type="spellStart"/>
      <w:r w:rsidRPr="00792487">
        <w:t>Cwmgiedd</w:t>
      </w:r>
      <w:proofErr w:type="spellEnd"/>
      <w:r w:rsidRPr="00792487">
        <w:t xml:space="preserve">) (2014) </w:t>
      </w:r>
      <w:proofErr w:type="gramStart"/>
      <w:r w:rsidRPr="00792487">
        <w:t>The</w:t>
      </w:r>
      <w:proofErr w:type="gramEnd"/>
      <w:r w:rsidRPr="00792487">
        <w:t xml:space="preserve"> future of forensic science in criminal trials: 2014 Criminal Bar Association </w:t>
      </w:r>
      <w:proofErr w:type="spellStart"/>
      <w:r w:rsidRPr="00792487">
        <w:t>Kalisher</w:t>
      </w:r>
      <w:proofErr w:type="spellEnd"/>
      <w:r w:rsidRPr="00792487">
        <w:t xml:space="preserve"> Lecture</w:t>
      </w:r>
      <w:r>
        <w:t xml:space="preserve"> at [17]</w:t>
      </w:r>
      <w:r w:rsidRPr="00792487">
        <w:t xml:space="preserve">. Available at: </w:t>
      </w:r>
      <w:hyperlink r:id="rId1" w:history="1">
        <w:r w:rsidRPr="00AE127E">
          <w:rPr>
            <w:rStyle w:val="Hyperlink"/>
          </w:rPr>
          <w:t>http://www.judiciary.gov.uk/wp-content/uploads/2014/10/kalisher-lecture-expert-evidence-oct-14.pdf</w:t>
        </w:r>
      </w:hyperlink>
      <w:r>
        <w:t xml:space="preserve"> </w:t>
      </w:r>
      <w:r w:rsidRPr="00792487">
        <w:t xml:space="preserve">(accessed </w:t>
      </w:r>
      <w:r>
        <w:t>30/01/2016).</w:t>
      </w:r>
    </w:p>
  </w:footnote>
  <w:footnote w:id="11">
    <w:p w:rsidR="00CE28FE" w:rsidRDefault="00CE28FE" w:rsidP="00E419B1">
      <w:pPr>
        <w:pStyle w:val="FootnoteText"/>
      </w:pPr>
      <w:r>
        <w:rPr>
          <w:rStyle w:val="FootnoteReference"/>
        </w:rPr>
        <w:footnoteRef/>
      </w:r>
      <w:r>
        <w:t xml:space="preserve"> </w:t>
      </w:r>
      <w:r w:rsidRPr="00E41585">
        <w:t>Ibid.</w:t>
      </w:r>
    </w:p>
  </w:footnote>
  <w:footnote w:id="12">
    <w:p w:rsidR="00CE28FE" w:rsidRDefault="00CE28FE">
      <w:pPr>
        <w:pStyle w:val="FootnoteText"/>
      </w:pPr>
      <w:r>
        <w:rPr>
          <w:rStyle w:val="FootnoteReference"/>
        </w:rPr>
        <w:footnoteRef/>
      </w:r>
      <w:r>
        <w:t xml:space="preserve"> </w:t>
      </w:r>
      <w:proofErr w:type="spellStart"/>
      <w:proofErr w:type="gramStart"/>
      <w:r>
        <w:t>CrimPD</w:t>
      </w:r>
      <w:proofErr w:type="spellEnd"/>
      <w:r>
        <w:t xml:space="preserve"> 33A.1.</w:t>
      </w:r>
      <w:proofErr w:type="gramEnd"/>
    </w:p>
  </w:footnote>
  <w:footnote w:id="13">
    <w:p w:rsidR="00CE28FE" w:rsidRDefault="00CE28FE" w:rsidP="00FC216E">
      <w:pPr>
        <w:pStyle w:val="FootnoteText"/>
      </w:pPr>
      <w:r>
        <w:rPr>
          <w:rStyle w:val="FootnoteReference"/>
        </w:rPr>
        <w:footnoteRef/>
      </w:r>
      <w:r>
        <w:t xml:space="preserve"> </w:t>
      </w:r>
      <w:proofErr w:type="spellStart"/>
      <w:proofErr w:type="gramStart"/>
      <w:r>
        <w:t>CrimPD</w:t>
      </w:r>
      <w:proofErr w:type="spellEnd"/>
      <w:r>
        <w:t xml:space="preserve"> 33A.4.</w:t>
      </w:r>
      <w:proofErr w:type="gramEnd"/>
    </w:p>
  </w:footnote>
  <w:footnote w:id="14">
    <w:p w:rsidR="00CE28FE" w:rsidRDefault="00CE28FE" w:rsidP="00FC216E">
      <w:pPr>
        <w:pStyle w:val="FootnoteText"/>
      </w:pPr>
      <w:r>
        <w:rPr>
          <w:rStyle w:val="FootnoteReference"/>
        </w:rPr>
        <w:footnoteRef/>
      </w:r>
      <w:r>
        <w:t xml:space="preserve"> </w:t>
      </w:r>
      <w:proofErr w:type="gramStart"/>
      <w:r>
        <w:t>[2013] 1 Cr App R 32 per Sir John Thomas P at [11].</w:t>
      </w:r>
      <w:proofErr w:type="gramEnd"/>
    </w:p>
  </w:footnote>
  <w:footnote w:id="15">
    <w:p w:rsidR="00CE28FE" w:rsidRDefault="00CE28FE" w:rsidP="006A72BE">
      <w:pPr>
        <w:pStyle w:val="FootnoteText"/>
      </w:pPr>
      <w:r>
        <w:rPr>
          <w:rStyle w:val="FootnoteReference"/>
        </w:rPr>
        <w:footnoteRef/>
      </w:r>
      <w:r>
        <w:t xml:space="preserve"> </w:t>
      </w:r>
      <w:proofErr w:type="gramStart"/>
      <w:r w:rsidRPr="00792487">
        <w:t xml:space="preserve">Baron Thomas of </w:t>
      </w:r>
      <w:proofErr w:type="spellStart"/>
      <w:r w:rsidRPr="00792487">
        <w:t>Cwmgiedd</w:t>
      </w:r>
      <w:proofErr w:type="spellEnd"/>
      <w:r>
        <w:t>, above, n.1</w:t>
      </w:r>
      <w:r w:rsidR="002E76E4">
        <w:t>0</w:t>
      </w:r>
      <w:r>
        <w:t xml:space="preserve"> at [19].</w:t>
      </w:r>
      <w:proofErr w:type="gramEnd"/>
      <w:r>
        <w:t xml:space="preserve"> As regards the relevant series of cases, see </w:t>
      </w:r>
      <w:r w:rsidRPr="00A90140">
        <w:rPr>
          <w:i/>
        </w:rPr>
        <w:t>R v Reed and Reed</w:t>
      </w:r>
      <w:r>
        <w:t xml:space="preserve"> </w:t>
      </w:r>
      <w:r w:rsidRPr="00605D86">
        <w:t>[2010] 1 Cr App R 23</w:t>
      </w:r>
      <w:r>
        <w:t xml:space="preserve">, </w:t>
      </w:r>
      <w:r w:rsidRPr="00CC48AC">
        <w:rPr>
          <w:i/>
        </w:rPr>
        <w:t>R v Broughton</w:t>
      </w:r>
      <w:r>
        <w:t xml:space="preserve"> [2010] EWCA Crim 549, </w:t>
      </w:r>
      <w:r w:rsidRPr="00CC48AC">
        <w:rPr>
          <w:i/>
        </w:rPr>
        <w:t>R v Weller</w:t>
      </w:r>
      <w:r>
        <w:t xml:space="preserve"> [2010] EWCA Crim 1085, </w:t>
      </w:r>
      <w:r w:rsidRPr="00CC48AC">
        <w:rPr>
          <w:i/>
        </w:rPr>
        <w:t>R v C</w:t>
      </w:r>
      <w:r>
        <w:t xml:space="preserve"> [2010] EWCA Crim 2578 and </w:t>
      </w:r>
      <w:r w:rsidRPr="00CC48AC">
        <w:rPr>
          <w:i/>
        </w:rPr>
        <w:t xml:space="preserve">R v </w:t>
      </w:r>
      <w:proofErr w:type="spellStart"/>
      <w:r w:rsidRPr="00CC48AC">
        <w:rPr>
          <w:i/>
        </w:rPr>
        <w:t>Dlugosz</w:t>
      </w:r>
      <w:proofErr w:type="spellEnd"/>
      <w:r>
        <w:t xml:space="preserve"> [2013] 1 Cr App R 32 (all DNA cases) and see, also, </w:t>
      </w:r>
      <w:r w:rsidRPr="00102CF8">
        <w:rPr>
          <w:i/>
        </w:rPr>
        <w:t>R v Atkins</w:t>
      </w:r>
      <w:r>
        <w:t xml:space="preserve"> [2010] 1 Cr App R 8 </w:t>
      </w:r>
      <w:r w:rsidR="002E76E4">
        <w:t xml:space="preserve">(facial mapping) </w:t>
      </w:r>
      <w:r>
        <w:t xml:space="preserve">and </w:t>
      </w:r>
      <w:r w:rsidRPr="000828A8">
        <w:rPr>
          <w:i/>
        </w:rPr>
        <w:t>R v T</w:t>
      </w:r>
      <w:r w:rsidRPr="00841D4B">
        <w:rPr>
          <w:i/>
        </w:rPr>
        <w:t xml:space="preserve"> </w:t>
      </w:r>
      <w:r w:rsidRPr="000828A8">
        <w:t>[2011] 1 Cr App R 9</w:t>
      </w:r>
      <w:r>
        <w:t xml:space="preserve"> (footwear marks). </w:t>
      </w:r>
    </w:p>
  </w:footnote>
  <w:footnote w:id="16">
    <w:p w:rsidR="00CE28FE" w:rsidRDefault="00CE28FE">
      <w:pPr>
        <w:pStyle w:val="FootnoteText"/>
      </w:pPr>
      <w:r>
        <w:rPr>
          <w:rStyle w:val="FootnoteReference"/>
        </w:rPr>
        <w:footnoteRef/>
      </w:r>
      <w:r>
        <w:t xml:space="preserve"> </w:t>
      </w:r>
      <w:r w:rsidRPr="00E773E3">
        <w:t xml:space="preserve">Tony Ward 'A new and more rigorous approach' to expert evidence in England and Wales? </w:t>
      </w:r>
      <w:proofErr w:type="gramStart"/>
      <w:r w:rsidRPr="00E773E3">
        <w:t>(2015) 19 IJEP 228</w:t>
      </w:r>
      <w:r w:rsidRPr="00E773E3">
        <w:rPr>
          <w:i/>
        </w:rPr>
        <w:t xml:space="preserve"> </w:t>
      </w:r>
      <w:r w:rsidRPr="007A2182">
        <w:t>at</w:t>
      </w:r>
      <w:r w:rsidR="007A2182" w:rsidRPr="007A2182">
        <w:t xml:space="preserve"> 236</w:t>
      </w:r>
      <w:r w:rsidR="007A2182">
        <w:rPr>
          <w:i/>
        </w:rPr>
        <w:t>.</w:t>
      </w:r>
      <w:proofErr w:type="gramEnd"/>
      <w:r>
        <w:rPr>
          <w:i/>
          <w:color w:val="FF0000"/>
        </w:rPr>
        <w:t xml:space="preserve"> </w:t>
      </w:r>
    </w:p>
  </w:footnote>
  <w:footnote w:id="17">
    <w:p w:rsidR="00CE28FE" w:rsidRDefault="00CE28FE">
      <w:pPr>
        <w:pStyle w:val="FootnoteText"/>
      </w:pPr>
      <w:r>
        <w:rPr>
          <w:rStyle w:val="FootnoteReference"/>
        </w:rPr>
        <w:footnoteRef/>
      </w:r>
      <w:r>
        <w:t xml:space="preserve"> </w:t>
      </w:r>
      <w:proofErr w:type="gramStart"/>
      <w:r>
        <w:t xml:space="preserve">Ibid. at </w:t>
      </w:r>
      <w:r w:rsidR="007A2182" w:rsidRPr="007A2182">
        <w:t>235</w:t>
      </w:r>
      <w:r w:rsidR="007A2182">
        <w:t>.</w:t>
      </w:r>
      <w:proofErr w:type="gramEnd"/>
    </w:p>
  </w:footnote>
  <w:footnote w:id="18">
    <w:p w:rsidR="00CE28FE" w:rsidRDefault="00CE28FE" w:rsidP="00A20051">
      <w:pPr>
        <w:pStyle w:val="FootnoteText"/>
      </w:pPr>
      <w:r>
        <w:rPr>
          <w:rStyle w:val="FootnoteReference"/>
        </w:rPr>
        <w:footnoteRef/>
      </w:r>
      <w:r>
        <w:t xml:space="preserve"> Thomas LJ </w:t>
      </w:r>
      <w:proofErr w:type="gramStart"/>
      <w:r>
        <w:t xml:space="preserve">in </w:t>
      </w:r>
      <w:r w:rsidRPr="00605D86">
        <w:t> </w:t>
      </w:r>
      <w:r w:rsidRPr="00A90140">
        <w:rPr>
          <w:i/>
        </w:rPr>
        <w:t>R</w:t>
      </w:r>
      <w:proofErr w:type="gramEnd"/>
      <w:r w:rsidRPr="00A90140">
        <w:rPr>
          <w:i/>
        </w:rPr>
        <w:t xml:space="preserve"> v Reed and Reed</w:t>
      </w:r>
      <w:r>
        <w:t xml:space="preserve"> </w:t>
      </w:r>
      <w:r w:rsidRPr="00605D86">
        <w:t>[2010] 1 Cr App R 23</w:t>
      </w:r>
      <w:r>
        <w:t xml:space="preserve"> at [111] and [127].</w:t>
      </w:r>
    </w:p>
  </w:footnote>
  <w:footnote w:id="19">
    <w:p w:rsidR="00CE28FE" w:rsidRDefault="00CE28FE">
      <w:pPr>
        <w:pStyle w:val="FootnoteText"/>
      </w:pPr>
      <w:r>
        <w:rPr>
          <w:rStyle w:val="FootnoteReference"/>
        </w:rPr>
        <w:footnoteRef/>
      </w:r>
      <w:r>
        <w:t xml:space="preserve"> </w:t>
      </w:r>
      <w:proofErr w:type="gramStart"/>
      <w:r>
        <w:t>[2010] EWCA Crim 549 per Thomas LJ at [10], [32] and [37].</w:t>
      </w:r>
      <w:proofErr w:type="gramEnd"/>
      <w:r>
        <w:t xml:space="preserve"> </w:t>
      </w:r>
    </w:p>
  </w:footnote>
  <w:footnote w:id="20">
    <w:p w:rsidR="00CE28FE" w:rsidRDefault="00CE28FE" w:rsidP="00CC48AC">
      <w:r w:rsidRPr="002E76E4">
        <w:rPr>
          <w:rStyle w:val="FootnoteReference"/>
          <w:sz w:val="20"/>
          <w:szCs w:val="20"/>
        </w:rPr>
        <w:footnoteRef/>
      </w:r>
      <w:r w:rsidRPr="002E76E4">
        <w:rPr>
          <w:rStyle w:val="FootnoteReference"/>
          <w:sz w:val="20"/>
          <w:szCs w:val="20"/>
        </w:rPr>
        <w:t xml:space="preserve"> </w:t>
      </w:r>
      <w:r w:rsidRPr="00841D4B">
        <w:rPr>
          <w:sz w:val="20"/>
          <w:szCs w:val="20"/>
        </w:rPr>
        <w:t xml:space="preserve">Thomas LJ in </w:t>
      </w:r>
      <w:r w:rsidRPr="000828A8">
        <w:rPr>
          <w:i/>
          <w:sz w:val="20"/>
          <w:szCs w:val="20"/>
        </w:rPr>
        <w:t>R v T</w:t>
      </w:r>
      <w:r w:rsidRPr="00841D4B">
        <w:rPr>
          <w:i/>
          <w:sz w:val="20"/>
          <w:szCs w:val="20"/>
        </w:rPr>
        <w:t xml:space="preserve"> </w:t>
      </w:r>
      <w:r w:rsidRPr="000828A8">
        <w:rPr>
          <w:sz w:val="20"/>
          <w:szCs w:val="20"/>
        </w:rPr>
        <w:t>[2011] 1 Cr App R 9 at [86].</w:t>
      </w:r>
      <w:r>
        <w:rPr>
          <w:sz w:val="24"/>
          <w:szCs w:val="24"/>
        </w:rPr>
        <w:t xml:space="preserve"> </w:t>
      </w:r>
    </w:p>
  </w:footnote>
  <w:footnote w:id="21">
    <w:p w:rsidR="00CE28FE" w:rsidRDefault="00CE28FE">
      <w:pPr>
        <w:pStyle w:val="FootnoteText"/>
      </w:pPr>
      <w:r>
        <w:rPr>
          <w:rStyle w:val="FootnoteReference"/>
        </w:rPr>
        <w:footnoteRef/>
      </w:r>
      <w:r>
        <w:t xml:space="preserve"> </w:t>
      </w:r>
      <w:proofErr w:type="gramStart"/>
      <w:r>
        <w:t>At [9] and [24].</w:t>
      </w:r>
      <w:proofErr w:type="gramEnd"/>
      <w:r>
        <w:t xml:space="preserve"> </w:t>
      </w:r>
    </w:p>
  </w:footnote>
  <w:footnote w:id="22">
    <w:p w:rsidR="00CE28FE" w:rsidRPr="00D3726B" w:rsidRDefault="00CE28FE" w:rsidP="00C63FF4">
      <w:pPr>
        <w:pStyle w:val="FootnoteText"/>
        <w:tabs>
          <w:tab w:val="left" w:pos="5610"/>
        </w:tabs>
      </w:pPr>
      <w:r>
        <w:rPr>
          <w:rStyle w:val="FootnoteReference"/>
        </w:rPr>
        <w:footnoteRef/>
      </w:r>
      <w:r>
        <w:t xml:space="preserve"> </w:t>
      </w:r>
      <w:proofErr w:type="gramStart"/>
      <w:r>
        <w:t>Law Commission, a</w:t>
      </w:r>
      <w:r w:rsidRPr="005532A7">
        <w:t>bove n. 3</w:t>
      </w:r>
      <w:r>
        <w:t xml:space="preserve"> at [5.43-5.46], [5.51-5.53] and [5.58-5.59] and see, also, cl. 6 of the Law Commission’s draft </w:t>
      </w:r>
      <w:r w:rsidRPr="00D3726B">
        <w:t>Bill at 150.</w:t>
      </w:r>
      <w:proofErr w:type="gramEnd"/>
    </w:p>
  </w:footnote>
  <w:footnote w:id="23">
    <w:p w:rsidR="00CE28FE" w:rsidRPr="00D3726B" w:rsidRDefault="00CE28FE">
      <w:pPr>
        <w:pStyle w:val="FootnoteText"/>
      </w:pPr>
      <w:r w:rsidRPr="00D3726B">
        <w:rPr>
          <w:rStyle w:val="FootnoteReference"/>
        </w:rPr>
        <w:footnoteRef/>
      </w:r>
      <w:r w:rsidRPr="00D3726B">
        <w:t xml:space="preserve"> </w:t>
      </w:r>
      <w:proofErr w:type="gramStart"/>
      <w:r w:rsidR="002F7FE9" w:rsidRPr="00D3726B">
        <w:t xml:space="preserve">Per </w:t>
      </w:r>
      <w:r w:rsidRPr="00D3726B">
        <w:t>Thomas LJ</w:t>
      </w:r>
      <w:r w:rsidR="002F7FE9" w:rsidRPr="00D3726B">
        <w:t xml:space="preserve"> in </w:t>
      </w:r>
      <w:r w:rsidR="002F7FE9" w:rsidRPr="00D3726B">
        <w:rPr>
          <w:i/>
        </w:rPr>
        <w:t>Reed v Reed</w:t>
      </w:r>
      <w:r w:rsidRPr="00D3726B">
        <w:t>, above, n.</w:t>
      </w:r>
      <w:r w:rsidR="00D3726B" w:rsidRPr="00D3726B">
        <w:t>1</w:t>
      </w:r>
      <w:r w:rsidR="002F7FE9" w:rsidRPr="00D3726B">
        <w:t>8</w:t>
      </w:r>
      <w:r w:rsidRPr="00D3726B">
        <w:t xml:space="preserve"> at [113].</w:t>
      </w:r>
      <w:proofErr w:type="gramEnd"/>
    </w:p>
  </w:footnote>
  <w:footnote w:id="24">
    <w:p w:rsidR="00CE28FE" w:rsidRDefault="00CE28FE">
      <w:pPr>
        <w:pStyle w:val="FootnoteText"/>
      </w:pPr>
      <w:r w:rsidRPr="00D3726B">
        <w:rPr>
          <w:rStyle w:val="FootnoteReference"/>
        </w:rPr>
        <w:footnoteRef/>
      </w:r>
      <w:r w:rsidRPr="00D3726B">
        <w:t xml:space="preserve"> See Thomas LJ </w:t>
      </w:r>
      <w:r w:rsidR="00912197" w:rsidRPr="00D3726B">
        <w:t xml:space="preserve">in </w:t>
      </w:r>
      <w:r w:rsidR="00912197" w:rsidRPr="00D3726B">
        <w:rPr>
          <w:i/>
        </w:rPr>
        <w:t>Reed v Reed</w:t>
      </w:r>
      <w:r w:rsidR="00912197" w:rsidRPr="00D3726B">
        <w:t xml:space="preserve">, </w:t>
      </w:r>
      <w:r w:rsidRPr="00D3726B">
        <w:t>above,</w:t>
      </w:r>
      <w:r>
        <w:t xml:space="preserve"> n.1</w:t>
      </w:r>
      <w:r w:rsidR="00912197">
        <w:t>8</w:t>
      </w:r>
      <w:r>
        <w:t xml:space="preserve"> at [131-132], Thomas LJ in </w:t>
      </w:r>
      <w:r w:rsidRPr="00506198">
        <w:rPr>
          <w:i/>
        </w:rPr>
        <w:t>R v C</w:t>
      </w:r>
      <w:r>
        <w:t xml:space="preserve"> [2010] EWCA Crim 2578 at [38-41] and Moses LJ in </w:t>
      </w:r>
      <w:r w:rsidRPr="00FE53F5">
        <w:rPr>
          <w:i/>
        </w:rPr>
        <w:t xml:space="preserve">R v Henderson </w:t>
      </w:r>
      <w:r w:rsidRPr="002440B4">
        <w:t>[2010] 2 Cr App R 24</w:t>
      </w:r>
      <w:r>
        <w:t xml:space="preserve">  at [209-212]. </w:t>
      </w:r>
    </w:p>
  </w:footnote>
  <w:footnote w:id="25">
    <w:p w:rsidR="00CE28FE" w:rsidRDefault="00CE28FE" w:rsidP="00DC1A15">
      <w:pPr>
        <w:pStyle w:val="FootnoteText"/>
        <w:tabs>
          <w:tab w:val="left" w:pos="5610"/>
        </w:tabs>
      </w:pPr>
      <w:r>
        <w:rPr>
          <w:rStyle w:val="FootnoteReference"/>
        </w:rPr>
        <w:footnoteRef/>
      </w:r>
      <w:r>
        <w:t xml:space="preserve"> </w:t>
      </w:r>
      <w:r w:rsidRPr="00DC1A15">
        <w:t xml:space="preserve">Lord Simon of </w:t>
      </w:r>
      <w:proofErr w:type="spellStart"/>
      <w:r w:rsidRPr="00DC1A15">
        <w:t>Glaisidale</w:t>
      </w:r>
      <w:proofErr w:type="spellEnd"/>
      <w:r w:rsidRPr="00DC1A15">
        <w:t xml:space="preserve"> in </w:t>
      </w:r>
      <w:r w:rsidRPr="00FC4F3B">
        <w:rPr>
          <w:i/>
        </w:rPr>
        <w:t>DPP v Kilbourne</w:t>
      </w:r>
      <w:r w:rsidRPr="00DC1A15">
        <w:t xml:space="preserve"> [1973] AC 729 at 756, </w:t>
      </w:r>
      <w:r>
        <w:t xml:space="preserve">applied </w:t>
      </w:r>
      <w:r w:rsidRPr="00DC1A15">
        <w:t xml:space="preserve">in the context of expert evidence by the Court of Appeal in </w:t>
      </w:r>
      <w:r w:rsidRPr="00FC4F3B">
        <w:rPr>
          <w:i/>
        </w:rPr>
        <w:t>R v Luttrell</w:t>
      </w:r>
      <w:r w:rsidRPr="00DC1A15">
        <w:t xml:space="preserve"> [2004] 2 Cr App R 3 </w:t>
      </w:r>
      <w:r>
        <w:t xml:space="preserve">per Rose LJ </w:t>
      </w:r>
      <w:r w:rsidRPr="00DC1A15">
        <w:t xml:space="preserve">at [33]. </w:t>
      </w:r>
      <w:r>
        <w:tab/>
      </w:r>
    </w:p>
  </w:footnote>
  <w:footnote w:id="26">
    <w:p w:rsidR="00CE28FE" w:rsidRDefault="00CE28FE" w:rsidP="008D5C9F">
      <w:pPr>
        <w:pStyle w:val="FootnoteText"/>
      </w:pPr>
      <w:r>
        <w:rPr>
          <w:rStyle w:val="FootnoteReference"/>
        </w:rPr>
        <w:footnoteRef/>
      </w:r>
      <w:r>
        <w:t xml:space="preserve"> See Moses LJ in </w:t>
      </w:r>
      <w:r w:rsidRPr="00A5479D">
        <w:rPr>
          <w:i/>
        </w:rPr>
        <w:t>R v Henderson</w:t>
      </w:r>
      <w:r>
        <w:t xml:space="preserve">, above n.24 at [205-206]. </w:t>
      </w:r>
    </w:p>
  </w:footnote>
  <w:footnote w:id="27">
    <w:p w:rsidR="00CE28FE" w:rsidRDefault="00CE28FE" w:rsidP="00D01B09">
      <w:pPr>
        <w:pStyle w:val="FootnoteText"/>
      </w:pPr>
      <w:r>
        <w:rPr>
          <w:rStyle w:val="FootnoteReference"/>
        </w:rPr>
        <w:footnoteRef/>
      </w:r>
      <w:r>
        <w:t xml:space="preserve"> Ibid. at [205] and [214-215].</w:t>
      </w:r>
    </w:p>
  </w:footnote>
  <w:footnote w:id="28">
    <w:p w:rsidR="00CE28FE" w:rsidRDefault="00CE28FE">
      <w:pPr>
        <w:pStyle w:val="FootnoteText"/>
      </w:pPr>
      <w:r>
        <w:rPr>
          <w:rStyle w:val="FootnoteReference"/>
        </w:rPr>
        <w:footnoteRef/>
      </w:r>
      <w:r>
        <w:t xml:space="preserve"> </w:t>
      </w:r>
      <w:r w:rsidRPr="00BB6B80">
        <w:t xml:space="preserve">Lawton LJ in </w:t>
      </w:r>
      <w:r w:rsidRPr="00BB6B80">
        <w:rPr>
          <w:i/>
        </w:rPr>
        <w:t>R v Turner</w:t>
      </w:r>
      <w:r w:rsidRPr="00BB6B80">
        <w:t xml:space="preserve"> [1975] QB 834 at 841.</w:t>
      </w:r>
    </w:p>
  </w:footnote>
  <w:footnote w:id="29">
    <w:p w:rsidR="00CE28FE" w:rsidRDefault="00CE28FE" w:rsidP="00B33303">
      <w:pPr>
        <w:pStyle w:val="FootnoteText"/>
      </w:pPr>
      <w:r>
        <w:rPr>
          <w:rStyle w:val="FootnoteReference"/>
        </w:rPr>
        <w:footnoteRef/>
      </w:r>
      <w:r>
        <w:t xml:space="preserve"> </w:t>
      </w:r>
      <w:r w:rsidRPr="00E41585">
        <w:t>Ibid.</w:t>
      </w:r>
    </w:p>
  </w:footnote>
  <w:footnote w:id="30">
    <w:p w:rsidR="00CE28FE" w:rsidRDefault="00CE28FE" w:rsidP="005A77AC">
      <w:pPr>
        <w:pStyle w:val="FootnoteText"/>
        <w:tabs>
          <w:tab w:val="left" w:pos="5610"/>
        </w:tabs>
      </w:pPr>
      <w:r>
        <w:rPr>
          <w:rStyle w:val="FootnoteReference"/>
        </w:rPr>
        <w:footnoteRef/>
      </w:r>
      <w:r>
        <w:t xml:space="preserve"> </w:t>
      </w:r>
      <w:proofErr w:type="gramStart"/>
      <w:r>
        <w:t>Law Commission, a</w:t>
      </w:r>
      <w:r w:rsidRPr="005532A7">
        <w:t>bove n. 3</w:t>
      </w:r>
      <w:r>
        <w:t xml:space="preserve"> at [2.3-2.5], [2.17].</w:t>
      </w:r>
      <w:proofErr w:type="gramEnd"/>
      <w:r>
        <w:tab/>
      </w:r>
    </w:p>
  </w:footnote>
  <w:footnote w:id="31">
    <w:p w:rsidR="00CE28FE" w:rsidRDefault="00CE28FE">
      <w:pPr>
        <w:pStyle w:val="FootnoteText"/>
      </w:pPr>
      <w:r>
        <w:rPr>
          <w:rStyle w:val="FootnoteReference"/>
        </w:rPr>
        <w:footnoteRef/>
      </w:r>
      <w:r>
        <w:t xml:space="preserve"> Ibid. at 146 (see </w:t>
      </w:r>
      <w:proofErr w:type="gramStart"/>
      <w:r>
        <w:t>cl.1(</w:t>
      </w:r>
      <w:proofErr w:type="gramEnd"/>
      <w:r>
        <w:t xml:space="preserve">1)(a) of the Law Commission’s draft Bill). </w:t>
      </w:r>
    </w:p>
  </w:footnote>
  <w:footnote w:id="32">
    <w:p w:rsidR="00CE28FE" w:rsidRDefault="00CE28FE">
      <w:pPr>
        <w:pStyle w:val="FootnoteText"/>
      </w:pPr>
      <w:r>
        <w:rPr>
          <w:rStyle w:val="FootnoteReference"/>
        </w:rPr>
        <w:footnoteRef/>
      </w:r>
      <w:r>
        <w:t xml:space="preserve"> Ibid. at [3.126] and [4.6]</w:t>
      </w:r>
    </w:p>
  </w:footnote>
  <w:footnote w:id="33">
    <w:p w:rsidR="00CE28FE" w:rsidRPr="0073271E" w:rsidRDefault="00CE28FE" w:rsidP="00527A5E">
      <w:pPr>
        <w:pStyle w:val="FootnoteText"/>
      </w:pPr>
      <w:r w:rsidRPr="00B31BA9">
        <w:rPr>
          <w:rStyle w:val="FootnoteReference"/>
        </w:rPr>
        <w:footnoteRef/>
      </w:r>
      <w:r w:rsidRPr="0073271E">
        <w:t xml:space="preserve"> See </w:t>
      </w:r>
      <w:r w:rsidRPr="0073271E">
        <w:rPr>
          <w:i/>
        </w:rPr>
        <w:t>R</w:t>
      </w:r>
      <w:r>
        <w:rPr>
          <w:i/>
        </w:rPr>
        <w:t xml:space="preserve"> v H</w:t>
      </w:r>
      <w:r w:rsidRPr="0073271E">
        <w:t xml:space="preserve"> [2014] EWCA Crim 1555</w:t>
      </w:r>
      <w:r>
        <w:t xml:space="preserve"> per </w:t>
      </w:r>
      <w:proofErr w:type="spellStart"/>
      <w:r>
        <w:t>Leveson</w:t>
      </w:r>
      <w:proofErr w:type="spellEnd"/>
      <w:r>
        <w:t xml:space="preserve"> P at [26], [42] and [44]</w:t>
      </w:r>
      <w:r w:rsidRPr="0073271E">
        <w:t>.</w:t>
      </w:r>
    </w:p>
  </w:footnote>
  <w:footnote w:id="34">
    <w:p w:rsidR="00CE28FE" w:rsidRDefault="00CE28FE" w:rsidP="001E4280">
      <w:pPr>
        <w:pStyle w:val="FootnoteText"/>
      </w:pPr>
      <w:r>
        <w:rPr>
          <w:rStyle w:val="FootnoteReference"/>
        </w:rPr>
        <w:footnoteRef/>
      </w:r>
      <w:r>
        <w:t xml:space="preserve"> </w:t>
      </w:r>
      <w:proofErr w:type="gramStart"/>
      <w:r>
        <w:t>Ibid. at [21] and [40].</w:t>
      </w:r>
      <w:proofErr w:type="gramEnd"/>
      <w:r>
        <w:t xml:space="preserve"> </w:t>
      </w:r>
    </w:p>
  </w:footnote>
  <w:footnote w:id="35">
    <w:p w:rsidR="00CE28FE" w:rsidRPr="00826AF0" w:rsidRDefault="00CE28FE" w:rsidP="00E66D13">
      <w:pPr>
        <w:pStyle w:val="FootnoteText"/>
      </w:pPr>
      <w:r w:rsidRPr="00225EC0">
        <w:rPr>
          <w:rStyle w:val="FootnoteReference"/>
        </w:rPr>
        <w:footnoteRef/>
      </w:r>
      <w:r w:rsidRPr="00826AF0">
        <w:rPr>
          <w:rStyle w:val="FootnoteReference"/>
        </w:rPr>
        <w:t xml:space="preserve"> </w:t>
      </w:r>
      <w:proofErr w:type="gramStart"/>
      <w:r w:rsidRPr="00826AF0">
        <w:rPr>
          <w:i/>
        </w:rPr>
        <w:t xml:space="preserve">R v </w:t>
      </w:r>
      <w:proofErr w:type="spellStart"/>
      <w:r w:rsidRPr="00826AF0">
        <w:rPr>
          <w:i/>
        </w:rPr>
        <w:t>Pora</w:t>
      </w:r>
      <w:proofErr w:type="spellEnd"/>
      <w:r w:rsidRPr="00826AF0">
        <w:t xml:space="preserve"> [2016] 1 Cr App R. 3 per</w:t>
      </w:r>
      <w:r>
        <w:t xml:space="preserve"> Lord Kerr</w:t>
      </w:r>
      <w:r w:rsidRPr="00826AF0">
        <w:t xml:space="preserve"> at [</w:t>
      </w:r>
      <w:r>
        <w:t>27</w:t>
      </w:r>
      <w:r w:rsidRPr="00826AF0">
        <w:t>].</w:t>
      </w:r>
      <w:proofErr w:type="gramEnd"/>
    </w:p>
  </w:footnote>
  <w:footnote w:id="36">
    <w:p w:rsidR="00CE28FE" w:rsidRDefault="00CE28FE">
      <w:pPr>
        <w:pStyle w:val="FootnoteText"/>
      </w:pPr>
      <w:r>
        <w:rPr>
          <w:rStyle w:val="FootnoteReference"/>
        </w:rPr>
        <w:footnoteRef/>
      </w:r>
      <w:r>
        <w:t xml:space="preserve"> </w:t>
      </w:r>
      <w:proofErr w:type="gramStart"/>
      <w:r>
        <w:t xml:space="preserve">Lord Russell of </w:t>
      </w:r>
      <w:proofErr w:type="spellStart"/>
      <w:r>
        <w:t>Killowen</w:t>
      </w:r>
      <w:proofErr w:type="spellEnd"/>
      <w:r>
        <w:t xml:space="preserve"> CJ in </w:t>
      </w:r>
      <w:r w:rsidRPr="00225EC0">
        <w:rPr>
          <w:i/>
        </w:rPr>
        <w:t xml:space="preserve">R v </w:t>
      </w:r>
      <w:proofErr w:type="spellStart"/>
      <w:r w:rsidRPr="00225EC0">
        <w:rPr>
          <w:i/>
        </w:rPr>
        <w:t>Silverlock</w:t>
      </w:r>
      <w:proofErr w:type="spellEnd"/>
      <w:r>
        <w:t xml:space="preserve"> [1894] 2 QB 766 at 771.</w:t>
      </w:r>
      <w:proofErr w:type="gramEnd"/>
    </w:p>
  </w:footnote>
  <w:footnote w:id="37">
    <w:p w:rsidR="00CE28FE" w:rsidRDefault="00CE28FE" w:rsidP="00F351E8">
      <w:pPr>
        <w:pStyle w:val="FootnoteText"/>
      </w:pPr>
      <w:r>
        <w:rPr>
          <w:rStyle w:val="FootnoteReference"/>
        </w:rPr>
        <w:footnoteRef/>
      </w:r>
      <w:r>
        <w:t xml:space="preserve"> Law Commission, above, n.3 at 146 (see </w:t>
      </w:r>
      <w:proofErr w:type="gramStart"/>
      <w:r>
        <w:t>cl.2(</w:t>
      </w:r>
      <w:proofErr w:type="gramEnd"/>
      <w:r>
        <w:t xml:space="preserve">1) of the Law Commission’s draft Bill). </w:t>
      </w:r>
    </w:p>
  </w:footnote>
  <w:footnote w:id="38">
    <w:p w:rsidR="00CE28FE" w:rsidRDefault="00CE28FE" w:rsidP="00654348">
      <w:pPr>
        <w:pStyle w:val="FootnoteText"/>
      </w:pPr>
      <w:r>
        <w:rPr>
          <w:rStyle w:val="FootnoteReference"/>
        </w:rPr>
        <w:footnoteRef/>
      </w:r>
      <w:r>
        <w:t xml:space="preserve"> Ibid. at [3.126] and [4.6]</w:t>
      </w:r>
    </w:p>
  </w:footnote>
  <w:footnote w:id="39">
    <w:p w:rsidR="00BD2AE1" w:rsidRDefault="00BD2AE1">
      <w:pPr>
        <w:pStyle w:val="FootnoteText"/>
      </w:pPr>
      <w:r>
        <w:rPr>
          <w:rStyle w:val="FootnoteReference"/>
        </w:rPr>
        <w:footnoteRef/>
      </w:r>
      <w:r>
        <w:t xml:space="preserve"> </w:t>
      </w:r>
      <w:proofErr w:type="gramStart"/>
      <w:r w:rsidRPr="00BD2AE1">
        <w:rPr>
          <w:i/>
        </w:rPr>
        <w:t>R v Oakley</w:t>
      </w:r>
      <w:r>
        <w:t xml:space="preserve"> (1980) 70 Cr App R 7 per Lord </w:t>
      </w:r>
      <w:proofErr w:type="spellStart"/>
      <w:r>
        <w:t>Widgery</w:t>
      </w:r>
      <w:proofErr w:type="spellEnd"/>
      <w:r>
        <w:t xml:space="preserve"> CJ at 9.</w:t>
      </w:r>
      <w:proofErr w:type="gramEnd"/>
      <w:r>
        <w:t xml:space="preserve"> </w:t>
      </w:r>
    </w:p>
  </w:footnote>
  <w:footnote w:id="40">
    <w:p w:rsidR="00457DF5" w:rsidRDefault="00457DF5">
      <w:pPr>
        <w:pStyle w:val="FootnoteText"/>
      </w:pPr>
      <w:r>
        <w:rPr>
          <w:rStyle w:val="FootnoteReference"/>
        </w:rPr>
        <w:footnoteRef/>
      </w:r>
      <w:r>
        <w:t xml:space="preserve"> </w:t>
      </w:r>
      <w:proofErr w:type="gramStart"/>
      <w:r w:rsidRPr="00457DF5">
        <w:rPr>
          <w:i/>
        </w:rPr>
        <w:t xml:space="preserve">Myers v R </w:t>
      </w:r>
      <w:r>
        <w:t>[2015] UKPC 40 per Lord Hughes at [57].</w:t>
      </w:r>
      <w:proofErr w:type="gramEnd"/>
      <w:r>
        <w:t xml:space="preserve"> </w:t>
      </w:r>
    </w:p>
  </w:footnote>
  <w:footnote w:id="41">
    <w:p w:rsidR="00CE28FE" w:rsidRDefault="00CE28FE" w:rsidP="000D0B16">
      <w:pPr>
        <w:pStyle w:val="FootnoteText"/>
      </w:pPr>
      <w:r w:rsidRPr="000D0B16">
        <w:rPr>
          <w:rStyle w:val="FootnoteReference"/>
        </w:rPr>
        <w:footnoteRef/>
      </w:r>
      <w:r w:rsidRPr="000D0B16">
        <w:rPr>
          <w:rStyle w:val="FootnoteReference"/>
        </w:rPr>
        <w:t xml:space="preserve"> </w:t>
      </w:r>
      <w:proofErr w:type="gramStart"/>
      <w:r w:rsidRPr="000D0B16">
        <w:t>[2003] 2 Cr App R 15.</w:t>
      </w:r>
      <w:proofErr w:type="gramEnd"/>
    </w:p>
  </w:footnote>
  <w:footnote w:id="42">
    <w:p w:rsidR="00CE28FE" w:rsidRDefault="00CE28FE" w:rsidP="009D0A33">
      <w:pPr>
        <w:pStyle w:val="FootnoteText"/>
      </w:pPr>
      <w:r>
        <w:rPr>
          <w:rStyle w:val="FootnoteReference"/>
        </w:rPr>
        <w:footnoteRef/>
      </w:r>
      <w:r>
        <w:t xml:space="preserve"> </w:t>
      </w:r>
      <w:proofErr w:type="gramStart"/>
      <w:r w:rsidRPr="00A37C9D">
        <w:t>[2015] EWHC 628 (Admin)</w:t>
      </w:r>
      <w:r>
        <w:t>.</w:t>
      </w:r>
      <w:proofErr w:type="gramEnd"/>
    </w:p>
  </w:footnote>
  <w:footnote w:id="43">
    <w:p w:rsidR="00CE28FE" w:rsidRDefault="00CE28FE">
      <w:pPr>
        <w:pStyle w:val="FootnoteText"/>
      </w:pPr>
      <w:r>
        <w:rPr>
          <w:rStyle w:val="FootnoteReference"/>
        </w:rPr>
        <w:footnoteRef/>
      </w:r>
      <w:r>
        <w:t xml:space="preserve"> </w:t>
      </w:r>
      <w:proofErr w:type="gramStart"/>
      <w:r>
        <w:t xml:space="preserve">Lord Russell of </w:t>
      </w:r>
      <w:proofErr w:type="spellStart"/>
      <w:r>
        <w:t>Killowen</w:t>
      </w:r>
      <w:proofErr w:type="spellEnd"/>
      <w:r>
        <w:t xml:space="preserve"> CJ, above n.3</w:t>
      </w:r>
      <w:r w:rsidR="008A3810">
        <w:t>6</w:t>
      </w:r>
      <w:r>
        <w:t xml:space="preserve"> at 771.</w:t>
      </w:r>
      <w:proofErr w:type="gramEnd"/>
      <w:r>
        <w:t xml:space="preserve">   </w:t>
      </w:r>
    </w:p>
  </w:footnote>
  <w:footnote w:id="44">
    <w:p w:rsidR="00CE28FE" w:rsidRDefault="00CE28FE">
      <w:pPr>
        <w:pStyle w:val="FootnoteText"/>
      </w:pPr>
      <w:r>
        <w:rPr>
          <w:rStyle w:val="FootnoteReference"/>
        </w:rPr>
        <w:footnoteRef/>
      </w:r>
      <w:r>
        <w:t xml:space="preserve"> </w:t>
      </w:r>
      <w:proofErr w:type="gramStart"/>
      <w:r w:rsidRPr="00D35A23">
        <w:rPr>
          <w:i/>
        </w:rPr>
        <w:t>R (on the application of Doughty v. Ely Magistrates' Court</w:t>
      </w:r>
      <w:r>
        <w:t xml:space="preserve"> [</w:t>
      </w:r>
      <w:r w:rsidRPr="00D35A23">
        <w:t>2008] EWHC 522 (Admin).</w:t>
      </w:r>
      <w:proofErr w:type="gramEnd"/>
    </w:p>
  </w:footnote>
  <w:footnote w:id="45">
    <w:p w:rsidR="00CE28FE" w:rsidRDefault="00CE28FE" w:rsidP="000030E3">
      <w:pPr>
        <w:pStyle w:val="FootnoteText"/>
        <w:numPr>
          <w:ilvl w:val="12"/>
          <w:numId w:val="0"/>
        </w:numPr>
        <w:jc w:val="both"/>
      </w:pPr>
      <w:r w:rsidRPr="000030E3">
        <w:rPr>
          <w:rStyle w:val="FootnoteReference"/>
        </w:rPr>
        <w:footnoteRef/>
      </w:r>
      <w:r w:rsidRPr="000030E3">
        <w:rPr>
          <w:rStyle w:val="FootnoteReference"/>
        </w:rPr>
        <w:t xml:space="preserve"> </w:t>
      </w:r>
      <w:proofErr w:type="gramStart"/>
      <w:r w:rsidRPr="000030E3">
        <w:t>[2013] EWCA Crim 162.</w:t>
      </w:r>
      <w:proofErr w:type="gramEnd"/>
      <w:r w:rsidRPr="00193C9D">
        <w:rPr>
          <w:sz w:val="16"/>
          <w:szCs w:val="16"/>
        </w:rPr>
        <w:t xml:space="preserve"> </w:t>
      </w:r>
    </w:p>
  </w:footnote>
  <w:footnote w:id="46">
    <w:p w:rsidR="00CE28FE" w:rsidRDefault="00CE28FE">
      <w:pPr>
        <w:pStyle w:val="FootnoteText"/>
      </w:pPr>
      <w:r>
        <w:rPr>
          <w:rStyle w:val="FootnoteReference"/>
        </w:rPr>
        <w:footnoteRef/>
      </w:r>
      <w:r>
        <w:t xml:space="preserve"> </w:t>
      </w:r>
      <w:proofErr w:type="gramStart"/>
      <w:r>
        <w:t>Above, n.38.</w:t>
      </w:r>
      <w:proofErr w:type="gramEnd"/>
    </w:p>
  </w:footnote>
  <w:footnote w:id="47">
    <w:p w:rsidR="00CE28FE" w:rsidRDefault="00CE28FE">
      <w:pPr>
        <w:pStyle w:val="FootnoteText"/>
      </w:pPr>
      <w:r>
        <w:rPr>
          <w:rStyle w:val="FootnoteReference"/>
        </w:rPr>
        <w:footnoteRef/>
      </w:r>
      <w:r>
        <w:t xml:space="preserve"> See, respectively, </w:t>
      </w:r>
      <w:proofErr w:type="spellStart"/>
      <w:r>
        <w:t>CrimPR</w:t>
      </w:r>
      <w:proofErr w:type="spellEnd"/>
      <w:r>
        <w:t xml:space="preserve"> 19.2(1</w:t>
      </w:r>
      <w:proofErr w:type="gramStart"/>
      <w:r>
        <w:t>)(</w:t>
      </w:r>
      <w:proofErr w:type="gramEnd"/>
      <w:r>
        <w:t>a)(ii), 19.2(3)(a) and 19.2(3)(b).</w:t>
      </w:r>
    </w:p>
  </w:footnote>
  <w:footnote w:id="48">
    <w:p w:rsidR="00CE28FE" w:rsidRDefault="00CE28FE">
      <w:pPr>
        <w:pStyle w:val="FootnoteText"/>
      </w:pPr>
      <w:r>
        <w:rPr>
          <w:rStyle w:val="FootnoteReference"/>
        </w:rPr>
        <w:footnoteRef/>
      </w:r>
      <w:r>
        <w:t xml:space="preserve"> </w:t>
      </w:r>
      <w:proofErr w:type="gramStart"/>
      <w:r w:rsidRPr="002614DC">
        <w:t>Guidance Booklet for Experts</w:t>
      </w:r>
      <w:r>
        <w:t>.</w:t>
      </w:r>
      <w:proofErr w:type="gramEnd"/>
      <w:r>
        <w:t xml:space="preserve"> </w:t>
      </w:r>
      <w:r w:rsidRPr="002614DC">
        <w:t>Disclosure: Experts' Evidence, Case Management and Unused Material</w:t>
      </w:r>
      <w:r w:rsidRPr="002614DC">
        <w:br/>
        <w:t>May 2010</w:t>
      </w:r>
      <w:r>
        <w:t xml:space="preserve"> </w:t>
      </w:r>
      <w:hyperlink r:id="rId2" w:history="1">
        <w:r w:rsidRPr="00CA2BEC">
          <w:rPr>
            <w:rStyle w:val="Hyperlink"/>
          </w:rPr>
          <w:t>http://www.cps.gov.uk/legal/d_to_g/disclosure_manual/annex_k_disclosure_manual/</w:t>
        </w:r>
      </w:hyperlink>
      <w:r>
        <w:t xml:space="preserve"> (accessed 05/02/2016). </w:t>
      </w:r>
    </w:p>
  </w:footnote>
  <w:footnote w:id="49">
    <w:p w:rsidR="00CE28FE" w:rsidRDefault="00CE28FE" w:rsidP="00BA1E43">
      <w:pPr>
        <w:pStyle w:val="FootnoteText"/>
      </w:pPr>
      <w:r>
        <w:rPr>
          <w:rStyle w:val="FootnoteReference"/>
        </w:rPr>
        <w:footnoteRef/>
      </w:r>
      <w:r>
        <w:t xml:space="preserve"> </w:t>
      </w:r>
      <w:proofErr w:type="gramStart"/>
      <w:r>
        <w:t>Sir John Thomas P, above n.14 at [11].</w:t>
      </w:r>
      <w:proofErr w:type="gramEnd"/>
      <w:r>
        <w:t xml:space="preserve"> </w:t>
      </w:r>
    </w:p>
  </w:footnote>
  <w:footnote w:id="50">
    <w:p w:rsidR="00CE28FE" w:rsidRDefault="00CE28FE">
      <w:pPr>
        <w:pStyle w:val="FootnoteText"/>
      </w:pPr>
      <w:r>
        <w:rPr>
          <w:rStyle w:val="FootnoteReference"/>
        </w:rPr>
        <w:footnoteRef/>
      </w:r>
      <w:r>
        <w:t xml:space="preserve"> </w:t>
      </w:r>
      <w:proofErr w:type="spellStart"/>
      <w:proofErr w:type="gramStart"/>
      <w:r>
        <w:t>CrimPD</w:t>
      </w:r>
      <w:proofErr w:type="spellEnd"/>
      <w:r>
        <w:t xml:space="preserve"> 19A.4.</w:t>
      </w:r>
      <w:proofErr w:type="gramEnd"/>
    </w:p>
  </w:footnote>
  <w:footnote w:id="51">
    <w:p w:rsidR="00CE28FE" w:rsidRDefault="00CE28FE">
      <w:pPr>
        <w:pStyle w:val="FootnoteText"/>
      </w:pPr>
      <w:r>
        <w:rPr>
          <w:rStyle w:val="FootnoteReference"/>
        </w:rPr>
        <w:footnoteRef/>
      </w:r>
      <w:r>
        <w:t xml:space="preserve"> Law Commission, above n.3 at 5.10 and 157 (see Part 1 of Schedule 1 to the Law Commission’s draft Bill). </w:t>
      </w:r>
    </w:p>
  </w:footnote>
  <w:footnote w:id="52">
    <w:p w:rsidR="00CE28FE" w:rsidRDefault="00CE28FE" w:rsidP="00C637E1">
      <w:pPr>
        <w:pStyle w:val="FootnoteText"/>
      </w:pPr>
      <w:r>
        <w:rPr>
          <w:rStyle w:val="FootnoteReference"/>
        </w:rPr>
        <w:footnoteRef/>
      </w:r>
      <w:r>
        <w:t xml:space="preserve"> </w:t>
      </w:r>
      <w:proofErr w:type="gramStart"/>
      <w:r>
        <w:t>Ibid. at [3.49-3.52].</w:t>
      </w:r>
      <w:proofErr w:type="gramEnd"/>
    </w:p>
  </w:footnote>
  <w:footnote w:id="53">
    <w:p w:rsidR="00CE28FE" w:rsidRDefault="00CE28FE">
      <w:pPr>
        <w:pStyle w:val="FootnoteText"/>
      </w:pPr>
      <w:r>
        <w:rPr>
          <w:rStyle w:val="FootnoteReference"/>
        </w:rPr>
        <w:footnoteRef/>
      </w:r>
      <w:r>
        <w:t xml:space="preserve"> Ibid. at 67, footnote 35. </w:t>
      </w:r>
    </w:p>
  </w:footnote>
  <w:footnote w:id="54">
    <w:p w:rsidR="00CE28FE" w:rsidRDefault="00CE28FE">
      <w:pPr>
        <w:pStyle w:val="FootnoteText"/>
      </w:pPr>
      <w:r>
        <w:rPr>
          <w:rStyle w:val="FootnoteReference"/>
        </w:rPr>
        <w:footnoteRef/>
      </w:r>
      <w:r>
        <w:t xml:space="preserve"> See Steyn LJ in </w:t>
      </w:r>
      <w:r w:rsidRPr="00AB33A7">
        <w:rPr>
          <w:i/>
        </w:rPr>
        <w:t>R v Clarke</w:t>
      </w:r>
      <w:r>
        <w:t xml:space="preserve"> [1995] 2 Cr App R 425 at 430, Thomas LJ</w:t>
      </w:r>
      <w:r w:rsidR="00D3726B">
        <w:t xml:space="preserve"> in </w:t>
      </w:r>
      <w:r w:rsidR="00D3726B" w:rsidRPr="00D3726B">
        <w:rPr>
          <w:i/>
        </w:rPr>
        <w:t>Reed v Reed</w:t>
      </w:r>
      <w:r>
        <w:t>, above n.18  at [111] and Moses LJ</w:t>
      </w:r>
      <w:r w:rsidR="00D3726B">
        <w:t xml:space="preserve"> in </w:t>
      </w:r>
      <w:r w:rsidR="00D3726B" w:rsidRPr="00D3726B">
        <w:rPr>
          <w:i/>
        </w:rPr>
        <w:t>R v Henderson</w:t>
      </w:r>
      <w:r>
        <w:t xml:space="preserve">, above n.24 at [206]. </w:t>
      </w:r>
    </w:p>
  </w:footnote>
  <w:footnote w:id="55">
    <w:p w:rsidR="00CE28FE" w:rsidRDefault="00CE28FE" w:rsidP="00AA01A5">
      <w:pPr>
        <w:pStyle w:val="FootnoteText"/>
      </w:pPr>
      <w:r>
        <w:rPr>
          <w:rStyle w:val="FootnoteReference"/>
        </w:rPr>
        <w:footnoteRef/>
      </w:r>
      <w:r>
        <w:t xml:space="preserve"> </w:t>
      </w:r>
      <w:proofErr w:type="gramStart"/>
      <w:r>
        <w:t xml:space="preserve">See  </w:t>
      </w:r>
      <w:proofErr w:type="spellStart"/>
      <w:r>
        <w:t>Leveson</w:t>
      </w:r>
      <w:proofErr w:type="spellEnd"/>
      <w:proofErr w:type="gramEnd"/>
      <w:r>
        <w:t xml:space="preserve"> P</w:t>
      </w:r>
      <w:r w:rsidR="00D3726B">
        <w:t xml:space="preserve"> in </w:t>
      </w:r>
      <w:r w:rsidR="00D3726B" w:rsidRPr="00D3726B">
        <w:rPr>
          <w:i/>
        </w:rPr>
        <w:t>R v H</w:t>
      </w:r>
      <w:r>
        <w:t>, above n.33 at [44] where his Lordship indicated that when the new Practice Direction was in force “</w:t>
      </w:r>
      <w:r w:rsidRPr="00AB33A7">
        <w:t>a new and more rigorous approach on the part of advocates and the courts to the handling of expert evidence must be adopted</w:t>
      </w:r>
      <w:r>
        <w:t xml:space="preserve">”. </w:t>
      </w:r>
    </w:p>
  </w:footnote>
  <w:footnote w:id="56">
    <w:p w:rsidR="00CE28FE" w:rsidRDefault="00CE28FE">
      <w:pPr>
        <w:pStyle w:val="FootnoteText"/>
      </w:pPr>
      <w:r>
        <w:rPr>
          <w:rStyle w:val="FootnoteReference"/>
        </w:rPr>
        <w:footnoteRef/>
      </w:r>
      <w:r>
        <w:t xml:space="preserve"> </w:t>
      </w:r>
      <w:proofErr w:type="gramStart"/>
      <w:r>
        <w:t xml:space="preserve">Above, n.3 at [1.8], [1.17], [1.21], [2.16], [3.3-3.4] and [6.10] and see, also, Moses LJ in </w:t>
      </w:r>
      <w:r w:rsidRPr="00580BF3">
        <w:rPr>
          <w:i/>
        </w:rPr>
        <w:t>R v Henderson</w:t>
      </w:r>
      <w:r w:rsidR="00D3726B">
        <w:t xml:space="preserve">, above n.24 at </w:t>
      </w:r>
      <w:r>
        <w:t>[206].</w:t>
      </w:r>
      <w:proofErr w:type="gramEnd"/>
      <w:r>
        <w:t xml:space="preserve"> </w:t>
      </w:r>
    </w:p>
  </w:footnote>
  <w:footnote w:id="57">
    <w:p w:rsidR="00CE28FE" w:rsidRDefault="00CE28FE">
      <w:pPr>
        <w:pStyle w:val="FootnoteText"/>
      </w:pPr>
      <w:r>
        <w:rPr>
          <w:rStyle w:val="FootnoteReference"/>
        </w:rPr>
        <w:footnoteRef/>
      </w:r>
      <w:r>
        <w:t xml:space="preserve"> </w:t>
      </w:r>
      <w:r w:rsidRPr="00D8002C">
        <w:t>Edmond, G. “Is</w:t>
      </w:r>
      <w:r>
        <w:t xml:space="preserve"> reliability s</w:t>
      </w:r>
      <w:r w:rsidRPr="00D8002C">
        <w:t xml:space="preserve">ufficient? </w:t>
      </w:r>
      <w:proofErr w:type="gramStart"/>
      <w:r w:rsidRPr="00D8002C">
        <w:t>The Law Commission and</w:t>
      </w:r>
      <w:r>
        <w:t xml:space="preserve"> </w:t>
      </w:r>
      <w:r w:rsidRPr="00D8002C">
        <w:t>expert</w:t>
      </w:r>
      <w:r>
        <w:t xml:space="preserve"> </w:t>
      </w:r>
      <w:r w:rsidRPr="00D8002C">
        <w:t>evidence</w:t>
      </w:r>
      <w:r>
        <w:t xml:space="preserve"> </w:t>
      </w:r>
      <w:r w:rsidRPr="00D8002C">
        <w:t xml:space="preserve">in international and interdisciplinary perspective (Part 1)” [2012] IJEP 16 1 (30) at </w:t>
      </w:r>
      <w:r>
        <w:t>64</w:t>
      </w:r>
      <w:r w:rsidRPr="00D8002C">
        <w:t>.</w:t>
      </w:r>
      <w:proofErr w:type="gramEnd"/>
    </w:p>
  </w:footnote>
  <w:footnote w:id="58">
    <w:p w:rsidR="00CE28FE" w:rsidRDefault="00CE28FE" w:rsidP="007B526F">
      <w:pPr>
        <w:pStyle w:val="FootnoteText"/>
      </w:pPr>
      <w:r>
        <w:rPr>
          <w:rStyle w:val="FootnoteReference"/>
        </w:rPr>
        <w:footnoteRef/>
      </w:r>
      <w:r>
        <w:t xml:space="preserve"> </w:t>
      </w:r>
      <w:proofErr w:type="spellStart"/>
      <w:proofErr w:type="gramStart"/>
      <w:r>
        <w:t>CrimPR</w:t>
      </w:r>
      <w:proofErr w:type="spellEnd"/>
      <w:r>
        <w:t xml:space="preserve"> 19A.6.</w:t>
      </w:r>
      <w:proofErr w:type="gramEnd"/>
    </w:p>
  </w:footnote>
  <w:footnote w:id="59">
    <w:p w:rsidR="00CE28FE" w:rsidRDefault="00CE28FE" w:rsidP="00A910E1">
      <w:pPr>
        <w:pStyle w:val="FootnoteText"/>
      </w:pPr>
      <w:r>
        <w:rPr>
          <w:rStyle w:val="FootnoteReference"/>
        </w:rPr>
        <w:footnoteRef/>
      </w:r>
      <w:r>
        <w:t xml:space="preserve"> </w:t>
      </w:r>
      <w:proofErr w:type="spellStart"/>
      <w:proofErr w:type="gramStart"/>
      <w:r>
        <w:t>CrimPR</w:t>
      </w:r>
      <w:proofErr w:type="spellEnd"/>
      <w:r>
        <w:t xml:space="preserve"> 19A.6.</w:t>
      </w:r>
      <w:proofErr w:type="gramEnd"/>
    </w:p>
  </w:footnote>
  <w:footnote w:id="60">
    <w:p w:rsidR="00CE28FE" w:rsidRDefault="00CE28FE" w:rsidP="007B526F">
      <w:pPr>
        <w:pStyle w:val="FootnoteText"/>
      </w:pPr>
      <w:r>
        <w:rPr>
          <w:rStyle w:val="FootnoteReference"/>
        </w:rPr>
        <w:footnoteRef/>
      </w:r>
      <w:r>
        <w:t xml:space="preserve"> Law Commission, above, n.3 at [5.9], [5.36] and 148 (see </w:t>
      </w:r>
      <w:proofErr w:type="gramStart"/>
      <w:r>
        <w:t>cl.4(</w:t>
      </w:r>
      <w:proofErr w:type="gramEnd"/>
      <w:r>
        <w:t xml:space="preserve">2) of the Law Commission’s draft Bill. </w:t>
      </w:r>
    </w:p>
  </w:footnote>
  <w:footnote w:id="61">
    <w:p w:rsidR="00CE28FE" w:rsidRDefault="00CE28FE">
      <w:pPr>
        <w:pStyle w:val="FootnoteText"/>
      </w:pPr>
      <w:r>
        <w:rPr>
          <w:rStyle w:val="FootnoteReference"/>
        </w:rPr>
        <w:footnoteRef/>
      </w:r>
      <w:r>
        <w:t xml:space="preserve"> </w:t>
      </w:r>
      <w:proofErr w:type="gramStart"/>
      <w:r>
        <w:t>Ibid. at [5.11].</w:t>
      </w:r>
      <w:proofErr w:type="gramEnd"/>
      <w:r>
        <w:t xml:space="preserve"> </w:t>
      </w:r>
    </w:p>
  </w:footnote>
  <w:footnote w:id="62">
    <w:p w:rsidR="00CE28FE" w:rsidRDefault="00CE28FE">
      <w:pPr>
        <w:pStyle w:val="FootnoteText"/>
      </w:pPr>
      <w:r>
        <w:rPr>
          <w:rStyle w:val="FootnoteReference"/>
        </w:rPr>
        <w:footnoteRef/>
      </w:r>
      <w:r>
        <w:t xml:space="preserve"> </w:t>
      </w:r>
      <w:proofErr w:type="gramStart"/>
      <w:r>
        <w:t>Ibid. at 146.</w:t>
      </w:r>
      <w:proofErr w:type="gramEnd"/>
    </w:p>
  </w:footnote>
  <w:footnote w:id="63">
    <w:p w:rsidR="00CE28FE" w:rsidRDefault="00CE28FE" w:rsidP="00FF11C6">
      <w:pPr>
        <w:pStyle w:val="FootnoteText"/>
      </w:pPr>
      <w:r>
        <w:rPr>
          <w:rStyle w:val="FootnoteReference"/>
        </w:rPr>
        <w:footnoteRef/>
      </w:r>
      <w:r>
        <w:t xml:space="preserve"> </w:t>
      </w:r>
      <w:proofErr w:type="gramStart"/>
      <w:r>
        <w:t>Ibid. at [5.36].</w:t>
      </w:r>
      <w:proofErr w:type="gramEnd"/>
    </w:p>
  </w:footnote>
  <w:footnote w:id="64">
    <w:p w:rsidR="00CE28FE" w:rsidRDefault="00CE28FE" w:rsidP="007A36AC">
      <w:pPr>
        <w:pStyle w:val="FootnoteText"/>
      </w:pPr>
      <w:r>
        <w:rPr>
          <w:rStyle w:val="FootnoteReference"/>
        </w:rPr>
        <w:footnoteRef/>
      </w:r>
      <w:r>
        <w:t xml:space="preserve"> </w:t>
      </w:r>
      <w:proofErr w:type="gramStart"/>
      <w:r>
        <w:t>Ibid. at [9.11] and 148.</w:t>
      </w:r>
      <w:proofErr w:type="gramEnd"/>
    </w:p>
  </w:footnote>
  <w:footnote w:id="65">
    <w:p w:rsidR="00CE28FE" w:rsidRDefault="00CE28FE" w:rsidP="00C9266C">
      <w:pPr>
        <w:pStyle w:val="FootnoteText"/>
      </w:pPr>
      <w:r>
        <w:rPr>
          <w:rStyle w:val="FootnoteReference"/>
        </w:rPr>
        <w:footnoteRef/>
      </w:r>
      <w:r>
        <w:t xml:space="preserve"> Ibid. at 148 (see </w:t>
      </w:r>
      <w:proofErr w:type="gramStart"/>
      <w:r>
        <w:t>cl.4(</w:t>
      </w:r>
      <w:proofErr w:type="gramEnd"/>
      <w:r>
        <w:t>3) of the Law Commission’s draft Bill).</w:t>
      </w:r>
    </w:p>
  </w:footnote>
  <w:footnote w:id="66">
    <w:p w:rsidR="00CE28FE" w:rsidRDefault="00CE28FE" w:rsidP="00DF6693">
      <w:pPr>
        <w:pStyle w:val="FootnoteText"/>
      </w:pPr>
      <w:r>
        <w:rPr>
          <w:rStyle w:val="FootnoteReference"/>
        </w:rPr>
        <w:footnoteRef/>
      </w:r>
      <w:r>
        <w:t xml:space="preserve"> </w:t>
      </w:r>
      <w:proofErr w:type="gramStart"/>
      <w:r>
        <w:t>Ibid. at [3.40-3.64].</w:t>
      </w:r>
      <w:proofErr w:type="gramEnd"/>
    </w:p>
  </w:footnote>
  <w:footnote w:id="67">
    <w:p w:rsidR="00CE28FE" w:rsidRDefault="00CE28FE" w:rsidP="00DF6693">
      <w:pPr>
        <w:pStyle w:val="FootnoteText"/>
      </w:pPr>
      <w:r>
        <w:rPr>
          <w:rStyle w:val="FootnoteReference"/>
        </w:rPr>
        <w:footnoteRef/>
      </w:r>
      <w:r>
        <w:t xml:space="preserve"> </w:t>
      </w:r>
      <w:proofErr w:type="gramStart"/>
      <w:r>
        <w:t>Ibid. at [5.71-5.72].</w:t>
      </w:r>
      <w:proofErr w:type="gramEnd"/>
      <w:r>
        <w:t xml:space="preserve"> </w:t>
      </w:r>
    </w:p>
  </w:footnote>
  <w:footnote w:id="68">
    <w:p w:rsidR="00CE28FE" w:rsidRDefault="00CE28FE" w:rsidP="00DF6693">
      <w:pPr>
        <w:pStyle w:val="FootnoteText"/>
      </w:pPr>
      <w:r>
        <w:rPr>
          <w:rStyle w:val="FootnoteReference"/>
        </w:rPr>
        <w:footnoteRef/>
      </w:r>
      <w:r>
        <w:t xml:space="preserve"> </w:t>
      </w:r>
      <w:proofErr w:type="spellStart"/>
      <w:proofErr w:type="gramStart"/>
      <w:r>
        <w:t>CrimPD</w:t>
      </w:r>
      <w:proofErr w:type="spellEnd"/>
      <w:r>
        <w:t xml:space="preserve"> 19A.5.</w:t>
      </w:r>
      <w:proofErr w:type="gramEnd"/>
    </w:p>
  </w:footnote>
  <w:footnote w:id="69">
    <w:p w:rsidR="00CE28FE" w:rsidRDefault="00CE28FE" w:rsidP="00DF6693">
      <w:pPr>
        <w:pStyle w:val="FootnoteText"/>
      </w:pPr>
      <w:r>
        <w:rPr>
          <w:rStyle w:val="FootnoteReference"/>
        </w:rPr>
        <w:footnoteRef/>
      </w:r>
      <w:r>
        <w:t xml:space="preserve"> Law Commission, above, n.3 at [5.66]. </w:t>
      </w:r>
    </w:p>
  </w:footnote>
  <w:footnote w:id="70">
    <w:p w:rsidR="00CE28FE" w:rsidRDefault="00CE28FE" w:rsidP="00DF6693">
      <w:pPr>
        <w:pStyle w:val="FootnoteText"/>
      </w:pPr>
      <w:r>
        <w:rPr>
          <w:rStyle w:val="FootnoteReference"/>
        </w:rPr>
        <w:footnoteRef/>
      </w:r>
      <w:r>
        <w:t xml:space="preserve"> </w:t>
      </w:r>
      <w:proofErr w:type="gramStart"/>
      <w:r>
        <w:t>Ibid. at [5.70].</w:t>
      </w:r>
      <w:proofErr w:type="gramEnd"/>
      <w:r>
        <w:t xml:space="preserve"> </w:t>
      </w:r>
    </w:p>
  </w:footnote>
  <w:footnote w:id="71">
    <w:p w:rsidR="00CE28FE" w:rsidRDefault="00CE28FE" w:rsidP="00DF6693">
      <w:pPr>
        <w:pStyle w:val="FootnoteText"/>
      </w:pPr>
      <w:r>
        <w:rPr>
          <w:rStyle w:val="FootnoteReference"/>
        </w:rPr>
        <w:footnoteRef/>
      </w:r>
      <w:r>
        <w:t xml:space="preserve"> </w:t>
      </w:r>
      <w:proofErr w:type="gramStart"/>
      <w:r>
        <w:t>Ibid. at [5.74].</w:t>
      </w:r>
      <w:proofErr w:type="gramEnd"/>
      <w:r>
        <w:t xml:space="preserve"> </w:t>
      </w:r>
    </w:p>
  </w:footnote>
  <w:footnote w:id="72">
    <w:p w:rsidR="00CE28FE" w:rsidRDefault="00CE28FE" w:rsidP="00DF6693">
      <w:pPr>
        <w:pStyle w:val="FootnoteText"/>
      </w:pPr>
      <w:r>
        <w:rPr>
          <w:rStyle w:val="FootnoteReference"/>
        </w:rPr>
        <w:footnoteRef/>
      </w:r>
      <w:r>
        <w:t xml:space="preserve"> </w:t>
      </w:r>
      <w:proofErr w:type="gramStart"/>
      <w:r>
        <w:t>Ibid. at [5.73].</w:t>
      </w:r>
      <w:proofErr w:type="gramEnd"/>
      <w:r>
        <w:t xml:space="preserve"> </w:t>
      </w:r>
    </w:p>
  </w:footnote>
  <w:footnote w:id="73">
    <w:p w:rsidR="00CE28FE" w:rsidRDefault="00CE28FE" w:rsidP="00DF6693">
      <w:pPr>
        <w:pStyle w:val="FootnoteText"/>
      </w:pPr>
      <w:r>
        <w:rPr>
          <w:rStyle w:val="FootnoteReference"/>
        </w:rPr>
        <w:footnoteRef/>
      </w:r>
      <w:r>
        <w:t xml:space="preserve"> </w:t>
      </w:r>
      <w:proofErr w:type="gramStart"/>
      <w:r>
        <w:t>Ibid. at [2.19-2.23].</w:t>
      </w:r>
      <w:proofErr w:type="gramEnd"/>
      <w:r>
        <w:t xml:space="preserve"> </w:t>
      </w:r>
    </w:p>
  </w:footnote>
  <w:footnote w:id="74">
    <w:p w:rsidR="00CE28FE" w:rsidRDefault="00CE28FE" w:rsidP="00DF6693">
      <w:pPr>
        <w:pStyle w:val="FootnoteText"/>
      </w:pPr>
      <w:r>
        <w:rPr>
          <w:rStyle w:val="FootnoteReference"/>
        </w:rPr>
        <w:footnoteRef/>
      </w:r>
      <w:r>
        <w:t xml:space="preserve"> </w:t>
      </w:r>
      <w:proofErr w:type="gramStart"/>
      <w:r w:rsidRPr="000A6450">
        <w:t>[1996] Criminal Law Review 519.</w:t>
      </w:r>
      <w:proofErr w:type="gramEnd"/>
    </w:p>
  </w:footnote>
  <w:footnote w:id="75">
    <w:p w:rsidR="00CE28FE" w:rsidRDefault="00CE28FE" w:rsidP="00DF6693">
      <w:pPr>
        <w:pStyle w:val="FootnoteText"/>
      </w:pPr>
      <w:r>
        <w:rPr>
          <w:rStyle w:val="FootnoteReference"/>
        </w:rPr>
        <w:footnoteRef/>
      </w:r>
      <w:r>
        <w:t xml:space="preserve"> </w:t>
      </w:r>
      <w:proofErr w:type="gramStart"/>
      <w:r>
        <w:t>Ibid. at [5.81-5.82].</w:t>
      </w:r>
      <w:proofErr w:type="gramEnd"/>
      <w:r>
        <w:t xml:space="preserve"> </w:t>
      </w:r>
    </w:p>
  </w:footnote>
  <w:footnote w:id="76">
    <w:p w:rsidR="00CE28FE" w:rsidRDefault="00CE28FE" w:rsidP="00DF6693">
      <w:pPr>
        <w:pStyle w:val="FootnoteText"/>
      </w:pPr>
      <w:r>
        <w:rPr>
          <w:rStyle w:val="FootnoteReference"/>
        </w:rPr>
        <w:footnoteRef/>
      </w:r>
      <w:r>
        <w:t xml:space="preserve"> </w:t>
      </w:r>
      <w:proofErr w:type="gramStart"/>
      <w:r>
        <w:t>Ibid. at [5.81].</w:t>
      </w:r>
      <w:proofErr w:type="gramEnd"/>
    </w:p>
  </w:footnote>
  <w:footnote w:id="77">
    <w:p w:rsidR="00CE28FE" w:rsidRDefault="00CE28FE" w:rsidP="00DF6693">
      <w:pPr>
        <w:pStyle w:val="FootnoteText"/>
      </w:pPr>
      <w:r>
        <w:rPr>
          <w:rStyle w:val="FootnoteReference"/>
        </w:rPr>
        <w:footnoteRef/>
      </w:r>
      <w:r>
        <w:t xml:space="preserve"> </w:t>
      </w:r>
      <w:proofErr w:type="gramStart"/>
      <w:r>
        <w:t>Ibid. at [5.82].</w:t>
      </w:r>
      <w:proofErr w:type="gramEnd"/>
      <w:r>
        <w:t xml:space="preserve"> </w:t>
      </w:r>
    </w:p>
  </w:footnote>
  <w:footnote w:id="78">
    <w:p w:rsidR="00CE28FE" w:rsidRDefault="00CE28FE" w:rsidP="00DF6693">
      <w:pPr>
        <w:pStyle w:val="FootnoteText"/>
      </w:pPr>
      <w:r>
        <w:rPr>
          <w:rStyle w:val="FootnoteReference"/>
        </w:rPr>
        <w:footnoteRef/>
      </w:r>
      <w:r>
        <w:t xml:space="preserve"> </w:t>
      </w:r>
      <w:proofErr w:type="spellStart"/>
      <w:proofErr w:type="gramStart"/>
      <w:r>
        <w:t>CrimPD</w:t>
      </w:r>
      <w:proofErr w:type="spellEnd"/>
      <w:r>
        <w:t xml:space="preserve"> 19A.1, 19A.5.</w:t>
      </w:r>
      <w:proofErr w:type="gramEnd"/>
      <w:r>
        <w:t xml:space="preserve"> </w:t>
      </w:r>
      <w:proofErr w:type="gramStart"/>
      <w:r>
        <w:t>and</w:t>
      </w:r>
      <w:proofErr w:type="gramEnd"/>
      <w:r>
        <w:t xml:space="preserve"> 19A.6.</w:t>
      </w:r>
    </w:p>
  </w:footnote>
  <w:footnote w:id="79">
    <w:p w:rsidR="00CE28FE" w:rsidRPr="00616641" w:rsidRDefault="00CE28FE" w:rsidP="00DF6693">
      <w:pPr>
        <w:autoSpaceDE w:val="0"/>
        <w:autoSpaceDN w:val="0"/>
        <w:adjustRightInd w:val="0"/>
        <w:spacing w:after="0" w:line="240" w:lineRule="auto"/>
        <w:rPr>
          <w:sz w:val="20"/>
          <w:szCs w:val="20"/>
        </w:rPr>
      </w:pPr>
      <w:r>
        <w:rPr>
          <w:rStyle w:val="FootnoteReference"/>
        </w:rPr>
        <w:footnoteRef/>
      </w:r>
      <w:r>
        <w:t xml:space="preserve"> </w:t>
      </w:r>
      <w:r w:rsidRPr="00616641">
        <w:rPr>
          <w:sz w:val="20"/>
          <w:szCs w:val="20"/>
        </w:rPr>
        <w:t xml:space="preserve">See Tony Ward ‘English Law's Epistemology of Expert Testimony’ (2006) 33 JL &amp; </w:t>
      </w:r>
      <w:proofErr w:type="spellStart"/>
      <w:r w:rsidRPr="00616641">
        <w:rPr>
          <w:sz w:val="20"/>
          <w:szCs w:val="20"/>
        </w:rPr>
        <w:t>Soc’y</w:t>
      </w:r>
      <w:proofErr w:type="spellEnd"/>
      <w:r w:rsidRPr="00616641">
        <w:rPr>
          <w:sz w:val="20"/>
          <w:szCs w:val="20"/>
        </w:rPr>
        <w:t xml:space="preserve"> 572 at 583-584 and see Law Commission, above n.3 at [2.21], referring to </w:t>
      </w:r>
      <w:proofErr w:type="spellStart"/>
      <w:r w:rsidRPr="00616641">
        <w:rPr>
          <w:sz w:val="20"/>
          <w:szCs w:val="20"/>
        </w:rPr>
        <w:t>Phipson</w:t>
      </w:r>
      <w:proofErr w:type="spellEnd"/>
      <w:r w:rsidRPr="00616641">
        <w:rPr>
          <w:sz w:val="20"/>
          <w:szCs w:val="20"/>
        </w:rPr>
        <w:t xml:space="preserve"> on Evidence, Sweet and Maxwell, London, 17th </w:t>
      </w:r>
      <w:proofErr w:type="spellStart"/>
      <w:r w:rsidRPr="00616641">
        <w:rPr>
          <w:sz w:val="20"/>
          <w:szCs w:val="20"/>
        </w:rPr>
        <w:t>ed</w:t>
      </w:r>
      <w:proofErr w:type="spellEnd"/>
      <w:r w:rsidRPr="00616641">
        <w:rPr>
          <w:sz w:val="20"/>
          <w:szCs w:val="20"/>
        </w:rPr>
        <w:t xml:space="preserve">, 2010, at  [33-19]. </w:t>
      </w:r>
    </w:p>
  </w:footnote>
  <w:footnote w:id="80">
    <w:p w:rsidR="00CE28FE" w:rsidRDefault="00CE28FE" w:rsidP="00DF6693">
      <w:pPr>
        <w:pStyle w:val="FootnoteText"/>
      </w:pPr>
      <w:r>
        <w:rPr>
          <w:rStyle w:val="FootnoteReference"/>
        </w:rPr>
        <w:footnoteRef/>
      </w:r>
      <w:r>
        <w:t xml:space="preserve"> See </w:t>
      </w:r>
      <w:r w:rsidRPr="000A6450">
        <w:rPr>
          <w:i/>
        </w:rPr>
        <w:t>Blair-Ford v CRS Adventures Ltd</w:t>
      </w:r>
      <w:r w:rsidRPr="000A6450">
        <w:t xml:space="preserve"> [2012] EWHC 1886 (QB)</w:t>
      </w:r>
      <w:r>
        <w:t>.</w:t>
      </w:r>
    </w:p>
  </w:footnote>
  <w:footnote w:id="81">
    <w:p w:rsidR="00CE28FE" w:rsidRDefault="00CE28FE">
      <w:pPr>
        <w:pStyle w:val="FootnoteText"/>
      </w:pPr>
      <w:r>
        <w:rPr>
          <w:rStyle w:val="FootnoteReference"/>
        </w:rPr>
        <w:footnoteRef/>
      </w:r>
      <w:r>
        <w:t xml:space="preserve"> See, respectively, </w:t>
      </w:r>
      <w:proofErr w:type="spellStart"/>
      <w:r>
        <w:t>CrimPR</w:t>
      </w:r>
      <w:proofErr w:type="spellEnd"/>
      <w:r>
        <w:t xml:space="preserve"> 19.4 (b)-(g).</w:t>
      </w:r>
    </w:p>
  </w:footnote>
  <w:footnote w:id="82">
    <w:p w:rsidR="00CE28FE" w:rsidRDefault="00CE28FE" w:rsidP="003C6346">
      <w:pPr>
        <w:pStyle w:val="FootnoteText"/>
      </w:pPr>
      <w:r>
        <w:rPr>
          <w:rStyle w:val="FootnoteReference"/>
        </w:rPr>
        <w:footnoteRef/>
      </w:r>
      <w:r>
        <w:t xml:space="preserve"> </w:t>
      </w:r>
      <w:proofErr w:type="gramStart"/>
      <w:r>
        <w:t>A Guide to the Criminal Procedure R</w:t>
      </w:r>
      <w:r w:rsidRPr="000506AF">
        <w:t>ules 2014 (</w:t>
      </w:r>
      <w:proofErr w:type="spellStart"/>
      <w:r w:rsidRPr="000506AF">
        <w:t>s.i</w:t>
      </w:r>
      <w:proofErr w:type="spellEnd"/>
      <w:r w:rsidRPr="000506AF">
        <w:t>. 2014/1610)</w:t>
      </w:r>
      <w:r>
        <w:t xml:space="preserve"> at 4.</w:t>
      </w:r>
      <w:proofErr w:type="gramEnd"/>
      <w:r>
        <w:t xml:space="preserve"> </w:t>
      </w:r>
      <w:r w:rsidRPr="007A3205">
        <w:t xml:space="preserve">Available at: </w:t>
      </w:r>
      <w:hyperlink r:id="rId3" w:anchor="q=A+Guide+to+the+Criminal+Procedure+Rules+2014+(s.i.+2014%2F1610)" w:history="1">
        <w:r w:rsidRPr="000506AF">
          <w:t>https://www.google.co.uk/webhp?sourceid=chrome-instant&amp;rlz=1C1RNLH_enGB514GB517&amp;ion=1&amp;espv=2&amp;ie=UTF-8#q=A+Guide+to+the+Criminal+Procedure+Rules+2014+(s.i.+2014%2F1610)</w:t>
        </w:r>
      </w:hyperlink>
      <w:r>
        <w:t xml:space="preserve"> </w:t>
      </w:r>
      <w:r w:rsidRPr="007A3205">
        <w:t xml:space="preserve">(accessed </w:t>
      </w:r>
      <w:r>
        <w:t xml:space="preserve">17/02/2016).  .   </w:t>
      </w:r>
    </w:p>
  </w:footnote>
  <w:footnote w:id="83">
    <w:p w:rsidR="00CE28FE" w:rsidRDefault="00CE28FE">
      <w:pPr>
        <w:pStyle w:val="FootnoteText"/>
      </w:pPr>
      <w:r>
        <w:rPr>
          <w:rStyle w:val="FootnoteReference"/>
        </w:rPr>
        <w:footnoteRef/>
      </w:r>
      <w:r>
        <w:t xml:space="preserve"> </w:t>
      </w:r>
      <w:proofErr w:type="spellStart"/>
      <w:proofErr w:type="gramStart"/>
      <w:r>
        <w:t>CrimPD</w:t>
      </w:r>
      <w:proofErr w:type="spellEnd"/>
      <w:r>
        <w:t xml:space="preserve"> 19.4(h).</w:t>
      </w:r>
      <w:proofErr w:type="gramEnd"/>
      <w:r>
        <w:t xml:space="preserve"> </w:t>
      </w:r>
    </w:p>
  </w:footnote>
  <w:footnote w:id="84">
    <w:p w:rsidR="00CE28FE" w:rsidRDefault="00CE28FE">
      <w:pPr>
        <w:pStyle w:val="FootnoteText"/>
      </w:pPr>
      <w:r>
        <w:rPr>
          <w:rStyle w:val="FootnoteReference"/>
        </w:rPr>
        <w:footnoteRef/>
      </w:r>
      <w:r>
        <w:t xml:space="preserve"> Crown Prosecution Service: Guidance on Expert Evidence, 1</w:t>
      </w:r>
      <w:r w:rsidRPr="001B2DB1">
        <w:rPr>
          <w:vertAlign w:val="superscript"/>
        </w:rPr>
        <w:t>st</w:t>
      </w:r>
      <w:r>
        <w:t xml:space="preserve"> </w:t>
      </w:r>
      <w:proofErr w:type="spellStart"/>
      <w:proofErr w:type="gramStart"/>
      <w:r>
        <w:t>ed</w:t>
      </w:r>
      <w:proofErr w:type="spellEnd"/>
      <w:proofErr w:type="gramEnd"/>
      <w:r>
        <w:t xml:space="preserve">, 2014 at 18. Available at </w:t>
      </w:r>
      <w:hyperlink r:id="rId4" w:history="1">
        <w:r w:rsidRPr="001B2DB1">
          <w:t>http://www.cps.gov.uk/legal/assets/uploads/files/expert_evidence_first_edition_2014.pdf</w:t>
        </w:r>
      </w:hyperlink>
      <w:r>
        <w:t xml:space="preserve"> (accessed 17/02/2016). </w:t>
      </w:r>
    </w:p>
  </w:footnote>
  <w:footnote w:id="85">
    <w:p w:rsidR="00CE28FE" w:rsidRDefault="00CE28FE">
      <w:pPr>
        <w:pStyle w:val="FootnoteText"/>
      </w:pPr>
      <w:r>
        <w:rPr>
          <w:rStyle w:val="FootnoteReference"/>
        </w:rPr>
        <w:footnoteRef/>
      </w:r>
      <w:r>
        <w:t xml:space="preserve"> Law Commission, above, n.3 at [1.42]. </w:t>
      </w:r>
    </w:p>
  </w:footnote>
  <w:footnote w:id="86">
    <w:p w:rsidR="00CE28FE" w:rsidRDefault="00CE28FE" w:rsidP="009B2EB4">
      <w:pPr>
        <w:pStyle w:val="FootnoteText"/>
      </w:pPr>
      <w:r>
        <w:rPr>
          <w:rStyle w:val="FootnoteReference"/>
        </w:rPr>
        <w:footnoteRef/>
      </w:r>
      <w:r>
        <w:t xml:space="preserve"> In relation these problems see Edmond, above n.56 at 42-50 and see Law Commission above n.3 at 5.91. </w:t>
      </w:r>
    </w:p>
  </w:footnote>
  <w:footnote w:id="87">
    <w:p w:rsidR="00CE28FE" w:rsidRDefault="00CE28FE" w:rsidP="009B2EB4">
      <w:pPr>
        <w:pStyle w:val="FootnoteText"/>
      </w:pPr>
      <w:r>
        <w:rPr>
          <w:rStyle w:val="FootnoteReference"/>
        </w:rPr>
        <w:footnoteRef/>
      </w:r>
      <w:r>
        <w:t xml:space="preserve"> </w:t>
      </w:r>
      <w:proofErr w:type="spellStart"/>
      <w:proofErr w:type="gramStart"/>
      <w:r w:rsidRPr="000745F5">
        <w:rPr>
          <w:i/>
        </w:rPr>
        <w:t>Daubert</w:t>
      </w:r>
      <w:proofErr w:type="spellEnd"/>
      <w:r w:rsidRPr="000745F5">
        <w:rPr>
          <w:i/>
        </w:rPr>
        <w:t xml:space="preserve"> v</w:t>
      </w:r>
      <w:r>
        <w:rPr>
          <w:i/>
        </w:rPr>
        <w:t xml:space="preserve"> Merrell Dow Pharmaceuticals</w:t>
      </w:r>
      <w:r w:rsidRPr="000745F5">
        <w:rPr>
          <w:i/>
        </w:rPr>
        <w:t>,</w:t>
      </w:r>
      <w:r>
        <w:t xml:space="preserve"> 509 U.S. 579 (1993).</w:t>
      </w:r>
      <w:proofErr w:type="gramEnd"/>
    </w:p>
  </w:footnote>
  <w:footnote w:id="88">
    <w:p w:rsidR="00CE28FE" w:rsidRDefault="00CE28FE" w:rsidP="009B2EB4">
      <w:pPr>
        <w:pStyle w:val="FootnoteText"/>
      </w:pPr>
      <w:r>
        <w:rPr>
          <w:rStyle w:val="FootnoteReference"/>
        </w:rPr>
        <w:footnoteRef/>
      </w:r>
      <w:r>
        <w:t xml:space="preserve"> </w:t>
      </w:r>
      <w:r w:rsidRPr="00AD28D7">
        <w:t>In its current form, Rule 702 provides that: “A witness who is qualified as an expert by knowledge, skill, experience, training, or education may testify in the form of an opinion or otherwise if: </w:t>
      </w:r>
      <w:r w:rsidRPr="00AD28D7">
        <w:rPr>
          <w:bCs/>
        </w:rPr>
        <w:t>(a)</w:t>
      </w:r>
      <w:r w:rsidRPr="00AD28D7">
        <w:t xml:space="preserve"> the expert’s scientific, technical, or other specialized knowledge will help the trier of fact to understand the evidence or to determine a fact in issue; </w:t>
      </w:r>
      <w:r w:rsidRPr="00AD28D7">
        <w:rPr>
          <w:bCs/>
        </w:rPr>
        <w:t>(b)</w:t>
      </w:r>
      <w:r w:rsidRPr="00AD28D7">
        <w:t xml:space="preserve"> the testimony is based on sufficient facts or data; </w:t>
      </w:r>
      <w:r w:rsidRPr="00AD28D7">
        <w:rPr>
          <w:bCs/>
        </w:rPr>
        <w:t>(c)</w:t>
      </w:r>
      <w:r w:rsidRPr="00AD28D7">
        <w:t xml:space="preserve"> the testimony is the product of reliable principles and methods; and </w:t>
      </w:r>
      <w:r w:rsidRPr="00AD28D7">
        <w:rPr>
          <w:bCs/>
        </w:rPr>
        <w:t>(d)</w:t>
      </w:r>
      <w:r w:rsidRPr="00AD28D7">
        <w:t> the expert has reliably applied the principles and methods to the facts of the case”.</w:t>
      </w:r>
    </w:p>
  </w:footnote>
  <w:footnote w:id="89">
    <w:p w:rsidR="00CE28FE" w:rsidRDefault="00CE28FE" w:rsidP="00AE190C">
      <w:pPr>
        <w:autoSpaceDE w:val="0"/>
        <w:autoSpaceDN w:val="0"/>
        <w:adjustRightInd w:val="0"/>
        <w:spacing w:after="0" w:line="240" w:lineRule="auto"/>
      </w:pPr>
      <w:r w:rsidRPr="00FD1B31">
        <w:rPr>
          <w:rStyle w:val="FootnoteReference"/>
          <w:sz w:val="20"/>
          <w:szCs w:val="20"/>
        </w:rPr>
        <w:footnoteRef/>
      </w:r>
      <w:r w:rsidRPr="00FD1B31">
        <w:rPr>
          <w:rStyle w:val="FootnoteReference"/>
          <w:sz w:val="20"/>
          <w:szCs w:val="20"/>
        </w:rPr>
        <w:t xml:space="preserve"> </w:t>
      </w:r>
      <w:r w:rsidRPr="00AD28D7">
        <w:rPr>
          <w:sz w:val="20"/>
          <w:szCs w:val="20"/>
        </w:rPr>
        <w:t xml:space="preserve">Law Commission, above n.3 at </w:t>
      </w:r>
      <w:r w:rsidRPr="00AE190C">
        <w:rPr>
          <w:sz w:val="20"/>
          <w:szCs w:val="20"/>
        </w:rPr>
        <w:t>[5.110-5.114]</w:t>
      </w:r>
      <w:r>
        <w:rPr>
          <w:sz w:val="20"/>
          <w:szCs w:val="20"/>
        </w:rPr>
        <w:t>.</w:t>
      </w:r>
    </w:p>
  </w:footnote>
  <w:footnote w:id="90">
    <w:p w:rsidR="00CE28FE" w:rsidRDefault="00CE28FE">
      <w:pPr>
        <w:pStyle w:val="FootnoteText"/>
      </w:pPr>
      <w:r>
        <w:rPr>
          <w:rStyle w:val="FootnoteReference"/>
        </w:rPr>
        <w:footnoteRef/>
      </w:r>
      <w:r>
        <w:t xml:space="preserve"> </w:t>
      </w:r>
      <w:proofErr w:type="gramStart"/>
      <w:r>
        <w:t>Ibid. at [5.115].</w:t>
      </w:r>
      <w:proofErr w:type="gramEnd"/>
      <w:r>
        <w:t xml:space="preserve"> </w:t>
      </w:r>
    </w:p>
  </w:footnote>
  <w:footnote w:id="91">
    <w:p w:rsidR="00CE28FE" w:rsidRDefault="00CE28FE">
      <w:pPr>
        <w:pStyle w:val="FootnoteText"/>
      </w:pPr>
      <w:r>
        <w:rPr>
          <w:rStyle w:val="FootnoteReference"/>
        </w:rPr>
        <w:footnoteRef/>
      </w:r>
      <w:r>
        <w:t xml:space="preserve"> </w:t>
      </w:r>
      <w:proofErr w:type="gramStart"/>
      <w:r>
        <w:t>Edmond, above n.5</w:t>
      </w:r>
      <w:r w:rsidR="00AD28D7">
        <w:t>7</w:t>
      </w:r>
      <w:r>
        <w:t xml:space="preserve"> at 49-50.</w:t>
      </w:r>
      <w:proofErr w:type="gramEnd"/>
    </w:p>
  </w:footnote>
  <w:footnote w:id="92">
    <w:p w:rsidR="00CE28FE" w:rsidRDefault="00CE28FE">
      <w:pPr>
        <w:pStyle w:val="FootnoteText"/>
      </w:pPr>
      <w:r>
        <w:rPr>
          <w:rStyle w:val="FootnoteReference"/>
        </w:rPr>
        <w:footnoteRef/>
      </w:r>
      <w:r>
        <w:t xml:space="preserve"> </w:t>
      </w:r>
      <w:proofErr w:type="gramStart"/>
      <w:r>
        <w:t>Ibid. at 63.</w:t>
      </w:r>
      <w:proofErr w:type="gramEnd"/>
      <w:r>
        <w:t xml:space="preserve"> </w:t>
      </w:r>
    </w:p>
  </w:footnote>
  <w:footnote w:id="93">
    <w:p w:rsidR="00CE28FE" w:rsidRDefault="00CE28FE" w:rsidP="00FD1B31">
      <w:pPr>
        <w:pStyle w:val="FootnoteText"/>
      </w:pPr>
      <w:r>
        <w:rPr>
          <w:rStyle w:val="FootnoteReference"/>
        </w:rPr>
        <w:footnoteRef/>
      </w:r>
      <w:r>
        <w:t xml:space="preserve"> See cl. 9 of the Law Commission’s draft Bill, Law Commission, above n.3 at 152.</w:t>
      </w:r>
    </w:p>
  </w:footnote>
  <w:footnote w:id="94">
    <w:p w:rsidR="00CE28FE" w:rsidRDefault="00CE28FE" w:rsidP="008F3892">
      <w:pPr>
        <w:pStyle w:val="FootnoteText"/>
      </w:pPr>
      <w:r>
        <w:rPr>
          <w:rStyle w:val="FootnoteReference"/>
        </w:rPr>
        <w:footnoteRef/>
      </w:r>
      <w:r>
        <w:t xml:space="preserve"> Law Commission, above, n.3 at 147-148 (see </w:t>
      </w:r>
      <w:proofErr w:type="gramStart"/>
      <w:r>
        <w:t>cl.1(</w:t>
      </w:r>
      <w:proofErr w:type="gramEnd"/>
      <w:r>
        <w:t xml:space="preserve">1)(c) and cl.3 of the Law Commission’s draft Bill). </w:t>
      </w:r>
    </w:p>
  </w:footnote>
  <w:footnote w:id="95">
    <w:p w:rsidR="00CE28FE" w:rsidRDefault="00CE28FE" w:rsidP="008F3892">
      <w:pPr>
        <w:pStyle w:val="FootnoteText"/>
      </w:pPr>
      <w:r>
        <w:rPr>
          <w:rStyle w:val="FootnoteReference"/>
        </w:rPr>
        <w:footnoteRef/>
      </w:r>
      <w:r>
        <w:t xml:space="preserve"> </w:t>
      </w:r>
      <w:proofErr w:type="gramStart"/>
      <w:r>
        <w:t>Ibid. at [3.126], [4.5] and [4.7].</w:t>
      </w:r>
      <w:proofErr w:type="gramEnd"/>
      <w:r>
        <w:t xml:space="preserve"> </w:t>
      </w:r>
    </w:p>
  </w:footnote>
  <w:footnote w:id="96">
    <w:p w:rsidR="00CE28FE" w:rsidRDefault="00CE28FE" w:rsidP="008F3892">
      <w:pPr>
        <w:pStyle w:val="FootnoteText"/>
      </w:pPr>
      <w:r>
        <w:rPr>
          <w:rStyle w:val="FootnoteReference"/>
        </w:rPr>
        <w:footnoteRef/>
      </w:r>
      <w:r>
        <w:t xml:space="preserve"> </w:t>
      </w:r>
      <w:r w:rsidRPr="00203422">
        <w:rPr>
          <w:i/>
        </w:rPr>
        <w:t>R v Stubbs</w:t>
      </w:r>
      <w:r>
        <w:t xml:space="preserve"> [2006] EWCA Crim 2312 per Richards LJ at [59] and see, also, </w:t>
      </w:r>
      <w:r w:rsidRPr="00F175B6">
        <w:t xml:space="preserve">R v </w:t>
      </w:r>
      <w:proofErr w:type="spellStart"/>
      <w:r w:rsidRPr="00F175B6">
        <w:t>Gokal</w:t>
      </w:r>
      <w:proofErr w:type="spellEnd"/>
      <w:r w:rsidRPr="00F175B6">
        <w:t xml:space="preserve"> (CA) 11 March 1999</w:t>
      </w:r>
      <w:r>
        <w:t xml:space="preserve"> and </w:t>
      </w:r>
      <w:r w:rsidRPr="00FE18ED">
        <w:rPr>
          <w:i/>
        </w:rPr>
        <w:t xml:space="preserve">Leo </w:t>
      </w:r>
      <w:proofErr w:type="spellStart"/>
      <w:r w:rsidRPr="00FE18ED">
        <w:rPr>
          <w:i/>
        </w:rPr>
        <w:t>Sawrij</w:t>
      </w:r>
      <w:proofErr w:type="spellEnd"/>
      <w:r w:rsidRPr="00FE18ED">
        <w:rPr>
          <w:i/>
        </w:rPr>
        <w:t xml:space="preserve"> Ltd v North Cumbria Magistrates’ Court</w:t>
      </w:r>
      <w:r>
        <w:t xml:space="preserve"> [</w:t>
      </w:r>
      <w:r w:rsidRPr="00FE18ED">
        <w:t>2010] 1 Cr App R 22</w:t>
      </w:r>
      <w:r>
        <w:t>.</w:t>
      </w:r>
    </w:p>
  </w:footnote>
  <w:footnote w:id="97">
    <w:p w:rsidR="00CE28FE" w:rsidRDefault="00CE28FE" w:rsidP="008F3892">
      <w:pPr>
        <w:pStyle w:val="FootnoteText"/>
      </w:pPr>
      <w:r>
        <w:rPr>
          <w:rStyle w:val="FootnoteReference"/>
        </w:rPr>
        <w:footnoteRef/>
      </w:r>
      <w:r>
        <w:t xml:space="preserve"> See </w:t>
      </w:r>
      <w:proofErr w:type="spellStart"/>
      <w:r>
        <w:t>CrimPR</w:t>
      </w:r>
      <w:proofErr w:type="spellEnd"/>
      <w:r>
        <w:t xml:space="preserve"> 19.2(1</w:t>
      </w:r>
      <w:proofErr w:type="gramStart"/>
      <w:r>
        <w:t>)(</w:t>
      </w:r>
      <w:proofErr w:type="gramEnd"/>
      <w:r>
        <w:t>a),(2).</w:t>
      </w:r>
    </w:p>
  </w:footnote>
  <w:footnote w:id="98">
    <w:p w:rsidR="00CE28FE" w:rsidRDefault="00CE28FE" w:rsidP="008F3892">
      <w:pPr>
        <w:pStyle w:val="FootnoteText"/>
      </w:pPr>
      <w:r>
        <w:rPr>
          <w:rStyle w:val="FootnoteReference"/>
        </w:rPr>
        <w:footnoteRef/>
      </w:r>
      <w:r>
        <w:t xml:space="preserve"> </w:t>
      </w:r>
      <w:proofErr w:type="gramStart"/>
      <w:r w:rsidRPr="00036168">
        <w:rPr>
          <w:i/>
        </w:rPr>
        <w:t>Rowley v Dunlop</w:t>
      </w:r>
      <w:r>
        <w:t xml:space="preserve"> [2014] EWHC 1995 (</w:t>
      </w:r>
      <w:proofErr w:type="spellStart"/>
      <w:r>
        <w:t>Ch</w:t>
      </w:r>
      <w:proofErr w:type="spellEnd"/>
      <w:r>
        <w:t>) per Richards J at [20].</w:t>
      </w:r>
      <w:proofErr w:type="gramEnd"/>
    </w:p>
  </w:footnote>
  <w:footnote w:id="99">
    <w:p w:rsidR="00CE28FE" w:rsidRDefault="00CE28FE" w:rsidP="008F3892">
      <w:pPr>
        <w:pStyle w:val="FootnoteText"/>
      </w:pPr>
      <w:r>
        <w:rPr>
          <w:rStyle w:val="FootnoteReference"/>
        </w:rPr>
        <w:footnoteRef/>
      </w:r>
      <w:r>
        <w:t xml:space="preserve"> </w:t>
      </w:r>
      <w:proofErr w:type="gramStart"/>
      <w:r w:rsidRPr="00BB6F8E">
        <w:rPr>
          <w:i/>
        </w:rPr>
        <w:t>Armchair Passenger Transport Ltd v Helical Barr</w:t>
      </w:r>
      <w:r>
        <w:t xml:space="preserve"> plc [2003] EWHC 367 (QB) per Nelson J at [29].</w:t>
      </w:r>
      <w:proofErr w:type="gramEnd"/>
    </w:p>
  </w:footnote>
  <w:footnote w:id="100">
    <w:p w:rsidR="00CE28FE" w:rsidRDefault="00CE28FE" w:rsidP="008F3892">
      <w:pPr>
        <w:pStyle w:val="FootnoteText"/>
      </w:pPr>
      <w:r>
        <w:rPr>
          <w:rStyle w:val="FootnoteReference"/>
        </w:rPr>
        <w:footnoteRef/>
      </w:r>
      <w:r>
        <w:t xml:space="preserve"> </w:t>
      </w:r>
      <w:proofErr w:type="gramStart"/>
      <w:r>
        <w:t>Above n.3 at [4.7].</w:t>
      </w:r>
      <w:proofErr w:type="gramEnd"/>
      <w:r>
        <w:t xml:space="preserve"> </w:t>
      </w:r>
    </w:p>
  </w:footnote>
  <w:footnote w:id="101">
    <w:p w:rsidR="00CE28FE" w:rsidRDefault="00CE28FE" w:rsidP="008F3892">
      <w:pPr>
        <w:pStyle w:val="FootnoteText"/>
      </w:pPr>
      <w:r>
        <w:rPr>
          <w:rStyle w:val="FootnoteReference"/>
        </w:rPr>
        <w:footnoteRef/>
      </w:r>
      <w:r>
        <w:t xml:space="preserve"> </w:t>
      </w:r>
      <w:proofErr w:type="gramStart"/>
      <w:r>
        <w:t>By s.3 of the Civil Evidence Act 1972.</w:t>
      </w:r>
      <w:proofErr w:type="gramEnd"/>
    </w:p>
  </w:footnote>
  <w:footnote w:id="102">
    <w:p w:rsidR="00CE28FE" w:rsidRDefault="00CE28FE" w:rsidP="008F3892">
      <w:pPr>
        <w:pStyle w:val="FootnoteText"/>
      </w:pPr>
      <w:r>
        <w:rPr>
          <w:rStyle w:val="FootnoteReference"/>
        </w:rPr>
        <w:footnoteRef/>
      </w:r>
      <w:r>
        <w:t xml:space="preserve"> See CPR 35.4.</w:t>
      </w:r>
    </w:p>
  </w:footnote>
  <w:footnote w:id="103">
    <w:p w:rsidR="00CE28FE" w:rsidRDefault="00CE28FE" w:rsidP="008F3892">
      <w:pPr>
        <w:pStyle w:val="FootnoteText"/>
      </w:pPr>
      <w:r>
        <w:rPr>
          <w:rStyle w:val="FootnoteReference"/>
        </w:rPr>
        <w:footnoteRef/>
      </w:r>
      <w:r>
        <w:t xml:space="preserve"> See CPR 32.1.</w:t>
      </w:r>
    </w:p>
  </w:footnote>
  <w:footnote w:id="104">
    <w:p w:rsidR="00CE28FE" w:rsidRDefault="00CE28FE" w:rsidP="008F3892">
      <w:pPr>
        <w:pStyle w:val="FootnoteText"/>
      </w:pPr>
      <w:r>
        <w:rPr>
          <w:rStyle w:val="FootnoteReference"/>
        </w:rPr>
        <w:footnoteRef/>
      </w:r>
      <w:r>
        <w:t xml:space="preserve"> </w:t>
      </w:r>
      <w:proofErr w:type="gramStart"/>
      <w:r>
        <w:t xml:space="preserve">Rose LJ </w:t>
      </w:r>
      <w:r w:rsidR="008D1073">
        <w:t xml:space="preserve">in R v Luttrell, above n. 25 </w:t>
      </w:r>
      <w:r>
        <w:t xml:space="preserve">at </w:t>
      </w:r>
      <w:r w:rsidRPr="0078374E">
        <w:t>[28], [34] and [38].</w:t>
      </w:r>
      <w:proofErr w:type="gramEnd"/>
      <w:r>
        <w:rPr>
          <w:color w:val="FF0000"/>
        </w:rPr>
        <w:t xml:space="preserve"> </w:t>
      </w:r>
    </w:p>
  </w:footnote>
  <w:footnote w:id="105">
    <w:p w:rsidR="008D1073" w:rsidRDefault="008D1073" w:rsidP="008D1073">
      <w:pPr>
        <w:pStyle w:val="FootnoteText"/>
      </w:pPr>
      <w:r>
        <w:rPr>
          <w:rStyle w:val="FootnoteReference"/>
        </w:rPr>
        <w:footnoteRef/>
      </w:r>
      <w:r>
        <w:t xml:space="preserve"> </w:t>
      </w:r>
      <w:proofErr w:type="gramStart"/>
      <w:r>
        <w:t>Thomas P, above, n.14 at [27].</w:t>
      </w:r>
      <w:proofErr w:type="gramEnd"/>
      <w:r>
        <w:t xml:space="preserve"> </w:t>
      </w:r>
    </w:p>
  </w:footnote>
  <w:footnote w:id="106">
    <w:p w:rsidR="00CE28FE" w:rsidRPr="003B22BC" w:rsidRDefault="00CE28FE" w:rsidP="008F3892">
      <w:pPr>
        <w:pStyle w:val="FootnoteText"/>
      </w:pPr>
      <w:r>
        <w:rPr>
          <w:rStyle w:val="FootnoteReference"/>
        </w:rPr>
        <w:footnoteRef/>
      </w:r>
      <w:r>
        <w:t xml:space="preserve"> </w:t>
      </w:r>
      <w:r w:rsidRPr="003B22BC">
        <w:t>David E Bernstein, "Expert Witnesses, Adversarial Bias, and the (Partial) Failure of</w:t>
      </w:r>
    </w:p>
    <w:p w:rsidR="00CE28FE" w:rsidRDefault="00CE28FE" w:rsidP="008F3892">
      <w:pPr>
        <w:pStyle w:val="FootnoteText"/>
      </w:pPr>
      <w:proofErr w:type="gramStart"/>
      <w:r w:rsidRPr="003B22BC">
        <w:t>the</w:t>
      </w:r>
      <w:proofErr w:type="gramEnd"/>
      <w:r w:rsidRPr="003B22BC">
        <w:t xml:space="preserve"> </w:t>
      </w:r>
      <w:proofErr w:type="spellStart"/>
      <w:r w:rsidRPr="003B22BC">
        <w:t>Daubert</w:t>
      </w:r>
      <w:proofErr w:type="spellEnd"/>
      <w:r w:rsidRPr="003B22BC">
        <w:t xml:space="preserve"> Revolution" (2008) 93 Iowa L. Rev. 451</w:t>
      </w:r>
      <w:r>
        <w:t xml:space="preserve"> at 488.</w:t>
      </w:r>
    </w:p>
  </w:footnote>
  <w:footnote w:id="107">
    <w:p w:rsidR="00CE28FE" w:rsidRDefault="00CE28FE" w:rsidP="008F3892">
      <w:pPr>
        <w:pStyle w:val="FootnoteText"/>
      </w:pPr>
      <w:r>
        <w:rPr>
          <w:rStyle w:val="FootnoteReference"/>
        </w:rPr>
        <w:footnoteRef/>
      </w:r>
      <w:r>
        <w:t xml:space="preserve"> </w:t>
      </w:r>
      <w:proofErr w:type="gramStart"/>
      <w:r>
        <w:t xml:space="preserve">Namely, </w:t>
      </w:r>
      <w:proofErr w:type="spellStart"/>
      <w:r w:rsidRPr="00BA7165">
        <w:rPr>
          <w:i/>
        </w:rPr>
        <w:t>Daubert</w:t>
      </w:r>
      <w:proofErr w:type="spellEnd"/>
      <w:r w:rsidRPr="00BA7165">
        <w:rPr>
          <w:i/>
        </w:rPr>
        <w:t xml:space="preserve"> </w:t>
      </w:r>
      <w:r>
        <w:t xml:space="preserve">itself plus </w:t>
      </w:r>
      <w:proofErr w:type="spellStart"/>
      <w:r w:rsidRPr="003C01D0">
        <w:t>Kumho</w:t>
      </w:r>
      <w:proofErr w:type="spellEnd"/>
      <w:r w:rsidRPr="003C01D0">
        <w:t xml:space="preserve"> Tire Co Ltd v Carmichael</w:t>
      </w:r>
      <w:r>
        <w:t>,</w:t>
      </w:r>
      <w:r w:rsidRPr="003C01D0">
        <w:t xml:space="preserve"> 526 U.S. 137 (1999)</w:t>
      </w:r>
      <w:r>
        <w:t xml:space="preserve"> and </w:t>
      </w:r>
      <w:r w:rsidRPr="003C01D0">
        <w:rPr>
          <w:i/>
        </w:rPr>
        <w:t>General Electric Co v Joiner</w:t>
      </w:r>
      <w:r w:rsidRPr="003C01D0">
        <w:t>, 522 U.S. 136 (1997).</w:t>
      </w:r>
      <w:proofErr w:type="gramEnd"/>
    </w:p>
  </w:footnote>
  <w:footnote w:id="108">
    <w:p w:rsidR="00CE28FE" w:rsidRPr="00F202EB" w:rsidRDefault="00CE28FE" w:rsidP="008F3892">
      <w:pPr>
        <w:pStyle w:val="FootnoteText"/>
        <w:rPr>
          <w:lang w:val="de-DE"/>
        </w:rPr>
      </w:pPr>
      <w:r>
        <w:rPr>
          <w:rStyle w:val="FootnoteReference"/>
        </w:rPr>
        <w:footnoteRef/>
      </w:r>
      <w:r w:rsidRPr="00F202EB">
        <w:rPr>
          <w:lang w:val="de-DE"/>
        </w:rPr>
        <w:t xml:space="preserve"> David E Bernstein, above, n. </w:t>
      </w:r>
      <w:r w:rsidR="008D1073">
        <w:rPr>
          <w:lang w:val="de-DE"/>
        </w:rPr>
        <w:t>106</w:t>
      </w:r>
      <w:r w:rsidRPr="00F202EB">
        <w:rPr>
          <w:lang w:val="de-DE"/>
        </w:rPr>
        <w:t xml:space="preserve"> at 488-489. </w:t>
      </w:r>
    </w:p>
  </w:footnote>
  <w:footnote w:id="109">
    <w:p w:rsidR="00CE28FE" w:rsidRDefault="00CE28FE" w:rsidP="00C11229">
      <w:pPr>
        <w:pStyle w:val="FootnoteText"/>
      </w:pPr>
      <w:r>
        <w:rPr>
          <w:rStyle w:val="FootnoteReference"/>
        </w:rPr>
        <w:footnoteRef/>
      </w:r>
      <w:r>
        <w:t xml:space="preserve"> Law Commission, above, n.3 at 5.24.</w:t>
      </w:r>
    </w:p>
  </w:footnote>
  <w:footnote w:id="110">
    <w:p w:rsidR="00CE28FE" w:rsidRDefault="00CE28FE" w:rsidP="00C11229">
      <w:pPr>
        <w:pStyle w:val="FootnoteText"/>
      </w:pPr>
      <w:r>
        <w:rPr>
          <w:rStyle w:val="FootnoteReference"/>
        </w:rPr>
        <w:footnoteRef/>
      </w:r>
      <w:r>
        <w:t xml:space="preserve"> </w:t>
      </w:r>
      <w:r w:rsidR="008D1073">
        <w:t>Law Commission, a</w:t>
      </w:r>
      <w:r>
        <w:t xml:space="preserve">bove, n.1 at 6.26 and 6.35. </w:t>
      </w:r>
    </w:p>
  </w:footnote>
  <w:footnote w:id="111">
    <w:p w:rsidR="00CE28FE" w:rsidRDefault="00CE28FE" w:rsidP="00AD60E1">
      <w:pPr>
        <w:pStyle w:val="FootnoteText"/>
      </w:pPr>
      <w:r>
        <w:rPr>
          <w:rStyle w:val="FootnoteReference"/>
        </w:rPr>
        <w:footnoteRef/>
      </w:r>
      <w:r>
        <w:t xml:space="preserve"> See, respectively, </w:t>
      </w:r>
      <w:proofErr w:type="spellStart"/>
      <w:r>
        <w:t>CrimPD</w:t>
      </w:r>
      <w:proofErr w:type="spellEnd"/>
      <w:r>
        <w:t xml:space="preserve"> 19.5 (f)</w:t>
      </w:r>
      <w:proofErr w:type="gramStart"/>
      <w:r>
        <w:t>,(</w:t>
      </w:r>
      <w:proofErr w:type="gramEnd"/>
      <w:r>
        <w:t xml:space="preserve">g) and(h). </w:t>
      </w:r>
    </w:p>
  </w:footnote>
  <w:footnote w:id="112">
    <w:p w:rsidR="00CE28FE" w:rsidRDefault="00CE28FE" w:rsidP="008F3892">
      <w:pPr>
        <w:pStyle w:val="FootnoteText"/>
      </w:pPr>
      <w:r>
        <w:rPr>
          <w:rStyle w:val="FootnoteReference"/>
        </w:rPr>
        <w:footnoteRef/>
      </w:r>
      <w:r>
        <w:t xml:space="preserve"> </w:t>
      </w:r>
      <w:proofErr w:type="spellStart"/>
      <w:proofErr w:type="gramStart"/>
      <w:r w:rsidRPr="00A20C48">
        <w:t>Michell</w:t>
      </w:r>
      <w:proofErr w:type="spellEnd"/>
      <w:r w:rsidRPr="00A20C48">
        <w:t xml:space="preserve">, P; </w:t>
      </w:r>
      <w:proofErr w:type="spellStart"/>
      <w:r w:rsidRPr="00A20C48">
        <w:t>Madhane</w:t>
      </w:r>
      <w:proofErr w:type="spellEnd"/>
      <w:r w:rsidRPr="00A20C48">
        <w:t>, R. “The Uncertain Duty of the Expert Witness” (2005) 42 Alta L Rev 636</w:t>
      </w:r>
      <w:r>
        <w:t xml:space="preserve"> at </w:t>
      </w:r>
      <w:proofErr w:type="spellStart"/>
      <w:r>
        <w:t>At</w:t>
      </w:r>
      <w:proofErr w:type="spellEnd"/>
      <w:r>
        <w:t xml:space="preserve"> 649.</w:t>
      </w:r>
      <w:proofErr w:type="gramEnd"/>
      <w:r>
        <w:t xml:space="preserve"> </w:t>
      </w:r>
    </w:p>
  </w:footnote>
  <w:footnote w:id="113">
    <w:p w:rsidR="00CE28FE" w:rsidRDefault="00CE28FE" w:rsidP="008F3892">
      <w:pPr>
        <w:pStyle w:val="FootnoteText"/>
      </w:pPr>
      <w:r>
        <w:rPr>
          <w:rStyle w:val="FootnoteReference"/>
        </w:rPr>
        <w:footnoteRef/>
      </w:r>
      <w:r>
        <w:t xml:space="preserve"> Deidre </w:t>
      </w:r>
      <w:r w:rsidRPr="00D015BE">
        <w:t>Dwyer, “The causes and manifestations of bias in civil expert evidence”</w:t>
      </w:r>
      <w:r>
        <w:t xml:space="preserve"> </w:t>
      </w:r>
      <w:r w:rsidRPr="00D015BE">
        <w:t xml:space="preserve">(2007) 26 </w:t>
      </w:r>
      <w:r>
        <w:t>CJQ</w:t>
      </w:r>
      <w:r w:rsidRPr="00D015BE">
        <w:t xml:space="preserve"> </w:t>
      </w:r>
      <w:r>
        <w:t>425 at 427.</w:t>
      </w:r>
    </w:p>
  </w:footnote>
  <w:footnote w:id="114">
    <w:p w:rsidR="00CE28FE" w:rsidRDefault="00CE28FE" w:rsidP="008F3892">
      <w:pPr>
        <w:pStyle w:val="FootnoteText"/>
      </w:pPr>
      <w:r>
        <w:rPr>
          <w:rStyle w:val="FootnoteReference"/>
        </w:rPr>
        <w:footnoteRef/>
      </w:r>
      <w:r>
        <w:t xml:space="preserve"> Ibid. at 427-430.</w:t>
      </w:r>
    </w:p>
  </w:footnote>
  <w:footnote w:id="115">
    <w:p w:rsidR="00CE28FE" w:rsidRDefault="00CE28FE" w:rsidP="008F3892">
      <w:pPr>
        <w:pStyle w:val="FootnoteText"/>
      </w:pPr>
      <w:r>
        <w:rPr>
          <w:rStyle w:val="FootnoteReference"/>
        </w:rPr>
        <w:footnoteRef/>
      </w:r>
      <w:r>
        <w:t xml:space="preserve"> Ibid. at 430-435.</w:t>
      </w:r>
    </w:p>
  </w:footnote>
  <w:footnote w:id="116">
    <w:p w:rsidR="00CE28FE" w:rsidRDefault="00CE28FE" w:rsidP="008F3892">
      <w:pPr>
        <w:pStyle w:val="FootnoteText"/>
      </w:pPr>
      <w:r>
        <w:rPr>
          <w:rStyle w:val="FootnoteReference"/>
        </w:rPr>
        <w:footnoteRef/>
      </w:r>
      <w:r>
        <w:t xml:space="preserve"> </w:t>
      </w:r>
      <w:proofErr w:type="gramStart"/>
      <w:r>
        <w:t>Ibid. at 434.</w:t>
      </w:r>
      <w:proofErr w:type="gramEnd"/>
    </w:p>
  </w:footnote>
  <w:footnote w:id="117">
    <w:p w:rsidR="00CE28FE" w:rsidRDefault="00CE28FE" w:rsidP="008F3892">
      <w:pPr>
        <w:pStyle w:val="FootnoteText"/>
      </w:pPr>
      <w:r>
        <w:rPr>
          <w:rStyle w:val="FootnoteReference"/>
        </w:rPr>
        <w:footnoteRef/>
      </w:r>
      <w:r>
        <w:t xml:space="preserve"> </w:t>
      </w:r>
      <w:proofErr w:type="spellStart"/>
      <w:r>
        <w:t>Paciocco</w:t>
      </w:r>
      <w:proofErr w:type="spellEnd"/>
      <w:r>
        <w:t xml:space="preserve"> M, “Unplugging Jukebox Testimony in an Adversarial System: Strategies for Changing the Tune on Partial Experts” (2009) 34 Queen’s LJ 565.</w:t>
      </w:r>
    </w:p>
  </w:footnote>
  <w:footnote w:id="118">
    <w:p w:rsidR="00CE28FE" w:rsidRDefault="00CE28FE" w:rsidP="008F3892">
      <w:pPr>
        <w:pStyle w:val="FootnoteText"/>
      </w:pPr>
      <w:r>
        <w:rPr>
          <w:rStyle w:val="FootnoteReference"/>
        </w:rPr>
        <w:footnoteRef/>
      </w:r>
      <w:r>
        <w:t xml:space="preserve"> </w:t>
      </w:r>
      <w:proofErr w:type="gramStart"/>
      <w:r>
        <w:t>Ibid. at 600.</w:t>
      </w:r>
      <w:proofErr w:type="gramEnd"/>
    </w:p>
  </w:footnote>
  <w:footnote w:id="119">
    <w:p w:rsidR="00CE28FE" w:rsidRDefault="00CE28FE" w:rsidP="008F3892">
      <w:pPr>
        <w:pStyle w:val="FootnoteText"/>
      </w:pPr>
      <w:r>
        <w:rPr>
          <w:rStyle w:val="FootnoteReference"/>
        </w:rPr>
        <w:footnoteRef/>
      </w:r>
      <w:r>
        <w:t xml:space="preserve"> Ibid. at 600-604.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2E65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ascii="Times New Roman" w:hAnsi="Times New Roman" w:cs="Times New Roman"/>
      </w:rPr>
    </w:lvl>
  </w:abstractNum>
  <w:abstractNum w:abstractNumId="2">
    <w:nsid w:val="08BD72E9"/>
    <w:multiLevelType w:val="hybridMultilevel"/>
    <w:tmpl w:val="53544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20C6E"/>
    <w:multiLevelType w:val="multilevel"/>
    <w:tmpl w:val="F786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50C78"/>
    <w:multiLevelType w:val="hybridMultilevel"/>
    <w:tmpl w:val="088C4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B67038"/>
    <w:multiLevelType w:val="hybridMultilevel"/>
    <w:tmpl w:val="7D0CD4DC"/>
    <w:lvl w:ilvl="0" w:tplc="98A2061C">
      <w:start w:val="1"/>
      <w:numFmt w:val="decimal"/>
      <w:lvlText w:val="%1."/>
      <w:lvlJc w:val="left"/>
      <w:pPr>
        <w:tabs>
          <w:tab w:val="num" w:pos="720"/>
        </w:tabs>
        <w:ind w:left="72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408569E9"/>
    <w:multiLevelType w:val="multilevel"/>
    <w:tmpl w:val="B20AD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741790"/>
    <w:multiLevelType w:val="multilevel"/>
    <w:tmpl w:val="4020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395BB9"/>
    <w:multiLevelType w:val="multilevel"/>
    <w:tmpl w:val="1EDE9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814AD1"/>
    <w:multiLevelType w:val="multilevel"/>
    <w:tmpl w:val="CBEA6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2A5D46"/>
    <w:multiLevelType w:val="hybridMultilevel"/>
    <w:tmpl w:val="B5CA96B6"/>
    <w:lvl w:ilvl="0" w:tplc="A978CF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8"/>
  </w:num>
  <w:num w:numId="6">
    <w:abstractNumId w:val="9"/>
  </w:num>
  <w:num w:numId="7">
    <w:abstractNumId w:val="2"/>
  </w:num>
  <w:num w:numId="8">
    <w:abstractNumId w:val="10"/>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59"/>
    <w:rsid w:val="00000D26"/>
    <w:rsid w:val="000010D3"/>
    <w:rsid w:val="00001611"/>
    <w:rsid w:val="000030E3"/>
    <w:rsid w:val="00004274"/>
    <w:rsid w:val="00005CAA"/>
    <w:rsid w:val="00006078"/>
    <w:rsid w:val="0002030A"/>
    <w:rsid w:val="000220BF"/>
    <w:rsid w:val="00024179"/>
    <w:rsid w:val="00027EC9"/>
    <w:rsid w:val="00034985"/>
    <w:rsid w:val="00036168"/>
    <w:rsid w:val="00045C63"/>
    <w:rsid w:val="000479DF"/>
    <w:rsid w:val="000506AF"/>
    <w:rsid w:val="000521DC"/>
    <w:rsid w:val="000534F1"/>
    <w:rsid w:val="000540CA"/>
    <w:rsid w:val="000564AD"/>
    <w:rsid w:val="00066B75"/>
    <w:rsid w:val="000745F5"/>
    <w:rsid w:val="00082027"/>
    <w:rsid w:val="000828A8"/>
    <w:rsid w:val="00085FC2"/>
    <w:rsid w:val="00087155"/>
    <w:rsid w:val="00091DF9"/>
    <w:rsid w:val="0009283A"/>
    <w:rsid w:val="00092B72"/>
    <w:rsid w:val="00094634"/>
    <w:rsid w:val="00095AC2"/>
    <w:rsid w:val="000966A1"/>
    <w:rsid w:val="0009789C"/>
    <w:rsid w:val="000A273D"/>
    <w:rsid w:val="000A5C0A"/>
    <w:rsid w:val="000A6402"/>
    <w:rsid w:val="000A6450"/>
    <w:rsid w:val="000A67CD"/>
    <w:rsid w:val="000B0691"/>
    <w:rsid w:val="000B2F69"/>
    <w:rsid w:val="000B59BC"/>
    <w:rsid w:val="000C024F"/>
    <w:rsid w:val="000C0336"/>
    <w:rsid w:val="000C036B"/>
    <w:rsid w:val="000D030A"/>
    <w:rsid w:val="000D0B16"/>
    <w:rsid w:val="000E0677"/>
    <w:rsid w:val="000E2D35"/>
    <w:rsid w:val="000E32B1"/>
    <w:rsid w:val="000E6986"/>
    <w:rsid w:val="000F0A7B"/>
    <w:rsid w:val="000F1652"/>
    <w:rsid w:val="000F3AA2"/>
    <w:rsid w:val="00102CF8"/>
    <w:rsid w:val="00127AAE"/>
    <w:rsid w:val="00132E0D"/>
    <w:rsid w:val="00133FD7"/>
    <w:rsid w:val="001406FD"/>
    <w:rsid w:val="00144F64"/>
    <w:rsid w:val="001464C3"/>
    <w:rsid w:val="00150A61"/>
    <w:rsid w:val="00150BA6"/>
    <w:rsid w:val="001564F2"/>
    <w:rsid w:val="00156F11"/>
    <w:rsid w:val="00161C8E"/>
    <w:rsid w:val="001715C4"/>
    <w:rsid w:val="001726BF"/>
    <w:rsid w:val="00190135"/>
    <w:rsid w:val="00193C9D"/>
    <w:rsid w:val="001967CE"/>
    <w:rsid w:val="001A0F00"/>
    <w:rsid w:val="001B010A"/>
    <w:rsid w:val="001B2DB1"/>
    <w:rsid w:val="001B303B"/>
    <w:rsid w:val="001C3333"/>
    <w:rsid w:val="001C440A"/>
    <w:rsid w:val="001C6AAE"/>
    <w:rsid w:val="001E17A5"/>
    <w:rsid w:val="001E4280"/>
    <w:rsid w:val="001F537B"/>
    <w:rsid w:val="0020273F"/>
    <w:rsid w:val="002146B3"/>
    <w:rsid w:val="002177AD"/>
    <w:rsid w:val="00220C3A"/>
    <w:rsid w:val="002210E9"/>
    <w:rsid w:val="0022538E"/>
    <w:rsid w:val="00225A09"/>
    <w:rsid w:val="00225EC0"/>
    <w:rsid w:val="002278ED"/>
    <w:rsid w:val="00227CBF"/>
    <w:rsid w:val="0023150F"/>
    <w:rsid w:val="0023723A"/>
    <w:rsid w:val="002378F6"/>
    <w:rsid w:val="002440B4"/>
    <w:rsid w:val="002478AC"/>
    <w:rsid w:val="00253374"/>
    <w:rsid w:val="00256390"/>
    <w:rsid w:val="00256CBC"/>
    <w:rsid w:val="002614DC"/>
    <w:rsid w:val="00271075"/>
    <w:rsid w:val="00273317"/>
    <w:rsid w:val="00275F46"/>
    <w:rsid w:val="00276C5E"/>
    <w:rsid w:val="00276EA3"/>
    <w:rsid w:val="00280BF8"/>
    <w:rsid w:val="00281131"/>
    <w:rsid w:val="00285683"/>
    <w:rsid w:val="00293CDA"/>
    <w:rsid w:val="00294749"/>
    <w:rsid w:val="002978E5"/>
    <w:rsid w:val="002A5710"/>
    <w:rsid w:val="002B2930"/>
    <w:rsid w:val="002B4D41"/>
    <w:rsid w:val="002B726B"/>
    <w:rsid w:val="002C567B"/>
    <w:rsid w:val="002D0750"/>
    <w:rsid w:val="002E197D"/>
    <w:rsid w:val="002E6FA6"/>
    <w:rsid w:val="002E76E4"/>
    <w:rsid w:val="002F1420"/>
    <w:rsid w:val="002F1EEF"/>
    <w:rsid w:val="002F20B5"/>
    <w:rsid w:val="002F36D5"/>
    <w:rsid w:val="002F3C7A"/>
    <w:rsid w:val="002F3E27"/>
    <w:rsid w:val="002F7FE9"/>
    <w:rsid w:val="00306304"/>
    <w:rsid w:val="00311C15"/>
    <w:rsid w:val="003144E4"/>
    <w:rsid w:val="003151EF"/>
    <w:rsid w:val="003158AB"/>
    <w:rsid w:val="003229FA"/>
    <w:rsid w:val="0032536A"/>
    <w:rsid w:val="00327BD6"/>
    <w:rsid w:val="00332D96"/>
    <w:rsid w:val="00360A10"/>
    <w:rsid w:val="00362C9A"/>
    <w:rsid w:val="00363A54"/>
    <w:rsid w:val="003669E1"/>
    <w:rsid w:val="00366A43"/>
    <w:rsid w:val="00374394"/>
    <w:rsid w:val="00377D7B"/>
    <w:rsid w:val="00385479"/>
    <w:rsid w:val="00386E42"/>
    <w:rsid w:val="0039436A"/>
    <w:rsid w:val="00395483"/>
    <w:rsid w:val="00397568"/>
    <w:rsid w:val="003A46B2"/>
    <w:rsid w:val="003A625B"/>
    <w:rsid w:val="003A7377"/>
    <w:rsid w:val="003B22BC"/>
    <w:rsid w:val="003B426E"/>
    <w:rsid w:val="003B6996"/>
    <w:rsid w:val="003B6E89"/>
    <w:rsid w:val="003C01D0"/>
    <w:rsid w:val="003C1396"/>
    <w:rsid w:val="003C2E57"/>
    <w:rsid w:val="003C6346"/>
    <w:rsid w:val="003C64AE"/>
    <w:rsid w:val="003C7248"/>
    <w:rsid w:val="003D0DDC"/>
    <w:rsid w:val="003D3715"/>
    <w:rsid w:val="003D42CE"/>
    <w:rsid w:val="003D7762"/>
    <w:rsid w:val="003E5C5E"/>
    <w:rsid w:val="003E7D9D"/>
    <w:rsid w:val="003F0112"/>
    <w:rsid w:val="003F3E76"/>
    <w:rsid w:val="0041083D"/>
    <w:rsid w:val="00414C89"/>
    <w:rsid w:val="00415468"/>
    <w:rsid w:val="00420D4B"/>
    <w:rsid w:val="00424A5A"/>
    <w:rsid w:val="00435BAA"/>
    <w:rsid w:val="0043769A"/>
    <w:rsid w:val="00444690"/>
    <w:rsid w:val="0044607E"/>
    <w:rsid w:val="00452AAA"/>
    <w:rsid w:val="00457DF5"/>
    <w:rsid w:val="00461A20"/>
    <w:rsid w:val="004827D8"/>
    <w:rsid w:val="00486A62"/>
    <w:rsid w:val="004962B4"/>
    <w:rsid w:val="004B1DED"/>
    <w:rsid w:val="004B2160"/>
    <w:rsid w:val="004B45C6"/>
    <w:rsid w:val="004B4B0B"/>
    <w:rsid w:val="004B4FD4"/>
    <w:rsid w:val="004B5247"/>
    <w:rsid w:val="004C72F1"/>
    <w:rsid w:val="004D00BC"/>
    <w:rsid w:val="004D497E"/>
    <w:rsid w:val="004D63B7"/>
    <w:rsid w:val="004E38EF"/>
    <w:rsid w:val="004E3C4F"/>
    <w:rsid w:val="004F1AFD"/>
    <w:rsid w:val="004F30C9"/>
    <w:rsid w:val="004F68F9"/>
    <w:rsid w:val="005010D7"/>
    <w:rsid w:val="00501A97"/>
    <w:rsid w:val="00501B84"/>
    <w:rsid w:val="00506198"/>
    <w:rsid w:val="00506C28"/>
    <w:rsid w:val="0051032D"/>
    <w:rsid w:val="005122BB"/>
    <w:rsid w:val="00525D7C"/>
    <w:rsid w:val="005267F2"/>
    <w:rsid w:val="00527A5E"/>
    <w:rsid w:val="00527C73"/>
    <w:rsid w:val="00543678"/>
    <w:rsid w:val="005472D2"/>
    <w:rsid w:val="00550D20"/>
    <w:rsid w:val="00553134"/>
    <w:rsid w:val="005532A7"/>
    <w:rsid w:val="0056731A"/>
    <w:rsid w:val="00572177"/>
    <w:rsid w:val="00574BA5"/>
    <w:rsid w:val="00575D5F"/>
    <w:rsid w:val="00580BF3"/>
    <w:rsid w:val="00582482"/>
    <w:rsid w:val="00584277"/>
    <w:rsid w:val="005932B5"/>
    <w:rsid w:val="005A4D2E"/>
    <w:rsid w:val="005A77AC"/>
    <w:rsid w:val="005B43C1"/>
    <w:rsid w:val="005B4816"/>
    <w:rsid w:val="005C477A"/>
    <w:rsid w:val="005D02E4"/>
    <w:rsid w:val="005D11B8"/>
    <w:rsid w:val="005D72D4"/>
    <w:rsid w:val="005F24BA"/>
    <w:rsid w:val="005F298D"/>
    <w:rsid w:val="00605D86"/>
    <w:rsid w:val="006117F4"/>
    <w:rsid w:val="00611EFE"/>
    <w:rsid w:val="006128FC"/>
    <w:rsid w:val="00616641"/>
    <w:rsid w:val="00626E59"/>
    <w:rsid w:val="00627556"/>
    <w:rsid w:val="00631157"/>
    <w:rsid w:val="00632105"/>
    <w:rsid w:val="006339FA"/>
    <w:rsid w:val="0063492F"/>
    <w:rsid w:val="00636B7B"/>
    <w:rsid w:val="006448F0"/>
    <w:rsid w:val="0065155C"/>
    <w:rsid w:val="00651E8F"/>
    <w:rsid w:val="00651FEE"/>
    <w:rsid w:val="00654348"/>
    <w:rsid w:val="00654D9E"/>
    <w:rsid w:val="00663BC7"/>
    <w:rsid w:val="00666BE9"/>
    <w:rsid w:val="0068148B"/>
    <w:rsid w:val="00684CA4"/>
    <w:rsid w:val="00691800"/>
    <w:rsid w:val="00693A40"/>
    <w:rsid w:val="006965F0"/>
    <w:rsid w:val="006972F5"/>
    <w:rsid w:val="006A72BE"/>
    <w:rsid w:val="006A7FDE"/>
    <w:rsid w:val="006B0270"/>
    <w:rsid w:val="006B02AC"/>
    <w:rsid w:val="006B1903"/>
    <w:rsid w:val="006B29DC"/>
    <w:rsid w:val="006C311F"/>
    <w:rsid w:val="006C54E2"/>
    <w:rsid w:val="006D42C8"/>
    <w:rsid w:val="006E4BBD"/>
    <w:rsid w:val="006E4F0C"/>
    <w:rsid w:val="006F1F8E"/>
    <w:rsid w:val="006F6DC5"/>
    <w:rsid w:val="00702716"/>
    <w:rsid w:val="007030C0"/>
    <w:rsid w:val="00720FF9"/>
    <w:rsid w:val="00726686"/>
    <w:rsid w:val="00726E64"/>
    <w:rsid w:val="0073271E"/>
    <w:rsid w:val="00736080"/>
    <w:rsid w:val="007418CA"/>
    <w:rsid w:val="00745D42"/>
    <w:rsid w:val="00750035"/>
    <w:rsid w:val="00766AD8"/>
    <w:rsid w:val="00767145"/>
    <w:rsid w:val="0077526D"/>
    <w:rsid w:val="0078374E"/>
    <w:rsid w:val="00784B41"/>
    <w:rsid w:val="007859E0"/>
    <w:rsid w:val="00785ADE"/>
    <w:rsid w:val="00786250"/>
    <w:rsid w:val="00792487"/>
    <w:rsid w:val="007962B2"/>
    <w:rsid w:val="007A0F7B"/>
    <w:rsid w:val="007A2182"/>
    <w:rsid w:val="007A3205"/>
    <w:rsid w:val="007A36AC"/>
    <w:rsid w:val="007A573D"/>
    <w:rsid w:val="007B526F"/>
    <w:rsid w:val="007B5731"/>
    <w:rsid w:val="007C1E8E"/>
    <w:rsid w:val="007C53C8"/>
    <w:rsid w:val="007C7C31"/>
    <w:rsid w:val="007D129F"/>
    <w:rsid w:val="007E37FE"/>
    <w:rsid w:val="007E701C"/>
    <w:rsid w:val="007F4A70"/>
    <w:rsid w:val="007F5994"/>
    <w:rsid w:val="00800464"/>
    <w:rsid w:val="00800BC3"/>
    <w:rsid w:val="00801014"/>
    <w:rsid w:val="008043A2"/>
    <w:rsid w:val="00806424"/>
    <w:rsid w:val="00820E06"/>
    <w:rsid w:val="00823939"/>
    <w:rsid w:val="00825122"/>
    <w:rsid w:val="00825D29"/>
    <w:rsid w:val="00826AF0"/>
    <w:rsid w:val="0082715D"/>
    <w:rsid w:val="00833609"/>
    <w:rsid w:val="00833D92"/>
    <w:rsid w:val="00835572"/>
    <w:rsid w:val="00841D4B"/>
    <w:rsid w:val="00850965"/>
    <w:rsid w:val="008649F7"/>
    <w:rsid w:val="00866647"/>
    <w:rsid w:val="008710D7"/>
    <w:rsid w:val="00872B23"/>
    <w:rsid w:val="0087301F"/>
    <w:rsid w:val="00874B0D"/>
    <w:rsid w:val="00880586"/>
    <w:rsid w:val="0088082A"/>
    <w:rsid w:val="00881174"/>
    <w:rsid w:val="0088528C"/>
    <w:rsid w:val="00887040"/>
    <w:rsid w:val="00890F14"/>
    <w:rsid w:val="00890F7D"/>
    <w:rsid w:val="00892A1C"/>
    <w:rsid w:val="0089592B"/>
    <w:rsid w:val="008A0C6A"/>
    <w:rsid w:val="008A28F5"/>
    <w:rsid w:val="008A3810"/>
    <w:rsid w:val="008A6C71"/>
    <w:rsid w:val="008B2139"/>
    <w:rsid w:val="008B5B0B"/>
    <w:rsid w:val="008B68CD"/>
    <w:rsid w:val="008C03F2"/>
    <w:rsid w:val="008C6CBF"/>
    <w:rsid w:val="008C6E69"/>
    <w:rsid w:val="008C6F99"/>
    <w:rsid w:val="008D1073"/>
    <w:rsid w:val="008D2C54"/>
    <w:rsid w:val="008D5C9F"/>
    <w:rsid w:val="008D706F"/>
    <w:rsid w:val="008E112B"/>
    <w:rsid w:val="008E2175"/>
    <w:rsid w:val="008E5726"/>
    <w:rsid w:val="008F3892"/>
    <w:rsid w:val="008F6C65"/>
    <w:rsid w:val="00900F47"/>
    <w:rsid w:val="00901227"/>
    <w:rsid w:val="0091023B"/>
    <w:rsid w:val="00912197"/>
    <w:rsid w:val="00912241"/>
    <w:rsid w:val="00913B25"/>
    <w:rsid w:val="00914C99"/>
    <w:rsid w:val="0092436A"/>
    <w:rsid w:val="00925CE8"/>
    <w:rsid w:val="00931BFF"/>
    <w:rsid w:val="0093261A"/>
    <w:rsid w:val="00932A0B"/>
    <w:rsid w:val="00941671"/>
    <w:rsid w:val="00947AB1"/>
    <w:rsid w:val="00947C4F"/>
    <w:rsid w:val="0095147E"/>
    <w:rsid w:val="009526B8"/>
    <w:rsid w:val="0096026C"/>
    <w:rsid w:val="009670E6"/>
    <w:rsid w:val="00982E03"/>
    <w:rsid w:val="009867FA"/>
    <w:rsid w:val="009905EC"/>
    <w:rsid w:val="00991C05"/>
    <w:rsid w:val="009A01A2"/>
    <w:rsid w:val="009A23DB"/>
    <w:rsid w:val="009A7159"/>
    <w:rsid w:val="009B02F9"/>
    <w:rsid w:val="009B087F"/>
    <w:rsid w:val="009B2EB4"/>
    <w:rsid w:val="009B7F7C"/>
    <w:rsid w:val="009C6267"/>
    <w:rsid w:val="009D0A33"/>
    <w:rsid w:val="009D6906"/>
    <w:rsid w:val="009D741C"/>
    <w:rsid w:val="009D7A23"/>
    <w:rsid w:val="009E0B80"/>
    <w:rsid w:val="009E1831"/>
    <w:rsid w:val="009E3CFA"/>
    <w:rsid w:val="009E6E42"/>
    <w:rsid w:val="009F5585"/>
    <w:rsid w:val="009F7834"/>
    <w:rsid w:val="00A033AA"/>
    <w:rsid w:val="00A03923"/>
    <w:rsid w:val="00A041BB"/>
    <w:rsid w:val="00A07707"/>
    <w:rsid w:val="00A07799"/>
    <w:rsid w:val="00A12C2C"/>
    <w:rsid w:val="00A14E3C"/>
    <w:rsid w:val="00A178C7"/>
    <w:rsid w:val="00A20051"/>
    <w:rsid w:val="00A2313A"/>
    <w:rsid w:val="00A251A9"/>
    <w:rsid w:val="00A27703"/>
    <w:rsid w:val="00A30A46"/>
    <w:rsid w:val="00A36811"/>
    <w:rsid w:val="00A37C9D"/>
    <w:rsid w:val="00A44AA4"/>
    <w:rsid w:val="00A45F84"/>
    <w:rsid w:val="00A47CA0"/>
    <w:rsid w:val="00A5025F"/>
    <w:rsid w:val="00A5479D"/>
    <w:rsid w:val="00A62D46"/>
    <w:rsid w:val="00A661DB"/>
    <w:rsid w:val="00A74C63"/>
    <w:rsid w:val="00A75A36"/>
    <w:rsid w:val="00A77E96"/>
    <w:rsid w:val="00A85BC3"/>
    <w:rsid w:val="00A87E4B"/>
    <w:rsid w:val="00A90140"/>
    <w:rsid w:val="00A910E1"/>
    <w:rsid w:val="00A93636"/>
    <w:rsid w:val="00A95093"/>
    <w:rsid w:val="00AA01A5"/>
    <w:rsid w:val="00AA48FF"/>
    <w:rsid w:val="00AA5581"/>
    <w:rsid w:val="00AB125B"/>
    <w:rsid w:val="00AB165B"/>
    <w:rsid w:val="00AB27F2"/>
    <w:rsid w:val="00AB2FF1"/>
    <w:rsid w:val="00AB33A7"/>
    <w:rsid w:val="00AB423D"/>
    <w:rsid w:val="00AB65A6"/>
    <w:rsid w:val="00AC3A59"/>
    <w:rsid w:val="00AC4B16"/>
    <w:rsid w:val="00AD0542"/>
    <w:rsid w:val="00AD28D7"/>
    <w:rsid w:val="00AD5195"/>
    <w:rsid w:val="00AD60E1"/>
    <w:rsid w:val="00AE190C"/>
    <w:rsid w:val="00AE2E20"/>
    <w:rsid w:val="00AE4DC9"/>
    <w:rsid w:val="00AE62DD"/>
    <w:rsid w:val="00AF3336"/>
    <w:rsid w:val="00AF61F7"/>
    <w:rsid w:val="00B05601"/>
    <w:rsid w:val="00B062FD"/>
    <w:rsid w:val="00B06BDA"/>
    <w:rsid w:val="00B0761E"/>
    <w:rsid w:val="00B31BA9"/>
    <w:rsid w:val="00B33303"/>
    <w:rsid w:val="00B42D66"/>
    <w:rsid w:val="00B435B7"/>
    <w:rsid w:val="00B44B49"/>
    <w:rsid w:val="00B45A96"/>
    <w:rsid w:val="00B45FB5"/>
    <w:rsid w:val="00B62167"/>
    <w:rsid w:val="00B638D0"/>
    <w:rsid w:val="00B74156"/>
    <w:rsid w:val="00B8105A"/>
    <w:rsid w:val="00B82B6A"/>
    <w:rsid w:val="00BA1E43"/>
    <w:rsid w:val="00BA2CAC"/>
    <w:rsid w:val="00BA7165"/>
    <w:rsid w:val="00BB1A0F"/>
    <w:rsid w:val="00BB301C"/>
    <w:rsid w:val="00BB4AC8"/>
    <w:rsid w:val="00BB6B80"/>
    <w:rsid w:val="00BB7CE6"/>
    <w:rsid w:val="00BD1175"/>
    <w:rsid w:val="00BD1495"/>
    <w:rsid w:val="00BD2AE1"/>
    <w:rsid w:val="00BD4BCA"/>
    <w:rsid w:val="00BE03F5"/>
    <w:rsid w:val="00BF03EE"/>
    <w:rsid w:val="00BF0595"/>
    <w:rsid w:val="00BF2084"/>
    <w:rsid w:val="00C0070C"/>
    <w:rsid w:val="00C03A17"/>
    <w:rsid w:val="00C10B84"/>
    <w:rsid w:val="00C10FCD"/>
    <w:rsid w:val="00C11229"/>
    <w:rsid w:val="00C158BB"/>
    <w:rsid w:val="00C24B83"/>
    <w:rsid w:val="00C27D6C"/>
    <w:rsid w:val="00C31920"/>
    <w:rsid w:val="00C439C6"/>
    <w:rsid w:val="00C456A3"/>
    <w:rsid w:val="00C45A2F"/>
    <w:rsid w:val="00C47693"/>
    <w:rsid w:val="00C567F9"/>
    <w:rsid w:val="00C579A2"/>
    <w:rsid w:val="00C637E1"/>
    <w:rsid w:val="00C63FF4"/>
    <w:rsid w:val="00C72CB1"/>
    <w:rsid w:val="00C83A79"/>
    <w:rsid w:val="00C9266C"/>
    <w:rsid w:val="00C93296"/>
    <w:rsid w:val="00C9707A"/>
    <w:rsid w:val="00C97B67"/>
    <w:rsid w:val="00CA6202"/>
    <w:rsid w:val="00CA6D55"/>
    <w:rsid w:val="00CA7D0E"/>
    <w:rsid w:val="00CB067A"/>
    <w:rsid w:val="00CB603F"/>
    <w:rsid w:val="00CC15A0"/>
    <w:rsid w:val="00CC17E9"/>
    <w:rsid w:val="00CC3A8C"/>
    <w:rsid w:val="00CC3EFA"/>
    <w:rsid w:val="00CC48AC"/>
    <w:rsid w:val="00CC71CA"/>
    <w:rsid w:val="00CD06BF"/>
    <w:rsid w:val="00CD0EEE"/>
    <w:rsid w:val="00CD2CD3"/>
    <w:rsid w:val="00CE28FE"/>
    <w:rsid w:val="00CF6A45"/>
    <w:rsid w:val="00D00908"/>
    <w:rsid w:val="00D00982"/>
    <w:rsid w:val="00D01B09"/>
    <w:rsid w:val="00D01DC8"/>
    <w:rsid w:val="00D057A1"/>
    <w:rsid w:val="00D057C1"/>
    <w:rsid w:val="00D13E1A"/>
    <w:rsid w:val="00D232B7"/>
    <w:rsid w:val="00D235BC"/>
    <w:rsid w:val="00D35A23"/>
    <w:rsid w:val="00D361D7"/>
    <w:rsid w:val="00D3726B"/>
    <w:rsid w:val="00D455CE"/>
    <w:rsid w:val="00D52AD4"/>
    <w:rsid w:val="00D577C5"/>
    <w:rsid w:val="00D6470E"/>
    <w:rsid w:val="00D75616"/>
    <w:rsid w:val="00D90E9C"/>
    <w:rsid w:val="00D93272"/>
    <w:rsid w:val="00D93C78"/>
    <w:rsid w:val="00D93D9D"/>
    <w:rsid w:val="00D93F37"/>
    <w:rsid w:val="00D979B8"/>
    <w:rsid w:val="00DA0DAD"/>
    <w:rsid w:val="00DA2438"/>
    <w:rsid w:val="00DB2821"/>
    <w:rsid w:val="00DC1A15"/>
    <w:rsid w:val="00DC2746"/>
    <w:rsid w:val="00DC5073"/>
    <w:rsid w:val="00DD3B59"/>
    <w:rsid w:val="00DE2042"/>
    <w:rsid w:val="00DE414E"/>
    <w:rsid w:val="00DF2A02"/>
    <w:rsid w:val="00DF4905"/>
    <w:rsid w:val="00DF50A4"/>
    <w:rsid w:val="00DF6693"/>
    <w:rsid w:val="00E00065"/>
    <w:rsid w:val="00E116F6"/>
    <w:rsid w:val="00E1424C"/>
    <w:rsid w:val="00E20665"/>
    <w:rsid w:val="00E262F3"/>
    <w:rsid w:val="00E41585"/>
    <w:rsid w:val="00E419B1"/>
    <w:rsid w:val="00E560D0"/>
    <w:rsid w:val="00E56790"/>
    <w:rsid w:val="00E66D13"/>
    <w:rsid w:val="00E73720"/>
    <w:rsid w:val="00E74794"/>
    <w:rsid w:val="00E762DC"/>
    <w:rsid w:val="00E773E3"/>
    <w:rsid w:val="00E77431"/>
    <w:rsid w:val="00E82215"/>
    <w:rsid w:val="00E870D8"/>
    <w:rsid w:val="00E94667"/>
    <w:rsid w:val="00EA50E7"/>
    <w:rsid w:val="00EA7D86"/>
    <w:rsid w:val="00EB0B61"/>
    <w:rsid w:val="00EB44F7"/>
    <w:rsid w:val="00EB71EB"/>
    <w:rsid w:val="00EC0D85"/>
    <w:rsid w:val="00EC1C14"/>
    <w:rsid w:val="00EC2449"/>
    <w:rsid w:val="00EC26D2"/>
    <w:rsid w:val="00EC2E23"/>
    <w:rsid w:val="00EC4121"/>
    <w:rsid w:val="00ED07BC"/>
    <w:rsid w:val="00ED0B44"/>
    <w:rsid w:val="00ED1917"/>
    <w:rsid w:val="00ED1E48"/>
    <w:rsid w:val="00ED2D59"/>
    <w:rsid w:val="00ED3713"/>
    <w:rsid w:val="00ED509F"/>
    <w:rsid w:val="00ED6DEA"/>
    <w:rsid w:val="00EE0C9C"/>
    <w:rsid w:val="00EE35D5"/>
    <w:rsid w:val="00EE3676"/>
    <w:rsid w:val="00EE4324"/>
    <w:rsid w:val="00EE5A47"/>
    <w:rsid w:val="00EF77D4"/>
    <w:rsid w:val="00F0317D"/>
    <w:rsid w:val="00F037EF"/>
    <w:rsid w:val="00F03D1C"/>
    <w:rsid w:val="00F05201"/>
    <w:rsid w:val="00F12EE8"/>
    <w:rsid w:val="00F143C8"/>
    <w:rsid w:val="00F14F2B"/>
    <w:rsid w:val="00F175B6"/>
    <w:rsid w:val="00F202EB"/>
    <w:rsid w:val="00F30CFA"/>
    <w:rsid w:val="00F31B85"/>
    <w:rsid w:val="00F34F09"/>
    <w:rsid w:val="00F351E8"/>
    <w:rsid w:val="00F4048A"/>
    <w:rsid w:val="00F4124A"/>
    <w:rsid w:val="00F55803"/>
    <w:rsid w:val="00F6512D"/>
    <w:rsid w:val="00F67F3E"/>
    <w:rsid w:val="00F713B0"/>
    <w:rsid w:val="00F7265D"/>
    <w:rsid w:val="00F73F31"/>
    <w:rsid w:val="00F759A6"/>
    <w:rsid w:val="00F84089"/>
    <w:rsid w:val="00F90B8E"/>
    <w:rsid w:val="00FA253D"/>
    <w:rsid w:val="00FB6263"/>
    <w:rsid w:val="00FB71E1"/>
    <w:rsid w:val="00FC216E"/>
    <w:rsid w:val="00FC4645"/>
    <w:rsid w:val="00FC4F3B"/>
    <w:rsid w:val="00FD1B31"/>
    <w:rsid w:val="00FD1BE9"/>
    <w:rsid w:val="00FD4375"/>
    <w:rsid w:val="00FD45F6"/>
    <w:rsid w:val="00FE0E05"/>
    <w:rsid w:val="00FE52B6"/>
    <w:rsid w:val="00FE53D5"/>
    <w:rsid w:val="00FE53F5"/>
    <w:rsid w:val="00FF11C6"/>
    <w:rsid w:val="00FF43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67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C1A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A64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24A"/>
  </w:style>
  <w:style w:type="paragraph" w:styleId="Footer">
    <w:name w:val="footer"/>
    <w:basedOn w:val="Normal"/>
    <w:link w:val="FooterChar"/>
    <w:uiPriority w:val="99"/>
    <w:unhideWhenUsed/>
    <w:rsid w:val="00F41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24A"/>
  </w:style>
  <w:style w:type="paragraph" w:styleId="FootnoteText">
    <w:name w:val="footnote text"/>
    <w:basedOn w:val="Normal"/>
    <w:link w:val="FootnoteTextChar"/>
    <w:uiPriority w:val="99"/>
    <w:unhideWhenUsed/>
    <w:rsid w:val="00A36811"/>
    <w:pPr>
      <w:spacing w:after="0" w:line="240" w:lineRule="auto"/>
    </w:pPr>
    <w:rPr>
      <w:sz w:val="20"/>
      <w:szCs w:val="20"/>
    </w:rPr>
  </w:style>
  <w:style w:type="character" w:customStyle="1" w:styleId="FootnoteTextChar">
    <w:name w:val="Footnote Text Char"/>
    <w:basedOn w:val="DefaultParagraphFont"/>
    <w:link w:val="FootnoteText"/>
    <w:uiPriority w:val="99"/>
    <w:rsid w:val="00A36811"/>
    <w:rPr>
      <w:sz w:val="20"/>
      <w:szCs w:val="20"/>
    </w:rPr>
  </w:style>
  <w:style w:type="character" w:styleId="FootnoteReference">
    <w:name w:val="footnote reference"/>
    <w:basedOn w:val="DefaultParagraphFont"/>
    <w:uiPriority w:val="99"/>
    <w:unhideWhenUsed/>
    <w:rsid w:val="00A36811"/>
    <w:rPr>
      <w:vertAlign w:val="superscript"/>
    </w:rPr>
  </w:style>
  <w:style w:type="character" w:styleId="Hyperlink">
    <w:name w:val="Hyperlink"/>
    <w:basedOn w:val="DefaultParagraphFont"/>
    <w:uiPriority w:val="99"/>
    <w:unhideWhenUsed/>
    <w:rsid w:val="00792487"/>
    <w:rPr>
      <w:color w:val="0000FF" w:themeColor="hyperlink"/>
      <w:u w:val="single"/>
    </w:rPr>
  </w:style>
  <w:style w:type="character" w:customStyle="1" w:styleId="apple-converted-space">
    <w:name w:val="apple-converted-space"/>
    <w:basedOn w:val="DefaultParagraphFont"/>
    <w:rsid w:val="00DC1A15"/>
  </w:style>
  <w:style w:type="character" w:styleId="Emphasis">
    <w:name w:val="Emphasis"/>
    <w:basedOn w:val="DefaultParagraphFont"/>
    <w:uiPriority w:val="20"/>
    <w:qFormat/>
    <w:rsid w:val="00DC1A15"/>
    <w:rPr>
      <w:i/>
      <w:iCs/>
    </w:rPr>
  </w:style>
  <w:style w:type="character" w:customStyle="1" w:styleId="Heading2Char">
    <w:name w:val="Heading 2 Char"/>
    <w:basedOn w:val="DefaultParagraphFont"/>
    <w:link w:val="Heading2"/>
    <w:uiPriority w:val="9"/>
    <w:rsid w:val="00DC1A15"/>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0A67C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116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rsid w:val="003D42CE"/>
  </w:style>
  <w:style w:type="paragraph" w:customStyle="1" w:styleId="loose">
    <w:name w:val="loose"/>
    <w:basedOn w:val="Normal"/>
    <w:rsid w:val="003D42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20B5"/>
    <w:rPr>
      <w:b/>
      <w:bCs/>
    </w:rPr>
  </w:style>
  <w:style w:type="character" w:customStyle="1" w:styleId="hit">
    <w:name w:val="hit"/>
    <w:basedOn w:val="DefaultParagraphFont"/>
    <w:rsid w:val="002F20B5"/>
  </w:style>
  <w:style w:type="character" w:customStyle="1" w:styleId="label">
    <w:name w:val="label"/>
    <w:basedOn w:val="DefaultParagraphFont"/>
    <w:rsid w:val="006128FC"/>
  </w:style>
  <w:style w:type="character" w:customStyle="1" w:styleId="starpage1">
    <w:name w:val="starpage1"/>
    <w:basedOn w:val="DefaultParagraphFont"/>
    <w:rsid w:val="00C31920"/>
    <w:rPr>
      <w:b/>
      <w:bCs/>
      <w:i/>
      <w:iCs/>
      <w:color w:val="663366"/>
    </w:rPr>
  </w:style>
  <w:style w:type="paragraph" w:styleId="ListParagraph">
    <w:name w:val="List Paragraph"/>
    <w:basedOn w:val="Normal"/>
    <w:uiPriority w:val="34"/>
    <w:qFormat/>
    <w:rsid w:val="00C439C6"/>
    <w:pPr>
      <w:ind w:left="720"/>
      <w:contextualSpacing/>
    </w:pPr>
  </w:style>
  <w:style w:type="character" w:customStyle="1" w:styleId="starpage">
    <w:name w:val="starpage"/>
    <w:basedOn w:val="DefaultParagraphFont"/>
    <w:rsid w:val="00726E64"/>
  </w:style>
  <w:style w:type="paragraph" w:customStyle="1" w:styleId="indent1">
    <w:name w:val="indent1"/>
    <w:basedOn w:val="Normal"/>
    <w:rsid w:val="00726E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archterm1">
    <w:name w:val="searchterm1"/>
    <w:basedOn w:val="DefaultParagraphFont"/>
    <w:rsid w:val="00F0317D"/>
    <w:rPr>
      <w:b/>
      <w:bCs/>
      <w:shd w:val="clear" w:color="auto" w:fill="FFFF00"/>
    </w:rPr>
  </w:style>
  <w:style w:type="paragraph" w:styleId="ListBullet">
    <w:name w:val="List Bullet"/>
    <w:basedOn w:val="Normal"/>
    <w:uiPriority w:val="99"/>
    <w:unhideWhenUsed/>
    <w:rsid w:val="00C45A2F"/>
    <w:pPr>
      <w:numPr>
        <w:numId w:val="9"/>
      </w:numPr>
      <w:contextualSpacing/>
    </w:pPr>
  </w:style>
  <w:style w:type="paragraph" w:customStyle="1" w:styleId="center">
    <w:name w:val="center"/>
    <w:basedOn w:val="Normal"/>
    <w:rsid w:val="001C44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0A6450"/>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unhideWhenUsed/>
    <w:rsid w:val="009F5585"/>
    <w:rPr>
      <w:rFonts w:ascii="Calibri" w:eastAsia="Calibri" w:hAnsi="Calibri" w:cs="Times New Roman"/>
      <w:sz w:val="20"/>
      <w:szCs w:val="20"/>
      <w:lang w:val="x-none"/>
    </w:rPr>
  </w:style>
  <w:style w:type="character" w:customStyle="1" w:styleId="EndnoteTextChar">
    <w:name w:val="Endnote Text Char"/>
    <w:basedOn w:val="DefaultParagraphFont"/>
    <w:link w:val="EndnoteText"/>
    <w:uiPriority w:val="99"/>
    <w:rsid w:val="009F5585"/>
    <w:rPr>
      <w:rFonts w:ascii="Calibri" w:eastAsia="Calibri" w:hAnsi="Calibri" w:cs="Times New Roman"/>
      <w:sz w:val="20"/>
      <w:szCs w:val="20"/>
      <w:lang w:val="x-none"/>
    </w:rPr>
  </w:style>
  <w:style w:type="character" w:styleId="EndnoteReference">
    <w:name w:val="endnote reference"/>
    <w:uiPriority w:val="99"/>
    <w:semiHidden/>
    <w:unhideWhenUsed/>
    <w:rsid w:val="009F5585"/>
    <w:rPr>
      <w:vertAlign w:val="superscript"/>
    </w:rPr>
  </w:style>
  <w:style w:type="character" w:styleId="FollowedHyperlink">
    <w:name w:val="FollowedHyperlink"/>
    <w:basedOn w:val="DefaultParagraphFont"/>
    <w:uiPriority w:val="99"/>
    <w:semiHidden/>
    <w:unhideWhenUsed/>
    <w:rsid w:val="00E747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67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C1A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A64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24A"/>
  </w:style>
  <w:style w:type="paragraph" w:styleId="Footer">
    <w:name w:val="footer"/>
    <w:basedOn w:val="Normal"/>
    <w:link w:val="FooterChar"/>
    <w:uiPriority w:val="99"/>
    <w:unhideWhenUsed/>
    <w:rsid w:val="00F41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24A"/>
  </w:style>
  <w:style w:type="paragraph" w:styleId="FootnoteText">
    <w:name w:val="footnote text"/>
    <w:basedOn w:val="Normal"/>
    <w:link w:val="FootnoteTextChar"/>
    <w:uiPriority w:val="99"/>
    <w:unhideWhenUsed/>
    <w:rsid w:val="00A36811"/>
    <w:pPr>
      <w:spacing w:after="0" w:line="240" w:lineRule="auto"/>
    </w:pPr>
    <w:rPr>
      <w:sz w:val="20"/>
      <w:szCs w:val="20"/>
    </w:rPr>
  </w:style>
  <w:style w:type="character" w:customStyle="1" w:styleId="FootnoteTextChar">
    <w:name w:val="Footnote Text Char"/>
    <w:basedOn w:val="DefaultParagraphFont"/>
    <w:link w:val="FootnoteText"/>
    <w:uiPriority w:val="99"/>
    <w:rsid w:val="00A36811"/>
    <w:rPr>
      <w:sz w:val="20"/>
      <w:szCs w:val="20"/>
    </w:rPr>
  </w:style>
  <w:style w:type="character" w:styleId="FootnoteReference">
    <w:name w:val="footnote reference"/>
    <w:basedOn w:val="DefaultParagraphFont"/>
    <w:uiPriority w:val="99"/>
    <w:unhideWhenUsed/>
    <w:rsid w:val="00A36811"/>
    <w:rPr>
      <w:vertAlign w:val="superscript"/>
    </w:rPr>
  </w:style>
  <w:style w:type="character" w:styleId="Hyperlink">
    <w:name w:val="Hyperlink"/>
    <w:basedOn w:val="DefaultParagraphFont"/>
    <w:uiPriority w:val="99"/>
    <w:unhideWhenUsed/>
    <w:rsid w:val="00792487"/>
    <w:rPr>
      <w:color w:val="0000FF" w:themeColor="hyperlink"/>
      <w:u w:val="single"/>
    </w:rPr>
  </w:style>
  <w:style w:type="character" w:customStyle="1" w:styleId="apple-converted-space">
    <w:name w:val="apple-converted-space"/>
    <w:basedOn w:val="DefaultParagraphFont"/>
    <w:rsid w:val="00DC1A15"/>
  </w:style>
  <w:style w:type="character" w:styleId="Emphasis">
    <w:name w:val="Emphasis"/>
    <w:basedOn w:val="DefaultParagraphFont"/>
    <w:uiPriority w:val="20"/>
    <w:qFormat/>
    <w:rsid w:val="00DC1A15"/>
    <w:rPr>
      <w:i/>
      <w:iCs/>
    </w:rPr>
  </w:style>
  <w:style w:type="character" w:customStyle="1" w:styleId="Heading2Char">
    <w:name w:val="Heading 2 Char"/>
    <w:basedOn w:val="DefaultParagraphFont"/>
    <w:link w:val="Heading2"/>
    <w:uiPriority w:val="9"/>
    <w:rsid w:val="00DC1A15"/>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0A67C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116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rsid w:val="003D42CE"/>
  </w:style>
  <w:style w:type="paragraph" w:customStyle="1" w:styleId="loose">
    <w:name w:val="loose"/>
    <w:basedOn w:val="Normal"/>
    <w:rsid w:val="003D42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20B5"/>
    <w:rPr>
      <w:b/>
      <w:bCs/>
    </w:rPr>
  </w:style>
  <w:style w:type="character" w:customStyle="1" w:styleId="hit">
    <w:name w:val="hit"/>
    <w:basedOn w:val="DefaultParagraphFont"/>
    <w:rsid w:val="002F20B5"/>
  </w:style>
  <w:style w:type="character" w:customStyle="1" w:styleId="label">
    <w:name w:val="label"/>
    <w:basedOn w:val="DefaultParagraphFont"/>
    <w:rsid w:val="006128FC"/>
  </w:style>
  <w:style w:type="character" w:customStyle="1" w:styleId="starpage1">
    <w:name w:val="starpage1"/>
    <w:basedOn w:val="DefaultParagraphFont"/>
    <w:rsid w:val="00C31920"/>
    <w:rPr>
      <w:b/>
      <w:bCs/>
      <w:i/>
      <w:iCs/>
      <w:color w:val="663366"/>
    </w:rPr>
  </w:style>
  <w:style w:type="paragraph" w:styleId="ListParagraph">
    <w:name w:val="List Paragraph"/>
    <w:basedOn w:val="Normal"/>
    <w:uiPriority w:val="34"/>
    <w:qFormat/>
    <w:rsid w:val="00C439C6"/>
    <w:pPr>
      <w:ind w:left="720"/>
      <w:contextualSpacing/>
    </w:pPr>
  </w:style>
  <w:style w:type="character" w:customStyle="1" w:styleId="starpage">
    <w:name w:val="starpage"/>
    <w:basedOn w:val="DefaultParagraphFont"/>
    <w:rsid w:val="00726E64"/>
  </w:style>
  <w:style w:type="paragraph" w:customStyle="1" w:styleId="indent1">
    <w:name w:val="indent1"/>
    <w:basedOn w:val="Normal"/>
    <w:rsid w:val="00726E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archterm1">
    <w:name w:val="searchterm1"/>
    <w:basedOn w:val="DefaultParagraphFont"/>
    <w:rsid w:val="00F0317D"/>
    <w:rPr>
      <w:b/>
      <w:bCs/>
      <w:shd w:val="clear" w:color="auto" w:fill="FFFF00"/>
    </w:rPr>
  </w:style>
  <w:style w:type="paragraph" w:styleId="ListBullet">
    <w:name w:val="List Bullet"/>
    <w:basedOn w:val="Normal"/>
    <w:uiPriority w:val="99"/>
    <w:unhideWhenUsed/>
    <w:rsid w:val="00C45A2F"/>
    <w:pPr>
      <w:numPr>
        <w:numId w:val="9"/>
      </w:numPr>
      <w:contextualSpacing/>
    </w:pPr>
  </w:style>
  <w:style w:type="paragraph" w:customStyle="1" w:styleId="center">
    <w:name w:val="center"/>
    <w:basedOn w:val="Normal"/>
    <w:rsid w:val="001C44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0A6450"/>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unhideWhenUsed/>
    <w:rsid w:val="009F5585"/>
    <w:rPr>
      <w:rFonts w:ascii="Calibri" w:eastAsia="Calibri" w:hAnsi="Calibri" w:cs="Times New Roman"/>
      <w:sz w:val="20"/>
      <w:szCs w:val="20"/>
      <w:lang w:val="x-none"/>
    </w:rPr>
  </w:style>
  <w:style w:type="character" w:customStyle="1" w:styleId="EndnoteTextChar">
    <w:name w:val="Endnote Text Char"/>
    <w:basedOn w:val="DefaultParagraphFont"/>
    <w:link w:val="EndnoteText"/>
    <w:uiPriority w:val="99"/>
    <w:rsid w:val="009F5585"/>
    <w:rPr>
      <w:rFonts w:ascii="Calibri" w:eastAsia="Calibri" w:hAnsi="Calibri" w:cs="Times New Roman"/>
      <w:sz w:val="20"/>
      <w:szCs w:val="20"/>
      <w:lang w:val="x-none"/>
    </w:rPr>
  </w:style>
  <w:style w:type="character" w:styleId="EndnoteReference">
    <w:name w:val="endnote reference"/>
    <w:uiPriority w:val="99"/>
    <w:semiHidden/>
    <w:unhideWhenUsed/>
    <w:rsid w:val="009F5585"/>
    <w:rPr>
      <w:vertAlign w:val="superscript"/>
    </w:rPr>
  </w:style>
  <w:style w:type="character" w:styleId="FollowedHyperlink">
    <w:name w:val="FollowedHyperlink"/>
    <w:basedOn w:val="DefaultParagraphFont"/>
    <w:uiPriority w:val="99"/>
    <w:semiHidden/>
    <w:unhideWhenUsed/>
    <w:rsid w:val="00E747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462">
      <w:bodyDiv w:val="1"/>
      <w:marLeft w:val="0"/>
      <w:marRight w:val="0"/>
      <w:marTop w:val="0"/>
      <w:marBottom w:val="0"/>
      <w:divBdr>
        <w:top w:val="none" w:sz="0" w:space="0" w:color="auto"/>
        <w:left w:val="none" w:sz="0" w:space="0" w:color="auto"/>
        <w:bottom w:val="none" w:sz="0" w:space="0" w:color="auto"/>
        <w:right w:val="none" w:sz="0" w:space="0" w:color="auto"/>
      </w:divBdr>
    </w:div>
    <w:div w:id="144128074">
      <w:bodyDiv w:val="1"/>
      <w:marLeft w:val="0"/>
      <w:marRight w:val="0"/>
      <w:marTop w:val="0"/>
      <w:marBottom w:val="0"/>
      <w:divBdr>
        <w:top w:val="none" w:sz="0" w:space="0" w:color="auto"/>
        <w:left w:val="none" w:sz="0" w:space="0" w:color="auto"/>
        <w:bottom w:val="none" w:sz="0" w:space="0" w:color="auto"/>
        <w:right w:val="none" w:sz="0" w:space="0" w:color="auto"/>
      </w:divBdr>
    </w:div>
    <w:div w:id="191462707">
      <w:bodyDiv w:val="1"/>
      <w:marLeft w:val="0"/>
      <w:marRight w:val="0"/>
      <w:marTop w:val="0"/>
      <w:marBottom w:val="0"/>
      <w:divBdr>
        <w:top w:val="none" w:sz="0" w:space="0" w:color="auto"/>
        <w:left w:val="none" w:sz="0" w:space="0" w:color="auto"/>
        <w:bottom w:val="none" w:sz="0" w:space="0" w:color="auto"/>
        <w:right w:val="none" w:sz="0" w:space="0" w:color="auto"/>
      </w:divBdr>
      <w:divsChild>
        <w:div w:id="1301837058">
          <w:blockQuote w:val="1"/>
          <w:marLeft w:val="450"/>
          <w:marRight w:val="450"/>
          <w:marTop w:val="0"/>
          <w:marBottom w:val="0"/>
          <w:divBdr>
            <w:top w:val="none" w:sz="0" w:space="0" w:color="auto"/>
            <w:left w:val="none" w:sz="0" w:space="0" w:color="auto"/>
            <w:bottom w:val="none" w:sz="0" w:space="0" w:color="auto"/>
            <w:right w:val="none" w:sz="0" w:space="0" w:color="auto"/>
          </w:divBdr>
        </w:div>
        <w:div w:id="1865553670">
          <w:blockQuote w:val="1"/>
          <w:marLeft w:val="450"/>
          <w:marRight w:val="450"/>
          <w:marTop w:val="0"/>
          <w:marBottom w:val="0"/>
          <w:divBdr>
            <w:top w:val="none" w:sz="0" w:space="0" w:color="auto"/>
            <w:left w:val="none" w:sz="0" w:space="0" w:color="auto"/>
            <w:bottom w:val="none" w:sz="0" w:space="0" w:color="auto"/>
            <w:right w:val="none" w:sz="0" w:space="0" w:color="auto"/>
          </w:divBdr>
        </w:div>
        <w:div w:id="1146321144">
          <w:blockQuote w:val="1"/>
          <w:marLeft w:val="450"/>
          <w:marRight w:val="450"/>
          <w:marTop w:val="0"/>
          <w:marBottom w:val="0"/>
          <w:divBdr>
            <w:top w:val="none" w:sz="0" w:space="0" w:color="auto"/>
            <w:left w:val="none" w:sz="0" w:space="0" w:color="auto"/>
            <w:bottom w:val="none" w:sz="0" w:space="0" w:color="auto"/>
            <w:right w:val="none" w:sz="0" w:space="0" w:color="auto"/>
          </w:divBdr>
        </w:div>
        <w:div w:id="1952129626">
          <w:blockQuote w:val="1"/>
          <w:marLeft w:val="450"/>
          <w:marRight w:val="450"/>
          <w:marTop w:val="0"/>
          <w:marBottom w:val="0"/>
          <w:divBdr>
            <w:top w:val="none" w:sz="0" w:space="0" w:color="auto"/>
            <w:left w:val="none" w:sz="0" w:space="0" w:color="auto"/>
            <w:bottom w:val="none" w:sz="0" w:space="0" w:color="auto"/>
            <w:right w:val="none" w:sz="0" w:space="0" w:color="auto"/>
          </w:divBdr>
        </w:div>
        <w:div w:id="1978220179">
          <w:blockQuote w:val="1"/>
          <w:marLeft w:val="450"/>
          <w:marRight w:val="450"/>
          <w:marTop w:val="0"/>
          <w:marBottom w:val="0"/>
          <w:divBdr>
            <w:top w:val="none" w:sz="0" w:space="0" w:color="auto"/>
            <w:left w:val="none" w:sz="0" w:space="0" w:color="auto"/>
            <w:bottom w:val="none" w:sz="0" w:space="0" w:color="auto"/>
            <w:right w:val="none" w:sz="0" w:space="0" w:color="auto"/>
          </w:divBdr>
        </w:div>
        <w:div w:id="960384795">
          <w:blockQuote w:val="1"/>
          <w:marLeft w:val="450"/>
          <w:marRight w:val="450"/>
          <w:marTop w:val="0"/>
          <w:marBottom w:val="0"/>
          <w:divBdr>
            <w:top w:val="none" w:sz="0" w:space="0" w:color="auto"/>
            <w:left w:val="none" w:sz="0" w:space="0" w:color="auto"/>
            <w:bottom w:val="none" w:sz="0" w:space="0" w:color="auto"/>
            <w:right w:val="none" w:sz="0" w:space="0" w:color="auto"/>
          </w:divBdr>
        </w:div>
        <w:div w:id="1457064823">
          <w:blockQuote w:val="1"/>
          <w:marLeft w:val="450"/>
          <w:marRight w:val="450"/>
          <w:marTop w:val="0"/>
          <w:marBottom w:val="0"/>
          <w:divBdr>
            <w:top w:val="none" w:sz="0" w:space="0" w:color="auto"/>
            <w:left w:val="none" w:sz="0" w:space="0" w:color="auto"/>
            <w:bottom w:val="none" w:sz="0" w:space="0" w:color="auto"/>
            <w:right w:val="none" w:sz="0" w:space="0" w:color="auto"/>
          </w:divBdr>
        </w:div>
        <w:div w:id="1902014035">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239411797">
      <w:bodyDiv w:val="1"/>
      <w:marLeft w:val="150"/>
      <w:marRight w:val="150"/>
      <w:marTop w:val="0"/>
      <w:marBottom w:val="0"/>
      <w:divBdr>
        <w:top w:val="none" w:sz="0" w:space="0" w:color="auto"/>
        <w:left w:val="none" w:sz="0" w:space="0" w:color="auto"/>
        <w:bottom w:val="none" w:sz="0" w:space="0" w:color="auto"/>
        <w:right w:val="none" w:sz="0" w:space="0" w:color="auto"/>
      </w:divBdr>
      <w:divsChild>
        <w:div w:id="762533607">
          <w:marLeft w:val="0"/>
          <w:marRight w:val="0"/>
          <w:marTop w:val="0"/>
          <w:marBottom w:val="0"/>
          <w:divBdr>
            <w:top w:val="none" w:sz="0" w:space="0" w:color="auto"/>
            <w:left w:val="none" w:sz="0" w:space="0" w:color="auto"/>
            <w:bottom w:val="none" w:sz="0" w:space="0" w:color="auto"/>
            <w:right w:val="none" w:sz="0" w:space="0" w:color="auto"/>
          </w:divBdr>
          <w:divsChild>
            <w:div w:id="921792371">
              <w:marLeft w:val="0"/>
              <w:marRight w:val="0"/>
              <w:marTop w:val="0"/>
              <w:marBottom w:val="0"/>
              <w:divBdr>
                <w:top w:val="none" w:sz="0" w:space="0" w:color="auto"/>
                <w:left w:val="none" w:sz="0" w:space="0" w:color="auto"/>
                <w:bottom w:val="none" w:sz="0" w:space="0" w:color="auto"/>
                <w:right w:val="none" w:sz="0" w:space="0" w:color="auto"/>
              </w:divBdr>
              <w:divsChild>
                <w:div w:id="2310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6247">
      <w:bodyDiv w:val="1"/>
      <w:marLeft w:val="0"/>
      <w:marRight w:val="0"/>
      <w:marTop w:val="0"/>
      <w:marBottom w:val="0"/>
      <w:divBdr>
        <w:top w:val="none" w:sz="0" w:space="0" w:color="auto"/>
        <w:left w:val="none" w:sz="0" w:space="0" w:color="auto"/>
        <w:bottom w:val="none" w:sz="0" w:space="0" w:color="auto"/>
        <w:right w:val="none" w:sz="0" w:space="0" w:color="auto"/>
      </w:divBdr>
    </w:div>
    <w:div w:id="404689753">
      <w:bodyDiv w:val="1"/>
      <w:marLeft w:val="0"/>
      <w:marRight w:val="0"/>
      <w:marTop w:val="0"/>
      <w:marBottom w:val="0"/>
      <w:divBdr>
        <w:top w:val="none" w:sz="0" w:space="0" w:color="auto"/>
        <w:left w:val="none" w:sz="0" w:space="0" w:color="auto"/>
        <w:bottom w:val="none" w:sz="0" w:space="0" w:color="auto"/>
        <w:right w:val="none" w:sz="0" w:space="0" w:color="auto"/>
      </w:divBdr>
      <w:divsChild>
        <w:div w:id="1216552939">
          <w:blockQuote w:val="1"/>
          <w:marLeft w:val="450"/>
          <w:marRight w:val="450"/>
          <w:marTop w:val="0"/>
          <w:marBottom w:val="0"/>
          <w:divBdr>
            <w:top w:val="none" w:sz="0" w:space="0" w:color="auto"/>
            <w:left w:val="none" w:sz="0" w:space="0" w:color="auto"/>
            <w:bottom w:val="none" w:sz="0" w:space="0" w:color="auto"/>
            <w:right w:val="none" w:sz="0" w:space="0" w:color="auto"/>
          </w:divBdr>
        </w:div>
        <w:div w:id="406922264">
          <w:blockQuote w:val="1"/>
          <w:marLeft w:val="450"/>
          <w:marRight w:val="450"/>
          <w:marTop w:val="0"/>
          <w:marBottom w:val="0"/>
          <w:divBdr>
            <w:top w:val="none" w:sz="0" w:space="0" w:color="auto"/>
            <w:left w:val="none" w:sz="0" w:space="0" w:color="auto"/>
            <w:bottom w:val="none" w:sz="0" w:space="0" w:color="auto"/>
            <w:right w:val="none" w:sz="0" w:space="0" w:color="auto"/>
          </w:divBdr>
        </w:div>
        <w:div w:id="1215046035">
          <w:blockQuote w:val="1"/>
          <w:marLeft w:val="450"/>
          <w:marRight w:val="450"/>
          <w:marTop w:val="0"/>
          <w:marBottom w:val="0"/>
          <w:divBdr>
            <w:top w:val="none" w:sz="0" w:space="0" w:color="auto"/>
            <w:left w:val="none" w:sz="0" w:space="0" w:color="auto"/>
            <w:bottom w:val="none" w:sz="0" w:space="0" w:color="auto"/>
            <w:right w:val="none" w:sz="0" w:space="0" w:color="auto"/>
          </w:divBdr>
        </w:div>
        <w:div w:id="282543249">
          <w:blockQuote w:val="1"/>
          <w:marLeft w:val="450"/>
          <w:marRight w:val="450"/>
          <w:marTop w:val="0"/>
          <w:marBottom w:val="0"/>
          <w:divBdr>
            <w:top w:val="none" w:sz="0" w:space="0" w:color="auto"/>
            <w:left w:val="none" w:sz="0" w:space="0" w:color="auto"/>
            <w:bottom w:val="none" w:sz="0" w:space="0" w:color="auto"/>
            <w:right w:val="none" w:sz="0" w:space="0" w:color="auto"/>
          </w:divBdr>
        </w:div>
        <w:div w:id="281041750">
          <w:blockQuote w:val="1"/>
          <w:marLeft w:val="450"/>
          <w:marRight w:val="450"/>
          <w:marTop w:val="0"/>
          <w:marBottom w:val="0"/>
          <w:divBdr>
            <w:top w:val="none" w:sz="0" w:space="0" w:color="auto"/>
            <w:left w:val="none" w:sz="0" w:space="0" w:color="auto"/>
            <w:bottom w:val="none" w:sz="0" w:space="0" w:color="auto"/>
            <w:right w:val="none" w:sz="0" w:space="0" w:color="auto"/>
          </w:divBdr>
        </w:div>
        <w:div w:id="373968986">
          <w:blockQuote w:val="1"/>
          <w:marLeft w:val="450"/>
          <w:marRight w:val="450"/>
          <w:marTop w:val="0"/>
          <w:marBottom w:val="0"/>
          <w:divBdr>
            <w:top w:val="none" w:sz="0" w:space="0" w:color="auto"/>
            <w:left w:val="none" w:sz="0" w:space="0" w:color="auto"/>
            <w:bottom w:val="none" w:sz="0" w:space="0" w:color="auto"/>
            <w:right w:val="none" w:sz="0" w:space="0" w:color="auto"/>
          </w:divBdr>
        </w:div>
        <w:div w:id="545915442">
          <w:blockQuote w:val="1"/>
          <w:marLeft w:val="450"/>
          <w:marRight w:val="450"/>
          <w:marTop w:val="0"/>
          <w:marBottom w:val="0"/>
          <w:divBdr>
            <w:top w:val="none" w:sz="0" w:space="0" w:color="auto"/>
            <w:left w:val="none" w:sz="0" w:space="0" w:color="auto"/>
            <w:bottom w:val="none" w:sz="0" w:space="0" w:color="auto"/>
            <w:right w:val="none" w:sz="0" w:space="0" w:color="auto"/>
          </w:divBdr>
        </w:div>
        <w:div w:id="961033797">
          <w:blockQuote w:val="1"/>
          <w:marLeft w:val="450"/>
          <w:marRight w:val="450"/>
          <w:marTop w:val="0"/>
          <w:marBottom w:val="0"/>
          <w:divBdr>
            <w:top w:val="none" w:sz="0" w:space="0" w:color="auto"/>
            <w:left w:val="none" w:sz="0" w:space="0" w:color="auto"/>
            <w:bottom w:val="none" w:sz="0" w:space="0" w:color="auto"/>
            <w:right w:val="none" w:sz="0" w:space="0" w:color="auto"/>
          </w:divBdr>
        </w:div>
        <w:div w:id="500896690">
          <w:blockQuote w:val="1"/>
          <w:marLeft w:val="450"/>
          <w:marRight w:val="450"/>
          <w:marTop w:val="0"/>
          <w:marBottom w:val="0"/>
          <w:divBdr>
            <w:top w:val="none" w:sz="0" w:space="0" w:color="auto"/>
            <w:left w:val="none" w:sz="0" w:space="0" w:color="auto"/>
            <w:bottom w:val="none" w:sz="0" w:space="0" w:color="auto"/>
            <w:right w:val="none" w:sz="0" w:space="0" w:color="auto"/>
          </w:divBdr>
        </w:div>
        <w:div w:id="419302782">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480512381">
      <w:bodyDiv w:val="1"/>
      <w:marLeft w:val="0"/>
      <w:marRight w:val="0"/>
      <w:marTop w:val="0"/>
      <w:marBottom w:val="0"/>
      <w:divBdr>
        <w:top w:val="none" w:sz="0" w:space="0" w:color="auto"/>
        <w:left w:val="none" w:sz="0" w:space="0" w:color="auto"/>
        <w:bottom w:val="none" w:sz="0" w:space="0" w:color="auto"/>
        <w:right w:val="none" w:sz="0" w:space="0" w:color="auto"/>
      </w:divBdr>
      <w:divsChild>
        <w:div w:id="2097895604">
          <w:marLeft w:val="0"/>
          <w:marRight w:val="0"/>
          <w:marTop w:val="240"/>
          <w:marBottom w:val="0"/>
          <w:divBdr>
            <w:top w:val="none" w:sz="0" w:space="0" w:color="auto"/>
            <w:left w:val="none" w:sz="0" w:space="0" w:color="auto"/>
            <w:bottom w:val="none" w:sz="0" w:space="0" w:color="auto"/>
            <w:right w:val="none" w:sz="0" w:space="0" w:color="auto"/>
          </w:divBdr>
        </w:div>
      </w:divsChild>
    </w:div>
    <w:div w:id="485821434">
      <w:bodyDiv w:val="1"/>
      <w:marLeft w:val="0"/>
      <w:marRight w:val="0"/>
      <w:marTop w:val="0"/>
      <w:marBottom w:val="0"/>
      <w:divBdr>
        <w:top w:val="none" w:sz="0" w:space="0" w:color="auto"/>
        <w:left w:val="none" w:sz="0" w:space="0" w:color="auto"/>
        <w:bottom w:val="none" w:sz="0" w:space="0" w:color="auto"/>
        <w:right w:val="none" w:sz="0" w:space="0" w:color="auto"/>
      </w:divBdr>
    </w:div>
    <w:div w:id="583345927">
      <w:bodyDiv w:val="1"/>
      <w:marLeft w:val="0"/>
      <w:marRight w:val="0"/>
      <w:marTop w:val="0"/>
      <w:marBottom w:val="0"/>
      <w:divBdr>
        <w:top w:val="none" w:sz="0" w:space="0" w:color="auto"/>
        <w:left w:val="none" w:sz="0" w:space="0" w:color="auto"/>
        <w:bottom w:val="none" w:sz="0" w:space="0" w:color="auto"/>
        <w:right w:val="none" w:sz="0" w:space="0" w:color="auto"/>
      </w:divBdr>
    </w:div>
    <w:div w:id="609320407">
      <w:bodyDiv w:val="1"/>
      <w:marLeft w:val="150"/>
      <w:marRight w:val="150"/>
      <w:marTop w:val="0"/>
      <w:marBottom w:val="0"/>
      <w:divBdr>
        <w:top w:val="none" w:sz="0" w:space="0" w:color="auto"/>
        <w:left w:val="none" w:sz="0" w:space="0" w:color="auto"/>
        <w:bottom w:val="none" w:sz="0" w:space="0" w:color="auto"/>
        <w:right w:val="none" w:sz="0" w:space="0" w:color="auto"/>
      </w:divBdr>
      <w:divsChild>
        <w:div w:id="1660578190">
          <w:marLeft w:val="0"/>
          <w:marRight w:val="0"/>
          <w:marTop w:val="0"/>
          <w:marBottom w:val="0"/>
          <w:divBdr>
            <w:top w:val="none" w:sz="0" w:space="0" w:color="auto"/>
            <w:left w:val="none" w:sz="0" w:space="0" w:color="auto"/>
            <w:bottom w:val="none" w:sz="0" w:space="0" w:color="auto"/>
            <w:right w:val="none" w:sz="0" w:space="0" w:color="auto"/>
          </w:divBdr>
          <w:divsChild>
            <w:div w:id="684669028">
              <w:marLeft w:val="0"/>
              <w:marRight w:val="0"/>
              <w:marTop w:val="0"/>
              <w:marBottom w:val="0"/>
              <w:divBdr>
                <w:top w:val="none" w:sz="0" w:space="0" w:color="auto"/>
                <w:left w:val="none" w:sz="0" w:space="0" w:color="auto"/>
                <w:bottom w:val="none" w:sz="0" w:space="0" w:color="auto"/>
                <w:right w:val="none" w:sz="0" w:space="0" w:color="auto"/>
              </w:divBdr>
              <w:divsChild>
                <w:div w:id="1713530218">
                  <w:marLeft w:val="0"/>
                  <w:marRight w:val="0"/>
                  <w:marTop w:val="0"/>
                  <w:marBottom w:val="0"/>
                  <w:divBdr>
                    <w:top w:val="none" w:sz="0" w:space="0" w:color="auto"/>
                    <w:left w:val="none" w:sz="0" w:space="0" w:color="auto"/>
                    <w:bottom w:val="none" w:sz="0" w:space="0" w:color="auto"/>
                    <w:right w:val="none" w:sz="0" w:space="0" w:color="auto"/>
                  </w:divBdr>
                  <w:divsChild>
                    <w:div w:id="1534880458">
                      <w:marLeft w:val="0"/>
                      <w:marRight w:val="0"/>
                      <w:marTop w:val="0"/>
                      <w:marBottom w:val="0"/>
                      <w:divBdr>
                        <w:top w:val="none" w:sz="0" w:space="0" w:color="auto"/>
                        <w:left w:val="none" w:sz="0" w:space="0" w:color="auto"/>
                        <w:bottom w:val="none" w:sz="0" w:space="0" w:color="auto"/>
                        <w:right w:val="none" w:sz="0" w:space="0" w:color="auto"/>
                      </w:divBdr>
                      <w:divsChild>
                        <w:div w:id="1037463194">
                          <w:marLeft w:val="0"/>
                          <w:marRight w:val="0"/>
                          <w:marTop w:val="0"/>
                          <w:marBottom w:val="0"/>
                          <w:divBdr>
                            <w:top w:val="none" w:sz="0" w:space="0" w:color="auto"/>
                            <w:left w:val="none" w:sz="0" w:space="0" w:color="auto"/>
                            <w:bottom w:val="none" w:sz="0" w:space="0" w:color="auto"/>
                            <w:right w:val="none" w:sz="0" w:space="0" w:color="auto"/>
                          </w:divBdr>
                          <w:divsChild>
                            <w:div w:id="2040661985">
                              <w:marLeft w:val="840"/>
                              <w:marRight w:val="0"/>
                              <w:marTop w:val="0"/>
                              <w:marBottom w:val="0"/>
                              <w:divBdr>
                                <w:top w:val="none" w:sz="0" w:space="0" w:color="auto"/>
                                <w:left w:val="none" w:sz="0" w:space="0" w:color="auto"/>
                                <w:bottom w:val="none" w:sz="0" w:space="0" w:color="auto"/>
                                <w:right w:val="none" w:sz="0" w:space="0" w:color="auto"/>
                              </w:divBdr>
                            </w:div>
                          </w:divsChild>
                        </w:div>
                        <w:div w:id="1352024192">
                          <w:marLeft w:val="0"/>
                          <w:marRight w:val="0"/>
                          <w:marTop w:val="0"/>
                          <w:marBottom w:val="0"/>
                          <w:divBdr>
                            <w:top w:val="none" w:sz="0" w:space="0" w:color="auto"/>
                            <w:left w:val="none" w:sz="0" w:space="0" w:color="auto"/>
                            <w:bottom w:val="none" w:sz="0" w:space="0" w:color="auto"/>
                            <w:right w:val="none" w:sz="0" w:space="0" w:color="auto"/>
                          </w:divBdr>
                          <w:divsChild>
                            <w:div w:id="709694763">
                              <w:marLeft w:val="0"/>
                              <w:marRight w:val="0"/>
                              <w:marTop w:val="0"/>
                              <w:marBottom w:val="0"/>
                              <w:divBdr>
                                <w:top w:val="none" w:sz="0" w:space="0" w:color="auto"/>
                                <w:left w:val="none" w:sz="0" w:space="0" w:color="auto"/>
                                <w:bottom w:val="none" w:sz="0" w:space="0" w:color="auto"/>
                                <w:right w:val="none" w:sz="0" w:space="0" w:color="auto"/>
                              </w:divBdr>
                            </w:div>
                            <w:div w:id="370766988">
                              <w:marLeft w:val="840"/>
                              <w:marRight w:val="0"/>
                              <w:marTop w:val="0"/>
                              <w:marBottom w:val="0"/>
                              <w:divBdr>
                                <w:top w:val="none" w:sz="0" w:space="0" w:color="auto"/>
                                <w:left w:val="none" w:sz="0" w:space="0" w:color="auto"/>
                                <w:bottom w:val="none" w:sz="0" w:space="0" w:color="auto"/>
                                <w:right w:val="none" w:sz="0" w:space="0" w:color="auto"/>
                              </w:divBdr>
                            </w:div>
                          </w:divsChild>
                        </w:div>
                        <w:div w:id="52893671">
                          <w:marLeft w:val="0"/>
                          <w:marRight w:val="0"/>
                          <w:marTop w:val="0"/>
                          <w:marBottom w:val="0"/>
                          <w:divBdr>
                            <w:top w:val="none" w:sz="0" w:space="0" w:color="auto"/>
                            <w:left w:val="none" w:sz="0" w:space="0" w:color="auto"/>
                            <w:bottom w:val="none" w:sz="0" w:space="0" w:color="auto"/>
                            <w:right w:val="none" w:sz="0" w:space="0" w:color="auto"/>
                          </w:divBdr>
                          <w:divsChild>
                            <w:div w:id="2064910691">
                              <w:marLeft w:val="0"/>
                              <w:marRight w:val="0"/>
                              <w:marTop w:val="0"/>
                              <w:marBottom w:val="0"/>
                              <w:divBdr>
                                <w:top w:val="none" w:sz="0" w:space="0" w:color="auto"/>
                                <w:left w:val="none" w:sz="0" w:space="0" w:color="auto"/>
                                <w:bottom w:val="none" w:sz="0" w:space="0" w:color="auto"/>
                                <w:right w:val="none" w:sz="0" w:space="0" w:color="auto"/>
                              </w:divBdr>
                            </w:div>
                            <w:div w:id="692534580">
                              <w:marLeft w:val="840"/>
                              <w:marRight w:val="0"/>
                              <w:marTop w:val="0"/>
                              <w:marBottom w:val="0"/>
                              <w:divBdr>
                                <w:top w:val="none" w:sz="0" w:space="0" w:color="auto"/>
                                <w:left w:val="none" w:sz="0" w:space="0" w:color="auto"/>
                                <w:bottom w:val="none" w:sz="0" w:space="0" w:color="auto"/>
                                <w:right w:val="none" w:sz="0" w:space="0" w:color="auto"/>
                              </w:divBdr>
                            </w:div>
                          </w:divsChild>
                        </w:div>
                        <w:div w:id="1334843252">
                          <w:marLeft w:val="0"/>
                          <w:marRight w:val="0"/>
                          <w:marTop w:val="0"/>
                          <w:marBottom w:val="0"/>
                          <w:divBdr>
                            <w:top w:val="none" w:sz="0" w:space="0" w:color="auto"/>
                            <w:left w:val="none" w:sz="0" w:space="0" w:color="auto"/>
                            <w:bottom w:val="none" w:sz="0" w:space="0" w:color="auto"/>
                            <w:right w:val="none" w:sz="0" w:space="0" w:color="auto"/>
                          </w:divBdr>
                          <w:divsChild>
                            <w:div w:id="46147652">
                              <w:marLeft w:val="0"/>
                              <w:marRight w:val="0"/>
                              <w:marTop w:val="0"/>
                              <w:marBottom w:val="0"/>
                              <w:divBdr>
                                <w:top w:val="none" w:sz="0" w:space="0" w:color="auto"/>
                                <w:left w:val="none" w:sz="0" w:space="0" w:color="auto"/>
                                <w:bottom w:val="none" w:sz="0" w:space="0" w:color="auto"/>
                                <w:right w:val="none" w:sz="0" w:space="0" w:color="auto"/>
                              </w:divBdr>
                            </w:div>
                            <w:div w:id="1105425058">
                              <w:marLeft w:val="840"/>
                              <w:marRight w:val="0"/>
                              <w:marTop w:val="0"/>
                              <w:marBottom w:val="0"/>
                              <w:divBdr>
                                <w:top w:val="none" w:sz="0" w:space="0" w:color="auto"/>
                                <w:left w:val="none" w:sz="0" w:space="0" w:color="auto"/>
                                <w:bottom w:val="none" w:sz="0" w:space="0" w:color="auto"/>
                                <w:right w:val="none" w:sz="0" w:space="0" w:color="auto"/>
                              </w:divBdr>
                            </w:div>
                          </w:divsChild>
                        </w:div>
                        <w:div w:id="2085839317">
                          <w:marLeft w:val="0"/>
                          <w:marRight w:val="0"/>
                          <w:marTop w:val="0"/>
                          <w:marBottom w:val="0"/>
                          <w:divBdr>
                            <w:top w:val="none" w:sz="0" w:space="0" w:color="auto"/>
                            <w:left w:val="none" w:sz="0" w:space="0" w:color="auto"/>
                            <w:bottom w:val="none" w:sz="0" w:space="0" w:color="auto"/>
                            <w:right w:val="none" w:sz="0" w:space="0" w:color="auto"/>
                          </w:divBdr>
                          <w:divsChild>
                            <w:div w:id="1458332562">
                              <w:marLeft w:val="0"/>
                              <w:marRight w:val="0"/>
                              <w:marTop w:val="0"/>
                              <w:marBottom w:val="0"/>
                              <w:divBdr>
                                <w:top w:val="none" w:sz="0" w:space="0" w:color="auto"/>
                                <w:left w:val="none" w:sz="0" w:space="0" w:color="auto"/>
                                <w:bottom w:val="none" w:sz="0" w:space="0" w:color="auto"/>
                                <w:right w:val="none" w:sz="0" w:space="0" w:color="auto"/>
                              </w:divBdr>
                            </w:div>
                            <w:div w:id="215505909">
                              <w:marLeft w:val="840"/>
                              <w:marRight w:val="0"/>
                              <w:marTop w:val="0"/>
                              <w:marBottom w:val="0"/>
                              <w:divBdr>
                                <w:top w:val="none" w:sz="0" w:space="0" w:color="auto"/>
                                <w:left w:val="none" w:sz="0" w:space="0" w:color="auto"/>
                                <w:bottom w:val="none" w:sz="0" w:space="0" w:color="auto"/>
                                <w:right w:val="none" w:sz="0" w:space="0" w:color="auto"/>
                              </w:divBdr>
                            </w:div>
                          </w:divsChild>
                        </w:div>
                        <w:div w:id="2120097450">
                          <w:marLeft w:val="0"/>
                          <w:marRight w:val="0"/>
                          <w:marTop w:val="0"/>
                          <w:marBottom w:val="0"/>
                          <w:divBdr>
                            <w:top w:val="none" w:sz="0" w:space="0" w:color="auto"/>
                            <w:left w:val="none" w:sz="0" w:space="0" w:color="auto"/>
                            <w:bottom w:val="none" w:sz="0" w:space="0" w:color="auto"/>
                            <w:right w:val="none" w:sz="0" w:space="0" w:color="auto"/>
                          </w:divBdr>
                          <w:divsChild>
                            <w:div w:id="1586183171">
                              <w:marLeft w:val="0"/>
                              <w:marRight w:val="0"/>
                              <w:marTop w:val="0"/>
                              <w:marBottom w:val="0"/>
                              <w:divBdr>
                                <w:top w:val="none" w:sz="0" w:space="0" w:color="auto"/>
                                <w:left w:val="none" w:sz="0" w:space="0" w:color="auto"/>
                                <w:bottom w:val="none" w:sz="0" w:space="0" w:color="auto"/>
                                <w:right w:val="none" w:sz="0" w:space="0" w:color="auto"/>
                              </w:divBdr>
                            </w:div>
                            <w:div w:id="1511488851">
                              <w:marLeft w:val="840"/>
                              <w:marRight w:val="0"/>
                              <w:marTop w:val="0"/>
                              <w:marBottom w:val="0"/>
                              <w:divBdr>
                                <w:top w:val="none" w:sz="0" w:space="0" w:color="auto"/>
                                <w:left w:val="none" w:sz="0" w:space="0" w:color="auto"/>
                                <w:bottom w:val="none" w:sz="0" w:space="0" w:color="auto"/>
                                <w:right w:val="none" w:sz="0" w:space="0" w:color="auto"/>
                              </w:divBdr>
                            </w:div>
                          </w:divsChild>
                        </w:div>
                        <w:div w:id="1181429759">
                          <w:marLeft w:val="0"/>
                          <w:marRight w:val="0"/>
                          <w:marTop w:val="0"/>
                          <w:marBottom w:val="0"/>
                          <w:divBdr>
                            <w:top w:val="none" w:sz="0" w:space="0" w:color="auto"/>
                            <w:left w:val="none" w:sz="0" w:space="0" w:color="auto"/>
                            <w:bottom w:val="none" w:sz="0" w:space="0" w:color="auto"/>
                            <w:right w:val="none" w:sz="0" w:space="0" w:color="auto"/>
                          </w:divBdr>
                          <w:divsChild>
                            <w:div w:id="1769345520">
                              <w:marLeft w:val="0"/>
                              <w:marRight w:val="0"/>
                              <w:marTop w:val="0"/>
                              <w:marBottom w:val="0"/>
                              <w:divBdr>
                                <w:top w:val="none" w:sz="0" w:space="0" w:color="auto"/>
                                <w:left w:val="none" w:sz="0" w:space="0" w:color="auto"/>
                                <w:bottom w:val="none" w:sz="0" w:space="0" w:color="auto"/>
                                <w:right w:val="none" w:sz="0" w:space="0" w:color="auto"/>
                              </w:divBdr>
                            </w:div>
                            <w:div w:id="1017535666">
                              <w:marLeft w:val="840"/>
                              <w:marRight w:val="0"/>
                              <w:marTop w:val="0"/>
                              <w:marBottom w:val="0"/>
                              <w:divBdr>
                                <w:top w:val="none" w:sz="0" w:space="0" w:color="auto"/>
                                <w:left w:val="none" w:sz="0" w:space="0" w:color="auto"/>
                                <w:bottom w:val="none" w:sz="0" w:space="0" w:color="auto"/>
                                <w:right w:val="none" w:sz="0" w:space="0" w:color="auto"/>
                              </w:divBdr>
                            </w:div>
                          </w:divsChild>
                        </w:div>
                        <w:div w:id="691146078">
                          <w:marLeft w:val="0"/>
                          <w:marRight w:val="0"/>
                          <w:marTop w:val="0"/>
                          <w:marBottom w:val="0"/>
                          <w:divBdr>
                            <w:top w:val="none" w:sz="0" w:space="0" w:color="auto"/>
                            <w:left w:val="none" w:sz="0" w:space="0" w:color="auto"/>
                            <w:bottom w:val="none" w:sz="0" w:space="0" w:color="auto"/>
                            <w:right w:val="none" w:sz="0" w:space="0" w:color="auto"/>
                          </w:divBdr>
                          <w:divsChild>
                            <w:div w:id="1331563241">
                              <w:marLeft w:val="0"/>
                              <w:marRight w:val="0"/>
                              <w:marTop w:val="0"/>
                              <w:marBottom w:val="0"/>
                              <w:divBdr>
                                <w:top w:val="none" w:sz="0" w:space="0" w:color="auto"/>
                                <w:left w:val="none" w:sz="0" w:space="0" w:color="auto"/>
                                <w:bottom w:val="none" w:sz="0" w:space="0" w:color="auto"/>
                                <w:right w:val="none" w:sz="0" w:space="0" w:color="auto"/>
                              </w:divBdr>
                            </w:div>
                            <w:div w:id="25004732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376185">
      <w:bodyDiv w:val="1"/>
      <w:marLeft w:val="0"/>
      <w:marRight w:val="0"/>
      <w:marTop w:val="0"/>
      <w:marBottom w:val="0"/>
      <w:divBdr>
        <w:top w:val="none" w:sz="0" w:space="0" w:color="auto"/>
        <w:left w:val="none" w:sz="0" w:space="0" w:color="auto"/>
        <w:bottom w:val="none" w:sz="0" w:space="0" w:color="auto"/>
        <w:right w:val="none" w:sz="0" w:space="0" w:color="auto"/>
      </w:divBdr>
    </w:div>
    <w:div w:id="704141976">
      <w:bodyDiv w:val="1"/>
      <w:marLeft w:val="0"/>
      <w:marRight w:val="0"/>
      <w:marTop w:val="0"/>
      <w:marBottom w:val="0"/>
      <w:divBdr>
        <w:top w:val="none" w:sz="0" w:space="0" w:color="auto"/>
        <w:left w:val="none" w:sz="0" w:space="0" w:color="auto"/>
        <w:bottom w:val="none" w:sz="0" w:space="0" w:color="auto"/>
        <w:right w:val="none" w:sz="0" w:space="0" w:color="auto"/>
      </w:divBdr>
    </w:div>
    <w:div w:id="964772519">
      <w:bodyDiv w:val="1"/>
      <w:marLeft w:val="0"/>
      <w:marRight w:val="0"/>
      <w:marTop w:val="0"/>
      <w:marBottom w:val="0"/>
      <w:divBdr>
        <w:top w:val="none" w:sz="0" w:space="0" w:color="auto"/>
        <w:left w:val="none" w:sz="0" w:space="0" w:color="auto"/>
        <w:bottom w:val="none" w:sz="0" w:space="0" w:color="auto"/>
        <w:right w:val="none" w:sz="0" w:space="0" w:color="auto"/>
      </w:divBdr>
    </w:div>
    <w:div w:id="1017735586">
      <w:bodyDiv w:val="1"/>
      <w:marLeft w:val="0"/>
      <w:marRight w:val="0"/>
      <w:marTop w:val="0"/>
      <w:marBottom w:val="0"/>
      <w:divBdr>
        <w:top w:val="none" w:sz="0" w:space="0" w:color="auto"/>
        <w:left w:val="none" w:sz="0" w:space="0" w:color="auto"/>
        <w:bottom w:val="none" w:sz="0" w:space="0" w:color="auto"/>
        <w:right w:val="none" w:sz="0" w:space="0" w:color="auto"/>
      </w:divBdr>
    </w:div>
    <w:div w:id="1024790983">
      <w:bodyDiv w:val="1"/>
      <w:marLeft w:val="0"/>
      <w:marRight w:val="0"/>
      <w:marTop w:val="0"/>
      <w:marBottom w:val="0"/>
      <w:divBdr>
        <w:top w:val="none" w:sz="0" w:space="0" w:color="auto"/>
        <w:left w:val="none" w:sz="0" w:space="0" w:color="auto"/>
        <w:bottom w:val="none" w:sz="0" w:space="0" w:color="auto"/>
        <w:right w:val="none" w:sz="0" w:space="0" w:color="auto"/>
      </w:divBdr>
    </w:div>
    <w:div w:id="1195460723">
      <w:bodyDiv w:val="1"/>
      <w:marLeft w:val="0"/>
      <w:marRight w:val="0"/>
      <w:marTop w:val="0"/>
      <w:marBottom w:val="0"/>
      <w:divBdr>
        <w:top w:val="none" w:sz="0" w:space="0" w:color="auto"/>
        <w:left w:val="none" w:sz="0" w:space="0" w:color="auto"/>
        <w:bottom w:val="none" w:sz="0" w:space="0" w:color="auto"/>
        <w:right w:val="none" w:sz="0" w:space="0" w:color="auto"/>
      </w:divBdr>
    </w:div>
    <w:div w:id="1211379706">
      <w:bodyDiv w:val="1"/>
      <w:marLeft w:val="0"/>
      <w:marRight w:val="0"/>
      <w:marTop w:val="0"/>
      <w:marBottom w:val="0"/>
      <w:divBdr>
        <w:top w:val="none" w:sz="0" w:space="0" w:color="auto"/>
        <w:left w:val="none" w:sz="0" w:space="0" w:color="auto"/>
        <w:bottom w:val="none" w:sz="0" w:space="0" w:color="auto"/>
        <w:right w:val="none" w:sz="0" w:space="0" w:color="auto"/>
      </w:divBdr>
    </w:div>
    <w:div w:id="1213806655">
      <w:bodyDiv w:val="1"/>
      <w:marLeft w:val="0"/>
      <w:marRight w:val="0"/>
      <w:marTop w:val="0"/>
      <w:marBottom w:val="0"/>
      <w:divBdr>
        <w:top w:val="none" w:sz="0" w:space="0" w:color="auto"/>
        <w:left w:val="none" w:sz="0" w:space="0" w:color="auto"/>
        <w:bottom w:val="none" w:sz="0" w:space="0" w:color="auto"/>
        <w:right w:val="none" w:sz="0" w:space="0" w:color="auto"/>
      </w:divBdr>
    </w:div>
    <w:div w:id="1226378727">
      <w:bodyDiv w:val="1"/>
      <w:marLeft w:val="150"/>
      <w:marRight w:val="150"/>
      <w:marTop w:val="0"/>
      <w:marBottom w:val="0"/>
      <w:divBdr>
        <w:top w:val="none" w:sz="0" w:space="0" w:color="auto"/>
        <w:left w:val="none" w:sz="0" w:space="0" w:color="auto"/>
        <w:bottom w:val="none" w:sz="0" w:space="0" w:color="auto"/>
        <w:right w:val="none" w:sz="0" w:space="0" w:color="auto"/>
      </w:divBdr>
      <w:divsChild>
        <w:div w:id="101266654">
          <w:marLeft w:val="0"/>
          <w:marRight w:val="0"/>
          <w:marTop w:val="0"/>
          <w:marBottom w:val="0"/>
          <w:divBdr>
            <w:top w:val="none" w:sz="0" w:space="0" w:color="auto"/>
            <w:left w:val="none" w:sz="0" w:space="0" w:color="auto"/>
            <w:bottom w:val="none" w:sz="0" w:space="0" w:color="auto"/>
            <w:right w:val="none" w:sz="0" w:space="0" w:color="auto"/>
          </w:divBdr>
          <w:divsChild>
            <w:div w:id="673915636">
              <w:marLeft w:val="0"/>
              <w:marRight w:val="0"/>
              <w:marTop w:val="0"/>
              <w:marBottom w:val="0"/>
              <w:divBdr>
                <w:top w:val="none" w:sz="0" w:space="0" w:color="auto"/>
                <w:left w:val="none" w:sz="0" w:space="0" w:color="auto"/>
                <w:bottom w:val="none" w:sz="0" w:space="0" w:color="auto"/>
                <w:right w:val="none" w:sz="0" w:space="0" w:color="auto"/>
              </w:divBdr>
              <w:divsChild>
                <w:div w:id="12429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94205">
      <w:bodyDiv w:val="1"/>
      <w:marLeft w:val="0"/>
      <w:marRight w:val="0"/>
      <w:marTop w:val="0"/>
      <w:marBottom w:val="0"/>
      <w:divBdr>
        <w:top w:val="none" w:sz="0" w:space="0" w:color="auto"/>
        <w:left w:val="none" w:sz="0" w:space="0" w:color="auto"/>
        <w:bottom w:val="none" w:sz="0" w:space="0" w:color="auto"/>
        <w:right w:val="none" w:sz="0" w:space="0" w:color="auto"/>
      </w:divBdr>
    </w:div>
    <w:div w:id="1468355601">
      <w:bodyDiv w:val="1"/>
      <w:marLeft w:val="150"/>
      <w:marRight w:val="150"/>
      <w:marTop w:val="0"/>
      <w:marBottom w:val="0"/>
      <w:divBdr>
        <w:top w:val="none" w:sz="0" w:space="0" w:color="auto"/>
        <w:left w:val="none" w:sz="0" w:space="0" w:color="auto"/>
        <w:bottom w:val="none" w:sz="0" w:space="0" w:color="auto"/>
        <w:right w:val="none" w:sz="0" w:space="0" w:color="auto"/>
      </w:divBdr>
      <w:divsChild>
        <w:div w:id="1662805825">
          <w:marLeft w:val="0"/>
          <w:marRight w:val="0"/>
          <w:marTop w:val="0"/>
          <w:marBottom w:val="0"/>
          <w:divBdr>
            <w:top w:val="none" w:sz="0" w:space="0" w:color="auto"/>
            <w:left w:val="none" w:sz="0" w:space="0" w:color="auto"/>
            <w:bottom w:val="none" w:sz="0" w:space="0" w:color="auto"/>
            <w:right w:val="none" w:sz="0" w:space="0" w:color="auto"/>
          </w:divBdr>
          <w:divsChild>
            <w:div w:id="475683408">
              <w:marLeft w:val="0"/>
              <w:marRight w:val="0"/>
              <w:marTop w:val="0"/>
              <w:marBottom w:val="0"/>
              <w:divBdr>
                <w:top w:val="none" w:sz="0" w:space="0" w:color="auto"/>
                <w:left w:val="none" w:sz="0" w:space="0" w:color="auto"/>
                <w:bottom w:val="none" w:sz="0" w:space="0" w:color="auto"/>
                <w:right w:val="none" w:sz="0" w:space="0" w:color="auto"/>
              </w:divBdr>
              <w:divsChild>
                <w:div w:id="5224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4975">
      <w:bodyDiv w:val="1"/>
      <w:marLeft w:val="0"/>
      <w:marRight w:val="0"/>
      <w:marTop w:val="0"/>
      <w:marBottom w:val="0"/>
      <w:divBdr>
        <w:top w:val="none" w:sz="0" w:space="0" w:color="auto"/>
        <w:left w:val="none" w:sz="0" w:space="0" w:color="auto"/>
        <w:bottom w:val="none" w:sz="0" w:space="0" w:color="auto"/>
        <w:right w:val="none" w:sz="0" w:space="0" w:color="auto"/>
      </w:divBdr>
    </w:div>
    <w:div w:id="1562666380">
      <w:bodyDiv w:val="1"/>
      <w:marLeft w:val="0"/>
      <w:marRight w:val="0"/>
      <w:marTop w:val="0"/>
      <w:marBottom w:val="0"/>
      <w:divBdr>
        <w:top w:val="none" w:sz="0" w:space="0" w:color="auto"/>
        <w:left w:val="none" w:sz="0" w:space="0" w:color="auto"/>
        <w:bottom w:val="none" w:sz="0" w:space="0" w:color="auto"/>
        <w:right w:val="none" w:sz="0" w:space="0" w:color="auto"/>
      </w:divBdr>
    </w:div>
    <w:div w:id="1565676332">
      <w:bodyDiv w:val="1"/>
      <w:marLeft w:val="0"/>
      <w:marRight w:val="0"/>
      <w:marTop w:val="0"/>
      <w:marBottom w:val="0"/>
      <w:divBdr>
        <w:top w:val="none" w:sz="0" w:space="0" w:color="auto"/>
        <w:left w:val="none" w:sz="0" w:space="0" w:color="auto"/>
        <w:bottom w:val="none" w:sz="0" w:space="0" w:color="auto"/>
        <w:right w:val="none" w:sz="0" w:space="0" w:color="auto"/>
      </w:divBdr>
    </w:div>
    <w:div w:id="1565988535">
      <w:bodyDiv w:val="1"/>
      <w:marLeft w:val="0"/>
      <w:marRight w:val="0"/>
      <w:marTop w:val="0"/>
      <w:marBottom w:val="0"/>
      <w:divBdr>
        <w:top w:val="none" w:sz="0" w:space="0" w:color="auto"/>
        <w:left w:val="none" w:sz="0" w:space="0" w:color="auto"/>
        <w:bottom w:val="none" w:sz="0" w:space="0" w:color="auto"/>
        <w:right w:val="none" w:sz="0" w:space="0" w:color="auto"/>
      </w:divBdr>
    </w:div>
    <w:div w:id="1655329103">
      <w:bodyDiv w:val="1"/>
      <w:marLeft w:val="0"/>
      <w:marRight w:val="0"/>
      <w:marTop w:val="0"/>
      <w:marBottom w:val="0"/>
      <w:divBdr>
        <w:top w:val="none" w:sz="0" w:space="0" w:color="auto"/>
        <w:left w:val="none" w:sz="0" w:space="0" w:color="auto"/>
        <w:bottom w:val="none" w:sz="0" w:space="0" w:color="auto"/>
        <w:right w:val="none" w:sz="0" w:space="0" w:color="auto"/>
      </w:divBdr>
    </w:div>
    <w:div w:id="1662737609">
      <w:bodyDiv w:val="1"/>
      <w:marLeft w:val="150"/>
      <w:marRight w:val="150"/>
      <w:marTop w:val="0"/>
      <w:marBottom w:val="0"/>
      <w:divBdr>
        <w:top w:val="none" w:sz="0" w:space="0" w:color="auto"/>
        <w:left w:val="none" w:sz="0" w:space="0" w:color="auto"/>
        <w:bottom w:val="none" w:sz="0" w:space="0" w:color="auto"/>
        <w:right w:val="none" w:sz="0" w:space="0" w:color="auto"/>
      </w:divBdr>
      <w:divsChild>
        <w:div w:id="940913300">
          <w:marLeft w:val="0"/>
          <w:marRight w:val="0"/>
          <w:marTop w:val="0"/>
          <w:marBottom w:val="0"/>
          <w:divBdr>
            <w:top w:val="none" w:sz="0" w:space="0" w:color="auto"/>
            <w:left w:val="none" w:sz="0" w:space="0" w:color="auto"/>
            <w:bottom w:val="none" w:sz="0" w:space="0" w:color="auto"/>
            <w:right w:val="none" w:sz="0" w:space="0" w:color="auto"/>
          </w:divBdr>
          <w:divsChild>
            <w:div w:id="1174995189">
              <w:marLeft w:val="0"/>
              <w:marRight w:val="0"/>
              <w:marTop w:val="0"/>
              <w:marBottom w:val="0"/>
              <w:divBdr>
                <w:top w:val="none" w:sz="0" w:space="0" w:color="auto"/>
                <w:left w:val="none" w:sz="0" w:space="0" w:color="auto"/>
                <w:bottom w:val="none" w:sz="0" w:space="0" w:color="auto"/>
                <w:right w:val="none" w:sz="0" w:space="0" w:color="auto"/>
              </w:divBdr>
              <w:divsChild>
                <w:div w:id="8232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69239">
      <w:bodyDiv w:val="1"/>
      <w:marLeft w:val="0"/>
      <w:marRight w:val="0"/>
      <w:marTop w:val="0"/>
      <w:marBottom w:val="0"/>
      <w:divBdr>
        <w:top w:val="none" w:sz="0" w:space="0" w:color="auto"/>
        <w:left w:val="none" w:sz="0" w:space="0" w:color="auto"/>
        <w:bottom w:val="none" w:sz="0" w:space="0" w:color="auto"/>
        <w:right w:val="none" w:sz="0" w:space="0" w:color="auto"/>
      </w:divBdr>
    </w:div>
    <w:div w:id="2015106774">
      <w:bodyDiv w:val="1"/>
      <w:marLeft w:val="150"/>
      <w:marRight w:val="150"/>
      <w:marTop w:val="0"/>
      <w:marBottom w:val="0"/>
      <w:divBdr>
        <w:top w:val="none" w:sz="0" w:space="0" w:color="auto"/>
        <w:left w:val="none" w:sz="0" w:space="0" w:color="auto"/>
        <w:bottom w:val="none" w:sz="0" w:space="0" w:color="auto"/>
        <w:right w:val="none" w:sz="0" w:space="0" w:color="auto"/>
      </w:divBdr>
      <w:divsChild>
        <w:div w:id="1483884582">
          <w:marLeft w:val="0"/>
          <w:marRight w:val="0"/>
          <w:marTop w:val="0"/>
          <w:marBottom w:val="0"/>
          <w:divBdr>
            <w:top w:val="none" w:sz="0" w:space="0" w:color="auto"/>
            <w:left w:val="none" w:sz="0" w:space="0" w:color="auto"/>
            <w:bottom w:val="none" w:sz="0" w:space="0" w:color="auto"/>
            <w:right w:val="none" w:sz="0" w:space="0" w:color="auto"/>
          </w:divBdr>
          <w:divsChild>
            <w:div w:id="806048816">
              <w:marLeft w:val="0"/>
              <w:marRight w:val="0"/>
              <w:marTop w:val="0"/>
              <w:marBottom w:val="0"/>
              <w:divBdr>
                <w:top w:val="none" w:sz="0" w:space="0" w:color="auto"/>
                <w:left w:val="none" w:sz="0" w:space="0" w:color="auto"/>
                <w:bottom w:val="none" w:sz="0" w:space="0" w:color="auto"/>
                <w:right w:val="none" w:sz="0" w:space="0" w:color="auto"/>
              </w:divBdr>
              <w:divsChild>
                <w:div w:id="9907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4646">
      <w:bodyDiv w:val="1"/>
      <w:marLeft w:val="150"/>
      <w:marRight w:val="150"/>
      <w:marTop w:val="0"/>
      <w:marBottom w:val="0"/>
      <w:divBdr>
        <w:top w:val="none" w:sz="0" w:space="0" w:color="auto"/>
        <w:left w:val="none" w:sz="0" w:space="0" w:color="auto"/>
        <w:bottom w:val="none" w:sz="0" w:space="0" w:color="auto"/>
        <w:right w:val="none" w:sz="0" w:space="0" w:color="auto"/>
      </w:divBdr>
      <w:divsChild>
        <w:div w:id="965158394">
          <w:marLeft w:val="0"/>
          <w:marRight w:val="0"/>
          <w:marTop w:val="0"/>
          <w:marBottom w:val="0"/>
          <w:divBdr>
            <w:top w:val="none" w:sz="0" w:space="0" w:color="auto"/>
            <w:left w:val="none" w:sz="0" w:space="0" w:color="auto"/>
            <w:bottom w:val="none" w:sz="0" w:space="0" w:color="auto"/>
            <w:right w:val="none" w:sz="0" w:space="0" w:color="auto"/>
          </w:divBdr>
          <w:divsChild>
            <w:div w:id="949430370">
              <w:marLeft w:val="0"/>
              <w:marRight w:val="0"/>
              <w:marTop w:val="0"/>
              <w:marBottom w:val="0"/>
              <w:divBdr>
                <w:top w:val="none" w:sz="0" w:space="0" w:color="auto"/>
                <w:left w:val="none" w:sz="0" w:space="0" w:color="auto"/>
                <w:bottom w:val="none" w:sz="0" w:space="0" w:color="auto"/>
                <w:right w:val="none" w:sz="0" w:space="0" w:color="auto"/>
              </w:divBdr>
              <w:divsChild>
                <w:div w:id="5267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1493">
      <w:bodyDiv w:val="1"/>
      <w:marLeft w:val="0"/>
      <w:marRight w:val="0"/>
      <w:marTop w:val="0"/>
      <w:marBottom w:val="0"/>
      <w:divBdr>
        <w:top w:val="none" w:sz="0" w:space="0" w:color="auto"/>
        <w:left w:val="none" w:sz="0" w:space="0" w:color="auto"/>
        <w:bottom w:val="none" w:sz="0" w:space="0" w:color="auto"/>
        <w:right w:val="none" w:sz="0" w:space="0" w:color="auto"/>
      </w:divBdr>
    </w:div>
    <w:div w:id="2080596655">
      <w:bodyDiv w:val="1"/>
      <w:marLeft w:val="150"/>
      <w:marRight w:val="150"/>
      <w:marTop w:val="0"/>
      <w:marBottom w:val="0"/>
      <w:divBdr>
        <w:top w:val="none" w:sz="0" w:space="0" w:color="auto"/>
        <w:left w:val="none" w:sz="0" w:space="0" w:color="auto"/>
        <w:bottom w:val="none" w:sz="0" w:space="0" w:color="auto"/>
        <w:right w:val="none" w:sz="0" w:space="0" w:color="auto"/>
      </w:divBdr>
      <w:divsChild>
        <w:div w:id="593518782">
          <w:marLeft w:val="0"/>
          <w:marRight w:val="0"/>
          <w:marTop w:val="0"/>
          <w:marBottom w:val="0"/>
          <w:divBdr>
            <w:top w:val="none" w:sz="0" w:space="0" w:color="auto"/>
            <w:left w:val="none" w:sz="0" w:space="0" w:color="auto"/>
            <w:bottom w:val="none" w:sz="0" w:space="0" w:color="auto"/>
            <w:right w:val="none" w:sz="0" w:space="0" w:color="auto"/>
          </w:divBdr>
          <w:divsChild>
            <w:div w:id="860629883">
              <w:marLeft w:val="0"/>
              <w:marRight w:val="0"/>
              <w:marTop w:val="0"/>
              <w:marBottom w:val="0"/>
              <w:divBdr>
                <w:top w:val="none" w:sz="0" w:space="0" w:color="auto"/>
                <w:left w:val="none" w:sz="0" w:space="0" w:color="auto"/>
                <w:bottom w:val="none" w:sz="0" w:space="0" w:color="auto"/>
                <w:right w:val="none" w:sz="0" w:space="0" w:color="auto"/>
              </w:divBdr>
              <w:divsChild>
                <w:div w:id="6960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ogin.westlaw.co.uk/maf/wluk/ext/app/document?sp=atbce2690ff9-55123&amp;src=doc&amp;linktype=ref&amp;context=57&amp;crumb-action=replace&amp;docguid=ID7098EF0E45211DA8D70A0E70A78ED6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uk/webhp?sourceid=chrome-instant&amp;rlz=1C1RNLH_enGB514GB517&amp;ion=1&amp;espv=2&amp;ie=UTF-8" TargetMode="External"/><Relationship Id="rId2" Type="http://schemas.openxmlformats.org/officeDocument/2006/relationships/hyperlink" Target="http://www.cps.gov.uk/legal/d_to_g/disclosure_manual/annex_k_disclosure_manual/" TargetMode="External"/><Relationship Id="rId1" Type="http://schemas.openxmlformats.org/officeDocument/2006/relationships/hyperlink" Target="http://www.judiciary.gov.uk/wp-content/uploads/2014/10/kalisher-lecture-expert-evidence-oct-14.pdf" TargetMode="External"/><Relationship Id="rId4" Type="http://schemas.openxmlformats.org/officeDocument/2006/relationships/hyperlink" Target="http://www.cps.gov.uk/legal/assets/uploads/files/expert_evidence_first_edition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AC16F-3461-4873-8223-EE80C3B4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6530</TotalTime>
  <Pages>22</Pages>
  <Words>9706</Words>
  <Characters>55328</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429</cp:revision>
  <dcterms:created xsi:type="dcterms:W3CDTF">2016-01-30T11:27:00Z</dcterms:created>
  <dcterms:modified xsi:type="dcterms:W3CDTF">2016-02-28T15:36:00Z</dcterms:modified>
</cp:coreProperties>
</file>