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55" w:rsidRPr="00CC5E79" w:rsidRDefault="00110955" w:rsidP="00110955">
      <w:pPr>
        <w:spacing w:line="480" w:lineRule="auto"/>
        <w:jc w:val="both"/>
        <w:rPr>
          <w:rFonts w:ascii="Times New Roman" w:hAnsi="Times New Roman"/>
          <w:b/>
          <w:sz w:val="24"/>
          <w:szCs w:val="24"/>
        </w:rPr>
      </w:pPr>
      <w:r w:rsidRPr="00CC5E79">
        <w:rPr>
          <w:rFonts w:ascii="Times New Roman" w:hAnsi="Times New Roman"/>
          <w:b/>
          <w:sz w:val="24"/>
          <w:szCs w:val="24"/>
        </w:rPr>
        <w:t xml:space="preserve">The relation between </w:t>
      </w:r>
      <w:proofErr w:type="gramStart"/>
      <w:r w:rsidR="00630F5C" w:rsidRPr="00CC5E79">
        <w:rPr>
          <w:rFonts w:ascii="Times New Roman" w:hAnsi="Times New Roman"/>
          <w:b/>
          <w:sz w:val="24"/>
          <w:szCs w:val="24"/>
        </w:rPr>
        <w:t>practice</w:t>
      </w:r>
      <w:proofErr w:type="gramEnd"/>
      <w:r w:rsidR="00630F5C" w:rsidRPr="00CC5E79">
        <w:rPr>
          <w:rFonts w:ascii="Times New Roman" w:hAnsi="Times New Roman"/>
          <w:b/>
          <w:sz w:val="24"/>
          <w:szCs w:val="24"/>
        </w:rPr>
        <w:t xml:space="preserve"> that is consistent with </w:t>
      </w:r>
      <w:r w:rsidRPr="00CC5E79">
        <w:rPr>
          <w:rFonts w:ascii="Times New Roman" w:hAnsi="Times New Roman"/>
          <w:b/>
          <w:sz w:val="24"/>
          <w:szCs w:val="24"/>
        </w:rPr>
        <w:t xml:space="preserve">NICE guideline 142 </w:t>
      </w:r>
      <w:r w:rsidR="00630F5C" w:rsidRPr="00CC5E79">
        <w:rPr>
          <w:rFonts w:ascii="Times New Roman" w:hAnsi="Times New Roman"/>
          <w:b/>
          <w:sz w:val="24"/>
          <w:szCs w:val="24"/>
        </w:rPr>
        <w:t xml:space="preserve">recommendations </w:t>
      </w:r>
      <w:r w:rsidRPr="00CC5E79">
        <w:rPr>
          <w:rFonts w:ascii="Times New Roman" w:hAnsi="Times New Roman"/>
          <w:b/>
          <w:sz w:val="24"/>
          <w:szCs w:val="24"/>
        </w:rPr>
        <w:t>and waiting times within Autism Spectrum Disorder diagnostic services</w:t>
      </w:r>
    </w:p>
    <w:p w:rsidR="00110955" w:rsidRPr="00CC5E79" w:rsidRDefault="00110955" w:rsidP="00110955">
      <w:pPr>
        <w:autoSpaceDE w:val="0"/>
        <w:autoSpaceDN w:val="0"/>
        <w:adjustRightInd w:val="0"/>
        <w:spacing w:after="0" w:line="480" w:lineRule="auto"/>
        <w:jc w:val="both"/>
        <w:rPr>
          <w:rFonts w:ascii="Times New Roman" w:hAnsi="Times New Roman"/>
          <w:bCs/>
          <w:sz w:val="24"/>
          <w:szCs w:val="24"/>
        </w:rPr>
      </w:pPr>
      <w:r w:rsidRPr="00CC5E79">
        <w:rPr>
          <w:rFonts w:ascii="Times New Roman" w:hAnsi="Times New Roman"/>
          <w:bCs/>
          <w:sz w:val="24"/>
          <w:szCs w:val="24"/>
        </w:rPr>
        <w:t>Karen McKenzie</w:t>
      </w:r>
      <w:r w:rsidRPr="00CC5E79">
        <w:rPr>
          <w:rFonts w:ascii="Times New Roman" w:hAnsi="Times New Roman"/>
          <w:bCs/>
          <w:sz w:val="24"/>
          <w:szCs w:val="24"/>
          <w:vertAlign w:val="superscript"/>
        </w:rPr>
        <w:t>1</w:t>
      </w:r>
      <w:r w:rsidRPr="00CC5E79">
        <w:rPr>
          <w:rFonts w:ascii="Times New Roman" w:hAnsi="Times New Roman"/>
          <w:bCs/>
          <w:sz w:val="24"/>
          <w:szCs w:val="24"/>
        </w:rPr>
        <w:t xml:space="preserve">* Marion </w:t>
      </w:r>
      <w:proofErr w:type="gramStart"/>
      <w:r w:rsidRPr="00CC5E79">
        <w:rPr>
          <w:rFonts w:ascii="Times New Roman" w:hAnsi="Times New Roman"/>
          <w:bCs/>
          <w:sz w:val="24"/>
          <w:szCs w:val="24"/>
        </w:rPr>
        <w:t>Rutherford</w:t>
      </w:r>
      <w:r w:rsidRPr="00CC5E79">
        <w:rPr>
          <w:rFonts w:ascii="Times New Roman" w:hAnsi="Times New Roman"/>
          <w:bCs/>
          <w:sz w:val="24"/>
          <w:szCs w:val="24"/>
          <w:vertAlign w:val="superscript"/>
        </w:rPr>
        <w:t xml:space="preserve">2  </w:t>
      </w:r>
      <w:r w:rsidRPr="00CC5E79">
        <w:rPr>
          <w:rFonts w:ascii="Times New Roman" w:hAnsi="Times New Roman"/>
          <w:bCs/>
          <w:sz w:val="24"/>
          <w:szCs w:val="24"/>
        </w:rPr>
        <w:t>Kirsty</w:t>
      </w:r>
      <w:proofErr w:type="gramEnd"/>
      <w:r w:rsidRPr="00CC5E79">
        <w:rPr>
          <w:rFonts w:ascii="Times New Roman" w:hAnsi="Times New Roman"/>
          <w:bCs/>
          <w:sz w:val="24"/>
          <w:szCs w:val="24"/>
        </w:rPr>
        <w:t xml:space="preserve"> Forsyth</w:t>
      </w:r>
      <w:r w:rsidRPr="00CC5E79">
        <w:rPr>
          <w:rFonts w:ascii="Times New Roman" w:hAnsi="Times New Roman"/>
          <w:bCs/>
          <w:sz w:val="24"/>
          <w:szCs w:val="24"/>
          <w:vertAlign w:val="superscript"/>
        </w:rPr>
        <w:t xml:space="preserve">2 </w:t>
      </w:r>
      <w:r w:rsidRPr="00CC5E79">
        <w:rPr>
          <w:rFonts w:ascii="Times New Roman" w:hAnsi="Times New Roman"/>
          <w:bCs/>
          <w:sz w:val="24"/>
          <w:szCs w:val="24"/>
        </w:rPr>
        <w:t xml:space="preserve"> Anne O’Hare</w:t>
      </w:r>
      <w:r w:rsidRPr="00CC5E79">
        <w:rPr>
          <w:rFonts w:ascii="Times New Roman" w:hAnsi="Times New Roman"/>
          <w:bCs/>
          <w:sz w:val="24"/>
          <w:szCs w:val="24"/>
          <w:vertAlign w:val="superscript"/>
        </w:rPr>
        <w:t xml:space="preserve">3 </w:t>
      </w:r>
      <w:r w:rsidRPr="00CC5E79">
        <w:rPr>
          <w:rFonts w:ascii="Times New Roman" w:hAnsi="Times New Roman"/>
          <w:bCs/>
          <w:sz w:val="24"/>
          <w:szCs w:val="24"/>
        </w:rPr>
        <w:t>Iain McClure</w:t>
      </w:r>
      <w:r w:rsidRPr="00CC5E79">
        <w:rPr>
          <w:rFonts w:ascii="Times New Roman" w:hAnsi="Times New Roman"/>
          <w:bCs/>
          <w:sz w:val="24"/>
          <w:szCs w:val="24"/>
          <w:vertAlign w:val="superscript"/>
        </w:rPr>
        <w:t xml:space="preserve">4 </w:t>
      </w:r>
      <w:r w:rsidRPr="00CC5E79">
        <w:rPr>
          <w:rFonts w:ascii="Times New Roman" w:hAnsi="Times New Roman"/>
          <w:bCs/>
          <w:sz w:val="24"/>
          <w:szCs w:val="24"/>
        </w:rPr>
        <w:t>Aja L. Murray</w:t>
      </w:r>
      <w:r w:rsidRPr="00CC5E79">
        <w:rPr>
          <w:rFonts w:ascii="Times New Roman" w:hAnsi="Times New Roman"/>
          <w:bCs/>
          <w:sz w:val="24"/>
          <w:szCs w:val="24"/>
          <w:vertAlign w:val="superscript"/>
        </w:rPr>
        <w:t xml:space="preserve">5 </w:t>
      </w:r>
      <w:r w:rsidRPr="00CC5E79">
        <w:rPr>
          <w:rFonts w:ascii="Times New Roman" w:hAnsi="Times New Roman"/>
          <w:bCs/>
          <w:sz w:val="24"/>
          <w:szCs w:val="24"/>
        </w:rPr>
        <w:t>Linda Irvine</w:t>
      </w:r>
      <w:r w:rsidRPr="00CC5E79">
        <w:rPr>
          <w:rFonts w:ascii="Times New Roman" w:hAnsi="Times New Roman"/>
          <w:bCs/>
          <w:sz w:val="24"/>
          <w:szCs w:val="24"/>
          <w:vertAlign w:val="superscript"/>
        </w:rPr>
        <w:t>6</w:t>
      </w:r>
    </w:p>
    <w:p w:rsidR="00110955" w:rsidRPr="00CC5E79" w:rsidRDefault="00110955" w:rsidP="00CC5E79">
      <w:pPr>
        <w:autoSpaceDE w:val="0"/>
        <w:autoSpaceDN w:val="0"/>
        <w:adjustRightInd w:val="0"/>
        <w:spacing w:after="0" w:line="480" w:lineRule="auto"/>
        <w:jc w:val="both"/>
        <w:rPr>
          <w:rFonts w:ascii="Times New Roman" w:hAnsi="Times New Roman"/>
          <w:bCs/>
          <w:sz w:val="24"/>
          <w:szCs w:val="24"/>
        </w:rPr>
      </w:pPr>
      <w:r w:rsidRPr="00CC5E79">
        <w:rPr>
          <w:rFonts w:ascii="Times New Roman" w:hAnsi="Times New Roman"/>
          <w:bCs/>
          <w:sz w:val="24"/>
          <w:szCs w:val="24"/>
          <w:vertAlign w:val="superscript"/>
        </w:rPr>
        <w:t>1</w:t>
      </w:r>
      <w:r w:rsidRPr="00CC5E79">
        <w:rPr>
          <w:rFonts w:ascii="Times New Roman" w:hAnsi="Times New Roman"/>
          <w:bCs/>
          <w:sz w:val="24"/>
          <w:szCs w:val="24"/>
        </w:rPr>
        <w:t>Department of Psychology</w:t>
      </w:r>
      <w:r w:rsidRPr="00CC5E79">
        <w:rPr>
          <w:rFonts w:ascii="Times New Roman" w:hAnsi="Times New Roman"/>
          <w:sz w:val="24"/>
          <w:szCs w:val="24"/>
        </w:rPr>
        <w:t xml:space="preserve">, Faculty of Health and Life Sciences, Northumbria University, </w:t>
      </w:r>
    </w:p>
    <w:p w:rsidR="00110955" w:rsidRPr="00CC5E79" w:rsidRDefault="00110955" w:rsidP="00110955">
      <w:pPr>
        <w:rPr>
          <w:rFonts w:ascii="Times New Roman" w:hAnsi="Times New Roman"/>
          <w:b/>
        </w:rPr>
      </w:pPr>
    </w:p>
    <w:p w:rsidR="00110955" w:rsidRPr="00CC5E79" w:rsidRDefault="00110955" w:rsidP="00110955">
      <w:pPr>
        <w:rPr>
          <w:rFonts w:ascii="Times New Roman" w:hAnsi="Times New Roman"/>
        </w:rPr>
      </w:pPr>
      <w:r w:rsidRPr="00CC5E79">
        <w:rPr>
          <w:rFonts w:ascii="Times New Roman" w:hAnsi="Times New Roman"/>
        </w:rPr>
        <w:t>*Corresponding author</w:t>
      </w:r>
    </w:p>
    <w:p w:rsidR="00110955" w:rsidRPr="00CC5E79" w:rsidRDefault="00110955" w:rsidP="00110955">
      <w:pPr>
        <w:rPr>
          <w:rFonts w:ascii="Times New Roman" w:hAnsi="Times New Roman"/>
          <w:b/>
        </w:rPr>
      </w:pPr>
      <w:r w:rsidRPr="00CC5E79">
        <w:rPr>
          <w:rFonts w:ascii="Times New Roman" w:hAnsi="Times New Roman"/>
          <w:b/>
        </w:rPr>
        <w:t>Acknowledgments</w:t>
      </w:r>
    </w:p>
    <w:p w:rsidR="00110955" w:rsidRPr="00CC5E79" w:rsidRDefault="00110955" w:rsidP="00110955">
      <w:pPr>
        <w:rPr>
          <w:rFonts w:ascii="Times New Roman" w:hAnsi="Times New Roman"/>
        </w:rPr>
      </w:pPr>
      <w:r w:rsidRPr="00CC5E79">
        <w:rPr>
          <w:rFonts w:ascii="Times New Roman" w:hAnsi="Times New Roman"/>
        </w:rPr>
        <w:t xml:space="preserve">We would like to acknowledge Ciara Catchpole (CC) and Tess Johnston (TJ) who gathered data for this study. </w:t>
      </w:r>
    </w:p>
    <w:p w:rsidR="00110955" w:rsidRPr="00CC5E79" w:rsidRDefault="00110955" w:rsidP="00110955">
      <w:pPr>
        <w:rPr>
          <w:rFonts w:ascii="Times New Roman" w:hAnsi="Times New Roman"/>
          <w:b/>
        </w:rPr>
      </w:pPr>
      <w:r w:rsidRPr="00CC5E79">
        <w:rPr>
          <w:rFonts w:ascii="Times New Roman" w:hAnsi="Times New Roman"/>
          <w:b/>
        </w:rPr>
        <w:t>Funding</w:t>
      </w:r>
    </w:p>
    <w:p w:rsidR="00110955" w:rsidRPr="00CC5E79" w:rsidRDefault="00110955" w:rsidP="00110955">
      <w:pPr>
        <w:rPr>
          <w:rFonts w:ascii="Times New Roman" w:hAnsi="Times New Roman"/>
        </w:rPr>
      </w:pPr>
      <w:r w:rsidRPr="00CC5E79">
        <w:rPr>
          <w:rFonts w:ascii="Times New Roman" w:hAnsi="Times New Roman"/>
        </w:rPr>
        <w:t>This publication was supported by a grant from The Scottish Government. Its content is solely the responsibility of the authors and does not necessarily represent the official views of the Scottish Government.</w:t>
      </w:r>
    </w:p>
    <w:p w:rsidR="00630F5C" w:rsidRPr="00CC5E79" w:rsidRDefault="00110955" w:rsidP="00630F5C">
      <w:pPr>
        <w:spacing w:line="480" w:lineRule="auto"/>
        <w:jc w:val="both"/>
        <w:rPr>
          <w:rFonts w:ascii="Times New Roman" w:hAnsi="Times New Roman"/>
          <w:b/>
          <w:sz w:val="24"/>
          <w:szCs w:val="24"/>
        </w:rPr>
      </w:pPr>
      <w:r w:rsidRPr="00CC5E79">
        <w:rPr>
          <w:rFonts w:ascii="Times New Roman" w:hAnsi="Times New Roman"/>
          <w:b/>
          <w:sz w:val="24"/>
          <w:szCs w:val="24"/>
        </w:rPr>
        <w:br w:type="page"/>
      </w:r>
      <w:r w:rsidR="00630F5C" w:rsidRPr="00CC5E79">
        <w:rPr>
          <w:rFonts w:ascii="Times New Roman" w:hAnsi="Times New Roman"/>
          <w:b/>
          <w:sz w:val="24"/>
          <w:szCs w:val="24"/>
        </w:rPr>
        <w:lastRenderedPageBreak/>
        <w:t xml:space="preserve">The relation between </w:t>
      </w:r>
      <w:proofErr w:type="gramStart"/>
      <w:r w:rsidR="00630F5C" w:rsidRPr="00CC5E79">
        <w:rPr>
          <w:rFonts w:ascii="Times New Roman" w:hAnsi="Times New Roman"/>
          <w:b/>
          <w:sz w:val="24"/>
          <w:szCs w:val="24"/>
        </w:rPr>
        <w:t>practice</w:t>
      </w:r>
      <w:proofErr w:type="gramEnd"/>
      <w:r w:rsidR="00630F5C" w:rsidRPr="00CC5E79">
        <w:rPr>
          <w:rFonts w:ascii="Times New Roman" w:hAnsi="Times New Roman"/>
          <w:b/>
          <w:sz w:val="24"/>
          <w:szCs w:val="24"/>
        </w:rPr>
        <w:t xml:space="preserve"> that is consistent with NICE guideline 142 recommendations and waiting times within Autism Spectrum Disorder diagnostic services</w:t>
      </w:r>
    </w:p>
    <w:p w:rsidR="00514A83" w:rsidRPr="00CC5E79" w:rsidRDefault="00514A83" w:rsidP="00110955">
      <w:pPr>
        <w:spacing w:after="0" w:line="240" w:lineRule="auto"/>
        <w:rPr>
          <w:rFonts w:ascii="Times New Roman" w:hAnsi="Times New Roman"/>
          <w:b/>
          <w:sz w:val="24"/>
          <w:szCs w:val="24"/>
        </w:rPr>
      </w:pPr>
    </w:p>
    <w:p w:rsidR="00643541" w:rsidRPr="00CC5E79" w:rsidRDefault="00643541" w:rsidP="00643541">
      <w:pPr>
        <w:spacing w:line="480" w:lineRule="auto"/>
        <w:jc w:val="center"/>
        <w:rPr>
          <w:rFonts w:ascii="Times New Roman" w:hAnsi="Times New Roman"/>
          <w:b/>
          <w:sz w:val="24"/>
          <w:szCs w:val="24"/>
        </w:rPr>
      </w:pPr>
      <w:r w:rsidRPr="00CC5E79">
        <w:rPr>
          <w:rFonts w:ascii="Times New Roman" w:hAnsi="Times New Roman"/>
          <w:b/>
          <w:sz w:val="24"/>
          <w:szCs w:val="24"/>
        </w:rPr>
        <w:t>Abstract</w:t>
      </w:r>
    </w:p>
    <w:p w:rsidR="00F21E89" w:rsidRPr="00CC5E79" w:rsidRDefault="00F21E89" w:rsidP="00643541">
      <w:pPr>
        <w:spacing w:line="480" w:lineRule="auto"/>
        <w:rPr>
          <w:rFonts w:ascii="Times New Roman" w:hAnsi="Times New Roman"/>
          <w:sz w:val="24"/>
          <w:szCs w:val="24"/>
        </w:rPr>
      </w:pPr>
      <w:r w:rsidRPr="00CC5E79">
        <w:rPr>
          <w:rFonts w:ascii="Times New Roman" w:hAnsi="Times New Roman"/>
          <w:b/>
          <w:sz w:val="24"/>
          <w:szCs w:val="24"/>
        </w:rPr>
        <w:t>Background:</w:t>
      </w:r>
      <w:r w:rsidRPr="00CC5E79">
        <w:rPr>
          <w:rFonts w:ascii="Times New Roman" w:hAnsi="Times New Roman"/>
          <w:sz w:val="24"/>
          <w:szCs w:val="24"/>
        </w:rPr>
        <w:t xml:space="preserve"> </w:t>
      </w:r>
      <w:r w:rsidR="00643541" w:rsidRPr="00CC5E79">
        <w:rPr>
          <w:rFonts w:ascii="Times New Roman" w:hAnsi="Times New Roman"/>
          <w:sz w:val="24"/>
          <w:szCs w:val="24"/>
        </w:rPr>
        <w:t xml:space="preserve">This study explores the extent to which recommendations from </w:t>
      </w:r>
      <w:r w:rsidR="00514A83" w:rsidRPr="00CC5E79">
        <w:rPr>
          <w:rFonts w:ascii="Times New Roman" w:hAnsi="Times New Roman"/>
          <w:sz w:val="24"/>
          <w:szCs w:val="24"/>
        </w:rPr>
        <w:t xml:space="preserve">the </w:t>
      </w:r>
      <w:r w:rsidR="00643541" w:rsidRPr="00CC5E79">
        <w:rPr>
          <w:rFonts w:ascii="Times New Roman" w:hAnsi="Times New Roman"/>
          <w:sz w:val="24"/>
          <w:szCs w:val="24"/>
        </w:rPr>
        <w:t xml:space="preserve">National Institute of </w:t>
      </w:r>
      <w:r w:rsidR="00CD52B4" w:rsidRPr="00CC5E79">
        <w:rPr>
          <w:rFonts w:ascii="Times New Roman" w:hAnsi="Times New Roman"/>
          <w:sz w:val="24"/>
          <w:szCs w:val="24"/>
        </w:rPr>
        <w:t xml:space="preserve">Health and Care </w:t>
      </w:r>
      <w:r w:rsidR="00643541" w:rsidRPr="00CC5E79">
        <w:rPr>
          <w:rFonts w:ascii="Times New Roman" w:hAnsi="Times New Roman"/>
          <w:sz w:val="24"/>
          <w:szCs w:val="24"/>
        </w:rPr>
        <w:t>Excellence (NICE)</w:t>
      </w:r>
      <w:r w:rsidR="00643541" w:rsidRPr="00CC5E79">
        <w:t xml:space="preserve"> </w:t>
      </w:r>
      <w:r w:rsidR="00643541" w:rsidRPr="00CC5E79">
        <w:rPr>
          <w:rFonts w:ascii="Times New Roman" w:hAnsi="Times New Roman"/>
          <w:sz w:val="24"/>
          <w:szCs w:val="24"/>
        </w:rPr>
        <w:t>142 guidelines</w:t>
      </w:r>
      <w:r w:rsidR="00CE717D" w:rsidRPr="00CC5E79">
        <w:rPr>
          <w:rFonts w:ascii="Times New Roman" w:hAnsi="Times New Roman"/>
          <w:sz w:val="24"/>
          <w:szCs w:val="24"/>
        </w:rPr>
        <w:t>, section 9.2</w:t>
      </w:r>
      <w:r w:rsidR="00643541" w:rsidRPr="00CC5E79">
        <w:rPr>
          <w:rFonts w:ascii="Times New Roman" w:hAnsi="Times New Roman"/>
          <w:sz w:val="24"/>
          <w:szCs w:val="24"/>
        </w:rPr>
        <w:t xml:space="preserve"> (relating to identification, assessment and diagnosis) reflected existing routine clinical practice in Autism Spectrum Disorder (ASD) diagnosing services in Scotland; and whether there was a significant relation between routine practice which more closely </w:t>
      </w:r>
      <w:r w:rsidR="00887ABF" w:rsidRPr="00CC5E79">
        <w:rPr>
          <w:rFonts w:ascii="Times New Roman" w:hAnsi="Times New Roman"/>
          <w:sz w:val="24"/>
          <w:szCs w:val="24"/>
        </w:rPr>
        <w:t xml:space="preserve">reflected these recommendations </w:t>
      </w:r>
      <w:r w:rsidR="00643541" w:rsidRPr="00CC5E79">
        <w:rPr>
          <w:rFonts w:ascii="Times New Roman" w:hAnsi="Times New Roman"/>
          <w:sz w:val="24"/>
          <w:szCs w:val="24"/>
        </w:rPr>
        <w:t xml:space="preserve">and waiting times.  </w:t>
      </w:r>
    </w:p>
    <w:p w:rsidR="00F21E89" w:rsidRPr="00CC5E79" w:rsidRDefault="00F21E89" w:rsidP="00643541">
      <w:pPr>
        <w:spacing w:line="480" w:lineRule="auto"/>
        <w:rPr>
          <w:rFonts w:ascii="Times New Roman" w:hAnsi="Times New Roman"/>
          <w:sz w:val="24"/>
          <w:szCs w:val="24"/>
        </w:rPr>
      </w:pPr>
      <w:r w:rsidRPr="00CC5E79">
        <w:rPr>
          <w:rFonts w:ascii="Times New Roman" w:hAnsi="Times New Roman"/>
          <w:b/>
          <w:sz w:val="24"/>
          <w:szCs w:val="24"/>
        </w:rPr>
        <w:t>Method:</w:t>
      </w:r>
      <w:r w:rsidRPr="00CC5E79">
        <w:rPr>
          <w:rFonts w:ascii="Times New Roman" w:hAnsi="Times New Roman"/>
          <w:sz w:val="24"/>
          <w:szCs w:val="24"/>
        </w:rPr>
        <w:t xml:space="preserve"> A </w:t>
      </w:r>
      <w:r w:rsidR="00643541" w:rsidRPr="00CC5E79">
        <w:rPr>
          <w:rFonts w:ascii="Times New Roman" w:hAnsi="Times New Roman"/>
          <w:sz w:val="24"/>
          <w:szCs w:val="24"/>
        </w:rPr>
        <w:t>cross-sectional, retrospective case note analysis of recently diagnosed adults, in eight ASD services across Scotland</w:t>
      </w:r>
      <w:r w:rsidRPr="00CC5E79">
        <w:rPr>
          <w:rFonts w:ascii="Times New Roman" w:hAnsi="Times New Roman"/>
          <w:sz w:val="24"/>
          <w:szCs w:val="24"/>
        </w:rPr>
        <w:t>.</w:t>
      </w:r>
    </w:p>
    <w:p w:rsidR="00643541" w:rsidRPr="00CC5E79" w:rsidRDefault="00F21E89" w:rsidP="00643541">
      <w:pPr>
        <w:spacing w:line="480" w:lineRule="auto"/>
        <w:rPr>
          <w:rFonts w:ascii="Times New Roman" w:hAnsi="Times New Roman"/>
          <w:b/>
          <w:sz w:val="24"/>
          <w:szCs w:val="24"/>
        </w:rPr>
      </w:pPr>
      <w:r w:rsidRPr="00CC5E79">
        <w:rPr>
          <w:rFonts w:ascii="Times New Roman" w:hAnsi="Times New Roman"/>
          <w:b/>
          <w:sz w:val="24"/>
          <w:szCs w:val="24"/>
        </w:rPr>
        <w:t>Results:</w:t>
      </w:r>
      <w:r w:rsidR="00E40E6D" w:rsidRPr="00CC5E79">
        <w:rPr>
          <w:rFonts w:ascii="Times New Roman" w:hAnsi="Times New Roman"/>
          <w:sz w:val="24"/>
          <w:szCs w:val="24"/>
        </w:rPr>
        <w:t xml:space="preserve"> T</w:t>
      </w:r>
      <w:r w:rsidR="00643541" w:rsidRPr="00CC5E79">
        <w:rPr>
          <w:rFonts w:ascii="Times New Roman" w:hAnsi="Times New Roman"/>
          <w:sz w:val="24"/>
          <w:szCs w:val="24"/>
        </w:rPr>
        <w:t xml:space="preserve">he study found that the </w:t>
      </w:r>
      <w:r w:rsidR="00630F5C" w:rsidRPr="00CC5E79">
        <w:rPr>
          <w:rFonts w:ascii="Times New Roman" w:hAnsi="Times New Roman"/>
          <w:sz w:val="24"/>
          <w:szCs w:val="24"/>
        </w:rPr>
        <w:t xml:space="preserve">existing practice of the </w:t>
      </w:r>
      <w:r w:rsidR="00E40E6D" w:rsidRPr="00CC5E79">
        <w:rPr>
          <w:rFonts w:ascii="Times New Roman" w:hAnsi="Times New Roman"/>
          <w:sz w:val="24"/>
          <w:szCs w:val="24"/>
        </w:rPr>
        <w:t>participating services</w:t>
      </w:r>
      <w:r w:rsidR="00630F5C" w:rsidRPr="00CC5E79">
        <w:rPr>
          <w:rFonts w:ascii="Times New Roman" w:hAnsi="Times New Roman"/>
          <w:sz w:val="24"/>
          <w:szCs w:val="24"/>
        </w:rPr>
        <w:t xml:space="preserve"> was consistent with</w:t>
      </w:r>
      <w:r w:rsidR="00E40E6D" w:rsidRPr="00CC5E79">
        <w:rPr>
          <w:rFonts w:ascii="Times New Roman" w:hAnsi="Times New Roman"/>
          <w:sz w:val="24"/>
          <w:szCs w:val="24"/>
        </w:rPr>
        <w:t xml:space="preserve"> </w:t>
      </w:r>
      <w:r w:rsidR="00643541" w:rsidRPr="00CC5E79">
        <w:rPr>
          <w:rFonts w:ascii="Times New Roman" w:hAnsi="Times New Roman"/>
          <w:sz w:val="24"/>
          <w:szCs w:val="24"/>
        </w:rPr>
        <w:t>14</w:t>
      </w:r>
      <w:r w:rsidR="00E40E6D" w:rsidRPr="00CC5E79">
        <w:rPr>
          <w:rFonts w:ascii="Times New Roman" w:hAnsi="Times New Roman"/>
          <w:sz w:val="24"/>
          <w:szCs w:val="24"/>
        </w:rPr>
        <w:t xml:space="preserve"> </w:t>
      </w:r>
      <w:r w:rsidR="00643541" w:rsidRPr="00CC5E79">
        <w:rPr>
          <w:rFonts w:ascii="Times New Roman" w:hAnsi="Times New Roman"/>
          <w:sz w:val="24"/>
          <w:szCs w:val="24"/>
        </w:rPr>
        <w:t xml:space="preserve"> </w:t>
      </w:r>
      <w:r w:rsidR="00E40E6D" w:rsidRPr="00CC5E79">
        <w:rPr>
          <w:rFonts w:ascii="Times New Roman" w:hAnsi="Times New Roman"/>
          <w:sz w:val="24"/>
          <w:szCs w:val="24"/>
        </w:rPr>
        <w:t xml:space="preserve">(maximum number) </w:t>
      </w:r>
      <w:r w:rsidR="00630F5C" w:rsidRPr="00CC5E79">
        <w:rPr>
          <w:rFonts w:ascii="Times New Roman" w:hAnsi="Times New Roman"/>
          <w:sz w:val="24"/>
          <w:szCs w:val="24"/>
        </w:rPr>
        <w:t xml:space="preserve">of the </w:t>
      </w:r>
      <w:r w:rsidR="00643541" w:rsidRPr="00CC5E79">
        <w:rPr>
          <w:rFonts w:ascii="Times New Roman" w:hAnsi="Times New Roman"/>
          <w:sz w:val="24"/>
          <w:szCs w:val="24"/>
        </w:rPr>
        <w:t>included recommendations in at least half of cas</w:t>
      </w:r>
      <w:r w:rsidR="00630F5C" w:rsidRPr="00CC5E79">
        <w:rPr>
          <w:rFonts w:ascii="Times New Roman" w:hAnsi="Times New Roman"/>
          <w:sz w:val="24"/>
          <w:szCs w:val="24"/>
        </w:rPr>
        <w:t>es analysed (range 37-70 cases)</w:t>
      </w:r>
      <w:r w:rsidR="00643541" w:rsidRPr="00CC5E79">
        <w:rPr>
          <w:rFonts w:ascii="Times New Roman" w:hAnsi="Times New Roman"/>
          <w:sz w:val="24"/>
          <w:szCs w:val="24"/>
        </w:rPr>
        <w:t xml:space="preserve"> and was not related to increased total waiting time for diagnosis.</w:t>
      </w:r>
      <w:r w:rsidR="00643541" w:rsidRPr="00CC5E79">
        <w:rPr>
          <w:rFonts w:ascii="Times New Roman" w:hAnsi="Times New Roman"/>
          <w:b/>
          <w:sz w:val="24"/>
          <w:szCs w:val="24"/>
        </w:rPr>
        <w:t xml:space="preserve"> </w:t>
      </w:r>
    </w:p>
    <w:p w:rsidR="00F21E89" w:rsidRPr="00CC5E79" w:rsidRDefault="00F21E89" w:rsidP="00F21E89">
      <w:pPr>
        <w:spacing w:line="480" w:lineRule="auto"/>
        <w:jc w:val="both"/>
        <w:rPr>
          <w:rFonts w:ascii="Times New Roman" w:hAnsi="Times New Roman"/>
          <w:sz w:val="24"/>
          <w:szCs w:val="24"/>
        </w:rPr>
      </w:pPr>
      <w:r w:rsidRPr="00CC5E79">
        <w:rPr>
          <w:rFonts w:ascii="Times New Roman" w:hAnsi="Times New Roman"/>
          <w:b/>
          <w:sz w:val="24"/>
          <w:szCs w:val="24"/>
        </w:rPr>
        <w:t>Conclusion:</w:t>
      </w:r>
      <w:r w:rsidRPr="00CC5E79">
        <w:rPr>
          <w:rFonts w:ascii="Times New Roman" w:hAnsi="Times New Roman"/>
          <w:sz w:val="24"/>
          <w:szCs w:val="24"/>
        </w:rPr>
        <w:t xml:space="preserve"> The results, based only on the included recommendations, suggest that the section 9.2 recommendations can be integrated into clinical practice in Scotland with relative ease and that it is unlikely to have a negative impact on waiting times.</w:t>
      </w:r>
    </w:p>
    <w:p w:rsidR="00643541" w:rsidRPr="00CC5E79" w:rsidRDefault="00643541" w:rsidP="00643541">
      <w:pPr>
        <w:spacing w:line="480" w:lineRule="auto"/>
        <w:rPr>
          <w:rFonts w:ascii="Times New Roman" w:hAnsi="Times New Roman"/>
          <w:b/>
          <w:sz w:val="24"/>
          <w:szCs w:val="24"/>
        </w:rPr>
      </w:pPr>
    </w:p>
    <w:p w:rsidR="00643541" w:rsidRPr="00CC5E79" w:rsidRDefault="00643541" w:rsidP="00643541">
      <w:pPr>
        <w:rPr>
          <w:rFonts w:ascii="Times New Roman" w:hAnsi="Times New Roman"/>
          <w:sz w:val="24"/>
          <w:szCs w:val="24"/>
        </w:rPr>
      </w:pPr>
      <w:r w:rsidRPr="00CC5E79">
        <w:rPr>
          <w:rFonts w:ascii="Times New Roman" w:hAnsi="Times New Roman"/>
          <w:b/>
          <w:sz w:val="24"/>
          <w:szCs w:val="24"/>
        </w:rPr>
        <w:t xml:space="preserve">Key words: </w:t>
      </w:r>
      <w:r w:rsidRPr="00CC5E79">
        <w:rPr>
          <w:rFonts w:ascii="Times New Roman" w:hAnsi="Times New Roman"/>
          <w:sz w:val="24"/>
          <w:szCs w:val="24"/>
        </w:rPr>
        <w:t>Clinical Guidelines, wait times, diagnosis, Autism Spectrum Disorder, NICE</w:t>
      </w:r>
    </w:p>
    <w:p w:rsidR="00643541" w:rsidRPr="00CC5E79" w:rsidRDefault="003C6226" w:rsidP="003C6226">
      <w:pPr>
        <w:spacing w:after="0" w:line="240" w:lineRule="auto"/>
        <w:rPr>
          <w:rFonts w:ascii="Times New Roman" w:hAnsi="Times New Roman"/>
          <w:b/>
          <w:sz w:val="24"/>
          <w:szCs w:val="24"/>
        </w:rPr>
      </w:pPr>
      <w:r w:rsidRPr="00CC5E79">
        <w:rPr>
          <w:rFonts w:ascii="Times New Roman" w:hAnsi="Times New Roman"/>
          <w:b/>
          <w:sz w:val="24"/>
          <w:szCs w:val="24"/>
        </w:rPr>
        <w:br w:type="page"/>
      </w:r>
    </w:p>
    <w:p w:rsidR="00A828BF" w:rsidRPr="00CC5E79" w:rsidRDefault="007518AA" w:rsidP="00643549">
      <w:pPr>
        <w:spacing w:after="0" w:line="480" w:lineRule="auto"/>
        <w:jc w:val="both"/>
        <w:rPr>
          <w:rFonts w:ascii="Times New Roman" w:hAnsi="Times New Roman"/>
          <w:b/>
          <w:sz w:val="24"/>
          <w:szCs w:val="24"/>
        </w:rPr>
      </w:pPr>
      <w:r w:rsidRPr="00CC5E79">
        <w:rPr>
          <w:rFonts w:ascii="Times New Roman" w:hAnsi="Times New Roman"/>
          <w:b/>
          <w:sz w:val="24"/>
          <w:szCs w:val="24"/>
        </w:rPr>
        <w:lastRenderedPageBreak/>
        <w:t>Introduction</w:t>
      </w:r>
    </w:p>
    <w:p w:rsidR="00884D47" w:rsidRPr="00CC5E79" w:rsidRDefault="00C51864" w:rsidP="00643549">
      <w:pPr>
        <w:spacing w:after="0" w:line="480" w:lineRule="auto"/>
        <w:jc w:val="both"/>
        <w:rPr>
          <w:rFonts w:ascii="Times New Roman" w:hAnsi="Times New Roman"/>
          <w:sz w:val="24"/>
          <w:szCs w:val="24"/>
        </w:rPr>
      </w:pPr>
      <w:r w:rsidRPr="00CC5E79">
        <w:rPr>
          <w:rFonts w:ascii="Times New Roman" w:hAnsi="Times New Roman"/>
          <w:sz w:val="24"/>
          <w:szCs w:val="24"/>
        </w:rPr>
        <w:t xml:space="preserve">Timely diagnosis of </w:t>
      </w:r>
      <w:r w:rsidR="00F94D5A" w:rsidRPr="00CC5E79">
        <w:rPr>
          <w:rFonts w:ascii="Times New Roman" w:hAnsi="Times New Roman"/>
          <w:sz w:val="24"/>
          <w:szCs w:val="24"/>
        </w:rPr>
        <w:t xml:space="preserve">Autism Spectrum Disorder (ASD) </w:t>
      </w:r>
      <w:r w:rsidRPr="00CC5E79">
        <w:rPr>
          <w:rFonts w:ascii="Times New Roman" w:hAnsi="Times New Roman"/>
          <w:sz w:val="24"/>
          <w:szCs w:val="24"/>
        </w:rPr>
        <w:t>can help facilitate access to appropriate support for the individual and carers</w:t>
      </w:r>
      <w:r w:rsidR="00BC021A" w:rsidRPr="00CC5E79">
        <w:rPr>
          <w:rFonts w:ascii="Times New Roman" w:hAnsi="Times New Roman"/>
          <w:sz w:val="24"/>
          <w:szCs w:val="24"/>
        </w:rPr>
        <w:t xml:space="preserve"> (</w:t>
      </w:r>
      <w:proofErr w:type="spellStart"/>
      <w:r w:rsidR="00BC021A" w:rsidRPr="00CC5E79">
        <w:rPr>
          <w:rFonts w:ascii="Times New Roman" w:hAnsi="Times New Roman"/>
          <w:sz w:val="24"/>
          <w:szCs w:val="24"/>
        </w:rPr>
        <w:t>Goin</w:t>
      </w:r>
      <w:proofErr w:type="spellEnd"/>
      <w:r w:rsidR="00BC021A" w:rsidRPr="00CC5E79">
        <w:rPr>
          <w:rFonts w:ascii="Times New Roman" w:hAnsi="Times New Roman"/>
          <w:sz w:val="24"/>
          <w:szCs w:val="24"/>
        </w:rPr>
        <w:t xml:space="preserve"> </w:t>
      </w:r>
      <w:r w:rsidR="002506AF" w:rsidRPr="00CC5E79">
        <w:rPr>
          <w:rFonts w:ascii="Times New Roman" w:hAnsi="Times New Roman"/>
          <w:sz w:val="24"/>
          <w:szCs w:val="24"/>
        </w:rPr>
        <w:t xml:space="preserve">&amp; </w:t>
      </w:r>
      <w:r w:rsidR="00BC021A" w:rsidRPr="00CC5E79">
        <w:rPr>
          <w:rFonts w:ascii="Times New Roman" w:hAnsi="Times New Roman"/>
          <w:sz w:val="24"/>
          <w:szCs w:val="24"/>
        </w:rPr>
        <w:t>Myers</w:t>
      </w:r>
      <w:r w:rsidR="00514A83" w:rsidRPr="00CC5E79">
        <w:rPr>
          <w:rFonts w:ascii="Times New Roman" w:hAnsi="Times New Roman"/>
          <w:sz w:val="24"/>
          <w:szCs w:val="24"/>
        </w:rPr>
        <w:t>,</w:t>
      </w:r>
      <w:r w:rsidR="00BC021A" w:rsidRPr="00CC5E79">
        <w:rPr>
          <w:rFonts w:ascii="Times New Roman" w:hAnsi="Times New Roman"/>
          <w:sz w:val="24"/>
          <w:szCs w:val="24"/>
        </w:rPr>
        <w:t xml:space="preserve"> 2004)</w:t>
      </w:r>
      <w:r w:rsidRPr="00CC5E79">
        <w:rPr>
          <w:rFonts w:ascii="Times New Roman" w:hAnsi="Times New Roman"/>
          <w:sz w:val="24"/>
          <w:szCs w:val="24"/>
        </w:rPr>
        <w:t xml:space="preserve">, however, there are </w:t>
      </w:r>
      <w:r w:rsidR="009C0A7C" w:rsidRPr="00CC5E79">
        <w:rPr>
          <w:rFonts w:ascii="Times New Roman" w:hAnsi="Times New Roman"/>
          <w:sz w:val="24"/>
          <w:szCs w:val="24"/>
        </w:rPr>
        <w:t>high levels of dissatisfact</w:t>
      </w:r>
      <w:r w:rsidR="00086655" w:rsidRPr="00CC5E79">
        <w:rPr>
          <w:rFonts w:ascii="Times New Roman" w:hAnsi="Times New Roman"/>
          <w:sz w:val="24"/>
          <w:szCs w:val="24"/>
        </w:rPr>
        <w:t>ion with the diagnostic process</w:t>
      </w:r>
      <w:r w:rsidR="009C0A7C" w:rsidRPr="00CC5E79">
        <w:rPr>
          <w:rFonts w:ascii="Times New Roman" w:hAnsi="Times New Roman"/>
          <w:sz w:val="24"/>
          <w:szCs w:val="24"/>
        </w:rPr>
        <w:t xml:space="preserve"> in terms of the time it takes to diagnose, the diagnostic process </w:t>
      </w:r>
      <w:r w:rsidR="005A5B68" w:rsidRPr="00CC5E79">
        <w:rPr>
          <w:rFonts w:ascii="Times New Roman" w:hAnsi="Times New Roman"/>
          <w:sz w:val="24"/>
          <w:szCs w:val="24"/>
        </w:rPr>
        <w:t xml:space="preserve">itself </w:t>
      </w:r>
      <w:r w:rsidR="009C0A7C" w:rsidRPr="00CC5E79">
        <w:rPr>
          <w:rFonts w:ascii="Times New Roman" w:hAnsi="Times New Roman"/>
          <w:sz w:val="24"/>
          <w:szCs w:val="24"/>
        </w:rPr>
        <w:t>and post diagnostic support</w:t>
      </w:r>
      <w:r w:rsidR="00E74001" w:rsidRPr="00CC5E79">
        <w:rPr>
          <w:rFonts w:ascii="Times New Roman" w:hAnsi="Times New Roman"/>
          <w:sz w:val="24"/>
          <w:szCs w:val="24"/>
        </w:rPr>
        <w:t xml:space="preserve"> for both children</w:t>
      </w:r>
      <w:r w:rsidR="00BC021A" w:rsidRPr="00CC5E79">
        <w:rPr>
          <w:rFonts w:ascii="Times New Roman" w:hAnsi="Times New Roman"/>
          <w:sz w:val="24"/>
          <w:szCs w:val="24"/>
        </w:rPr>
        <w:t xml:space="preserve"> (</w:t>
      </w:r>
      <w:r w:rsidR="00ED2844" w:rsidRPr="00CC5E79">
        <w:rPr>
          <w:rFonts w:ascii="Times New Roman" w:hAnsi="Times New Roman"/>
          <w:sz w:val="24"/>
          <w:szCs w:val="24"/>
        </w:rPr>
        <w:t>Crane, Chester, Goddard, Henry, &amp; Hill, 2015</w:t>
      </w:r>
      <w:r w:rsidR="00BC021A" w:rsidRPr="00CC5E79">
        <w:rPr>
          <w:rFonts w:ascii="Times New Roman" w:hAnsi="Times New Roman"/>
          <w:sz w:val="24"/>
          <w:szCs w:val="24"/>
        </w:rPr>
        <w:t>)</w:t>
      </w:r>
      <w:r w:rsidR="00E74001" w:rsidRPr="00CC5E79">
        <w:rPr>
          <w:rFonts w:ascii="Times New Roman" w:hAnsi="Times New Roman"/>
          <w:sz w:val="24"/>
          <w:szCs w:val="24"/>
        </w:rPr>
        <w:t xml:space="preserve"> and adults (</w:t>
      </w:r>
      <w:r w:rsidR="002506AF" w:rsidRPr="00CC5E79">
        <w:rPr>
          <w:rFonts w:ascii="Times New Roman" w:hAnsi="Times New Roman"/>
          <w:sz w:val="24"/>
          <w:szCs w:val="24"/>
        </w:rPr>
        <w:t xml:space="preserve">Jones, Goddard, Hill, Henry, &amp; Crane, </w:t>
      </w:r>
      <w:r w:rsidR="00E74001" w:rsidRPr="00CC5E79">
        <w:rPr>
          <w:rFonts w:ascii="Times New Roman" w:hAnsi="Times New Roman"/>
          <w:sz w:val="24"/>
          <w:szCs w:val="24"/>
        </w:rPr>
        <w:t>2014).</w:t>
      </w:r>
      <w:r w:rsidR="00056263" w:rsidRPr="00CC5E79">
        <w:rPr>
          <w:rFonts w:ascii="Times New Roman" w:hAnsi="Times New Roman"/>
          <w:sz w:val="24"/>
          <w:szCs w:val="24"/>
        </w:rPr>
        <w:t xml:space="preserve"> </w:t>
      </w:r>
      <w:r w:rsidR="007E5263" w:rsidRPr="00CC5E79">
        <w:rPr>
          <w:rFonts w:ascii="Times New Roman" w:hAnsi="Times New Roman"/>
          <w:sz w:val="24"/>
          <w:szCs w:val="24"/>
        </w:rPr>
        <w:t xml:space="preserve"> </w:t>
      </w:r>
      <w:r w:rsidR="00653850" w:rsidRPr="00CC5E79">
        <w:rPr>
          <w:rFonts w:ascii="Times New Roman" w:hAnsi="Times New Roman"/>
          <w:sz w:val="24"/>
          <w:szCs w:val="24"/>
        </w:rPr>
        <w:t xml:space="preserve">Two recent studies suggest that diagnostic practices, and the time taken to diagnose ASD in adults, vary widely across the </w:t>
      </w:r>
      <w:r w:rsidR="001E5C02" w:rsidRPr="00CC5E79">
        <w:rPr>
          <w:rFonts w:ascii="Times New Roman" w:hAnsi="Times New Roman"/>
          <w:sz w:val="24"/>
          <w:szCs w:val="24"/>
        </w:rPr>
        <w:t>U</w:t>
      </w:r>
      <w:r w:rsidR="00514A83" w:rsidRPr="00CC5E79">
        <w:rPr>
          <w:rFonts w:ascii="Times New Roman" w:hAnsi="Times New Roman"/>
          <w:sz w:val="24"/>
          <w:szCs w:val="24"/>
        </w:rPr>
        <w:t xml:space="preserve">K </w:t>
      </w:r>
      <w:r w:rsidR="00BC021A" w:rsidRPr="00CC5E79">
        <w:rPr>
          <w:rFonts w:ascii="Times New Roman" w:hAnsi="Times New Roman"/>
          <w:sz w:val="24"/>
          <w:szCs w:val="24"/>
        </w:rPr>
        <w:t>(</w:t>
      </w:r>
      <w:r w:rsidR="001E5C02" w:rsidRPr="00CC5E79">
        <w:rPr>
          <w:rFonts w:ascii="Times New Roman" w:hAnsi="Times New Roman"/>
          <w:sz w:val="24"/>
          <w:szCs w:val="24"/>
        </w:rPr>
        <w:t xml:space="preserve">Jones et al., 2014; </w:t>
      </w:r>
      <w:r w:rsidR="00BC021A" w:rsidRPr="00CC5E79">
        <w:rPr>
          <w:rFonts w:ascii="Times New Roman" w:hAnsi="Times New Roman"/>
          <w:sz w:val="24"/>
          <w:szCs w:val="24"/>
        </w:rPr>
        <w:t xml:space="preserve">Lowenstein </w:t>
      </w:r>
      <w:r w:rsidR="002506AF" w:rsidRPr="00CC5E79">
        <w:rPr>
          <w:rFonts w:ascii="Times New Roman" w:hAnsi="Times New Roman"/>
          <w:sz w:val="24"/>
          <w:szCs w:val="24"/>
        </w:rPr>
        <w:t xml:space="preserve">&amp; </w:t>
      </w:r>
      <w:r w:rsidR="00BC021A" w:rsidRPr="00CC5E79">
        <w:rPr>
          <w:rFonts w:ascii="Times New Roman" w:hAnsi="Times New Roman"/>
          <w:sz w:val="24"/>
          <w:szCs w:val="24"/>
        </w:rPr>
        <w:t>Sutton</w:t>
      </w:r>
      <w:r w:rsidR="00514A83" w:rsidRPr="00CC5E79">
        <w:rPr>
          <w:rFonts w:ascii="Times New Roman" w:hAnsi="Times New Roman"/>
          <w:sz w:val="24"/>
          <w:szCs w:val="24"/>
        </w:rPr>
        <w:t>,</w:t>
      </w:r>
      <w:r w:rsidR="00BC021A" w:rsidRPr="00CC5E79">
        <w:rPr>
          <w:rFonts w:ascii="Times New Roman" w:hAnsi="Times New Roman"/>
          <w:sz w:val="24"/>
          <w:szCs w:val="24"/>
        </w:rPr>
        <w:t xml:space="preserve"> 2013)</w:t>
      </w:r>
      <w:r w:rsidR="00056263" w:rsidRPr="00CC5E79">
        <w:rPr>
          <w:rFonts w:ascii="Times New Roman" w:hAnsi="Times New Roman"/>
          <w:sz w:val="24"/>
          <w:szCs w:val="24"/>
        </w:rPr>
        <w:t xml:space="preserve"> indicating a need for a </w:t>
      </w:r>
      <w:r w:rsidRPr="00CC5E79">
        <w:rPr>
          <w:rFonts w:ascii="Times New Roman" w:hAnsi="Times New Roman"/>
          <w:sz w:val="24"/>
          <w:szCs w:val="24"/>
        </w:rPr>
        <w:t xml:space="preserve">more standardised and </w:t>
      </w:r>
      <w:r w:rsidR="00056263" w:rsidRPr="00CC5E79">
        <w:rPr>
          <w:rFonts w:ascii="Times New Roman" w:hAnsi="Times New Roman"/>
          <w:sz w:val="24"/>
          <w:szCs w:val="24"/>
        </w:rPr>
        <w:t>equitable approach.</w:t>
      </w:r>
    </w:p>
    <w:p w:rsidR="00884D47" w:rsidRPr="00CC5E79" w:rsidRDefault="00E571A2" w:rsidP="00B44738">
      <w:pPr>
        <w:spacing w:after="0" w:line="480" w:lineRule="auto"/>
        <w:ind w:firstLine="720"/>
        <w:jc w:val="both"/>
        <w:rPr>
          <w:rFonts w:ascii="Times New Roman" w:hAnsi="Times New Roman"/>
          <w:sz w:val="24"/>
          <w:szCs w:val="24"/>
        </w:rPr>
      </w:pPr>
      <w:r w:rsidRPr="00CC5E79">
        <w:rPr>
          <w:rFonts w:ascii="Times New Roman" w:hAnsi="Times New Roman"/>
          <w:sz w:val="24"/>
          <w:szCs w:val="24"/>
        </w:rPr>
        <w:t xml:space="preserve">Clinical guidelines </w:t>
      </w:r>
      <w:r w:rsidR="00AB5E13" w:rsidRPr="00CC5E79">
        <w:rPr>
          <w:rFonts w:ascii="Times New Roman" w:hAnsi="Times New Roman"/>
          <w:sz w:val="24"/>
          <w:szCs w:val="24"/>
        </w:rPr>
        <w:t>aim to reduce service variations in the provision and quality of care (e.g.</w:t>
      </w:r>
      <w:r w:rsidR="00AB1189" w:rsidRPr="00CC5E79">
        <w:rPr>
          <w:rFonts w:ascii="Times New Roman" w:hAnsi="Times New Roman"/>
          <w:sz w:val="24"/>
          <w:szCs w:val="24"/>
        </w:rPr>
        <w:t xml:space="preserve"> National Institute of Clinical Excellence [NICE</w:t>
      </w:r>
      <w:r w:rsidR="00CD52B4" w:rsidRPr="00CC5E79">
        <w:rPr>
          <w:rStyle w:val="FootnoteReference"/>
          <w:rFonts w:ascii="Times New Roman" w:hAnsi="Times New Roman"/>
          <w:sz w:val="24"/>
          <w:szCs w:val="24"/>
        </w:rPr>
        <w:footnoteReference w:id="1"/>
      </w:r>
      <w:r w:rsidR="00AB1189" w:rsidRPr="00CC5E79">
        <w:rPr>
          <w:rFonts w:ascii="Times New Roman" w:hAnsi="Times New Roman"/>
          <w:sz w:val="24"/>
          <w:szCs w:val="24"/>
        </w:rPr>
        <w:t>]</w:t>
      </w:r>
      <w:r w:rsidR="00514A83" w:rsidRPr="00CC5E79">
        <w:rPr>
          <w:rFonts w:ascii="Times New Roman" w:hAnsi="Times New Roman"/>
          <w:sz w:val="24"/>
          <w:szCs w:val="24"/>
        </w:rPr>
        <w:t>,</w:t>
      </w:r>
      <w:r w:rsidR="00AB1189" w:rsidRPr="00CC5E79">
        <w:rPr>
          <w:rFonts w:ascii="Times New Roman" w:hAnsi="Times New Roman"/>
          <w:sz w:val="24"/>
          <w:szCs w:val="24"/>
        </w:rPr>
        <w:t xml:space="preserve"> 2012</w:t>
      </w:r>
      <w:r w:rsidR="00AB5E13" w:rsidRPr="00CC5E79">
        <w:rPr>
          <w:rFonts w:ascii="Times New Roman" w:hAnsi="Times New Roman"/>
          <w:sz w:val="24"/>
          <w:szCs w:val="24"/>
        </w:rPr>
        <w:t xml:space="preserve">) and to </w:t>
      </w:r>
      <w:r w:rsidRPr="00CC5E79">
        <w:rPr>
          <w:rFonts w:ascii="Times New Roman" w:hAnsi="Times New Roman"/>
          <w:sz w:val="24"/>
          <w:szCs w:val="24"/>
        </w:rPr>
        <w:t xml:space="preserve">improve the patient and carer experience and clinical outcomes by providing practitioners with an impartial structured summary and evaluation of the evidence base. </w:t>
      </w:r>
      <w:r w:rsidR="00AB1189" w:rsidRPr="00CC5E79">
        <w:rPr>
          <w:rFonts w:ascii="Times New Roman" w:hAnsi="Times New Roman"/>
          <w:sz w:val="24"/>
          <w:szCs w:val="24"/>
        </w:rPr>
        <w:t>NICE</w:t>
      </w:r>
      <w:r w:rsidR="00F8118A" w:rsidRPr="00CC5E79">
        <w:rPr>
          <w:rFonts w:ascii="Times New Roman" w:hAnsi="Times New Roman"/>
          <w:sz w:val="24"/>
          <w:szCs w:val="24"/>
        </w:rPr>
        <w:t xml:space="preserve"> </w:t>
      </w:r>
      <w:r w:rsidR="00AE4F96" w:rsidRPr="00CC5E79">
        <w:rPr>
          <w:rFonts w:ascii="Times New Roman" w:hAnsi="Times New Roman"/>
          <w:sz w:val="24"/>
          <w:szCs w:val="24"/>
        </w:rPr>
        <w:t>guidelines, while developed for use in England and Wales, are recognised and used</w:t>
      </w:r>
      <w:r w:rsidR="002506AF" w:rsidRPr="00CC5E79">
        <w:rPr>
          <w:rFonts w:ascii="Times New Roman" w:hAnsi="Times New Roman"/>
          <w:sz w:val="24"/>
          <w:szCs w:val="24"/>
        </w:rPr>
        <w:t xml:space="preserve"> internationally </w:t>
      </w:r>
      <w:r w:rsidR="00AE4F96" w:rsidRPr="00CC5E79">
        <w:rPr>
          <w:rFonts w:ascii="Times New Roman" w:hAnsi="Times New Roman"/>
          <w:sz w:val="24"/>
          <w:szCs w:val="24"/>
        </w:rPr>
        <w:t>(</w:t>
      </w:r>
      <w:r w:rsidR="008C338B" w:rsidRPr="00CC5E79">
        <w:rPr>
          <w:rFonts w:ascii="Times New Roman" w:hAnsi="Times New Roman"/>
          <w:sz w:val="24"/>
          <w:szCs w:val="24"/>
        </w:rPr>
        <w:t xml:space="preserve">NICE </w:t>
      </w:r>
      <w:r w:rsidR="002506AF" w:rsidRPr="00CC5E79">
        <w:rPr>
          <w:rFonts w:ascii="Times New Roman" w:hAnsi="Times New Roman"/>
          <w:sz w:val="24"/>
          <w:szCs w:val="24"/>
        </w:rPr>
        <w:t>International, 2014</w:t>
      </w:r>
      <w:r w:rsidR="00AE4F96" w:rsidRPr="00CC5E79">
        <w:rPr>
          <w:rFonts w:ascii="Times New Roman" w:hAnsi="Times New Roman"/>
          <w:sz w:val="24"/>
          <w:szCs w:val="24"/>
        </w:rPr>
        <w:t>)</w:t>
      </w:r>
      <w:r w:rsidR="008C338B" w:rsidRPr="00CC5E79">
        <w:rPr>
          <w:rFonts w:ascii="Times New Roman" w:hAnsi="Times New Roman"/>
          <w:sz w:val="24"/>
          <w:szCs w:val="24"/>
        </w:rPr>
        <w:t>.</w:t>
      </w:r>
      <w:r w:rsidR="002506AF" w:rsidRPr="00CC5E79">
        <w:rPr>
          <w:rFonts w:ascii="Times New Roman" w:hAnsi="Times New Roman"/>
          <w:sz w:val="24"/>
          <w:szCs w:val="24"/>
        </w:rPr>
        <w:t xml:space="preserve"> </w:t>
      </w:r>
      <w:r w:rsidR="003970DE" w:rsidRPr="00CC5E79">
        <w:rPr>
          <w:rFonts w:ascii="Times New Roman" w:hAnsi="Times New Roman"/>
          <w:sz w:val="24"/>
          <w:szCs w:val="24"/>
        </w:rPr>
        <w:t xml:space="preserve">While organisations such as NICE are not without their critics (e.g. see </w:t>
      </w:r>
      <w:r w:rsidR="00D86E3B" w:rsidRPr="00CC5E79">
        <w:rPr>
          <w:rFonts w:ascii="Times New Roman" w:hAnsi="Times New Roman"/>
          <w:sz w:val="24"/>
          <w:szCs w:val="24"/>
        </w:rPr>
        <w:t xml:space="preserve">Pearson </w:t>
      </w:r>
      <w:r w:rsidR="002506AF" w:rsidRPr="00CC5E79">
        <w:rPr>
          <w:rFonts w:ascii="Times New Roman" w:hAnsi="Times New Roman"/>
          <w:sz w:val="24"/>
          <w:szCs w:val="24"/>
        </w:rPr>
        <w:t xml:space="preserve">&amp; </w:t>
      </w:r>
      <w:r w:rsidR="00D86E3B" w:rsidRPr="00CC5E79">
        <w:rPr>
          <w:rFonts w:ascii="Times New Roman" w:hAnsi="Times New Roman"/>
          <w:sz w:val="24"/>
          <w:szCs w:val="24"/>
        </w:rPr>
        <w:t>Rawlins</w:t>
      </w:r>
      <w:r w:rsidR="00514A83" w:rsidRPr="00CC5E79">
        <w:rPr>
          <w:rFonts w:ascii="Times New Roman" w:hAnsi="Times New Roman"/>
          <w:sz w:val="24"/>
          <w:szCs w:val="24"/>
        </w:rPr>
        <w:t>,</w:t>
      </w:r>
      <w:r w:rsidR="00D86E3B" w:rsidRPr="00CC5E79">
        <w:rPr>
          <w:rFonts w:ascii="Times New Roman" w:hAnsi="Times New Roman"/>
          <w:sz w:val="24"/>
          <w:szCs w:val="24"/>
        </w:rPr>
        <w:t xml:space="preserve"> 2005</w:t>
      </w:r>
      <w:r w:rsidR="003970DE" w:rsidRPr="00CC5E79">
        <w:rPr>
          <w:rFonts w:ascii="Times New Roman" w:hAnsi="Times New Roman"/>
          <w:sz w:val="24"/>
          <w:szCs w:val="24"/>
        </w:rPr>
        <w:t>), r</w:t>
      </w:r>
      <w:r w:rsidR="00A60528" w:rsidRPr="00CC5E79">
        <w:rPr>
          <w:rFonts w:ascii="Times New Roman" w:hAnsi="Times New Roman"/>
          <w:sz w:val="24"/>
          <w:szCs w:val="24"/>
        </w:rPr>
        <w:t xml:space="preserve">eviews of the impact of such guidelines suggest that they can be associated with a range of improved patient outcomes </w:t>
      </w:r>
      <w:r w:rsidR="002506AF" w:rsidRPr="00CC5E79">
        <w:rPr>
          <w:rFonts w:ascii="Times New Roman" w:hAnsi="Times New Roman"/>
          <w:sz w:val="24"/>
          <w:szCs w:val="24"/>
        </w:rPr>
        <w:t>in health</w:t>
      </w:r>
      <w:r w:rsidR="00B44738" w:rsidRPr="00CC5E79">
        <w:rPr>
          <w:rFonts w:ascii="Times New Roman" w:hAnsi="Times New Roman"/>
          <w:sz w:val="24"/>
          <w:szCs w:val="24"/>
        </w:rPr>
        <w:t xml:space="preserve">, such as better mental health and lower levels of post-natal depression compared with normal care (MacArthur et al., 2003) </w:t>
      </w:r>
      <w:r w:rsidR="00A60528" w:rsidRPr="00CC5E79">
        <w:rPr>
          <w:rFonts w:ascii="Times New Roman" w:hAnsi="Times New Roman"/>
          <w:sz w:val="24"/>
          <w:szCs w:val="24"/>
        </w:rPr>
        <w:t>as well as having benefits for professionals and organisations</w:t>
      </w:r>
      <w:r w:rsidR="00B44738" w:rsidRPr="00CC5E79">
        <w:rPr>
          <w:rFonts w:ascii="Times New Roman" w:hAnsi="Times New Roman"/>
          <w:sz w:val="24"/>
          <w:szCs w:val="24"/>
        </w:rPr>
        <w:t>, such as improved staff and patient satisfaction</w:t>
      </w:r>
      <w:r w:rsidR="00A60528" w:rsidRPr="00CC5E79">
        <w:rPr>
          <w:rFonts w:ascii="Times New Roman" w:hAnsi="Times New Roman"/>
          <w:sz w:val="24"/>
          <w:szCs w:val="24"/>
        </w:rPr>
        <w:t xml:space="preserve"> </w:t>
      </w:r>
      <w:r w:rsidR="00DA0DB2" w:rsidRPr="00CC5E79">
        <w:rPr>
          <w:rFonts w:ascii="Times New Roman" w:hAnsi="Times New Roman"/>
          <w:sz w:val="24"/>
          <w:szCs w:val="24"/>
        </w:rPr>
        <w:t>(</w:t>
      </w:r>
      <w:r w:rsidR="00B44738" w:rsidRPr="00CC5E79">
        <w:rPr>
          <w:rFonts w:ascii="Times New Roman" w:hAnsi="Times New Roman"/>
          <w:sz w:val="24"/>
          <w:szCs w:val="24"/>
        </w:rPr>
        <w:t xml:space="preserve">see </w:t>
      </w:r>
      <w:proofErr w:type="spellStart"/>
      <w:r w:rsidR="00EA0AEC" w:rsidRPr="00CC5E79">
        <w:rPr>
          <w:rFonts w:ascii="Times New Roman" w:hAnsi="Times New Roman"/>
          <w:sz w:val="24"/>
          <w:szCs w:val="24"/>
        </w:rPr>
        <w:t>Bazian</w:t>
      </w:r>
      <w:proofErr w:type="spellEnd"/>
      <w:r w:rsidR="00B44738" w:rsidRPr="00CC5E79">
        <w:rPr>
          <w:rFonts w:ascii="Times New Roman" w:hAnsi="Times New Roman"/>
          <w:sz w:val="24"/>
          <w:szCs w:val="24"/>
        </w:rPr>
        <w:t xml:space="preserve"> for an overview</w:t>
      </w:r>
      <w:r w:rsidR="00514A83" w:rsidRPr="00CC5E79">
        <w:rPr>
          <w:rFonts w:ascii="Times New Roman" w:hAnsi="Times New Roman"/>
          <w:sz w:val="24"/>
          <w:szCs w:val="24"/>
        </w:rPr>
        <w:t>,</w:t>
      </w:r>
      <w:r w:rsidR="00DA0DB2" w:rsidRPr="00CC5E79">
        <w:rPr>
          <w:rFonts w:ascii="Times New Roman" w:hAnsi="Times New Roman"/>
          <w:sz w:val="24"/>
          <w:szCs w:val="24"/>
        </w:rPr>
        <w:t xml:space="preserve"> 2005).</w:t>
      </w:r>
      <w:r w:rsidR="007E5263" w:rsidRPr="00CC5E79">
        <w:rPr>
          <w:rFonts w:ascii="Times New Roman" w:hAnsi="Times New Roman"/>
          <w:sz w:val="24"/>
          <w:szCs w:val="24"/>
        </w:rPr>
        <w:t xml:space="preserve">  </w:t>
      </w:r>
      <w:proofErr w:type="spellStart"/>
      <w:r w:rsidR="002506AF" w:rsidRPr="00CC5E79">
        <w:rPr>
          <w:rFonts w:ascii="Times New Roman" w:hAnsi="Times New Roman"/>
          <w:sz w:val="24"/>
          <w:szCs w:val="24"/>
        </w:rPr>
        <w:t>Bazian</w:t>
      </w:r>
      <w:proofErr w:type="spellEnd"/>
      <w:r w:rsidR="002506AF" w:rsidRPr="00CC5E79">
        <w:rPr>
          <w:rFonts w:ascii="Times New Roman" w:hAnsi="Times New Roman"/>
          <w:sz w:val="24"/>
          <w:szCs w:val="24"/>
        </w:rPr>
        <w:t xml:space="preserve"> (2005, p274), however, conducted a systematic review of research in this area and concluded that ‘guidelines can work but often don’t.’</w:t>
      </w:r>
    </w:p>
    <w:p w:rsidR="007203F4" w:rsidRPr="00CC5E79" w:rsidRDefault="000C6629" w:rsidP="007203F4">
      <w:pPr>
        <w:spacing w:after="0" w:line="480" w:lineRule="auto"/>
        <w:ind w:firstLine="360"/>
        <w:jc w:val="both"/>
        <w:rPr>
          <w:rFonts w:ascii="Times New Roman" w:hAnsi="Times New Roman"/>
          <w:sz w:val="24"/>
          <w:szCs w:val="24"/>
        </w:rPr>
      </w:pPr>
      <w:r w:rsidRPr="00CC5E79">
        <w:rPr>
          <w:rFonts w:ascii="Times New Roman" w:hAnsi="Times New Roman"/>
          <w:sz w:val="24"/>
          <w:szCs w:val="24"/>
        </w:rPr>
        <w:t xml:space="preserve">One significant reason why clinical guidelines may not work is a lack of practitioner adherence to them.  Research with </w:t>
      </w:r>
      <w:r w:rsidR="00086655" w:rsidRPr="00CC5E79">
        <w:rPr>
          <w:rFonts w:ascii="Times New Roman" w:hAnsi="Times New Roman"/>
          <w:sz w:val="24"/>
          <w:szCs w:val="24"/>
        </w:rPr>
        <w:t xml:space="preserve">practitioners working with </w:t>
      </w:r>
      <w:r w:rsidRPr="00CC5E79">
        <w:rPr>
          <w:rFonts w:ascii="Times New Roman" w:hAnsi="Times New Roman"/>
          <w:sz w:val="24"/>
          <w:szCs w:val="24"/>
        </w:rPr>
        <w:t>a range of physical (e.g.</w:t>
      </w:r>
      <w:r w:rsidR="00C1006A" w:rsidRPr="00CC5E79">
        <w:rPr>
          <w:rFonts w:ascii="Times New Roman" w:hAnsi="Times New Roman"/>
          <w:sz w:val="24"/>
          <w:szCs w:val="24"/>
        </w:rPr>
        <w:t xml:space="preserve"> </w:t>
      </w:r>
      <w:r w:rsidR="002506AF" w:rsidRPr="00CC5E79">
        <w:rPr>
          <w:rFonts w:ascii="Times New Roman" w:hAnsi="Times New Roman"/>
          <w:sz w:val="24"/>
          <w:szCs w:val="24"/>
        </w:rPr>
        <w:t xml:space="preserve">Johansson, </w:t>
      </w:r>
      <w:proofErr w:type="spellStart"/>
      <w:r w:rsidR="002506AF" w:rsidRPr="00CC5E79">
        <w:rPr>
          <w:rFonts w:ascii="Times New Roman" w:hAnsi="Times New Roman"/>
          <w:sz w:val="24"/>
          <w:szCs w:val="24"/>
        </w:rPr>
        <w:t>Pilhammar</w:t>
      </w:r>
      <w:proofErr w:type="spellEnd"/>
      <w:r w:rsidR="002506AF" w:rsidRPr="00CC5E79">
        <w:rPr>
          <w:rFonts w:ascii="Times New Roman" w:hAnsi="Times New Roman"/>
          <w:sz w:val="24"/>
          <w:szCs w:val="24"/>
        </w:rPr>
        <w:t xml:space="preserve">, </w:t>
      </w:r>
      <w:proofErr w:type="spellStart"/>
      <w:r w:rsidR="002506AF" w:rsidRPr="00CC5E79">
        <w:rPr>
          <w:rFonts w:ascii="Times New Roman" w:hAnsi="Times New Roman"/>
          <w:sz w:val="24"/>
          <w:szCs w:val="24"/>
        </w:rPr>
        <w:t>Khalaf</w:t>
      </w:r>
      <w:proofErr w:type="spellEnd"/>
      <w:r w:rsidR="002506AF" w:rsidRPr="00CC5E79">
        <w:rPr>
          <w:rFonts w:ascii="Times New Roman" w:hAnsi="Times New Roman"/>
          <w:sz w:val="24"/>
          <w:szCs w:val="24"/>
        </w:rPr>
        <w:t xml:space="preserve">, &amp; Willman, </w:t>
      </w:r>
      <w:r w:rsidR="00C1006A" w:rsidRPr="00CC5E79">
        <w:rPr>
          <w:rFonts w:ascii="Times New Roman" w:hAnsi="Times New Roman"/>
          <w:sz w:val="24"/>
          <w:szCs w:val="24"/>
        </w:rPr>
        <w:t>2008)</w:t>
      </w:r>
      <w:r w:rsidRPr="00CC5E79">
        <w:rPr>
          <w:rFonts w:ascii="Times New Roman" w:hAnsi="Times New Roman"/>
          <w:sz w:val="24"/>
          <w:szCs w:val="24"/>
        </w:rPr>
        <w:t xml:space="preserve"> and </w:t>
      </w:r>
      <w:r w:rsidR="004534F5" w:rsidRPr="00CC5E79">
        <w:rPr>
          <w:rFonts w:ascii="Times New Roman" w:hAnsi="Times New Roman"/>
          <w:sz w:val="24"/>
          <w:szCs w:val="24"/>
        </w:rPr>
        <w:t xml:space="preserve">mental health conditions (e.g. </w:t>
      </w:r>
      <w:proofErr w:type="spellStart"/>
      <w:r w:rsidR="00C1006A" w:rsidRPr="00CC5E79">
        <w:rPr>
          <w:rFonts w:ascii="Times New Roman" w:hAnsi="Times New Roman"/>
          <w:sz w:val="24"/>
          <w:szCs w:val="24"/>
        </w:rPr>
        <w:t>Currin</w:t>
      </w:r>
      <w:proofErr w:type="spellEnd"/>
      <w:r w:rsidR="00C1006A" w:rsidRPr="00CC5E79">
        <w:rPr>
          <w:rFonts w:ascii="Times New Roman" w:hAnsi="Times New Roman"/>
          <w:sz w:val="24"/>
          <w:szCs w:val="24"/>
        </w:rPr>
        <w:t xml:space="preserve"> et </w:t>
      </w:r>
      <w:r w:rsidR="00C1006A" w:rsidRPr="00CC5E79">
        <w:rPr>
          <w:rFonts w:ascii="Times New Roman" w:hAnsi="Times New Roman"/>
          <w:sz w:val="24"/>
          <w:szCs w:val="24"/>
        </w:rPr>
        <w:lastRenderedPageBreak/>
        <w:t>al.</w:t>
      </w:r>
      <w:r w:rsidR="00514A83" w:rsidRPr="00CC5E79">
        <w:rPr>
          <w:rFonts w:ascii="Times New Roman" w:hAnsi="Times New Roman"/>
          <w:sz w:val="24"/>
          <w:szCs w:val="24"/>
        </w:rPr>
        <w:t>,</w:t>
      </w:r>
      <w:r w:rsidR="00C1006A" w:rsidRPr="00CC5E79">
        <w:rPr>
          <w:rFonts w:ascii="Times New Roman" w:hAnsi="Times New Roman"/>
          <w:sz w:val="24"/>
          <w:szCs w:val="24"/>
        </w:rPr>
        <w:t xml:space="preserve"> 2007</w:t>
      </w:r>
      <w:r w:rsidRPr="00CC5E79">
        <w:rPr>
          <w:rFonts w:ascii="Times New Roman" w:hAnsi="Times New Roman"/>
          <w:sz w:val="24"/>
          <w:szCs w:val="24"/>
        </w:rPr>
        <w:t>), has found adherence to gui</w:t>
      </w:r>
      <w:r w:rsidR="002506AF" w:rsidRPr="00CC5E79">
        <w:rPr>
          <w:rFonts w:ascii="Times New Roman" w:hAnsi="Times New Roman"/>
          <w:sz w:val="24"/>
          <w:szCs w:val="24"/>
        </w:rPr>
        <w:t xml:space="preserve">delines to be relatively low and </w:t>
      </w:r>
      <w:r w:rsidRPr="00CC5E79">
        <w:rPr>
          <w:rFonts w:ascii="Times New Roman" w:hAnsi="Times New Roman"/>
          <w:sz w:val="24"/>
          <w:szCs w:val="24"/>
        </w:rPr>
        <w:t xml:space="preserve">to vary both within the same patient population </w:t>
      </w:r>
      <w:r w:rsidR="00C1006A" w:rsidRPr="00CC5E79">
        <w:rPr>
          <w:rFonts w:ascii="Times New Roman" w:hAnsi="Times New Roman"/>
          <w:sz w:val="24"/>
          <w:szCs w:val="24"/>
        </w:rPr>
        <w:t>(</w:t>
      </w:r>
      <w:proofErr w:type="spellStart"/>
      <w:r w:rsidR="002506AF" w:rsidRPr="00CC5E79">
        <w:rPr>
          <w:rFonts w:ascii="Times New Roman" w:hAnsi="Times New Roman"/>
          <w:sz w:val="24"/>
          <w:szCs w:val="24"/>
        </w:rPr>
        <w:t>Goldma</w:t>
      </w:r>
      <w:proofErr w:type="spellEnd"/>
      <w:r w:rsidR="002506AF" w:rsidRPr="00CC5E79">
        <w:rPr>
          <w:rFonts w:ascii="Times New Roman" w:hAnsi="Times New Roman"/>
          <w:sz w:val="24"/>
          <w:szCs w:val="24"/>
        </w:rPr>
        <w:t>, Healy, Florence, Simpson</w:t>
      </w:r>
      <w:r w:rsidR="002A1D06" w:rsidRPr="00CC5E79">
        <w:rPr>
          <w:rFonts w:ascii="Times New Roman" w:hAnsi="Times New Roman"/>
          <w:sz w:val="24"/>
          <w:szCs w:val="24"/>
        </w:rPr>
        <w:t>,</w:t>
      </w:r>
      <w:r w:rsidR="002506AF" w:rsidRPr="00CC5E79">
        <w:rPr>
          <w:rFonts w:ascii="Times New Roman" w:hAnsi="Times New Roman"/>
          <w:sz w:val="24"/>
          <w:szCs w:val="24"/>
        </w:rPr>
        <w:t xml:space="preserve"> </w:t>
      </w:r>
      <w:r w:rsidR="002A1D06" w:rsidRPr="00CC5E79">
        <w:rPr>
          <w:rFonts w:ascii="Times New Roman" w:hAnsi="Times New Roman"/>
          <w:sz w:val="24"/>
          <w:szCs w:val="24"/>
        </w:rPr>
        <w:t xml:space="preserve">&amp; Milner, </w:t>
      </w:r>
      <w:r w:rsidR="00C1006A" w:rsidRPr="00CC5E79">
        <w:rPr>
          <w:rFonts w:ascii="Times New Roman" w:hAnsi="Times New Roman"/>
          <w:sz w:val="24"/>
          <w:szCs w:val="24"/>
        </w:rPr>
        <w:t>2003)</w:t>
      </w:r>
      <w:r w:rsidRPr="00CC5E79">
        <w:rPr>
          <w:rFonts w:ascii="Times New Roman" w:hAnsi="Times New Roman"/>
          <w:sz w:val="24"/>
          <w:szCs w:val="24"/>
        </w:rPr>
        <w:t xml:space="preserve"> and between different diagnostic groups within the same clinical practice</w:t>
      </w:r>
      <w:r w:rsidR="007152D1" w:rsidRPr="00CC5E79">
        <w:rPr>
          <w:rFonts w:ascii="Times New Roman" w:hAnsi="Times New Roman"/>
          <w:sz w:val="24"/>
          <w:szCs w:val="24"/>
        </w:rPr>
        <w:t xml:space="preserve"> </w:t>
      </w:r>
      <w:r w:rsidR="00C1006A" w:rsidRPr="00CC5E79">
        <w:rPr>
          <w:rFonts w:ascii="Times New Roman" w:hAnsi="Times New Roman"/>
          <w:sz w:val="24"/>
          <w:szCs w:val="24"/>
        </w:rPr>
        <w:t>(</w:t>
      </w:r>
      <w:r w:rsidR="002A1D06" w:rsidRPr="00CC5E79">
        <w:rPr>
          <w:rFonts w:ascii="Times New Roman" w:hAnsi="Times New Roman"/>
          <w:sz w:val="24"/>
          <w:szCs w:val="24"/>
        </w:rPr>
        <w:t xml:space="preserve">Van </w:t>
      </w:r>
      <w:proofErr w:type="spellStart"/>
      <w:r w:rsidR="002A1D06" w:rsidRPr="00CC5E79">
        <w:rPr>
          <w:rFonts w:ascii="Times New Roman" w:hAnsi="Times New Roman"/>
          <w:sz w:val="24"/>
          <w:szCs w:val="24"/>
        </w:rPr>
        <w:t>Fenema</w:t>
      </w:r>
      <w:proofErr w:type="spellEnd"/>
      <w:r w:rsidR="002A1D06" w:rsidRPr="00CC5E79">
        <w:rPr>
          <w:rFonts w:ascii="Times New Roman" w:hAnsi="Times New Roman"/>
          <w:sz w:val="24"/>
          <w:szCs w:val="24"/>
        </w:rPr>
        <w:t xml:space="preserve">, Van Der Wee, Bauer, Witte, &amp; </w:t>
      </w:r>
      <w:proofErr w:type="spellStart"/>
      <w:r w:rsidR="002A1D06" w:rsidRPr="00CC5E79">
        <w:rPr>
          <w:rFonts w:ascii="Times New Roman" w:hAnsi="Times New Roman"/>
          <w:sz w:val="24"/>
          <w:szCs w:val="24"/>
        </w:rPr>
        <w:t>Zitman</w:t>
      </w:r>
      <w:proofErr w:type="spellEnd"/>
      <w:r w:rsidR="002A1D06" w:rsidRPr="00CC5E79">
        <w:rPr>
          <w:rFonts w:ascii="Times New Roman" w:hAnsi="Times New Roman"/>
          <w:sz w:val="24"/>
          <w:szCs w:val="24"/>
        </w:rPr>
        <w:t xml:space="preserve">, </w:t>
      </w:r>
      <w:r w:rsidR="00C1006A" w:rsidRPr="00CC5E79">
        <w:rPr>
          <w:rFonts w:ascii="Times New Roman" w:hAnsi="Times New Roman"/>
          <w:sz w:val="24"/>
          <w:szCs w:val="24"/>
        </w:rPr>
        <w:t>2012)</w:t>
      </w:r>
      <w:r w:rsidRPr="00CC5E79">
        <w:rPr>
          <w:rFonts w:ascii="Times New Roman" w:hAnsi="Times New Roman"/>
          <w:sz w:val="24"/>
          <w:szCs w:val="24"/>
        </w:rPr>
        <w:t>. A number of barriers to adherence have been</w:t>
      </w:r>
      <w:r w:rsidR="004534F5" w:rsidRPr="00CC5E79">
        <w:rPr>
          <w:rFonts w:ascii="Times New Roman" w:hAnsi="Times New Roman"/>
          <w:sz w:val="24"/>
          <w:szCs w:val="24"/>
        </w:rPr>
        <w:t xml:space="preserve"> identified including </w:t>
      </w:r>
      <w:r w:rsidRPr="00CC5E79">
        <w:rPr>
          <w:rFonts w:ascii="Times New Roman" w:hAnsi="Times New Roman"/>
          <w:sz w:val="24"/>
          <w:szCs w:val="24"/>
        </w:rPr>
        <w:t>limited practitioner awareness of guidelines which ar</w:t>
      </w:r>
      <w:r w:rsidR="00086655" w:rsidRPr="00CC5E79">
        <w:rPr>
          <w:rFonts w:ascii="Times New Roman" w:hAnsi="Times New Roman"/>
          <w:sz w:val="24"/>
          <w:szCs w:val="24"/>
        </w:rPr>
        <w:t>e relevant to their practice;</w:t>
      </w:r>
      <w:r w:rsidR="004534F5" w:rsidRPr="00CC5E79">
        <w:rPr>
          <w:rFonts w:ascii="Times New Roman" w:hAnsi="Times New Roman"/>
          <w:sz w:val="24"/>
          <w:szCs w:val="24"/>
        </w:rPr>
        <w:t xml:space="preserve"> a </w:t>
      </w:r>
      <w:bookmarkStart w:id="0" w:name="_GoBack"/>
      <w:bookmarkEnd w:id="0"/>
      <w:r w:rsidR="004534F5" w:rsidRPr="00CC5E79">
        <w:rPr>
          <w:rFonts w:ascii="Times New Roman" w:hAnsi="Times New Roman"/>
          <w:sz w:val="24"/>
          <w:szCs w:val="24"/>
        </w:rPr>
        <w:t xml:space="preserve">lack of consensus about </w:t>
      </w:r>
      <w:r w:rsidRPr="00CC5E79">
        <w:rPr>
          <w:rFonts w:ascii="Times New Roman" w:hAnsi="Times New Roman"/>
          <w:sz w:val="24"/>
          <w:szCs w:val="24"/>
        </w:rPr>
        <w:t>how the terminology used in guidelines should be interpreted</w:t>
      </w:r>
      <w:r w:rsidR="00CB0972" w:rsidRPr="00CC5E79">
        <w:rPr>
          <w:rFonts w:ascii="Times New Roman" w:hAnsi="Times New Roman"/>
          <w:sz w:val="24"/>
          <w:szCs w:val="24"/>
        </w:rPr>
        <w:t xml:space="preserve"> (</w:t>
      </w:r>
      <w:r w:rsidR="005D6A55" w:rsidRPr="00CC5E79">
        <w:rPr>
          <w:rFonts w:ascii="Times New Roman" w:hAnsi="Times New Roman"/>
          <w:sz w:val="24"/>
          <w:szCs w:val="24"/>
        </w:rPr>
        <w:t xml:space="preserve">e.g. </w:t>
      </w:r>
      <w:proofErr w:type="spellStart"/>
      <w:r w:rsidR="002A1D06" w:rsidRPr="00CC5E79">
        <w:rPr>
          <w:rFonts w:ascii="Times New Roman" w:hAnsi="Times New Roman"/>
          <w:sz w:val="24"/>
          <w:szCs w:val="24"/>
        </w:rPr>
        <w:t>Gyani</w:t>
      </w:r>
      <w:proofErr w:type="spellEnd"/>
      <w:r w:rsidR="002A1D06" w:rsidRPr="00CC5E79">
        <w:rPr>
          <w:rFonts w:ascii="Times New Roman" w:hAnsi="Times New Roman"/>
          <w:sz w:val="24"/>
          <w:szCs w:val="24"/>
        </w:rPr>
        <w:t xml:space="preserve">, </w:t>
      </w:r>
      <w:proofErr w:type="spellStart"/>
      <w:r w:rsidR="002A1D06" w:rsidRPr="00CC5E79">
        <w:rPr>
          <w:rFonts w:ascii="Times New Roman" w:hAnsi="Times New Roman"/>
          <w:sz w:val="24"/>
          <w:szCs w:val="24"/>
        </w:rPr>
        <w:t>Shafran</w:t>
      </w:r>
      <w:proofErr w:type="spellEnd"/>
      <w:r w:rsidR="002A1D06" w:rsidRPr="00CC5E79">
        <w:rPr>
          <w:rFonts w:ascii="Times New Roman" w:hAnsi="Times New Roman"/>
          <w:sz w:val="24"/>
          <w:szCs w:val="24"/>
        </w:rPr>
        <w:t xml:space="preserve">, &amp; Rose, 2012; Rhodes, Genders, Owen, O'Hanlon, &amp; Brown, </w:t>
      </w:r>
      <w:r w:rsidR="007203F4" w:rsidRPr="00CC5E79">
        <w:rPr>
          <w:rFonts w:ascii="Times New Roman" w:hAnsi="Times New Roman"/>
          <w:sz w:val="24"/>
          <w:szCs w:val="24"/>
        </w:rPr>
        <w:t>2010</w:t>
      </w:r>
      <w:r w:rsidR="00CB0972" w:rsidRPr="00CC5E79">
        <w:rPr>
          <w:rFonts w:ascii="Times New Roman" w:hAnsi="Times New Roman"/>
          <w:sz w:val="24"/>
          <w:szCs w:val="24"/>
        </w:rPr>
        <w:t>)</w:t>
      </w:r>
      <w:r w:rsidR="007203F4" w:rsidRPr="00CC5E79">
        <w:rPr>
          <w:rFonts w:ascii="Times New Roman" w:hAnsi="Times New Roman"/>
          <w:sz w:val="24"/>
          <w:szCs w:val="24"/>
        </w:rPr>
        <w:t xml:space="preserve">; </w:t>
      </w:r>
      <w:r w:rsidR="00250BFF" w:rsidRPr="00CC5E79">
        <w:rPr>
          <w:rFonts w:ascii="Times New Roman" w:hAnsi="Times New Roman"/>
          <w:sz w:val="24"/>
          <w:szCs w:val="24"/>
        </w:rPr>
        <w:t>insufficient training for professionals</w:t>
      </w:r>
      <w:r w:rsidR="00B221B1" w:rsidRPr="00CC5E79">
        <w:rPr>
          <w:rFonts w:ascii="Times New Roman" w:hAnsi="Times New Roman"/>
          <w:sz w:val="24"/>
          <w:szCs w:val="24"/>
        </w:rPr>
        <w:t xml:space="preserve"> in their use</w:t>
      </w:r>
      <w:r w:rsidR="00250BFF" w:rsidRPr="00CC5E79">
        <w:rPr>
          <w:rFonts w:ascii="Times New Roman" w:hAnsi="Times New Roman"/>
          <w:sz w:val="24"/>
          <w:szCs w:val="24"/>
        </w:rPr>
        <w:t xml:space="preserve"> </w:t>
      </w:r>
      <w:r w:rsidR="00EF28B9" w:rsidRPr="00CC5E79">
        <w:rPr>
          <w:rFonts w:ascii="Times New Roman" w:hAnsi="Times New Roman"/>
          <w:sz w:val="24"/>
          <w:szCs w:val="24"/>
        </w:rPr>
        <w:t xml:space="preserve">and </w:t>
      </w:r>
      <w:r w:rsidR="00250BFF" w:rsidRPr="00CC5E79">
        <w:rPr>
          <w:rFonts w:ascii="Times New Roman" w:hAnsi="Times New Roman"/>
          <w:sz w:val="24"/>
          <w:szCs w:val="24"/>
        </w:rPr>
        <w:t xml:space="preserve">resistance to </w:t>
      </w:r>
      <w:r w:rsidR="0072039B" w:rsidRPr="00CC5E79">
        <w:rPr>
          <w:rFonts w:ascii="Times New Roman" w:hAnsi="Times New Roman"/>
          <w:sz w:val="24"/>
          <w:szCs w:val="24"/>
        </w:rPr>
        <w:t xml:space="preserve">what are seen as prescriptive processes which conflict with </w:t>
      </w:r>
      <w:r w:rsidRPr="00CC5E79">
        <w:rPr>
          <w:rFonts w:ascii="Times New Roman" w:hAnsi="Times New Roman"/>
          <w:sz w:val="24"/>
          <w:szCs w:val="24"/>
        </w:rPr>
        <w:t>clinical decision-making</w:t>
      </w:r>
      <w:r w:rsidR="007152D1" w:rsidRPr="00CC5E79">
        <w:rPr>
          <w:rFonts w:ascii="Times New Roman" w:hAnsi="Times New Roman"/>
          <w:sz w:val="24"/>
          <w:szCs w:val="24"/>
        </w:rPr>
        <w:t xml:space="preserve"> </w:t>
      </w:r>
      <w:r w:rsidR="009A1EF3" w:rsidRPr="00CC5E79">
        <w:rPr>
          <w:rFonts w:ascii="Times New Roman" w:hAnsi="Times New Roman"/>
          <w:sz w:val="24"/>
          <w:szCs w:val="24"/>
        </w:rPr>
        <w:t>(Hirsch</w:t>
      </w:r>
      <w:r w:rsidR="00514A83" w:rsidRPr="00CC5E79">
        <w:rPr>
          <w:rFonts w:ascii="Times New Roman" w:hAnsi="Times New Roman"/>
          <w:sz w:val="24"/>
          <w:szCs w:val="24"/>
        </w:rPr>
        <w:t>,</w:t>
      </w:r>
      <w:r w:rsidR="009A1EF3" w:rsidRPr="00CC5E79">
        <w:rPr>
          <w:rFonts w:ascii="Times New Roman" w:hAnsi="Times New Roman"/>
          <w:sz w:val="24"/>
          <w:szCs w:val="24"/>
        </w:rPr>
        <w:t xml:space="preserve"> 2003)</w:t>
      </w:r>
      <w:r w:rsidR="0072039B" w:rsidRPr="00CC5E79">
        <w:rPr>
          <w:rFonts w:ascii="Times New Roman" w:hAnsi="Times New Roman"/>
          <w:sz w:val="24"/>
          <w:szCs w:val="24"/>
        </w:rPr>
        <w:t xml:space="preserve">. </w:t>
      </w:r>
    </w:p>
    <w:p w:rsidR="00003198" w:rsidRPr="00CC5E79" w:rsidRDefault="000C3DBB" w:rsidP="004E531B">
      <w:pPr>
        <w:spacing w:after="0" w:line="480" w:lineRule="auto"/>
        <w:ind w:firstLine="360"/>
        <w:jc w:val="both"/>
        <w:rPr>
          <w:rFonts w:ascii="Times New Roman" w:hAnsi="Times New Roman"/>
          <w:sz w:val="24"/>
          <w:szCs w:val="24"/>
        </w:rPr>
      </w:pPr>
      <w:r w:rsidRPr="00CC5E79">
        <w:rPr>
          <w:rFonts w:ascii="Times New Roman" w:hAnsi="Times New Roman"/>
          <w:sz w:val="24"/>
          <w:szCs w:val="24"/>
        </w:rPr>
        <w:t>One of the common features that is shared by guidelines that have been successfully integrated into practice is that they are seen as making the process quicker and easier. Clinicians may, therefore, be unlikely to implement guidelines if they consider them to be introducing an additional time-consuming step in the process of providing care (</w:t>
      </w:r>
      <w:proofErr w:type="spellStart"/>
      <w:r w:rsidRPr="00CC5E79">
        <w:rPr>
          <w:rFonts w:ascii="Times New Roman" w:hAnsi="Times New Roman"/>
          <w:sz w:val="24"/>
          <w:szCs w:val="24"/>
        </w:rPr>
        <w:t>Bazian</w:t>
      </w:r>
      <w:proofErr w:type="spellEnd"/>
      <w:r w:rsidRPr="00CC5E79">
        <w:rPr>
          <w:rFonts w:ascii="Times New Roman" w:hAnsi="Times New Roman"/>
          <w:sz w:val="24"/>
          <w:szCs w:val="24"/>
        </w:rPr>
        <w:t xml:space="preserve">, 2005) or require additional staff resources (Rhodes et al., 2010). </w:t>
      </w:r>
      <w:r w:rsidR="00AD2D44" w:rsidRPr="00CC5E79">
        <w:rPr>
          <w:rFonts w:ascii="Times New Roman" w:hAnsi="Times New Roman"/>
          <w:sz w:val="24"/>
          <w:szCs w:val="24"/>
        </w:rPr>
        <w:t>These concerns are particularly pertinent in the context of a focus on reducing waiting times across the N</w:t>
      </w:r>
      <w:r w:rsidR="00BA6D81" w:rsidRPr="00CC5E79">
        <w:rPr>
          <w:rFonts w:ascii="Times New Roman" w:hAnsi="Times New Roman"/>
          <w:sz w:val="24"/>
          <w:szCs w:val="24"/>
        </w:rPr>
        <w:t xml:space="preserve">ational </w:t>
      </w:r>
      <w:r w:rsidR="00AD2D44" w:rsidRPr="00CC5E79">
        <w:rPr>
          <w:rFonts w:ascii="Times New Roman" w:hAnsi="Times New Roman"/>
          <w:sz w:val="24"/>
          <w:szCs w:val="24"/>
        </w:rPr>
        <w:t>H</w:t>
      </w:r>
      <w:r w:rsidR="00BA6D81" w:rsidRPr="00CC5E79">
        <w:rPr>
          <w:rFonts w:ascii="Times New Roman" w:hAnsi="Times New Roman"/>
          <w:sz w:val="24"/>
          <w:szCs w:val="24"/>
        </w:rPr>
        <w:t xml:space="preserve">ealth </w:t>
      </w:r>
      <w:r w:rsidR="00AD2D44" w:rsidRPr="00CC5E79">
        <w:rPr>
          <w:rFonts w:ascii="Times New Roman" w:hAnsi="Times New Roman"/>
          <w:sz w:val="24"/>
          <w:szCs w:val="24"/>
        </w:rPr>
        <w:t>S</w:t>
      </w:r>
      <w:r w:rsidR="00BA6D81" w:rsidRPr="00CC5E79">
        <w:rPr>
          <w:rFonts w:ascii="Times New Roman" w:hAnsi="Times New Roman"/>
          <w:sz w:val="24"/>
          <w:szCs w:val="24"/>
        </w:rPr>
        <w:t>ervice</w:t>
      </w:r>
      <w:r w:rsidR="00AD2D44" w:rsidRPr="00CC5E79">
        <w:rPr>
          <w:rFonts w:ascii="Times New Roman" w:hAnsi="Times New Roman"/>
          <w:sz w:val="24"/>
          <w:szCs w:val="24"/>
        </w:rPr>
        <w:t xml:space="preserve"> in the UK </w:t>
      </w:r>
      <w:r w:rsidR="009A1EF3" w:rsidRPr="00CC5E79">
        <w:rPr>
          <w:rFonts w:ascii="Times New Roman" w:hAnsi="Times New Roman"/>
          <w:sz w:val="24"/>
          <w:szCs w:val="24"/>
        </w:rPr>
        <w:t>(D</w:t>
      </w:r>
      <w:r w:rsidR="00B221B1" w:rsidRPr="00CC5E79">
        <w:rPr>
          <w:rFonts w:ascii="Times New Roman" w:hAnsi="Times New Roman"/>
          <w:sz w:val="24"/>
          <w:szCs w:val="24"/>
        </w:rPr>
        <w:t>epartment of Health [DOH]</w:t>
      </w:r>
      <w:r w:rsidR="00514A83" w:rsidRPr="00CC5E79">
        <w:rPr>
          <w:rFonts w:ascii="Times New Roman" w:hAnsi="Times New Roman"/>
          <w:sz w:val="24"/>
          <w:szCs w:val="24"/>
        </w:rPr>
        <w:t>,</w:t>
      </w:r>
      <w:r w:rsidR="00B221B1" w:rsidRPr="00CC5E79">
        <w:rPr>
          <w:rFonts w:ascii="Times New Roman" w:hAnsi="Times New Roman"/>
          <w:sz w:val="24"/>
          <w:szCs w:val="24"/>
        </w:rPr>
        <w:t xml:space="preserve"> </w:t>
      </w:r>
      <w:r w:rsidR="009A1EF3" w:rsidRPr="00CC5E79">
        <w:rPr>
          <w:rFonts w:ascii="Times New Roman" w:hAnsi="Times New Roman"/>
          <w:sz w:val="24"/>
          <w:szCs w:val="24"/>
        </w:rPr>
        <w:t>2013; Sco</w:t>
      </w:r>
      <w:r w:rsidR="00B221B1" w:rsidRPr="00CC5E79">
        <w:rPr>
          <w:rFonts w:ascii="Times New Roman" w:hAnsi="Times New Roman"/>
          <w:sz w:val="24"/>
          <w:szCs w:val="24"/>
        </w:rPr>
        <w:t>t</w:t>
      </w:r>
      <w:r w:rsidR="009A1EF3" w:rsidRPr="00CC5E79">
        <w:rPr>
          <w:rFonts w:ascii="Times New Roman" w:hAnsi="Times New Roman"/>
          <w:sz w:val="24"/>
          <w:szCs w:val="24"/>
        </w:rPr>
        <w:t>t</w:t>
      </w:r>
      <w:r w:rsidR="00B221B1" w:rsidRPr="00CC5E79">
        <w:rPr>
          <w:rFonts w:ascii="Times New Roman" w:hAnsi="Times New Roman"/>
          <w:sz w:val="24"/>
          <w:szCs w:val="24"/>
        </w:rPr>
        <w:t xml:space="preserve">ish </w:t>
      </w:r>
      <w:r w:rsidR="009A1EF3" w:rsidRPr="00CC5E79">
        <w:rPr>
          <w:rFonts w:ascii="Times New Roman" w:hAnsi="Times New Roman"/>
          <w:sz w:val="24"/>
          <w:szCs w:val="24"/>
        </w:rPr>
        <w:t>Gov</w:t>
      </w:r>
      <w:r w:rsidR="004E531B" w:rsidRPr="00CC5E79">
        <w:rPr>
          <w:rFonts w:ascii="Times New Roman" w:hAnsi="Times New Roman"/>
          <w:sz w:val="24"/>
          <w:szCs w:val="24"/>
        </w:rPr>
        <w:t>ernment</w:t>
      </w:r>
      <w:r w:rsidR="00514A83" w:rsidRPr="00CC5E79">
        <w:rPr>
          <w:rFonts w:ascii="Times New Roman" w:hAnsi="Times New Roman"/>
          <w:sz w:val="24"/>
          <w:szCs w:val="24"/>
        </w:rPr>
        <w:t>,</w:t>
      </w:r>
      <w:r w:rsidR="004E531B" w:rsidRPr="00CC5E79">
        <w:rPr>
          <w:rFonts w:ascii="Times New Roman" w:hAnsi="Times New Roman"/>
          <w:sz w:val="24"/>
          <w:szCs w:val="24"/>
        </w:rPr>
        <w:t xml:space="preserve"> </w:t>
      </w:r>
      <w:r w:rsidR="009A1EF3" w:rsidRPr="00CC5E79">
        <w:rPr>
          <w:rFonts w:ascii="Times New Roman" w:hAnsi="Times New Roman"/>
          <w:sz w:val="24"/>
          <w:szCs w:val="24"/>
        </w:rPr>
        <w:t>2011)</w:t>
      </w:r>
      <w:r w:rsidR="007E5263" w:rsidRPr="00CC5E79">
        <w:rPr>
          <w:rFonts w:ascii="Times New Roman" w:hAnsi="Times New Roman"/>
          <w:sz w:val="24"/>
          <w:szCs w:val="24"/>
        </w:rPr>
        <w:t xml:space="preserve"> </w:t>
      </w:r>
      <w:r w:rsidR="00EF28B9" w:rsidRPr="00CC5E79">
        <w:rPr>
          <w:rFonts w:ascii="Times New Roman" w:hAnsi="Times New Roman"/>
          <w:sz w:val="24"/>
          <w:szCs w:val="24"/>
        </w:rPr>
        <w:t>and clinicians may be particularly reluctant to introduce guidelines which they feel may negatively impact on waiting times.</w:t>
      </w:r>
      <w:r w:rsidR="007E5263" w:rsidRPr="00CC5E79">
        <w:rPr>
          <w:rFonts w:ascii="Times New Roman" w:hAnsi="Times New Roman"/>
          <w:sz w:val="24"/>
          <w:szCs w:val="24"/>
        </w:rPr>
        <w:t xml:space="preserve">  </w:t>
      </w:r>
      <w:r w:rsidR="00EF28B9" w:rsidRPr="00CC5E79">
        <w:rPr>
          <w:rFonts w:ascii="Times New Roman" w:hAnsi="Times New Roman"/>
          <w:sz w:val="24"/>
          <w:szCs w:val="24"/>
        </w:rPr>
        <w:t xml:space="preserve"> It is, therefore, important to establish if </w:t>
      </w:r>
      <w:r w:rsidR="00CE16D1" w:rsidRPr="00CC5E79">
        <w:rPr>
          <w:rFonts w:ascii="Times New Roman" w:hAnsi="Times New Roman"/>
          <w:sz w:val="24"/>
          <w:szCs w:val="24"/>
        </w:rPr>
        <w:t xml:space="preserve">practice that is consistent with </w:t>
      </w:r>
      <w:r w:rsidR="00EF28B9" w:rsidRPr="00CC5E79">
        <w:rPr>
          <w:rFonts w:ascii="Times New Roman" w:hAnsi="Times New Roman"/>
          <w:sz w:val="24"/>
          <w:szCs w:val="24"/>
        </w:rPr>
        <w:t xml:space="preserve">guidelines is related to </w:t>
      </w:r>
      <w:proofErr w:type="gramStart"/>
      <w:r w:rsidR="00EF28B9" w:rsidRPr="00CC5E79">
        <w:rPr>
          <w:rFonts w:ascii="Times New Roman" w:hAnsi="Times New Roman"/>
          <w:sz w:val="24"/>
          <w:szCs w:val="24"/>
        </w:rPr>
        <w:t>increased</w:t>
      </w:r>
      <w:proofErr w:type="gramEnd"/>
      <w:r w:rsidR="00EF28B9" w:rsidRPr="00CC5E79">
        <w:rPr>
          <w:rFonts w:ascii="Times New Roman" w:hAnsi="Times New Roman"/>
          <w:sz w:val="24"/>
          <w:szCs w:val="24"/>
        </w:rPr>
        <w:t xml:space="preserve"> waiting times.</w:t>
      </w:r>
      <w:r w:rsidR="00D248D4" w:rsidRPr="00CC5E79">
        <w:rPr>
          <w:rFonts w:ascii="Times New Roman" w:hAnsi="Times New Roman"/>
          <w:sz w:val="24"/>
          <w:szCs w:val="24"/>
        </w:rPr>
        <w:t xml:space="preserve">  Research has also indicated that guidelines that are successfully implemented reflect routine practice for the clinical group being targeted</w:t>
      </w:r>
      <w:r w:rsidR="00FB3823" w:rsidRPr="00CC5E79">
        <w:rPr>
          <w:rFonts w:ascii="Times New Roman" w:hAnsi="Times New Roman"/>
          <w:sz w:val="24"/>
          <w:szCs w:val="24"/>
        </w:rPr>
        <w:t xml:space="preserve"> (</w:t>
      </w:r>
      <w:proofErr w:type="spellStart"/>
      <w:r w:rsidR="00FB3823" w:rsidRPr="00CC5E79">
        <w:rPr>
          <w:rFonts w:ascii="Times New Roman" w:hAnsi="Times New Roman"/>
          <w:sz w:val="24"/>
          <w:szCs w:val="24"/>
        </w:rPr>
        <w:t>Bazian</w:t>
      </w:r>
      <w:proofErr w:type="spellEnd"/>
      <w:r w:rsidR="00514A83" w:rsidRPr="00CC5E79">
        <w:rPr>
          <w:rFonts w:ascii="Times New Roman" w:hAnsi="Times New Roman"/>
          <w:sz w:val="24"/>
          <w:szCs w:val="24"/>
        </w:rPr>
        <w:t>,</w:t>
      </w:r>
      <w:r w:rsidR="00FB3823" w:rsidRPr="00CC5E79">
        <w:rPr>
          <w:rFonts w:ascii="Times New Roman" w:hAnsi="Times New Roman"/>
          <w:sz w:val="24"/>
          <w:szCs w:val="24"/>
        </w:rPr>
        <w:t xml:space="preserve"> 2005)</w:t>
      </w:r>
      <w:r w:rsidR="00D248D4" w:rsidRPr="00CC5E79">
        <w:rPr>
          <w:rFonts w:ascii="Times New Roman" w:hAnsi="Times New Roman"/>
          <w:sz w:val="24"/>
          <w:szCs w:val="24"/>
        </w:rPr>
        <w:t xml:space="preserve">. </w:t>
      </w:r>
      <w:r w:rsidR="008C338B" w:rsidRPr="00CC5E79">
        <w:rPr>
          <w:rFonts w:ascii="Times New Roman" w:hAnsi="Times New Roman"/>
          <w:sz w:val="24"/>
          <w:szCs w:val="24"/>
        </w:rPr>
        <w:t xml:space="preserve"> </w:t>
      </w:r>
    </w:p>
    <w:p w:rsidR="001D27EE" w:rsidRPr="00CC5E79" w:rsidRDefault="00003198" w:rsidP="004E531B">
      <w:pPr>
        <w:spacing w:after="0" w:line="480" w:lineRule="auto"/>
        <w:ind w:firstLine="360"/>
        <w:jc w:val="both"/>
        <w:rPr>
          <w:rFonts w:ascii="Times New Roman" w:hAnsi="Times New Roman"/>
          <w:sz w:val="24"/>
          <w:szCs w:val="24"/>
        </w:rPr>
      </w:pPr>
      <w:r w:rsidRPr="00CC5E79">
        <w:rPr>
          <w:rFonts w:ascii="Times New Roman" w:hAnsi="Times New Roman"/>
          <w:sz w:val="24"/>
          <w:szCs w:val="24"/>
        </w:rPr>
        <w:t>In 2012 NICE developed guidelines on the identification, diagnosis and management of ASD in adults</w:t>
      </w:r>
      <w:r w:rsidR="00D72B4A" w:rsidRPr="00CC5E79">
        <w:rPr>
          <w:rFonts w:ascii="Times New Roman" w:hAnsi="Times New Roman"/>
          <w:sz w:val="24"/>
          <w:szCs w:val="24"/>
        </w:rPr>
        <w:t xml:space="preserve">. </w:t>
      </w:r>
      <w:r w:rsidR="00514A83" w:rsidRPr="00CC5E79">
        <w:rPr>
          <w:rFonts w:ascii="Times New Roman" w:hAnsi="Times New Roman"/>
          <w:sz w:val="24"/>
          <w:szCs w:val="24"/>
        </w:rPr>
        <w:t xml:space="preserve">Prior to their development no equivalent evidence base </w:t>
      </w:r>
      <w:r w:rsidRPr="00CC5E79">
        <w:rPr>
          <w:rFonts w:ascii="Times New Roman" w:hAnsi="Times New Roman"/>
          <w:sz w:val="24"/>
          <w:szCs w:val="24"/>
        </w:rPr>
        <w:t xml:space="preserve">guidance </w:t>
      </w:r>
      <w:r w:rsidR="00514A83" w:rsidRPr="00CC5E79">
        <w:rPr>
          <w:rFonts w:ascii="Times New Roman" w:hAnsi="Times New Roman"/>
          <w:sz w:val="24"/>
          <w:szCs w:val="24"/>
        </w:rPr>
        <w:t xml:space="preserve">existed </w:t>
      </w:r>
      <w:r w:rsidRPr="00CC5E79">
        <w:rPr>
          <w:rFonts w:ascii="Times New Roman" w:hAnsi="Times New Roman"/>
          <w:sz w:val="24"/>
          <w:szCs w:val="24"/>
        </w:rPr>
        <w:t xml:space="preserve">for clinicians working in </w:t>
      </w:r>
      <w:r w:rsidR="005831D2" w:rsidRPr="00CC5E79">
        <w:rPr>
          <w:rFonts w:ascii="Times New Roman" w:hAnsi="Times New Roman"/>
          <w:sz w:val="24"/>
          <w:szCs w:val="24"/>
        </w:rPr>
        <w:t xml:space="preserve">adult </w:t>
      </w:r>
      <w:r w:rsidRPr="00CC5E79">
        <w:rPr>
          <w:rFonts w:ascii="Times New Roman" w:hAnsi="Times New Roman"/>
          <w:sz w:val="24"/>
          <w:szCs w:val="24"/>
        </w:rPr>
        <w:t>ASD services in Scotland</w:t>
      </w:r>
      <w:r w:rsidR="005831D2" w:rsidRPr="00CC5E79">
        <w:rPr>
          <w:rFonts w:ascii="Times New Roman" w:hAnsi="Times New Roman"/>
          <w:sz w:val="24"/>
          <w:szCs w:val="24"/>
        </w:rPr>
        <w:t xml:space="preserve">, although guidance was available in relation to children (NICE, 2011; Scottish Intercollegiate Guidelines Network, 2007), </w:t>
      </w:r>
      <w:r w:rsidR="00514A83" w:rsidRPr="00CC5E79">
        <w:rPr>
          <w:rFonts w:ascii="Times New Roman" w:hAnsi="Times New Roman"/>
          <w:sz w:val="24"/>
          <w:szCs w:val="24"/>
        </w:rPr>
        <w:t xml:space="preserve">and </w:t>
      </w:r>
      <w:r w:rsidRPr="00CC5E79">
        <w:rPr>
          <w:rFonts w:ascii="Times New Roman" w:hAnsi="Times New Roman"/>
          <w:sz w:val="24"/>
          <w:szCs w:val="24"/>
        </w:rPr>
        <w:t xml:space="preserve">it </w:t>
      </w:r>
      <w:r w:rsidRPr="00CC5E79">
        <w:rPr>
          <w:rFonts w:ascii="Times New Roman" w:hAnsi="Times New Roman"/>
          <w:sz w:val="24"/>
          <w:szCs w:val="24"/>
        </w:rPr>
        <w:lastRenderedPageBreak/>
        <w:t xml:space="preserve">was unknown to what extent the recommendations reflected existing practice there. </w:t>
      </w:r>
      <w:r w:rsidR="008C338B" w:rsidRPr="00CC5E79">
        <w:rPr>
          <w:rFonts w:ascii="Times New Roman" w:hAnsi="Times New Roman"/>
          <w:sz w:val="24"/>
          <w:szCs w:val="24"/>
        </w:rPr>
        <w:t>The research reviewed above</w:t>
      </w:r>
      <w:r w:rsidR="00BF2B09" w:rsidRPr="00CC5E79">
        <w:rPr>
          <w:rFonts w:ascii="Times New Roman" w:hAnsi="Times New Roman"/>
          <w:sz w:val="24"/>
          <w:szCs w:val="24"/>
        </w:rPr>
        <w:t xml:space="preserve"> suggests that the NICE </w:t>
      </w:r>
      <w:r w:rsidR="00FB3823" w:rsidRPr="00CC5E79">
        <w:rPr>
          <w:rFonts w:ascii="Times New Roman" w:hAnsi="Times New Roman"/>
          <w:sz w:val="24"/>
          <w:szCs w:val="24"/>
        </w:rPr>
        <w:t>(2012)</w:t>
      </w:r>
      <w:r w:rsidR="007E5263" w:rsidRPr="00CC5E79">
        <w:rPr>
          <w:rFonts w:ascii="Times New Roman" w:hAnsi="Times New Roman"/>
          <w:sz w:val="24"/>
          <w:szCs w:val="24"/>
        </w:rPr>
        <w:t xml:space="preserve"> </w:t>
      </w:r>
      <w:r w:rsidRPr="00CC5E79">
        <w:rPr>
          <w:rFonts w:ascii="Times New Roman" w:hAnsi="Times New Roman"/>
          <w:sz w:val="24"/>
          <w:szCs w:val="24"/>
        </w:rPr>
        <w:t>guideline had</w:t>
      </w:r>
      <w:r w:rsidR="00BF2B09" w:rsidRPr="00CC5E79">
        <w:rPr>
          <w:rFonts w:ascii="Times New Roman" w:hAnsi="Times New Roman"/>
          <w:sz w:val="24"/>
          <w:szCs w:val="24"/>
        </w:rPr>
        <w:t xml:space="preserve"> a greater chance of being routinely implem</w:t>
      </w:r>
      <w:r w:rsidRPr="00CC5E79">
        <w:rPr>
          <w:rFonts w:ascii="Times New Roman" w:hAnsi="Times New Roman"/>
          <w:sz w:val="24"/>
          <w:szCs w:val="24"/>
        </w:rPr>
        <w:t>ented in practice if it reflected existing practice and was</w:t>
      </w:r>
      <w:r w:rsidR="00BF2B09" w:rsidRPr="00CC5E79">
        <w:rPr>
          <w:rFonts w:ascii="Times New Roman" w:hAnsi="Times New Roman"/>
          <w:sz w:val="24"/>
          <w:szCs w:val="24"/>
        </w:rPr>
        <w:t xml:space="preserve"> not consid</w:t>
      </w:r>
      <w:r w:rsidRPr="00CC5E79">
        <w:rPr>
          <w:rFonts w:ascii="Times New Roman" w:hAnsi="Times New Roman"/>
          <w:sz w:val="24"/>
          <w:szCs w:val="24"/>
        </w:rPr>
        <w:t xml:space="preserve">ered to increase waiting times.  </w:t>
      </w:r>
    </w:p>
    <w:p w:rsidR="001D27EE" w:rsidRPr="00CC5E79" w:rsidRDefault="001D27EE" w:rsidP="00643549">
      <w:pPr>
        <w:tabs>
          <w:tab w:val="center" w:pos="4680"/>
          <w:tab w:val="right" w:pos="9360"/>
        </w:tabs>
        <w:spacing w:after="0" w:line="480" w:lineRule="auto"/>
        <w:ind w:left="360"/>
        <w:contextualSpacing/>
        <w:jc w:val="both"/>
        <w:rPr>
          <w:rFonts w:ascii="Times New Roman" w:hAnsi="Times New Roman"/>
          <w:sz w:val="24"/>
          <w:szCs w:val="24"/>
        </w:rPr>
      </w:pPr>
      <w:r w:rsidRPr="00CC5E79">
        <w:rPr>
          <w:rFonts w:ascii="Times New Roman" w:hAnsi="Times New Roman"/>
          <w:sz w:val="24"/>
          <w:szCs w:val="24"/>
        </w:rPr>
        <w:t>The aims of the present paper were, therefore, to explore:</w:t>
      </w:r>
    </w:p>
    <w:p w:rsidR="001D27EE" w:rsidRPr="00CC5E79" w:rsidRDefault="001D27EE" w:rsidP="00643549">
      <w:pPr>
        <w:pStyle w:val="ListParagraph"/>
        <w:numPr>
          <w:ilvl w:val="0"/>
          <w:numId w:val="2"/>
        </w:numPr>
        <w:spacing w:line="480" w:lineRule="auto"/>
        <w:jc w:val="both"/>
        <w:rPr>
          <w:rFonts w:ascii="Times New Roman" w:hAnsi="Times New Roman"/>
          <w:sz w:val="24"/>
          <w:szCs w:val="24"/>
        </w:rPr>
      </w:pPr>
      <w:r w:rsidRPr="00CC5E79">
        <w:rPr>
          <w:rFonts w:ascii="Times New Roman" w:hAnsi="Times New Roman"/>
          <w:sz w:val="24"/>
          <w:szCs w:val="24"/>
        </w:rPr>
        <w:t>the extent to which the section 9.</w:t>
      </w:r>
      <w:r w:rsidR="00493D7A" w:rsidRPr="00CC5E79">
        <w:rPr>
          <w:rFonts w:ascii="Times New Roman" w:hAnsi="Times New Roman"/>
          <w:sz w:val="24"/>
          <w:szCs w:val="24"/>
        </w:rPr>
        <w:t>2 recommendations of the NICE (2012</w:t>
      </w:r>
      <w:r w:rsidRPr="00CC5E79">
        <w:rPr>
          <w:rFonts w:ascii="Times New Roman" w:hAnsi="Times New Roman"/>
          <w:sz w:val="24"/>
          <w:szCs w:val="24"/>
        </w:rPr>
        <w:t>) guidelines which relate to case identification, assessment and diagnosis, reflected existing routine clinical practice in ASD diagnosing services</w:t>
      </w:r>
      <w:r w:rsidR="00003198" w:rsidRPr="00CC5E79">
        <w:rPr>
          <w:rFonts w:ascii="Times New Roman" w:hAnsi="Times New Roman"/>
          <w:sz w:val="24"/>
          <w:szCs w:val="24"/>
        </w:rPr>
        <w:t xml:space="preserve"> in Scotland</w:t>
      </w:r>
      <w:r w:rsidRPr="00CC5E79">
        <w:rPr>
          <w:rFonts w:ascii="Times New Roman" w:hAnsi="Times New Roman"/>
          <w:sz w:val="24"/>
          <w:szCs w:val="24"/>
        </w:rPr>
        <w:t>.</w:t>
      </w:r>
    </w:p>
    <w:p w:rsidR="001D27EE" w:rsidRPr="00CC5E79" w:rsidRDefault="00514A83" w:rsidP="00643549">
      <w:pPr>
        <w:pStyle w:val="ListParagraph"/>
        <w:numPr>
          <w:ilvl w:val="0"/>
          <w:numId w:val="2"/>
        </w:numPr>
        <w:spacing w:after="0" w:line="480" w:lineRule="auto"/>
        <w:jc w:val="both"/>
        <w:rPr>
          <w:rFonts w:ascii="Times New Roman" w:hAnsi="Times New Roman"/>
          <w:sz w:val="24"/>
          <w:szCs w:val="24"/>
        </w:rPr>
      </w:pPr>
      <w:proofErr w:type="gramStart"/>
      <w:r w:rsidRPr="00CC5E79">
        <w:rPr>
          <w:rFonts w:ascii="Times New Roman" w:hAnsi="Times New Roman"/>
          <w:sz w:val="24"/>
          <w:szCs w:val="24"/>
        </w:rPr>
        <w:t>whether</w:t>
      </w:r>
      <w:proofErr w:type="gramEnd"/>
      <w:r w:rsidRPr="00CC5E79">
        <w:rPr>
          <w:rFonts w:ascii="Times New Roman" w:hAnsi="Times New Roman"/>
          <w:sz w:val="24"/>
          <w:szCs w:val="24"/>
        </w:rPr>
        <w:t xml:space="preserve"> there was </w:t>
      </w:r>
      <w:r w:rsidR="001D27EE" w:rsidRPr="00CC5E79">
        <w:rPr>
          <w:rFonts w:ascii="Times New Roman" w:hAnsi="Times New Roman"/>
          <w:sz w:val="24"/>
          <w:szCs w:val="24"/>
        </w:rPr>
        <w:t>a significant relation</w:t>
      </w:r>
      <w:r w:rsidR="00227239" w:rsidRPr="00CC5E79">
        <w:rPr>
          <w:rFonts w:ascii="Times New Roman" w:hAnsi="Times New Roman"/>
          <w:sz w:val="24"/>
          <w:szCs w:val="24"/>
        </w:rPr>
        <w:t xml:space="preserve"> </w:t>
      </w:r>
      <w:r w:rsidR="001D27EE" w:rsidRPr="00CC5E79">
        <w:rPr>
          <w:rFonts w:ascii="Times New Roman" w:hAnsi="Times New Roman"/>
          <w:sz w:val="24"/>
          <w:szCs w:val="24"/>
        </w:rPr>
        <w:t xml:space="preserve">between routine practice which more closely reflects the recommendations of the NICE </w:t>
      </w:r>
      <w:r w:rsidR="00493D7A" w:rsidRPr="00CC5E79">
        <w:rPr>
          <w:rFonts w:ascii="Times New Roman" w:hAnsi="Times New Roman"/>
          <w:sz w:val="24"/>
          <w:szCs w:val="24"/>
        </w:rPr>
        <w:t xml:space="preserve">(2012) </w:t>
      </w:r>
      <w:r w:rsidR="001D27EE" w:rsidRPr="00CC5E79">
        <w:rPr>
          <w:rFonts w:ascii="Times New Roman" w:hAnsi="Times New Roman"/>
          <w:sz w:val="24"/>
          <w:szCs w:val="24"/>
        </w:rPr>
        <w:t>guideline  and increased waiting times.</w:t>
      </w:r>
    </w:p>
    <w:p w:rsidR="00163575" w:rsidRPr="00CC5E79" w:rsidRDefault="00163575" w:rsidP="00643549">
      <w:pPr>
        <w:spacing w:after="0" w:line="480" w:lineRule="auto"/>
        <w:jc w:val="both"/>
        <w:rPr>
          <w:rFonts w:ascii="Times New Roman" w:hAnsi="Times New Roman"/>
          <w:b/>
          <w:sz w:val="24"/>
          <w:szCs w:val="24"/>
        </w:rPr>
      </w:pPr>
    </w:p>
    <w:p w:rsidR="00EA3324" w:rsidRPr="00CC5E79" w:rsidRDefault="00246429" w:rsidP="007518AA">
      <w:pPr>
        <w:spacing w:after="0" w:line="480" w:lineRule="auto"/>
        <w:rPr>
          <w:rFonts w:ascii="Times New Roman" w:hAnsi="Times New Roman"/>
          <w:b/>
          <w:sz w:val="24"/>
          <w:szCs w:val="24"/>
        </w:rPr>
      </w:pPr>
      <w:r w:rsidRPr="00CC5E79">
        <w:rPr>
          <w:rFonts w:ascii="Times New Roman" w:hAnsi="Times New Roman"/>
          <w:b/>
          <w:sz w:val="24"/>
          <w:szCs w:val="24"/>
        </w:rPr>
        <w:t>Method</w:t>
      </w:r>
    </w:p>
    <w:p w:rsidR="006561C9" w:rsidRPr="00CC5E79" w:rsidRDefault="00865853" w:rsidP="00643549">
      <w:pPr>
        <w:spacing w:after="0" w:line="480" w:lineRule="auto"/>
        <w:jc w:val="both"/>
        <w:rPr>
          <w:rFonts w:ascii="Times New Roman" w:hAnsi="Times New Roman"/>
          <w:i/>
          <w:sz w:val="24"/>
          <w:szCs w:val="24"/>
        </w:rPr>
      </w:pPr>
      <w:r w:rsidRPr="00CC5E79">
        <w:rPr>
          <w:rFonts w:ascii="Times New Roman" w:hAnsi="Times New Roman"/>
          <w:sz w:val="24"/>
          <w:szCs w:val="24"/>
        </w:rPr>
        <w:t>Ethical a</w:t>
      </w:r>
      <w:r w:rsidR="00685AE4" w:rsidRPr="00CC5E79">
        <w:rPr>
          <w:rFonts w:ascii="Times New Roman" w:hAnsi="Times New Roman"/>
          <w:sz w:val="24"/>
          <w:szCs w:val="24"/>
        </w:rPr>
        <w:t xml:space="preserve">pproval for the study was received from the </w:t>
      </w:r>
      <w:proofErr w:type="spellStart"/>
      <w:r w:rsidR="00685AE4" w:rsidRPr="00CC5E79">
        <w:rPr>
          <w:rFonts w:ascii="Times New Roman" w:hAnsi="Times New Roman"/>
          <w:sz w:val="24"/>
          <w:szCs w:val="24"/>
        </w:rPr>
        <w:t>Caldicott</w:t>
      </w:r>
      <w:proofErr w:type="spellEnd"/>
      <w:r w:rsidR="00685AE4" w:rsidRPr="00CC5E79">
        <w:rPr>
          <w:rFonts w:ascii="Times New Roman" w:hAnsi="Times New Roman"/>
          <w:sz w:val="24"/>
          <w:szCs w:val="24"/>
        </w:rPr>
        <w:t xml:space="preserve"> Guardian and the Research and Development Departments of the participating services. </w:t>
      </w:r>
    </w:p>
    <w:p w:rsidR="002A1D06" w:rsidRPr="00CC5E79" w:rsidRDefault="002A1D06" w:rsidP="00643549">
      <w:pPr>
        <w:spacing w:after="0" w:line="480" w:lineRule="auto"/>
        <w:jc w:val="both"/>
        <w:rPr>
          <w:rFonts w:ascii="Times New Roman" w:hAnsi="Times New Roman"/>
          <w:i/>
          <w:sz w:val="24"/>
          <w:szCs w:val="24"/>
        </w:rPr>
      </w:pPr>
    </w:p>
    <w:p w:rsidR="00685AE4" w:rsidRPr="00CC5E79" w:rsidRDefault="00685AE4" w:rsidP="00643549">
      <w:pPr>
        <w:spacing w:after="0" w:line="480" w:lineRule="auto"/>
        <w:jc w:val="both"/>
        <w:rPr>
          <w:rFonts w:ascii="Times New Roman" w:hAnsi="Times New Roman"/>
          <w:i/>
          <w:sz w:val="24"/>
          <w:szCs w:val="24"/>
        </w:rPr>
      </w:pPr>
      <w:r w:rsidRPr="00CC5E79">
        <w:rPr>
          <w:rFonts w:ascii="Times New Roman" w:hAnsi="Times New Roman"/>
          <w:i/>
          <w:sz w:val="24"/>
          <w:szCs w:val="24"/>
        </w:rPr>
        <w:t>Design</w:t>
      </w:r>
    </w:p>
    <w:p w:rsidR="00D72B4A" w:rsidRPr="00CC5E79" w:rsidRDefault="00685AE4" w:rsidP="00643549">
      <w:pPr>
        <w:spacing w:after="0" w:line="480" w:lineRule="auto"/>
        <w:jc w:val="both"/>
        <w:rPr>
          <w:rFonts w:ascii="Times New Roman" w:hAnsi="Times New Roman"/>
          <w:sz w:val="24"/>
          <w:szCs w:val="24"/>
        </w:rPr>
      </w:pPr>
      <w:r w:rsidRPr="00CC5E79">
        <w:rPr>
          <w:rFonts w:ascii="Times New Roman" w:hAnsi="Times New Roman"/>
          <w:sz w:val="24"/>
          <w:szCs w:val="24"/>
        </w:rPr>
        <w:t xml:space="preserve">The study design was a cross-sectional, retrospective case note study of adult ASD diagnostic services in Scotland.  </w:t>
      </w:r>
    </w:p>
    <w:p w:rsidR="00853A65" w:rsidRPr="00CC5E79" w:rsidRDefault="00853A65" w:rsidP="00643549">
      <w:pPr>
        <w:spacing w:after="0" w:line="480" w:lineRule="auto"/>
        <w:jc w:val="both"/>
        <w:rPr>
          <w:rFonts w:ascii="Times New Roman" w:hAnsi="Times New Roman"/>
          <w:sz w:val="24"/>
          <w:szCs w:val="24"/>
        </w:rPr>
      </w:pPr>
    </w:p>
    <w:p w:rsidR="00685AE4" w:rsidRPr="00CC5E79" w:rsidRDefault="00685AE4" w:rsidP="00643549">
      <w:pPr>
        <w:spacing w:after="0" w:line="480" w:lineRule="auto"/>
        <w:jc w:val="both"/>
        <w:rPr>
          <w:rFonts w:ascii="Times New Roman" w:hAnsi="Times New Roman"/>
          <w:i/>
          <w:sz w:val="24"/>
          <w:szCs w:val="24"/>
        </w:rPr>
      </w:pPr>
      <w:r w:rsidRPr="00CC5E79">
        <w:rPr>
          <w:rFonts w:ascii="Times New Roman" w:hAnsi="Times New Roman"/>
          <w:i/>
          <w:sz w:val="24"/>
          <w:szCs w:val="24"/>
        </w:rPr>
        <w:t>Participating services</w:t>
      </w:r>
    </w:p>
    <w:p w:rsidR="00884D47" w:rsidRPr="00CC5E79" w:rsidRDefault="00865853" w:rsidP="00643549">
      <w:pPr>
        <w:spacing w:line="480" w:lineRule="auto"/>
        <w:jc w:val="both"/>
        <w:rPr>
          <w:rFonts w:ascii="Times New Roman" w:hAnsi="Times New Roman"/>
          <w:sz w:val="24"/>
          <w:szCs w:val="24"/>
        </w:rPr>
      </w:pPr>
      <w:r w:rsidRPr="00CC5E79">
        <w:rPr>
          <w:rFonts w:ascii="Times New Roman" w:eastAsia="Times New Roman" w:hAnsi="Times New Roman"/>
          <w:sz w:val="24"/>
          <w:szCs w:val="24"/>
          <w:lang w:eastAsia="en-GB"/>
        </w:rPr>
        <w:t xml:space="preserve">Eight services </w:t>
      </w:r>
      <w:r w:rsidR="00A801AF" w:rsidRPr="00CC5E79">
        <w:rPr>
          <w:rFonts w:ascii="Times New Roman" w:eastAsia="Times New Roman" w:hAnsi="Times New Roman"/>
          <w:sz w:val="24"/>
          <w:szCs w:val="24"/>
          <w:lang w:eastAsia="en-GB"/>
        </w:rPr>
        <w:t xml:space="preserve">participated. These </w:t>
      </w:r>
      <w:r w:rsidRPr="00CC5E79">
        <w:rPr>
          <w:rFonts w:ascii="Times New Roman" w:eastAsia="Times New Roman" w:hAnsi="Times New Roman"/>
          <w:sz w:val="24"/>
          <w:szCs w:val="24"/>
          <w:lang w:eastAsia="en-GB"/>
        </w:rPr>
        <w:t xml:space="preserve">were </w:t>
      </w:r>
      <w:r w:rsidR="00D72B4A" w:rsidRPr="00CC5E79">
        <w:rPr>
          <w:rFonts w:ascii="Times New Roman" w:eastAsia="Times New Roman" w:hAnsi="Times New Roman"/>
          <w:sz w:val="24"/>
          <w:szCs w:val="24"/>
          <w:lang w:eastAsia="en-GB"/>
        </w:rPr>
        <w:t xml:space="preserve">identified using proportionate stratified random sampling </w:t>
      </w:r>
      <w:r w:rsidRPr="00CC5E79">
        <w:rPr>
          <w:rFonts w:ascii="Times New Roman" w:eastAsia="Times New Roman" w:hAnsi="Times New Roman"/>
          <w:sz w:val="24"/>
          <w:szCs w:val="24"/>
          <w:lang w:eastAsia="en-GB"/>
        </w:rPr>
        <w:t xml:space="preserve">from </w:t>
      </w:r>
      <w:r w:rsidR="00A801AF" w:rsidRPr="00CC5E79">
        <w:rPr>
          <w:rFonts w:ascii="Times New Roman" w:eastAsia="Times New Roman" w:hAnsi="Times New Roman"/>
          <w:sz w:val="24"/>
          <w:szCs w:val="24"/>
          <w:lang w:eastAsia="en-GB"/>
        </w:rPr>
        <w:t xml:space="preserve">a potential pool of </w:t>
      </w:r>
      <w:r w:rsidRPr="00CC5E79">
        <w:rPr>
          <w:rFonts w:ascii="Times New Roman" w:eastAsia="Times New Roman" w:hAnsi="Times New Roman"/>
          <w:sz w:val="24"/>
          <w:szCs w:val="24"/>
          <w:lang w:eastAsia="en-GB"/>
        </w:rPr>
        <w:t>15 adult ASD diagnostic services in Scotland,</w:t>
      </w:r>
      <w:r w:rsidR="00D72B4A" w:rsidRPr="00CC5E79">
        <w:rPr>
          <w:rFonts w:ascii="Times New Roman" w:eastAsia="Times New Roman" w:hAnsi="Times New Roman"/>
          <w:sz w:val="24"/>
          <w:szCs w:val="24"/>
          <w:lang w:eastAsia="en-GB"/>
        </w:rPr>
        <w:t xml:space="preserve"> and invited to participate.</w:t>
      </w:r>
      <w:r w:rsidRPr="00CC5E79">
        <w:t xml:space="preserve"> </w:t>
      </w:r>
      <w:r w:rsidRPr="00CC5E79">
        <w:rPr>
          <w:rFonts w:ascii="Times New Roman" w:eastAsia="Times New Roman" w:hAnsi="Times New Roman"/>
          <w:sz w:val="24"/>
          <w:szCs w:val="24"/>
          <w:lang w:eastAsia="en-GB"/>
        </w:rPr>
        <w:t>Stratification was based on the Scottish Government definition of urban/rural classification</w:t>
      </w:r>
      <w:r w:rsidR="00A801AF" w:rsidRPr="00CC5E79">
        <w:rPr>
          <w:rFonts w:ascii="Times New Roman" w:eastAsia="Times New Roman" w:hAnsi="Times New Roman"/>
          <w:sz w:val="24"/>
          <w:szCs w:val="24"/>
          <w:lang w:eastAsia="en-GB"/>
        </w:rPr>
        <w:t xml:space="preserve"> i.e. those services classified as ‘urban’ were contacted in order determined by the </w:t>
      </w:r>
      <w:r w:rsidR="00A801AF" w:rsidRPr="00CC5E79">
        <w:rPr>
          <w:rFonts w:ascii="Times New Roman" w:eastAsia="Times New Roman" w:hAnsi="Times New Roman"/>
          <w:sz w:val="24"/>
          <w:szCs w:val="24"/>
          <w:lang w:eastAsia="en-GB"/>
        </w:rPr>
        <w:lastRenderedPageBreak/>
        <w:t>random sampling until the required number agreed to participate and the same process was repeated with those services classified as ‘rural.’</w:t>
      </w:r>
      <w:r w:rsidRPr="00CC5E79">
        <w:rPr>
          <w:rFonts w:ascii="Times New Roman" w:eastAsia="Times New Roman" w:hAnsi="Times New Roman"/>
          <w:sz w:val="24"/>
          <w:szCs w:val="24"/>
          <w:lang w:eastAsia="en-GB"/>
        </w:rPr>
        <w:t xml:space="preserve"> Of these, three were Intellectual Disability services, two were Adult Mental Health services and three were specialist ASD services. Five of the services had multi-disciplinary team input with an overall average of 2.75 members per service (range 1-7 members). Three of the ser</w:t>
      </w:r>
      <w:r w:rsidR="0022408A" w:rsidRPr="00CC5E79">
        <w:rPr>
          <w:rFonts w:ascii="Times New Roman" w:eastAsia="Times New Roman" w:hAnsi="Times New Roman"/>
          <w:sz w:val="24"/>
          <w:szCs w:val="24"/>
          <w:lang w:eastAsia="en-GB"/>
        </w:rPr>
        <w:t>vices</w:t>
      </w:r>
      <w:r w:rsidRPr="00CC5E79">
        <w:rPr>
          <w:rFonts w:ascii="Times New Roman" w:eastAsia="Times New Roman" w:hAnsi="Times New Roman"/>
          <w:sz w:val="24"/>
          <w:szCs w:val="24"/>
          <w:lang w:eastAsia="en-GB"/>
        </w:rPr>
        <w:t xml:space="preserve"> were in ‘large urban areas’, four in ‘other urban areas’ and one in an ‘accessible rural area.’</w:t>
      </w:r>
      <w:r w:rsidR="00015F89" w:rsidRPr="00CC5E79">
        <w:rPr>
          <w:rFonts w:ascii="Times New Roman" w:eastAsia="Times New Roman" w:hAnsi="Times New Roman"/>
          <w:sz w:val="24"/>
          <w:szCs w:val="24"/>
          <w:lang w:eastAsia="en-GB"/>
        </w:rPr>
        <w:t xml:space="preserve"> </w:t>
      </w:r>
      <w:r w:rsidRPr="00CC5E79">
        <w:rPr>
          <w:rFonts w:ascii="Times New Roman" w:eastAsia="Times New Roman" w:hAnsi="Times New Roman"/>
          <w:sz w:val="24"/>
          <w:szCs w:val="24"/>
          <w:lang w:eastAsia="en-GB"/>
        </w:rPr>
        <w:t xml:space="preserve">All services assessed at least ten individuals per year. </w:t>
      </w:r>
    </w:p>
    <w:p w:rsidR="00685AE4" w:rsidRPr="00CC5E79" w:rsidRDefault="00685AE4" w:rsidP="00643549">
      <w:pPr>
        <w:spacing w:after="0" w:line="480" w:lineRule="auto"/>
        <w:jc w:val="both"/>
        <w:rPr>
          <w:rFonts w:ascii="Times New Roman" w:hAnsi="Times New Roman"/>
          <w:i/>
          <w:sz w:val="24"/>
          <w:szCs w:val="24"/>
        </w:rPr>
      </w:pPr>
      <w:r w:rsidRPr="00CC5E79">
        <w:rPr>
          <w:rFonts w:ascii="Times New Roman" w:hAnsi="Times New Roman"/>
          <w:i/>
          <w:sz w:val="24"/>
          <w:szCs w:val="24"/>
        </w:rPr>
        <w:t>Participants</w:t>
      </w:r>
    </w:p>
    <w:p w:rsidR="00330A27" w:rsidRPr="00CC5E79" w:rsidRDefault="00386F74" w:rsidP="009F42B6">
      <w:pPr>
        <w:spacing w:line="480" w:lineRule="auto"/>
        <w:jc w:val="both"/>
        <w:rPr>
          <w:rFonts w:ascii="Times New Roman" w:hAnsi="Times New Roman"/>
          <w:sz w:val="24"/>
          <w:szCs w:val="24"/>
        </w:rPr>
      </w:pPr>
      <w:r w:rsidRPr="00CC5E79">
        <w:rPr>
          <w:rFonts w:ascii="Times New Roman" w:hAnsi="Times New Roman"/>
          <w:sz w:val="24"/>
          <w:szCs w:val="24"/>
        </w:rPr>
        <w:t>Case notes we</w:t>
      </w:r>
      <w:r w:rsidR="00BF2B09" w:rsidRPr="00CC5E79">
        <w:rPr>
          <w:rFonts w:ascii="Times New Roman" w:hAnsi="Times New Roman"/>
          <w:sz w:val="24"/>
          <w:szCs w:val="24"/>
        </w:rPr>
        <w:t>re included in the</w:t>
      </w:r>
      <w:r w:rsidR="00AA64EF" w:rsidRPr="00CC5E79">
        <w:rPr>
          <w:rFonts w:ascii="Times New Roman" w:hAnsi="Times New Roman"/>
          <w:sz w:val="24"/>
          <w:szCs w:val="24"/>
        </w:rPr>
        <w:t xml:space="preserve"> study</w:t>
      </w:r>
      <w:r w:rsidR="00BF2B09" w:rsidRPr="00CC5E79">
        <w:rPr>
          <w:rFonts w:ascii="Times New Roman" w:hAnsi="Times New Roman"/>
          <w:sz w:val="24"/>
          <w:szCs w:val="24"/>
        </w:rPr>
        <w:t xml:space="preserve"> if the</w:t>
      </w:r>
      <w:r w:rsidR="00685AE4" w:rsidRPr="00CC5E79">
        <w:rPr>
          <w:rFonts w:ascii="Times New Roman" w:hAnsi="Times New Roman"/>
          <w:sz w:val="24"/>
          <w:szCs w:val="24"/>
        </w:rPr>
        <w:t xml:space="preserve"> individual had received a diagnosis of ASD </w:t>
      </w:r>
      <w:r w:rsidRPr="00CC5E79">
        <w:rPr>
          <w:rFonts w:ascii="Times New Roman" w:hAnsi="Times New Roman"/>
          <w:sz w:val="24"/>
          <w:szCs w:val="24"/>
        </w:rPr>
        <w:t xml:space="preserve">from the participating service in the prior 24 months </w:t>
      </w:r>
      <w:r w:rsidR="00685AE4" w:rsidRPr="00CC5E79">
        <w:rPr>
          <w:rFonts w:ascii="Times New Roman" w:hAnsi="Times New Roman"/>
          <w:sz w:val="24"/>
          <w:szCs w:val="24"/>
        </w:rPr>
        <w:t>(inclusive of Autism, Asperger’s Disorder, Autism Spectrum Condit</w:t>
      </w:r>
      <w:r w:rsidRPr="00CC5E79">
        <w:rPr>
          <w:rFonts w:ascii="Times New Roman" w:hAnsi="Times New Roman"/>
          <w:sz w:val="24"/>
          <w:szCs w:val="24"/>
        </w:rPr>
        <w:t xml:space="preserve">ion, </w:t>
      </w:r>
      <w:proofErr w:type="gramStart"/>
      <w:r w:rsidRPr="00CC5E79">
        <w:rPr>
          <w:rFonts w:ascii="Times New Roman" w:hAnsi="Times New Roman"/>
          <w:sz w:val="24"/>
          <w:szCs w:val="24"/>
        </w:rPr>
        <w:t>Autistic</w:t>
      </w:r>
      <w:proofErr w:type="gramEnd"/>
      <w:r w:rsidR="00607FE2" w:rsidRPr="00CC5E79">
        <w:rPr>
          <w:rFonts w:ascii="Times New Roman" w:hAnsi="Times New Roman"/>
          <w:sz w:val="24"/>
          <w:szCs w:val="24"/>
        </w:rPr>
        <w:t xml:space="preserve"> </w:t>
      </w:r>
      <w:r w:rsidRPr="00CC5E79">
        <w:rPr>
          <w:rFonts w:ascii="Times New Roman" w:hAnsi="Times New Roman"/>
          <w:sz w:val="24"/>
          <w:szCs w:val="24"/>
        </w:rPr>
        <w:t>Spectrum Disorder</w:t>
      </w:r>
      <w:r w:rsidR="00BF2B09" w:rsidRPr="00CC5E79">
        <w:rPr>
          <w:rFonts w:ascii="Times New Roman" w:hAnsi="Times New Roman"/>
          <w:sz w:val="24"/>
          <w:szCs w:val="24"/>
        </w:rPr>
        <w:t>)</w:t>
      </w:r>
      <w:r w:rsidRPr="00CC5E79">
        <w:rPr>
          <w:rFonts w:ascii="Times New Roman" w:hAnsi="Times New Roman"/>
          <w:sz w:val="24"/>
          <w:szCs w:val="24"/>
        </w:rPr>
        <w:t xml:space="preserve">. </w:t>
      </w:r>
      <w:r w:rsidR="00685AE4" w:rsidRPr="00CC5E79">
        <w:rPr>
          <w:rFonts w:ascii="Times New Roman" w:hAnsi="Times New Roman"/>
          <w:sz w:val="24"/>
          <w:szCs w:val="24"/>
        </w:rPr>
        <w:t xml:space="preserve"> </w:t>
      </w:r>
      <w:r w:rsidRPr="00CC5E79">
        <w:rPr>
          <w:rFonts w:ascii="Times New Roman" w:hAnsi="Times New Roman"/>
          <w:sz w:val="24"/>
          <w:szCs w:val="24"/>
        </w:rPr>
        <w:t>Seventy case notes were</w:t>
      </w:r>
      <w:r w:rsidR="00C27559" w:rsidRPr="00CC5E79">
        <w:rPr>
          <w:rFonts w:ascii="Times New Roman" w:hAnsi="Times New Roman"/>
          <w:sz w:val="24"/>
          <w:szCs w:val="24"/>
        </w:rPr>
        <w:t xml:space="preserve"> included</w:t>
      </w:r>
      <w:r w:rsidRPr="00CC5E79">
        <w:rPr>
          <w:rFonts w:ascii="Times New Roman" w:hAnsi="Times New Roman"/>
          <w:sz w:val="24"/>
          <w:szCs w:val="24"/>
        </w:rPr>
        <w:t xml:space="preserve"> from the eight services</w:t>
      </w:r>
      <w:r w:rsidR="009F42B6" w:rsidRPr="00CC5E79">
        <w:rPr>
          <w:rFonts w:ascii="Times New Roman" w:hAnsi="Times New Roman"/>
          <w:sz w:val="24"/>
          <w:szCs w:val="24"/>
        </w:rPr>
        <w:t xml:space="preserve">, </w:t>
      </w:r>
      <w:r w:rsidR="004429BB" w:rsidRPr="00CC5E79">
        <w:rPr>
          <w:rFonts w:ascii="Times New Roman" w:hAnsi="Times New Roman"/>
          <w:sz w:val="24"/>
          <w:szCs w:val="24"/>
        </w:rPr>
        <w:t>with 5 services providing</w:t>
      </w:r>
      <w:r w:rsidR="009F42B6" w:rsidRPr="00CC5E79">
        <w:rPr>
          <w:rFonts w:ascii="Times New Roman" w:hAnsi="Times New Roman"/>
          <w:sz w:val="24"/>
          <w:szCs w:val="24"/>
        </w:rPr>
        <w:t xml:space="preserve"> 10 cases each, 1 providing 11 cases and 1 each providing 4 and 5 cases</w:t>
      </w:r>
      <w:r w:rsidRPr="00CC5E79">
        <w:rPr>
          <w:rFonts w:ascii="Times New Roman" w:hAnsi="Times New Roman"/>
          <w:sz w:val="24"/>
          <w:szCs w:val="24"/>
        </w:rPr>
        <w:t xml:space="preserve">. </w:t>
      </w:r>
      <w:r w:rsidR="002560A6" w:rsidRPr="00CC5E79">
        <w:rPr>
          <w:rFonts w:ascii="Times New Roman" w:hAnsi="Times New Roman"/>
          <w:sz w:val="24"/>
          <w:szCs w:val="24"/>
        </w:rPr>
        <w:t>The participants comprised 43 males, 24</w:t>
      </w:r>
      <w:r w:rsidR="00514A83" w:rsidRPr="00CC5E79">
        <w:rPr>
          <w:rFonts w:ascii="Times New Roman" w:hAnsi="Times New Roman"/>
          <w:sz w:val="24"/>
          <w:szCs w:val="24"/>
        </w:rPr>
        <w:t xml:space="preserve"> females,</w:t>
      </w:r>
      <w:r w:rsidR="002560A6" w:rsidRPr="00CC5E79">
        <w:rPr>
          <w:rFonts w:ascii="Times New Roman" w:hAnsi="Times New Roman"/>
          <w:sz w:val="24"/>
          <w:szCs w:val="24"/>
        </w:rPr>
        <w:t xml:space="preserve"> </w:t>
      </w:r>
      <w:r w:rsidR="00514A83" w:rsidRPr="00CC5E79">
        <w:rPr>
          <w:rFonts w:ascii="Times New Roman" w:hAnsi="Times New Roman"/>
          <w:sz w:val="24"/>
          <w:szCs w:val="24"/>
        </w:rPr>
        <w:t xml:space="preserve">1 </w:t>
      </w:r>
      <w:r w:rsidR="005C4288" w:rsidRPr="00CC5E79">
        <w:rPr>
          <w:rFonts w:ascii="Times New Roman" w:hAnsi="Times New Roman"/>
          <w:sz w:val="24"/>
          <w:szCs w:val="24"/>
        </w:rPr>
        <w:t>person who was transgender and 2</w:t>
      </w:r>
      <w:r w:rsidR="00514A83" w:rsidRPr="00CC5E79">
        <w:rPr>
          <w:rFonts w:ascii="Times New Roman" w:hAnsi="Times New Roman"/>
          <w:sz w:val="24"/>
          <w:szCs w:val="24"/>
        </w:rPr>
        <w:t xml:space="preserve"> for whom gender was not stated.</w:t>
      </w:r>
      <w:r w:rsidR="00330A27" w:rsidRPr="00CC5E79">
        <w:rPr>
          <w:rFonts w:ascii="Times New Roman" w:hAnsi="Times New Roman"/>
          <w:sz w:val="24"/>
          <w:szCs w:val="24"/>
        </w:rPr>
        <w:t xml:space="preserve"> The average </w:t>
      </w:r>
      <w:r w:rsidR="00684065" w:rsidRPr="00CC5E79">
        <w:rPr>
          <w:rFonts w:ascii="Times New Roman" w:hAnsi="Times New Roman"/>
          <w:sz w:val="24"/>
          <w:szCs w:val="24"/>
        </w:rPr>
        <w:t>age at referral was 31.2 years (SD = 11, range 17</w:t>
      </w:r>
      <w:r w:rsidR="00D72B4A" w:rsidRPr="00CC5E79">
        <w:rPr>
          <w:rFonts w:ascii="Times New Roman" w:hAnsi="Times New Roman"/>
          <w:sz w:val="24"/>
          <w:szCs w:val="24"/>
        </w:rPr>
        <w:t xml:space="preserve"> </w:t>
      </w:r>
      <w:r w:rsidR="00684065" w:rsidRPr="00CC5E79">
        <w:rPr>
          <w:rFonts w:ascii="Times New Roman" w:hAnsi="Times New Roman"/>
          <w:sz w:val="24"/>
          <w:szCs w:val="24"/>
        </w:rPr>
        <w:t>-</w:t>
      </w:r>
      <w:r w:rsidR="00D72B4A" w:rsidRPr="00CC5E79">
        <w:rPr>
          <w:rFonts w:ascii="Times New Roman" w:hAnsi="Times New Roman"/>
          <w:sz w:val="24"/>
          <w:szCs w:val="24"/>
        </w:rPr>
        <w:t xml:space="preserve"> </w:t>
      </w:r>
      <w:r w:rsidR="00684065" w:rsidRPr="00CC5E79">
        <w:rPr>
          <w:rFonts w:ascii="Times New Roman" w:hAnsi="Times New Roman"/>
          <w:sz w:val="24"/>
          <w:szCs w:val="24"/>
        </w:rPr>
        <w:t>55.5</w:t>
      </w:r>
      <w:r w:rsidR="00D72B4A" w:rsidRPr="00CC5E79">
        <w:rPr>
          <w:rFonts w:ascii="Times New Roman" w:hAnsi="Times New Roman"/>
          <w:sz w:val="24"/>
          <w:szCs w:val="24"/>
        </w:rPr>
        <w:t xml:space="preserve"> </w:t>
      </w:r>
      <w:r w:rsidR="00684065" w:rsidRPr="00CC5E79">
        <w:rPr>
          <w:rFonts w:ascii="Times New Roman" w:hAnsi="Times New Roman"/>
          <w:sz w:val="24"/>
          <w:szCs w:val="24"/>
        </w:rPr>
        <w:t>years</w:t>
      </w:r>
      <w:r w:rsidR="00330A27" w:rsidRPr="00CC5E79">
        <w:rPr>
          <w:rFonts w:ascii="Times New Roman" w:hAnsi="Times New Roman"/>
          <w:sz w:val="24"/>
          <w:szCs w:val="24"/>
        </w:rPr>
        <w:t>) and average age at diagnosis was 31.7 years (SD = 10.9, range = 17.7</w:t>
      </w:r>
      <w:r w:rsidR="00607FE2" w:rsidRPr="00CC5E79">
        <w:rPr>
          <w:rFonts w:ascii="Times New Roman" w:hAnsi="Times New Roman"/>
          <w:sz w:val="24"/>
          <w:szCs w:val="24"/>
        </w:rPr>
        <w:t xml:space="preserve"> </w:t>
      </w:r>
      <w:r w:rsidR="00330A27" w:rsidRPr="00CC5E79">
        <w:rPr>
          <w:rFonts w:ascii="Times New Roman" w:hAnsi="Times New Roman"/>
          <w:sz w:val="24"/>
          <w:szCs w:val="24"/>
        </w:rPr>
        <w:t>-</w:t>
      </w:r>
      <w:r w:rsidR="00607FE2" w:rsidRPr="00CC5E79">
        <w:rPr>
          <w:rFonts w:ascii="Times New Roman" w:hAnsi="Times New Roman"/>
          <w:sz w:val="24"/>
          <w:szCs w:val="24"/>
        </w:rPr>
        <w:t xml:space="preserve"> </w:t>
      </w:r>
      <w:r w:rsidR="00330A27" w:rsidRPr="00CC5E79">
        <w:rPr>
          <w:rFonts w:ascii="Times New Roman" w:hAnsi="Times New Roman"/>
          <w:sz w:val="24"/>
          <w:szCs w:val="24"/>
        </w:rPr>
        <w:t xml:space="preserve">56.3 years). </w:t>
      </w:r>
      <w:r w:rsidR="00514A83" w:rsidRPr="00CC5E79">
        <w:rPr>
          <w:rFonts w:ascii="Times New Roman" w:hAnsi="Times New Roman"/>
          <w:sz w:val="24"/>
          <w:szCs w:val="24"/>
        </w:rPr>
        <w:t xml:space="preserve"> </w:t>
      </w:r>
      <w:r w:rsidR="009F42B6" w:rsidRPr="00CC5E79">
        <w:rPr>
          <w:rFonts w:ascii="Times New Roman" w:hAnsi="Times New Roman"/>
          <w:sz w:val="24"/>
          <w:szCs w:val="24"/>
        </w:rPr>
        <w:t>The diagnoses given were: Autism Spectrum Disorder = 23, Autism= 15 (including two diagnoses of Atypical Autism) and Asperger’s Syndrome = 32.</w:t>
      </w:r>
    </w:p>
    <w:p w:rsidR="007B5FE6" w:rsidRPr="00CC5E79" w:rsidRDefault="00685AE4" w:rsidP="00643549">
      <w:pPr>
        <w:spacing w:after="0" w:line="480" w:lineRule="auto"/>
        <w:jc w:val="both"/>
        <w:rPr>
          <w:rFonts w:ascii="Times New Roman" w:hAnsi="Times New Roman"/>
          <w:i/>
          <w:sz w:val="24"/>
          <w:szCs w:val="24"/>
        </w:rPr>
      </w:pPr>
      <w:r w:rsidRPr="00CC5E79">
        <w:rPr>
          <w:rFonts w:ascii="Times New Roman" w:hAnsi="Times New Roman"/>
          <w:i/>
          <w:sz w:val="24"/>
          <w:szCs w:val="24"/>
        </w:rPr>
        <w:t>Measures</w:t>
      </w:r>
    </w:p>
    <w:p w:rsidR="00386F74" w:rsidRPr="00CC5E79" w:rsidRDefault="00386F74" w:rsidP="00643549">
      <w:pPr>
        <w:spacing w:after="0" w:line="480" w:lineRule="auto"/>
        <w:jc w:val="both"/>
        <w:rPr>
          <w:rFonts w:ascii="Times New Roman" w:hAnsi="Times New Roman"/>
          <w:sz w:val="24"/>
          <w:szCs w:val="24"/>
        </w:rPr>
      </w:pPr>
      <w:r w:rsidRPr="00CC5E79">
        <w:rPr>
          <w:rFonts w:ascii="Times New Roman" w:hAnsi="Times New Roman"/>
          <w:sz w:val="24"/>
          <w:szCs w:val="24"/>
        </w:rPr>
        <w:t xml:space="preserve">Information on </w:t>
      </w:r>
      <w:r w:rsidR="008608C0" w:rsidRPr="00CC5E79">
        <w:rPr>
          <w:rFonts w:ascii="Times New Roman" w:hAnsi="Times New Roman"/>
          <w:sz w:val="24"/>
          <w:szCs w:val="24"/>
        </w:rPr>
        <w:t>the extent to which existing practice was consistent with</w:t>
      </w:r>
      <w:r w:rsidR="00BB24C8" w:rsidRPr="00CC5E79">
        <w:rPr>
          <w:rFonts w:ascii="Times New Roman" w:hAnsi="Times New Roman"/>
          <w:sz w:val="24"/>
          <w:szCs w:val="24"/>
        </w:rPr>
        <w:t xml:space="preserve"> the </w:t>
      </w:r>
      <w:r w:rsidR="00E45336" w:rsidRPr="00CC5E79">
        <w:rPr>
          <w:rFonts w:ascii="Times New Roman" w:hAnsi="Times New Roman"/>
          <w:sz w:val="24"/>
          <w:szCs w:val="24"/>
        </w:rPr>
        <w:t xml:space="preserve">section of the </w:t>
      </w:r>
      <w:r w:rsidR="00BB24C8" w:rsidRPr="00CC5E79">
        <w:rPr>
          <w:rFonts w:ascii="Times New Roman" w:hAnsi="Times New Roman"/>
          <w:sz w:val="24"/>
          <w:szCs w:val="24"/>
        </w:rPr>
        <w:t xml:space="preserve">NICE </w:t>
      </w:r>
      <w:r w:rsidR="00493D7A" w:rsidRPr="00CC5E79">
        <w:rPr>
          <w:rFonts w:ascii="Times New Roman" w:hAnsi="Times New Roman"/>
          <w:sz w:val="24"/>
          <w:szCs w:val="24"/>
        </w:rPr>
        <w:t xml:space="preserve">(2012) </w:t>
      </w:r>
      <w:r w:rsidR="00BB24C8" w:rsidRPr="00CC5E79">
        <w:rPr>
          <w:rFonts w:ascii="Times New Roman" w:hAnsi="Times New Roman"/>
          <w:sz w:val="24"/>
          <w:szCs w:val="24"/>
        </w:rPr>
        <w:t>guideline</w:t>
      </w:r>
      <w:r w:rsidRPr="00CC5E79">
        <w:rPr>
          <w:rFonts w:ascii="Times New Roman" w:hAnsi="Times New Roman"/>
          <w:sz w:val="24"/>
          <w:szCs w:val="24"/>
        </w:rPr>
        <w:t xml:space="preserve"> </w:t>
      </w:r>
      <w:r w:rsidR="00E45336" w:rsidRPr="00CC5E79">
        <w:rPr>
          <w:rFonts w:ascii="Times New Roman" w:hAnsi="Times New Roman"/>
          <w:sz w:val="24"/>
          <w:szCs w:val="24"/>
        </w:rPr>
        <w:t>which related to ‘identification</w:t>
      </w:r>
      <w:r w:rsidR="0089640A" w:rsidRPr="00CC5E79">
        <w:rPr>
          <w:rFonts w:ascii="Times New Roman" w:hAnsi="Times New Roman"/>
          <w:sz w:val="24"/>
          <w:szCs w:val="24"/>
        </w:rPr>
        <w:t xml:space="preserve"> and assessment</w:t>
      </w:r>
      <w:r w:rsidR="00E45336" w:rsidRPr="00CC5E79">
        <w:rPr>
          <w:rFonts w:ascii="Times New Roman" w:hAnsi="Times New Roman"/>
          <w:sz w:val="24"/>
          <w:szCs w:val="24"/>
        </w:rPr>
        <w:t xml:space="preserve">’ </w:t>
      </w:r>
      <w:r w:rsidR="0089640A" w:rsidRPr="00CC5E79">
        <w:rPr>
          <w:rFonts w:ascii="Times New Roman" w:hAnsi="Times New Roman"/>
          <w:sz w:val="24"/>
          <w:szCs w:val="24"/>
        </w:rPr>
        <w:t>(section 9.2</w:t>
      </w:r>
      <w:r w:rsidR="00F210C7" w:rsidRPr="00CC5E79">
        <w:rPr>
          <w:rFonts w:ascii="Times New Roman" w:hAnsi="Times New Roman"/>
          <w:sz w:val="24"/>
          <w:szCs w:val="24"/>
        </w:rPr>
        <w:t xml:space="preserve">) </w:t>
      </w:r>
      <w:r w:rsidRPr="00CC5E79">
        <w:rPr>
          <w:rFonts w:ascii="Times New Roman" w:hAnsi="Times New Roman"/>
          <w:sz w:val="24"/>
          <w:szCs w:val="24"/>
        </w:rPr>
        <w:t xml:space="preserve">was collected as part of </w:t>
      </w:r>
      <w:r w:rsidR="00692221" w:rsidRPr="00CC5E79">
        <w:rPr>
          <w:rFonts w:ascii="Times New Roman" w:hAnsi="Times New Roman"/>
          <w:sz w:val="24"/>
          <w:szCs w:val="24"/>
        </w:rPr>
        <w:t>a wider project which utilised</w:t>
      </w:r>
      <w:r w:rsidRPr="00CC5E79">
        <w:rPr>
          <w:rFonts w:ascii="Times New Roman" w:hAnsi="Times New Roman"/>
          <w:sz w:val="24"/>
          <w:szCs w:val="24"/>
        </w:rPr>
        <w:t xml:space="preserve"> d</w:t>
      </w:r>
      <w:r w:rsidR="00685AE4" w:rsidRPr="00CC5E79">
        <w:rPr>
          <w:rFonts w:ascii="Times New Roman" w:hAnsi="Times New Roman"/>
          <w:sz w:val="24"/>
          <w:szCs w:val="24"/>
        </w:rPr>
        <w:t xml:space="preserve">ata collection tools </w:t>
      </w:r>
      <w:r w:rsidRPr="00CC5E79">
        <w:rPr>
          <w:rFonts w:ascii="Times New Roman" w:hAnsi="Times New Roman"/>
          <w:sz w:val="24"/>
          <w:szCs w:val="24"/>
        </w:rPr>
        <w:t xml:space="preserve">which comprised an </w:t>
      </w:r>
      <w:r w:rsidR="00685AE4" w:rsidRPr="00CC5E79">
        <w:rPr>
          <w:rFonts w:ascii="Times New Roman" w:hAnsi="Times New Roman"/>
          <w:sz w:val="24"/>
          <w:szCs w:val="24"/>
        </w:rPr>
        <w:t xml:space="preserve">Individual Data Collection Form and a Service Configuration Tool.  </w:t>
      </w:r>
      <w:r w:rsidRPr="00CC5E79">
        <w:rPr>
          <w:rFonts w:ascii="Times New Roman" w:hAnsi="Times New Roman"/>
          <w:sz w:val="24"/>
          <w:szCs w:val="24"/>
        </w:rPr>
        <w:t xml:space="preserve">These were developed for the </w:t>
      </w:r>
      <w:r w:rsidR="00335E27" w:rsidRPr="00CC5E79">
        <w:rPr>
          <w:rFonts w:ascii="Times New Roman" w:hAnsi="Times New Roman"/>
          <w:sz w:val="24"/>
          <w:szCs w:val="24"/>
        </w:rPr>
        <w:t xml:space="preserve">research </w:t>
      </w:r>
      <w:r w:rsidRPr="00CC5E79">
        <w:rPr>
          <w:rFonts w:ascii="Times New Roman" w:hAnsi="Times New Roman"/>
          <w:sz w:val="24"/>
          <w:szCs w:val="24"/>
        </w:rPr>
        <w:t>and were reviewed by five professionals who we</w:t>
      </w:r>
      <w:r w:rsidR="004429BB" w:rsidRPr="00CC5E79">
        <w:rPr>
          <w:rFonts w:ascii="Times New Roman" w:hAnsi="Times New Roman"/>
          <w:sz w:val="24"/>
          <w:szCs w:val="24"/>
        </w:rPr>
        <w:t>re external to the project team and</w:t>
      </w:r>
      <w:r w:rsidRPr="00CC5E79">
        <w:rPr>
          <w:rFonts w:ascii="Times New Roman" w:hAnsi="Times New Roman"/>
          <w:sz w:val="24"/>
          <w:szCs w:val="24"/>
        </w:rPr>
        <w:t xml:space="preserve"> who had expertise in the assessment and diagnosis of ASD. The tools were also piloted with a number </w:t>
      </w:r>
      <w:r w:rsidRPr="00CC5E79">
        <w:rPr>
          <w:rFonts w:ascii="Times New Roman" w:hAnsi="Times New Roman"/>
          <w:sz w:val="24"/>
          <w:szCs w:val="24"/>
        </w:rPr>
        <w:lastRenderedPageBreak/>
        <w:t>of case notes before being finalised for use in the</w:t>
      </w:r>
      <w:r w:rsidR="00335E27" w:rsidRPr="00CC5E79">
        <w:rPr>
          <w:rFonts w:ascii="Times New Roman" w:hAnsi="Times New Roman"/>
          <w:sz w:val="24"/>
          <w:szCs w:val="24"/>
        </w:rPr>
        <w:t xml:space="preserve"> research</w:t>
      </w:r>
      <w:r w:rsidRPr="00CC5E79">
        <w:rPr>
          <w:rFonts w:ascii="Times New Roman" w:hAnsi="Times New Roman"/>
          <w:sz w:val="24"/>
          <w:szCs w:val="24"/>
        </w:rPr>
        <w:t xml:space="preserve">.  </w:t>
      </w:r>
      <w:r w:rsidR="00D72B4A" w:rsidRPr="00CC5E79">
        <w:rPr>
          <w:rFonts w:ascii="Times New Roman" w:hAnsi="Times New Roman"/>
          <w:sz w:val="24"/>
          <w:szCs w:val="24"/>
        </w:rPr>
        <w:t>Copies are available from the research team.</w:t>
      </w:r>
    </w:p>
    <w:p w:rsidR="00685AE4" w:rsidRPr="00CC5E79" w:rsidRDefault="00A975AA" w:rsidP="0022408A">
      <w:pPr>
        <w:spacing w:after="0" w:line="480" w:lineRule="auto"/>
        <w:ind w:firstLine="720"/>
        <w:jc w:val="both"/>
        <w:rPr>
          <w:rFonts w:ascii="Times New Roman" w:hAnsi="Times New Roman"/>
          <w:sz w:val="24"/>
          <w:szCs w:val="24"/>
        </w:rPr>
      </w:pPr>
      <w:r w:rsidRPr="00CC5E79">
        <w:rPr>
          <w:rFonts w:ascii="Times New Roman" w:hAnsi="Times New Roman"/>
          <w:sz w:val="24"/>
          <w:szCs w:val="24"/>
        </w:rPr>
        <w:t>I</w:t>
      </w:r>
      <w:r w:rsidR="00386F74" w:rsidRPr="00CC5E79">
        <w:rPr>
          <w:rFonts w:ascii="Times New Roman" w:hAnsi="Times New Roman"/>
          <w:sz w:val="24"/>
          <w:szCs w:val="24"/>
        </w:rPr>
        <w:t xml:space="preserve">nformation on </w:t>
      </w:r>
      <w:r w:rsidR="008608C0" w:rsidRPr="00CC5E79">
        <w:rPr>
          <w:rFonts w:ascii="Times New Roman" w:hAnsi="Times New Roman"/>
          <w:sz w:val="24"/>
          <w:szCs w:val="24"/>
        </w:rPr>
        <w:t xml:space="preserve">practice relevant </w:t>
      </w:r>
      <w:r w:rsidR="00386F74" w:rsidRPr="00CC5E79">
        <w:rPr>
          <w:rFonts w:ascii="Times New Roman" w:hAnsi="Times New Roman"/>
          <w:sz w:val="24"/>
          <w:szCs w:val="24"/>
        </w:rPr>
        <w:t xml:space="preserve">to the NICE </w:t>
      </w:r>
      <w:r w:rsidR="00493D7A" w:rsidRPr="00CC5E79">
        <w:rPr>
          <w:rFonts w:ascii="Times New Roman" w:hAnsi="Times New Roman"/>
          <w:sz w:val="24"/>
          <w:szCs w:val="24"/>
        </w:rPr>
        <w:t xml:space="preserve">(2012) </w:t>
      </w:r>
      <w:r w:rsidR="00386F74" w:rsidRPr="00CC5E79">
        <w:rPr>
          <w:rFonts w:ascii="Times New Roman" w:hAnsi="Times New Roman"/>
          <w:sz w:val="24"/>
          <w:szCs w:val="24"/>
        </w:rPr>
        <w:t>guideline w</w:t>
      </w:r>
      <w:r w:rsidRPr="00CC5E79">
        <w:rPr>
          <w:rFonts w:ascii="Times New Roman" w:hAnsi="Times New Roman"/>
          <w:sz w:val="24"/>
          <w:szCs w:val="24"/>
        </w:rPr>
        <w:t>as gathered systematically from the case notes</w:t>
      </w:r>
      <w:r w:rsidR="00A801AF" w:rsidRPr="00CC5E79">
        <w:rPr>
          <w:rFonts w:ascii="Times New Roman" w:hAnsi="Times New Roman"/>
          <w:sz w:val="24"/>
          <w:szCs w:val="24"/>
        </w:rPr>
        <w:t>,</w:t>
      </w:r>
      <w:r w:rsidRPr="00CC5E79">
        <w:rPr>
          <w:rFonts w:ascii="Times New Roman" w:hAnsi="Times New Roman"/>
          <w:sz w:val="24"/>
          <w:szCs w:val="24"/>
        </w:rPr>
        <w:t xml:space="preserve"> </w:t>
      </w:r>
      <w:r w:rsidR="00A801AF" w:rsidRPr="00CC5E79">
        <w:rPr>
          <w:rFonts w:ascii="Times New Roman" w:hAnsi="Times New Roman"/>
          <w:sz w:val="24"/>
          <w:szCs w:val="24"/>
        </w:rPr>
        <w:t xml:space="preserve">using the above measures, </w:t>
      </w:r>
      <w:r w:rsidRPr="00CC5E79">
        <w:rPr>
          <w:rFonts w:ascii="Times New Roman" w:hAnsi="Times New Roman"/>
          <w:sz w:val="24"/>
          <w:szCs w:val="24"/>
        </w:rPr>
        <w:t>by the research team, who were independent of the participating services.</w:t>
      </w:r>
      <w:r w:rsidR="00BB24C8" w:rsidRPr="00CC5E79">
        <w:rPr>
          <w:rFonts w:ascii="Times New Roman" w:hAnsi="Times New Roman"/>
          <w:sz w:val="24"/>
          <w:szCs w:val="24"/>
        </w:rPr>
        <w:t xml:space="preserve"> The recommendations from </w:t>
      </w:r>
      <w:r w:rsidR="005B0CA2" w:rsidRPr="00CC5E79">
        <w:rPr>
          <w:rFonts w:ascii="Times New Roman" w:hAnsi="Times New Roman"/>
          <w:sz w:val="24"/>
          <w:szCs w:val="24"/>
        </w:rPr>
        <w:t>section 9.2</w:t>
      </w:r>
      <w:r w:rsidR="00F210C7" w:rsidRPr="00CC5E79">
        <w:rPr>
          <w:rFonts w:ascii="Times New Roman" w:hAnsi="Times New Roman"/>
          <w:sz w:val="24"/>
          <w:szCs w:val="24"/>
        </w:rPr>
        <w:t xml:space="preserve"> of </w:t>
      </w:r>
      <w:r w:rsidR="00BB24C8" w:rsidRPr="00CC5E79">
        <w:rPr>
          <w:rFonts w:ascii="Times New Roman" w:hAnsi="Times New Roman"/>
          <w:sz w:val="24"/>
          <w:szCs w:val="24"/>
        </w:rPr>
        <w:t>the NICE</w:t>
      </w:r>
      <w:r w:rsidR="007E5263" w:rsidRPr="00CC5E79">
        <w:rPr>
          <w:rFonts w:ascii="Times New Roman" w:hAnsi="Times New Roman"/>
          <w:sz w:val="24"/>
          <w:szCs w:val="24"/>
        </w:rPr>
        <w:t xml:space="preserve"> (</w:t>
      </w:r>
      <w:r w:rsidR="00493D7A" w:rsidRPr="00CC5E79">
        <w:rPr>
          <w:rFonts w:ascii="Times New Roman" w:hAnsi="Times New Roman"/>
          <w:sz w:val="24"/>
          <w:szCs w:val="24"/>
        </w:rPr>
        <w:t>2012</w:t>
      </w:r>
      <w:r w:rsidR="00BB24C8" w:rsidRPr="00CC5E79">
        <w:rPr>
          <w:rFonts w:ascii="Times New Roman" w:hAnsi="Times New Roman"/>
          <w:sz w:val="24"/>
          <w:szCs w:val="24"/>
        </w:rPr>
        <w:t>) guideline</w:t>
      </w:r>
      <w:r w:rsidR="005B0CA2" w:rsidRPr="00CC5E79">
        <w:rPr>
          <w:rFonts w:ascii="Times New Roman" w:hAnsi="Times New Roman"/>
          <w:sz w:val="24"/>
          <w:szCs w:val="24"/>
        </w:rPr>
        <w:t xml:space="preserve"> </w:t>
      </w:r>
      <w:r w:rsidR="00BB24C8" w:rsidRPr="00CC5E79">
        <w:rPr>
          <w:rFonts w:ascii="Times New Roman" w:hAnsi="Times New Roman"/>
          <w:sz w:val="24"/>
          <w:szCs w:val="24"/>
        </w:rPr>
        <w:t>were operationalized as</w:t>
      </w:r>
      <w:r w:rsidR="0089640A" w:rsidRPr="00CC5E79">
        <w:rPr>
          <w:rFonts w:ascii="Times New Roman" w:hAnsi="Times New Roman"/>
          <w:sz w:val="24"/>
          <w:szCs w:val="24"/>
        </w:rPr>
        <w:t xml:space="preserve"> </w:t>
      </w:r>
      <w:r w:rsidR="00BB24C8" w:rsidRPr="00CC5E79">
        <w:rPr>
          <w:rFonts w:ascii="Times New Roman" w:hAnsi="Times New Roman"/>
          <w:sz w:val="24"/>
          <w:szCs w:val="24"/>
        </w:rPr>
        <w:t>short statements which could be coded as ‘Yes’, ‘No’</w:t>
      </w:r>
      <w:r w:rsidR="00E45336" w:rsidRPr="00CC5E79">
        <w:rPr>
          <w:rFonts w:ascii="Times New Roman" w:hAnsi="Times New Roman"/>
          <w:sz w:val="24"/>
          <w:szCs w:val="24"/>
        </w:rPr>
        <w:t xml:space="preserve">, ‘Not applicable’ or ‘Unknown’ </w:t>
      </w:r>
      <w:r w:rsidR="00B704C1" w:rsidRPr="00CC5E79">
        <w:rPr>
          <w:rFonts w:ascii="Times New Roman" w:hAnsi="Times New Roman"/>
          <w:sz w:val="24"/>
          <w:szCs w:val="24"/>
        </w:rPr>
        <w:t xml:space="preserve">(see Table 1). </w:t>
      </w:r>
      <w:r w:rsidR="00CA1A59" w:rsidRPr="00CC5E79">
        <w:rPr>
          <w:rFonts w:ascii="Times New Roman" w:hAnsi="Times New Roman"/>
          <w:sz w:val="24"/>
          <w:szCs w:val="24"/>
        </w:rPr>
        <w:t xml:space="preserve">Recommendations </w:t>
      </w:r>
      <w:r w:rsidR="005F1166" w:rsidRPr="00CC5E79">
        <w:rPr>
          <w:rFonts w:ascii="Times New Roman" w:hAnsi="Times New Roman"/>
          <w:sz w:val="24"/>
          <w:szCs w:val="24"/>
        </w:rPr>
        <w:t xml:space="preserve">were omitted where </w:t>
      </w:r>
      <w:r w:rsidR="00CA1A59" w:rsidRPr="00CC5E79">
        <w:rPr>
          <w:rFonts w:ascii="Times New Roman" w:hAnsi="Times New Roman"/>
          <w:sz w:val="24"/>
          <w:szCs w:val="24"/>
        </w:rPr>
        <w:t xml:space="preserve">it would </w:t>
      </w:r>
      <w:r w:rsidR="005F1166" w:rsidRPr="00CC5E79">
        <w:rPr>
          <w:rFonts w:ascii="Times New Roman" w:hAnsi="Times New Roman"/>
          <w:sz w:val="24"/>
          <w:szCs w:val="24"/>
        </w:rPr>
        <w:t xml:space="preserve"> not </w:t>
      </w:r>
      <w:r w:rsidR="00CA1A59" w:rsidRPr="00CC5E79">
        <w:rPr>
          <w:rFonts w:ascii="Times New Roman" w:hAnsi="Times New Roman"/>
          <w:sz w:val="24"/>
          <w:szCs w:val="24"/>
        </w:rPr>
        <w:t xml:space="preserve">be </w:t>
      </w:r>
      <w:r w:rsidR="005F1166" w:rsidRPr="00CC5E79">
        <w:rPr>
          <w:rFonts w:ascii="Times New Roman" w:hAnsi="Times New Roman"/>
          <w:sz w:val="24"/>
          <w:szCs w:val="24"/>
        </w:rPr>
        <w:t>possible to determine if the guideline would be</w:t>
      </w:r>
      <w:r w:rsidR="00CA1A59" w:rsidRPr="00CC5E79">
        <w:rPr>
          <w:rFonts w:ascii="Times New Roman" w:hAnsi="Times New Roman"/>
          <w:sz w:val="24"/>
          <w:szCs w:val="24"/>
        </w:rPr>
        <w:t xml:space="preserve"> applicable from the information available in</w:t>
      </w:r>
      <w:r w:rsidR="005F1166" w:rsidRPr="00CC5E79">
        <w:rPr>
          <w:rFonts w:ascii="Times New Roman" w:hAnsi="Times New Roman"/>
          <w:sz w:val="24"/>
          <w:szCs w:val="24"/>
        </w:rPr>
        <w:t xml:space="preserve"> the case notes</w:t>
      </w:r>
      <w:r w:rsidR="00CA1A59" w:rsidRPr="00CC5E79">
        <w:rPr>
          <w:rFonts w:ascii="Times New Roman" w:hAnsi="Times New Roman"/>
          <w:sz w:val="24"/>
          <w:szCs w:val="24"/>
        </w:rPr>
        <w:t xml:space="preserve"> e.g. where the clinician was recommended to ‘consider’ a particular course of action</w:t>
      </w:r>
      <w:r w:rsidR="00A9681F" w:rsidRPr="00CC5E79">
        <w:rPr>
          <w:rFonts w:ascii="Times New Roman" w:hAnsi="Times New Roman"/>
          <w:sz w:val="24"/>
          <w:szCs w:val="24"/>
        </w:rPr>
        <w:t xml:space="preserve"> if appropriate</w:t>
      </w:r>
      <w:r w:rsidR="00CA1A59" w:rsidRPr="00CC5E79">
        <w:rPr>
          <w:rFonts w:ascii="Times New Roman" w:hAnsi="Times New Roman"/>
          <w:sz w:val="24"/>
          <w:szCs w:val="24"/>
        </w:rPr>
        <w:t xml:space="preserve">, </w:t>
      </w:r>
      <w:r w:rsidR="00B704C1" w:rsidRPr="00CC5E79">
        <w:rPr>
          <w:rFonts w:ascii="Times New Roman" w:hAnsi="Times New Roman"/>
          <w:sz w:val="24"/>
          <w:szCs w:val="24"/>
        </w:rPr>
        <w:t xml:space="preserve">or where the recommendation would only be applicable to a subgroup of clients, such as those without an intellectual disability. </w:t>
      </w:r>
      <w:r w:rsidR="00CA1A59" w:rsidRPr="00CC5E79">
        <w:rPr>
          <w:rFonts w:ascii="Times New Roman" w:hAnsi="Times New Roman"/>
          <w:sz w:val="24"/>
          <w:szCs w:val="24"/>
        </w:rPr>
        <w:t xml:space="preserve"> </w:t>
      </w:r>
      <w:r w:rsidR="005F1166" w:rsidRPr="00CC5E79">
        <w:rPr>
          <w:rFonts w:ascii="Times New Roman" w:hAnsi="Times New Roman"/>
          <w:sz w:val="24"/>
          <w:szCs w:val="24"/>
        </w:rPr>
        <w:t xml:space="preserve"> </w:t>
      </w:r>
      <w:r w:rsidR="0022408A" w:rsidRPr="00CC5E79">
        <w:rPr>
          <w:rFonts w:ascii="Times New Roman" w:hAnsi="Times New Roman"/>
          <w:sz w:val="24"/>
          <w:szCs w:val="24"/>
        </w:rPr>
        <w:t xml:space="preserve">This resulted in 14 recommendations being included in the analysis. </w:t>
      </w:r>
      <w:r w:rsidR="008608C0" w:rsidRPr="00CC5E79">
        <w:rPr>
          <w:rFonts w:ascii="Times New Roman" w:hAnsi="Times New Roman"/>
          <w:sz w:val="24"/>
          <w:szCs w:val="24"/>
        </w:rPr>
        <w:t xml:space="preserve">‘Recommended practice’ </w:t>
      </w:r>
      <w:r w:rsidR="00BB24C8" w:rsidRPr="00CC5E79">
        <w:rPr>
          <w:rFonts w:ascii="Times New Roman" w:hAnsi="Times New Roman"/>
          <w:sz w:val="24"/>
          <w:szCs w:val="24"/>
        </w:rPr>
        <w:t>was conceptualised as the extent to which the pre-existing routine clinical practice of the service, as reflected within the case</w:t>
      </w:r>
      <w:r w:rsidR="00F210C7" w:rsidRPr="00CC5E79">
        <w:rPr>
          <w:rFonts w:ascii="Times New Roman" w:hAnsi="Times New Roman"/>
          <w:sz w:val="24"/>
          <w:szCs w:val="24"/>
        </w:rPr>
        <w:t xml:space="preserve"> note</w:t>
      </w:r>
      <w:r w:rsidR="005B0CA2" w:rsidRPr="00CC5E79">
        <w:rPr>
          <w:rFonts w:ascii="Times New Roman" w:hAnsi="Times New Roman"/>
          <w:sz w:val="24"/>
          <w:szCs w:val="24"/>
        </w:rPr>
        <w:t>s, was consistent with section 9.2</w:t>
      </w:r>
      <w:r w:rsidR="00F210C7" w:rsidRPr="00CC5E79">
        <w:rPr>
          <w:rFonts w:ascii="Times New Roman" w:hAnsi="Times New Roman"/>
          <w:sz w:val="24"/>
          <w:szCs w:val="24"/>
        </w:rPr>
        <w:t xml:space="preserve"> of the </w:t>
      </w:r>
      <w:r w:rsidR="00BB24C8" w:rsidRPr="00CC5E79">
        <w:rPr>
          <w:rFonts w:ascii="Times New Roman" w:hAnsi="Times New Roman"/>
          <w:sz w:val="24"/>
          <w:szCs w:val="24"/>
        </w:rPr>
        <w:t xml:space="preserve">NICE guideline recommendations. </w:t>
      </w:r>
      <w:r w:rsidR="00091B68" w:rsidRPr="00CC5E79">
        <w:rPr>
          <w:rFonts w:ascii="Times New Roman" w:hAnsi="Times New Roman"/>
          <w:sz w:val="24"/>
          <w:szCs w:val="24"/>
        </w:rPr>
        <w:t xml:space="preserve">In addition, </w:t>
      </w:r>
      <w:r w:rsidR="00AB5E13" w:rsidRPr="00CC5E79">
        <w:rPr>
          <w:rFonts w:ascii="Times New Roman" w:hAnsi="Times New Roman"/>
          <w:sz w:val="24"/>
          <w:szCs w:val="24"/>
        </w:rPr>
        <w:t xml:space="preserve">total wait for diagnosis </w:t>
      </w:r>
      <w:r w:rsidR="00685AE4" w:rsidRPr="00CC5E79">
        <w:rPr>
          <w:rFonts w:ascii="Times New Roman" w:hAnsi="Times New Roman"/>
          <w:sz w:val="24"/>
          <w:szCs w:val="24"/>
        </w:rPr>
        <w:t>from ref</w:t>
      </w:r>
      <w:r w:rsidR="00AB5E13" w:rsidRPr="00CC5E79">
        <w:rPr>
          <w:rFonts w:ascii="Times New Roman" w:hAnsi="Times New Roman"/>
          <w:sz w:val="24"/>
          <w:szCs w:val="24"/>
        </w:rPr>
        <w:t>erral to</w:t>
      </w:r>
      <w:r w:rsidR="00091B68" w:rsidRPr="00CC5E79">
        <w:rPr>
          <w:rFonts w:ascii="Times New Roman" w:hAnsi="Times New Roman"/>
          <w:sz w:val="24"/>
          <w:szCs w:val="24"/>
        </w:rPr>
        <w:t xml:space="preserve"> diagnosis being shared with the individual and/or appropriate other (e.g. parent/carer) was calculated based on dates recorded within the case notes.</w:t>
      </w:r>
      <w:r w:rsidR="00685AE4" w:rsidRPr="00CC5E79">
        <w:rPr>
          <w:rFonts w:ascii="Times New Roman" w:hAnsi="Times New Roman"/>
          <w:sz w:val="24"/>
          <w:szCs w:val="24"/>
        </w:rPr>
        <w:t xml:space="preserve"> </w:t>
      </w:r>
      <w:r w:rsidR="00BB24C8" w:rsidRPr="00CC5E79">
        <w:rPr>
          <w:rFonts w:ascii="Times New Roman" w:hAnsi="Times New Roman"/>
          <w:sz w:val="24"/>
          <w:szCs w:val="24"/>
        </w:rPr>
        <w:t xml:space="preserve">As the data were collected retrospectively during a time period that preceded the publication of the NICE </w:t>
      </w:r>
      <w:r w:rsidR="00493D7A" w:rsidRPr="00CC5E79">
        <w:rPr>
          <w:rFonts w:ascii="Times New Roman" w:hAnsi="Times New Roman"/>
          <w:sz w:val="24"/>
          <w:szCs w:val="24"/>
        </w:rPr>
        <w:t xml:space="preserve">(2012) </w:t>
      </w:r>
      <w:r w:rsidR="00BB24C8" w:rsidRPr="00CC5E79">
        <w:rPr>
          <w:rFonts w:ascii="Times New Roman" w:hAnsi="Times New Roman"/>
          <w:sz w:val="24"/>
          <w:szCs w:val="24"/>
        </w:rPr>
        <w:t xml:space="preserve">guideline, the resulting information reflected </w:t>
      </w:r>
      <w:r w:rsidR="00BF02F2" w:rsidRPr="00CC5E79">
        <w:rPr>
          <w:rFonts w:ascii="Times New Roman" w:hAnsi="Times New Roman"/>
          <w:sz w:val="24"/>
          <w:szCs w:val="24"/>
        </w:rPr>
        <w:t>clinical</w:t>
      </w:r>
      <w:r w:rsidR="00BB24C8" w:rsidRPr="00CC5E79">
        <w:rPr>
          <w:rFonts w:ascii="Times New Roman" w:hAnsi="Times New Roman"/>
          <w:sz w:val="24"/>
          <w:szCs w:val="24"/>
        </w:rPr>
        <w:t xml:space="preserve"> practice and waiting times, prior to formal implementation of the guideline.</w:t>
      </w:r>
    </w:p>
    <w:p w:rsidR="00E009B5" w:rsidRPr="00CC5E79" w:rsidRDefault="00E009B5" w:rsidP="00643549">
      <w:pPr>
        <w:spacing w:after="0" w:line="480" w:lineRule="auto"/>
        <w:jc w:val="both"/>
        <w:rPr>
          <w:rFonts w:ascii="Times New Roman" w:hAnsi="Times New Roman"/>
          <w:sz w:val="24"/>
          <w:szCs w:val="24"/>
        </w:rPr>
      </w:pPr>
    </w:p>
    <w:p w:rsidR="00E45336" w:rsidRPr="00CC5E79" w:rsidRDefault="00E45336" w:rsidP="00643549">
      <w:pPr>
        <w:spacing w:line="480" w:lineRule="auto"/>
        <w:jc w:val="both"/>
        <w:rPr>
          <w:rFonts w:ascii="Times New Roman" w:hAnsi="Times New Roman"/>
          <w:i/>
          <w:sz w:val="24"/>
          <w:szCs w:val="24"/>
        </w:rPr>
      </w:pPr>
      <w:r w:rsidRPr="00CC5E79">
        <w:rPr>
          <w:rFonts w:ascii="Times New Roman" w:hAnsi="Times New Roman"/>
          <w:i/>
          <w:sz w:val="24"/>
          <w:szCs w:val="24"/>
        </w:rPr>
        <w:t>Analysis</w:t>
      </w:r>
    </w:p>
    <w:p w:rsidR="00995D67" w:rsidRPr="00CC5E79" w:rsidRDefault="00E45336" w:rsidP="00F21E89">
      <w:pPr>
        <w:spacing w:after="0" w:line="480" w:lineRule="auto"/>
        <w:jc w:val="both"/>
        <w:rPr>
          <w:rFonts w:ascii="Times New Roman" w:hAnsi="Times New Roman"/>
          <w:sz w:val="24"/>
          <w:szCs w:val="24"/>
        </w:rPr>
      </w:pPr>
      <w:r w:rsidRPr="00CC5E79">
        <w:rPr>
          <w:rFonts w:ascii="Times New Roman" w:hAnsi="Times New Roman"/>
          <w:sz w:val="24"/>
          <w:szCs w:val="24"/>
        </w:rPr>
        <w:t>We tabulat</w:t>
      </w:r>
      <w:r w:rsidR="00607FE2" w:rsidRPr="00CC5E79">
        <w:rPr>
          <w:rFonts w:ascii="Times New Roman" w:hAnsi="Times New Roman"/>
          <w:sz w:val="24"/>
          <w:szCs w:val="24"/>
        </w:rPr>
        <w:t>ed</w:t>
      </w:r>
      <w:r w:rsidRPr="00CC5E79">
        <w:rPr>
          <w:rFonts w:ascii="Times New Roman" w:hAnsi="Times New Roman"/>
          <w:sz w:val="24"/>
          <w:szCs w:val="24"/>
        </w:rPr>
        <w:t xml:space="preserve"> the numbers of individual cases in which each guideline was carried out in practice. </w:t>
      </w:r>
      <w:r w:rsidR="00091B68" w:rsidRPr="00CC5E79">
        <w:rPr>
          <w:rFonts w:ascii="Times New Roman" w:hAnsi="Times New Roman"/>
          <w:sz w:val="24"/>
          <w:szCs w:val="24"/>
        </w:rPr>
        <w:t xml:space="preserve"> We estimated the extent to which clinical practice for a given case reflected the</w:t>
      </w:r>
      <w:r w:rsidR="0089640A" w:rsidRPr="00CC5E79">
        <w:rPr>
          <w:rFonts w:ascii="Times New Roman" w:hAnsi="Times New Roman"/>
          <w:sz w:val="24"/>
          <w:szCs w:val="24"/>
        </w:rPr>
        <w:t>se</w:t>
      </w:r>
      <w:r w:rsidR="00091B68" w:rsidRPr="00CC5E79">
        <w:rPr>
          <w:rFonts w:ascii="Times New Roman" w:hAnsi="Times New Roman"/>
          <w:sz w:val="24"/>
          <w:szCs w:val="24"/>
        </w:rPr>
        <w:t xml:space="preserve"> </w:t>
      </w:r>
      <w:r w:rsidR="0089640A" w:rsidRPr="00CC5E79">
        <w:rPr>
          <w:rFonts w:ascii="Times New Roman" w:hAnsi="Times New Roman"/>
          <w:sz w:val="24"/>
          <w:szCs w:val="24"/>
        </w:rPr>
        <w:t xml:space="preserve">recommendations </w:t>
      </w:r>
      <w:r w:rsidR="00091B68" w:rsidRPr="00CC5E79">
        <w:rPr>
          <w:rFonts w:ascii="Times New Roman" w:hAnsi="Times New Roman"/>
          <w:sz w:val="24"/>
          <w:szCs w:val="24"/>
        </w:rPr>
        <w:t>by creating a sum score across all the items</w:t>
      </w:r>
      <w:r w:rsidR="0029389A" w:rsidRPr="00CC5E79">
        <w:rPr>
          <w:rFonts w:ascii="Times New Roman" w:hAnsi="Times New Roman"/>
          <w:sz w:val="24"/>
          <w:szCs w:val="24"/>
        </w:rPr>
        <w:t>, with a possible minimum score of 0 (no</w:t>
      </w:r>
      <w:r w:rsidR="008608C0" w:rsidRPr="00CC5E79">
        <w:rPr>
          <w:rFonts w:ascii="Times New Roman" w:hAnsi="Times New Roman"/>
          <w:sz w:val="24"/>
          <w:szCs w:val="24"/>
        </w:rPr>
        <w:t xml:space="preserve"> practice consistent with the recommendations</w:t>
      </w:r>
      <w:r w:rsidR="0029389A" w:rsidRPr="00CC5E79">
        <w:rPr>
          <w:rFonts w:ascii="Times New Roman" w:hAnsi="Times New Roman"/>
          <w:sz w:val="24"/>
          <w:szCs w:val="24"/>
        </w:rPr>
        <w:t>) and maximum of 14 (</w:t>
      </w:r>
      <w:r w:rsidR="008608C0" w:rsidRPr="00CC5E79">
        <w:rPr>
          <w:rFonts w:ascii="Times New Roman" w:hAnsi="Times New Roman"/>
          <w:sz w:val="24"/>
          <w:szCs w:val="24"/>
        </w:rPr>
        <w:t xml:space="preserve">all practice </w:t>
      </w:r>
      <w:r w:rsidR="008608C0" w:rsidRPr="00CC5E79">
        <w:rPr>
          <w:rFonts w:ascii="Times New Roman" w:hAnsi="Times New Roman"/>
          <w:sz w:val="24"/>
          <w:szCs w:val="24"/>
        </w:rPr>
        <w:lastRenderedPageBreak/>
        <w:t>consistent with the recommendations</w:t>
      </w:r>
      <w:r w:rsidR="0029389A" w:rsidRPr="00CC5E79">
        <w:rPr>
          <w:rFonts w:ascii="Times New Roman" w:hAnsi="Times New Roman"/>
          <w:sz w:val="24"/>
          <w:szCs w:val="24"/>
        </w:rPr>
        <w:t>)</w:t>
      </w:r>
      <w:r w:rsidR="00091B68" w:rsidRPr="00CC5E79">
        <w:rPr>
          <w:rFonts w:ascii="Times New Roman" w:hAnsi="Times New Roman"/>
          <w:sz w:val="24"/>
          <w:szCs w:val="24"/>
        </w:rPr>
        <w:t xml:space="preserve">. The analyses focussed only on the 14 items that were applicable to all the cases </w:t>
      </w:r>
      <w:r w:rsidR="0089640A" w:rsidRPr="00CC5E79">
        <w:rPr>
          <w:rFonts w:ascii="Times New Roman" w:hAnsi="Times New Roman"/>
          <w:sz w:val="24"/>
          <w:szCs w:val="24"/>
        </w:rPr>
        <w:t>involved in the current study, in order to provide</w:t>
      </w:r>
      <w:r w:rsidR="00091B68" w:rsidRPr="00CC5E79">
        <w:rPr>
          <w:rFonts w:ascii="Times New Roman" w:hAnsi="Times New Roman"/>
          <w:sz w:val="24"/>
          <w:szCs w:val="24"/>
        </w:rPr>
        <w:t xml:space="preserve"> a fair comparison across cases.  Total score</w:t>
      </w:r>
      <w:r w:rsidR="00053674" w:rsidRPr="00CC5E79">
        <w:rPr>
          <w:rFonts w:ascii="Times New Roman" w:hAnsi="Times New Roman"/>
          <w:sz w:val="24"/>
          <w:szCs w:val="24"/>
        </w:rPr>
        <w:t>s were</w:t>
      </w:r>
      <w:r w:rsidR="00091B68" w:rsidRPr="00CC5E79">
        <w:rPr>
          <w:rFonts w:ascii="Times New Roman" w:hAnsi="Times New Roman"/>
          <w:sz w:val="24"/>
          <w:szCs w:val="24"/>
        </w:rPr>
        <w:t xml:space="preserve"> missing for 28 participants for whom data were missing on one or more of the 14 individual items comprising this sum. </w:t>
      </w:r>
      <w:r w:rsidRPr="00CC5E79">
        <w:rPr>
          <w:rFonts w:ascii="Times New Roman" w:hAnsi="Times New Roman"/>
          <w:sz w:val="24"/>
          <w:szCs w:val="24"/>
        </w:rPr>
        <w:t>We evaluated the association between this sum score and the duration of the diagnostic process using all cases</w:t>
      </w:r>
      <w:r w:rsidR="004665A8" w:rsidRPr="00CC5E79">
        <w:rPr>
          <w:rFonts w:ascii="Times New Roman" w:hAnsi="Times New Roman"/>
          <w:sz w:val="24"/>
          <w:szCs w:val="24"/>
        </w:rPr>
        <w:t xml:space="preserve"> irrespective of whether they  had missing recommended practice scores or not and </w:t>
      </w:r>
      <w:r w:rsidRPr="00CC5E79">
        <w:rPr>
          <w:rFonts w:ascii="Times New Roman" w:hAnsi="Times New Roman"/>
          <w:sz w:val="24"/>
          <w:szCs w:val="24"/>
        </w:rPr>
        <w:t xml:space="preserve"> deal</w:t>
      </w:r>
      <w:r w:rsidR="004665A8" w:rsidRPr="00CC5E79">
        <w:rPr>
          <w:rFonts w:ascii="Times New Roman" w:hAnsi="Times New Roman"/>
          <w:sz w:val="24"/>
          <w:szCs w:val="24"/>
        </w:rPr>
        <w:t>t</w:t>
      </w:r>
      <w:r w:rsidRPr="00CC5E79">
        <w:rPr>
          <w:rFonts w:ascii="Times New Roman" w:hAnsi="Times New Roman"/>
          <w:sz w:val="24"/>
          <w:szCs w:val="24"/>
        </w:rPr>
        <w:t xml:space="preserve"> with missing data using maximum likelihood </w:t>
      </w:r>
      <w:r w:rsidR="007D50F7" w:rsidRPr="00CC5E79">
        <w:rPr>
          <w:rFonts w:ascii="Times New Roman" w:hAnsi="Times New Roman"/>
          <w:sz w:val="24"/>
          <w:szCs w:val="24"/>
        </w:rPr>
        <w:t xml:space="preserve">(ML) </w:t>
      </w:r>
      <w:r w:rsidRPr="00CC5E79">
        <w:rPr>
          <w:rFonts w:ascii="Times New Roman" w:hAnsi="Times New Roman"/>
          <w:sz w:val="24"/>
          <w:szCs w:val="24"/>
        </w:rPr>
        <w:t xml:space="preserve">estimation. </w:t>
      </w:r>
      <w:r w:rsidR="002A1A38" w:rsidRPr="00CC5E79">
        <w:rPr>
          <w:rFonts w:ascii="Times New Roman" w:hAnsi="Times New Roman"/>
          <w:sz w:val="24"/>
          <w:szCs w:val="24"/>
        </w:rPr>
        <w:t xml:space="preserve">A limitation of </w:t>
      </w:r>
      <w:r w:rsidR="007D50F7" w:rsidRPr="00CC5E79">
        <w:rPr>
          <w:rFonts w:ascii="Times New Roman" w:hAnsi="Times New Roman"/>
          <w:sz w:val="24"/>
          <w:szCs w:val="24"/>
        </w:rPr>
        <w:t xml:space="preserve">using ML estimation to deal with </w:t>
      </w:r>
      <w:proofErr w:type="spellStart"/>
      <w:r w:rsidR="007D50F7" w:rsidRPr="00CC5E79">
        <w:rPr>
          <w:rFonts w:ascii="Times New Roman" w:hAnsi="Times New Roman"/>
          <w:sz w:val="24"/>
          <w:szCs w:val="24"/>
        </w:rPr>
        <w:t>missingness</w:t>
      </w:r>
      <w:proofErr w:type="spellEnd"/>
      <w:r w:rsidR="007D50F7" w:rsidRPr="00CC5E79">
        <w:rPr>
          <w:rFonts w:ascii="Times New Roman" w:hAnsi="Times New Roman"/>
          <w:sz w:val="24"/>
          <w:szCs w:val="24"/>
        </w:rPr>
        <w:t xml:space="preserve"> is that it </w:t>
      </w:r>
      <w:r w:rsidR="002A1A38" w:rsidRPr="00CC5E79">
        <w:rPr>
          <w:rFonts w:ascii="Times New Roman" w:hAnsi="Times New Roman"/>
          <w:sz w:val="24"/>
          <w:szCs w:val="24"/>
        </w:rPr>
        <w:t xml:space="preserve">is assumes that data are missing at random (MAR). </w:t>
      </w:r>
      <w:r w:rsidR="00972114" w:rsidRPr="00CC5E79">
        <w:rPr>
          <w:rFonts w:ascii="Times New Roman" w:hAnsi="Times New Roman"/>
          <w:sz w:val="24"/>
          <w:szCs w:val="24"/>
        </w:rPr>
        <w:t xml:space="preserve">The </w:t>
      </w:r>
      <w:r w:rsidR="002A1A38" w:rsidRPr="00CC5E79">
        <w:rPr>
          <w:rFonts w:ascii="Times New Roman" w:hAnsi="Times New Roman"/>
          <w:sz w:val="24"/>
          <w:szCs w:val="24"/>
        </w:rPr>
        <w:t xml:space="preserve">MAR </w:t>
      </w:r>
      <w:r w:rsidR="00972114" w:rsidRPr="00CC5E79">
        <w:rPr>
          <w:rFonts w:ascii="Times New Roman" w:hAnsi="Times New Roman"/>
          <w:sz w:val="24"/>
          <w:szCs w:val="24"/>
        </w:rPr>
        <w:t xml:space="preserve">assumption </w:t>
      </w:r>
      <w:r w:rsidR="002A1A38" w:rsidRPr="00CC5E79">
        <w:rPr>
          <w:rFonts w:ascii="Times New Roman" w:hAnsi="Times New Roman"/>
          <w:sz w:val="24"/>
          <w:szCs w:val="24"/>
        </w:rPr>
        <w:t>was not empirically testable and may not hold e.g. if lo</w:t>
      </w:r>
      <w:r w:rsidR="007675E7" w:rsidRPr="00CC5E79">
        <w:rPr>
          <w:rFonts w:ascii="Times New Roman" w:hAnsi="Times New Roman"/>
          <w:sz w:val="24"/>
          <w:szCs w:val="24"/>
        </w:rPr>
        <w:t xml:space="preserve">w </w:t>
      </w:r>
      <w:r w:rsidR="002A1A38" w:rsidRPr="00CC5E79">
        <w:rPr>
          <w:rFonts w:ascii="Times New Roman" w:hAnsi="Times New Roman"/>
          <w:sz w:val="24"/>
          <w:szCs w:val="24"/>
        </w:rPr>
        <w:t xml:space="preserve">recommended practice scores were more likely to be missing because these same cases were also documented with less care. If MAR does not hold, parameter estimates may be biased. </w:t>
      </w:r>
      <w:r w:rsidRPr="00CC5E79">
        <w:rPr>
          <w:rFonts w:ascii="Times New Roman" w:hAnsi="Times New Roman"/>
          <w:sz w:val="24"/>
          <w:szCs w:val="24"/>
        </w:rPr>
        <w:t xml:space="preserve">Duration of diagnostic process was estimated as the time (in days) between an individual being referred and an individual being told of their diagnosis. Both the wait times and diagnostic durations variable exhibited substantial non-normality and were skewed in the opposite directions. </w:t>
      </w:r>
      <w:r w:rsidR="00607FE2" w:rsidRPr="00CC5E79">
        <w:rPr>
          <w:rFonts w:ascii="Times New Roman" w:hAnsi="Times New Roman"/>
          <w:sz w:val="24"/>
          <w:szCs w:val="24"/>
        </w:rPr>
        <w:t xml:space="preserve">We, therefore, </w:t>
      </w:r>
      <w:r w:rsidRPr="00CC5E79">
        <w:rPr>
          <w:rFonts w:ascii="Times New Roman" w:hAnsi="Times New Roman"/>
          <w:sz w:val="24"/>
          <w:szCs w:val="24"/>
        </w:rPr>
        <w:t xml:space="preserve">transformed both to normality using a </w:t>
      </w:r>
      <w:proofErr w:type="spellStart"/>
      <w:r w:rsidRPr="00CC5E79">
        <w:rPr>
          <w:rFonts w:ascii="Times New Roman" w:hAnsi="Times New Roman"/>
          <w:sz w:val="24"/>
          <w:szCs w:val="24"/>
        </w:rPr>
        <w:t>rankit</w:t>
      </w:r>
      <w:proofErr w:type="spellEnd"/>
      <w:r w:rsidRPr="00CC5E79">
        <w:rPr>
          <w:rFonts w:ascii="Times New Roman" w:hAnsi="Times New Roman"/>
          <w:sz w:val="24"/>
          <w:szCs w:val="24"/>
        </w:rPr>
        <w:t xml:space="preserve"> inverse normal transformation prior to analysis</w:t>
      </w:r>
      <w:r w:rsidR="007675E7" w:rsidRPr="00CC5E79">
        <w:rPr>
          <w:rFonts w:ascii="Times New Roman" w:hAnsi="Times New Roman"/>
          <w:sz w:val="24"/>
          <w:szCs w:val="24"/>
        </w:rPr>
        <w:t xml:space="preserve"> (e.g. see </w:t>
      </w:r>
      <w:proofErr w:type="spellStart"/>
      <w:r w:rsidR="007675E7" w:rsidRPr="00CC5E79">
        <w:rPr>
          <w:rFonts w:ascii="Times New Roman" w:hAnsi="Times New Roman"/>
          <w:sz w:val="24"/>
          <w:szCs w:val="24"/>
        </w:rPr>
        <w:t>Bishara</w:t>
      </w:r>
      <w:proofErr w:type="spellEnd"/>
      <w:r w:rsidR="007675E7" w:rsidRPr="00CC5E79">
        <w:rPr>
          <w:rFonts w:ascii="Times New Roman" w:hAnsi="Times New Roman"/>
          <w:sz w:val="24"/>
          <w:szCs w:val="24"/>
        </w:rPr>
        <w:t xml:space="preserve"> &amp; </w:t>
      </w:r>
      <w:proofErr w:type="spellStart"/>
      <w:r w:rsidR="007675E7" w:rsidRPr="00CC5E79">
        <w:rPr>
          <w:rFonts w:ascii="Times New Roman" w:hAnsi="Times New Roman"/>
          <w:sz w:val="24"/>
          <w:szCs w:val="24"/>
        </w:rPr>
        <w:t>Hittner</w:t>
      </w:r>
      <w:proofErr w:type="spellEnd"/>
      <w:r w:rsidR="007675E7" w:rsidRPr="00CC5E79">
        <w:rPr>
          <w:rFonts w:ascii="Times New Roman" w:hAnsi="Times New Roman"/>
          <w:sz w:val="24"/>
          <w:szCs w:val="24"/>
        </w:rPr>
        <w:t>, 2012)</w:t>
      </w:r>
      <w:r w:rsidR="00692221" w:rsidRPr="00CC5E79">
        <w:rPr>
          <w:rFonts w:ascii="Times New Roman" w:hAnsi="Times New Roman"/>
          <w:sz w:val="24"/>
          <w:szCs w:val="24"/>
        </w:rPr>
        <w:t xml:space="preserve">. </w:t>
      </w:r>
      <w:r w:rsidRPr="00CC5E79">
        <w:rPr>
          <w:rFonts w:ascii="Times New Roman" w:hAnsi="Times New Roman"/>
          <w:sz w:val="24"/>
          <w:szCs w:val="24"/>
        </w:rPr>
        <w:t xml:space="preserve">We then computed the Pearson’s correlation between the </w:t>
      </w:r>
      <w:r w:rsidR="00BB33DA" w:rsidRPr="00CC5E79">
        <w:rPr>
          <w:rFonts w:ascii="Times New Roman" w:hAnsi="Times New Roman"/>
          <w:sz w:val="24"/>
          <w:szCs w:val="24"/>
        </w:rPr>
        <w:t>‘</w:t>
      </w:r>
      <w:r w:rsidR="002E0F7B" w:rsidRPr="00CC5E79">
        <w:rPr>
          <w:rFonts w:ascii="Times New Roman" w:hAnsi="Times New Roman"/>
          <w:sz w:val="24"/>
          <w:szCs w:val="24"/>
        </w:rPr>
        <w:t>recommended</w:t>
      </w:r>
      <w:r w:rsidR="00BB33DA" w:rsidRPr="00CC5E79">
        <w:rPr>
          <w:rFonts w:ascii="Times New Roman" w:hAnsi="Times New Roman"/>
          <w:sz w:val="24"/>
          <w:szCs w:val="24"/>
        </w:rPr>
        <w:t xml:space="preserve"> </w:t>
      </w:r>
      <w:r w:rsidRPr="00CC5E79">
        <w:rPr>
          <w:rFonts w:ascii="Times New Roman" w:hAnsi="Times New Roman"/>
          <w:sz w:val="24"/>
          <w:szCs w:val="24"/>
        </w:rPr>
        <w:t>practice</w:t>
      </w:r>
      <w:r w:rsidR="00BB33DA" w:rsidRPr="00CC5E79">
        <w:rPr>
          <w:rFonts w:ascii="Times New Roman" w:hAnsi="Times New Roman"/>
          <w:sz w:val="24"/>
          <w:szCs w:val="24"/>
        </w:rPr>
        <w:t>’</w:t>
      </w:r>
      <w:r w:rsidRPr="00CC5E79">
        <w:rPr>
          <w:rFonts w:ascii="Times New Roman" w:hAnsi="Times New Roman"/>
          <w:sz w:val="24"/>
          <w:szCs w:val="24"/>
        </w:rPr>
        <w:t xml:space="preserve"> variable and the total duration of the diagnostic process. </w:t>
      </w:r>
    </w:p>
    <w:p w:rsidR="008824BB" w:rsidRPr="00CC5E79" w:rsidRDefault="008824BB" w:rsidP="00643549">
      <w:pPr>
        <w:spacing w:after="0" w:line="480" w:lineRule="auto"/>
        <w:jc w:val="both"/>
        <w:rPr>
          <w:rFonts w:ascii="Times New Roman" w:hAnsi="Times New Roman"/>
          <w:b/>
          <w:sz w:val="24"/>
          <w:szCs w:val="24"/>
        </w:rPr>
      </w:pPr>
    </w:p>
    <w:p w:rsidR="00AB5E13" w:rsidRPr="00CC5E79" w:rsidRDefault="00AB5E13" w:rsidP="007518AA">
      <w:pPr>
        <w:spacing w:after="0" w:line="480" w:lineRule="auto"/>
        <w:rPr>
          <w:rFonts w:ascii="Times New Roman" w:hAnsi="Times New Roman"/>
          <w:b/>
          <w:sz w:val="24"/>
          <w:szCs w:val="24"/>
        </w:rPr>
      </w:pPr>
      <w:r w:rsidRPr="00CC5E79">
        <w:rPr>
          <w:rFonts w:ascii="Times New Roman" w:hAnsi="Times New Roman"/>
          <w:b/>
          <w:sz w:val="24"/>
          <w:szCs w:val="24"/>
        </w:rPr>
        <w:t>Results</w:t>
      </w:r>
    </w:p>
    <w:p w:rsidR="00210E72" w:rsidRPr="00CC5E79" w:rsidRDefault="00887ABF" w:rsidP="00643549">
      <w:pPr>
        <w:spacing w:after="0" w:line="480" w:lineRule="auto"/>
        <w:contextualSpacing/>
        <w:jc w:val="both"/>
        <w:rPr>
          <w:rFonts w:ascii="Times New Roman" w:eastAsia="Times New Roman" w:hAnsi="Times New Roman"/>
          <w:i/>
          <w:sz w:val="24"/>
          <w:szCs w:val="24"/>
          <w:lang w:eastAsia="en-GB"/>
        </w:rPr>
      </w:pPr>
      <w:r w:rsidRPr="00CC5E79">
        <w:rPr>
          <w:rFonts w:ascii="Times New Roman" w:eastAsia="Times New Roman" w:hAnsi="Times New Roman"/>
          <w:i/>
          <w:sz w:val="24"/>
          <w:szCs w:val="24"/>
          <w:lang w:eastAsia="en-GB"/>
        </w:rPr>
        <w:t>Recommended practice</w:t>
      </w:r>
      <w:r w:rsidR="00210E72" w:rsidRPr="00CC5E79">
        <w:rPr>
          <w:rFonts w:ascii="Times New Roman" w:eastAsia="Times New Roman" w:hAnsi="Times New Roman"/>
          <w:i/>
          <w:sz w:val="24"/>
          <w:szCs w:val="24"/>
          <w:lang w:eastAsia="en-GB"/>
        </w:rPr>
        <w:t xml:space="preserve"> </w:t>
      </w:r>
    </w:p>
    <w:p w:rsidR="00C12633" w:rsidRPr="00CC5E79" w:rsidRDefault="00691E9F" w:rsidP="00210E72">
      <w:pPr>
        <w:spacing w:line="480" w:lineRule="auto"/>
        <w:jc w:val="both"/>
        <w:rPr>
          <w:rFonts w:ascii="Times New Roman" w:hAnsi="Times New Roman"/>
          <w:sz w:val="24"/>
          <w:szCs w:val="24"/>
        </w:rPr>
      </w:pPr>
      <w:r w:rsidRPr="00CC5E79">
        <w:rPr>
          <w:rFonts w:ascii="Times New Roman" w:hAnsi="Times New Roman"/>
          <w:sz w:val="24"/>
          <w:szCs w:val="24"/>
        </w:rPr>
        <w:t>The extent</w:t>
      </w:r>
      <w:r w:rsidR="005C7C88" w:rsidRPr="00CC5E79">
        <w:rPr>
          <w:rFonts w:ascii="Times New Roman" w:hAnsi="Times New Roman"/>
          <w:sz w:val="24"/>
          <w:szCs w:val="24"/>
        </w:rPr>
        <w:t xml:space="preserve"> to which </w:t>
      </w:r>
      <w:r w:rsidR="00E8568E" w:rsidRPr="00CC5E79">
        <w:rPr>
          <w:rFonts w:ascii="Times New Roman" w:hAnsi="Times New Roman"/>
          <w:sz w:val="24"/>
          <w:szCs w:val="24"/>
        </w:rPr>
        <w:t xml:space="preserve">the </w:t>
      </w:r>
      <w:r w:rsidR="005C7C88" w:rsidRPr="00CC5E79">
        <w:rPr>
          <w:rFonts w:ascii="Times New Roman" w:hAnsi="Times New Roman"/>
          <w:sz w:val="24"/>
          <w:szCs w:val="24"/>
        </w:rPr>
        <w:t xml:space="preserve">different </w:t>
      </w:r>
      <w:r w:rsidR="00E8568E" w:rsidRPr="00CC5E79">
        <w:rPr>
          <w:rFonts w:ascii="Times New Roman" w:hAnsi="Times New Roman"/>
          <w:sz w:val="24"/>
          <w:szCs w:val="24"/>
        </w:rPr>
        <w:t>section 9.2 NICE 142 guideline recommendations</w:t>
      </w:r>
      <w:r w:rsidR="005C7C88" w:rsidRPr="00CC5E79">
        <w:rPr>
          <w:rFonts w:ascii="Times New Roman" w:hAnsi="Times New Roman"/>
          <w:sz w:val="24"/>
          <w:szCs w:val="24"/>
        </w:rPr>
        <w:t xml:space="preserve"> were applicable</w:t>
      </w:r>
      <w:r w:rsidR="00122C13" w:rsidRPr="00CC5E79">
        <w:rPr>
          <w:rFonts w:ascii="Times New Roman" w:hAnsi="Times New Roman"/>
          <w:sz w:val="24"/>
          <w:szCs w:val="24"/>
        </w:rPr>
        <w:t xml:space="preserve"> </w:t>
      </w:r>
      <w:r w:rsidR="005C7C88" w:rsidRPr="00CC5E79">
        <w:rPr>
          <w:rFonts w:ascii="Times New Roman" w:hAnsi="Times New Roman"/>
          <w:sz w:val="24"/>
          <w:szCs w:val="24"/>
        </w:rPr>
        <w:t xml:space="preserve">and applied to clinical cases in practice are provided in Table 1. </w:t>
      </w:r>
      <w:r w:rsidR="00643549" w:rsidRPr="00CC5E79">
        <w:rPr>
          <w:rFonts w:ascii="Times New Roman" w:hAnsi="Times New Roman"/>
          <w:sz w:val="24"/>
          <w:szCs w:val="24"/>
        </w:rPr>
        <w:t xml:space="preserve">Table 2 provides the descriptive statistics for the transformed and untransformed data for </w:t>
      </w:r>
      <w:r w:rsidR="00887ABF" w:rsidRPr="00CC5E79">
        <w:rPr>
          <w:rFonts w:ascii="Times New Roman" w:hAnsi="Times New Roman"/>
          <w:sz w:val="24"/>
          <w:szCs w:val="24"/>
        </w:rPr>
        <w:t xml:space="preserve">‘recommended practice’ </w:t>
      </w:r>
      <w:r w:rsidR="00643549" w:rsidRPr="00CC5E79">
        <w:rPr>
          <w:rFonts w:ascii="Times New Roman" w:hAnsi="Times New Roman"/>
          <w:sz w:val="24"/>
          <w:szCs w:val="24"/>
        </w:rPr>
        <w:t xml:space="preserve">and waiting time. </w:t>
      </w:r>
      <w:r w:rsidR="0029389A" w:rsidRPr="00CC5E79">
        <w:rPr>
          <w:rFonts w:ascii="Times New Roman" w:hAnsi="Times New Roman"/>
          <w:sz w:val="24"/>
          <w:szCs w:val="24"/>
        </w:rPr>
        <w:t xml:space="preserve">The mean </w:t>
      </w:r>
      <w:r w:rsidR="00887ABF" w:rsidRPr="00CC5E79">
        <w:rPr>
          <w:rFonts w:ascii="Times New Roman" w:hAnsi="Times New Roman"/>
          <w:sz w:val="24"/>
          <w:szCs w:val="24"/>
        </w:rPr>
        <w:t xml:space="preserve">score for ‘recommended practice’ </w:t>
      </w:r>
      <w:r w:rsidR="0029389A" w:rsidRPr="00CC5E79">
        <w:rPr>
          <w:rFonts w:ascii="Times New Roman" w:hAnsi="Times New Roman"/>
          <w:sz w:val="24"/>
          <w:szCs w:val="24"/>
        </w:rPr>
        <w:t xml:space="preserve">across participants was 11.9 (SD = 1.4). </w:t>
      </w:r>
      <w:r w:rsidR="005C7C88" w:rsidRPr="00CC5E79">
        <w:rPr>
          <w:rFonts w:ascii="Times New Roman" w:hAnsi="Times New Roman"/>
          <w:sz w:val="24"/>
          <w:szCs w:val="24"/>
        </w:rPr>
        <w:t xml:space="preserve">The correlation between the raw (untransformed) </w:t>
      </w:r>
      <w:r w:rsidR="00887ABF" w:rsidRPr="00CC5E79">
        <w:rPr>
          <w:rFonts w:ascii="Times New Roman" w:hAnsi="Times New Roman"/>
          <w:sz w:val="24"/>
          <w:szCs w:val="24"/>
        </w:rPr>
        <w:t xml:space="preserve">scores </w:t>
      </w:r>
      <w:r w:rsidR="005C7C88" w:rsidRPr="00CC5E79">
        <w:rPr>
          <w:rFonts w:ascii="Times New Roman" w:hAnsi="Times New Roman"/>
          <w:sz w:val="24"/>
          <w:szCs w:val="24"/>
        </w:rPr>
        <w:t xml:space="preserve">and wait times variables </w:t>
      </w:r>
      <w:r w:rsidR="005C7C88" w:rsidRPr="00CC5E79">
        <w:rPr>
          <w:rFonts w:ascii="Times New Roman" w:hAnsi="Times New Roman"/>
          <w:sz w:val="24"/>
          <w:szCs w:val="24"/>
        </w:rPr>
        <w:lastRenderedPageBreak/>
        <w:t xml:space="preserve">suggested that there was no significant association between the extent to which clinical practice for a given case reflected the </w:t>
      </w:r>
      <w:r w:rsidR="00E8568E" w:rsidRPr="00CC5E79">
        <w:rPr>
          <w:rFonts w:ascii="Times New Roman" w:hAnsi="Times New Roman"/>
          <w:sz w:val="24"/>
          <w:szCs w:val="24"/>
        </w:rPr>
        <w:t xml:space="preserve">recommendations </w:t>
      </w:r>
      <w:r w:rsidR="005C7C88" w:rsidRPr="00CC5E79">
        <w:rPr>
          <w:rFonts w:ascii="Times New Roman" w:hAnsi="Times New Roman"/>
          <w:sz w:val="24"/>
          <w:szCs w:val="24"/>
        </w:rPr>
        <w:t>and the duration of the diagnostic process for that individual (</w:t>
      </w:r>
      <w:r w:rsidR="005C7C88" w:rsidRPr="00CC5E79">
        <w:rPr>
          <w:rFonts w:ascii="Times New Roman" w:hAnsi="Times New Roman"/>
          <w:i/>
          <w:sz w:val="24"/>
          <w:szCs w:val="24"/>
        </w:rPr>
        <w:t>r</w:t>
      </w:r>
      <w:r w:rsidR="00643549" w:rsidRPr="00CC5E79">
        <w:rPr>
          <w:rFonts w:ascii="Times New Roman" w:hAnsi="Times New Roman"/>
          <w:i/>
          <w:sz w:val="24"/>
          <w:szCs w:val="24"/>
        </w:rPr>
        <w:t xml:space="preserve"> </w:t>
      </w:r>
      <w:r w:rsidR="005C7C88" w:rsidRPr="00CC5E79">
        <w:rPr>
          <w:rFonts w:ascii="Times New Roman" w:hAnsi="Times New Roman"/>
          <w:sz w:val="24"/>
          <w:szCs w:val="24"/>
        </w:rPr>
        <w:t xml:space="preserve">=-.10, </w:t>
      </w:r>
      <w:r w:rsidR="005C7C88" w:rsidRPr="00CC5E79">
        <w:rPr>
          <w:rFonts w:ascii="Times New Roman" w:hAnsi="Times New Roman"/>
          <w:i/>
          <w:sz w:val="24"/>
          <w:szCs w:val="24"/>
        </w:rPr>
        <w:t>p</w:t>
      </w:r>
      <w:r w:rsidR="00643549" w:rsidRPr="00CC5E79">
        <w:rPr>
          <w:rFonts w:ascii="Times New Roman" w:hAnsi="Times New Roman"/>
          <w:i/>
          <w:sz w:val="24"/>
          <w:szCs w:val="24"/>
        </w:rPr>
        <w:t xml:space="preserve"> </w:t>
      </w:r>
      <w:r w:rsidR="005C7C88" w:rsidRPr="00CC5E79">
        <w:rPr>
          <w:rFonts w:ascii="Times New Roman" w:hAnsi="Times New Roman"/>
          <w:sz w:val="24"/>
          <w:szCs w:val="24"/>
        </w:rPr>
        <w:t>=</w:t>
      </w:r>
      <w:r w:rsidR="00643549" w:rsidRPr="00CC5E79">
        <w:rPr>
          <w:rFonts w:ascii="Times New Roman" w:hAnsi="Times New Roman"/>
          <w:sz w:val="24"/>
          <w:szCs w:val="24"/>
        </w:rPr>
        <w:t xml:space="preserve"> </w:t>
      </w:r>
      <w:r w:rsidR="005C7C88" w:rsidRPr="00CC5E79">
        <w:rPr>
          <w:rFonts w:ascii="Times New Roman" w:hAnsi="Times New Roman"/>
          <w:sz w:val="24"/>
          <w:szCs w:val="24"/>
        </w:rPr>
        <w:t>.50) . The correlation between the two variables transformed to normality was also small and non-significant (</w:t>
      </w:r>
      <w:r w:rsidR="005C7C88" w:rsidRPr="00CC5E79">
        <w:rPr>
          <w:rFonts w:ascii="Times New Roman" w:hAnsi="Times New Roman"/>
          <w:i/>
          <w:sz w:val="24"/>
          <w:szCs w:val="24"/>
        </w:rPr>
        <w:t>r</w:t>
      </w:r>
      <w:r w:rsidR="00643549" w:rsidRPr="00CC5E79">
        <w:rPr>
          <w:rFonts w:ascii="Times New Roman" w:hAnsi="Times New Roman"/>
          <w:i/>
          <w:sz w:val="24"/>
          <w:szCs w:val="24"/>
        </w:rPr>
        <w:t xml:space="preserve"> </w:t>
      </w:r>
      <w:r w:rsidR="005C7C88" w:rsidRPr="00CC5E79">
        <w:rPr>
          <w:rFonts w:ascii="Times New Roman" w:hAnsi="Times New Roman"/>
          <w:sz w:val="24"/>
          <w:szCs w:val="24"/>
        </w:rPr>
        <w:t>=</w:t>
      </w:r>
      <w:r w:rsidR="00643549" w:rsidRPr="00CC5E79">
        <w:rPr>
          <w:rFonts w:ascii="Times New Roman" w:hAnsi="Times New Roman"/>
          <w:sz w:val="24"/>
          <w:szCs w:val="24"/>
        </w:rPr>
        <w:t xml:space="preserve"> </w:t>
      </w:r>
      <w:r w:rsidR="005C7C88" w:rsidRPr="00CC5E79">
        <w:rPr>
          <w:rFonts w:ascii="Times New Roman" w:hAnsi="Times New Roman"/>
          <w:sz w:val="24"/>
          <w:szCs w:val="24"/>
        </w:rPr>
        <w:t xml:space="preserve">-.08, </w:t>
      </w:r>
      <w:r w:rsidR="005C7C88" w:rsidRPr="00CC5E79">
        <w:rPr>
          <w:rFonts w:ascii="Times New Roman" w:hAnsi="Times New Roman"/>
          <w:i/>
          <w:sz w:val="24"/>
          <w:szCs w:val="24"/>
        </w:rPr>
        <w:t>p</w:t>
      </w:r>
      <w:r w:rsidR="00643549" w:rsidRPr="00CC5E79">
        <w:rPr>
          <w:rFonts w:ascii="Times New Roman" w:hAnsi="Times New Roman"/>
          <w:i/>
          <w:sz w:val="24"/>
          <w:szCs w:val="24"/>
        </w:rPr>
        <w:t xml:space="preserve"> </w:t>
      </w:r>
      <w:r w:rsidR="005C7C88" w:rsidRPr="00CC5E79">
        <w:rPr>
          <w:rFonts w:ascii="Times New Roman" w:hAnsi="Times New Roman"/>
          <w:sz w:val="24"/>
          <w:szCs w:val="24"/>
        </w:rPr>
        <w:t>=</w:t>
      </w:r>
      <w:r w:rsidR="00643549" w:rsidRPr="00CC5E79">
        <w:rPr>
          <w:rFonts w:ascii="Times New Roman" w:hAnsi="Times New Roman"/>
          <w:sz w:val="24"/>
          <w:szCs w:val="24"/>
        </w:rPr>
        <w:t xml:space="preserve"> </w:t>
      </w:r>
      <w:r w:rsidR="005C7C88" w:rsidRPr="00CC5E79">
        <w:rPr>
          <w:rFonts w:ascii="Times New Roman" w:hAnsi="Times New Roman"/>
          <w:sz w:val="24"/>
          <w:szCs w:val="24"/>
        </w:rPr>
        <w:t xml:space="preserve">.58). As clustering only inflates statistical significance, we did not proceed to correct standard errors for clustering by services. </w:t>
      </w:r>
    </w:p>
    <w:p w:rsidR="00643549" w:rsidRPr="00CC5E79" w:rsidRDefault="00210E72" w:rsidP="002604FF">
      <w:pPr>
        <w:spacing w:line="480" w:lineRule="auto"/>
        <w:jc w:val="center"/>
        <w:rPr>
          <w:rFonts w:ascii="Times New Roman" w:hAnsi="Times New Roman"/>
          <w:sz w:val="24"/>
          <w:szCs w:val="24"/>
        </w:rPr>
      </w:pPr>
      <w:r w:rsidRPr="00CC5E79">
        <w:rPr>
          <w:rFonts w:ascii="Times New Roman" w:hAnsi="Times New Roman"/>
          <w:sz w:val="24"/>
          <w:szCs w:val="24"/>
        </w:rPr>
        <w:t xml:space="preserve"> </w:t>
      </w:r>
      <w:r w:rsidR="002604FF" w:rsidRPr="00CC5E79">
        <w:rPr>
          <w:rFonts w:ascii="Times New Roman" w:hAnsi="Times New Roman"/>
          <w:sz w:val="24"/>
          <w:szCs w:val="24"/>
        </w:rPr>
        <w:t>[</w:t>
      </w:r>
      <w:r w:rsidR="00643549" w:rsidRPr="00CC5E79">
        <w:rPr>
          <w:rFonts w:ascii="Times New Roman" w:hAnsi="Times New Roman"/>
          <w:sz w:val="24"/>
          <w:szCs w:val="24"/>
        </w:rPr>
        <w:t>Insert table 1 about here</w:t>
      </w:r>
      <w:r w:rsidR="002604FF" w:rsidRPr="00CC5E79">
        <w:rPr>
          <w:rFonts w:ascii="Times New Roman" w:hAnsi="Times New Roman"/>
          <w:sz w:val="24"/>
          <w:szCs w:val="24"/>
        </w:rPr>
        <w:t>]</w:t>
      </w:r>
    </w:p>
    <w:p w:rsidR="002604FF" w:rsidRPr="00CC5E79" w:rsidRDefault="002604FF" w:rsidP="00643549">
      <w:pPr>
        <w:spacing w:line="480" w:lineRule="auto"/>
        <w:jc w:val="center"/>
        <w:rPr>
          <w:rFonts w:ascii="Times New Roman" w:hAnsi="Times New Roman"/>
          <w:sz w:val="24"/>
          <w:szCs w:val="24"/>
        </w:rPr>
      </w:pPr>
    </w:p>
    <w:p w:rsidR="007518AA" w:rsidRPr="00CC5E79" w:rsidRDefault="00210E72" w:rsidP="00F21E89">
      <w:pPr>
        <w:spacing w:line="480" w:lineRule="auto"/>
        <w:jc w:val="center"/>
        <w:rPr>
          <w:rFonts w:ascii="Times New Roman" w:hAnsi="Times New Roman"/>
          <w:b/>
          <w:sz w:val="24"/>
          <w:szCs w:val="24"/>
        </w:rPr>
      </w:pPr>
      <w:r w:rsidRPr="00CC5E79">
        <w:rPr>
          <w:rFonts w:ascii="Times New Roman" w:hAnsi="Times New Roman"/>
          <w:sz w:val="24"/>
          <w:szCs w:val="24"/>
        </w:rPr>
        <w:t xml:space="preserve"> </w:t>
      </w:r>
      <w:r w:rsidR="002604FF" w:rsidRPr="00CC5E79">
        <w:rPr>
          <w:rFonts w:ascii="Times New Roman" w:hAnsi="Times New Roman"/>
          <w:sz w:val="24"/>
          <w:szCs w:val="24"/>
        </w:rPr>
        <w:t>[</w:t>
      </w:r>
      <w:r w:rsidR="00643549" w:rsidRPr="00CC5E79">
        <w:rPr>
          <w:rFonts w:ascii="Times New Roman" w:hAnsi="Times New Roman"/>
          <w:sz w:val="24"/>
          <w:szCs w:val="24"/>
        </w:rPr>
        <w:t>Insert table 2 about here</w:t>
      </w:r>
      <w:r w:rsidR="002604FF" w:rsidRPr="00CC5E79">
        <w:rPr>
          <w:rFonts w:ascii="Times New Roman" w:hAnsi="Times New Roman"/>
          <w:sz w:val="24"/>
          <w:szCs w:val="24"/>
        </w:rPr>
        <w:t>]</w:t>
      </w:r>
    </w:p>
    <w:p w:rsidR="00A50B3A" w:rsidRPr="00CC5E79" w:rsidRDefault="008739BB" w:rsidP="007518AA">
      <w:pPr>
        <w:spacing w:line="480" w:lineRule="auto"/>
        <w:rPr>
          <w:rFonts w:ascii="Times New Roman" w:hAnsi="Times New Roman"/>
          <w:sz w:val="24"/>
          <w:szCs w:val="24"/>
        </w:rPr>
      </w:pPr>
      <w:r w:rsidRPr="00CC5E79">
        <w:rPr>
          <w:rFonts w:ascii="Times New Roman" w:hAnsi="Times New Roman"/>
          <w:b/>
          <w:sz w:val="24"/>
          <w:szCs w:val="24"/>
        </w:rPr>
        <w:t>D</w:t>
      </w:r>
      <w:r w:rsidR="00056263" w:rsidRPr="00CC5E79">
        <w:rPr>
          <w:rFonts w:ascii="Times New Roman" w:hAnsi="Times New Roman"/>
          <w:b/>
          <w:sz w:val="24"/>
          <w:szCs w:val="24"/>
        </w:rPr>
        <w:t>iscussion</w:t>
      </w:r>
    </w:p>
    <w:p w:rsidR="004F4DE8" w:rsidRPr="00CC5E79" w:rsidRDefault="009B5E29" w:rsidP="00F21E89">
      <w:pPr>
        <w:spacing w:after="0" w:line="480" w:lineRule="auto"/>
        <w:jc w:val="both"/>
        <w:rPr>
          <w:rFonts w:ascii="Times New Roman" w:hAnsi="Times New Roman"/>
          <w:sz w:val="24"/>
          <w:szCs w:val="24"/>
        </w:rPr>
      </w:pPr>
      <w:r w:rsidRPr="00CC5E79">
        <w:rPr>
          <w:rFonts w:ascii="Times New Roman" w:hAnsi="Times New Roman"/>
          <w:sz w:val="24"/>
          <w:szCs w:val="24"/>
        </w:rPr>
        <w:t>It is frequently considered that a significant barrier to the successful implementation of guidelines is clinician resistance to them</w:t>
      </w:r>
      <w:r w:rsidR="00FA7A3D" w:rsidRPr="00CC5E79">
        <w:rPr>
          <w:rFonts w:ascii="Times New Roman" w:hAnsi="Times New Roman"/>
          <w:sz w:val="24"/>
          <w:szCs w:val="24"/>
        </w:rPr>
        <w:t>,</w:t>
      </w:r>
      <w:r w:rsidRPr="00CC5E79">
        <w:rPr>
          <w:rFonts w:ascii="Times New Roman" w:hAnsi="Times New Roman"/>
          <w:sz w:val="24"/>
          <w:szCs w:val="24"/>
        </w:rPr>
        <w:t xml:space="preserve"> and this may contribute to the gap between the production of evidence based research and its translation into clinical practice, </w:t>
      </w:r>
      <w:proofErr w:type="spellStart"/>
      <w:r w:rsidRPr="00CC5E79">
        <w:rPr>
          <w:rFonts w:ascii="Times New Roman" w:hAnsi="Times New Roman"/>
          <w:sz w:val="24"/>
          <w:szCs w:val="24"/>
        </w:rPr>
        <w:t>through</w:t>
      </w:r>
      <w:proofErr w:type="spellEnd"/>
      <w:r w:rsidRPr="00CC5E79">
        <w:rPr>
          <w:rFonts w:ascii="Times New Roman" w:hAnsi="Times New Roman"/>
          <w:sz w:val="24"/>
          <w:szCs w:val="24"/>
        </w:rPr>
        <w:t>, for example, clinical guidelines</w:t>
      </w:r>
      <w:r w:rsidR="00DB34F8" w:rsidRPr="00CC5E79">
        <w:rPr>
          <w:rFonts w:ascii="Times New Roman" w:hAnsi="Times New Roman"/>
          <w:sz w:val="24"/>
          <w:szCs w:val="24"/>
        </w:rPr>
        <w:t xml:space="preserve"> (Cooksey </w:t>
      </w:r>
      <w:r w:rsidR="00607FE2" w:rsidRPr="00CC5E79">
        <w:rPr>
          <w:rFonts w:ascii="Times New Roman" w:hAnsi="Times New Roman"/>
          <w:sz w:val="24"/>
          <w:szCs w:val="24"/>
        </w:rPr>
        <w:t>&amp;</w:t>
      </w:r>
      <w:r w:rsidR="005D6A55" w:rsidRPr="00CC5E79">
        <w:rPr>
          <w:rFonts w:ascii="Times New Roman" w:hAnsi="Times New Roman"/>
          <w:sz w:val="24"/>
          <w:szCs w:val="24"/>
        </w:rPr>
        <w:t xml:space="preserve"> </w:t>
      </w:r>
      <w:r w:rsidR="00DB34F8" w:rsidRPr="00CC5E79">
        <w:rPr>
          <w:rFonts w:ascii="Times New Roman" w:hAnsi="Times New Roman"/>
          <w:sz w:val="24"/>
          <w:szCs w:val="24"/>
        </w:rPr>
        <w:t>Cooksey</w:t>
      </w:r>
      <w:r w:rsidR="00514A83" w:rsidRPr="00CC5E79">
        <w:rPr>
          <w:rFonts w:ascii="Times New Roman" w:hAnsi="Times New Roman"/>
          <w:sz w:val="24"/>
          <w:szCs w:val="24"/>
        </w:rPr>
        <w:t>,</w:t>
      </w:r>
      <w:r w:rsidR="00DB34F8" w:rsidRPr="00CC5E79">
        <w:rPr>
          <w:rFonts w:ascii="Times New Roman" w:hAnsi="Times New Roman"/>
          <w:sz w:val="24"/>
          <w:szCs w:val="24"/>
        </w:rPr>
        <w:t xml:space="preserve"> 2006)</w:t>
      </w:r>
      <w:r w:rsidRPr="00CC5E79">
        <w:rPr>
          <w:rFonts w:ascii="Times New Roman" w:hAnsi="Times New Roman"/>
          <w:sz w:val="24"/>
          <w:szCs w:val="24"/>
        </w:rPr>
        <w:t xml:space="preserve">. </w:t>
      </w:r>
      <w:r w:rsidR="00A16C22" w:rsidRPr="00CC5E79">
        <w:rPr>
          <w:rFonts w:ascii="Times New Roman" w:hAnsi="Times New Roman"/>
          <w:sz w:val="24"/>
          <w:szCs w:val="24"/>
        </w:rPr>
        <w:t xml:space="preserve">The </w:t>
      </w:r>
      <w:r w:rsidRPr="00CC5E79">
        <w:rPr>
          <w:rFonts w:ascii="Times New Roman" w:hAnsi="Times New Roman"/>
          <w:sz w:val="24"/>
          <w:szCs w:val="24"/>
        </w:rPr>
        <w:t xml:space="preserve">present </w:t>
      </w:r>
      <w:r w:rsidR="00A16C22" w:rsidRPr="00CC5E79">
        <w:rPr>
          <w:rFonts w:ascii="Times New Roman" w:hAnsi="Times New Roman"/>
          <w:sz w:val="24"/>
          <w:szCs w:val="24"/>
        </w:rPr>
        <w:t>study</w:t>
      </w:r>
      <w:r w:rsidRPr="00CC5E79">
        <w:rPr>
          <w:rFonts w:ascii="Times New Roman" w:hAnsi="Times New Roman"/>
          <w:sz w:val="24"/>
          <w:szCs w:val="24"/>
        </w:rPr>
        <w:t>, however,</w:t>
      </w:r>
      <w:r w:rsidR="00A16C22" w:rsidRPr="00CC5E79">
        <w:rPr>
          <w:rFonts w:ascii="Times New Roman" w:hAnsi="Times New Roman"/>
          <w:sz w:val="24"/>
          <w:szCs w:val="24"/>
        </w:rPr>
        <w:t xml:space="preserve"> </w:t>
      </w:r>
      <w:r w:rsidR="00C12633" w:rsidRPr="00CC5E79">
        <w:rPr>
          <w:rFonts w:ascii="Times New Roman" w:hAnsi="Times New Roman"/>
          <w:sz w:val="24"/>
          <w:szCs w:val="24"/>
        </w:rPr>
        <w:t xml:space="preserve">found that the </w:t>
      </w:r>
      <w:r w:rsidR="00B5649C" w:rsidRPr="00CC5E79">
        <w:rPr>
          <w:rFonts w:ascii="Times New Roman" w:hAnsi="Times New Roman"/>
          <w:sz w:val="24"/>
          <w:szCs w:val="24"/>
        </w:rPr>
        <w:t xml:space="preserve">included </w:t>
      </w:r>
      <w:r w:rsidR="00C12633" w:rsidRPr="00CC5E79">
        <w:rPr>
          <w:rFonts w:ascii="Times New Roman" w:hAnsi="Times New Roman"/>
          <w:sz w:val="24"/>
          <w:szCs w:val="24"/>
        </w:rPr>
        <w:t xml:space="preserve">NICE </w:t>
      </w:r>
      <w:r w:rsidR="00DB34F8" w:rsidRPr="00CC5E79">
        <w:rPr>
          <w:rFonts w:ascii="Times New Roman" w:hAnsi="Times New Roman"/>
          <w:sz w:val="24"/>
          <w:szCs w:val="24"/>
        </w:rPr>
        <w:t>(2012)</w:t>
      </w:r>
      <w:r w:rsidR="00C12633" w:rsidRPr="00CC5E79">
        <w:rPr>
          <w:rFonts w:ascii="Times New Roman" w:hAnsi="Times New Roman"/>
          <w:sz w:val="24"/>
          <w:szCs w:val="24"/>
        </w:rPr>
        <w:t xml:space="preserve"> </w:t>
      </w:r>
      <w:r w:rsidR="00B5649C" w:rsidRPr="00CC5E79">
        <w:rPr>
          <w:rFonts w:ascii="Times New Roman" w:hAnsi="Times New Roman"/>
          <w:sz w:val="24"/>
          <w:szCs w:val="24"/>
        </w:rPr>
        <w:t>section 9.2 recommendations were</w:t>
      </w:r>
      <w:r w:rsidR="00C12633" w:rsidRPr="00CC5E79">
        <w:rPr>
          <w:rFonts w:ascii="Times New Roman" w:hAnsi="Times New Roman"/>
          <w:sz w:val="24"/>
          <w:szCs w:val="24"/>
        </w:rPr>
        <w:t xml:space="preserve"> </w:t>
      </w:r>
      <w:r w:rsidR="00514A83" w:rsidRPr="00CC5E79">
        <w:rPr>
          <w:rFonts w:ascii="Times New Roman" w:hAnsi="Times New Roman"/>
          <w:sz w:val="24"/>
          <w:szCs w:val="24"/>
        </w:rPr>
        <w:t xml:space="preserve">generally </w:t>
      </w:r>
      <w:r w:rsidR="00C12633" w:rsidRPr="00CC5E79">
        <w:rPr>
          <w:rFonts w:ascii="Times New Roman" w:hAnsi="Times New Roman"/>
          <w:sz w:val="24"/>
          <w:szCs w:val="24"/>
        </w:rPr>
        <w:t>consistent with existing clinical practice in many respects</w:t>
      </w:r>
      <w:r w:rsidR="00B5649C" w:rsidRPr="00CC5E79">
        <w:rPr>
          <w:rFonts w:ascii="Times New Roman" w:hAnsi="Times New Roman"/>
          <w:sz w:val="24"/>
          <w:szCs w:val="24"/>
        </w:rPr>
        <w:t xml:space="preserve">, with services </w:t>
      </w:r>
      <w:r w:rsidR="004F4DE8" w:rsidRPr="00CC5E79">
        <w:rPr>
          <w:rFonts w:ascii="Times New Roman" w:hAnsi="Times New Roman"/>
          <w:sz w:val="24"/>
          <w:szCs w:val="24"/>
        </w:rPr>
        <w:t xml:space="preserve">using </w:t>
      </w:r>
      <w:r w:rsidR="00B5649C" w:rsidRPr="00CC5E79">
        <w:rPr>
          <w:rFonts w:ascii="Times New Roman" w:hAnsi="Times New Roman"/>
          <w:sz w:val="24"/>
          <w:szCs w:val="24"/>
        </w:rPr>
        <w:t xml:space="preserve">the 14 recommended </w:t>
      </w:r>
      <w:r w:rsidR="004F4DE8" w:rsidRPr="00CC5E79">
        <w:rPr>
          <w:rFonts w:ascii="Times New Roman" w:hAnsi="Times New Roman"/>
          <w:sz w:val="24"/>
          <w:szCs w:val="24"/>
        </w:rPr>
        <w:t>pract</w:t>
      </w:r>
      <w:r w:rsidR="0022408A" w:rsidRPr="00CC5E79">
        <w:rPr>
          <w:rFonts w:ascii="Times New Roman" w:hAnsi="Times New Roman"/>
          <w:sz w:val="24"/>
          <w:szCs w:val="24"/>
        </w:rPr>
        <w:t>ices</w:t>
      </w:r>
      <w:r w:rsidR="00B5649C" w:rsidRPr="00CC5E79">
        <w:rPr>
          <w:rFonts w:ascii="Times New Roman" w:hAnsi="Times New Roman"/>
          <w:sz w:val="24"/>
          <w:szCs w:val="24"/>
        </w:rPr>
        <w:t xml:space="preserve"> </w:t>
      </w:r>
      <w:r w:rsidR="0022408A" w:rsidRPr="00CC5E79">
        <w:rPr>
          <w:rFonts w:ascii="Times New Roman" w:hAnsi="Times New Roman"/>
          <w:sz w:val="24"/>
          <w:szCs w:val="24"/>
        </w:rPr>
        <w:t>(</w:t>
      </w:r>
      <w:r w:rsidR="00B5649C" w:rsidRPr="00CC5E79">
        <w:rPr>
          <w:rFonts w:ascii="Times New Roman" w:hAnsi="Times New Roman"/>
          <w:sz w:val="24"/>
          <w:szCs w:val="24"/>
        </w:rPr>
        <w:t>which were applicable to all cases</w:t>
      </w:r>
      <w:r w:rsidR="0022408A" w:rsidRPr="00CC5E79">
        <w:rPr>
          <w:rFonts w:ascii="Times New Roman" w:hAnsi="Times New Roman"/>
          <w:sz w:val="24"/>
          <w:szCs w:val="24"/>
        </w:rPr>
        <w:t>)</w:t>
      </w:r>
      <w:r w:rsidR="00B5649C" w:rsidRPr="00CC5E79">
        <w:rPr>
          <w:rFonts w:ascii="Times New Roman" w:hAnsi="Times New Roman"/>
          <w:sz w:val="24"/>
          <w:szCs w:val="24"/>
        </w:rPr>
        <w:t xml:space="preserve">, in at least half of the cases analysed. </w:t>
      </w:r>
      <w:r w:rsidR="0029389A" w:rsidRPr="00CC5E79">
        <w:rPr>
          <w:rFonts w:ascii="Times New Roman" w:hAnsi="Times New Roman"/>
          <w:sz w:val="24"/>
          <w:szCs w:val="24"/>
        </w:rPr>
        <w:t xml:space="preserve">The mean score of 11.9 (SD = 1.4) out of a possible maximum of 14 also indicated </w:t>
      </w:r>
      <w:r w:rsidR="00887ABF" w:rsidRPr="00CC5E79">
        <w:rPr>
          <w:rFonts w:ascii="Times New Roman" w:hAnsi="Times New Roman"/>
          <w:sz w:val="24"/>
          <w:szCs w:val="24"/>
        </w:rPr>
        <w:t>practice that was generally consistent with the recommendations</w:t>
      </w:r>
      <w:r w:rsidR="0029389A" w:rsidRPr="00CC5E79">
        <w:rPr>
          <w:rFonts w:ascii="Times New Roman" w:hAnsi="Times New Roman"/>
          <w:sz w:val="24"/>
          <w:szCs w:val="24"/>
        </w:rPr>
        <w:t xml:space="preserve">. </w:t>
      </w:r>
      <w:r w:rsidR="004F4DE8" w:rsidRPr="00CC5E79">
        <w:rPr>
          <w:rFonts w:ascii="Times New Roman" w:hAnsi="Times New Roman"/>
          <w:sz w:val="24"/>
          <w:szCs w:val="24"/>
        </w:rPr>
        <w:t>This is</w:t>
      </w:r>
      <w:r w:rsidR="00B47170" w:rsidRPr="00CC5E79">
        <w:rPr>
          <w:rFonts w:ascii="Times New Roman" w:hAnsi="Times New Roman"/>
          <w:sz w:val="24"/>
          <w:szCs w:val="24"/>
        </w:rPr>
        <w:t xml:space="preserve"> encouraging</w:t>
      </w:r>
      <w:r w:rsidR="004F4DE8" w:rsidRPr="00CC5E79">
        <w:rPr>
          <w:rFonts w:ascii="Times New Roman" w:hAnsi="Times New Roman"/>
          <w:sz w:val="24"/>
          <w:szCs w:val="24"/>
        </w:rPr>
        <w:t xml:space="preserve">, in light of research which indicates that </w:t>
      </w:r>
      <w:r w:rsidR="00B105D0" w:rsidRPr="00CC5E79">
        <w:rPr>
          <w:rFonts w:ascii="Times New Roman" w:hAnsi="Times New Roman"/>
          <w:sz w:val="24"/>
          <w:szCs w:val="24"/>
        </w:rPr>
        <w:t xml:space="preserve">a common factor in successfully implemented </w:t>
      </w:r>
      <w:r w:rsidR="004F4DE8" w:rsidRPr="00CC5E79">
        <w:rPr>
          <w:rFonts w:ascii="Times New Roman" w:hAnsi="Times New Roman"/>
          <w:sz w:val="24"/>
          <w:szCs w:val="24"/>
        </w:rPr>
        <w:t>guidelines is that they reflect routine practice for the clinical group being targeted</w:t>
      </w:r>
      <w:r w:rsidR="00A54328" w:rsidRPr="00CC5E79">
        <w:rPr>
          <w:rFonts w:ascii="Times New Roman" w:hAnsi="Times New Roman"/>
          <w:sz w:val="24"/>
          <w:szCs w:val="24"/>
        </w:rPr>
        <w:t xml:space="preserve"> (</w:t>
      </w:r>
      <w:proofErr w:type="spellStart"/>
      <w:r w:rsidR="00A54328" w:rsidRPr="00CC5E79">
        <w:rPr>
          <w:rFonts w:ascii="Times New Roman" w:hAnsi="Times New Roman"/>
          <w:sz w:val="24"/>
          <w:szCs w:val="24"/>
        </w:rPr>
        <w:t>Bazian</w:t>
      </w:r>
      <w:proofErr w:type="spellEnd"/>
      <w:r w:rsidR="00514A83" w:rsidRPr="00CC5E79">
        <w:rPr>
          <w:rFonts w:ascii="Times New Roman" w:hAnsi="Times New Roman"/>
          <w:sz w:val="24"/>
          <w:szCs w:val="24"/>
        </w:rPr>
        <w:t>,</w:t>
      </w:r>
      <w:r w:rsidR="00A54328" w:rsidRPr="00CC5E79">
        <w:rPr>
          <w:rFonts w:ascii="Times New Roman" w:hAnsi="Times New Roman"/>
          <w:sz w:val="24"/>
          <w:szCs w:val="24"/>
        </w:rPr>
        <w:t xml:space="preserve"> 2005)</w:t>
      </w:r>
      <w:r w:rsidR="004F4DE8" w:rsidRPr="00CC5E79">
        <w:rPr>
          <w:rFonts w:ascii="Times New Roman" w:hAnsi="Times New Roman"/>
          <w:sz w:val="24"/>
          <w:szCs w:val="24"/>
        </w:rPr>
        <w:t xml:space="preserve">. </w:t>
      </w:r>
      <w:r w:rsidR="00D8566B" w:rsidRPr="00CC5E79">
        <w:rPr>
          <w:rFonts w:ascii="Times New Roman" w:hAnsi="Times New Roman"/>
          <w:sz w:val="24"/>
          <w:szCs w:val="24"/>
        </w:rPr>
        <w:t xml:space="preserve">While the reasons why particular recommendations were not reflected in practice are unknown, </w:t>
      </w:r>
      <w:r w:rsidR="00535BA4" w:rsidRPr="00CC5E79">
        <w:rPr>
          <w:rFonts w:ascii="Times New Roman" w:hAnsi="Times New Roman"/>
          <w:sz w:val="24"/>
          <w:szCs w:val="24"/>
        </w:rPr>
        <w:t xml:space="preserve">the pattern of responses suggests that this may occur in single practitioner services (where it would not be possible to have team based or multi-professional assessment) and where the practice is influenced by whether the </w:t>
      </w:r>
      <w:r w:rsidR="00535BA4" w:rsidRPr="00CC5E79">
        <w:rPr>
          <w:rFonts w:ascii="Times New Roman" w:hAnsi="Times New Roman"/>
          <w:sz w:val="24"/>
          <w:szCs w:val="24"/>
        </w:rPr>
        <w:lastRenderedPageBreak/>
        <w:t xml:space="preserve">individual has an intellectual disability or not. For example, the involvement of a family member or carer may be more likely where the individual has an intellectual disability. </w:t>
      </w:r>
    </w:p>
    <w:p w:rsidR="00990BD0" w:rsidRPr="00CC5E79" w:rsidRDefault="009B5E29" w:rsidP="000B7305">
      <w:pPr>
        <w:spacing w:after="0" w:line="480" w:lineRule="auto"/>
        <w:ind w:firstLine="720"/>
        <w:jc w:val="both"/>
        <w:rPr>
          <w:rFonts w:ascii="Times New Roman" w:hAnsi="Times New Roman"/>
          <w:sz w:val="24"/>
          <w:szCs w:val="24"/>
        </w:rPr>
      </w:pPr>
      <w:r w:rsidRPr="00CC5E79">
        <w:rPr>
          <w:rFonts w:ascii="Times New Roman" w:hAnsi="Times New Roman"/>
          <w:sz w:val="24"/>
          <w:szCs w:val="24"/>
        </w:rPr>
        <w:t xml:space="preserve">While the present study found relatively high levels of practice that was consistent with the NICE </w:t>
      </w:r>
      <w:r w:rsidR="003E1966" w:rsidRPr="00CC5E79">
        <w:rPr>
          <w:rFonts w:ascii="Times New Roman" w:hAnsi="Times New Roman"/>
          <w:sz w:val="24"/>
          <w:szCs w:val="24"/>
        </w:rPr>
        <w:t>(2012)</w:t>
      </w:r>
      <w:r w:rsidRPr="00CC5E79">
        <w:rPr>
          <w:rFonts w:ascii="Times New Roman" w:hAnsi="Times New Roman"/>
          <w:sz w:val="24"/>
          <w:szCs w:val="24"/>
        </w:rPr>
        <w:t xml:space="preserve"> guideline, suggesting that resistance to formal impl</w:t>
      </w:r>
      <w:r w:rsidR="000B7305" w:rsidRPr="00CC5E79">
        <w:rPr>
          <w:rFonts w:ascii="Times New Roman" w:hAnsi="Times New Roman"/>
          <w:sz w:val="24"/>
          <w:szCs w:val="24"/>
        </w:rPr>
        <w:t xml:space="preserve">ementation of the guideline would be </w:t>
      </w:r>
      <w:r w:rsidR="0056584D" w:rsidRPr="00CC5E79">
        <w:rPr>
          <w:rFonts w:ascii="Times New Roman" w:hAnsi="Times New Roman"/>
          <w:sz w:val="24"/>
          <w:szCs w:val="24"/>
        </w:rPr>
        <w:t>l</w:t>
      </w:r>
      <w:r w:rsidRPr="00CC5E79">
        <w:rPr>
          <w:rFonts w:ascii="Times New Roman" w:hAnsi="Times New Roman"/>
          <w:sz w:val="24"/>
          <w:szCs w:val="24"/>
        </w:rPr>
        <w:t xml:space="preserve">ikely to be low, one potential contributing factor to any such resistance could be the concern that implementation could result in increased waiting times.  There is a significant focus within </w:t>
      </w:r>
      <w:r w:rsidR="005D6A55" w:rsidRPr="00CC5E79">
        <w:rPr>
          <w:rFonts w:ascii="Times New Roman" w:hAnsi="Times New Roman"/>
          <w:sz w:val="24"/>
          <w:szCs w:val="24"/>
        </w:rPr>
        <w:t xml:space="preserve">health services </w:t>
      </w:r>
      <w:r w:rsidRPr="00CC5E79">
        <w:rPr>
          <w:rFonts w:ascii="Times New Roman" w:hAnsi="Times New Roman"/>
          <w:sz w:val="24"/>
          <w:szCs w:val="24"/>
        </w:rPr>
        <w:t>on waiting times and the extent of the wait is an important indicator of service quality</w:t>
      </w:r>
      <w:r w:rsidR="00E4709E" w:rsidRPr="00CC5E79">
        <w:rPr>
          <w:rFonts w:ascii="Times New Roman" w:hAnsi="Times New Roman"/>
          <w:sz w:val="24"/>
          <w:szCs w:val="24"/>
        </w:rPr>
        <w:t xml:space="preserve"> </w:t>
      </w:r>
      <w:r w:rsidR="000B7305" w:rsidRPr="00CC5E79">
        <w:rPr>
          <w:rFonts w:ascii="Times New Roman" w:hAnsi="Times New Roman"/>
          <w:sz w:val="24"/>
          <w:szCs w:val="24"/>
        </w:rPr>
        <w:t>(</w:t>
      </w:r>
      <w:r w:rsidR="005D6A55" w:rsidRPr="00CC5E79">
        <w:rPr>
          <w:rFonts w:ascii="Times New Roman" w:hAnsi="Times New Roman"/>
          <w:sz w:val="24"/>
          <w:szCs w:val="24"/>
        </w:rPr>
        <w:t xml:space="preserve">e.g. </w:t>
      </w:r>
      <w:r w:rsidR="000B7305" w:rsidRPr="00CC5E79">
        <w:rPr>
          <w:rFonts w:ascii="Times New Roman" w:hAnsi="Times New Roman"/>
          <w:sz w:val="24"/>
          <w:szCs w:val="24"/>
        </w:rPr>
        <w:t>DOH</w:t>
      </w:r>
      <w:r w:rsidR="00514A83" w:rsidRPr="00CC5E79">
        <w:rPr>
          <w:rFonts w:ascii="Times New Roman" w:hAnsi="Times New Roman"/>
          <w:sz w:val="24"/>
          <w:szCs w:val="24"/>
        </w:rPr>
        <w:t>,</w:t>
      </w:r>
      <w:r w:rsidR="000B7305" w:rsidRPr="00CC5E79">
        <w:rPr>
          <w:rFonts w:ascii="Times New Roman" w:hAnsi="Times New Roman"/>
          <w:sz w:val="24"/>
          <w:szCs w:val="24"/>
        </w:rPr>
        <w:t xml:space="preserve"> 2013</w:t>
      </w:r>
      <w:r w:rsidR="003E1966" w:rsidRPr="00CC5E79">
        <w:rPr>
          <w:rFonts w:ascii="Times New Roman" w:hAnsi="Times New Roman"/>
          <w:sz w:val="24"/>
          <w:szCs w:val="24"/>
        </w:rPr>
        <w:t>)</w:t>
      </w:r>
      <w:r w:rsidRPr="00CC5E79">
        <w:rPr>
          <w:rFonts w:ascii="Times New Roman" w:hAnsi="Times New Roman"/>
          <w:sz w:val="24"/>
          <w:szCs w:val="24"/>
        </w:rPr>
        <w:t>.</w:t>
      </w:r>
      <w:r w:rsidR="005931F8" w:rsidRPr="00CC5E79">
        <w:rPr>
          <w:rFonts w:ascii="Times New Roman" w:hAnsi="Times New Roman"/>
          <w:sz w:val="24"/>
          <w:szCs w:val="24"/>
        </w:rPr>
        <w:t xml:space="preserve">  </w:t>
      </w:r>
      <w:r w:rsidR="00990BD0" w:rsidRPr="00CC5E79">
        <w:rPr>
          <w:rFonts w:ascii="Times New Roman" w:hAnsi="Times New Roman"/>
          <w:sz w:val="24"/>
          <w:szCs w:val="24"/>
        </w:rPr>
        <w:t xml:space="preserve">Importantly, the present study found that there was no significant relation between </w:t>
      </w:r>
      <w:proofErr w:type="gramStart"/>
      <w:r w:rsidR="00887ABF" w:rsidRPr="00CC5E79">
        <w:rPr>
          <w:rFonts w:ascii="Times New Roman" w:hAnsi="Times New Roman"/>
          <w:sz w:val="24"/>
          <w:szCs w:val="24"/>
        </w:rPr>
        <w:t>practice</w:t>
      </w:r>
      <w:proofErr w:type="gramEnd"/>
      <w:r w:rsidR="00887ABF" w:rsidRPr="00CC5E79">
        <w:rPr>
          <w:rFonts w:ascii="Times New Roman" w:hAnsi="Times New Roman"/>
          <w:sz w:val="24"/>
          <w:szCs w:val="24"/>
        </w:rPr>
        <w:t xml:space="preserve"> that was consistent with </w:t>
      </w:r>
      <w:r w:rsidR="00990BD0" w:rsidRPr="00CC5E79">
        <w:rPr>
          <w:rFonts w:ascii="Times New Roman" w:hAnsi="Times New Roman"/>
          <w:sz w:val="24"/>
          <w:szCs w:val="24"/>
        </w:rPr>
        <w:t>th</w:t>
      </w:r>
      <w:r w:rsidR="00B5649C" w:rsidRPr="00CC5E79">
        <w:rPr>
          <w:rFonts w:ascii="Times New Roman" w:hAnsi="Times New Roman"/>
          <w:sz w:val="24"/>
          <w:szCs w:val="24"/>
        </w:rPr>
        <w:t xml:space="preserve">e section 9.2 </w:t>
      </w:r>
      <w:r w:rsidR="00514A83" w:rsidRPr="00CC5E79">
        <w:rPr>
          <w:rFonts w:ascii="Times New Roman" w:hAnsi="Times New Roman"/>
          <w:sz w:val="24"/>
          <w:szCs w:val="24"/>
        </w:rPr>
        <w:t xml:space="preserve">included </w:t>
      </w:r>
      <w:r w:rsidR="00B5649C" w:rsidRPr="00CC5E79">
        <w:rPr>
          <w:rFonts w:ascii="Times New Roman" w:hAnsi="Times New Roman"/>
          <w:sz w:val="24"/>
          <w:szCs w:val="24"/>
        </w:rPr>
        <w:t xml:space="preserve">recommendations of the NICE </w:t>
      </w:r>
      <w:r w:rsidR="003E1966" w:rsidRPr="00CC5E79">
        <w:rPr>
          <w:rFonts w:ascii="Times New Roman" w:hAnsi="Times New Roman"/>
          <w:sz w:val="24"/>
          <w:szCs w:val="24"/>
        </w:rPr>
        <w:t xml:space="preserve">(2012) </w:t>
      </w:r>
      <w:r w:rsidR="00B5649C" w:rsidRPr="00CC5E79">
        <w:rPr>
          <w:rFonts w:ascii="Times New Roman" w:hAnsi="Times New Roman"/>
          <w:sz w:val="24"/>
          <w:szCs w:val="24"/>
        </w:rPr>
        <w:t>guideline and total waiting time for diagnosis</w:t>
      </w:r>
      <w:r w:rsidR="00990BD0" w:rsidRPr="00CC5E79">
        <w:rPr>
          <w:rFonts w:ascii="Times New Roman" w:hAnsi="Times New Roman"/>
          <w:sz w:val="24"/>
          <w:szCs w:val="24"/>
        </w:rPr>
        <w:t>. This suggests t</w:t>
      </w:r>
      <w:r w:rsidR="00330A27" w:rsidRPr="00CC5E79">
        <w:rPr>
          <w:rFonts w:ascii="Times New Roman" w:hAnsi="Times New Roman"/>
          <w:sz w:val="24"/>
          <w:szCs w:val="24"/>
        </w:rPr>
        <w:t>hat clinicians could</w:t>
      </w:r>
      <w:r w:rsidR="00514A83" w:rsidRPr="00CC5E79">
        <w:rPr>
          <w:rFonts w:ascii="Times New Roman" w:hAnsi="Times New Roman"/>
          <w:sz w:val="24"/>
          <w:szCs w:val="24"/>
        </w:rPr>
        <w:t xml:space="preserve"> implement the included recommendations in this</w:t>
      </w:r>
      <w:r w:rsidR="00B5649C" w:rsidRPr="00CC5E79">
        <w:rPr>
          <w:rFonts w:ascii="Times New Roman" w:hAnsi="Times New Roman"/>
          <w:sz w:val="24"/>
          <w:szCs w:val="24"/>
        </w:rPr>
        <w:t xml:space="preserve"> section of the</w:t>
      </w:r>
      <w:r w:rsidR="00990BD0" w:rsidRPr="00CC5E79">
        <w:rPr>
          <w:rFonts w:ascii="Times New Roman" w:hAnsi="Times New Roman"/>
          <w:sz w:val="24"/>
          <w:szCs w:val="24"/>
        </w:rPr>
        <w:t xml:space="preserve"> guideline without concern that it will impact negatively on waiting time </w:t>
      </w:r>
      <w:r w:rsidR="00B5649C" w:rsidRPr="00CC5E79">
        <w:rPr>
          <w:rFonts w:ascii="Times New Roman" w:hAnsi="Times New Roman"/>
          <w:sz w:val="24"/>
          <w:szCs w:val="24"/>
        </w:rPr>
        <w:t xml:space="preserve">for </w:t>
      </w:r>
      <w:r w:rsidR="00990BD0" w:rsidRPr="00CC5E79">
        <w:rPr>
          <w:rFonts w:ascii="Times New Roman" w:hAnsi="Times New Roman"/>
          <w:sz w:val="24"/>
          <w:szCs w:val="24"/>
        </w:rPr>
        <w:t>diagnosis.</w:t>
      </w:r>
    </w:p>
    <w:p w:rsidR="00245DEE" w:rsidRPr="00CC5E79" w:rsidRDefault="00245DEE" w:rsidP="00643549">
      <w:pPr>
        <w:spacing w:after="0" w:line="480" w:lineRule="auto"/>
        <w:jc w:val="both"/>
        <w:rPr>
          <w:rFonts w:ascii="Times New Roman" w:hAnsi="Times New Roman"/>
          <w:sz w:val="24"/>
          <w:szCs w:val="24"/>
        </w:rPr>
      </w:pPr>
    </w:p>
    <w:p w:rsidR="00056263" w:rsidRPr="00CC5E79" w:rsidRDefault="004B63E0" w:rsidP="00643549">
      <w:pPr>
        <w:spacing w:line="480" w:lineRule="auto"/>
        <w:jc w:val="both"/>
        <w:rPr>
          <w:rFonts w:ascii="Times New Roman" w:hAnsi="Times New Roman"/>
          <w:i/>
          <w:sz w:val="24"/>
          <w:szCs w:val="24"/>
        </w:rPr>
      </w:pPr>
      <w:r w:rsidRPr="00CC5E79">
        <w:rPr>
          <w:rFonts w:ascii="Times New Roman" w:hAnsi="Times New Roman"/>
          <w:i/>
          <w:sz w:val="24"/>
          <w:szCs w:val="24"/>
        </w:rPr>
        <w:t>Limitations</w:t>
      </w:r>
    </w:p>
    <w:p w:rsidR="00514A83" w:rsidRPr="00CC5E79" w:rsidRDefault="004B63E0" w:rsidP="00643549">
      <w:pPr>
        <w:spacing w:after="0" w:line="480" w:lineRule="auto"/>
        <w:jc w:val="both"/>
        <w:rPr>
          <w:rFonts w:ascii="Times New Roman" w:hAnsi="Times New Roman"/>
          <w:sz w:val="24"/>
          <w:szCs w:val="24"/>
        </w:rPr>
      </w:pPr>
      <w:r w:rsidRPr="00CC5E79">
        <w:rPr>
          <w:rFonts w:ascii="Times New Roman" w:hAnsi="Times New Roman"/>
          <w:sz w:val="24"/>
          <w:szCs w:val="24"/>
        </w:rPr>
        <w:t xml:space="preserve">While </w:t>
      </w:r>
      <w:r w:rsidR="00815D34" w:rsidRPr="00CC5E79">
        <w:rPr>
          <w:rFonts w:ascii="Times New Roman" w:hAnsi="Times New Roman"/>
          <w:sz w:val="24"/>
          <w:szCs w:val="24"/>
        </w:rPr>
        <w:t>the study reports on a representative sample of the national population</w:t>
      </w:r>
      <w:r w:rsidR="008C378F" w:rsidRPr="00CC5E79">
        <w:rPr>
          <w:rFonts w:ascii="Times New Roman" w:hAnsi="Times New Roman"/>
          <w:sz w:val="24"/>
          <w:szCs w:val="24"/>
        </w:rPr>
        <w:t xml:space="preserve"> in Scotland</w:t>
      </w:r>
      <w:r w:rsidRPr="00CC5E79">
        <w:rPr>
          <w:rFonts w:ascii="Times New Roman" w:hAnsi="Times New Roman"/>
          <w:sz w:val="24"/>
          <w:szCs w:val="24"/>
        </w:rPr>
        <w:t>, the number of case notes</w:t>
      </w:r>
      <w:r w:rsidR="00C27559" w:rsidRPr="00CC5E79">
        <w:rPr>
          <w:rFonts w:ascii="Times New Roman" w:hAnsi="Times New Roman"/>
          <w:sz w:val="24"/>
          <w:szCs w:val="24"/>
        </w:rPr>
        <w:t xml:space="preserve"> included </w:t>
      </w:r>
      <w:r w:rsidRPr="00CC5E79">
        <w:rPr>
          <w:rFonts w:ascii="Times New Roman" w:hAnsi="Times New Roman"/>
          <w:sz w:val="24"/>
          <w:szCs w:val="24"/>
        </w:rPr>
        <w:t xml:space="preserve">was restricted by the time constraints of the study, in that we wished the sample to reflect recent clinical practice prior to the introduction of the NICE </w:t>
      </w:r>
      <w:r w:rsidR="003E1966" w:rsidRPr="00CC5E79">
        <w:rPr>
          <w:rFonts w:ascii="Times New Roman" w:hAnsi="Times New Roman"/>
          <w:sz w:val="24"/>
          <w:szCs w:val="24"/>
        </w:rPr>
        <w:t>(2012)</w:t>
      </w:r>
      <w:r w:rsidRPr="00CC5E79">
        <w:rPr>
          <w:rFonts w:ascii="Times New Roman" w:hAnsi="Times New Roman"/>
          <w:sz w:val="24"/>
          <w:szCs w:val="24"/>
        </w:rPr>
        <w:t xml:space="preserve"> guideline. As such the number of individuals who had received a positive diagnosis of ASD was necessarily </w:t>
      </w:r>
      <w:r w:rsidR="00330A27" w:rsidRPr="00CC5E79">
        <w:rPr>
          <w:rFonts w:ascii="Times New Roman" w:hAnsi="Times New Roman"/>
          <w:sz w:val="24"/>
          <w:szCs w:val="24"/>
        </w:rPr>
        <w:t xml:space="preserve">limited. </w:t>
      </w:r>
      <w:r w:rsidR="00C30162" w:rsidRPr="00CC5E79">
        <w:rPr>
          <w:rFonts w:ascii="Times New Roman" w:hAnsi="Times New Roman"/>
          <w:sz w:val="24"/>
          <w:szCs w:val="24"/>
        </w:rPr>
        <w:t>S</w:t>
      </w:r>
      <w:r w:rsidR="007D4C82" w:rsidRPr="00CC5E79">
        <w:rPr>
          <w:rFonts w:ascii="Times New Roman" w:hAnsi="Times New Roman"/>
          <w:sz w:val="24"/>
          <w:szCs w:val="24"/>
        </w:rPr>
        <w:t>ome recommendations were excluded from the analyses, such as those that required the clinician to ‘consider’ a particular course of action</w:t>
      </w:r>
      <w:r w:rsidR="000B7305" w:rsidRPr="00CC5E79">
        <w:rPr>
          <w:rFonts w:ascii="Times New Roman" w:hAnsi="Times New Roman"/>
          <w:sz w:val="24"/>
          <w:szCs w:val="24"/>
        </w:rPr>
        <w:t>,</w:t>
      </w:r>
      <w:r w:rsidR="007D4C82" w:rsidRPr="00CC5E79">
        <w:rPr>
          <w:rFonts w:ascii="Times New Roman" w:hAnsi="Times New Roman"/>
          <w:sz w:val="24"/>
          <w:szCs w:val="24"/>
        </w:rPr>
        <w:t xml:space="preserve"> beca</w:t>
      </w:r>
      <w:r w:rsidR="00001196" w:rsidRPr="00CC5E79">
        <w:rPr>
          <w:rFonts w:ascii="Times New Roman" w:hAnsi="Times New Roman"/>
          <w:sz w:val="24"/>
          <w:szCs w:val="24"/>
        </w:rPr>
        <w:t>use it was not possible for the</w:t>
      </w:r>
      <w:r w:rsidRPr="00CC5E79">
        <w:rPr>
          <w:rFonts w:ascii="Times New Roman" w:hAnsi="Times New Roman"/>
          <w:sz w:val="24"/>
          <w:szCs w:val="24"/>
        </w:rPr>
        <w:t xml:space="preserve"> </w:t>
      </w:r>
      <w:r w:rsidR="001015A1" w:rsidRPr="00CC5E79">
        <w:rPr>
          <w:rFonts w:ascii="Times New Roman" w:hAnsi="Times New Roman"/>
          <w:sz w:val="24"/>
          <w:szCs w:val="24"/>
        </w:rPr>
        <w:t>research team</w:t>
      </w:r>
      <w:r w:rsidR="00001196" w:rsidRPr="00CC5E79">
        <w:rPr>
          <w:rFonts w:ascii="Times New Roman" w:hAnsi="Times New Roman"/>
          <w:sz w:val="24"/>
          <w:szCs w:val="24"/>
        </w:rPr>
        <w:t xml:space="preserve"> to</w:t>
      </w:r>
      <w:r w:rsidR="001015A1" w:rsidRPr="00CC5E79">
        <w:rPr>
          <w:rFonts w:ascii="Times New Roman" w:hAnsi="Times New Roman"/>
          <w:sz w:val="24"/>
          <w:szCs w:val="24"/>
        </w:rPr>
        <w:t xml:space="preserve"> </w:t>
      </w:r>
      <w:r w:rsidRPr="00CC5E79">
        <w:rPr>
          <w:rFonts w:ascii="Times New Roman" w:hAnsi="Times New Roman"/>
          <w:sz w:val="24"/>
          <w:szCs w:val="24"/>
        </w:rPr>
        <w:t xml:space="preserve">determine whether a particular recommendation was appropriate or not from the information in the case notes. </w:t>
      </w:r>
      <w:r w:rsidR="00001196" w:rsidRPr="00CC5E79">
        <w:rPr>
          <w:rFonts w:ascii="Times New Roman" w:hAnsi="Times New Roman"/>
          <w:sz w:val="24"/>
          <w:szCs w:val="24"/>
        </w:rPr>
        <w:t xml:space="preserve"> </w:t>
      </w:r>
      <w:r w:rsidR="00330A27" w:rsidRPr="00CC5E79">
        <w:rPr>
          <w:rFonts w:ascii="Times New Roman" w:hAnsi="Times New Roman"/>
          <w:sz w:val="24"/>
          <w:szCs w:val="24"/>
        </w:rPr>
        <w:t xml:space="preserve">The inclusion of all of the recommendations may have resulted in different levels of </w:t>
      </w:r>
      <w:r w:rsidR="00887ABF" w:rsidRPr="00CC5E79">
        <w:rPr>
          <w:rFonts w:ascii="Times New Roman" w:hAnsi="Times New Roman"/>
          <w:sz w:val="24"/>
          <w:szCs w:val="24"/>
        </w:rPr>
        <w:t xml:space="preserve">‘recommended practice’ </w:t>
      </w:r>
      <w:r w:rsidR="00330A27" w:rsidRPr="00CC5E79">
        <w:rPr>
          <w:rFonts w:ascii="Times New Roman" w:hAnsi="Times New Roman"/>
          <w:sz w:val="24"/>
          <w:szCs w:val="24"/>
        </w:rPr>
        <w:t xml:space="preserve">and a different impact on waiting times. </w:t>
      </w:r>
      <w:r w:rsidR="00C30162" w:rsidRPr="00CC5E79">
        <w:rPr>
          <w:rFonts w:ascii="Times New Roman" w:hAnsi="Times New Roman"/>
          <w:sz w:val="24"/>
          <w:szCs w:val="24"/>
        </w:rPr>
        <w:t>B</w:t>
      </w:r>
      <w:r w:rsidR="00514A83" w:rsidRPr="00CC5E79">
        <w:rPr>
          <w:rFonts w:ascii="Times New Roman" w:hAnsi="Times New Roman"/>
          <w:sz w:val="24"/>
          <w:szCs w:val="24"/>
        </w:rPr>
        <w:t xml:space="preserve">etter recording in the case notes of the reasons why </w:t>
      </w:r>
      <w:r w:rsidR="00514A83" w:rsidRPr="00CC5E79">
        <w:rPr>
          <w:rFonts w:ascii="Times New Roman" w:hAnsi="Times New Roman"/>
          <w:sz w:val="24"/>
          <w:szCs w:val="24"/>
        </w:rPr>
        <w:lastRenderedPageBreak/>
        <w:t>components of the guideline were or were not implemented would allow this limitation to be addressed</w:t>
      </w:r>
      <w:r w:rsidR="00C30162" w:rsidRPr="00CC5E79">
        <w:rPr>
          <w:rFonts w:ascii="Times New Roman" w:hAnsi="Times New Roman"/>
          <w:sz w:val="24"/>
          <w:szCs w:val="24"/>
        </w:rPr>
        <w:t xml:space="preserve"> in future research</w:t>
      </w:r>
      <w:r w:rsidR="00514A83" w:rsidRPr="00CC5E79">
        <w:rPr>
          <w:rFonts w:ascii="Times New Roman" w:hAnsi="Times New Roman"/>
          <w:sz w:val="24"/>
          <w:szCs w:val="24"/>
        </w:rPr>
        <w:t xml:space="preserve">. </w:t>
      </w:r>
    </w:p>
    <w:p w:rsidR="004B63E0" w:rsidRPr="00CC5E79" w:rsidRDefault="00001196" w:rsidP="00514A83">
      <w:pPr>
        <w:spacing w:after="0" w:line="480" w:lineRule="auto"/>
        <w:ind w:firstLine="720"/>
        <w:jc w:val="both"/>
        <w:rPr>
          <w:rFonts w:ascii="Times New Roman" w:hAnsi="Times New Roman"/>
          <w:sz w:val="24"/>
          <w:szCs w:val="24"/>
        </w:rPr>
      </w:pPr>
      <w:r w:rsidRPr="00CC5E79">
        <w:rPr>
          <w:rFonts w:ascii="Times New Roman" w:hAnsi="Times New Roman"/>
          <w:sz w:val="24"/>
          <w:szCs w:val="24"/>
        </w:rPr>
        <w:t xml:space="preserve">In addition, the study was unable to identify the clinical complexity of the diagnosed individuals included in the study.  Variations in clinical complexity </w:t>
      </w:r>
      <w:r w:rsidR="00F97D44" w:rsidRPr="00CC5E79">
        <w:rPr>
          <w:rFonts w:ascii="Times New Roman" w:hAnsi="Times New Roman"/>
          <w:sz w:val="24"/>
          <w:szCs w:val="24"/>
        </w:rPr>
        <w:t>are</w:t>
      </w:r>
      <w:r w:rsidR="00901332" w:rsidRPr="00CC5E79">
        <w:rPr>
          <w:rFonts w:ascii="Times New Roman" w:hAnsi="Times New Roman"/>
          <w:sz w:val="24"/>
          <w:szCs w:val="24"/>
        </w:rPr>
        <w:t xml:space="preserve"> </w:t>
      </w:r>
      <w:r w:rsidRPr="00CC5E79">
        <w:rPr>
          <w:rFonts w:ascii="Times New Roman" w:hAnsi="Times New Roman"/>
          <w:sz w:val="24"/>
          <w:szCs w:val="24"/>
        </w:rPr>
        <w:t>likely to impact on the assessment process and related total waiting time for diagnosis. In order to control for this potentially confounding factor to some extent, only those recommendations which were recorded as being applicable to all participants, were included in the ana</w:t>
      </w:r>
      <w:r w:rsidR="00A801AF" w:rsidRPr="00CC5E79">
        <w:rPr>
          <w:rFonts w:ascii="Times New Roman" w:hAnsi="Times New Roman"/>
          <w:sz w:val="24"/>
          <w:szCs w:val="24"/>
        </w:rPr>
        <w:t>lysis examining the relation</w:t>
      </w:r>
      <w:r w:rsidRPr="00CC5E79">
        <w:rPr>
          <w:rFonts w:ascii="Times New Roman" w:hAnsi="Times New Roman"/>
          <w:sz w:val="24"/>
          <w:szCs w:val="24"/>
        </w:rPr>
        <w:t xml:space="preserve"> between </w:t>
      </w:r>
      <w:r w:rsidR="00887ABF" w:rsidRPr="00CC5E79">
        <w:rPr>
          <w:rFonts w:ascii="Times New Roman" w:hAnsi="Times New Roman"/>
          <w:sz w:val="24"/>
          <w:szCs w:val="24"/>
        </w:rPr>
        <w:t xml:space="preserve">‘recommended practice’ </w:t>
      </w:r>
      <w:r w:rsidRPr="00CC5E79">
        <w:rPr>
          <w:rFonts w:ascii="Times New Roman" w:hAnsi="Times New Roman"/>
          <w:sz w:val="24"/>
          <w:szCs w:val="24"/>
        </w:rPr>
        <w:t>and total waiting times.</w:t>
      </w:r>
      <w:r w:rsidR="001018C5" w:rsidRPr="00CC5E79">
        <w:rPr>
          <w:rFonts w:ascii="Times New Roman" w:hAnsi="Times New Roman"/>
          <w:sz w:val="24"/>
          <w:szCs w:val="24"/>
        </w:rPr>
        <w:t xml:space="preserve"> For this reason, some of the recommendations which would not be applicable to all individuals and which may be indicative of greater clinical complexity were excluded from the analyses e.g. risk assessment of potential harm to others/self- harm. </w:t>
      </w:r>
    </w:p>
    <w:p w:rsidR="00F21E89" w:rsidRPr="00CC5E79" w:rsidRDefault="00F21E89" w:rsidP="007518AA">
      <w:pPr>
        <w:spacing w:line="480" w:lineRule="auto"/>
        <w:rPr>
          <w:rFonts w:ascii="Times New Roman" w:hAnsi="Times New Roman"/>
          <w:b/>
          <w:sz w:val="24"/>
          <w:szCs w:val="24"/>
        </w:rPr>
      </w:pPr>
    </w:p>
    <w:p w:rsidR="00F21E89" w:rsidRPr="00CC5E79" w:rsidRDefault="00F21E89" w:rsidP="00F21E89">
      <w:pPr>
        <w:spacing w:line="480" w:lineRule="auto"/>
        <w:rPr>
          <w:rFonts w:ascii="Times New Roman" w:hAnsi="Times New Roman"/>
          <w:b/>
          <w:sz w:val="24"/>
          <w:szCs w:val="24"/>
        </w:rPr>
      </w:pPr>
      <w:r w:rsidRPr="00CC5E79">
        <w:rPr>
          <w:rFonts w:ascii="Times New Roman" w:hAnsi="Times New Roman"/>
          <w:b/>
          <w:sz w:val="24"/>
          <w:szCs w:val="24"/>
        </w:rPr>
        <w:t>Implications</w:t>
      </w:r>
    </w:p>
    <w:p w:rsidR="007518AA" w:rsidRPr="00CC5E79" w:rsidRDefault="001015A1" w:rsidP="00F21E89">
      <w:pPr>
        <w:spacing w:line="480" w:lineRule="auto"/>
        <w:rPr>
          <w:rFonts w:ascii="Times New Roman" w:hAnsi="Times New Roman"/>
          <w:b/>
          <w:sz w:val="24"/>
          <w:szCs w:val="24"/>
        </w:rPr>
      </w:pPr>
      <w:r w:rsidRPr="00CC5E79">
        <w:rPr>
          <w:rFonts w:ascii="Times New Roman" w:hAnsi="Times New Roman"/>
          <w:sz w:val="24"/>
          <w:szCs w:val="24"/>
        </w:rPr>
        <w:t xml:space="preserve">The study found that existing practice in ASD diagnostic services in Scotland was generally consistent with that recommended in </w:t>
      </w:r>
      <w:r w:rsidR="00415176" w:rsidRPr="00CC5E79">
        <w:rPr>
          <w:rFonts w:ascii="Times New Roman" w:hAnsi="Times New Roman"/>
          <w:sz w:val="24"/>
          <w:szCs w:val="24"/>
        </w:rPr>
        <w:t xml:space="preserve">section 9.2 of the NICE </w:t>
      </w:r>
      <w:r w:rsidR="00333D2D" w:rsidRPr="00CC5E79">
        <w:rPr>
          <w:rFonts w:ascii="Times New Roman" w:hAnsi="Times New Roman"/>
          <w:sz w:val="24"/>
          <w:szCs w:val="24"/>
        </w:rPr>
        <w:t xml:space="preserve">(2012) </w:t>
      </w:r>
      <w:r w:rsidR="00415176" w:rsidRPr="00CC5E79">
        <w:rPr>
          <w:rFonts w:ascii="Times New Roman" w:hAnsi="Times New Roman"/>
          <w:sz w:val="24"/>
          <w:szCs w:val="24"/>
        </w:rPr>
        <w:t>guideline</w:t>
      </w:r>
      <w:r w:rsidRPr="00CC5E79">
        <w:rPr>
          <w:rFonts w:ascii="Times New Roman" w:hAnsi="Times New Roman"/>
          <w:sz w:val="24"/>
          <w:szCs w:val="24"/>
        </w:rPr>
        <w:t xml:space="preserve">. In addition, greater concordance between the existing practice and </w:t>
      </w:r>
      <w:r w:rsidR="00415176" w:rsidRPr="00CC5E79">
        <w:rPr>
          <w:rFonts w:ascii="Times New Roman" w:hAnsi="Times New Roman"/>
          <w:sz w:val="24"/>
          <w:szCs w:val="24"/>
        </w:rPr>
        <w:t xml:space="preserve">those recommendations which were relevant to all included cases </w:t>
      </w:r>
      <w:r w:rsidR="00F97D44" w:rsidRPr="00CC5E79">
        <w:rPr>
          <w:rFonts w:ascii="Times New Roman" w:hAnsi="Times New Roman"/>
          <w:sz w:val="24"/>
          <w:szCs w:val="24"/>
        </w:rPr>
        <w:t xml:space="preserve">sampled </w:t>
      </w:r>
      <w:r w:rsidRPr="00CC5E79">
        <w:rPr>
          <w:rFonts w:ascii="Times New Roman" w:hAnsi="Times New Roman"/>
          <w:sz w:val="24"/>
          <w:szCs w:val="24"/>
        </w:rPr>
        <w:t xml:space="preserve">was not found to be related to increased </w:t>
      </w:r>
      <w:r w:rsidR="00415176" w:rsidRPr="00CC5E79">
        <w:rPr>
          <w:rFonts w:ascii="Times New Roman" w:hAnsi="Times New Roman"/>
          <w:sz w:val="24"/>
          <w:szCs w:val="24"/>
        </w:rPr>
        <w:t>total waiting time for diagnosis</w:t>
      </w:r>
      <w:r w:rsidRPr="00CC5E79">
        <w:rPr>
          <w:rFonts w:ascii="Times New Roman" w:hAnsi="Times New Roman"/>
          <w:sz w:val="24"/>
          <w:szCs w:val="24"/>
        </w:rPr>
        <w:t>. The results</w:t>
      </w:r>
      <w:r w:rsidR="00330A27" w:rsidRPr="00CC5E79">
        <w:rPr>
          <w:rFonts w:ascii="Times New Roman" w:hAnsi="Times New Roman"/>
          <w:sz w:val="24"/>
          <w:szCs w:val="24"/>
        </w:rPr>
        <w:t>, based only on the included recommendations,</w:t>
      </w:r>
      <w:r w:rsidRPr="00CC5E79">
        <w:rPr>
          <w:rFonts w:ascii="Times New Roman" w:hAnsi="Times New Roman"/>
          <w:sz w:val="24"/>
          <w:szCs w:val="24"/>
        </w:rPr>
        <w:t xml:space="preserve"> suggest that the </w:t>
      </w:r>
      <w:r w:rsidR="00415176" w:rsidRPr="00CC5E79">
        <w:rPr>
          <w:rFonts w:ascii="Times New Roman" w:hAnsi="Times New Roman"/>
          <w:sz w:val="24"/>
          <w:szCs w:val="24"/>
        </w:rPr>
        <w:t>section 9.2 recom</w:t>
      </w:r>
      <w:r w:rsidR="00A3626E" w:rsidRPr="00CC5E79">
        <w:rPr>
          <w:rFonts w:ascii="Times New Roman" w:hAnsi="Times New Roman"/>
          <w:sz w:val="24"/>
          <w:szCs w:val="24"/>
        </w:rPr>
        <w:t xml:space="preserve">mendations </w:t>
      </w:r>
      <w:r w:rsidR="000B7305" w:rsidRPr="00CC5E79">
        <w:rPr>
          <w:rFonts w:ascii="Times New Roman" w:hAnsi="Times New Roman"/>
          <w:sz w:val="24"/>
          <w:szCs w:val="24"/>
        </w:rPr>
        <w:t xml:space="preserve">can </w:t>
      </w:r>
      <w:r w:rsidRPr="00CC5E79">
        <w:rPr>
          <w:rFonts w:ascii="Times New Roman" w:hAnsi="Times New Roman"/>
          <w:sz w:val="24"/>
          <w:szCs w:val="24"/>
        </w:rPr>
        <w:t>be integrated into clinical practice in Scotland with relative ease and that it is unlikely to have a n</w:t>
      </w:r>
      <w:r w:rsidR="00185511" w:rsidRPr="00CC5E79">
        <w:rPr>
          <w:rFonts w:ascii="Times New Roman" w:hAnsi="Times New Roman"/>
          <w:sz w:val="24"/>
          <w:szCs w:val="24"/>
        </w:rPr>
        <w:t>egative impact on waiting times</w:t>
      </w:r>
      <w:r w:rsidR="00514A83" w:rsidRPr="00CC5E79">
        <w:rPr>
          <w:rFonts w:ascii="Times New Roman" w:hAnsi="Times New Roman"/>
          <w:sz w:val="24"/>
          <w:szCs w:val="24"/>
        </w:rPr>
        <w:t>.</w:t>
      </w:r>
    </w:p>
    <w:p w:rsidR="00F21E89" w:rsidRPr="00CC5E79" w:rsidRDefault="00F21E89" w:rsidP="007518AA">
      <w:pPr>
        <w:spacing w:line="480" w:lineRule="auto"/>
        <w:jc w:val="both"/>
        <w:rPr>
          <w:rFonts w:ascii="Times New Roman" w:hAnsi="Times New Roman"/>
          <w:b/>
          <w:sz w:val="24"/>
          <w:szCs w:val="24"/>
        </w:rPr>
      </w:pPr>
    </w:p>
    <w:p w:rsidR="00F21E89" w:rsidRPr="00CC5E79" w:rsidRDefault="00F21E89" w:rsidP="007518AA">
      <w:pPr>
        <w:spacing w:line="480" w:lineRule="auto"/>
        <w:jc w:val="both"/>
        <w:rPr>
          <w:rFonts w:ascii="Times New Roman" w:hAnsi="Times New Roman"/>
          <w:b/>
          <w:sz w:val="24"/>
          <w:szCs w:val="24"/>
        </w:rPr>
      </w:pPr>
    </w:p>
    <w:p w:rsidR="00F21E89" w:rsidRPr="00CC5E79" w:rsidRDefault="00F21E89" w:rsidP="007518AA">
      <w:pPr>
        <w:spacing w:line="480" w:lineRule="auto"/>
        <w:jc w:val="both"/>
        <w:rPr>
          <w:rFonts w:ascii="Times New Roman" w:hAnsi="Times New Roman"/>
          <w:b/>
          <w:sz w:val="24"/>
          <w:szCs w:val="24"/>
        </w:rPr>
      </w:pPr>
    </w:p>
    <w:p w:rsidR="007518AA" w:rsidRPr="00CC5E79" w:rsidRDefault="007518AA" w:rsidP="007518AA">
      <w:pPr>
        <w:spacing w:line="480" w:lineRule="auto"/>
        <w:jc w:val="both"/>
        <w:rPr>
          <w:rFonts w:ascii="Times New Roman" w:hAnsi="Times New Roman"/>
          <w:b/>
          <w:sz w:val="24"/>
          <w:szCs w:val="24"/>
        </w:rPr>
      </w:pPr>
      <w:r w:rsidRPr="00CC5E79">
        <w:rPr>
          <w:rFonts w:ascii="Times New Roman" w:hAnsi="Times New Roman"/>
          <w:b/>
          <w:sz w:val="24"/>
          <w:szCs w:val="24"/>
        </w:rPr>
        <w:lastRenderedPageBreak/>
        <w:t>Acknowledgments</w:t>
      </w:r>
    </w:p>
    <w:p w:rsidR="007518AA" w:rsidRPr="00CC5E79" w:rsidRDefault="007518AA" w:rsidP="007518AA">
      <w:pPr>
        <w:spacing w:line="480" w:lineRule="auto"/>
        <w:jc w:val="both"/>
        <w:rPr>
          <w:rFonts w:ascii="Times New Roman" w:hAnsi="Times New Roman"/>
          <w:sz w:val="24"/>
          <w:szCs w:val="24"/>
        </w:rPr>
      </w:pPr>
      <w:r w:rsidRPr="00CC5E79">
        <w:rPr>
          <w:rFonts w:ascii="Times New Roman" w:hAnsi="Times New Roman"/>
          <w:sz w:val="24"/>
          <w:szCs w:val="24"/>
        </w:rPr>
        <w:t xml:space="preserve">We would like to acknowledge {names omitted for blind review} who gathered data for this study. </w:t>
      </w:r>
    </w:p>
    <w:p w:rsidR="00F21E89" w:rsidRPr="00CC5E79" w:rsidRDefault="00F21E89" w:rsidP="007518AA">
      <w:pPr>
        <w:spacing w:line="480" w:lineRule="auto"/>
        <w:jc w:val="both"/>
        <w:rPr>
          <w:rFonts w:ascii="Times New Roman" w:hAnsi="Times New Roman"/>
          <w:b/>
          <w:sz w:val="24"/>
          <w:szCs w:val="24"/>
        </w:rPr>
      </w:pPr>
      <w:r w:rsidRPr="00CC5E79">
        <w:rPr>
          <w:rFonts w:ascii="Times New Roman" w:hAnsi="Times New Roman"/>
          <w:b/>
          <w:sz w:val="24"/>
          <w:szCs w:val="24"/>
        </w:rPr>
        <w:t>Conflict of interests</w:t>
      </w:r>
    </w:p>
    <w:p w:rsidR="00F21E89" w:rsidRPr="00CC5E79" w:rsidRDefault="00F21E89" w:rsidP="007518AA">
      <w:pPr>
        <w:spacing w:line="480" w:lineRule="auto"/>
        <w:jc w:val="both"/>
        <w:rPr>
          <w:rFonts w:ascii="Times New Roman" w:hAnsi="Times New Roman"/>
          <w:sz w:val="24"/>
          <w:szCs w:val="24"/>
        </w:rPr>
      </w:pPr>
      <w:r w:rsidRPr="00CC5E79">
        <w:rPr>
          <w:rFonts w:ascii="Times New Roman" w:hAnsi="Times New Roman"/>
          <w:sz w:val="24"/>
          <w:szCs w:val="24"/>
        </w:rPr>
        <w:t>None</w:t>
      </w:r>
    </w:p>
    <w:p w:rsidR="007518AA" w:rsidRPr="00CC5E79" w:rsidRDefault="007518AA" w:rsidP="007518AA">
      <w:pPr>
        <w:spacing w:line="480" w:lineRule="auto"/>
        <w:jc w:val="both"/>
        <w:rPr>
          <w:rFonts w:ascii="Times New Roman" w:hAnsi="Times New Roman"/>
          <w:b/>
          <w:sz w:val="24"/>
          <w:szCs w:val="24"/>
        </w:rPr>
      </w:pPr>
      <w:r w:rsidRPr="00CC5E79">
        <w:rPr>
          <w:rFonts w:ascii="Times New Roman" w:hAnsi="Times New Roman"/>
          <w:b/>
          <w:sz w:val="24"/>
          <w:szCs w:val="24"/>
        </w:rPr>
        <w:t>Funding</w:t>
      </w:r>
    </w:p>
    <w:p w:rsidR="007518AA" w:rsidRPr="00CC5E79" w:rsidRDefault="007518AA" w:rsidP="007518AA">
      <w:pPr>
        <w:spacing w:line="480" w:lineRule="auto"/>
        <w:jc w:val="both"/>
        <w:rPr>
          <w:rFonts w:ascii="Times New Roman" w:hAnsi="Times New Roman"/>
          <w:sz w:val="24"/>
          <w:szCs w:val="24"/>
        </w:rPr>
      </w:pPr>
      <w:r w:rsidRPr="00CC5E79">
        <w:rPr>
          <w:rFonts w:ascii="Times New Roman" w:hAnsi="Times New Roman"/>
          <w:sz w:val="24"/>
          <w:szCs w:val="24"/>
        </w:rPr>
        <w:t>This publication was supported by a grant from The Scottish Government. Its content is solely the responsibility of the authors and does not necessarily represent the official views of the Scottish Government.</w:t>
      </w:r>
    </w:p>
    <w:p w:rsidR="007518AA" w:rsidRPr="00CC5E79" w:rsidRDefault="007518AA">
      <w:pPr>
        <w:spacing w:after="0" w:line="240" w:lineRule="auto"/>
        <w:rPr>
          <w:rFonts w:ascii="Times New Roman" w:eastAsia="Shaker2Lancet-Bold" w:hAnsi="Times New Roman"/>
          <w:b/>
          <w:bCs/>
          <w:sz w:val="24"/>
          <w:szCs w:val="24"/>
        </w:rPr>
      </w:pPr>
      <w:r w:rsidRPr="00CC5E79">
        <w:rPr>
          <w:rFonts w:ascii="Times New Roman" w:eastAsia="Shaker2Lancet-Bold" w:hAnsi="Times New Roman"/>
          <w:b/>
          <w:bCs/>
          <w:sz w:val="24"/>
          <w:szCs w:val="24"/>
        </w:rPr>
        <w:br w:type="page"/>
      </w:r>
    </w:p>
    <w:p w:rsidR="00F86A90" w:rsidRPr="00CC5E79" w:rsidRDefault="00F86A90" w:rsidP="00643549">
      <w:pPr>
        <w:autoSpaceDE w:val="0"/>
        <w:autoSpaceDN w:val="0"/>
        <w:adjustRightInd w:val="0"/>
        <w:spacing w:after="0" w:line="480" w:lineRule="auto"/>
        <w:jc w:val="both"/>
        <w:rPr>
          <w:rFonts w:ascii="Times New Roman" w:eastAsia="Shaker2Lancet-Bold" w:hAnsi="Times New Roman"/>
          <w:b/>
          <w:bCs/>
          <w:sz w:val="24"/>
          <w:szCs w:val="24"/>
        </w:rPr>
      </w:pPr>
    </w:p>
    <w:p w:rsidR="007518AA" w:rsidRPr="00CC5E79" w:rsidRDefault="008A6FE0" w:rsidP="00330A27">
      <w:pPr>
        <w:spacing w:line="480" w:lineRule="auto"/>
        <w:rPr>
          <w:rFonts w:ascii="Times New Roman" w:hAnsi="Times New Roman"/>
          <w:b/>
          <w:sz w:val="24"/>
          <w:szCs w:val="24"/>
        </w:rPr>
      </w:pPr>
      <w:r w:rsidRPr="00CC5E79">
        <w:rPr>
          <w:rFonts w:ascii="Times New Roman" w:hAnsi="Times New Roman"/>
          <w:b/>
          <w:sz w:val="24"/>
          <w:szCs w:val="24"/>
        </w:rPr>
        <w:t>R</w:t>
      </w:r>
      <w:r w:rsidR="00653482" w:rsidRPr="00CC5E79">
        <w:rPr>
          <w:rFonts w:ascii="Times New Roman" w:hAnsi="Times New Roman"/>
          <w:b/>
          <w:sz w:val="24"/>
          <w:szCs w:val="24"/>
        </w:rPr>
        <w:t>eferences</w:t>
      </w:r>
    </w:p>
    <w:p w:rsidR="0060032E" w:rsidRPr="00CC5E79" w:rsidRDefault="0060032E" w:rsidP="00330A27">
      <w:pPr>
        <w:spacing w:line="480" w:lineRule="auto"/>
        <w:rPr>
          <w:rFonts w:ascii="Times New Roman" w:hAnsi="Times New Roman"/>
          <w:sz w:val="24"/>
          <w:szCs w:val="24"/>
        </w:rPr>
      </w:pPr>
      <w:proofErr w:type="spellStart"/>
      <w:r w:rsidRPr="00CC5E79">
        <w:rPr>
          <w:rFonts w:ascii="Times New Roman" w:hAnsi="Times New Roman"/>
          <w:sz w:val="24"/>
          <w:szCs w:val="24"/>
        </w:rPr>
        <w:t>Bazian</w:t>
      </w:r>
      <w:proofErr w:type="spellEnd"/>
      <w:r w:rsidRPr="00CC5E79">
        <w:rPr>
          <w:rFonts w:ascii="Times New Roman" w:hAnsi="Times New Roman"/>
          <w:sz w:val="24"/>
          <w:szCs w:val="24"/>
        </w:rPr>
        <w:t xml:space="preserve"> Ltd (2005). Do evidence-based guidelines improve the quality of care?</w:t>
      </w:r>
      <w:r w:rsidRPr="00CC5E79">
        <w:t xml:space="preserve"> </w:t>
      </w:r>
      <w:r w:rsidR="00FA7A3D" w:rsidRPr="00CC5E79">
        <w:rPr>
          <w:rFonts w:ascii="Times New Roman" w:hAnsi="Times New Roman"/>
          <w:i/>
          <w:sz w:val="24"/>
          <w:szCs w:val="24"/>
        </w:rPr>
        <w:t>Evidence-based H</w:t>
      </w:r>
      <w:r w:rsidRPr="00CC5E79">
        <w:rPr>
          <w:rFonts w:ascii="Times New Roman" w:hAnsi="Times New Roman"/>
          <w:i/>
          <w:sz w:val="24"/>
          <w:szCs w:val="24"/>
        </w:rPr>
        <w:t>ealth</w:t>
      </w:r>
      <w:r w:rsidR="00FA7A3D" w:rsidRPr="00CC5E79">
        <w:rPr>
          <w:rFonts w:ascii="Times New Roman" w:hAnsi="Times New Roman"/>
          <w:i/>
          <w:sz w:val="24"/>
          <w:szCs w:val="24"/>
        </w:rPr>
        <w:t xml:space="preserve"> Care and P</w:t>
      </w:r>
      <w:r w:rsidRPr="00CC5E79">
        <w:rPr>
          <w:rFonts w:ascii="Times New Roman" w:hAnsi="Times New Roman"/>
          <w:i/>
          <w:sz w:val="24"/>
          <w:szCs w:val="24"/>
        </w:rPr>
        <w:t xml:space="preserve">ublic </w:t>
      </w:r>
      <w:r w:rsidR="00FA7A3D" w:rsidRPr="00CC5E79">
        <w:rPr>
          <w:rFonts w:ascii="Times New Roman" w:hAnsi="Times New Roman"/>
          <w:i/>
          <w:sz w:val="24"/>
          <w:szCs w:val="24"/>
        </w:rPr>
        <w:t>H</w:t>
      </w:r>
      <w:r w:rsidRPr="00CC5E79">
        <w:rPr>
          <w:rFonts w:ascii="Times New Roman" w:hAnsi="Times New Roman"/>
          <w:i/>
          <w:sz w:val="24"/>
          <w:szCs w:val="24"/>
        </w:rPr>
        <w:t>ealth, 9</w:t>
      </w:r>
      <w:r w:rsidRPr="00CC5E79">
        <w:rPr>
          <w:rFonts w:ascii="Times New Roman" w:hAnsi="Times New Roman"/>
          <w:sz w:val="24"/>
          <w:szCs w:val="24"/>
        </w:rPr>
        <w:t>(4), 270-275.</w:t>
      </w:r>
    </w:p>
    <w:p w:rsidR="007675E7" w:rsidRPr="00CC5E79" w:rsidRDefault="007675E7" w:rsidP="00330A27">
      <w:pPr>
        <w:spacing w:line="480" w:lineRule="auto"/>
        <w:rPr>
          <w:rFonts w:ascii="Times New Roman" w:hAnsi="Times New Roman"/>
          <w:sz w:val="24"/>
          <w:szCs w:val="24"/>
        </w:rPr>
      </w:pPr>
      <w:proofErr w:type="spellStart"/>
      <w:r w:rsidRPr="00CC5E79">
        <w:rPr>
          <w:rFonts w:ascii="Times New Roman" w:hAnsi="Times New Roman"/>
          <w:sz w:val="24"/>
          <w:szCs w:val="24"/>
          <w:shd w:val="clear" w:color="auto" w:fill="FFFFFF"/>
        </w:rPr>
        <w:t>Bishara</w:t>
      </w:r>
      <w:proofErr w:type="spellEnd"/>
      <w:r w:rsidRPr="00CC5E79">
        <w:rPr>
          <w:rFonts w:ascii="Times New Roman" w:hAnsi="Times New Roman"/>
          <w:sz w:val="24"/>
          <w:szCs w:val="24"/>
          <w:shd w:val="clear" w:color="auto" w:fill="FFFFFF"/>
        </w:rPr>
        <w:t xml:space="preserve">, A. J. &amp; </w:t>
      </w:r>
      <w:proofErr w:type="spellStart"/>
      <w:r w:rsidRPr="00CC5E79">
        <w:rPr>
          <w:rFonts w:ascii="Times New Roman" w:hAnsi="Times New Roman"/>
          <w:sz w:val="24"/>
          <w:szCs w:val="24"/>
          <w:shd w:val="clear" w:color="auto" w:fill="FFFFFF"/>
        </w:rPr>
        <w:t>Hittner</w:t>
      </w:r>
      <w:proofErr w:type="spellEnd"/>
      <w:r w:rsidRPr="00CC5E79">
        <w:rPr>
          <w:rFonts w:ascii="Times New Roman" w:hAnsi="Times New Roman"/>
          <w:sz w:val="24"/>
          <w:szCs w:val="24"/>
          <w:shd w:val="clear" w:color="auto" w:fill="FFFFFF"/>
        </w:rPr>
        <w:t xml:space="preserve">, J. B. (2012). Testing the significance of a correlation with </w:t>
      </w:r>
      <w:proofErr w:type="spellStart"/>
      <w:r w:rsidRPr="00CC5E79">
        <w:rPr>
          <w:rFonts w:ascii="Times New Roman" w:hAnsi="Times New Roman"/>
          <w:sz w:val="24"/>
          <w:szCs w:val="24"/>
          <w:shd w:val="clear" w:color="auto" w:fill="FFFFFF"/>
        </w:rPr>
        <w:t>nonnormal</w:t>
      </w:r>
      <w:proofErr w:type="spellEnd"/>
      <w:r w:rsidRPr="00CC5E79">
        <w:rPr>
          <w:rFonts w:ascii="Times New Roman" w:hAnsi="Times New Roman"/>
          <w:sz w:val="24"/>
          <w:szCs w:val="24"/>
          <w:shd w:val="clear" w:color="auto" w:fill="FFFFFF"/>
        </w:rPr>
        <w:t xml:space="preserve"> data: comparison of Pearson, Spearman, transformation, and resampling approaches.</w:t>
      </w:r>
      <w:r w:rsidRPr="00CC5E79">
        <w:rPr>
          <w:rStyle w:val="apple-converted-space"/>
          <w:rFonts w:ascii="Times New Roman" w:hAnsi="Times New Roman"/>
          <w:sz w:val="24"/>
          <w:szCs w:val="24"/>
          <w:shd w:val="clear" w:color="auto" w:fill="FFFFFF"/>
        </w:rPr>
        <w:t> </w:t>
      </w:r>
      <w:r w:rsidRPr="00CC5E79">
        <w:rPr>
          <w:rFonts w:ascii="Times New Roman" w:hAnsi="Times New Roman"/>
          <w:i/>
          <w:iCs/>
          <w:sz w:val="24"/>
          <w:szCs w:val="24"/>
          <w:shd w:val="clear" w:color="auto" w:fill="FFFFFF"/>
        </w:rPr>
        <w:t>Psychological methods</w:t>
      </w:r>
      <w:r w:rsidRPr="00CC5E79">
        <w:rPr>
          <w:rFonts w:ascii="Times New Roman" w:hAnsi="Times New Roman"/>
          <w:sz w:val="24"/>
          <w:szCs w:val="24"/>
          <w:shd w:val="clear" w:color="auto" w:fill="FFFFFF"/>
        </w:rPr>
        <w:t>,</w:t>
      </w:r>
      <w:r w:rsidRPr="00CC5E79">
        <w:rPr>
          <w:rStyle w:val="apple-converted-space"/>
          <w:rFonts w:ascii="Times New Roman" w:hAnsi="Times New Roman"/>
          <w:sz w:val="24"/>
          <w:szCs w:val="24"/>
          <w:shd w:val="clear" w:color="auto" w:fill="FFFFFF"/>
        </w:rPr>
        <w:t> </w:t>
      </w:r>
      <w:r w:rsidRPr="00CC5E79">
        <w:rPr>
          <w:rFonts w:ascii="Times New Roman" w:hAnsi="Times New Roman"/>
          <w:i/>
          <w:iCs/>
          <w:sz w:val="24"/>
          <w:szCs w:val="24"/>
          <w:shd w:val="clear" w:color="auto" w:fill="FFFFFF"/>
        </w:rPr>
        <w:t>17</w:t>
      </w:r>
      <w:r w:rsidRPr="00CC5E79">
        <w:rPr>
          <w:rFonts w:ascii="Times New Roman" w:hAnsi="Times New Roman"/>
          <w:sz w:val="24"/>
          <w:szCs w:val="24"/>
          <w:shd w:val="clear" w:color="auto" w:fill="FFFFFF"/>
        </w:rPr>
        <w:t>(3), 399-417.</w:t>
      </w:r>
    </w:p>
    <w:p w:rsidR="00276A33" w:rsidRPr="00CC5E79" w:rsidRDefault="00276A33" w:rsidP="00D96CD5">
      <w:pPr>
        <w:pStyle w:val="NormalWeb"/>
        <w:spacing w:line="360" w:lineRule="auto"/>
        <w:jc w:val="both"/>
        <w:divId w:val="522475962"/>
      </w:pPr>
      <w:r w:rsidRPr="00CC5E79">
        <w:t>Cooksey</w:t>
      </w:r>
      <w:r w:rsidR="00FA7A3D" w:rsidRPr="00CC5E79">
        <w:t xml:space="preserve">, </w:t>
      </w:r>
      <w:r w:rsidRPr="00CC5E79">
        <w:t>D</w:t>
      </w:r>
      <w:r w:rsidR="00FA7A3D" w:rsidRPr="00CC5E79">
        <w:t>.</w:t>
      </w:r>
      <w:r w:rsidR="00653482" w:rsidRPr="00CC5E79">
        <w:t xml:space="preserve"> </w:t>
      </w:r>
      <w:r w:rsidR="00FA7A3D" w:rsidRPr="00CC5E79">
        <w:t xml:space="preserve">&amp; </w:t>
      </w:r>
      <w:r w:rsidRPr="00CC5E79">
        <w:t>Cooksey</w:t>
      </w:r>
      <w:r w:rsidR="00FA7A3D" w:rsidRPr="00CC5E79">
        <w:t>,</w:t>
      </w:r>
      <w:r w:rsidRPr="00CC5E79">
        <w:t xml:space="preserve"> D</w:t>
      </w:r>
      <w:r w:rsidR="00FA7A3D" w:rsidRPr="00CC5E79">
        <w:t>.</w:t>
      </w:r>
      <w:r w:rsidR="00653482" w:rsidRPr="00CC5E79">
        <w:t>S</w:t>
      </w:r>
      <w:r w:rsidR="00FA7A3D" w:rsidRPr="00CC5E79">
        <w:t>.</w:t>
      </w:r>
      <w:r w:rsidR="00653482" w:rsidRPr="00CC5E79">
        <w:t xml:space="preserve"> (2006)</w:t>
      </w:r>
      <w:r w:rsidR="00FA7A3D" w:rsidRPr="00CC5E79">
        <w:t>.</w:t>
      </w:r>
      <w:r w:rsidR="00AA072D" w:rsidRPr="00CC5E79">
        <w:t xml:space="preserve"> </w:t>
      </w:r>
      <w:r w:rsidRPr="00CC5E79">
        <w:rPr>
          <w:i/>
        </w:rPr>
        <w:t>A review of UK health research funding</w:t>
      </w:r>
      <w:r w:rsidR="00653482" w:rsidRPr="00CC5E79">
        <w:t xml:space="preserve"> </w:t>
      </w:r>
      <w:r w:rsidR="00F21E89" w:rsidRPr="00CC5E79">
        <w:t>Norwich: HMSO</w:t>
      </w:r>
      <w:r w:rsidR="00FA7A3D" w:rsidRPr="00CC5E79">
        <w:t>.</w:t>
      </w:r>
    </w:p>
    <w:p w:rsidR="00ED2844" w:rsidRPr="00CC5E79" w:rsidRDefault="00ED2844" w:rsidP="00ED2844">
      <w:pPr>
        <w:pStyle w:val="NormalWeb"/>
        <w:spacing w:line="360" w:lineRule="auto"/>
        <w:jc w:val="both"/>
        <w:divId w:val="522475962"/>
      </w:pPr>
      <w:r w:rsidRPr="00CC5E79">
        <w:t xml:space="preserve">Crane, L., Chester, J., Goddard, L., Henry, L.A., &amp; Hill, E.L. (2015). Experiences of autism diagnosis: A survey of over 1000 parents in the United Kingdom. </w:t>
      </w:r>
      <w:r w:rsidRPr="00CC5E79">
        <w:rPr>
          <w:i/>
        </w:rPr>
        <w:t>Autism: The International Journal of Research and Practice</w:t>
      </w:r>
      <w:r w:rsidRPr="00CC5E79">
        <w:t xml:space="preserve">, 25, Early view online: </w:t>
      </w:r>
      <w:proofErr w:type="spellStart"/>
      <w:r w:rsidRPr="00CC5E79">
        <w:t>doi</w:t>
      </w:r>
      <w:proofErr w:type="spellEnd"/>
      <w:r w:rsidRPr="00CC5E79">
        <w:t>: 10.1177/1362361315573636</w:t>
      </w:r>
    </w:p>
    <w:p w:rsidR="001C0370" w:rsidRPr="00CC5E79" w:rsidRDefault="00276A33" w:rsidP="00D96CD5">
      <w:pPr>
        <w:pStyle w:val="NormalWeb"/>
        <w:spacing w:line="360" w:lineRule="auto"/>
        <w:jc w:val="both"/>
        <w:divId w:val="522475962"/>
      </w:pPr>
      <w:proofErr w:type="spellStart"/>
      <w:r w:rsidRPr="00CC5E79">
        <w:t>Currin</w:t>
      </w:r>
      <w:proofErr w:type="spellEnd"/>
      <w:r w:rsidR="00FA7A3D" w:rsidRPr="00CC5E79">
        <w:t>,</w:t>
      </w:r>
      <w:r w:rsidRPr="00CC5E79">
        <w:t xml:space="preserve"> L</w:t>
      </w:r>
      <w:r w:rsidR="00FA7A3D" w:rsidRPr="00CC5E79">
        <w:t>.</w:t>
      </w:r>
      <w:r w:rsidRPr="00CC5E79">
        <w:t>, Waller</w:t>
      </w:r>
      <w:r w:rsidR="00FA7A3D" w:rsidRPr="00CC5E79">
        <w:t>,</w:t>
      </w:r>
      <w:r w:rsidRPr="00CC5E79">
        <w:t xml:space="preserve"> G</w:t>
      </w:r>
      <w:r w:rsidR="00FA7A3D" w:rsidRPr="00CC5E79">
        <w:t>.</w:t>
      </w:r>
      <w:r w:rsidRPr="00CC5E79">
        <w:t>, Treasure</w:t>
      </w:r>
      <w:r w:rsidR="00FA7A3D" w:rsidRPr="00CC5E79">
        <w:t>,</w:t>
      </w:r>
      <w:r w:rsidRPr="00CC5E79">
        <w:t xml:space="preserve"> J, </w:t>
      </w:r>
      <w:proofErr w:type="spellStart"/>
      <w:r w:rsidRPr="00CC5E79">
        <w:t>Nodder</w:t>
      </w:r>
      <w:proofErr w:type="spellEnd"/>
      <w:r w:rsidR="00FA7A3D" w:rsidRPr="00CC5E79">
        <w:t>,</w:t>
      </w:r>
      <w:r w:rsidRPr="00CC5E79">
        <w:t xml:space="preserve"> J</w:t>
      </w:r>
      <w:r w:rsidR="00FA7A3D" w:rsidRPr="00CC5E79">
        <w:t>.</w:t>
      </w:r>
      <w:r w:rsidRPr="00CC5E79">
        <w:t>, Stone</w:t>
      </w:r>
      <w:r w:rsidR="00FA7A3D" w:rsidRPr="00CC5E79">
        <w:t>,</w:t>
      </w:r>
      <w:r w:rsidRPr="00CC5E79">
        <w:t xml:space="preserve"> C</w:t>
      </w:r>
      <w:r w:rsidR="00FA7A3D" w:rsidRPr="00CC5E79">
        <w:t>.</w:t>
      </w:r>
      <w:r w:rsidRPr="00CC5E79">
        <w:t xml:space="preserve">, </w:t>
      </w:r>
      <w:proofErr w:type="spellStart"/>
      <w:r w:rsidRPr="00CC5E79">
        <w:t>Yeomans</w:t>
      </w:r>
      <w:proofErr w:type="spellEnd"/>
      <w:r w:rsidR="00FA7A3D" w:rsidRPr="00CC5E79">
        <w:t>,</w:t>
      </w:r>
      <w:r w:rsidRPr="00CC5E79">
        <w:t xml:space="preserve"> M</w:t>
      </w:r>
      <w:r w:rsidR="00FA7A3D" w:rsidRPr="00CC5E79">
        <w:t>.</w:t>
      </w:r>
      <w:r w:rsidR="00653482" w:rsidRPr="00CC5E79">
        <w:t xml:space="preserve"> et al. (2007)</w:t>
      </w:r>
      <w:r w:rsidR="00FA7A3D" w:rsidRPr="00CC5E79">
        <w:t>.</w:t>
      </w:r>
      <w:r w:rsidR="006C16D8" w:rsidRPr="00CC5E79">
        <w:t xml:space="preserve"> </w:t>
      </w:r>
      <w:r w:rsidRPr="00CC5E79">
        <w:t xml:space="preserve">The use of guidelines for dissemination of "best practice" in primary care of patients with eating disorders. </w:t>
      </w:r>
      <w:r w:rsidR="001C0370" w:rsidRPr="00CC5E79">
        <w:rPr>
          <w:i/>
          <w:iCs/>
        </w:rPr>
        <w:t>International Journal of Eating Disorders</w:t>
      </w:r>
      <w:r w:rsidR="00FA7A3D" w:rsidRPr="00CC5E79">
        <w:rPr>
          <w:i/>
          <w:iCs/>
        </w:rPr>
        <w:t>,</w:t>
      </w:r>
      <w:r w:rsidR="001C0370" w:rsidRPr="00CC5E79">
        <w:t xml:space="preserve"> </w:t>
      </w:r>
      <w:r w:rsidR="001C0370" w:rsidRPr="00CC5E79">
        <w:rPr>
          <w:i/>
          <w:iCs/>
        </w:rPr>
        <w:t>40</w:t>
      </w:r>
      <w:r w:rsidR="00653482" w:rsidRPr="00CC5E79">
        <w:t>(5)</w:t>
      </w:r>
      <w:r w:rsidR="00FA7A3D" w:rsidRPr="00CC5E79">
        <w:t xml:space="preserve">, </w:t>
      </w:r>
      <w:r w:rsidR="001C0370" w:rsidRPr="00CC5E79">
        <w:t>476-479</w:t>
      </w:r>
      <w:r w:rsidR="00FA7A3D" w:rsidRPr="00CC5E79">
        <w:t>.</w:t>
      </w:r>
      <w:r w:rsidR="001C0370" w:rsidRPr="00CC5E79">
        <w:t xml:space="preserve"> </w:t>
      </w:r>
    </w:p>
    <w:p w:rsidR="00276A33" w:rsidRPr="00CC5E79" w:rsidRDefault="00653482" w:rsidP="00D96CD5">
      <w:pPr>
        <w:pStyle w:val="NormalWeb"/>
        <w:spacing w:line="360" w:lineRule="auto"/>
        <w:jc w:val="both"/>
        <w:divId w:val="522475962"/>
      </w:pPr>
      <w:r w:rsidRPr="00CC5E79">
        <w:t>Department of Health</w:t>
      </w:r>
      <w:r w:rsidR="00276A33" w:rsidRPr="00CC5E79">
        <w:t xml:space="preserve"> </w:t>
      </w:r>
      <w:r w:rsidRPr="00CC5E79">
        <w:t>(2013)</w:t>
      </w:r>
      <w:r w:rsidR="00FA7A3D" w:rsidRPr="00CC5E79">
        <w:t>.</w:t>
      </w:r>
      <w:r w:rsidR="006C16D8" w:rsidRPr="00CC5E79">
        <w:t xml:space="preserve"> </w:t>
      </w:r>
      <w:r w:rsidR="00276A33" w:rsidRPr="00CC5E79">
        <w:rPr>
          <w:i/>
        </w:rPr>
        <w:t>The Handbook to the NHS Constitution</w:t>
      </w:r>
      <w:r w:rsidR="006C16D8" w:rsidRPr="00CC5E79">
        <w:t xml:space="preserve">. </w:t>
      </w:r>
      <w:r w:rsidR="00F21E89" w:rsidRPr="00CC5E79">
        <w:t xml:space="preserve">London: </w:t>
      </w:r>
      <w:r w:rsidR="006C16D8" w:rsidRPr="00CC5E79">
        <w:t>Department of Health</w:t>
      </w:r>
      <w:r w:rsidR="00FA7A3D" w:rsidRPr="00CC5E79">
        <w:t>.</w:t>
      </w:r>
    </w:p>
    <w:p w:rsidR="00276A33" w:rsidRPr="00CC5E79" w:rsidRDefault="00276A33" w:rsidP="00D96CD5">
      <w:pPr>
        <w:pStyle w:val="NormalWeb"/>
        <w:spacing w:line="360" w:lineRule="auto"/>
        <w:jc w:val="both"/>
        <w:divId w:val="522475962"/>
      </w:pPr>
      <w:proofErr w:type="spellStart"/>
      <w:r w:rsidRPr="00CC5E79">
        <w:t>Goin</w:t>
      </w:r>
      <w:proofErr w:type="spellEnd"/>
      <w:r w:rsidR="00FA7A3D" w:rsidRPr="00CC5E79">
        <w:t>,</w:t>
      </w:r>
      <w:r w:rsidRPr="00CC5E79">
        <w:t xml:space="preserve"> R</w:t>
      </w:r>
      <w:r w:rsidR="00FA7A3D" w:rsidRPr="00CC5E79">
        <w:t>.</w:t>
      </w:r>
      <w:r w:rsidRPr="00CC5E79">
        <w:t>P</w:t>
      </w:r>
      <w:r w:rsidR="00FA7A3D" w:rsidRPr="00CC5E79">
        <w:t>.</w:t>
      </w:r>
      <w:r w:rsidR="00653482" w:rsidRPr="00CC5E79">
        <w:t xml:space="preserve"> </w:t>
      </w:r>
      <w:r w:rsidR="00FA7A3D" w:rsidRPr="00CC5E79">
        <w:t xml:space="preserve">&amp; </w:t>
      </w:r>
      <w:r w:rsidRPr="00CC5E79">
        <w:t>Myers</w:t>
      </w:r>
      <w:r w:rsidR="00FA7A3D" w:rsidRPr="00CC5E79">
        <w:t>,</w:t>
      </w:r>
      <w:r w:rsidRPr="00CC5E79">
        <w:t xml:space="preserve"> B</w:t>
      </w:r>
      <w:r w:rsidR="00FA7A3D" w:rsidRPr="00CC5E79">
        <w:t>.</w:t>
      </w:r>
      <w:r w:rsidR="00653482" w:rsidRPr="00CC5E79">
        <w:t>J</w:t>
      </w:r>
      <w:r w:rsidR="00FA7A3D" w:rsidRPr="00CC5E79">
        <w:t>.</w:t>
      </w:r>
      <w:r w:rsidR="00653482" w:rsidRPr="00CC5E79">
        <w:t xml:space="preserve"> (2004)</w:t>
      </w:r>
      <w:r w:rsidR="00FA7A3D" w:rsidRPr="00CC5E79">
        <w:t>.</w:t>
      </w:r>
      <w:r w:rsidRPr="00CC5E79">
        <w:t xml:space="preserve"> Characteristi</w:t>
      </w:r>
      <w:r w:rsidR="00993573" w:rsidRPr="00CC5E79">
        <w:t>cs of Infantile Autism: Moving toward earlier d</w:t>
      </w:r>
      <w:r w:rsidRPr="00CC5E79">
        <w:t xml:space="preserve">etection. </w:t>
      </w:r>
      <w:r w:rsidRPr="00CC5E79">
        <w:rPr>
          <w:i/>
        </w:rPr>
        <w:t>Focus on Autism and O</w:t>
      </w:r>
      <w:r w:rsidR="00653482" w:rsidRPr="00CC5E79">
        <w:rPr>
          <w:i/>
        </w:rPr>
        <w:t>ther Developmental Disabilities</w:t>
      </w:r>
      <w:r w:rsidR="00FA7A3D" w:rsidRPr="00CC5E79">
        <w:rPr>
          <w:i/>
        </w:rPr>
        <w:t>,</w:t>
      </w:r>
      <w:r w:rsidR="00560D47" w:rsidRPr="00CC5E79">
        <w:rPr>
          <w:i/>
        </w:rPr>
        <w:t xml:space="preserve"> </w:t>
      </w:r>
      <w:r w:rsidRPr="00CC5E79">
        <w:rPr>
          <w:i/>
        </w:rPr>
        <w:t>19</w:t>
      </w:r>
      <w:r w:rsidRPr="00CC5E79">
        <w:t>(1)</w:t>
      </w:r>
      <w:r w:rsidR="00FA7A3D" w:rsidRPr="00CC5E79">
        <w:t xml:space="preserve">, </w:t>
      </w:r>
      <w:r w:rsidRPr="00CC5E79">
        <w:t xml:space="preserve">5-12. </w:t>
      </w:r>
    </w:p>
    <w:p w:rsidR="00276A33" w:rsidRPr="00CC5E79" w:rsidRDefault="00276A33" w:rsidP="00D96CD5">
      <w:pPr>
        <w:pStyle w:val="NormalWeb"/>
        <w:spacing w:line="360" w:lineRule="auto"/>
        <w:jc w:val="both"/>
        <w:divId w:val="522475962"/>
      </w:pPr>
      <w:r w:rsidRPr="00CC5E79">
        <w:t>Goldman</w:t>
      </w:r>
      <w:r w:rsidR="00FA7A3D" w:rsidRPr="00CC5E79">
        <w:t>,</w:t>
      </w:r>
      <w:r w:rsidR="00560D47" w:rsidRPr="00CC5E79">
        <w:t xml:space="preserve"> </w:t>
      </w:r>
      <w:r w:rsidRPr="00CC5E79">
        <w:t>M</w:t>
      </w:r>
      <w:r w:rsidR="00FA7A3D" w:rsidRPr="00CC5E79">
        <w:t>.</w:t>
      </w:r>
      <w:r w:rsidRPr="00CC5E79">
        <w:t>, Healy</w:t>
      </w:r>
      <w:r w:rsidR="00FA7A3D" w:rsidRPr="00CC5E79">
        <w:t>,</w:t>
      </w:r>
      <w:r w:rsidRPr="00CC5E79">
        <w:t xml:space="preserve"> D</w:t>
      </w:r>
      <w:r w:rsidR="00FA7A3D" w:rsidRPr="00CC5E79">
        <w:t>.</w:t>
      </w:r>
      <w:r w:rsidRPr="00CC5E79">
        <w:t>J</w:t>
      </w:r>
      <w:r w:rsidR="00FA7A3D" w:rsidRPr="00CC5E79">
        <w:t>.</w:t>
      </w:r>
      <w:r w:rsidRPr="00CC5E79">
        <w:t>, Florence</w:t>
      </w:r>
      <w:r w:rsidR="00FA7A3D" w:rsidRPr="00CC5E79">
        <w:t>,</w:t>
      </w:r>
      <w:r w:rsidRPr="00CC5E79">
        <w:t xml:space="preserve"> T</w:t>
      </w:r>
      <w:r w:rsidR="00FA7A3D" w:rsidRPr="00CC5E79">
        <w:t>.</w:t>
      </w:r>
      <w:r w:rsidRPr="00CC5E79">
        <w:t>, Simpson</w:t>
      </w:r>
      <w:r w:rsidR="00FA7A3D" w:rsidRPr="00CC5E79">
        <w:t>,</w:t>
      </w:r>
      <w:r w:rsidRPr="00CC5E79">
        <w:t xml:space="preserve"> L</w:t>
      </w:r>
      <w:r w:rsidR="00FA7A3D" w:rsidRPr="00CC5E79">
        <w:t>. &amp;</w:t>
      </w:r>
      <w:r w:rsidR="00B60E28" w:rsidRPr="00CC5E79">
        <w:t xml:space="preserve"> </w:t>
      </w:r>
      <w:r w:rsidRPr="00CC5E79">
        <w:t>Milner</w:t>
      </w:r>
      <w:r w:rsidR="00FA7A3D" w:rsidRPr="00CC5E79">
        <w:t>,</w:t>
      </w:r>
      <w:r w:rsidRPr="00CC5E79">
        <w:t xml:space="preserve"> K</w:t>
      </w:r>
      <w:r w:rsidR="00FA7A3D" w:rsidRPr="00CC5E79">
        <w:t>.</w:t>
      </w:r>
      <w:r w:rsidR="00B60E28" w:rsidRPr="00CC5E79">
        <w:t>K</w:t>
      </w:r>
      <w:r w:rsidR="00FA7A3D" w:rsidRPr="00CC5E79">
        <w:t>.</w:t>
      </w:r>
      <w:r w:rsidR="00B60E28" w:rsidRPr="00CC5E79">
        <w:t xml:space="preserve"> (2003)</w:t>
      </w:r>
      <w:r w:rsidR="00FA7A3D" w:rsidRPr="00CC5E79">
        <w:t>.</w:t>
      </w:r>
      <w:r w:rsidRPr="00CC5E79">
        <w:t xml:space="preserve"> Assessing conformance to medication treatment guidelines for schizophrenia in a community mental health </w:t>
      </w:r>
      <w:proofErr w:type="spellStart"/>
      <w:r w:rsidRPr="00CC5E79">
        <w:t>center</w:t>
      </w:r>
      <w:proofErr w:type="spellEnd"/>
      <w:r w:rsidRPr="00CC5E79">
        <w:t xml:space="preserve"> </w:t>
      </w:r>
      <w:r w:rsidR="00560D47" w:rsidRPr="00CC5E79">
        <w:t xml:space="preserve">(CMHC). </w:t>
      </w:r>
      <w:r w:rsidR="00560D47" w:rsidRPr="00CC5E79">
        <w:rPr>
          <w:i/>
        </w:rPr>
        <w:t>Community Ment</w:t>
      </w:r>
      <w:r w:rsidR="00F87BB5" w:rsidRPr="00CC5E79">
        <w:rPr>
          <w:i/>
        </w:rPr>
        <w:t>al</w:t>
      </w:r>
      <w:r w:rsidR="00560D47" w:rsidRPr="00CC5E79">
        <w:rPr>
          <w:i/>
        </w:rPr>
        <w:t xml:space="preserve"> Health J</w:t>
      </w:r>
      <w:r w:rsidR="00F87BB5" w:rsidRPr="00CC5E79">
        <w:rPr>
          <w:i/>
        </w:rPr>
        <w:t>ournal</w:t>
      </w:r>
      <w:r w:rsidR="00FA7A3D" w:rsidRPr="00CC5E79">
        <w:rPr>
          <w:i/>
        </w:rPr>
        <w:t>,</w:t>
      </w:r>
      <w:r w:rsidRPr="00CC5E79">
        <w:rPr>
          <w:i/>
        </w:rPr>
        <w:t xml:space="preserve"> 39</w:t>
      </w:r>
      <w:r w:rsidRPr="00CC5E79">
        <w:t>(6)</w:t>
      </w:r>
      <w:r w:rsidR="00FA7A3D" w:rsidRPr="00CC5E79">
        <w:t xml:space="preserve">, </w:t>
      </w:r>
      <w:r w:rsidR="00B60E28" w:rsidRPr="00CC5E79">
        <w:t>549-555</w:t>
      </w:r>
      <w:r w:rsidR="00FA7A3D" w:rsidRPr="00CC5E79">
        <w:t>.</w:t>
      </w:r>
    </w:p>
    <w:p w:rsidR="00276A33" w:rsidRPr="00CC5E79" w:rsidRDefault="00276A33" w:rsidP="00D96CD5">
      <w:pPr>
        <w:pStyle w:val="NormalWeb"/>
        <w:spacing w:line="360" w:lineRule="auto"/>
        <w:jc w:val="both"/>
        <w:divId w:val="522475962"/>
      </w:pPr>
      <w:proofErr w:type="spellStart"/>
      <w:r w:rsidRPr="00CC5E79">
        <w:t>Gyani</w:t>
      </w:r>
      <w:proofErr w:type="spellEnd"/>
      <w:r w:rsidR="00FA7A3D" w:rsidRPr="00CC5E79">
        <w:t>,</w:t>
      </w:r>
      <w:r w:rsidR="00B60E28" w:rsidRPr="00CC5E79">
        <w:t xml:space="preserve"> </w:t>
      </w:r>
      <w:r w:rsidRPr="00CC5E79">
        <w:t>A</w:t>
      </w:r>
      <w:r w:rsidR="00FA7A3D" w:rsidRPr="00CC5E79">
        <w:t>.</w:t>
      </w:r>
      <w:r w:rsidRPr="00CC5E79">
        <w:t xml:space="preserve">, </w:t>
      </w:r>
      <w:proofErr w:type="spellStart"/>
      <w:r w:rsidRPr="00CC5E79">
        <w:t>Shafran</w:t>
      </w:r>
      <w:proofErr w:type="spellEnd"/>
      <w:r w:rsidR="00FA7A3D" w:rsidRPr="00CC5E79">
        <w:t>,</w:t>
      </w:r>
      <w:r w:rsidRPr="00CC5E79">
        <w:t xml:space="preserve"> R</w:t>
      </w:r>
      <w:r w:rsidR="00FA7A3D" w:rsidRPr="00CC5E79">
        <w:t>.,</w:t>
      </w:r>
      <w:r w:rsidR="00B60E28" w:rsidRPr="00CC5E79">
        <w:t xml:space="preserve"> </w:t>
      </w:r>
      <w:r w:rsidR="00FA7A3D" w:rsidRPr="00CC5E79">
        <w:t xml:space="preserve">&amp; </w:t>
      </w:r>
      <w:r w:rsidRPr="00CC5E79">
        <w:t>Rose</w:t>
      </w:r>
      <w:r w:rsidR="00FA7A3D" w:rsidRPr="00CC5E79">
        <w:t>,</w:t>
      </w:r>
      <w:r w:rsidR="00B60E28" w:rsidRPr="00CC5E79">
        <w:t xml:space="preserve"> S</w:t>
      </w:r>
      <w:r w:rsidR="00FA7A3D" w:rsidRPr="00CC5E79">
        <w:t>.</w:t>
      </w:r>
      <w:r w:rsidR="00B60E28" w:rsidRPr="00CC5E79">
        <w:t xml:space="preserve"> (2012)</w:t>
      </w:r>
      <w:r w:rsidR="00FA7A3D" w:rsidRPr="00CC5E79">
        <w:t>.</w:t>
      </w:r>
      <w:r w:rsidRPr="00CC5E79">
        <w:t xml:space="preserve"> Are the NICE guidelines for obsessive compulsive disorder being used in primary care? </w:t>
      </w:r>
      <w:r w:rsidRPr="00CC5E79">
        <w:rPr>
          <w:i/>
        </w:rPr>
        <w:t xml:space="preserve">Primary Health Care Research and Development </w:t>
      </w:r>
      <w:r w:rsidR="00730A78" w:rsidRPr="00CC5E79">
        <w:rPr>
          <w:i/>
        </w:rPr>
        <w:t>13</w:t>
      </w:r>
      <w:r w:rsidR="00B60E28" w:rsidRPr="00CC5E79">
        <w:t>(1)</w:t>
      </w:r>
      <w:r w:rsidR="00FA7A3D" w:rsidRPr="00CC5E79">
        <w:t xml:space="preserve">, </w:t>
      </w:r>
      <w:r w:rsidR="00B60E28" w:rsidRPr="00CC5E79">
        <w:t>92-97</w:t>
      </w:r>
      <w:r w:rsidR="00FA7A3D" w:rsidRPr="00CC5E79">
        <w:t>.</w:t>
      </w:r>
      <w:r w:rsidRPr="00CC5E79">
        <w:t xml:space="preserve"> </w:t>
      </w:r>
    </w:p>
    <w:p w:rsidR="00276A33" w:rsidRPr="00CC5E79" w:rsidRDefault="00276A33" w:rsidP="00D96CD5">
      <w:pPr>
        <w:pStyle w:val="NormalWeb"/>
        <w:spacing w:line="360" w:lineRule="auto"/>
        <w:jc w:val="both"/>
        <w:divId w:val="522475962"/>
      </w:pPr>
      <w:r w:rsidRPr="00CC5E79">
        <w:lastRenderedPageBreak/>
        <w:t>Hirsch</w:t>
      </w:r>
      <w:r w:rsidR="00FA7A3D" w:rsidRPr="00CC5E79">
        <w:t>,</w:t>
      </w:r>
      <w:r w:rsidRPr="00CC5E79">
        <w:t xml:space="preserve"> I</w:t>
      </w:r>
      <w:r w:rsidR="00FA7A3D" w:rsidRPr="00CC5E79">
        <w:t>.</w:t>
      </w:r>
      <w:r w:rsidR="006853F9" w:rsidRPr="00CC5E79">
        <w:t>B</w:t>
      </w:r>
      <w:r w:rsidR="00FA7A3D" w:rsidRPr="00CC5E79">
        <w:t>.</w:t>
      </w:r>
      <w:r w:rsidR="006853F9" w:rsidRPr="00CC5E79">
        <w:t xml:space="preserve"> (2003)</w:t>
      </w:r>
      <w:r w:rsidR="00FA7A3D" w:rsidRPr="00CC5E79">
        <w:t>.</w:t>
      </w:r>
      <w:r w:rsidRPr="00CC5E79">
        <w:t xml:space="preserve"> The burden of diabetes (care). </w:t>
      </w:r>
      <w:r w:rsidRPr="00CC5E79">
        <w:rPr>
          <w:i/>
        </w:rPr>
        <w:t>Diabetes Care</w:t>
      </w:r>
      <w:r w:rsidR="00FA7A3D" w:rsidRPr="00CC5E79">
        <w:rPr>
          <w:i/>
        </w:rPr>
        <w:t>,</w:t>
      </w:r>
      <w:r w:rsidRPr="00CC5E79">
        <w:rPr>
          <w:i/>
        </w:rPr>
        <w:t xml:space="preserve"> 26</w:t>
      </w:r>
      <w:r w:rsidRPr="00CC5E79">
        <w:t>(5)</w:t>
      </w:r>
      <w:r w:rsidR="00FA7A3D" w:rsidRPr="00CC5E79">
        <w:t xml:space="preserve">, </w:t>
      </w:r>
      <w:r w:rsidR="006853F9" w:rsidRPr="00CC5E79">
        <w:t>1613-1614</w:t>
      </w:r>
      <w:r w:rsidR="00FA7A3D" w:rsidRPr="00CC5E79">
        <w:t>.</w:t>
      </w:r>
      <w:r w:rsidRPr="00CC5E79">
        <w:t xml:space="preserve"> </w:t>
      </w:r>
    </w:p>
    <w:p w:rsidR="00D87220" w:rsidRPr="00CC5E79" w:rsidRDefault="00276A33" w:rsidP="00D96CD5">
      <w:pPr>
        <w:pStyle w:val="NormalWeb"/>
        <w:spacing w:line="360" w:lineRule="auto"/>
        <w:jc w:val="both"/>
        <w:divId w:val="522475962"/>
      </w:pPr>
      <w:r w:rsidRPr="00CC5E79">
        <w:t>Johansson</w:t>
      </w:r>
      <w:r w:rsidR="00FA7A3D" w:rsidRPr="00CC5E79">
        <w:t>,</w:t>
      </w:r>
      <w:r w:rsidRPr="00CC5E79">
        <w:t xml:space="preserve"> M</w:t>
      </w:r>
      <w:r w:rsidR="00FA7A3D" w:rsidRPr="00CC5E79">
        <w:t>.</w:t>
      </w:r>
      <w:r w:rsidRPr="00CC5E79">
        <w:t>E</w:t>
      </w:r>
      <w:r w:rsidR="00FA7A3D" w:rsidRPr="00CC5E79">
        <w:t>.</w:t>
      </w:r>
      <w:r w:rsidRPr="00CC5E79">
        <w:t xml:space="preserve">, </w:t>
      </w:r>
      <w:proofErr w:type="spellStart"/>
      <w:r w:rsidRPr="00CC5E79">
        <w:t>Pilhammar</w:t>
      </w:r>
      <w:proofErr w:type="spellEnd"/>
      <w:r w:rsidR="00FA7A3D" w:rsidRPr="00CC5E79">
        <w:t>,</w:t>
      </w:r>
      <w:r w:rsidRPr="00CC5E79">
        <w:t xml:space="preserve"> E</w:t>
      </w:r>
      <w:r w:rsidR="00FA7A3D" w:rsidRPr="00CC5E79">
        <w:t>.</w:t>
      </w:r>
      <w:r w:rsidRPr="00CC5E79">
        <w:t xml:space="preserve">, </w:t>
      </w:r>
      <w:proofErr w:type="spellStart"/>
      <w:r w:rsidRPr="00CC5E79">
        <w:t>Khalaf</w:t>
      </w:r>
      <w:proofErr w:type="spellEnd"/>
      <w:r w:rsidR="00FA7A3D" w:rsidRPr="00CC5E79">
        <w:t>,</w:t>
      </w:r>
      <w:r w:rsidRPr="00CC5E79">
        <w:t xml:space="preserve"> A</w:t>
      </w:r>
      <w:r w:rsidR="00FA7A3D" w:rsidRPr="00CC5E79">
        <w:t>.</w:t>
      </w:r>
      <w:r w:rsidR="006853F9" w:rsidRPr="00CC5E79">
        <w:t xml:space="preserve"> </w:t>
      </w:r>
      <w:r w:rsidR="00FA7A3D" w:rsidRPr="00CC5E79">
        <w:t xml:space="preserve">&amp; </w:t>
      </w:r>
      <w:r w:rsidRPr="00CC5E79">
        <w:t>Willman</w:t>
      </w:r>
      <w:r w:rsidR="00FA7A3D" w:rsidRPr="00CC5E79">
        <w:t>,</w:t>
      </w:r>
      <w:r w:rsidR="006853F9" w:rsidRPr="00CC5E79">
        <w:t xml:space="preserve"> A</w:t>
      </w:r>
      <w:r w:rsidR="00FA7A3D" w:rsidRPr="00CC5E79">
        <w:t>.</w:t>
      </w:r>
      <w:r w:rsidR="006853F9" w:rsidRPr="00CC5E79">
        <w:t xml:space="preserve"> (2008)</w:t>
      </w:r>
      <w:r w:rsidR="00FA7A3D" w:rsidRPr="00CC5E79">
        <w:t>.</w:t>
      </w:r>
      <w:r w:rsidRPr="00CC5E79">
        <w:t xml:space="preserve"> Registered nurses' adherence to clinical guidelines regarding peripheral venous catheters: a structured observational st</w:t>
      </w:r>
      <w:r w:rsidR="00094D9E" w:rsidRPr="00CC5E79">
        <w:t xml:space="preserve">udy. </w:t>
      </w:r>
      <w:r w:rsidR="00D87220" w:rsidRPr="00CC5E79">
        <w:rPr>
          <w:i/>
          <w:iCs/>
        </w:rPr>
        <w:t>Worldviews on Evidence</w:t>
      </w:r>
      <w:r w:rsidR="00D87220" w:rsidRPr="00CC5E79">
        <w:rPr>
          <w:rFonts w:ascii="Cambria Math" w:hAnsi="Cambria Math" w:cs="Cambria Math"/>
          <w:i/>
          <w:iCs/>
        </w:rPr>
        <w:t>‐</w:t>
      </w:r>
      <w:r w:rsidR="00D87220" w:rsidRPr="00CC5E79">
        <w:rPr>
          <w:i/>
          <w:iCs/>
        </w:rPr>
        <w:t>Based Nursing</w:t>
      </w:r>
      <w:r w:rsidR="00FA7A3D" w:rsidRPr="00CC5E79">
        <w:rPr>
          <w:i/>
          <w:iCs/>
        </w:rPr>
        <w:t>,</w:t>
      </w:r>
      <w:r w:rsidR="00D87220" w:rsidRPr="00CC5E79">
        <w:t xml:space="preserve"> </w:t>
      </w:r>
      <w:r w:rsidR="00D87220" w:rsidRPr="00CC5E79">
        <w:rPr>
          <w:i/>
          <w:iCs/>
        </w:rPr>
        <w:t>5</w:t>
      </w:r>
      <w:r w:rsidR="006853F9" w:rsidRPr="00CC5E79">
        <w:t>(3)</w:t>
      </w:r>
      <w:r w:rsidR="00FA7A3D" w:rsidRPr="00CC5E79">
        <w:t xml:space="preserve">, </w:t>
      </w:r>
      <w:r w:rsidR="006853F9" w:rsidRPr="00CC5E79">
        <w:t>148-159</w:t>
      </w:r>
      <w:r w:rsidR="00FA7A3D" w:rsidRPr="00CC5E79">
        <w:t>.</w:t>
      </w:r>
      <w:r w:rsidR="00D87220" w:rsidRPr="00CC5E79">
        <w:t xml:space="preserve"> </w:t>
      </w:r>
    </w:p>
    <w:p w:rsidR="001E5C02" w:rsidRPr="00CC5E79" w:rsidRDefault="0085469B" w:rsidP="001E5C02">
      <w:pPr>
        <w:pStyle w:val="NormalWeb"/>
        <w:spacing w:line="360" w:lineRule="auto"/>
        <w:jc w:val="both"/>
        <w:divId w:val="522475962"/>
        <w:rPr>
          <w:i/>
        </w:rPr>
      </w:pPr>
      <w:r w:rsidRPr="00CC5E79">
        <w:t>Jones</w:t>
      </w:r>
      <w:r w:rsidR="00FA7A3D" w:rsidRPr="00CC5E79">
        <w:t>,</w:t>
      </w:r>
      <w:r w:rsidR="001E5C02" w:rsidRPr="00CC5E79">
        <w:t xml:space="preserve"> </w:t>
      </w:r>
      <w:r w:rsidRPr="00CC5E79">
        <w:t>L</w:t>
      </w:r>
      <w:r w:rsidR="00FA7A3D" w:rsidRPr="00CC5E79">
        <w:t>.</w:t>
      </w:r>
      <w:r w:rsidRPr="00CC5E79">
        <w:t>,</w:t>
      </w:r>
      <w:r w:rsidR="001E5C02" w:rsidRPr="00CC5E79">
        <w:t xml:space="preserve"> </w:t>
      </w:r>
      <w:r w:rsidRPr="00CC5E79">
        <w:t>Goddard</w:t>
      </w:r>
      <w:r w:rsidR="00FA7A3D" w:rsidRPr="00CC5E79">
        <w:t>,</w:t>
      </w:r>
      <w:r w:rsidR="001E5C02" w:rsidRPr="00CC5E79">
        <w:t xml:space="preserve"> </w:t>
      </w:r>
      <w:r w:rsidRPr="00CC5E79">
        <w:t>L</w:t>
      </w:r>
      <w:r w:rsidR="00FA7A3D" w:rsidRPr="00CC5E79">
        <w:t>.</w:t>
      </w:r>
      <w:r w:rsidR="001E5C02" w:rsidRPr="00CC5E79">
        <w:t xml:space="preserve">, </w:t>
      </w:r>
      <w:r w:rsidRPr="00CC5E79">
        <w:t>Hill</w:t>
      </w:r>
      <w:r w:rsidR="00FA7A3D" w:rsidRPr="00CC5E79">
        <w:t>,</w:t>
      </w:r>
      <w:r w:rsidR="001E5C02" w:rsidRPr="00CC5E79">
        <w:t xml:space="preserve"> </w:t>
      </w:r>
      <w:r w:rsidRPr="00CC5E79">
        <w:t>E</w:t>
      </w:r>
      <w:r w:rsidR="00FA7A3D" w:rsidRPr="00CC5E79">
        <w:t>.</w:t>
      </w:r>
      <w:r w:rsidRPr="00CC5E79">
        <w:t>L</w:t>
      </w:r>
      <w:r w:rsidR="00FA7A3D" w:rsidRPr="00CC5E79">
        <w:t>.</w:t>
      </w:r>
      <w:r w:rsidR="001E5C02" w:rsidRPr="00CC5E79">
        <w:t xml:space="preserve">, </w:t>
      </w:r>
      <w:r w:rsidRPr="00CC5E79">
        <w:t>Henry</w:t>
      </w:r>
      <w:r w:rsidR="00FA7A3D" w:rsidRPr="00CC5E79">
        <w:t>,</w:t>
      </w:r>
      <w:r w:rsidR="001E5C02" w:rsidRPr="00CC5E79">
        <w:t xml:space="preserve"> </w:t>
      </w:r>
      <w:r w:rsidRPr="00CC5E79">
        <w:t>L</w:t>
      </w:r>
      <w:r w:rsidR="00FA7A3D" w:rsidRPr="00CC5E79">
        <w:t>.</w:t>
      </w:r>
      <w:r w:rsidRPr="00CC5E79">
        <w:t>A</w:t>
      </w:r>
      <w:r w:rsidR="00FA7A3D" w:rsidRPr="00CC5E79">
        <w:t>.</w:t>
      </w:r>
      <w:r w:rsidRPr="00CC5E79">
        <w:t xml:space="preserve"> </w:t>
      </w:r>
      <w:r w:rsidR="00FA7A3D" w:rsidRPr="00CC5E79">
        <w:t xml:space="preserve">&amp; </w:t>
      </w:r>
      <w:r w:rsidR="001E5C02" w:rsidRPr="00CC5E79">
        <w:t>Crane</w:t>
      </w:r>
      <w:r w:rsidR="00FA7A3D" w:rsidRPr="00CC5E79">
        <w:t>,</w:t>
      </w:r>
      <w:r w:rsidRPr="00CC5E79">
        <w:t xml:space="preserve"> L</w:t>
      </w:r>
      <w:r w:rsidR="00FA7A3D" w:rsidRPr="00CC5E79">
        <w:t>.</w:t>
      </w:r>
      <w:r w:rsidR="001E5C02" w:rsidRPr="00CC5E79">
        <w:t xml:space="preserve"> (2014). Experiences of Receiving a Diagnosis of Autism Spectrum Disorder: A Survey of Adults in the United Kingdom. </w:t>
      </w:r>
      <w:r w:rsidR="001E5C02" w:rsidRPr="00CC5E79">
        <w:rPr>
          <w:i/>
        </w:rPr>
        <w:t>Journal of Autism and Developmental Disorders</w:t>
      </w:r>
      <w:r w:rsidR="00FA7A3D" w:rsidRPr="00CC5E79">
        <w:rPr>
          <w:i/>
        </w:rPr>
        <w:t>,</w:t>
      </w:r>
      <w:r w:rsidR="001E5C02" w:rsidRPr="00CC5E79">
        <w:rPr>
          <w:i/>
        </w:rPr>
        <w:t xml:space="preserve"> 44</w:t>
      </w:r>
      <w:r w:rsidR="001E5C02" w:rsidRPr="00CC5E79">
        <w:t>(12)</w:t>
      </w:r>
      <w:r w:rsidR="00FA7A3D" w:rsidRPr="00CC5E79">
        <w:t xml:space="preserve">, </w:t>
      </w:r>
      <w:r w:rsidRPr="00CC5E79">
        <w:t>3033-3044</w:t>
      </w:r>
      <w:r w:rsidR="00FA7A3D" w:rsidRPr="00CC5E79">
        <w:t>.</w:t>
      </w:r>
    </w:p>
    <w:p w:rsidR="00276A33" w:rsidRPr="00CC5E79" w:rsidRDefault="00276A33" w:rsidP="00D96CD5">
      <w:pPr>
        <w:pStyle w:val="NormalWeb"/>
        <w:spacing w:line="360" w:lineRule="auto"/>
        <w:jc w:val="both"/>
        <w:divId w:val="522475962"/>
      </w:pPr>
      <w:r w:rsidRPr="00CC5E79">
        <w:t>Lowenstein</w:t>
      </w:r>
      <w:r w:rsidR="00B6426A" w:rsidRPr="00CC5E79">
        <w:t>,</w:t>
      </w:r>
      <w:r w:rsidRPr="00CC5E79">
        <w:t xml:space="preserve"> J</w:t>
      </w:r>
      <w:r w:rsidR="00B6426A" w:rsidRPr="00CC5E79">
        <w:t>.</w:t>
      </w:r>
      <w:r w:rsidR="000F215E" w:rsidRPr="00CC5E79">
        <w:t xml:space="preserve"> </w:t>
      </w:r>
      <w:r w:rsidR="00B6426A" w:rsidRPr="00CC5E79">
        <w:t xml:space="preserve">&amp; </w:t>
      </w:r>
      <w:r w:rsidRPr="00CC5E79">
        <w:t>Sutton</w:t>
      </w:r>
      <w:r w:rsidR="00B6426A" w:rsidRPr="00CC5E79">
        <w:t>,</w:t>
      </w:r>
      <w:r w:rsidR="000F215E" w:rsidRPr="00CC5E79">
        <w:t xml:space="preserve"> K</w:t>
      </w:r>
      <w:r w:rsidR="00B6426A" w:rsidRPr="00CC5E79">
        <w:t>.</w:t>
      </w:r>
      <w:r w:rsidR="000F215E" w:rsidRPr="00CC5E79">
        <w:t xml:space="preserve"> (2013)</w:t>
      </w:r>
      <w:r w:rsidR="00B6426A" w:rsidRPr="00CC5E79">
        <w:t>.</w:t>
      </w:r>
      <w:r w:rsidR="000F215E" w:rsidRPr="00CC5E79">
        <w:t xml:space="preserve"> </w:t>
      </w:r>
      <w:r w:rsidRPr="00CC5E79">
        <w:t xml:space="preserve">An audit of the processes and tools used in different services across the South-West Region to diagnose Asperger syndrome in adults. </w:t>
      </w:r>
      <w:r w:rsidRPr="00CC5E79">
        <w:rPr>
          <w:i/>
        </w:rPr>
        <w:t>Good Autism Practice</w:t>
      </w:r>
      <w:r w:rsidR="00B6426A" w:rsidRPr="00CC5E79">
        <w:rPr>
          <w:i/>
        </w:rPr>
        <w:t>,</w:t>
      </w:r>
      <w:r w:rsidR="00094D9E" w:rsidRPr="00CC5E79">
        <w:rPr>
          <w:i/>
        </w:rPr>
        <w:t xml:space="preserve"> </w:t>
      </w:r>
      <w:r w:rsidRPr="00CC5E79">
        <w:rPr>
          <w:i/>
        </w:rPr>
        <w:t>14</w:t>
      </w:r>
      <w:r w:rsidRPr="00CC5E79">
        <w:t>(1)</w:t>
      </w:r>
      <w:r w:rsidR="00B6426A" w:rsidRPr="00CC5E79">
        <w:t xml:space="preserve">, </w:t>
      </w:r>
      <w:r w:rsidR="000F215E" w:rsidRPr="00CC5E79">
        <w:t>80-88</w:t>
      </w:r>
      <w:r w:rsidR="00B6426A" w:rsidRPr="00CC5E79">
        <w:t>.</w:t>
      </w:r>
      <w:r w:rsidRPr="00CC5E79">
        <w:t xml:space="preserve"> </w:t>
      </w:r>
    </w:p>
    <w:p w:rsidR="00B44738" w:rsidRPr="00CC5E79" w:rsidRDefault="00B44738" w:rsidP="00B44738">
      <w:pPr>
        <w:pStyle w:val="NormalWeb"/>
        <w:spacing w:line="360" w:lineRule="auto"/>
        <w:jc w:val="both"/>
        <w:divId w:val="522475962"/>
      </w:pPr>
      <w:r w:rsidRPr="00CC5E79">
        <w:t xml:space="preserve">MacArthur, C., </w:t>
      </w:r>
      <w:proofErr w:type="gramStart"/>
      <w:r w:rsidRPr="00CC5E79">
        <w:t>Winter</w:t>
      </w:r>
      <w:proofErr w:type="gramEnd"/>
      <w:r w:rsidRPr="00CC5E79">
        <w:t xml:space="preserve">, H.R., Bick, D.E., </w:t>
      </w:r>
      <w:proofErr w:type="spellStart"/>
      <w:r w:rsidRPr="00CC5E79">
        <w:t>Lilford</w:t>
      </w:r>
      <w:proofErr w:type="spellEnd"/>
      <w:r w:rsidRPr="00CC5E79">
        <w:t xml:space="preserve">, R.J., Lancashire, R.J., Knowles, H. et al. (2003). Redesigning postnatal care: a randomised controlled trial of protocol based midwifery-led care focused on individual women’s physical and psychological health needs. </w:t>
      </w:r>
      <w:r w:rsidRPr="00CC5E79">
        <w:rPr>
          <w:i/>
        </w:rPr>
        <w:t>Health Technology Assessment</w:t>
      </w:r>
      <w:r w:rsidRPr="00CC5E79">
        <w:t xml:space="preserve">, </w:t>
      </w:r>
      <w:r w:rsidRPr="00CC5E79">
        <w:rPr>
          <w:i/>
        </w:rPr>
        <w:t>7</w:t>
      </w:r>
      <w:r w:rsidRPr="00CC5E79">
        <w:t>(37), 1-98.</w:t>
      </w:r>
    </w:p>
    <w:p w:rsidR="005831D2" w:rsidRPr="00CC5E79" w:rsidRDefault="005831D2" w:rsidP="00D96CD5">
      <w:pPr>
        <w:pStyle w:val="NormalWeb"/>
        <w:spacing w:line="360" w:lineRule="auto"/>
        <w:jc w:val="both"/>
        <w:divId w:val="522475962"/>
      </w:pPr>
      <w:r w:rsidRPr="00CC5E79">
        <w:t xml:space="preserve">National Institute for Health and Clinical Excellence [NICE]. (2011). </w:t>
      </w:r>
      <w:r w:rsidRPr="00CC5E79">
        <w:rPr>
          <w:i/>
        </w:rPr>
        <w:t>Autism: recognition, referral and diagnosis of children and young people on the autism spectrum</w:t>
      </w:r>
      <w:r w:rsidRPr="00CC5E79">
        <w:t xml:space="preserve"> [CG128]. London: National Institute for Health and Clinical Excellence </w:t>
      </w:r>
    </w:p>
    <w:p w:rsidR="00276A33" w:rsidRPr="00CC5E79" w:rsidRDefault="00276A33" w:rsidP="00D96CD5">
      <w:pPr>
        <w:pStyle w:val="NormalWeb"/>
        <w:spacing w:line="360" w:lineRule="auto"/>
        <w:jc w:val="both"/>
        <w:divId w:val="522475962"/>
      </w:pPr>
      <w:r w:rsidRPr="00CC5E79">
        <w:t xml:space="preserve">National Institute for Health and Clinical Excellence (NICE) </w:t>
      </w:r>
      <w:r w:rsidR="000F215E" w:rsidRPr="00CC5E79">
        <w:t>(2012)</w:t>
      </w:r>
      <w:r w:rsidR="00B6426A" w:rsidRPr="00CC5E79">
        <w:t>.</w:t>
      </w:r>
      <w:r w:rsidR="008755C2" w:rsidRPr="00CC5E79">
        <w:t xml:space="preserve"> </w:t>
      </w:r>
      <w:r w:rsidRPr="00CC5E79">
        <w:rPr>
          <w:i/>
        </w:rPr>
        <w:t>Autism: recognition, referral, diagnosis and management of adults on the autism spectrum. Clinical Guideline 142</w:t>
      </w:r>
      <w:r w:rsidR="000F215E" w:rsidRPr="00CC5E79">
        <w:rPr>
          <w:i/>
        </w:rPr>
        <w:t>.</w:t>
      </w:r>
      <w:r w:rsidRPr="00CC5E79">
        <w:t xml:space="preserve"> </w:t>
      </w:r>
      <w:r w:rsidR="00F21E89" w:rsidRPr="00CC5E79">
        <w:t xml:space="preserve">London: </w:t>
      </w:r>
      <w:r w:rsidRPr="00CC5E79">
        <w:t>National Institute for Health and Clinical Excellence</w:t>
      </w:r>
      <w:r w:rsidR="00F21E89" w:rsidRPr="00CC5E79">
        <w:t>.</w:t>
      </w:r>
      <w:r w:rsidRPr="00CC5E79">
        <w:t xml:space="preserve"> </w:t>
      </w:r>
    </w:p>
    <w:p w:rsidR="00F377ED" w:rsidRPr="00CC5E79" w:rsidRDefault="00F377ED" w:rsidP="00D96CD5">
      <w:pPr>
        <w:pStyle w:val="NormalWeb"/>
        <w:spacing w:line="360" w:lineRule="auto"/>
        <w:jc w:val="both"/>
        <w:divId w:val="522475962"/>
      </w:pPr>
      <w:r w:rsidRPr="00CC5E79">
        <w:t xml:space="preserve">National Institute of Health and Care Excellence (NICE) International.  (2014). </w:t>
      </w:r>
      <w:r w:rsidRPr="00CC5E79">
        <w:rPr>
          <w:i/>
        </w:rPr>
        <w:t>About NICE International.</w:t>
      </w:r>
      <w:r w:rsidRPr="00CC5E79">
        <w:t xml:space="preserve"> Available at: </w:t>
      </w:r>
      <w:hyperlink r:id="rId8" w:history="1">
        <w:r w:rsidR="008C338B" w:rsidRPr="00CC5E79">
          <w:rPr>
            <w:rStyle w:val="Hyperlink"/>
            <w:color w:val="auto"/>
          </w:rPr>
          <w:t>https://www.nice.org.uk/About/What-we-do/NICE-International/About-NICE-International</w:t>
        </w:r>
      </w:hyperlink>
      <w:r w:rsidR="004F3A04" w:rsidRPr="00CC5E79">
        <w:t xml:space="preserve"> (last accessed</w:t>
      </w:r>
      <w:r w:rsidR="00013A47" w:rsidRPr="00CC5E79">
        <w:t xml:space="preserve"> 27th October</w:t>
      </w:r>
      <w:r w:rsidR="004F3A04" w:rsidRPr="00CC5E79">
        <w:t>, 2015)</w:t>
      </w:r>
    </w:p>
    <w:p w:rsidR="00276A33" w:rsidRPr="00CC5E79" w:rsidRDefault="00276A33" w:rsidP="00D96CD5">
      <w:pPr>
        <w:pStyle w:val="NormalWeb"/>
        <w:spacing w:line="360" w:lineRule="auto"/>
        <w:jc w:val="both"/>
        <w:divId w:val="522475962"/>
      </w:pPr>
      <w:r w:rsidRPr="00CC5E79">
        <w:t>Pearson</w:t>
      </w:r>
      <w:r w:rsidR="00B6426A" w:rsidRPr="00CC5E79">
        <w:t>,</w:t>
      </w:r>
      <w:r w:rsidRPr="00CC5E79">
        <w:t xml:space="preserve"> S</w:t>
      </w:r>
      <w:r w:rsidR="00B6426A" w:rsidRPr="00CC5E79">
        <w:t>.</w:t>
      </w:r>
      <w:r w:rsidRPr="00CC5E79">
        <w:t>D</w:t>
      </w:r>
      <w:r w:rsidR="00B6426A" w:rsidRPr="00CC5E79">
        <w:t>.</w:t>
      </w:r>
      <w:r w:rsidR="00474317" w:rsidRPr="00CC5E79">
        <w:t xml:space="preserve"> </w:t>
      </w:r>
      <w:r w:rsidR="00B6426A" w:rsidRPr="00CC5E79">
        <w:t xml:space="preserve">&amp; </w:t>
      </w:r>
      <w:r w:rsidRPr="00CC5E79">
        <w:t>Rawlins</w:t>
      </w:r>
      <w:r w:rsidR="00B6426A" w:rsidRPr="00CC5E79">
        <w:t>,</w:t>
      </w:r>
      <w:r w:rsidRPr="00CC5E79">
        <w:t xml:space="preserve"> M</w:t>
      </w:r>
      <w:r w:rsidR="00B6426A" w:rsidRPr="00CC5E79">
        <w:t>.</w:t>
      </w:r>
      <w:r w:rsidR="00474317" w:rsidRPr="00CC5E79">
        <w:t>D</w:t>
      </w:r>
      <w:r w:rsidR="00B6426A" w:rsidRPr="00CC5E79">
        <w:t>.</w:t>
      </w:r>
      <w:r w:rsidR="002917CF" w:rsidRPr="00CC5E79">
        <w:t xml:space="preserve"> </w:t>
      </w:r>
      <w:r w:rsidR="00474317" w:rsidRPr="00CC5E79">
        <w:t>(2005)</w:t>
      </w:r>
      <w:r w:rsidR="00B6426A" w:rsidRPr="00CC5E79">
        <w:t>.</w:t>
      </w:r>
      <w:r w:rsidR="00474317" w:rsidRPr="00CC5E79">
        <w:t xml:space="preserve"> </w:t>
      </w:r>
      <w:r w:rsidRPr="00CC5E79">
        <w:t>Quality, innovation, and value for money: NICE and the Britis</w:t>
      </w:r>
      <w:r w:rsidR="002917CF" w:rsidRPr="00CC5E79">
        <w:t xml:space="preserve">h National Health Service. </w:t>
      </w:r>
      <w:r w:rsidR="00474317" w:rsidRPr="00CC5E79">
        <w:rPr>
          <w:i/>
        </w:rPr>
        <w:t>J</w:t>
      </w:r>
      <w:r w:rsidR="00B6426A" w:rsidRPr="00CC5E79">
        <w:rPr>
          <w:i/>
        </w:rPr>
        <w:t xml:space="preserve">ournal of the American Medical Association, </w:t>
      </w:r>
      <w:r w:rsidRPr="00CC5E79">
        <w:rPr>
          <w:i/>
        </w:rPr>
        <w:t>294</w:t>
      </w:r>
      <w:r w:rsidRPr="00CC5E79">
        <w:t>(20</w:t>
      </w:r>
      <w:r w:rsidR="003B1F89" w:rsidRPr="00CC5E79">
        <w:t>)</w:t>
      </w:r>
      <w:r w:rsidR="00B6426A" w:rsidRPr="00CC5E79">
        <w:t>,</w:t>
      </w:r>
      <w:r w:rsidR="00474317" w:rsidRPr="00CC5E79">
        <w:t xml:space="preserve"> 2618-2622</w:t>
      </w:r>
      <w:r w:rsidR="00B6426A" w:rsidRPr="00CC5E79">
        <w:t>.</w:t>
      </w:r>
    </w:p>
    <w:p w:rsidR="00150BAA" w:rsidRPr="00CC5E79" w:rsidRDefault="00276A33" w:rsidP="00D96CD5">
      <w:pPr>
        <w:pStyle w:val="NormalWeb"/>
        <w:spacing w:line="360" w:lineRule="auto"/>
        <w:jc w:val="both"/>
        <w:divId w:val="522475962"/>
      </w:pPr>
      <w:r w:rsidRPr="00CC5E79">
        <w:lastRenderedPageBreak/>
        <w:t>Rhodes</w:t>
      </w:r>
      <w:r w:rsidR="00B6426A" w:rsidRPr="00CC5E79">
        <w:t>,</w:t>
      </w:r>
      <w:r w:rsidRPr="00CC5E79">
        <w:t xml:space="preserve"> L</w:t>
      </w:r>
      <w:r w:rsidR="00B6426A" w:rsidRPr="00CC5E79">
        <w:t>.</w:t>
      </w:r>
      <w:r w:rsidRPr="00CC5E79">
        <w:t>, Genders</w:t>
      </w:r>
      <w:r w:rsidR="00B6426A" w:rsidRPr="00CC5E79">
        <w:t>,</w:t>
      </w:r>
      <w:r w:rsidRPr="00CC5E79">
        <w:t xml:space="preserve"> R</w:t>
      </w:r>
      <w:r w:rsidR="00B6426A" w:rsidRPr="00CC5E79">
        <w:t>.</w:t>
      </w:r>
      <w:r w:rsidRPr="00CC5E79">
        <w:t>, Owen</w:t>
      </w:r>
      <w:r w:rsidR="00B6426A" w:rsidRPr="00CC5E79">
        <w:t>,</w:t>
      </w:r>
      <w:r w:rsidR="00A875B0" w:rsidRPr="00CC5E79">
        <w:t xml:space="preserve"> </w:t>
      </w:r>
      <w:r w:rsidRPr="00CC5E79">
        <w:t>R</w:t>
      </w:r>
      <w:r w:rsidR="00B6426A" w:rsidRPr="00CC5E79">
        <w:t>.</w:t>
      </w:r>
      <w:r w:rsidRPr="00CC5E79">
        <w:t>, O'Hanlon</w:t>
      </w:r>
      <w:r w:rsidR="00B6426A" w:rsidRPr="00CC5E79">
        <w:t>,</w:t>
      </w:r>
      <w:r w:rsidRPr="00CC5E79">
        <w:t xml:space="preserve"> K</w:t>
      </w:r>
      <w:r w:rsidR="00B6426A" w:rsidRPr="00CC5E79">
        <w:t>. &amp;</w:t>
      </w:r>
      <w:r w:rsidR="00A875B0" w:rsidRPr="00CC5E79">
        <w:t xml:space="preserve"> </w:t>
      </w:r>
      <w:r w:rsidRPr="00CC5E79">
        <w:t>Brown</w:t>
      </w:r>
      <w:r w:rsidR="00B6426A" w:rsidRPr="00CC5E79">
        <w:t>,</w:t>
      </w:r>
      <w:r w:rsidR="00A875B0" w:rsidRPr="00CC5E79">
        <w:t xml:space="preserve"> J</w:t>
      </w:r>
      <w:r w:rsidR="00B6426A" w:rsidRPr="00CC5E79">
        <w:t>.</w:t>
      </w:r>
      <w:r w:rsidR="00A875B0" w:rsidRPr="00CC5E79">
        <w:t xml:space="preserve"> (2010)</w:t>
      </w:r>
      <w:r w:rsidR="00B6426A" w:rsidRPr="00CC5E79">
        <w:t>.</w:t>
      </w:r>
      <w:r w:rsidR="00A875B0" w:rsidRPr="00CC5E79">
        <w:t xml:space="preserve"> </w:t>
      </w:r>
      <w:r w:rsidRPr="00CC5E79">
        <w:t xml:space="preserve">Investigating barriers to implementation of the NICE Guidelines for Depression: a staff survey with Community Mental Health Teams. </w:t>
      </w:r>
      <w:r w:rsidR="00150BAA" w:rsidRPr="00CC5E79">
        <w:rPr>
          <w:i/>
          <w:iCs/>
        </w:rPr>
        <w:t>Journal of psychiatric and mental health nursing</w:t>
      </w:r>
      <w:r w:rsidR="00B6426A" w:rsidRPr="00CC5E79">
        <w:rPr>
          <w:i/>
          <w:iCs/>
        </w:rPr>
        <w:t>,</w:t>
      </w:r>
      <w:r w:rsidR="00A875B0" w:rsidRPr="00CC5E79">
        <w:t xml:space="preserve"> </w:t>
      </w:r>
      <w:r w:rsidR="00150BAA" w:rsidRPr="00CC5E79">
        <w:rPr>
          <w:i/>
          <w:iCs/>
        </w:rPr>
        <w:t>17</w:t>
      </w:r>
      <w:r w:rsidR="00A875B0" w:rsidRPr="00CC5E79">
        <w:t>(2)</w:t>
      </w:r>
      <w:r w:rsidR="00B6426A" w:rsidRPr="00CC5E79">
        <w:t xml:space="preserve">, </w:t>
      </w:r>
      <w:r w:rsidR="00150BAA" w:rsidRPr="00CC5E79">
        <w:t xml:space="preserve">147-151. </w:t>
      </w:r>
    </w:p>
    <w:p w:rsidR="00330A27" w:rsidRPr="00CC5E79" w:rsidRDefault="00276A33" w:rsidP="00D96CD5">
      <w:pPr>
        <w:pStyle w:val="NormalWeb"/>
        <w:spacing w:line="360" w:lineRule="auto"/>
        <w:jc w:val="both"/>
        <w:divId w:val="522475962"/>
      </w:pPr>
      <w:r w:rsidRPr="00CC5E79">
        <w:t xml:space="preserve">Scottish Government. </w:t>
      </w:r>
      <w:r w:rsidR="006B06D6" w:rsidRPr="00CC5E79">
        <w:t xml:space="preserve">(2011). </w:t>
      </w:r>
      <w:proofErr w:type="spellStart"/>
      <w:r w:rsidRPr="00CC5E79">
        <w:rPr>
          <w:i/>
        </w:rPr>
        <w:t>Patients</w:t>
      </w:r>
      <w:r w:rsidR="005831D2" w:rsidRPr="00CC5E79">
        <w:rPr>
          <w:i/>
        </w:rPr>
        <w:t xml:space="preserve"> </w:t>
      </w:r>
      <w:r w:rsidRPr="00CC5E79">
        <w:rPr>
          <w:i/>
        </w:rPr>
        <w:t>Rights</w:t>
      </w:r>
      <w:proofErr w:type="spellEnd"/>
      <w:r w:rsidRPr="00CC5E79">
        <w:rPr>
          <w:i/>
        </w:rPr>
        <w:t xml:space="preserve"> (Scotland) Act</w:t>
      </w:r>
      <w:r w:rsidRPr="00CC5E79">
        <w:t xml:space="preserve">. </w:t>
      </w:r>
      <w:r w:rsidR="00013A47" w:rsidRPr="00CC5E79">
        <w:t xml:space="preserve">Edinburgh: </w:t>
      </w:r>
      <w:r w:rsidRPr="00CC5E79">
        <w:t>HMSO</w:t>
      </w:r>
      <w:r w:rsidR="00013A47" w:rsidRPr="00CC5E79">
        <w:t>.</w:t>
      </w:r>
      <w:r w:rsidR="005C015A" w:rsidRPr="00CC5E79">
        <w:t xml:space="preserve"> </w:t>
      </w:r>
    </w:p>
    <w:p w:rsidR="005831D2" w:rsidRPr="00CC5E79" w:rsidRDefault="005831D2" w:rsidP="00D96CD5">
      <w:pPr>
        <w:pStyle w:val="NormalWeb"/>
        <w:spacing w:line="360" w:lineRule="auto"/>
        <w:jc w:val="both"/>
        <w:divId w:val="522475962"/>
      </w:pPr>
      <w:r w:rsidRPr="00CC5E79">
        <w:t xml:space="preserve">Scottish Intercollegiate Guidelines Network (SIGN) (2007). </w:t>
      </w:r>
      <w:r w:rsidRPr="00CC5E79">
        <w:rPr>
          <w:i/>
        </w:rPr>
        <w:t>Assessment, diagnosis and clinical interventions for children and young people with autism spectrum disorders.</w:t>
      </w:r>
      <w:r w:rsidRPr="00CC5E79">
        <w:t xml:space="preserve"> Edinburgh: SIGN 98.</w:t>
      </w:r>
    </w:p>
    <w:p w:rsidR="006B0E2D" w:rsidRPr="00CC5E79" w:rsidRDefault="00276A33" w:rsidP="00F21E89">
      <w:pPr>
        <w:pStyle w:val="NormalWeb"/>
        <w:spacing w:line="360" w:lineRule="auto"/>
        <w:jc w:val="both"/>
        <w:sectPr w:rsidR="006B0E2D" w:rsidRPr="00CC5E79" w:rsidSect="00BD6C1A">
          <w:headerReference w:type="default" r:id="rId9"/>
          <w:pgSz w:w="11906" w:h="16838"/>
          <w:pgMar w:top="1418" w:right="1418" w:bottom="1418" w:left="1418" w:header="709" w:footer="709" w:gutter="0"/>
          <w:cols w:space="708"/>
          <w:docGrid w:linePitch="360"/>
        </w:sectPr>
      </w:pPr>
      <w:r w:rsidRPr="00CC5E79">
        <w:t xml:space="preserve">Van </w:t>
      </w:r>
      <w:proofErr w:type="spellStart"/>
      <w:r w:rsidRPr="00CC5E79">
        <w:t>Fenema</w:t>
      </w:r>
      <w:proofErr w:type="spellEnd"/>
      <w:r w:rsidR="00B6426A" w:rsidRPr="00CC5E79">
        <w:t>,</w:t>
      </w:r>
      <w:r w:rsidRPr="00CC5E79">
        <w:t xml:space="preserve"> E</w:t>
      </w:r>
      <w:r w:rsidR="00B6426A" w:rsidRPr="00CC5E79">
        <w:t>.</w:t>
      </w:r>
      <w:r w:rsidRPr="00CC5E79">
        <w:t>, Van Der Wee</w:t>
      </w:r>
      <w:r w:rsidR="00B6426A" w:rsidRPr="00CC5E79">
        <w:t>,</w:t>
      </w:r>
      <w:r w:rsidR="00064DD8" w:rsidRPr="00CC5E79">
        <w:t xml:space="preserve"> N</w:t>
      </w:r>
      <w:r w:rsidR="00B6426A" w:rsidRPr="00CC5E79">
        <w:t>.</w:t>
      </w:r>
      <w:r w:rsidR="00064DD8" w:rsidRPr="00CC5E79">
        <w:t>J</w:t>
      </w:r>
      <w:r w:rsidR="00B6426A" w:rsidRPr="00CC5E79">
        <w:t>.</w:t>
      </w:r>
      <w:r w:rsidR="00064DD8" w:rsidRPr="00CC5E79">
        <w:t>A</w:t>
      </w:r>
      <w:r w:rsidR="00B6426A" w:rsidRPr="00CC5E79">
        <w:t>.</w:t>
      </w:r>
      <w:r w:rsidRPr="00CC5E79">
        <w:t>, Bauer</w:t>
      </w:r>
      <w:r w:rsidR="00B6426A" w:rsidRPr="00CC5E79">
        <w:t>,</w:t>
      </w:r>
      <w:r w:rsidRPr="00CC5E79">
        <w:t xml:space="preserve"> M</w:t>
      </w:r>
      <w:r w:rsidR="00B6426A" w:rsidRPr="00CC5E79">
        <w:t>.</w:t>
      </w:r>
      <w:r w:rsidRPr="00CC5E79">
        <w:t>, Witte</w:t>
      </w:r>
      <w:r w:rsidR="00B6426A" w:rsidRPr="00CC5E79">
        <w:t>,</w:t>
      </w:r>
      <w:r w:rsidRPr="00CC5E79">
        <w:t xml:space="preserve"> C</w:t>
      </w:r>
      <w:r w:rsidR="00B6426A" w:rsidRPr="00CC5E79">
        <w:t>.</w:t>
      </w:r>
      <w:r w:rsidRPr="00CC5E79">
        <w:t>J</w:t>
      </w:r>
      <w:r w:rsidR="00B6426A" w:rsidRPr="00CC5E79">
        <w:t>. &amp;</w:t>
      </w:r>
      <w:r w:rsidR="00064DD8" w:rsidRPr="00CC5E79">
        <w:t xml:space="preserve"> </w:t>
      </w:r>
      <w:proofErr w:type="spellStart"/>
      <w:r w:rsidRPr="00CC5E79">
        <w:t>Zitman</w:t>
      </w:r>
      <w:proofErr w:type="spellEnd"/>
      <w:r w:rsidR="00B6426A" w:rsidRPr="00CC5E79">
        <w:t>,</w:t>
      </w:r>
      <w:r w:rsidRPr="00CC5E79">
        <w:t xml:space="preserve"> F</w:t>
      </w:r>
      <w:r w:rsidR="00B6426A" w:rsidRPr="00CC5E79">
        <w:t>.</w:t>
      </w:r>
      <w:r w:rsidR="00064DD8" w:rsidRPr="00CC5E79">
        <w:t>G</w:t>
      </w:r>
      <w:r w:rsidR="00B6426A" w:rsidRPr="00CC5E79">
        <w:t>.</w:t>
      </w:r>
      <w:r w:rsidR="00064DD8" w:rsidRPr="00CC5E79">
        <w:t xml:space="preserve"> (2012)</w:t>
      </w:r>
      <w:r w:rsidR="00B6426A" w:rsidRPr="00CC5E79">
        <w:t>.</w:t>
      </w:r>
      <w:r w:rsidRPr="00CC5E79">
        <w:t xml:space="preserve"> Assessing adherence to guidelines for common mental disorders in routine clinical practice.</w:t>
      </w:r>
      <w:r w:rsidR="00B6426A" w:rsidRPr="00CC5E79">
        <w:t xml:space="preserve"> </w:t>
      </w:r>
      <w:r w:rsidR="00226294" w:rsidRPr="00CC5E79">
        <w:rPr>
          <w:i/>
          <w:iCs/>
        </w:rPr>
        <w:t>International Journal for Quality in Health Care</w:t>
      </w:r>
      <w:r w:rsidR="00B6426A" w:rsidRPr="00CC5E79">
        <w:rPr>
          <w:i/>
          <w:iCs/>
        </w:rPr>
        <w:t>,</w:t>
      </w:r>
      <w:r w:rsidR="00B6426A" w:rsidRPr="00CC5E79">
        <w:t xml:space="preserve"> </w:t>
      </w:r>
      <w:r w:rsidR="00226294" w:rsidRPr="00CC5E79">
        <w:rPr>
          <w:i/>
          <w:iCs/>
        </w:rPr>
        <w:t>24</w:t>
      </w:r>
      <w:r w:rsidR="00064DD8" w:rsidRPr="00CC5E79">
        <w:t>(1)</w:t>
      </w:r>
      <w:r w:rsidR="00B6426A" w:rsidRPr="00CC5E79">
        <w:t xml:space="preserve">, </w:t>
      </w:r>
      <w:r w:rsidR="00226294" w:rsidRPr="00CC5E79">
        <w:t>72-79.</w:t>
      </w:r>
    </w:p>
    <w:p w:rsidR="000B7305" w:rsidRPr="00CC5E79" w:rsidRDefault="006B0E2D" w:rsidP="000B7305">
      <w:pPr>
        <w:spacing w:line="480" w:lineRule="auto"/>
        <w:rPr>
          <w:rFonts w:ascii="Times New Roman" w:eastAsia="Shaker2Lancet-Bold" w:hAnsi="Times New Roman"/>
          <w:bCs/>
          <w:sz w:val="24"/>
          <w:szCs w:val="24"/>
        </w:rPr>
      </w:pPr>
      <w:r w:rsidRPr="00CC5E79">
        <w:rPr>
          <w:rFonts w:ascii="Times New Roman" w:eastAsia="Shaker2Lancet-Bold" w:hAnsi="Times New Roman"/>
          <w:bCs/>
          <w:sz w:val="24"/>
          <w:szCs w:val="24"/>
        </w:rPr>
        <w:lastRenderedPageBreak/>
        <w:t>T</w:t>
      </w:r>
      <w:r w:rsidR="000B7305" w:rsidRPr="00CC5E79">
        <w:rPr>
          <w:rFonts w:ascii="Times New Roman" w:eastAsia="Shaker2Lancet-Bold" w:hAnsi="Times New Roman"/>
          <w:bCs/>
          <w:sz w:val="24"/>
          <w:szCs w:val="24"/>
        </w:rPr>
        <w:t>able 1</w:t>
      </w:r>
    </w:p>
    <w:p w:rsidR="000B7305" w:rsidRPr="00CC5E79" w:rsidRDefault="000B7305" w:rsidP="000B7305">
      <w:pPr>
        <w:spacing w:line="480" w:lineRule="auto"/>
        <w:rPr>
          <w:rFonts w:ascii="Times New Roman" w:eastAsia="Shaker2Lancet-Bold" w:hAnsi="Times New Roman"/>
          <w:bCs/>
          <w:sz w:val="24"/>
          <w:szCs w:val="24"/>
        </w:rPr>
      </w:pPr>
      <w:r w:rsidRPr="00CC5E79">
        <w:rPr>
          <w:rFonts w:ascii="Times New Roman" w:eastAsia="Shaker2Lancet-Bold" w:hAnsi="Times New Roman"/>
          <w:bCs/>
          <w:sz w:val="24"/>
          <w:szCs w:val="24"/>
        </w:rPr>
        <w:t>Frequencies of clinical practices reflecting section 5 of NICE 142 guideline</w:t>
      </w:r>
    </w:p>
    <w:tbl>
      <w:tblPr>
        <w:tblW w:w="13745" w:type="dxa"/>
        <w:tblLayout w:type="fixed"/>
        <w:tblLook w:val="04A0" w:firstRow="1" w:lastRow="0" w:firstColumn="1" w:lastColumn="0" w:noHBand="0" w:noVBand="1"/>
      </w:tblPr>
      <w:tblGrid>
        <w:gridCol w:w="1384"/>
        <w:gridCol w:w="5841"/>
        <w:gridCol w:w="1417"/>
        <w:gridCol w:w="1276"/>
        <w:gridCol w:w="2268"/>
        <w:gridCol w:w="1559"/>
      </w:tblGrid>
      <w:tr w:rsidR="00CC5E79" w:rsidRPr="00CC5E79" w:rsidTr="007F4880">
        <w:tc>
          <w:tcPr>
            <w:tcW w:w="1384" w:type="dxa"/>
            <w:tcBorders>
              <w:top w:val="single" w:sz="4" w:space="0" w:color="auto"/>
              <w:bottom w:val="single" w:sz="4" w:space="0" w:color="auto"/>
            </w:tcBorders>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Guideline no.</w:t>
            </w:r>
          </w:p>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(item number)</w:t>
            </w:r>
            <w:r w:rsidRPr="00CC5E79">
              <w:rPr>
                <w:rFonts w:ascii="Times New Roman" w:hAnsi="Times New Roman"/>
                <w:b/>
                <w:sz w:val="24"/>
                <w:szCs w:val="24"/>
                <w:vertAlign w:val="superscript"/>
              </w:rPr>
              <w:t>1</w:t>
            </w:r>
          </w:p>
        </w:tc>
        <w:tc>
          <w:tcPr>
            <w:tcW w:w="5841" w:type="dxa"/>
            <w:tcBorders>
              <w:top w:val="single" w:sz="4" w:space="0" w:color="auto"/>
              <w:bottom w:val="single" w:sz="4" w:space="0" w:color="auto"/>
            </w:tcBorders>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Description</w:t>
            </w:r>
          </w:p>
        </w:tc>
        <w:tc>
          <w:tcPr>
            <w:tcW w:w="1417" w:type="dxa"/>
            <w:tcBorders>
              <w:top w:val="single" w:sz="4" w:space="0" w:color="auto"/>
              <w:bottom w:val="single" w:sz="4" w:space="0" w:color="auto"/>
            </w:tcBorders>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Reflected clinical practice</w:t>
            </w:r>
          </w:p>
          <w:p w:rsidR="003A3021" w:rsidRPr="00CC5E79" w:rsidRDefault="003A3021" w:rsidP="007F4880">
            <w:pPr>
              <w:spacing w:after="0" w:line="240" w:lineRule="auto"/>
              <w:jc w:val="both"/>
              <w:rPr>
                <w:rFonts w:ascii="Times New Roman" w:hAnsi="Times New Roman"/>
                <w:b/>
                <w:sz w:val="24"/>
                <w:szCs w:val="24"/>
              </w:rPr>
            </w:pPr>
          </w:p>
          <w:p w:rsidR="003A3021" w:rsidRPr="00CC5E79" w:rsidRDefault="003A3021" w:rsidP="007F4880">
            <w:pPr>
              <w:spacing w:after="0" w:line="240" w:lineRule="auto"/>
              <w:jc w:val="both"/>
              <w:rPr>
                <w:rFonts w:ascii="Times New Roman" w:hAnsi="Times New Roman"/>
                <w:b/>
                <w:sz w:val="24"/>
                <w:szCs w:val="24"/>
              </w:rPr>
            </w:pPr>
            <w:r w:rsidRPr="00CC5E79">
              <w:rPr>
                <w:rFonts w:ascii="Times New Roman" w:hAnsi="Times New Roman"/>
                <w:b/>
                <w:sz w:val="24"/>
                <w:szCs w:val="24"/>
              </w:rPr>
              <w:t>No. (%)</w:t>
            </w:r>
          </w:p>
        </w:tc>
        <w:tc>
          <w:tcPr>
            <w:tcW w:w="1276" w:type="dxa"/>
            <w:tcBorders>
              <w:top w:val="single" w:sz="4" w:space="0" w:color="auto"/>
              <w:bottom w:val="single" w:sz="4" w:space="0" w:color="auto"/>
            </w:tcBorders>
            <w:shd w:val="clear" w:color="auto" w:fill="auto"/>
          </w:tcPr>
          <w:p w:rsidR="000B7305" w:rsidRPr="00CC5E79" w:rsidRDefault="000B7305" w:rsidP="007F4880">
            <w:pPr>
              <w:spacing w:after="0" w:line="240" w:lineRule="auto"/>
              <w:rPr>
                <w:rFonts w:ascii="Times New Roman" w:hAnsi="Times New Roman"/>
                <w:b/>
                <w:sz w:val="24"/>
                <w:szCs w:val="24"/>
              </w:rPr>
            </w:pPr>
            <w:r w:rsidRPr="00CC5E79">
              <w:rPr>
                <w:rFonts w:ascii="Times New Roman" w:hAnsi="Times New Roman"/>
                <w:b/>
                <w:sz w:val="24"/>
                <w:szCs w:val="24"/>
              </w:rPr>
              <w:t>Did not reflect clinical practice</w:t>
            </w:r>
          </w:p>
          <w:p w:rsidR="003A3021" w:rsidRPr="00CC5E79" w:rsidRDefault="003A3021" w:rsidP="007F4880">
            <w:pPr>
              <w:spacing w:after="0" w:line="240" w:lineRule="auto"/>
              <w:rPr>
                <w:rFonts w:ascii="Times New Roman" w:hAnsi="Times New Roman"/>
                <w:b/>
                <w:sz w:val="24"/>
                <w:szCs w:val="24"/>
              </w:rPr>
            </w:pPr>
            <w:r w:rsidRPr="00CC5E79">
              <w:rPr>
                <w:rFonts w:ascii="Times New Roman" w:hAnsi="Times New Roman"/>
                <w:b/>
                <w:sz w:val="24"/>
                <w:szCs w:val="24"/>
              </w:rPr>
              <w:t>No. (%)</w:t>
            </w:r>
          </w:p>
        </w:tc>
        <w:tc>
          <w:tcPr>
            <w:tcW w:w="2268" w:type="dxa"/>
            <w:tcBorders>
              <w:top w:val="single" w:sz="4" w:space="0" w:color="auto"/>
              <w:bottom w:val="single" w:sz="4" w:space="0" w:color="auto"/>
            </w:tcBorders>
            <w:shd w:val="clear" w:color="auto" w:fill="auto"/>
          </w:tcPr>
          <w:p w:rsidR="000B7305" w:rsidRPr="00CC5E79" w:rsidRDefault="000B7305" w:rsidP="007F4880">
            <w:pPr>
              <w:spacing w:after="0" w:line="240" w:lineRule="auto"/>
              <w:rPr>
                <w:rFonts w:ascii="Times New Roman" w:hAnsi="Times New Roman"/>
                <w:b/>
                <w:sz w:val="24"/>
                <w:szCs w:val="24"/>
              </w:rPr>
            </w:pPr>
            <w:r w:rsidRPr="00CC5E79">
              <w:rPr>
                <w:rFonts w:ascii="Times New Roman" w:hAnsi="Times New Roman"/>
                <w:b/>
                <w:sz w:val="24"/>
                <w:szCs w:val="24"/>
              </w:rPr>
              <w:t>Unclear if applicable to case based on information in case notes</w:t>
            </w:r>
            <w:r w:rsidR="003A3021" w:rsidRPr="00CC5E79">
              <w:rPr>
                <w:rFonts w:ascii="Times New Roman" w:hAnsi="Times New Roman"/>
                <w:b/>
                <w:sz w:val="24"/>
                <w:szCs w:val="24"/>
              </w:rPr>
              <w:t xml:space="preserve"> No. (%)</w:t>
            </w:r>
          </w:p>
        </w:tc>
        <w:tc>
          <w:tcPr>
            <w:tcW w:w="1559" w:type="dxa"/>
            <w:tcBorders>
              <w:top w:val="single" w:sz="4" w:space="0" w:color="auto"/>
              <w:bottom w:val="single" w:sz="4" w:space="0" w:color="auto"/>
            </w:tcBorders>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Missing information</w:t>
            </w:r>
          </w:p>
          <w:p w:rsidR="003A3021" w:rsidRPr="00CC5E79" w:rsidRDefault="003A3021" w:rsidP="007F4880">
            <w:pPr>
              <w:spacing w:after="0" w:line="240" w:lineRule="auto"/>
              <w:jc w:val="both"/>
              <w:rPr>
                <w:rFonts w:ascii="Times New Roman" w:hAnsi="Times New Roman"/>
                <w:b/>
                <w:sz w:val="24"/>
                <w:szCs w:val="24"/>
              </w:rPr>
            </w:pPr>
          </w:p>
          <w:p w:rsidR="003A3021" w:rsidRPr="00CC5E79" w:rsidRDefault="003A3021" w:rsidP="007F4880">
            <w:pPr>
              <w:spacing w:after="0" w:line="240" w:lineRule="auto"/>
              <w:jc w:val="both"/>
              <w:rPr>
                <w:rFonts w:ascii="Times New Roman" w:hAnsi="Times New Roman"/>
                <w:b/>
                <w:sz w:val="24"/>
                <w:szCs w:val="24"/>
              </w:rPr>
            </w:pPr>
          </w:p>
          <w:p w:rsidR="003A3021" w:rsidRPr="00CC5E79" w:rsidRDefault="003A3021" w:rsidP="007F4880">
            <w:pPr>
              <w:spacing w:after="0" w:line="240" w:lineRule="auto"/>
              <w:jc w:val="both"/>
              <w:rPr>
                <w:rFonts w:ascii="Times New Roman" w:hAnsi="Times New Roman"/>
                <w:b/>
                <w:sz w:val="24"/>
                <w:szCs w:val="24"/>
              </w:rPr>
            </w:pPr>
            <w:r w:rsidRPr="00CC5E79">
              <w:rPr>
                <w:rFonts w:ascii="Times New Roman" w:hAnsi="Times New Roman"/>
                <w:b/>
                <w:sz w:val="24"/>
                <w:szCs w:val="24"/>
              </w:rPr>
              <w:t>No. (%)</w:t>
            </w:r>
          </w:p>
        </w:tc>
      </w:tr>
      <w:tr w:rsidR="00CC5E79" w:rsidRPr="00CC5E79" w:rsidTr="007F4880">
        <w:tc>
          <w:tcPr>
            <w:tcW w:w="1384" w:type="dxa"/>
            <w:tcBorders>
              <w:top w:val="single" w:sz="4" w:space="0" w:color="auto"/>
            </w:tcBorders>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9.2.1.5</w:t>
            </w:r>
          </w:p>
          <w:p w:rsidR="000B7305" w:rsidRPr="00CC5E79" w:rsidRDefault="000B7305" w:rsidP="007F4880">
            <w:pPr>
              <w:spacing w:after="0" w:line="240" w:lineRule="auto"/>
              <w:jc w:val="center"/>
              <w:rPr>
                <w:rFonts w:ascii="Times New Roman" w:hAnsi="Times New Roman"/>
                <w:b/>
                <w:sz w:val="24"/>
                <w:szCs w:val="24"/>
              </w:rPr>
            </w:pP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p>
        </w:tc>
        <w:tc>
          <w:tcPr>
            <w:tcW w:w="5841" w:type="dxa"/>
            <w:tcBorders>
              <w:top w:val="single" w:sz="4" w:space="0" w:color="auto"/>
            </w:tcBorders>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 undertaken by professionals who were trained and competent?</w:t>
            </w:r>
          </w:p>
        </w:tc>
        <w:tc>
          <w:tcPr>
            <w:tcW w:w="1417" w:type="dxa"/>
            <w:tcBorders>
              <w:top w:val="single" w:sz="4" w:space="0" w:color="auto"/>
            </w:tcBorders>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70</w:t>
            </w:r>
            <w:r w:rsidR="003A3021" w:rsidRPr="00CC5E79">
              <w:rPr>
                <w:rFonts w:ascii="Times New Roman" w:hAnsi="Times New Roman"/>
                <w:b/>
                <w:sz w:val="24"/>
                <w:szCs w:val="24"/>
              </w:rPr>
              <w:t xml:space="preserve"> (100)</w:t>
            </w:r>
          </w:p>
        </w:tc>
        <w:tc>
          <w:tcPr>
            <w:tcW w:w="1276" w:type="dxa"/>
            <w:tcBorders>
              <w:top w:val="single" w:sz="4" w:space="0" w:color="auto"/>
            </w:tcBorders>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2268" w:type="dxa"/>
            <w:tcBorders>
              <w:top w:val="single" w:sz="4" w:space="0" w:color="auto"/>
            </w:tcBorders>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tcBorders>
              <w:top w:val="single" w:sz="4" w:space="0" w:color="auto"/>
            </w:tcBorders>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9.2.1.5</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(3)</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 was team based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42</w:t>
            </w:r>
            <w:r w:rsidR="003A3021" w:rsidRPr="00CC5E79">
              <w:rPr>
                <w:rFonts w:ascii="Times New Roman" w:hAnsi="Times New Roman"/>
                <w:b/>
                <w:sz w:val="24"/>
                <w:szCs w:val="24"/>
              </w:rPr>
              <w:t xml:space="preserve"> (60)</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25</w:t>
            </w:r>
            <w:r w:rsidR="003A3021" w:rsidRPr="00CC5E79">
              <w:rPr>
                <w:rFonts w:ascii="Times New Roman" w:hAnsi="Times New Roman"/>
                <w:b/>
                <w:sz w:val="24"/>
                <w:szCs w:val="24"/>
              </w:rPr>
              <w:t xml:space="preserve"> (36)</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3</w:t>
            </w:r>
            <w:r w:rsidR="003A3021" w:rsidRPr="00CC5E79">
              <w:rPr>
                <w:rFonts w:ascii="Times New Roman" w:hAnsi="Times New Roman"/>
                <w:b/>
                <w:sz w:val="24"/>
                <w:szCs w:val="24"/>
              </w:rPr>
              <w:t xml:space="preserve"> (4)</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9.2.1.5</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 used a range of professions/skills</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37</w:t>
            </w:r>
            <w:r w:rsidR="003A3021" w:rsidRPr="00CC5E79">
              <w:rPr>
                <w:rFonts w:ascii="Times New Roman" w:hAnsi="Times New Roman"/>
                <w:b/>
                <w:sz w:val="24"/>
                <w:szCs w:val="24"/>
              </w:rPr>
              <w:t xml:space="preserve"> (53)</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27</w:t>
            </w:r>
            <w:r w:rsidR="003A3021" w:rsidRPr="00CC5E79">
              <w:rPr>
                <w:rFonts w:ascii="Times New Roman" w:hAnsi="Times New Roman"/>
                <w:b/>
                <w:sz w:val="24"/>
                <w:szCs w:val="24"/>
              </w:rPr>
              <w:t xml:space="preserve"> (39)</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w:t>
            </w:r>
            <w:r w:rsidR="003A3021" w:rsidRPr="00CC5E79">
              <w:rPr>
                <w:rFonts w:ascii="Times New Roman" w:hAnsi="Times New Roman"/>
                <w:b/>
                <w:sz w:val="24"/>
                <w:szCs w:val="24"/>
              </w:rPr>
              <w:t xml:space="preserve"> (8)</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9.2.1.5</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(5)</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Where possible a family member, partner, carer or other informant was involved</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48</w:t>
            </w:r>
            <w:r w:rsidR="003A3021" w:rsidRPr="00CC5E79">
              <w:rPr>
                <w:rFonts w:ascii="Times New Roman" w:hAnsi="Times New Roman"/>
                <w:sz w:val="24"/>
                <w:szCs w:val="24"/>
              </w:rPr>
              <w:t xml:space="preserve"> (69)</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5</w:t>
            </w:r>
            <w:r w:rsidR="003A3021" w:rsidRPr="00CC5E79">
              <w:rPr>
                <w:rFonts w:ascii="Times New Roman" w:hAnsi="Times New Roman"/>
                <w:sz w:val="24"/>
                <w:szCs w:val="24"/>
              </w:rPr>
              <w:t xml:space="preserve"> (7)</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13</w:t>
            </w:r>
            <w:r w:rsidR="003A3021" w:rsidRPr="00CC5E79">
              <w:rPr>
                <w:rFonts w:ascii="Times New Roman" w:hAnsi="Times New Roman"/>
                <w:sz w:val="24"/>
                <w:szCs w:val="24"/>
              </w:rPr>
              <w:t xml:space="preserve"> (18)</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4</w:t>
            </w:r>
            <w:r w:rsidR="003A3021" w:rsidRPr="00CC5E79">
              <w:rPr>
                <w:rFonts w:ascii="Times New Roman" w:hAnsi="Times New Roman"/>
                <w:sz w:val="24"/>
                <w:szCs w:val="24"/>
              </w:rPr>
              <w:t xml:space="preserve"> (6)</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9.2.1.5</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Documentary evidence (such as school reports) of current and past behaviour and early development utilised.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40</w:t>
            </w:r>
            <w:r w:rsidR="002E4252" w:rsidRPr="00CC5E79">
              <w:rPr>
                <w:rFonts w:ascii="Times New Roman" w:hAnsi="Times New Roman"/>
                <w:b/>
                <w:sz w:val="24"/>
                <w:szCs w:val="24"/>
              </w:rPr>
              <w:t xml:space="preserve"> (57)</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26</w:t>
            </w:r>
            <w:r w:rsidR="002E4252" w:rsidRPr="00CC5E79">
              <w:rPr>
                <w:rFonts w:ascii="Times New Roman" w:hAnsi="Times New Roman"/>
                <w:b/>
                <w:sz w:val="24"/>
                <w:szCs w:val="24"/>
              </w:rPr>
              <w:t xml:space="preserve"> (37)</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844BF7"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w:t>
            </w:r>
            <w:r w:rsidR="002E4252" w:rsidRPr="00CC5E79">
              <w:rPr>
                <w:rFonts w:ascii="Times New Roman" w:hAnsi="Times New Roman"/>
                <w:b/>
                <w:sz w:val="24"/>
                <w:szCs w:val="24"/>
              </w:rPr>
              <w:t xml:space="preserve"> (6)</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9.2.1.6</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(7)</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Discussion with the person about the purpose of the assessment and how the outcome of the assessment would be fed back to them.</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61</w:t>
            </w:r>
            <w:r w:rsidR="002E4252" w:rsidRPr="00CC5E79">
              <w:rPr>
                <w:rFonts w:ascii="Times New Roman" w:hAnsi="Times New Roman"/>
                <w:sz w:val="24"/>
                <w:szCs w:val="24"/>
              </w:rPr>
              <w:t>(87)</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w:t>
            </w:r>
            <w:r w:rsidR="002E4252" w:rsidRPr="00CC5E79">
              <w:rPr>
                <w:rFonts w:ascii="Times New Roman" w:hAnsi="Times New Roman"/>
                <w:sz w:val="24"/>
                <w:szCs w:val="24"/>
              </w:rPr>
              <w:t>(1.5)</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7</w:t>
            </w:r>
            <w:r w:rsidR="002E4252" w:rsidRPr="00CC5E79">
              <w:rPr>
                <w:rFonts w:ascii="Times New Roman" w:hAnsi="Times New Roman"/>
                <w:sz w:val="24"/>
                <w:szCs w:val="24"/>
              </w:rPr>
              <w:t xml:space="preserve"> (10)</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w:t>
            </w:r>
            <w:r w:rsidR="002E4252" w:rsidRPr="00CC5E79">
              <w:rPr>
                <w:rFonts w:ascii="Times New Roman" w:hAnsi="Times New Roman"/>
                <w:sz w:val="24"/>
                <w:szCs w:val="24"/>
              </w:rPr>
              <w:t>(1.5)</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(8)</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Difficulties in social interaction were assessed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67</w:t>
            </w:r>
            <w:r w:rsidR="002E4252" w:rsidRPr="00CC5E79">
              <w:rPr>
                <w:rFonts w:ascii="Times New Roman" w:hAnsi="Times New Roman"/>
                <w:b/>
                <w:sz w:val="24"/>
                <w:szCs w:val="24"/>
              </w:rPr>
              <w:t xml:space="preserve"> (96)</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r w:rsidR="002E4252" w:rsidRPr="00CC5E79">
              <w:rPr>
                <w:rFonts w:ascii="Times New Roman" w:hAnsi="Times New Roman"/>
                <w:b/>
                <w:sz w:val="24"/>
                <w:szCs w:val="24"/>
              </w:rPr>
              <w:t xml:space="preserve"> (3)</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w:t>
            </w:r>
            <w:r w:rsidR="002E4252" w:rsidRPr="00CC5E79">
              <w:rPr>
                <w:rFonts w:ascii="Times New Roman" w:hAnsi="Times New Roman"/>
                <w:b/>
                <w:sz w:val="24"/>
                <w:szCs w:val="24"/>
              </w:rPr>
              <w:t xml:space="preserve"> (1)</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(9)</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Difficulties in communication were assessed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66</w:t>
            </w:r>
            <w:r w:rsidR="002E4252" w:rsidRPr="00CC5E79">
              <w:rPr>
                <w:rFonts w:ascii="Times New Roman" w:hAnsi="Times New Roman"/>
                <w:b/>
                <w:sz w:val="24"/>
                <w:szCs w:val="24"/>
              </w:rPr>
              <w:t xml:space="preserve"> (94)</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r w:rsidR="002E4252" w:rsidRPr="00CC5E79">
              <w:rPr>
                <w:rFonts w:ascii="Times New Roman" w:hAnsi="Times New Roman"/>
                <w:b/>
                <w:sz w:val="24"/>
                <w:szCs w:val="24"/>
              </w:rPr>
              <w:t xml:space="preserve"> (3)</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2E4252"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r w:rsidR="002E4252" w:rsidRPr="00CC5E79">
              <w:rPr>
                <w:rFonts w:ascii="Times New Roman" w:hAnsi="Times New Roman"/>
                <w:b/>
                <w:sz w:val="24"/>
                <w:szCs w:val="24"/>
              </w:rPr>
              <w:t xml:space="preserve"> (3)</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(10)</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Stereotypic behaviour was assessed.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65</w:t>
            </w:r>
            <w:r w:rsidR="002E4252" w:rsidRPr="00CC5E79">
              <w:rPr>
                <w:rFonts w:ascii="Times New Roman" w:hAnsi="Times New Roman"/>
                <w:b/>
                <w:sz w:val="24"/>
                <w:szCs w:val="24"/>
              </w:rPr>
              <w:t xml:space="preserve"> (93)</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3</w:t>
            </w:r>
            <w:r w:rsidR="002E4252" w:rsidRPr="00CC5E79">
              <w:rPr>
                <w:rFonts w:ascii="Times New Roman" w:hAnsi="Times New Roman"/>
                <w:b/>
                <w:sz w:val="24"/>
                <w:szCs w:val="24"/>
              </w:rPr>
              <w:t xml:space="preserve"> (4)</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2E4252"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r w:rsidR="002E4252" w:rsidRPr="00CC5E79">
              <w:rPr>
                <w:rFonts w:ascii="Times New Roman" w:hAnsi="Times New Roman"/>
                <w:b/>
                <w:sz w:val="24"/>
                <w:szCs w:val="24"/>
              </w:rPr>
              <w:t xml:space="preserve"> (3)</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lastRenderedPageBreak/>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(11)</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Resistance to change / restricted interests were assessed.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65</w:t>
            </w:r>
            <w:r w:rsidR="002E4252" w:rsidRPr="00CC5E79">
              <w:rPr>
                <w:rFonts w:ascii="Times New Roman" w:hAnsi="Times New Roman"/>
                <w:b/>
                <w:sz w:val="24"/>
                <w:szCs w:val="24"/>
              </w:rPr>
              <w:t xml:space="preserve"> (93)</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3</w:t>
            </w:r>
            <w:r w:rsidR="002E4252" w:rsidRPr="00CC5E79">
              <w:rPr>
                <w:rFonts w:ascii="Times New Roman" w:hAnsi="Times New Roman"/>
                <w:b/>
                <w:sz w:val="24"/>
                <w:szCs w:val="24"/>
              </w:rPr>
              <w:t xml:space="preserve"> (4)</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2E4252"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w:t>
            </w:r>
            <w:r w:rsidR="002E4252" w:rsidRPr="00CC5E79">
              <w:rPr>
                <w:rFonts w:ascii="Times New Roman" w:hAnsi="Times New Roman"/>
                <w:b/>
                <w:sz w:val="24"/>
                <w:szCs w:val="24"/>
              </w:rPr>
              <w:t xml:space="preserve"> (3)</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(12)</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Early developmental history was taken.</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66</w:t>
            </w:r>
            <w:r w:rsidR="008039BD" w:rsidRPr="00CC5E79">
              <w:rPr>
                <w:rFonts w:ascii="Times New Roman" w:hAnsi="Times New Roman"/>
                <w:b/>
                <w:sz w:val="24"/>
                <w:szCs w:val="24"/>
              </w:rPr>
              <w:t xml:space="preserve"> (94)</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w:t>
            </w:r>
            <w:r w:rsidR="002E4252" w:rsidRPr="00CC5E79">
              <w:rPr>
                <w:rFonts w:ascii="Times New Roman" w:hAnsi="Times New Roman"/>
                <w:b/>
                <w:sz w:val="24"/>
                <w:szCs w:val="24"/>
              </w:rPr>
              <w:t xml:space="preserve"> (6)</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(14)</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Assessments were conducted on functioning at home, in education or in employment.</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58</w:t>
            </w:r>
            <w:r w:rsidR="008039BD" w:rsidRPr="00CC5E79">
              <w:rPr>
                <w:rFonts w:ascii="Times New Roman" w:hAnsi="Times New Roman"/>
                <w:b/>
                <w:sz w:val="24"/>
                <w:szCs w:val="24"/>
              </w:rPr>
              <w:t xml:space="preserve"> (83)</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7</w:t>
            </w:r>
            <w:r w:rsidR="008039BD" w:rsidRPr="00CC5E79">
              <w:rPr>
                <w:rFonts w:ascii="Times New Roman" w:hAnsi="Times New Roman"/>
                <w:b/>
                <w:sz w:val="24"/>
                <w:szCs w:val="24"/>
              </w:rPr>
              <w:t xml:space="preserve"> (10)</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5</w:t>
            </w:r>
            <w:r w:rsidR="008039BD" w:rsidRPr="00CC5E79">
              <w:rPr>
                <w:rFonts w:ascii="Times New Roman" w:hAnsi="Times New Roman"/>
                <w:b/>
                <w:sz w:val="24"/>
                <w:szCs w:val="24"/>
              </w:rPr>
              <w:t xml:space="preserve"> (7)</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(15)</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Assessments were carried out on past and current physical disorders.</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47</w:t>
            </w:r>
            <w:r w:rsidR="008039BD" w:rsidRPr="00CC5E79">
              <w:rPr>
                <w:rFonts w:ascii="Times New Roman" w:hAnsi="Times New Roman"/>
                <w:b/>
                <w:sz w:val="24"/>
                <w:szCs w:val="24"/>
              </w:rPr>
              <w:t xml:space="preserve"> (67)</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23</w:t>
            </w:r>
            <w:r w:rsidR="008039BD" w:rsidRPr="00CC5E79">
              <w:rPr>
                <w:rFonts w:ascii="Times New Roman" w:hAnsi="Times New Roman"/>
                <w:b/>
                <w:sz w:val="24"/>
                <w:szCs w:val="24"/>
              </w:rPr>
              <w:t xml:space="preserve"> (33)</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(16)</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Assessments were carried out on mental disorders.</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47</w:t>
            </w:r>
            <w:r w:rsidR="008039BD" w:rsidRPr="00CC5E79">
              <w:rPr>
                <w:rFonts w:ascii="Times New Roman" w:hAnsi="Times New Roman"/>
                <w:b/>
                <w:sz w:val="24"/>
                <w:szCs w:val="24"/>
              </w:rPr>
              <w:t xml:space="preserve"> (67)</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11</w:t>
            </w:r>
            <w:r w:rsidR="008039BD" w:rsidRPr="00CC5E79">
              <w:rPr>
                <w:rFonts w:ascii="Times New Roman" w:hAnsi="Times New Roman"/>
                <w:b/>
                <w:sz w:val="24"/>
                <w:szCs w:val="24"/>
              </w:rPr>
              <w:t xml:space="preserve"> (16)</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12</w:t>
            </w:r>
            <w:r w:rsidR="006208DA" w:rsidRPr="00CC5E79">
              <w:rPr>
                <w:rFonts w:ascii="Times New Roman" w:hAnsi="Times New Roman"/>
                <w:b/>
                <w:sz w:val="24"/>
                <w:szCs w:val="24"/>
              </w:rPr>
              <w:t xml:space="preserve"> (17)</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(17)</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Assessments were carried out on any other neurodevelopmental conditions.</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0</w:t>
            </w:r>
            <w:r w:rsidR="003A3021" w:rsidRPr="00CC5E79">
              <w:rPr>
                <w:rFonts w:ascii="Times New Roman" w:hAnsi="Times New Roman"/>
                <w:sz w:val="24"/>
                <w:szCs w:val="24"/>
              </w:rPr>
              <w:t xml:space="preserve"> (0)</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0</w:t>
            </w:r>
            <w:r w:rsidR="003A3021" w:rsidRPr="00CC5E79">
              <w:rPr>
                <w:rFonts w:ascii="Times New Roman" w:hAnsi="Times New Roman"/>
                <w:sz w:val="24"/>
                <w:szCs w:val="24"/>
              </w:rPr>
              <w:t xml:space="preserve"> (0)</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69</w:t>
            </w:r>
            <w:r w:rsidR="006208DA" w:rsidRPr="00CC5E79">
              <w:rPr>
                <w:rFonts w:ascii="Times New Roman" w:hAnsi="Times New Roman"/>
                <w:sz w:val="24"/>
                <w:szCs w:val="24"/>
              </w:rPr>
              <w:t xml:space="preserve"> (99)</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w:t>
            </w:r>
            <w:r w:rsidR="006208DA" w:rsidRPr="00CC5E79">
              <w:rPr>
                <w:rFonts w:ascii="Times New Roman" w:hAnsi="Times New Roman"/>
                <w:sz w:val="24"/>
                <w:szCs w:val="24"/>
              </w:rPr>
              <w:t>(1)</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(18)</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Hyper- and/or hypo-sensory sensitivities were considered.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69</w:t>
            </w:r>
            <w:r w:rsidR="006208DA" w:rsidRPr="00CC5E79">
              <w:rPr>
                <w:rFonts w:ascii="Times New Roman" w:hAnsi="Times New Roman"/>
                <w:b/>
                <w:sz w:val="24"/>
                <w:szCs w:val="24"/>
              </w:rPr>
              <w:t xml:space="preserve"> (99)</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w:t>
            </w:r>
            <w:r w:rsidR="006208DA" w:rsidRPr="00CC5E79">
              <w:rPr>
                <w:rFonts w:ascii="Times New Roman" w:hAnsi="Times New Roman"/>
                <w:b/>
                <w:sz w:val="24"/>
                <w:szCs w:val="24"/>
              </w:rPr>
              <w:t xml:space="preserve"> (1)</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sz w:val="24"/>
                <w:szCs w:val="24"/>
              </w:rPr>
              <w:t>9.2.1.7</w:t>
            </w:r>
          </w:p>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(19)</w:t>
            </w:r>
          </w:p>
        </w:tc>
        <w:tc>
          <w:tcPr>
            <w:tcW w:w="5841" w:type="dxa"/>
            <w:shd w:val="clear" w:color="auto" w:fill="auto"/>
          </w:tcPr>
          <w:p w:rsidR="000B7305" w:rsidRPr="00CC5E79" w:rsidRDefault="000B7305" w:rsidP="007F4880">
            <w:pPr>
              <w:spacing w:after="0" w:line="240" w:lineRule="auto"/>
              <w:jc w:val="both"/>
              <w:rPr>
                <w:rFonts w:ascii="Times New Roman" w:hAnsi="Times New Roman"/>
                <w:b/>
                <w:sz w:val="24"/>
                <w:szCs w:val="24"/>
              </w:rPr>
            </w:pPr>
            <w:r w:rsidRPr="00CC5E79">
              <w:rPr>
                <w:rFonts w:ascii="Times New Roman" w:hAnsi="Times New Roman"/>
                <w:b/>
                <w:sz w:val="24"/>
                <w:szCs w:val="24"/>
              </w:rPr>
              <w:t>Direct observation was conducted</w:t>
            </w:r>
          </w:p>
        </w:tc>
        <w:tc>
          <w:tcPr>
            <w:tcW w:w="1417"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64</w:t>
            </w:r>
            <w:r w:rsidR="006208DA" w:rsidRPr="00CC5E79">
              <w:rPr>
                <w:rFonts w:ascii="Times New Roman" w:hAnsi="Times New Roman"/>
                <w:b/>
                <w:sz w:val="24"/>
                <w:szCs w:val="24"/>
              </w:rPr>
              <w:t xml:space="preserve"> (92)</w:t>
            </w:r>
          </w:p>
        </w:tc>
        <w:tc>
          <w:tcPr>
            <w:tcW w:w="1276"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5</w:t>
            </w:r>
            <w:r w:rsidR="006208DA" w:rsidRPr="00CC5E79">
              <w:rPr>
                <w:rFonts w:ascii="Times New Roman" w:hAnsi="Times New Roman"/>
                <w:b/>
                <w:sz w:val="24"/>
                <w:szCs w:val="24"/>
              </w:rPr>
              <w:t xml:space="preserve"> (7)</w:t>
            </w:r>
          </w:p>
        </w:tc>
        <w:tc>
          <w:tcPr>
            <w:tcW w:w="2268"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0</w:t>
            </w:r>
            <w:r w:rsidR="003A3021" w:rsidRPr="00CC5E79">
              <w:rPr>
                <w:rFonts w:ascii="Times New Roman" w:hAnsi="Times New Roman"/>
                <w:b/>
                <w:sz w:val="24"/>
                <w:szCs w:val="24"/>
              </w:rPr>
              <w:t xml:space="preserve"> (0)</w:t>
            </w:r>
          </w:p>
        </w:tc>
        <w:tc>
          <w:tcPr>
            <w:tcW w:w="1559" w:type="dxa"/>
            <w:shd w:val="clear" w:color="auto" w:fill="auto"/>
          </w:tcPr>
          <w:p w:rsidR="000B7305" w:rsidRPr="00CC5E79" w:rsidRDefault="000B7305" w:rsidP="007F4880">
            <w:pPr>
              <w:spacing w:after="0" w:line="240" w:lineRule="auto"/>
              <w:jc w:val="center"/>
              <w:rPr>
                <w:rFonts w:ascii="Times New Roman" w:hAnsi="Times New Roman"/>
                <w:b/>
                <w:sz w:val="24"/>
                <w:szCs w:val="24"/>
              </w:rPr>
            </w:pPr>
            <w:r w:rsidRPr="00CC5E79">
              <w:rPr>
                <w:rFonts w:ascii="Times New Roman" w:hAnsi="Times New Roman"/>
                <w:b/>
                <w:sz w:val="24"/>
                <w:szCs w:val="24"/>
              </w:rPr>
              <w:t>1</w:t>
            </w:r>
            <w:r w:rsidR="006208DA" w:rsidRPr="00CC5E79">
              <w:rPr>
                <w:rFonts w:ascii="Times New Roman" w:hAnsi="Times New Roman"/>
                <w:b/>
                <w:sz w:val="24"/>
                <w:szCs w:val="24"/>
              </w:rPr>
              <w:t xml:space="preserve"> (1)</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9.2.1.12</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(21)</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Risk assessment for self-harm was conducted.</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14</w:t>
            </w:r>
            <w:r w:rsidR="006208DA" w:rsidRPr="00CC5E79">
              <w:rPr>
                <w:rFonts w:ascii="Times New Roman" w:hAnsi="Times New Roman"/>
                <w:sz w:val="24"/>
                <w:szCs w:val="24"/>
              </w:rPr>
              <w:t xml:space="preserve"> (20)</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16</w:t>
            </w:r>
            <w:r w:rsidR="006208DA" w:rsidRPr="00CC5E79">
              <w:rPr>
                <w:rFonts w:ascii="Times New Roman" w:hAnsi="Times New Roman"/>
                <w:sz w:val="24"/>
                <w:szCs w:val="24"/>
              </w:rPr>
              <w:t xml:space="preserve"> (23)</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17</w:t>
            </w:r>
            <w:r w:rsidR="006208DA" w:rsidRPr="00CC5E79">
              <w:rPr>
                <w:rFonts w:ascii="Times New Roman" w:hAnsi="Times New Roman"/>
                <w:sz w:val="24"/>
                <w:szCs w:val="24"/>
              </w:rPr>
              <w:t xml:space="preserve"> (24)</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23</w:t>
            </w:r>
            <w:r w:rsidR="006208DA" w:rsidRPr="00CC5E79">
              <w:rPr>
                <w:rFonts w:ascii="Times New Roman" w:hAnsi="Times New Roman"/>
                <w:sz w:val="24"/>
                <w:szCs w:val="24"/>
              </w:rPr>
              <w:t xml:space="preserve"> (33)</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9.2.1.12</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(22)</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Risk assessment of harm to others was conducted.</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10</w:t>
            </w:r>
            <w:r w:rsidR="006208DA" w:rsidRPr="00CC5E79">
              <w:rPr>
                <w:rFonts w:ascii="Times New Roman" w:hAnsi="Times New Roman"/>
                <w:sz w:val="24"/>
                <w:szCs w:val="24"/>
              </w:rPr>
              <w:t xml:space="preserve"> (14)</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17</w:t>
            </w:r>
            <w:r w:rsidR="006208DA" w:rsidRPr="00CC5E79">
              <w:rPr>
                <w:rFonts w:ascii="Times New Roman" w:hAnsi="Times New Roman"/>
                <w:sz w:val="24"/>
                <w:szCs w:val="24"/>
              </w:rPr>
              <w:t xml:space="preserve"> (24)</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20</w:t>
            </w:r>
            <w:r w:rsidR="006208DA" w:rsidRPr="00CC5E79">
              <w:rPr>
                <w:rFonts w:ascii="Times New Roman" w:hAnsi="Times New Roman"/>
                <w:sz w:val="24"/>
                <w:szCs w:val="24"/>
              </w:rPr>
              <w:t xml:space="preserve"> (29)</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23</w:t>
            </w:r>
            <w:r w:rsidR="006208DA" w:rsidRPr="00CC5E79">
              <w:rPr>
                <w:rFonts w:ascii="Times New Roman" w:hAnsi="Times New Roman"/>
                <w:sz w:val="24"/>
                <w:szCs w:val="24"/>
              </w:rPr>
              <w:t xml:space="preserve"> (33)</w:t>
            </w:r>
          </w:p>
        </w:tc>
      </w:tr>
      <w:tr w:rsidR="00CC5E79" w:rsidRPr="00CC5E79" w:rsidTr="007F4880">
        <w:tc>
          <w:tcPr>
            <w:tcW w:w="1384"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9.2.1.13</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(24)</w:t>
            </w:r>
          </w:p>
        </w:tc>
        <w:tc>
          <w:tcPr>
            <w:tcW w:w="5841" w:type="dxa"/>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A care plan was developed</w:t>
            </w:r>
          </w:p>
        </w:tc>
        <w:tc>
          <w:tcPr>
            <w:tcW w:w="1417"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45</w:t>
            </w:r>
            <w:r w:rsidR="006208DA" w:rsidRPr="00CC5E79">
              <w:rPr>
                <w:rFonts w:ascii="Times New Roman" w:hAnsi="Times New Roman"/>
                <w:sz w:val="24"/>
                <w:szCs w:val="24"/>
              </w:rPr>
              <w:t xml:space="preserve"> (64)</w:t>
            </w:r>
          </w:p>
        </w:tc>
        <w:tc>
          <w:tcPr>
            <w:tcW w:w="1276"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12</w:t>
            </w:r>
            <w:r w:rsidR="006208DA" w:rsidRPr="00CC5E79">
              <w:rPr>
                <w:rFonts w:ascii="Times New Roman" w:hAnsi="Times New Roman"/>
                <w:sz w:val="24"/>
                <w:szCs w:val="24"/>
              </w:rPr>
              <w:t xml:space="preserve"> (17)</w:t>
            </w:r>
          </w:p>
        </w:tc>
        <w:tc>
          <w:tcPr>
            <w:tcW w:w="2268"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w:t>
            </w:r>
            <w:r w:rsidR="006208DA" w:rsidRPr="00CC5E79">
              <w:rPr>
                <w:rFonts w:ascii="Times New Roman" w:hAnsi="Times New Roman"/>
                <w:sz w:val="24"/>
                <w:szCs w:val="24"/>
              </w:rPr>
              <w:t xml:space="preserve"> (3)</w:t>
            </w:r>
          </w:p>
        </w:tc>
        <w:tc>
          <w:tcPr>
            <w:tcW w:w="1559" w:type="dxa"/>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11</w:t>
            </w:r>
            <w:r w:rsidR="006208DA" w:rsidRPr="00CC5E79">
              <w:rPr>
                <w:rFonts w:ascii="Times New Roman" w:hAnsi="Times New Roman"/>
                <w:sz w:val="24"/>
                <w:szCs w:val="24"/>
              </w:rPr>
              <w:t xml:space="preserve"> (16)</w:t>
            </w:r>
          </w:p>
        </w:tc>
      </w:tr>
      <w:tr w:rsidR="00CC5E79" w:rsidRPr="00CC5E79" w:rsidTr="007F4880">
        <w:tc>
          <w:tcPr>
            <w:tcW w:w="1384" w:type="dxa"/>
            <w:tcBorders>
              <w:bottom w:val="single" w:sz="4" w:space="0" w:color="auto"/>
            </w:tcBorders>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9.2.1.18</w:t>
            </w:r>
          </w:p>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(26)</w:t>
            </w:r>
          </w:p>
        </w:tc>
        <w:tc>
          <w:tcPr>
            <w:tcW w:w="5841" w:type="dxa"/>
            <w:tcBorders>
              <w:left w:val="nil"/>
              <w:bottom w:val="single" w:sz="4" w:space="0" w:color="auto"/>
            </w:tcBorders>
            <w:shd w:val="clear" w:color="auto" w:fill="auto"/>
          </w:tcPr>
          <w:p w:rsidR="000B7305" w:rsidRPr="00CC5E79" w:rsidRDefault="000B7305" w:rsidP="007F4880">
            <w:pPr>
              <w:spacing w:after="0" w:line="240" w:lineRule="auto"/>
              <w:jc w:val="both"/>
              <w:rPr>
                <w:rFonts w:ascii="Times New Roman" w:hAnsi="Times New Roman"/>
                <w:sz w:val="24"/>
                <w:szCs w:val="24"/>
              </w:rPr>
            </w:pPr>
            <w:r w:rsidRPr="00CC5E79">
              <w:rPr>
                <w:rFonts w:ascii="Times New Roman" w:hAnsi="Times New Roman"/>
                <w:sz w:val="24"/>
                <w:szCs w:val="24"/>
              </w:rPr>
              <w:t>Follow-up appointment was given to discuss the implications of the diagnosis.</w:t>
            </w:r>
          </w:p>
        </w:tc>
        <w:tc>
          <w:tcPr>
            <w:tcW w:w="1417" w:type="dxa"/>
            <w:tcBorders>
              <w:bottom w:val="single" w:sz="4" w:space="0" w:color="auto"/>
            </w:tcBorders>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45</w:t>
            </w:r>
            <w:r w:rsidR="006208DA" w:rsidRPr="00CC5E79">
              <w:rPr>
                <w:rFonts w:ascii="Times New Roman" w:hAnsi="Times New Roman"/>
                <w:sz w:val="24"/>
                <w:szCs w:val="24"/>
              </w:rPr>
              <w:t xml:space="preserve"> (64)</w:t>
            </w:r>
          </w:p>
        </w:tc>
        <w:tc>
          <w:tcPr>
            <w:tcW w:w="1276" w:type="dxa"/>
            <w:tcBorders>
              <w:bottom w:val="single" w:sz="4" w:space="0" w:color="auto"/>
            </w:tcBorders>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12</w:t>
            </w:r>
            <w:r w:rsidR="006208DA" w:rsidRPr="00CC5E79">
              <w:rPr>
                <w:rFonts w:ascii="Times New Roman" w:hAnsi="Times New Roman"/>
                <w:sz w:val="24"/>
                <w:szCs w:val="24"/>
              </w:rPr>
              <w:t xml:space="preserve"> (17)</w:t>
            </w:r>
          </w:p>
        </w:tc>
        <w:tc>
          <w:tcPr>
            <w:tcW w:w="2268" w:type="dxa"/>
            <w:tcBorders>
              <w:bottom w:val="single" w:sz="4" w:space="0" w:color="auto"/>
            </w:tcBorders>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2</w:t>
            </w:r>
            <w:r w:rsidR="006208DA" w:rsidRPr="00CC5E79">
              <w:rPr>
                <w:rFonts w:ascii="Times New Roman" w:hAnsi="Times New Roman"/>
                <w:sz w:val="24"/>
                <w:szCs w:val="24"/>
              </w:rPr>
              <w:t xml:space="preserve"> (3)</w:t>
            </w:r>
          </w:p>
        </w:tc>
        <w:tc>
          <w:tcPr>
            <w:tcW w:w="1559" w:type="dxa"/>
            <w:tcBorders>
              <w:bottom w:val="single" w:sz="4" w:space="0" w:color="auto"/>
            </w:tcBorders>
            <w:shd w:val="clear" w:color="auto" w:fill="auto"/>
          </w:tcPr>
          <w:p w:rsidR="000B7305" w:rsidRPr="00CC5E79" w:rsidRDefault="000B7305" w:rsidP="007F4880">
            <w:pPr>
              <w:spacing w:after="0" w:line="240" w:lineRule="auto"/>
              <w:jc w:val="center"/>
              <w:rPr>
                <w:rFonts w:ascii="Times New Roman" w:hAnsi="Times New Roman"/>
                <w:sz w:val="24"/>
                <w:szCs w:val="24"/>
              </w:rPr>
            </w:pPr>
            <w:r w:rsidRPr="00CC5E79">
              <w:rPr>
                <w:rFonts w:ascii="Times New Roman" w:hAnsi="Times New Roman"/>
                <w:sz w:val="24"/>
                <w:szCs w:val="24"/>
              </w:rPr>
              <w:t>11</w:t>
            </w:r>
            <w:r w:rsidR="006208DA" w:rsidRPr="00CC5E79">
              <w:rPr>
                <w:rFonts w:ascii="Times New Roman" w:hAnsi="Times New Roman"/>
                <w:sz w:val="24"/>
                <w:szCs w:val="24"/>
              </w:rPr>
              <w:t xml:space="preserve"> (16)</w:t>
            </w:r>
          </w:p>
        </w:tc>
      </w:tr>
    </w:tbl>
    <w:p w:rsidR="000B7305" w:rsidRPr="00CC5E79" w:rsidRDefault="000B7305" w:rsidP="000B7305">
      <w:pPr>
        <w:spacing w:line="240" w:lineRule="auto"/>
        <w:jc w:val="both"/>
        <w:rPr>
          <w:rFonts w:ascii="Arial Narrow" w:hAnsi="Arial Narrow"/>
          <w:i/>
          <w:sz w:val="20"/>
          <w:szCs w:val="20"/>
        </w:rPr>
      </w:pPr>
      <w:r w:rsidRPr="00CC5E79">
        <w:rPr>
          <w:rFonts w:ascii="Arial Narrow" w:hAnsi="Arial Narrow"/>
          <w:sz w:val="20"/>
          <w:szCs w:val="20"/>
          <w:vertAlign w:val="superscript"/>
        </w:rPr>
        <w:t>1</w:t>
      </w:r>
      <w:r w:rsidRPr="00CC5E79">
        <w:rPr>
          <w:rFonts w:ascii="Arial Narrow" w:hAnsi="Arial Narrow"/>
          <w:sz w:val="20"/>
          <w:szCs w:val="20"/>
        </w:rPr>
        <w:t xml:space="preserve"> </w:t>
      </w:r>
      <w:r w:rsidRPr="00CC5E79">
        <w:rPr>
          <w:rFonts w:ascii="Arial Narrow" w:hAnsi="Arial Narrow"/>
          <w:i/>
          <w:sz w:val="20"/>
          <w:szCs w:val="20"/>
        </w:rPr>
        <w:t>Items in bold were included in the analyses.</w:t>
      </w:r>
    </w:p>
    <w:p w:rsidR="006B0E2D" w:rsidRPr="00CC5E79" w:rsidRDefault="006B0E2D" w:rsidP="006B0E2D">
      <w:pPr>
        <w:rPr>
          <w:rFonts w:ascii="Arial Narrow" w:hAnsi="Arial Narrow"/>
          <w:i/>
          <w:sz w:val="20"/>
          <w:szCs w:val="20"/>
        </w:rPr>
        <w:sectPr w:rsidR="006B0E2D" w:rsidRPr="00CC5E79" w:rsidSect="006B0E2D">
          <w:pgSz w:w="16838" w:h="11906" w:orient="landscape"/>
          <w:pgMar w:top="1418" w:right="1418" w:bottom="1418" w:left="1418" w:header="709" w:footer="709" w:gutter="0"/>
          <w:cols w:space="708"/>
          <w:docGrid w:linePitch="360"/>
        </w:sectPr>
      </w:pPr>
    </w:p>
    <w:p w:rsidR="000B7305" w:rsidRPr="00CC5E79" w:rsidRDefault="000B7305" w:rsidP="000B7305">
      <w:pPr>
        <w:spacing w:line="480" w:lineRule="auto"/>
        <w:jc w:val="both"/>
        <w:rPr>
          <w:rFonts w:ascii="Times New Roman" w:hAnsi="Times New Roman"/>
          <w:sz w:val="24"/>
          <w:szCs w:val="24"/>
        </w:rPr>
      </w:pPr>
      <w:r w:rsidRPr="00CC5E79">
        <w:rPr>
          <w:rFonts w:ascii="Times New Roman" w:hAnsi="Times New Roman"/>
          <w:sz w:val="24"/>
          <w:szCs w:val="24"/>
        </w:rPr>
        <w:lastRenderedPageBreak/>
        <w:t>Table 2</w:t>
      </w:r>
    </w:p>
    <w:p w:rsidR="000B7305" w:rsidRPr="00CC5E79" w:rsidRDefault="000B7305" w:rsidP="000B7305">
      <w:pPr>
        <w:spacing w:line="480" w:lineRule="auto"/>
        <w:jc w:val="both"/>
        <w:rPr>
          <w:rFonts w:ascii="Times New Roman" w:hAnsi="Times New Roman"/>
          <w:sz w:val="24"/>
          <w:szCs w:val="24"/>
        </w:rPr>
      </w:pPr>
      <w:r w:rsidRPr="00CC5E79">
        <w:rPr>
          <w:rFonts w:ascii="Times New Roman" w:hAnsi="Times New Roman"/>
          <w:sz w:val="24"/>
          <w:szCs w:val="24"/>
        </w:rPr>
        <w:t>Descriptive Statistics for Analysis Variables</w:t>
      </w:r>
    </w:p>
    <w:tbl>
      <w:tblPr>
        <w:tblW w:w="0" w:type="auto"/>
        <w:tblLook w:val="04A0" w:firstRow="1" w:lastRow="0" w:firstColumn="1" w:lastColumn="0" w:noHBand="0" w:noVBand="1"/>
      </w:tblPr>
      <w:tblGrid>
        <w:gridCol w:w="2512"/>
        <w:gridCol w:w="598"/>
        <w:gridCol w:w="967"/>
        <w:gridCol w:w="1134"/>
        <w:gridCol w:w="993"/>
        <w:gridCol w:w="1097"/>
      </w:tblGrid>
      <w:tr w:rsidR="00CC5E79" w:rsidRPr="00CC5E79" w:rsidTr="007F4880">
        <w:trPr>
          <w:trHeight w:val="103"/>
        </w:trPr>
        <w:tc>
          <w:tcPr>
            <w:tcW w:w="2512"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both"/>
              <w:rPr>
                <w:rFonts w:ascii="Times New Roman" w:hAnsi="Times New Roman"/>
                <w:b/>
                <w:sz w:val="24"/>
                <w:szCs w:val="24"/>
              </w:rPr>
            </w:pPr>
            <w:r w:rsidRPr="00CC5E79">
              <w:rPr>
                <w:rFonts w:ascii="Times New Roman" w:hAnsi="Times New Roman"/>
                <w:b/>
                <w:sz w:val="24"/>
                <w:szCs w:val="24"/>
              </w:rPr>
              <w:t>Variable</w:t>
            </w:r>
          </w:p>
        </w:tc>
        <w:tc>
          <w:tcPr>
            <w:tcW w:w="598"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b/>
                <w:sz w:val="24"/>
                <w:szCs w:val="24"/>
              </w:rPr>
            </w:pPr>
            <w:r w:rsidRPr="00CC5E79">
              <w:rPr>
                <w:rFonts w:ascii="Times New Roman" w:hAnsi="Times New Roman"/>
                <w:b/>
                <w:sz w:val="24"/>
                <w:szCs w:val="24"/>
              </w:rPr>
              <w:t>N</w:t>
            </w:r>
          </w:p>
        </w:tc>
        <w:tc>
          <w:tcPr>
            <w:tcW w:w="967"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b/>
                <w:sz w:val="24"/>
                <w:szCs w:val="24"/>
              </w:rPr>
            </w:pPr>
            <w:r w:rsidRPr="00CC5E79">
              <w:rPr>
                <w:rFonts w:ascii="Times New Roman" w:hAnsi="Times New Roman"/>
                <w:b/>
                <w:sz w:val="24"/>
                <w:szCs w:val="24"/>
              </w:rPr>
              <w:t>Mean</w:t>
            </w:r>
          </w:p>
        </w:tc>
        <w:tc>
          <w:tcPr>
            <w:tcW w:w="1134"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b/>
                <w:sz w:val="24"/>
                <w:szCs w:val="24"/>
              </w:rPr>
            </w:pPr>
            <w:r w:rsidRPr="00CC5E79">
              <w:rPr>
                <w:rFonts w:ascii="Times New Roman" w:hAnsi="Times New Roman"/>
                <w:b/>
                <w:sz w:val="24"/>
                <w:szCs w:val="24"/>
              </w:rPr>
              <w:t>SD</w:t>
            </w:r>
          </w:p>
        </w:tc>
        <w:tc>
          <w:tcPr>
            <w:tcW w:w="993"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b/>
                <w:sz w:val="24"/>
                <w:szCs w:val="24"/>
              </w:rPr>
            </w:pPr>
            <w:r w:rsidRPr="00CC5E79">
              <w:rPr>
                <w:rFonts w:ascii="Times New Roman" w:hAnsi="Times New Roman"/>
                <w:b/>
                <w:sz w:val="24"/>
                <w:szCs w:val="24"/>
              </w:rPr>
              <w:t>Skew</w:t>
            </w:r>
          </w:p>
        </w:tc>
        <w:tc>
          <w:tcPr>
            <w:tcW w:w="992" w:type="dxa"/>
            <w:tcBorders>
              <w:top w:val="single" w:sz="4" w:space="0" w:color="auto"/>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b/>
                <w:sz w:val="24"/>
                <w:szCs w:val="24"/>
              </w:rPr>
            </w:pPr>
            <w:r w:rsidRPr="00CC5E79">
              <w:rPr>
                <w:rFonts w:ascii="Times New Roman" w:hAnsi="Times New Roman"/>
                <w:b/>
                <w:sz w:val="24"/>
                <w:szCs w:val="24"/>
              </w:rPr>
              <w:t>Kurtosis</w:t>
            </w:r>
          </w:p>
        </w:tc>
      </w:tr>
      <w:tr w:rsidR="00CC5E79" w:rsidRPr="00CC5E79" w:rsidTr="007F4880">
        <w:tc>
          <w:tcPr>
            <w:tcW w:w="2512" w:type="dxa"/>
            <w:tcBorders>
              <w:top w:val="single" w:sz="4" w:space="0" w:color="auto"/>
            </w:tcBorders>
            <w:shd w:val="clear" w:color="auto" w:fill="auto"/>
          </w:tcPr>
          <w:p w:rsidR="000B7305" w:rsidRPr="00CC5E79" w:rsidRDefault="000B7305" w:rsidP="007633E4">
            <w:pPr>
              <w:spacing w:after="0" w:line="480" w:lineRule="auto"/>
              <w:jc w:val="both"/>
              <w:rPr>
                <w:rFonts w:ascii="Times New Roman" w:hAnsi="Times New Roman"/>
                <w:sz w:val="24"/>
                <w:szCs w:val="24"/>
              </w:rPr>
            </w:pPr>
            <w:r w:rsidRPr="00CC5E79">
              <w:rPr>
                <w:rFonts w:ascii="Times New Roman" w:hAnsi="Times New Roman"/>
                <w:sz w:val="24"/>
                <w:szCs w:val="24"/>
              </w:rPr>
              <w:t xml:space="preserve">NICE </w:t>
            </w:r>
            <w:r w:rsidR="007633E4" w:rsidRPr="00CC5E79">
              <w:rPr>
                <w:rFonts w:ascii="Times New Roman" w:hAnsi="Times New Roman"/>
                <w:sz w:val="24"/>
                <w:szCs w:val="24"/>
              </w:rPr>
              <w:t xml:space="preserve">recommended practice </w:t>
            </w:r>
            <w:proofErr w:type="spellStart"/>
            <w:r w:rsidRPr="00CC5E79">
              <w:rPr>
                <w:rFonts w:ascii="Times New Roman" w:hAnsi="Times New Roman"/>
                <w:sz w:val="24"/>
                <w:szCs w:val="24"/>
              </w:rPr>
              <w:t>score</w:t>
            </w:r>
            <w:r w:rsidRPr="00CC5E79">
              <w:rPr>
                <w:rFonts w:ascii="Times New Roman" w:hAnsi="Times New Roman"/>
                <w:sz w:val="24"/>
                <w:szCs w:val="24"/>
                <w:vertAlign w:val="superscript"/>
              </w:rPr>
              <w:t>a</w:t>
            </w:r>
            <w:proofErr w:type="spellEnd"/>
          </w:p>
        </w:tc>
        <w:tc>
          <w:tcPr>
            <w:tcW w:w="598" w:type="dxa"/>
            <w:tcBorders>
              <w:top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42</w:t>
            </w:r>
          </w:p>
        </w:tc>
        <w:tc>
          <w:tcPr>
            <w:tcW w:w="967" w:type="dxa"/>
            <w:tcBorders>
              <w:top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11.9</w:t>
            </w:r>
          </w:p>
        </w:tc>
        <w:tc>
          <w:tcPr>
            <w:tcW w:w="1134" w:type="dxa"/>
            <w:tcBorders>
              <w:top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1.40</w:t>
            </w:r>
          </w:p>
        </w:tc>
        <w:tc>
          <w:tcPr>
            <w:tcW w:w="993" w:type="dxa"/>
            <w:tcBorders>
              <w:top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-1.07</w:t>
            </w:r>
          </w:p>
        </w:tc>
        <w:tc>
          <w:tcPr>
            <w:tcW w:w="992" w:type="dxa"/>
            <w:tcBorders>
              <w:top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2.46</w:t>
            </w:r>
          </w:p>
        </w:tc>
      </w:tr>
      <w:tr w:rsidR="00CC5E79" w:rsidRPr="00CC5E79" w:rsidTr="007F4880">
        <w:tc>
          <w:tcPr>
            <w:tcW w:w="2512" w:type="dxa"/>
            <w:shd w:val="clear" w:color="auto" w:fill="auto"/>
          </w:tcPr>
          <w:p w:rsidR="000B7305" w:rsidRPr="00CC5E79" w:rsidRDefault="000B7305" w:rsidP="007F4880">
            <w:pPr>
              <w:spacing w:after="0" w:line="480" w:lineRule="auto"/>
              <w:jc w:val="both"/>
              <w:rPr>
                <w:rFonts w:ascii="Times New Roman" w:hAnsi="Times New Roman"/>
                <w:sz w:val="24"/>
                <w:szCs w:val="24"/>
              </w:rPr>
            </w:pPr>
            <w:r w:rsidRPr="00CC5E79">
              <w:rPr>
                <w:rFonts w:ascii="Times New Roman" w:hAnsi="Times New Roman"/>
                <w:sz w:val="24"/>
                <w:szCs w:val="24"/>
              </w:rPr>
              <w:t xml:space="preserve">RIN transformed NICE </w:t>
            </w:r>
            <w:r w:rsidR="007633E4" w:rsidRPr="00CC5E79">
              <w:rPr>
                <w:rFonts w:ascii="Times New Roman" w:hAnsi="Times New Roman"/>
                <w:sz w:val="24"/>
                <w:szCs w:val="24"/>
              </w:rPr>
              <w:t>recommended practice</w:t>
            </w:r>
            <w:r w:rsidRPr="00CC5E79">
              <w:rPr>
                <w:rFonts w:ascii="Times New Roman" w:hAnsi="Times New Roman"/>
                <w:sz w:val="24"/>
                <w:szCs w:val="24"/>
              </w:rPr>
              <w:t xml:space="preserve"> </w:t>
            </w:r>
            <w:proofErr w:type="spellStart"/>
            <w:r w:rsidRPr="00CC5E79">
              <w:rPr>
                <w:rFonts w:ascii="Times New Roman" w:hAnsi="Times New Roman"/>
                <w:sz w:val="24"/>
                <w:szCs w:val="24"/>
              </w:rPr>
              <w:t>score</w:t>
            </w:r>
            <w:r w:rsidRPr="00CC5E79">
              <w:rPr>
                <w:rFonts w:ascii="Times New Roman" w:hAnsi="Times New Roman"/>
                <w:sz w:val="24"/>
                <w:szCs w:val="24"/>
                <w:vertAlign w:val="superscript"/>
              </w:rPr>
              <w:t>a</w:t>
            </w:r>
            <w:proofErr w:type="spellEnd"/>
          </w:p>
        </w:tc>
        <w:tc>
          <w:tcPr>
            <w:tcW w:w="598"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42</w:t>
            </w:r>
          </w:p>
        </w:tc>
        <w:tc>
          <w:tcPr>
            <w:tcW w:w="967"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-.01</w:t>
            </w:r>
          </w:p>
        </w:tc>
        <w:tc>
          <w:tcPr>
            <w:tcW w:w="1134"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1.00</w:t>
            </w:r>
          </w:p>
        </w:tc>
        <w:tc>
          <w:tcPr>
            <w:tcW w:w="993"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-.14</w:t>
            </w:r>
          </w:p>
        </w:tc>
        <w:tc>
          <w:tcPr>
            <w:tcW w:w="992"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-.21</w:t>
            </w:r>
          </w:p>
        </w:tc>
      </w:tr>
      <w:tr w:rsidR="00CC5E79" w:rsidRPr="00CC5E79" w:rsidTr="007F4880">
        <w:tc>
          <w:tcPr>
            <w:tcW w:w="2512" w:type="dxa"/>
            <w:shd w:val="clear" w:color="auto" w:fill="auto"/>
          </w:tcPr>
          <w:p w:rsidR="000B7305" w:rsidRPr="00CC5E79" w:rsidRDefault="000B7305" w:rsidP="007F4880">
            <w:pPr>
              <w:spacing w:after="0" w:line="480" w:lineRule="auto"/>
              <w:jc w:val="both"/>
              <w:rPr>
                <w:rFonts w:ascii="Times New Roman" w:hAnsi="Times New Roman"/>
                <w:sz w:val="24"/>
                <w:szCs w:val="24"/>
              </w:rPr>
            </w:pPr>
            <w:r w:rsidRPr="00CC5E79">
              <w:rPr>
                <w:rFonts w:ascii="Times New Roman" w:hAnsi="Times New Roman"/>
                <w:sz w:val="24"/>
                <w:szCs w:val="24"/>
              </w:rPr>
              <w:t>Diagnostic Duration (Days)</w:t>
            </w:r>
          </w:p>
        </w:tc>
        <w:tc>
          <w:tcPr>
            <w:tcW w:w="598"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69</w:t>
            </w:r>
          </w:p>
        </w:tc>
        <w:tc>
          <w:tcPr>
            <w:tcW w:w="967"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163.9</w:t>
            </w:r>
          </w:p>
        </w:tc>
        <w:tc>
          <w:tcPr>
            <w:tcW w:w="1134"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104.04</w:t>
            </w:r>
          </w:p>
        </w:tc>
        <w:tc>
          <w:tcPr>
            <w:tcW w:w="993"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1.72</w:t>
            </w:r>
          </w:p>
        </w:tc>
        <w:tc>
          <w:tcPr>
            <w:tcW w:w="992" w:type="dxa"/>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2.97</w:t>
            </w:r>
          </w:p>
        </w:tc>
      </w:tr>
      <w:tr w:rsidR="00CC5E79" w:rsidRPr="00CC5E79" w:rsidTr="007F4880">
        <w:tc>
          <w:tcPr>
            <w:tcW w:w="2512" w:type="dxa"/>
            <w:tcBorders>
              <w:bottom w:val="single" w:sz="4" w:space="0" w:color="auto"/>
            </w:tcBorders>
            <w:shd w:val="clear" w:color="auto" w:fill="auto"/>
          </w:tcPr>
          <w:p w:rsidR="000B7305" w:rsidRPr="00CC5E79" w:rsidRDefault="000B7305" w:rsidP="007F4880">
            <w:pPr>
              <w:spacing w:after="0" w:line="480" w:lineRule="auto"/>
              <w:jc w:val="both"/>
              <w:rPr>
                <w:rFonts w:ascii="Times New Roman" w:hAnsi="Times New Roman"/>
                <w:sz w:val="24"/>
                <w:szCs w:val="24"/>
              </w:rPr>
            </w:pPr>
            <w:r w:rsidRPr="00CC5E79">
              <w:rPr>
                <w:rFonts w:ascii="Times New Roman" w:hAnsi="Times New Roman"/>
                <w:sz w:val="24"/>
                <w:szCs w:val="24"/>
              </w:rPr>
              <w:t>RIN transformed Diagnostic Duration</w:t>
            </w:r>
          </w:p>
        </w:tc>
        <w:tc>
          <w:tcPr>
            <w:tcW w:w="598" w:type="dxa"/>
            <w:tcBorders>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69</w:t>
            </w:r>
          </w:p>
        </w:tc>
        <w:tc>
          <w:tcPr>
            <w:tcW w:w="967" w:type="dxa"/>
            <w:tcBorders>
              <w:bottom w:val="single" w:sz="4" w:space="0" w:color="auto"/>
            </w:tcBorders>
            <w:shd w:val="clear" w:color="auto" w:fill="auto"/>
          </w:tcPr>
          <w:p w:rsidR="000B7305" w:rsidRPr="00CC5E79" w:rsidRDefault="005B2D87" w:rsidP="007F4880">
            <w:pPr>
              <w:spacing w:after="0" w:line="480" w:lineRule="auto"/>
              <w:jc w:val="center"/>
              <w:rPr>
                <w:rFonts w:ascii="Times New Roman" w:hAnsi="Times New Roman"/>
                <w:sz w:val="24"/>
                <w:szCs w:val="24"/>
              </w:rPr>
            </w:pPr>
            <w:r w:rsidRPr="00CC5E79">
              <w:rPr>
                <w:rFonts w:ascii="Times New Roman" w:hAnsi="Times New Roman"/>
                <w:sz w:val="24"/>
                <w:szCs w:val="24"/>
              </w:rPr>
              <w:t>0</w:t>
            </w:r>
            <w:r w:rsidR="000B7305" w:rsidRPr="00CC5E79">
              <w:rPr>
                <w:rFonts w:ascii="Times New Roman" w:hAnsi="Times New Roman"/>
                <w:sz w:val="24"/>
                <w:szCs w:val="24"/>
              </w:rPr>
              <w:t>.00</w:t>
            </w:r>
          </w:p>
        </w:tc>
        <w:tc>
          <w:tcPr>
            <w:tcW w:w="1134" w:type="dxa"/>
            <w:tcBorders>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1.00</w:t>
            </w:r>
          </w:p>
        </w:tc>
        <w:tc>
          <w:tcPr>
            <w:tcW w:w="993" w:type="dxa"/>
            <w:tcBorders>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0.00</w:t>
            </w:r>
          </w:p>
        </w:tc>
        <w:tc>
          <w:tcPr>
            <w:tcW w:w="992" w:type="dxa"/>
            <w:tcBorders>
              <w:bottom w:val="single" w:sz="4" w:space="0" w:color="auto"/>
            </w:tcBorders>
            <w:shd w:val="clear" w:color="auto" w:fill="auto"/>
          </w:tcPr>
          <w:p w:rsidR="000B7305" w:rsidRPr="00CC5E79" w:rsidRDefault="000B7305" w:rsidP="007F4880">
            <w:pPr>
              <w:spacing w:after="0" w:line="480" w:lineRule="auto"/>
              <w:jc w:val="center"/>
              <w:rPr>
                <w:rFonts w:ascii="Times New Roman" w:hAnsi="Times New Roman"/>
                <w:sz w:val="24"/>
                <w:szCs w:val="24"/>
              </w:rPr>
            </w:pPr>
            <w:r w:rsidRPr="00CC5E79">
              <w:rPr>
                <w:rFonts w:ascii="Times New Roman" w:hAnsi="Times New Roman"/>
                <w:sz w:val="24"/>
                <w:szCs w:val="24"/>
              </w:rPr>
              <w:t>-.14</w:t>
            </w:r>
          </w:p>
        </w:tc>
      </w:tr>
    </w:tbl>
    <w:p w:rsidR="000B7305" w:rsidRPr="00CC5E79" w:rsidRDefault="000B7305" w:rsidP="000B7305">
      <w:pPr>
        <w:autoSpaceDE w:val="0"/>
        <w:autoSpaceDN w:val="0"/>
        <w:adjustRightInd w:val="0"/>
        <w:spacing w:after="0" w:line="480" w:lineRule="auto"/>
        <w:jc w:val="both"/>
        <w:rPr>
          <w:rFonts w:ascii="Times New Roman" w:hAnsi="Times New Roman"/>
          <w:sz w:val="24"/>
          <w:szCs w:val="24"/>
          <w:vertAlign w:val="superscript"/>
        </w:rPr>
      </w:pPr>
    </w:p>
    <w:p w:rsidR="000B7305" w:rsidRPr="00CC5E79" w:rsidRDefault="000B7305" w:rsidP="000B7305">
      <w:pPr>
        <w:autoSpaceDE w:val="0"/>
        <w:autoSpaceDN w:val="0"/>
        <w:adjustRightInd w:val="0"/>
        <w:spacing w:after="0" w:line="480" w:lineRule="auto"/>
        <w:jc w:val="both"/>
        <w:rPr>
          <w:rFonts w:ascii="Times New Roman" w:hAnsi="Times New Roman"/>
          <w:i/>
          <w:sz w:val="24"/>
          <w:szCs w:val="24"/>
        </w:rPr>
      </w:pPr>
      <w:proofErr w:type="gramStart"/>
      <w:r w:rsidRPr="00CC5E79">
        <w:rPr>
          <w:rFonts w:ascii="Times New Roman" w:hAnsi="Times New Roman"/>
          <w:sz w:val="24"/>
          <w:szCs w:val="24"/>
          <w:vertAlign w:val="superscript"/>
        </w:rPr>
        <w:t>a</w:t>
      </w:r>
      <w:proofErr w:type="gramEnd"/>
      <w:r w:rsidRPr="00CC5E79">
        <w:rPr>
          <w:rFonts w:ascii="Times New Roman" w:hAnsi="Times New Roman"/>
          <w:sz w:val="24"/>
          <w:szCs w:val="24"/>
          <w:vertAlign w:val="superscript"/>
        </w:rPr>
        <w:t xml:space="preserve"> </w:t>
      </w:r>
      <w:r w:rsidRPr="00CC5E79">
        <w:rPr>
          <w:rFonts w:ascii="Times New Roman" w:hAnsi="Times New Roman"/>
          <w:i/>
          <w:sz w:val="24"/>
          <w:szCs w:val="24"/>
        </w:rPr>
        <w:t>Based on items 2,3,4,6,8,9,10,11,12,14,15,16,18,19 which were applicable to all cases in the dataset.</w:t>
      </w:r>
    </w:p>
    <w:p w:rsidR="000B7305" w:rsidRPr="00CC5E79" w:rsidRDefault="000B7305" w:rsidP="000B7305">
      <w:pPr>
        <w:autoSpaceDE w:val="0"/>
        <w:autoSpaceDN w:val="0"/>
        <w:adjustRightInd w:val="0"/>
        <w:spacing w:after="0" w:line="480" w:lineRule="auto"/>
        <w:jc w:val="both"/>
        <w:rPr>
          <w:rFonts w:ascii="Arial Narrow" w:eastAsia="Shaker2Lancet-Bold" w:hAnsi="Arial Narrow"/>
          <w:b/>
          <w:bCs/>
          <w:sz w:val="20"/>
          <w:szCs w:val="20"/>
        </w:rPr>
      </w:pPr>
    </w:p>
    <w:p w:rsidR="000B7305" w:rsidRPr="00CC5E79" w:rsidRDefault="000B7305" w:rsidP="000B7305">
      <w:pPr>
        <w:autoSpaceDE w:val="0"/>
        <w:autoSpaceDN w:val="0"/>
        <w:adjustRightInd w:val="0"/>
        <w:spacing w:after="0" w:line="480" w:lineRule="auto"/>
        <w:jc w:val="both"/>
        <w:rPr>
          <w:rFonts w:ascii="Arial Narrow" w:eastAsia="Shaker2Lancet-Bold" w:hAnsi="Arial Narrow"/>
          <w:b/>
          <w:bCs/>
          <w:sz w:val="20"/>
          <w:szCs w:val="20"/>
        </w:rPr>
      </w:pPr>
    </w:p>
    <w:p w:rsidR="000B7305" w:rsidRPr="00CC5E79" w:rsidRDefault="000B7305" w:rsidP="000B7305">
      <w:pPr>
        <w:autoSpaceDE w:val="0"/>
        <w:autoSpaceDN w:val="0"/>
        <w:adjustRightInd w:val="0"/>
        <w:spacing w:after="0" w:line="480" w:lineRule="auto"/>
        <w:jc w:val="both"/>
        <w:rPr>
          <w:rFonts w:ascii="Arial Narrow" w:eastAsia="Shaker2Lancet-Bold" w:hAnsi="Arial Narrow"/>
          <w:b/>
          <w:bCs/>
          <w:sz w:val="20"/>
          <w:szCs w:val="20"/>
        </w:rPr>
      </w:pPr>
    </w:p>
    <w:p w:rsidR="000B7305" w:rsidRPr="00CC5E79" w:rsidRDefault="000B7305" w:rsidP="000B7305">
      <w:pPr>
        <w:autoSpaceDE w:val="0"/>
        <w:autoSpaceDN w:val="0"/>
        <w:adjustRightInd w:val="0"/>
        <w:spacing w:after="0" w:line="480" w:lineRule="auto"/>
        <w:jc w:val="both"/>
        <w:rPr>
          <w:rFonts w:ascii="Arial Narrow" w:eastAsia="Shaker2Lancet-Bold" w:hAnsi="Arial Narrow"/>
          <w:b/>
          <w:bCs/>
          <w:sz w:val="20"/>
          <w:szCs w:val="20"/>
        </w:rPr>
      </w:pPr>
    </w:p>
    <w:p w:rsidR="000B7305" w:rsidRPr="00CC5E79" w:rsidRDefault="000B7305" w:rsidP="000B7305">
      <w:pPr>
        <w:autoSpaceDE w:val="0"/>
        <w:autoSpaceDN w:val="0"/>
        <w:adjustRightInd w:val="0"/>
        <w:spacing w:after="0" w:line="480" w:lineRule="auto"/>
        <w:jc w:val="both"/>
        <w:rPr>
          <w:rFonts w:ascii="Arial Narrow" w:eastAsia="Shaker2Lancet-Bold" w:hAnsi="Arial Narrow"/>
          <w:b/>
          <w:bCs/>
          <w:sz w:val="20"/>
          <w:szCs w:val="20"/>
        </w:rPr>
      </w:pPr>
    </w:p>
    <w:p w:rsidR="000B7305" w:rsidRPr="00CC5E79" w:rsidRDefault="000B7305" w:rsidP="00604870">
      <w:pPr>
        <w:rPr>
          <w:rFonts w:ascii="Arial Narrow" w:eastAsia="Shaker2Lancet-Bold" w:hAnsi="Arial Narrow"/>
          <w:b/>
          <w:bCs/>
          <w:sz w:val="20"/>
          <w:szCs w:val="20"/>
        </w:rPr>
      </w:pPr>
    </w:p>
    <w:sectPr w:rsidR="000B7305" w:rsidRPr="00CC5E79" w:rsidSect="006B0E2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A0" w:rsidRDefault="00EA4EA0" w:rsidP="00A828BF">
      <w:pPr>
        <w:spacing w:after="0" w:line="240" w:lineRule="auto"/>
      </w:pPr>
      <w:r>
        <w:separator/>
      </w:r>
    </w:p>
  </w:endnote>
  <w:endnote w:type="continuationSeparator" w:id="0">
    <w:p w:rsidR="00EA4EA0" w:rsidRDefault="00EA4EA0" w:rsidP="00A8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aker2Lancet-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A0" w:rsidRDefault="00EA4EA0" w:rsidP="00A828BF">
      <w:pPr>
        <w:spacing w:after="0" w:line="240" w:lineRule="auto"/>
      </w:pPr>
      <w:r>
        <w:separator/>
      </w:r>
    </w:p>
  </w:footnote>
  <w:footnote w:type="continuationSeparator" w:id="0">
    <w:p w:rsidR="00EA4EA0" w:rsidRDefault="00EA4EA0" w:rsidP="00A828BF">
      <w:pPr>
        <w:spacing w:after="0" w:line="240" w:lineRule="auto"/>
      </w:pPr>
      <w:r>
        <w:continuationSeparator/>
      </w:r>
    </w:p>
  </w:footnote>
  <w:footnote w:id="1">
    <w:p w:rsidR="00D8566B" w:rsidRDefault="00D8566B">
      <w:pPr>
        <w:pStyle w:val="FootnoteText"/>
      </w:pPr>
      <w:r>
        <w:rPr>
          <w:rStyle w:val="FootnoteReference"/>
        </w:rPr>
        <w:footnoteRef/>
      </w:r>
      <w:r>
        <w:t xml:space="preserve"> Now re-named </w:t>
      </w:r>
      <w:r w:rsidRPr="00CD52B4">
        <w:t>National Institute of Health and Care Excellence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6B" w:rsidRDefault="00D8566B" w:rsidP="00A828BF">
    <w:pPr>
      <w:pStyle w:val="Header"/>
      <w:jc w:val="right"/>
    </w:pPr>
    <w:r>
      <w:t xml:space="preserve">Recommended practice and waiting times </w:t>
    </w:r>
    <w:r>
      <w:fldChar w:fldCharType="begin"/>
    </w:r>
    <w:r>
      <w:instrText xml:space="preserve"> PAGE   \* MERGEFORMAT </w:instrText>
    </w:r>
    <w:r>
      <w:fldChar w:fldCharType="separate"/>
    </w:r>
    <w:r w:rsidR="00CC5E79">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224"/>
    <w:multiLevelType w:val="hybridMultilevel"/>
    <w:tmpl w:val="7FB83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C715C"/>
    <w:multiLevelType w:val="hybridMultilevel"/>
    <w:tmpl w:val="563CA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C6F3A"/>
    <w:multiLevelType w:val="hybridMultilevel"/>
    <w:tmpl w:val="BD74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A0"/>
    <w:rsid w:val="00001196"/>
    <w:rsid w:val="00003198"/>
    <w:rsid w:val="00013141"/>
    <w:rsid w:val="00013A47"/>
    <w:rsid w:val="0001584B"/>
    <w:rsid w:val="00015F89"/>
    <w:rsid w:val="0002541C"/>
    <w:rsid w:val="000314B8"/>
    <w:rsid w:val="00053674"/>
    <w:rsid w:val="00056263"/>
    <w:rsid w:val="00060DE3"/>
    <w:rsid w:val="00064DD8"/>
    <w:rsid w:val="00066322"/>
    <w:rsid w:val="000807E6"/>
    <w:rsid w:val="00084841"/>
    <w:rsid w:val="00086655"/>
    <w:rsid w:val="00091B68"/>
    <w:rsid w:val="00094D9E"/>
    <w:rsid w:val="000A1743"/>
    <w:rsid w:val="000A38E2"/>
    <w:rsid w:val="000B6E34"/>
    <w:rsid w:val="000B7305"/>
    <w:rsid w:val="000C3DBB"/>
    <w:rsid w:val="000C6629"/>
    <w:rsid w:val="000D064F"/>
    <w:rsid w:val="000D1ECA"/>
    <w:rsid w:val="000E766D"/>
    <w:rsid w:val="000E7C7A"/>
    <w:rsid w:val="000F215E"/>
    <w:rsid w:val="000F7CB1"/>
    <w:rsid w:val="00100743"/>
    <w:rsid w:val="001015A1"/>
    <w:rsid w:val="001018C5"/>
    <w:rsid w:val="0010335F"/>
    <w:rsid w:val="00110955"/>
    <w:rsid w:val="00122C13"/>
    <w:rsid w:val="00142CF7"/>
    <w:rsid w:val="00143D1B"/>
    <w:rsid w:val="00144150"/>
    <w:rsid w:val="0014455D"/>
    <w:rsid w:val="00150BAA"/>
    <w:rsid w:val="00151752"/>
    <w:rsid w:val="0016116B"/>
    <w:rsid w:val="00163575"/>
    <w:rsid w:val="001848B6"/>
    <w:rsid w:val="00185511"/>
    <w:rsid w:val="001A3AB3"/>
    <w:rsid w:val="001C0370"/>
    <w:rsid w:val="001C4747"/>
    <w:rsid w:val="001C6D15"/>
    <w:rsid w:val="001C6D57"/>
    <w:rsid w:val="001D0B7E"/>
    <w:rsid w:val="001D18F1"/>
    <w:rsid w:val="001D27EE"/>
    <w:rsid w:val="001E48E4"/>
    <w:rsid w:val="001E5C02"/>
    <w:rsid w:val="0020148B"/>
    <w:rsid w:val="002074DC"/>
    <w:rsid w:val="00210E72"/>
    <w:rsid w:val="00213BE0"/>
    <w:rsid w:val="0022408A"/>
    <w:rsid w:val="00224A78"/>
    <w:rsid w:val="00226294"/>
    <w:rsid w:val="00227239"/>
    <w:rsid w:val="002315C6"/>
    <w:rsid w:val="002416FF"/>
    <w:rsid w:val="00243504"/>
    <w:rsid w:val="00245DEE"/>
    <w:rsid w:val="00246429"/>
    <w:rsid w:val="00250634"/>
    <w:rsid w:val="002506AF"/>
    <w:rsid w:val="00250BFF"/>
    <w:rsid w:val="002560A6"/>
    <w:rsid w:val="002604FF"/>
    <w:rsid w:val="00261893"/>
    <w:rsid w:val="00263997"/>
    <w:rsid w:val="00267274"/>
    <w:rsid w:val="00273A17"/>
    <w:rsid w:val="00273C3F"/>
    <w:rsid w:val="00275B3D"/>
    <w:rsid w:val="00276A33"/>
    <w:rsid w:val="00276E9F"/>
    <w:rsid w:val="002917CF"/>
    <w:rsid w:val="0029389A"/>
    <w:rsid w:val="00294BD7"/>
    <w:rsid w:val="00295911"/>
    <w:rsid w:val="00296B24"/>
    <w:rsid w:val="002A1A38"/>
    <w:rsid w:val="002A1D06"/>
    <w:rsid w:val="002C456C"/>
    <w:rsid w:val="002E0F7B"/>
    <w:rsid w:val="002E2708"/>
    <w:rsid w:val="002E4252"/>
    <w:rsid w:val="003159FF"/>
    <w:rsid w:val="003219C3"/>
    <w:rsid w:val="00330A27"/>
    <w:rsid w:val="0033214C"/>
    <w:rsid w:val="00333D2D"/>
    <w:rsid w:val="00335E27"/>
    <w:rsid w:val="0035060B"/>
    <w:rsid w:val="00352A91"/>
    <w:rsid w:val="00366517"/>
    <w:rsid w:val="00377461"/>
    <w:rsid w:val="003861E4"/>
    <w:rsid w:val="00386F74"/>
    <w:rsid w:val="003970DE"/>
    <w:rsid w:val="003A3021"/>
    <w:rsid w:val="003A61BC"/>
    <w:rsid w:val="003B1F89"/>
    <w:rsid w:val="003B32C4"/>
    <w:rsid w:val="003B6F9F"/>
    <w:rsid w:val="003B709F"/>
    <w:rsid w:val="003C6226"/>
    <w:rsid w:val="003C7F2F"/>
    <w:rsid w:val="003D163C"/>
    <w:rsid w:val="003E1966"/>
    <w:rsid w:val="003E7C65"/>
    <w:rsid w:val="003F4B00"/>
    <w:rsid w:val="00400B27"/>
    <w:rsid w:val="0040236A"/>
    <w:rsid w:val="00402A16"/>
    <w:rsid w:val="00402E70"/>
    <w:rsid w:val="00410F4D"/>
    <w:rsid w:val="00415176"/>
    <w:rsid w:val="004175D5"/>
    <w:rsid w:val="00427B21"/>
    <w:rsid w:val="004329FF"/>
    <w:rsid w:val="004403E0"/>
    <w:rsid w:val="00440C4E"/>
    <w:rsid w:val="004429BB"/>
    <w:rsid w:val="00450AD2"/>
    <w:rsid w:val="004534F5"/>
    <w:rsid w:val="00464FA7"/>
    <w:rsid w:val="004665A8"/>
    <w:rsid w:val="00471C9D"/>
    <w:rsid w:val="00474317"/>
    <w:rsid w:val="00480B14"/>
    <w:rsid w:val="004847F4"/>
    <w:rsid w:val="00493D7A"/>
    <w:rsid w:val="00494E2E"/>
    <w:rsid w:val="00495FF4"/>
    <w:rsid w:val="00497676"/>
    <w:rsid w:val="004A0C48"/>
    <w:rsid w:val="004A203E"/>
    <w:rsid w:val="004A25BF"/>
    <w:rsid w:val="004A4D5A"/>
    <w:rsid w:val="004A5BF2"/>
    <w:rsid w:val="004A62D7"/>
    <w:rsid w:val="004A6EDF"/>
    <w:rsid w:val="004B0511"/>
    <w:rsid w:val="004B63E0"/>
    <w:rsid w:val="004C23ED"/>
    <w:rsid w:val="004C507C"/>
    <w:rsid w:val="004C7699"/>
    <w:rsid w:val="004D1DA4"/>
    <w:rsid w:val="004E0E39"/>
    <w:rsid w:val="004E531B"/>
    <w:rsid w:val="004F3A04"/>
    <w:rsid w:val="004F4DE8"/>
    <w:rsid w:val="004F6AD5"/>
    <w:rsid w:val="00505CA4"/>
    <w:rsid w:val="00514A83"/>
    <w:rsid w:val="00524B2A"/>
    <w:rsid w:val="00527736"/>
    <w:rsid w:val="005308D5"/>
    <w:rsid w:val="00532A10"/>
    <w:rsid w:val="00535BA4"/>
    <w:rsid w:val="00560D47"/>
    <w:rsid w:val="005630EB"/>
    <w:rsid w:val="005651E3"/>
    <w:rsid w:val="0056584D"/>
    <w:rsid w:val="005715E8"/>
    <w:rsid w:val="005731B8"/>
    <w:rsid w:val="005749CB"/>
    <w:rsid w:val="005831D2"/>
    <w:rsid w:val="0058392D"/>
    <w:rsid w:val="00583992"/>
    <w:rsid w:val="00592C75"/>
    <w:rsid w:val="005931F8"/>
    <w:rsid w:val="005A0A54"/>
    <w:rsid w:val="005A1D63"/>
    <w:rsid w:val="005A3776"/>
    <w:rsid w:val="005A56AF"/>
    <w:rsid w:val="005A5B68"/>
    <w:rsid w:val="005B0CA2"/>
    <w:rsid w:val="005B2D87"/>
    <w:rsid w:val="005B4F5E"/>
    <w:rsid w:val="005C015A"/>
    <w:rsid w:val="005C4288"/>
    <w:rsid w:val="005C5670"/>
    <w:rsid w:val="005C56B3"/>
    <w:rsid w:val="005C7C88"/>
    <w:rsid w:val="005D01FC"/>
    <w:rsid w:val="005D15FA"/>
    <w:rsid w:val="005D3F1D"/>
    <w:rsid w:val="005D6A55"/>
    <w:rsid w:val="005E0F30"/>
    <w:rsid w:val="005E20DF"/>
    <w:rsid w:val="005E75BA"/>
    <w:rsid w:val="005F1166"/>
    <w:rsid w:val="0060032E"/>
    <w:rsid w:val="00604870"/>
    <w:rsid w:val="00607FE2"/>
    <w:rsid w:val="00610482"/>
    <w:rsid w:val="00613E3B"/>
    <w:rsid w:val="006208DA"/>
    <w:rsid w:val="00623390"/>
    <w:rsid w:val="00630F5C"/>
    <w:rsid w:val="006369B0"/>
    <w:rsid w:val="00643541"/>
    <w:rsid w:val="00643549"/>
    <w:rsid w:val="00644CD8"/>
    <w:rsid w:val="00650772"/>
    <w:rsid w:val="006525D2"/>
    <w:rsid w:val="00653482"/>
    <w:rsid w:val="00653850"/>
    <w:rsid w:val="00653A28"/>
    <w:rsid w:val="006561C9"/>
    <w:rsid w:val="0066692B"/>
    <w:rsid w:val="00667CC6"/>
    <w:rsid w:val="00682C95"/>
    <w:rsid w:val="00684065"/>
    <w:rsid w:val="006853F9"/>
    <w:rsid w:val="00685AE4"/>
    <w:rsid w:val="00691E9F"/>
    <w:rsid w:val="00692221"/>
    <w:rsid w:val="00697CD8"/>
    <w:rsid w:val="006A649E"/>
    <w:rsid w:val="006B06D6"/>
    <w:rsid w:val="006B0E2D"/>
    <w:rsid w:val="006B2D21"/>
    <w:rsid w:val="006C16D8"/>
    <w:rsid w:val="006D2E63"/>
    <w:rsid w:val="006D4C0F"/>
    <w:rsid w:val="006D577E"/>
    <w:rsid w:val="00700E43"/>
    <w:rsid w:val="0071504C"/>
    <w:rsid w:val="007152D1"/>
    <w:rsid w:val="0072039B"/>
    <w:rsid w:val="007203F4"/>
    <w:rsid w:val="00726473"/>
    <w:rsid w:val="00730A78"/>
    <w:rsid w:val="00737535"/>
    <w:rsid w:val="00742A79"/>
    <w:rsid w:val="0074693D"/>
    <w:rsid w:val="00746AC8"/>
    <w:rsid w:val="007473CE"/>
    <w:rsid w:val="007518AA"/>
    <w:rsid w:val="007633E4"/>
    <w:rsid w:val="007675E7"/>
    <w:rsid w:val="00772AF7"/>
    <w:rsid w:val="00793171"/>
    <w:rsid w:val="00795F6F"/>
    <w:rsid w:val="0079698B"/>
    <w:rsid w:val="007B0FD9"/>
    <w:rsid w:val="007B399E"/>
    <w:rsid w:val="007B5FE6"/>
    <w:rsid w:val="007C0F90"/>
    <w:rsid w:val="007C3910"/>
    <w:rsid w:val="007D4C82"/>
    <w:rsid w:val="007D50F7"/>
    <w:rsid w:val="007D51C5"/>
    <w:rsid w:val="007E5033"/>
    <w:rsid w:val="007E5263"/>
    <w:rsid w:val="007F15C1"/>
    <w:rsid w:val="007F4880"/>
    <w:rsid w:val="008039BD"/>
    <w:rsid w:val="00815D34"/>
    <w:rsid w:val="00815D38"/>
    <w:rsid w:val="00823DC1"/>
    <w:rsid w:val="008267C2"/>
    <w:rsid w:val="00837485"/>
    <w:rsid w:val="00841F49"/>
    <w:rsid w:val="00844BF7"/>
    <w:rsid w:val="00853A65"/>
    <w:rsid w:val="0085469B"/>
    <w:rsid w:val="008608C0"/>
    <w:rsid w:val="00865853"/>
    <w:rsid w:val="008739BB"/>
    <w:rsid w:val="00873E5E"/>
    <w:rsid w:val="008755C2"/>
    <w:rsid w:val="008817AC"/>
    <w:rsid w:val="008824BB"/>
    <w:rsid w:val="008834B3"/>
    <w:rsid w:val="00884D47"/>
    <w:rsid w:val="00887ABF"/>
    <w:rsid w:val="00892194"/>
    <w:rsid w:val="0089640A"/>
    <w:rsid w:val="008A6384"/>
    <w:rsid w:val="008A6FE0"/>
    <w:rsid w:val="008B3DBB"/>
    <w:rsid w:val="008B6D40"/>
    <w:rsid w:val="008C338B"/>
    <w:rsid w:val="008C378F"/>
    <w:rsid w:val="008D60E1"/>
    <w:rsid w:val="008D6361"/>
    <w:rsid w:val="008E57A5"/>
    <w:rsid w:val="008E6C4A"/>
    <w:rsid w:val="00901332"/>
    <w:rsid w:val="0091095C"/>
    <w:rsid w:val="0091534B"/>
    <w:rsid w:val="00931AFF"/>
    <w:rsid w:val="009425D1"/>
    <w:rsid w:val="009475FA"/>
    <w:rsid w:val="00951573"/>
    <w:rsid w:val="009524F1"/>
    <w:rsid w:val="009554D7"/>
    <w:rsid w:val="0097136D"/>
    <w:rsid w:val="00972114"/>
    <w:rsid w:val="00976514"/>
    <w:rsid w:val="009817A0"/>
    <w:rsid w:val="00982D13"/>
    <w:rsid w:val="0098672B"/>
    <w:rsid w:val="00986A6B"/>
    <w:rsid w:val="009872EA"/>
    <w:rsid w:val="00987DA6"/>
    <w:rsid w:val="00990BD0"/>
    <w:rsid w:val="00993573"/>
    <w:rsid w:val="009953C7"/>
    <w:rsid w:val="00995D67"/>
    <w:rsid w:val="009A1553"/>
    <w:rsid w:val="009A1EF3"/>
    <w:rsid w:val="009A2C4E"/>
    <w:rsid w:val="009B03AF"/>
    <w:rsid w:val="009B2D06"/>
    <w:rsid w:val="009B5E29"/>
    <w:rsid w:val="009C0392"/>
    <w:rsid w:val="009C0A7C"/>
    <w:rsid w:val="009D02EB"/>
    <w:rsid w:val="009D498D"/>
    <w:rsid w:val="009D6365"/>
    <w:rsid w:val="009D6AD9"/>
    <w:rsid w:val="009E2D92"/>
    <w:rsid w:val="009E3580"/>
    <w:rsid w:val="009E55B3"/>
    <w:rsid w:val="009F42B6"/>
    <w:rsid w:val="009F74BC"/>
    <w:rsid w:val="009F7B78"/>
    <w:rsid w:val="00A02C9E"/>
    <w:rsid w:val="00A0700D"/>
    <w:rsid w:val="00A11DD6"/>
    <w:rsid w:val="00A16C22"/>
    <w:rsid w:val="00A25CD0"/>
    <w:rsid w:val="00A25E90"/>
    <w:rsid w:val="00A274A2"/>
    <w:rsid w:val="00A324ED"/>
    <w:rsid w:val="00A3626E"/>
    <w:rsid w:val="00A44D1A"/>
    <w:rsid w:val="00A457D6"/>
    <w:rsid w:val="00A50B3A"/>
    <w:rsid w:val="00A54328"/>
    <w:rsid w:val="00A60528"/>
    <w:rsid w:val="00A611E1"/>
    <w:rsid w:val="00A7661D"/>
    <w:rsid w:val="00A801AF"/>
    <w:rsid w:val="00A8122C"/>
    <w:rsid w:val="00A828BF"/>
    <w:rsid w:val="00A875B0"/>
    <w:rsid w:val="00A9681F"/>
    <w:rsid w:val="00A96B72"/>
    <w:rsid w:val="00A975AA"/>
    <w:rsid w:val="00AA072D"/>
    <w:rsid w:val="00AA3F2A"/>
    <w:rsid w:val="00AA64EF"/>
    <w:rsid w:val="00AA7CFA"/>
    <w:rsid w:val="00AB1189"/>
    <w:rsid w:val="00AB5E13"/>
    <w:rsid w:val="00AC24E6"/>
    <w:rsid w:val="00AD2D44"/>
    <w:rsid w:val="00AE2C68"/>
    <w:rsid w:val="00AE4F96"/>
    <w:rsid w:val="00AE6B03"/>
    <w:rsid w:val="00AF2F1C"/>
    <w:rsid w:val="00AF6B6B"/>
    <w:rsid w:val="00AF77B1"/>
    <w:rsid w:val="00B040B9"/>
    <w:rsid w:val="00B105D0"/>
    <w:rsid w:val="00B16F8E"/>
    <w:rsid w:val="00B21373"/>
    <w:rsid w:val="00B221B1"/>
    <w:rsid w:val="00B413ED"/>
    <w:rsid w:val="00B44738"/>
    <w:rsid w:val="00B44FB5"/>
    <w:rsid w:val="00B47170"/>
    <w:rsid w:val="00B51F07"/>
    <w:rsid w:val="00B5649C"/>
    <w:rsid w:val="00B60C4A"/>
    <w:rsid w:val="00B60E28"/>
    <w:rsid w:val="00B61551"/>
    <w:rsid w:val="00B6426A"/>
    <w:rsid w:val="00B704C1"/>
    <w:rsid w:val="00B7135D"/>
    <w:rsid w:val="00B846EE"/>
    <w:rsid w:val="00B857D9"/>
    <w:rsid w:val="00B85A08"/>
    <w:rsid w:val="00B9053F"/>
    <w:rsid w:val="00BA0E4D"/>
    <w:rsid w:val="00BA17BC"/>
    <w:rsid w:val="00BA2E42"/>
    <w:rsid w:val="00BA6D81"/>
    <w:rsid w:val="00BB24C8"/>
    <w:rsid w:val="00BB33DA"/>
    <w:rsid w:val="00BC021A"/>
    <w:rsid w:val="00BC461A"/>
    <w:rsid w:val="00BD1EDD"/>
    <w:rsid w:val="00BD6C1A"/>
    <w:rsid w:val="00BE1151"/>
    <w:rsid w:val="00BE60AB"/>
    <w:rsid w:val="00BF02F2"/>
    <w:rsid w:val="00BF2B09"/>
    <w:rsid w:val="00BF404C"/>
    <w:rsid w:val="00C0039B"/>
    <w:rsid w:val="00C1006A"/>
    <w:rsid w:val="00C12633"/>
    <w:rsid w:val="00C1399C"/>
    <w:rsid w:val="00C24CBA"/>
    <w:rsid w:val="00C27559"/>
    <w:rsid w:val="00C30162"/>
    <w:rsid w:val="00C35D4C"/>
    <w:rsid w:val="00C47160"/>
    <w:rsid w:val="00C513B8"/>
    <w:rsid w:val="00C51864"/>
    <w:rsid w:val="00C6396C"/>
    <w:rsid w:val="00C72F73"/>
    <w:rsid w:val="00C80AD0"/>
    <w:rsid w:val="00C81487"/>
    <w:rsid w:val="00C818A6"/>
    <w:rsid w:val="00C818CF"/>
    <w:rsid w:val="00CA1A59"/>
    <w:rsid w:val="00CB0972"/>
    <w:rsid w:val="00CB56AF"/>
    <w:rsid w:val="00CC5E79"/>
    <w:rsid w:val="00CD1DED"/>
    <w:rsid w:val="00CD52B4"/>
    <w:rsid w:val="00CD6347"/>
    <w:rsid w:val="00CD7280"/>
    <w:rsid w:val="00CE16D1"/>
    <w:rsid w:val="00CE717D"/>
    <w:rsid w:val="00D05310"/>
    <w:rsid w:val="00D118DA"/>
    <w:rsid w:val="00D16E61"/>
    <w:rsid w:val="00D231D3"/>
    <w:rsid w:val="00D248D4"/>
    <w:rsid w:val="00D25779"/>
    <w:rsid w:val="00D4149D"/>
    <w:rsid w:val="00D44926"/>
    <w:rsid w:val="00D551CA"/>
    <w:rsid w:val="00D60FEA"/>
    <w:rsid w:val="00D709C2"/>
    <w:rsid w:val="00D72AED"/>
    <w:rsid w:val="00D72B4A"/>
    <w:rsid w:val="00D7389D"/>
    <w:rsid w:val="00D8566B"/>
    <w:rsid w:val="00D86E3B"/>
    <w:rsid w:val="00D87220"/>
    <w:rsid w:val="00D96CD5"/>
    <w:rsid w:val="00D96F9A"/>
    <w:rsid w:val="00DA0DB2"/>
    <w:rsid w:val="00DB34F8"/>
    <w:rsid w:val="00DC0D67"/>
    <w:rsid w:val="00DD276E"/>
    <w:rsid w:val="00DE2BAB"/>
    <w:rsid w:val="00DF0092"/>
    <w:rsid w:val="00DF2A26"/>
    <w:rsid w:val="00DF3C57"/>
    <w:rsid w:val="00DF59BE"/>
    <w:rsid w:val="00E009B5"/>
    <w:rsid w:val="00E11D18"/>
    <w:rsid w:val="00E3100C"/>
    <w:rsid w:val="00E31879"/>
    <w:rsid w:val="00E40E6D"/>
    <w:rsid w:val="00E42B33"/>
    <w:rsid w:val="00E4506F"/>
    <w:rsid w:val="00E45336"/>
    <w:rsid w:val="00E4709E"/>
    <w:rsid w:val="00E533AE"/>
    <w:rsid w:val="00E571A2"/>
    <w:rsid w:val="00E63C99"/>
    <w:rsid w:val="00E70009"/>
    <w:rsid w:val="00E74001"/>
    <w:rsid w:val="00E76667"/>
    <w:rsid w:val="00E8568E"/>
    <w:rsid w:val="00E92BA6"/>
    <w:rsid w:val="00E95714"/>
    <w:rsid w:val="00EA0662"/>
    <w:rsid w:val="00EA0AEC"/>
    <w:rsid w:val="00EA3324"/>
    <w:rsid w:val="00EA398A"/>
    <w:rsid w:val="00EA4EA0"/>
    <w:rsid w:val="00EA4F4B"/>
    <w:rsid w:val="00EB0AA0"/>
    <w:rsid w:val="00EC2575"/>
    <w:rsid w:val="00ED0A0A"/>
    <w:rsid w:val="00ED2844"/>
    <w:rsid w:val="00EF28B9"/>
    <w:rsid w:val="00EF3905"/>
    <w:rsid w:val="00EF7C82"/>
    <w:rsid w:val="00F004AF"/>
    <w:rsid w:val="00F07568"/>
    <w:rsid w:val="00F16739"/>
    <w:rsid w:val="00F210C7"/>
    <w:rsid w:val="00F21E89"/>
    <w:rsid w:val="00F23F68"/>
    <w:rsid w:val="00F31BD5"/>
    <w:rsid w:val="00F377ED"/>
    <w:rsid w:val="00F42752"/>
    <w:rsid w:val="00F502F3"/>
    <w:rsid w:val="00F57A25"/>
    <w:rsid w:val="00F73E4B"/>
    <w:rsid w:val="00F8118A"/>
    <w:rsid w:val="00F84F36"/>
    <w:rsid w:val="00F86A90"/>
    <w:rsid w:val="00F87BB5"/>
    <w:rsid w:val="00F94D5A"/>
    <w:rsid w:val="00F973F7"/>
    <w:rsid w:val="00F97D44"/>
    <w:rsid w:val="00FA26B4"/>
    <w:rsid w:val="00FA31EE"/>
    <w:rsid w:val="00FA7A3D"/>
    <w:rsid w:val="00FB3823"/>
    <w:rsid w:val="00FD0090"/>
    <w:rsid w:val="00FF4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B8D5-CF99-4212-83A6-01BD28D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B9"/>
    <w:pPr>
      <w:ind w:left="720"/>
      <w:contextualSpacing/>
    </w:pPr>
  </w:style>
  <w:style w:type="character" w:styleId="CommentReference">
    <w:name w:val="annotation reference"/>
    <w:uiPriority w:val="99"/>
    <w:semiHidden/>
    <w:unhideWhenUsed/>
    <w:rsid w:val="00AB5E13"/>
    <w:rPr>
      <w:sz w:val="16"/>
      <w:szCs w:val="16"/>
    </w:rPr>
  </w:style>
  <w:style w:type="paragraph" w:styleId="CommentText">
    <w:name w:val="annotation text"/>
    <w:basedOn w:val="Normal"/>
    <w:link w:val="CommentTextChar"/>
    <w:uiPriority w:val="99"/>
    <w:semiHidden/>
    <w:unhideWhenUsed/>
    <w:rsid w:val="00AB5E13"/>
    <w:pPr>
      <w:spacing w:line="240" w:lineRule="auto"/>
    </w:pPr>
    <w:rPr>
      <w:sz w:val="20"/>
      <w:szCs w:val="20"/>
    </w:rPr>
  </w:style>
  <w:style w:type="character" w:customStyle="1" w:styleId="CommentTextChar">
    <w:name w:val="Comment Text Char"/>
    <w:link w:val="CommentText"/>
    <w:uiPriority w:val="99"/>
    <w:semiHidden/>
    <w:rsid w:val="00AB5E13"/>
    <w:rPr>
      <w:sz w:val="20"/>
      <w:szCs w:val="20"/>
    </w:rPr>
  </w:style>
  <w:style w:type="paragraph" w:styleId="CommentSubject">
    <w:name w:val="annotation subject"/>
    <w:basedOn w:val="CommentText"/>
    <w:next w:val="CommentText"/>
    <w:link w:val="CommentSubjectChar"/>
    <w:uiPriority w:val="99"/>
    <w:semiHidden/>
    <w:unhideWhenUsed/>
    <w:rsid w:val="00AB5E13"/>
    <w:rPr>
      <w:b/>
      <w:bCs/>
    </w:rPr>
  </w:style>
  <w:style w:type="character" w:customStyle="1" w:styleId="CommentSubjectChar">
    <w:name w:val="Comment Subject Char"/>
    <w:link w:val="CommentSubject"/>
    <w:uiPriority w:val="99"/>
    <w:semiHidden/>
    <w:rsid w:val="00AB5E13"/>
    <w:rPr>
      <w:b/>
      <w:bCs/>
      <w:sz w:val="20"/>
      <w:szCs w:val="20"/>
    </w:rPr>
  </w:style>
  <w:style w:type="paragraph" w:styleId="BalloonText">
    <w:name w:val="Balloon Text"/>
    <w:basedOn w:val="Normal"/>
    <w:link w:val="BalloonTextChar"/>
    <w:uiPriority w:val="99"/>
    <w:semiHidden/>
    <w:unhideWhenUsed/>
    <w:rsid w:val="00AB5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E13"/>
    <w:rPr>
      <w:rFonts w:ascii="Tahoma" w:hAnsi="Tahoma" w:cs="Tahoma"/>
      <w:sz w:val="16"/>
      <w:szCs w:val="16"/>
    </w:rPr>
  </w:style>
  <w:style w:type="table" w:styleId="TableGrid">
    <w:name w:val="Table Grid"/>
    <w:basedOn w:val="TableNormal"/>
    <w:uiPriority w:val="59"/>
    <w:rsid w:val="005C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84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8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8BF"/>
  </w:style>
  <w:style w:type="paragraph" w:styleId="Footer">
    <w:name w:val="footer"/>
    <w:basedOn w:val="Normal"/>
    <w:link w:val="FooterChar"/>
    <w:uiPriority w:val="99"/>
    <w:unhideWhenUsed/>
    <w:rsid w:val="00A8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8BF"/>
  </w:style>
  <w:style w:type="paragraph" w:styleId="FootnoteText">
    <w:name w:val="footnote text"/>
    <w:basedOn w:val="Normal"/>
    <w:link w:val="FootnoteTextChar"/>
    <w:uiPriority w:val="99"/>
    <w:semiHidden/>
    <w:unhideWhenUsed/>
    <w:rsid w:val="00CD5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B4"/>
    <w:rPr>
      <w:lang w:eastAsia="en-US"/>
    </w:rPr>
  </w:style>
  <w:style w:type="character" w:styleId="FootnoteReference">
    <w:name w:val="footnote reference"/>
    <w:basedOn w:val="DefaultParagraphFont"/>
    <w:uiPriority w:val="99"/>
    <w:semiHidden/>
    <w:unhideWhenUsed/>
    <w:rsid w:val="00CD52B4"/>
    <w:rPr>
      <w:vertAlign w:val="superscript"/>
    </w:rPr>
  </w:style>
  <w:style w:type="character" w:styleId="Hyperlink">
    <w:name w:val="Hyperlink"/>
    <w:basedOn w:val="DefaultParagraphFont"/>
    <w:uiPriority w:val="99"/>
    <w:unhideWhenUsed/>
    <w:rsid w:val="008C338B"/>
    <w:rPr>
      <w:color w:val="0563C1" w:themeColor="hyperlink"/>
      <w:u w:val="single"/>
    </w:rPr>
  </w:style>
  <w:style w:type="table" w:customStyle="1" w:styleId="TableGrid1">
    <w:name w:val="Table Grid1"/>
    <w:basedOn w:val="TableNormal"/>
    <w:next w:val="TableGrid"/>
    <w:uiPriority w:val="59"/>
    <w:rsid w:val="009F7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A55"/>
    <w:rPr>
      <w:sz w:val="22"/>
      <w:szCs w:val="22"/>
      <w:lang w:eastAsia="en-US"/>
    </w:rPr>
  </w:style>
  <w:style w:type="character" w:styleId="FollowedHyperlink">
    <w:name w:val="FollowedHyperlink"/>
    <w:basedOn w:val="DefaultParagraphFont"/>
    <w:uiPriority w:val="99"/>
    <w:semiHidden/>
    <w:unhideWhenUsed/>
    <w:rsid w:val="00F21E89"/>
    <w:rPr>
      <w:color w:val="954F72" w:themeColor="followedHyperlink"/>
      <w:u w:val="single"/>
    </w:rPr>
  </w:style>
  <w:style w:type="character" w:customStyle="1" w:styleId="apple-converted-space">
    <w:name w:val="apple-converted-space"/>
    <w:basedOn w:val="DefaultParagraphFont"/>
    <w:rsid w:val="0076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292">
      <w:bodyDiv w:val="1"/>
      <w:marLeft w:val="0"/>
      <w:marRight w:val="0"/>
      <w:marTop w:val="0"/>
      <w:marBottom w:val="0"/>
      <w:divBdr>
        <w:top w:val="none" w:sz="0" w:space="0" w:color="auto"/>
        <w:left w:val="none" w:sz="0" w:space="0" w:color="auto"/>
        <w:bottom w:val="none" w:sz="0" w:space="0" w:color="auto"/>
        <w:right w:val="none" w:sz="0" w:space="0" w:color="auto"/>
      </w:divBdr>
    </w:div>
    <w:div w:id="22678783">
      <w:bodyDiv w:val="1"/>
      <w:marLeft w:val="0"/>
      <w:marRight w:val="0"/>
      <w:marTop w:val="0"/>
      <w:marBottom w:val="0"/>
      <w:divBdr>
        <w:top w:val="none" w:sz="0" w:space="0" w:color="auto"/>
        <w:left w:val="none" w:sz="0" w:space="0" w:color="auto"/>
        <w:bottom w:val="none" w:sz="0" w:space="0" w:color="auto"/>
        <w:right w:val="none" w:sz="0" w:space="0" w:color="auto"/>
      </w:divBdr>
    </w:div>
    <w:div w:id="24407039">
      <w:bodyDiv w:val="1"/>
      <w:marLeft w:val="0"/>
      <w:marRight w:val="0"/>
      <w:marTop w:val="0"/>
      <w:marBottom w:val="0"/>
      <w:divBdr>
        <w:top w:val="none" w:sz="0" w:space="0" w:color="auto"/>
        <w:left w:val="none" w:sz="0" w:space="0" w:color="auto"/>
        <w:bottom w:val="none" w:sz="0" w:space="0" w:color="auto"/>
        <w:right w:val="none" w:sz="0" w:space="0" w:color="auto"/>
      </w:divBdr>
    </w:div>
    <w:div w:id="47610359">
      <w:bodyDiv w:val="1"/>
      <w:marLeft w:val="0"/>
      <w:marRight w:val="0"/>
      <w:marTop w:val="0"/>
      <w:marBottom w:val="0"/>
      <w:divBdr>
        <w:top w:val="none" w:sz="0" w:space="0" w:color="auto"/>
        <w:left w:val="none" w:sz="0" w:space="0" w:color="auto"/>
        <w:bottom w:val="none" w:sz="0" w:space="0" w:color="auto"/>
        <w:right w:val="none" w:sz="0" w:space="0" w:color="auto"/>
      </w:divBdr>
    </w:div>
    <w:div w:id="59452277">
      <w:bodyDiv w:val="1"/>
      <w:marLeft w:val="0"/>
      <w:marRight w:val="0"/>
      <w:marTop w:val="0"/>
      <w:marBottom w:val="0"/>
      <w:divBdr>
        <w:top w:val="none" w:sz="0" w:space="0" w:color="auto"/>
        <w:left w:val="none" w:sz="0" w:space="0" w:color="auto"/>
        <w:bottom w:val="none" w:sz="0" w:space="0" w:color="auto"/>
        <w:right w:val="none" w:sz="0" w:space="0" w:color="auto"/>
      </w:divBdr>
    </w:div>
    <w:div w:id="65612672">
      <w:bodyDiv w:val="1"/>
      <w:marLeft w:val="0"/>
      <w:marRight w:val="0"/>
      <w:marTop w:val="0"/>
      <w:marBottom w:val="0"/>
      <w:divBdr>
        <w:top w:val="none" w:sz="0" w:space="0" w:color="auto"/>
        <w:left w:val="none" w:sz="0" w:space="0" w:color="auto"/>
        <w:bottom w:val="none" w:sz="0" w:space="0" w:color="auto"/>
        <w:right w:val="none" w:sz="0" w:space="0" w:color="auto"/>
      </w:divBdr>
    </w:div>
    <w:div w:id="76831664">
      <w:bodyDiv w:val="1"/>
      <w:marLeft w:val="0"/>
      <w:marRight w:val="0"/>
      <w:marTop w:val="0"/>
      <w:marBottom w:val="0"/>
      <w:divBdr>
        <w:top w:val="none" w:sz="0" w:space="0" w:color="auto"/>
        <w:left w:val="none" w:sz="0" w:space="0" w:color="auto"/>
        <w:bottom w:val="none" w:sz="0" w:space="0" w:color="auto"/>
        <w:right w:val="none" w:sz="0" w:space="0" w:color="auto"/>
      </w:divBdr>
    </w:div>
    <w:div w:id="104007547">
      <w:bodyDiv w:val="1"/>
      <w:marLeft w:val="0"/>
      <w:marRight w:val="0"/>
      <w:marTop w:val="0"/>
      <w:marBottom w:val="0"/>
      <w:divBdr>
        <w:top w:val="none" w:sz="0" w:space="0" w:color="auto"/>
        <w:left w:val="none" w:sz="0" w:space="0" w:color="auto"/>
        <w:bottom w:val="none" w:sz="0" w:space="0" w:color="auto"/>
        <w:right w:val="none" w:sz="0" w:space="0" w:color="auto"/>
      </w:divBdr>
    </w:div>
    <w:div w:id="118107754">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0678351">
      <w:bodyDiv w:val="1"/>
      <w:marLeft w:val="0"/>
      <w:marRight w:val="0"/>
      <w:marTop w:val="0"/>
      <w:marBottom w:val="0"/>
      <w:divBdr>
        <w:top w:val="none" w:sz="0" w:space="0" w:color="auto"/>
        <w:left w:val="none" w:sz="0" w:space="0" w:color="auto"/>
        <w:bottom w:val="none" w:sz="0" w:space="0" w:color="auto"/>
        <w:right w:val="none" w:sz="0" w:space="0" w:color="auto"/>
      </w:divBdr>
    </w:div>
    <w:div w:id="151605428">
      <w:bodyDiv w:val="1"/>
      <w:marLeft w:val="0"/>
      <w:marRight w:val="0"/>
      <w:marTop w:val="0"/>
      <w:marBottom w:val="0"/>
      <w:divBdr>
        <w:top w:val="none" w:sz="0" w:space="0" w:color="auto"/>
        <w:left w:val="none" w:sz="0" w:space="0" w:color="auto"/>
        <w:bottom w:val="none" w:sz="0" w:space="0" w:color="auto"/>
        <w:right w:val="none" w:sz="0" w:space="0" w:color="auto"/>
      </w:divBdr>
    </w:div>
    <w:div w:id="153106646">
      <w:bodyDiv w:val="1"/>
      <w:marLeft w:val="0"/>
      <w:marRight w:val="0"/>
      <w:marTop w:val="0"/>
      <w:marBottom w:val="0"/>
      <w:divBdr>
        <w:top w:val="none" w:sz="0" w:space="0" w:color="auto"/>
        <w:left w:val="none" w:sz="0" w:space="0" w:color="auto"/>
        <w:bottom w:val="none" w:sz="0" w:space="0" w:color="auto"/>
        <w:right w:val="none" w:sz="0" w:space="0" w:color="auto"/>
      </w:divBdr>
    </w:div>
    <w:div w:id="162669241">
      <w:bodyDiv w:val="1"/>
      <w:marLeft w:val="0"/>
      <w:marRight w:val="0"/>
      <w:marTop w:val="0"/>
      <w:marBottom w:val="0"/>
      <w:divBdr>
        <w:top w:val="none" w:sz="0" w:space="0" w:color="auto"/>
        <w:left w:val="none" w:sz="0" w:space="0" w:color="auto"/>
        <w:bottom w:val="none" w:sz="0" w:space="0" w:color="auto"/>
        <w:right w:val="none" w:sz="0" w:space="0" w:color="auto"/>
      </w:divBdr>
    </w:div>
    <w:div w:id="164713189">
      <w:bodyDiv w:val="1"/>
      <w:marLeft w:val="0"/>
      <w:marRight w:val="0"/>
      <w:marTop w:val="0"/>
      <w:marBottom w:val="0"/>
      <w:divBdr>
        <w:top w:val="none" w:sz="0" w:space="0" w:color="auto"/>
        <w:left w:val="none" w:sz="0" w:space="0" w:color="auto"/>
        <w:bottom w:val="none" w:sz="0" w:space="0" w:color="auto"/>
        <w:right w:val="none" w:sz="0" w:space="0" w:color="auto"/>
      </w:divBdr>
    </w:div>
    <w:div w:id="179205641">
      <w:bodyDiv w:val="1"/>
      <w:marLeft w:val="0"/>
      <w:marRight w:val="0"/>
      <w:marTop w:val="0"/>
      <w:marBottom w:val="0"/>
      <w:divBdr>
        <w:top w:val="none" w:sz="0" w:space="0" w:color="auto"/>
        <w:left w:val="none" w:sz="0" w:space="0" w:color="auto"/>
        <w:bottom w:val="none" w:sz="0" w:space="0" w:color="auto"/>
        <w:right w:val="none" w:sz="0" w:space="0" w:color="auto"/>
      </w:divBdr>
    </w:div>
    <w:div w:id="185293264">
      <w:bodyDiv w:val="1"/>
      <w:marLeft w:val="0"/>
      <w:marRight w:val="0"/>
      <w:marTop w:val="0"/>
      <w:marBottom w:val="0"/>
      <w:divBdr>
        <w:top w:val="none" w:sz="0" w:space="0" w:color="auto"/>
        <w:left w:val="none" w:sz="0" w:space="0" w:color="auto"/>
        <w:bottom w:val="none" w:sz="0" w:space="0" w:color="auto"/>
        <w:right w:val="none" w:sz="0" w:space="0" w:color="auto"/>
      </w:divBdr>
    </w:div>
    <w:div w:id="209271773">
      <w:bodyDiv w:val="1"/>
      <w:marLeft w:val="0"/>
      <w:marRight w:val="0"/>
      <w:marTop w:val="0"/>
      <w:marBottom w:val="0"/>
      <w:divBdr>
        <w:top w:val="none" w:sz="0" w:space="0" w:color="auto"/>
        <w:left w:val="none" w:sz="0" w:space="0" w:color="auto"/>
        <w:bottom w:val="none" w:sz="0" w:space="0" w:color="auto"/>
        <w:right w:val="none" w:sz="0" w:space="0" w:color="auto"/>
      </w:divBdr>
    </w:div>
    <w:div w:id="217978789">
      <w:bodyDiv w:val="1"/>
      <w:marLeft w:val="0"/>
      <w:marRight w:val="0"/>
      <w:marTop w:val="0"/>
      <w:marBottom w:val="0"/>
      <w:divBdr>
        <w:top w:val="none" w:sz="0" w:space="0" w:color="auto"/>
        <w:left w:val="none" w:sz="0" w:space="0" w:color="auto"/>
        <w:bottom w:val="none" w:sz="0" w:space="0" w:color="auto"/>
        <w:right w:val="none" w:sz="0" w:space="0" w:color="auto"/>
      </w:divBdr>
    </w:div>
    <w:div w:id="222835728">
      <w:bodyDiv w:val="1"/>
      <w:marLeft w:val="0"/>
      <w:marRight w:val="0"/>
      <w:marTop w:val="0"/>
      <w:marBottom w:val="0"/>
      <w:divBdr>
        <w:top w:val="none" w:sz="0" w:space="0" w:color="auto"/>
        <w:left w:val="none" w:sz="0" w:space="0" w:color="auto"/>
        <w:bottom w:val="none" w:sz="0" w:space="0" w:color="auto"/>
        <w:right w:val="none" w:sz="0" w:space="0" w:color="auto"/>
      </w:divBdr>
    </w:div>
    <w:div w:id="224535600">
      <w:bodyDiv w:val="1"/>
      <w:marLeft w:val="0"/>
      <w:marRight w:val="0"/>
      <w:marTop w:val="0"/>
      <w:marBottom w:val="0"/>
      <w:divBdr>
        <w:top w:val="none" w:sz="0" w:space="0" w:color="auto"/>
        <w:left w:val="none" w:sz="0" w:space="0" w:color="auto"/>
        <w:bottom w:val="none" w:sz="0" w:space="0" w:color="auto"/>
        <w:right w:val="none" w:sz="0" w:space="0" w:color="auto"/>
      </w:divBdr>
    </w:div>
    <w:div w:id="227346322">
      <w:bodyDiv w:val="1"/>
      <w:marLeft w:val="0"/>
      <w:marRight w:val="0"/>
      <w:marTop w:val="0"/>
      <w:marBottom w:val="0"/>
      <w:divBdr>
        <w:top w:val="none" w:sz="0" w:space="0" w:color="auto"/>
        <w:left w:val="none" w:sz="0" w:space="0" w:color="auto"/>
        <w:bottom w:val="none" w:sz="0" w:space="0" w:color="auto"/>
        <w:right w:val="none" w:sz="0" w:space="0" w:color="auto"/>
      </w:divBdr>
    </w:div>
    <w:div w:id="230045578">
      <w:bodyDiv w:val="1"/>
      <w:marLeft w:val="0"/>
      <w:marRight w:val="0"/>
      <w:marTop w:val="0"/>
      <w:marBottom w:val="0"/>
      <w:divBdr>
        <w:top w:val="none" w:sz="0" w:space="0" w:color="auto"/>
        <w:left w:val="none" w:sz="0" w:space="0" w:color="auto"/>
        <w:bottom w:val="none" w:sz="0" w:space="0" w:color="auto"/>
        <w:right w:val="none" w:sz="0" w:space="0" w:color="auto"/>
      </w:divBdr>
    </w:div>
    <w:div w:id="256912200">
      <w:bodyDiv w:val="1"/>
      <w:marLeft w:val="0"/>
      <w:marRight w:val="0"/>
      <w:marTop w:val="0"/>
      <w:marBottom w:val="0"/>
      <w:divBdr>
        <w:top w:val="none" w:sz="0" w:space="0" w:color="auto"/>
        <w:left w:val="none" w:sz="0" w:space="0" w:color="auto"/>
        <w:bottom w:val="none" w:sz="0" w:space="0" w:color="auto"/>
        <w:right w:val="none" w:sz="0" w:space="0" w:color="auto"/>
      </w:divBdr>
    </w:div>
    <w:div w:id="270866653">
      <w:bodyDiv w:val="1"/>
      <w:marLeft w:val="0"/>
      <w:marRight w:val="0"/>
      <w:marTop w:val="0"/>
      <w:marBottom w:val="0"/>
      <w:divBdr>
        <w:top w:val="none" w:sz="0" w:space="0" w:color="auto"/>
        <w:left w:val="none" w:sz="0" w:space="0" w:color="auto"/>
        <w:bottom w:val="none" w:sz="0" w:space="0" w:color="auto"/>
        <w:right w:val="none" w:sz="0" w:space="0" w:color="auto"/>
      </w:divBdr>
    </w:div>
    <w:div w:id="279609017">
      <w:bodyDiv w:val="1"/>
      <w:marLeft w:val="0"/>
      <w:marRight w:val="0"/>
      <w:marTop w:val="0"/>
      <w:marBottom w:val="0"/>
      <w:divBdr>
        <w:top w:val="none" w:sz="0" w:space="0" w:color="auto"/>
        <w:left w:val="none" w:sz="0" w:space="0" w:color="auto"/>
        <w:bottom w:val="none" w:sz="0" w:space="0" w:color="auto"/>
        <w:right w:val="none" w:sz="0" w:space="0" w:color="auto"/>
      </w:divBdr>
    </w:div>
    <w:div w:id="288360050">
      <w:bodyDiv w:val="1"/>
      <w:marLeft w:val="0"/>
      <w:marRight w:val="0"/>
      <w:marTop w:val="0"/>
      <w:marBottom w:val="0"/>
      <w:divBdr>
        <w:top w:val="none" w:sz="0" w:space="0" w:color="auto"/>
        <w:left w:val="none" w:sz="0" w:space="0" w:color="auto"/>
        <w:bottom w:val="none" w:sz="0" w:space="0" w:color="auto"/>
        <w:right w:val="none" w:sz="0" w:space="0" w:color="auto"/>
      </w:divBdr>
    </w:div>
    <w:div w:id="310641138">
      <w:bodyDiv w:val="1"/>
      <w:marLeft w:val="0"/>
      <w:marRight w:val="0"/>
      <w:marTop w:val="0"/>
      <w:marBottom w:val="0"/>
      <w:divBdr>
        <w:top w:val="none" w:sz="0" w:space="0" w:color="auto"/>
        <w:left w:val="none" w:sz="0" w:space="0" w:color="auto"/>
        <w:bottom w:val="none" w:sz="0" w:space="0" w:color="auto"/>
        <w:right w:val="none" w:sz="0" w:space="0" w:color="auto"/>
      </w:divBdr>
    </w:div>
    <w:div w:id="311063823">
      <w:bodyDiv w:val="1"/>
      <w:marLeft w:val="0"/>
      <w:marRight w:val="0"/>
      <w:marTop w:val="0"/>
      <w:marBottom w:val="0"/>
      <w:divBdr>
        <w:top w:val="none" w:sz="0" w:space="0" w:color="auto"/>
        <w:left w:val="none" w:sz="0" w:space="0" w:color="auto"/>
        <w:bottom w:val="none" w:sz="0" w:space="0" w:color="auto"/>
        <w:right w:val="none" w:sz="0" w:space="0" w:color="auto"/>
      </w:divBdr>
    </w:div>
    <w:div w:id="318312281">
      <w:bodyDiv w:val="1"/>
      <w:marLeft w:val="0"/>
      <w:marRight w:val="0"/>
      <w:marTop w:val="0"/>
      <w:marBottom w:val="0"/>
      <w:divBdr>
        <w:top w:val="none" w:sz="0" w:space="0" w:color="auto"/>
        <w:left w:val="none" w:sz="0" w:space="0" w:color="auto"/>
        <w:bottom w:val="none" w:sz="0" w:space="0" w:color="auto"/>
        <w:right w:val="none" w:sz="0" w:space="0" w:color="auto"/>
      </w:divBdr>
    </w:div>
    <w:div w:id="332344424">
      <w:bodyDiv w:val="1"/>
      <w:marLeft w:val="0"/>
      <w:marRight w:val="0"/>
      <w:marTop w:val="0"/>
      <w:marBottom w:val="0"/>
      <w:divBdr>
        <w:top w:val="none" w:sz="0" w:space="0" w:color="auto"/>
        <w:left w:val="none" w:sz="0" w:space="0" w:color="auto"/>
        <w:bottom w:val="none" w:sz="0" w:space="0" w:color="auto"/>
        <w:right w:val="none" w:sz="0" w:space="0" w:color="auto"/>
      </w:divBdr>
    </w:div>
    <w:div w:id="332686307">
      <w:bodyDiv w:val="1"/>
      <w:marLeft w:val="0"/>
      <w:marRight w:val="0"/>
      <w:marTop w:val="0"/>
      <w:marBottom w:val="0"/>
      <w:divBdr>
        <w:top w:val="none" w:sz="0" w:space="0" w:color="auto"/>
        <w:left w:val="none" w:sz="0" w:space="0" w:color="auto"/>
        <w:bottom w:val="none" w:sz="0" w:space="0" w:color="auto"/>
        <w:right w:val="none" w:sz="0" w:space="0" w:color="auto"/>
      </w:divBdr>
    </w:div>
    <w:div w:id="332875098">
      <w:bodyDiv w:val="1"/>
      <w:marLeft w:val="0"/>
      <w:marRight w:val="0"/>
      <w:marTop w:val="0"/>
      <w:marBottom w:val="0"/>
      <w:divBdr>
        <w:top w:val="none" w:sz="0" w:space="0" w:color="auto"/>
        <w:left w:val="none" w:sz="0" w:space="0" w:color="auto"/>
        <w:bottom w:val="none" w:sz="0" w:space="0" w:color="auto"/>
        <w:right w:val="none" w:sz="0" w:space="0" w:color="auto"/>
      </w:divBdr>
    </w:div>
    <w:div w:id="351296850">
      <w:bodyDiv w:val="1"/>
      <w:marLeft w:val="0"/>
      <w:marRight w:val="0"/>
      <w:marTop w:val="0"/>
      <w:marBottom w:val="0"/>
      <w:divBdr>
        <w:top w:val="none" w:sz="0" w:space="0" w:color="auto"/>
        <w:left w:val="none" w:sz="0" w:space="0" w:color="auto"/>
        <w:bottom w:val="none" w:sz="0" w:space="0" w:color="auto"/>
        <w:right w:val="none" w:sz="0" w:space="0" w:color="auto"/>
      </w:divBdr>
    </w:div>
    <w:div w:id="360131905">
      <w:bodyDiv w:val="1"/>
      <w:marLeft w:val="0"/>
      <w:marRight w:val="0"/>
      <w:marTop w:val="0"/>
      <w:marBottom w:val="0"/>
      <w:divBdr>
        <w:top w:val="none" w:sz="0" w:space="0" w:color="auto"/>
        <w:left w:val="none" w:sz="0" w:space="0" w:color="auto"/>
        <w:bottom w:val="none" w:sz="0" w:space="0" w:color="auto"/>
        <w:right w:val="none" w:sz="0" w:space="0" w:color="auto"/>
      </w:divBdr>
    </w:div>
    <w:div w:id="371005051">
      <w:bodyDiv w:val="1"/>
      <w:marLeft w:val="0"/>
      <w:marRight w:val="0"/>
      <w:marTop w:val="0"/>
      <w:marBottom w:val="0"/>
      <w:divBdr>
        <w:top w:val="none" w:sz="0" w:space="0" w:color="auto"/>
        <w:left w:val="none" w:sz="0" w:space="0" w:color="auto"/>
        <w:bottom w:val="none" w:sz="0" w:space="0" w:color="auto"/>
        <w:right w:val="none" w:sz="0" w:space="0" w:color="auto"/>
      </w:divBdr>
    </w:div>
    <w:div w:id="371006207">
      <w:bodyDiv w:val="1"/>
      <w:marLeft w:val="0"/>
      <w:marRight w:val="0"/>
      <w:marTop w:val="0"/>
      <w:marBottom w:val="0"/>
      <w:divBdr>
        <w:top w:val="none" w:sz="0" w:space="0" w:color="auto"/>
        <w:left w:val="none" w:sz="0" w:space="0" w:color="auto"/>
        <w:bottom w:val="none" w:sz="0" w:space="0" w:color="auto"/>
        <w:right w:val="none" w:sz="0" w:space="0" w:color="auto"/>
      </w:divBdr>
    </w:div>
    <w:div w:id="371927104">
      <w:bodyDiv w:val="1"/>
      <w:marLeft w:val="0"/>
      <w:marRight w:val="0"/>
      <w:marTop w:val="0"/>
      <w:marBottom w:val="0"/>
      <w:divBdr>
        <w:top w:val="none" w:sz="0" w:space="0" w:color="auto"/>
        <w:left w:val="none" w:sz="0" w:space="0" w:color="auto"/>
        <w:bottom w:val="none" w:sz="0" w:space="0" w:color="auto"/>
        <w:right w:val="none" w:sz="0" w:space="0" w:color="auto"/>
      </w:divBdr>
    </w:div>
    <w:div w:id="379136053">
      <w:bodyDiv w:val="1"/>
      <w:marLeft w:val="0"/>
      <w:marRight w:val="0"/>
      <w:marTop w:val="0"/>
      <w:marBottom w:val="0"/>
      <w:divBdr>
        <w:top w:val="none" w:sz="0" w:space="0" w:color="auto"/>
        <w:left w:val="none" w:sz="0" w:space="0" w:color="auto"/>
        <w:bottom w:val="none" w:sz="0" w:space="0" w:color="auto"/>
        <w:right w:val="none" w:sz="0" w:space="0" w:color="auto"/>
      </w:divBdr>
    </w:div>
    <w:div w:id="410732833">
      <w:bodyDiv w:val="1"/>
      <w:marLeft w:val="0"/>
      <w:marRight w:val="0"/>
      <w:marTop w:val="0"/>
      <w:marBottom w:val="0"/>
      <w:divBdr>
        <w:top w:val="none" w:sz="0" w:space="0" w:color="auto"/>
        <w:left w:val="none" w:sz="0" w:space="0" w:color="auto"/>
        <w:bottom w:val="none" w:sz="0" w:space="0" w:color="auto"/>
        <w:right w:val="none" w:sz="0" w:space="0" w:color="auto"/>
      </w:divBdr>
    </w:div>
    <w:div w:id="440078802">
      <w:bodyDiv w:val="1"/>
      <w:marLeft w:val="0"/>
      <w:marRight w:val="0"/>
      <w:marTop w:val="0"/>
      <w:marBottom w:val="0"/>
      <w:divBdr>
        <w:top w:val="none" w:sz="0" w:space="0" w:color="auto"/>
        <w:left w:val="none" w:sz="0" w:space="0" w:color="auto"/>
        <w:bottom w:val="none" w:sz="0" w:space="0" w:color="auto"/>
        <w:right w:val="none" w:sz="0" w:space="0" w:color="auto"/>
      </w:divBdr>
    </w:div>
    <w:div w:id="459766929">
      <w:bodyDiv w:val="1"/>
      <w:marLeft w:val="0"/>
      <w:marRight w:val="0"/>
      <w:marTop w:val="0"/>
      <w:marBottom w:val="0"/>
      <w:divBdr>
        <w:top w:val="none" w:sz="0" w:space="0" w:color="auto"/>
        <w:left w:val="none" w:sz="0" w:space="0" w:color="auto"/>
        <w:bottom w:val="none" w:sz="0" w:space="0" w:color="auto"/>
        <w:right w:val="none" w:sz="0" w:space="0" w:color="auto"/>
      </w:divBdr>
    </w:div>
    <w:div w:id="465390746">
      <w:bodyDiv w:val="1"/>
      <w:marLeft w:val="0"/>
      <w:marRight w:val="0"/>
      <w:marTop w:val="0"/>
      <w:marBottom w:val="0"/>
      <w:divBdr>
        <w:top w:val="none" w:sz="0" w:space="0" w:color="auto"/>
        <w:left w:val="none" w:sz="0" w:space="0" w:color="auto"/>
        <w:bottom w:val="none" w:sz="0" w:space="0" w:color="auto"/>
        <w:right w:val="none" w:sz="0" w:space="0" w:color="auto"/>
      </w:divBdr>
    </w:div>
    <w:div w:id="476189256">
      <w:bodyDiv w:val="1"/>
      <w:marLeft w:val="0"/>
      <w:marRight w:val="0"/>
      <w:marTop w:val="0"/>
      <w:marBottom w:val="0"/>
      <w:divBdr>
        <w:top w:val="none" w:sz="0" w:space="0" w:color="auto"/>
        <w:left w:val="none" w:sz="0" w:space="0" w:color="auto"/>
        <w:bottom w:val="none" w:sz="0" w:space="0" w:color="auto"/>
        <w:right w:val="none" w:sz="0" w:space="0" w:color="auto"/>
      </w:divBdr>
    </w:div>
    <w:div w:id="478379824">
      <w:bodyDiv w:val="1"/>
      <w:marLeft w:val="0"/>
      <w:marRight w:val="0"/>
      <w:marTop w:val="0"/>
      <w:marBottom w:val="0"/>
      <w:divBdr>
        <w:top w:val="none" w:sz="0" w:space="0" w:color="auto"/>
        <w:left w:val="none" w:sz="0" w:space="0" w:color="auto"/>
        <w:bottom w:val="none" w:sz="0" w:space="0" w:color="auto"/>
        <w:right w:val="none" w:sz="0" w:space="0" w:color="auto"/>
      </w:divBdr>
    </w:div>
    <w:div w:id="504134365">
      <w:bodyDiv w:val="1"/>
      <w:marLeft w:val="0"/>
      <w:marRight w:val="0"/>
      <w:marTop w:val="0"/>
      <w:marBottom w:val="0"/>
      <w:divBdr>
        <w:top w:val="none" w:sz="0" w:space="0" w:color="auto"/>
        <w:left w:val="none" w:sz="0" w:space="0" w:color="auto"/>
        <w:bottom w:val="none" w:sz="0" w:space="0" w:color="auto"/>
        <w:right w:val="none" w:sz="0" w:space="0" w:color="auto"/>
      </w:divBdr>
    </w:div>
    <w:div w:id="519273836">
      <w:bodyDiv w:val="1"/>
      <w:marLeft w:val="0"/>
      <w:marRight w:val="0"/>
      <w:marTop w:val="0"/>
      <w:marBottom w:val="0"/>
      <w:divBdr>
        <w:top w:val="none" w:sz="0" w:space="0" w:color="auto"/>
        <w:left w:val="none" w:sz="0" w:space="0" w:color="auto"/>
        <w:bottom w:val="none" w:sz="0" w:space="0" w:color="auto"/>
        <w:right w:val="none" w:sz="0" w:space="0" w:color="auto"/>
      </w:divBdr>
    </w:div>
    <w:div w:id="520633278">
      <w:bodyDiv w:val="1"/>
      <w:marLeft w:val="0"/>
      <w:marRight w:val="0"/>
      <w:marTop w:val="0"/>
      <w:marBottom w:val="0"/>
      <w:divBdr>
        <w:top w:val="none" w:sz="0" w:space="0" w:color="auto"/>
        <w:left w:val="none" w:sz="0" w:space="0" w:color="auto"/>
        <w:bottom w:val="none" w:sz="0" w:space="0" w:color="auto"/>
        <w:right w:val="none" w:sz="0" w:space="0" w:color="auto"/>
      </w:divBdr>
    </w:div>
    <w:div w:id="522475962">
      <w:bodyDiv w:val="1"/>
      <w:marLeft w:val="0"/>
      <w:marRight w:val="0"/>
      <w:marTop w:val="0"/>
      <w:marBottom w:val="0"/>
      <w:divBdr>
        <w:top w:val="none" w:sz="0" w:space="0" w:color="auto"/>
        <w:left w:val="none" w:sz="0" w:space="0" w:color="auto"/>
        <w:bottom w:val="none" w:sz="0" w:space="0" w:color="auto"/>
        <w:right w:val="none" w:sz="0" w:space="0" w:color="auto"/>
      </w:divBdr>
    </w:div>
    <w:div w:id="533692254">
      <w:bodyDiv w:val="1"/>
      <w:marLeft w:val="0"/>
      <w:marRight w:val="0"/>
      <w:marTop w:val="0"/>
      <w:marBottom w:val="0"/>
      <w:divBdr>
        <w:top w:val="none" w:sz="0" w:space="0" w:color="auto"/>
        <w:left w:val="none" w:sz="0" w:space="0" w:color="auto"/>
        <w:bottom w:val="none" w:sz="0" w:space="0" w:color="auto"/>
        <w:right w:val="none" w:sz="0" w:space="0" w:color="auto"/>
      </w:divBdr>
    </w:div>
    <w:div w:id="560293845">
      <w:bodyDiv w:val="1"/>
      <w:marLeft w:val="0"/>
      <w:marRight w:val="0"/>
      <w:marTop w:val="0"/>
      <w:marBottom w:val="0"/>
      <w:divBdr>
        <w:top w:val="none" w:sz="0" w:space="0" w:color="auto"/>
        <w:left w:val="none" w:sz="0" w:space="0" w:color="auto"/>
        <w:bottom w:val="none" w:sz="0" w:space="0" w:color="auto"/>
        <w:right w:val="none" w:sz="0" w:space="0" w:color="auto"/>
      </w:divBdr>
    </w:div>
    <w:div w:id="561405011">
      <w:bodyDiv w:val="1"/>
      <w:marLeft w:val="0"/>
      <w:marRight w:val="0"/>
      <w:marTop w:val="0"/>
      <w:marBottom w:val="0"/>
      <w:divBdr>
        <w:top w:val="none" w:sz="0" w:space="0" w:color="auto"/>
        <w:left w:val="none" w:sz="0" w:space="0" w:color="auto"/>
        <w:bottom w:val="none" w:sz="0" w:space="0" w:color="auto"/>
        <w:right w:val="none" w:sz="0" w:space="0" w:color="auto"/>
      </w:divBdr>
    </w:div>
    <w:div w:id="567036087">
      <w:bodyDiv w:val="1"/>
      <w:marLeft w:val="0"/>
      <w:marRight w:val="0"/>
      <w:marTop w:val="0"/>
      <w:marBottom w:val="0"/>
      <w:divBdr>
        <w:top w:val="none" w:sz="0" w:space="0" w:color="auto"/>
        <w:left w:val="none" w:sz="0" w:space="0" w:color="auto"/>
        <w:bottom w:val="none" w:sz="0" w:space="0" w:color="auto"/>
        <w:right w:val="none" w:sz="0" w:space="0" w:color="auto"/>
      </w:divBdr>
    </w:div>
    <w:div w:id="571309414">
      <w:bodyDiv w:val="1"/>
      <w:marLeft w:val="0"/>
      <w:marRight w:val="0"/>
      <w:marTop w:val="0"/>
      <w:marBottom w:val="0"/>
      <w:divBdr>
        <w:top w:val="none" w:sz="0" w:space="0" w:color="auto"/>
        <w:left w:val="none" w:sz="0" w:space="0" w:color="auto"/>
        <w:bottom w:val="none" w:sz="0" w:space="0" w:color="auto"/>
        <w:right w:val="none" w:sz="0" w:space="0" w:color="auto"/>
      </w:divBdr>
    </w:div>
    <w:div w:id="595098725">
      <w:bodyDiv w:val="1"/>
      <w:marLeft w:val="0"/>
      <w:marRight w:val="0"/>
      <w:marTop w:val="0"/>
      <w:marBottom w:val="0"/>
      <w:divBdr>
        <w:top w:val="none" w:sz="0" w:space="0" w:color="auto"/>
        <w:left w:val="none" w:sz="0" w:space="0" w:color="auto"/>
        <w:bottom w:val="none" w:sz="0" w:space="0" w:color="auto"/>
        <w:right w:val="none" w:sz="0" w:space="0" w:color="auto"/>
      </w:divBdr>
    </w:div>
    <w:div w:id="626357109">
      <w:bodyDiv w:val="1"/>
      <w:marLeft w:val="0"/>
      <w:marRight w:val="0"/>
      <w:marTop w:val="0"/>
      <w:marBottom w:val="0"/>
      <w:divBdr>
        <w:top w:val="none" w:sz="0" w:space="0" w:color="auto"/>
        <w:left w:val="none" w:sz="0" w:space="0" w:color="auto"/>
        <w:bottom w:val="none" w:sz="0" w:space="0" w:color="auto"/>
        <w:right w:val="none" w:sz="0" w:space="0" w:color="auto"/>
      </w:divBdr>
    </w:div>
    <w:div w:id="659189382">
      <w:bodyDiv w:val="1"/>
      <w:marLeft w:val="0"/>
      <w:marRight w:val="0"/>
      <w:marTop w:val="0"/>
      <w:marBottom w:val="0"/>
      <w:divBdr>
        <w:top w:val="none" w:sz="0" w:space="0" w:color="auto"/>
        <w:left w:val="none" w:sz="0" w:space="0" w:color="auto"/>
        <w:bottom w:val="none" w:sz="0" w:space="0" w:color="auto"/>
        <w:right w:val="none" w:sz="0" w:space="0" w:color="auto"/>
      </w:divBdr>
    </w:div>
    <w:div w:id="674650636">
      <w:bodyDiv w:val="1"/>
      <w:marLeft w:val="0"/>
      <w:marRight w:val="0"/>
      <w:marTop w:val="0"/>
      <w:marBottom w:val="0"/>
      <w:divBdr>
        <w:top w:val="none" w:sz="0" w:space="0" w:color="auto"/>
        <w:left w:val="none" w:sz="0" w:space="0" w:color="auto"/>
        <w:bottom w:val="none" w:sz="0" w:space="0" w:color="auto"/>
        <w:right w:val="none" w:sz="0" w:space="0" w:color="auto"/>
      </w:divBdr>
    </w:div>
    <w:div w:id="679240252">
      <w:bodyDiv w:val="1"/>
      <w:marLeft w:val="0"/>
      <w:marRight w:val="0"/>
      <w:marTop w:val="0"/>
      <w:marBottom w:val="0"/>
      <w:divBdr>
        <w:top w:val="none" w:sz="0" w:space="0" w:color="auto"/>
        <w:left w:val="none" w:sz="0" w:space="0" w:color="auto"/>
        <w:bottom w:val="none" w:sz="0" w:space="0" w:color="auto"/>
        <w:right w:val="none" w:sz="0" w:space="0" w:color="auto"/>
      </w:divBdr>
    </w:div>
    <w:div w:id="686834512">
      <w:bodyDiv w:val="1"/>
      <w:marLeft w:val="0"/>
      <w:marRight w:val="0"/>
      <w:marTop w:val="0"/>
      <w:marBottom w:val="0"/>
      <w:divBdr>
        <w:top w:val="none" w:sz="0" w:space="0" w:color="auto"/>
        <w:left w:val="none" w:sz="0" w:space="0" w:color="auto"/>
        <w:bottom w:val="none" w:sz="0" w:space="0" w:color="auto"/>
        <w:right w:val="none" w:sz="0" w:space="0" w:color="auto"/>
      </w:divBdr>
    </w:div>
    <w:div w:id="691225426">
      <w:bodyDiv w:val="1"/>
      <w:marLeft w:val="0"/>
      <w:marRight w:val="0"/>
      <w:marTop w:val="0"/>
      <w:marBottom w:val="0"/>
      <w:divBdr>
        <w:top w:val="none" w:sz="0" w:space="0" w:color="auto"/>
        <w:left w:val="none" w:sz="0" w:space="0" w:color="auto"/>
        <w:bottom w:val="none" w:sz="0" w:space="0" w:color="auto"/>
        <w:right w:val="none" w:sz="0" w:space="0" w:color="auto"/>
      </w:divBdr>
    </w:div>
    <w:div w:id="693069024">
      <w:bodyDiv w:val="1"/>
      <w:marLeft w:val="0"/>
      <w:marRight w:val="0"/>
      <w:marTop w:val="0"/>
      <w:marBottom w:val="0"/>
      <w:divBdr>
        <w:top w:val="none" w:sz="0" w:space="0" w:color="auto"/>
        <w:left w:val="none" w:sz="0" w:space="0" w:color="auto"/>
        <w:bottom w:val="none" w:sz="0" w:space="0" w:color="auto"/>
        <w:right w:val="none" w:sz="0" w:space="0" w:color="auto"/>
      </w:divBdr>
    </w:div>
    <w:div w:id="695349839">
      <w:bodyDiv w:val="1"/>
      <w:marLeft w:val="0"/>
      <w:marRight w:val="0"/>
      <w:marTop w:val="0"/>
      <w:marBottom w:val="0"/>
      <w:divBdr>
        <w:top w:val="none" w:sz="0" w:space="0" w:color="auto"/>
        <w:left w:val="none" w:sz="0" w:space="0" w:color="auto"/>
        <w:bottom w:val="none" w:sz="0" w:space="0" w:color="auto"/>
        <w:right w:val="none" w:sz="0" w:space="0" w:color="auto"/>
      </w:divBdr>
    </w:div>
    <w:div w:id="697780196">
      <w:bodyDiv w:val="1"/>
      <w:marLeft w:val="0"/>
      <w:marRight w:val="0"/>
      <w:marTop w:val="0"/>
      <w:marBottom w:val="0"/>
      <w:divBdr>
        <w:top w:val="none" w:sz="0" w:space="0" w:color="auto"/>
        <w:left w:val="none" w:sz="0" w:space="0" w:color="auto"/>
        <w:bottom w:val="none" w:sz="0" w:space="0" w:color="auto"/>
        <w:right w:val="none" w:sz="0" w:space="0" w:color="auto"/>
      </w:divBdr>
    </w:div>
    <w:div w:id="767041085">
      <w:bodyDiv w:val="1"/>
      <w:marLeft w:val="0"/>
      <w:marRight w:val="0"/>
      <w:marTop w:val="0"/>
      <w:marBottom w:val="0"/>
      <w:divBdr>
        <w:top w:val="none" w:sz="0" w:space="0" w:color="auto"/>
        <w:left w:val="none" w:sz="0" w:space="0" w:color="auto"/>
        <w:bottom w:val="none" w:sz="0" w:space="0" w:color="auto"/>
        <w:right w:val="none" w:sz="0" w:space="0" w:color="auto"/>
      </w:divBdr>
    </w:div>
    <w:div w:id="799879300">
      <w:bodyDiv w:val="1"/>
      <w:marLeft w:val="0"/>
      <w:marRight w:val="0"/>
      <w:marTop w:val="0"/>
      <w:marBottom w:val="0"/>
      <w:divBdr>
        <w:top w:val="none" w:sz="0" w:space="0" w:color="auto"/>
        <w:left w:val="none" w:sz="0" w:space="0" w:color="auto"/>
        <w:bottom w:val="none" w:sz="0" w:space="0" w:color="auto"/>
        <w:right w:val="none" w:sz="0" w:space="0" w:color="auto"/>
      </w:divBdr>
    </w:div>
    <w:div w:id="817192204">
      <w:bodyDiv w:val="1"/>
      <w:marLeft w:val="0"/>
      <w:marRight w:val="0"/>
      <w:marTop w:val="0"/>
      <w:marBottom w:val="0"/>
      <w:divBdr>
        <w:top w:val="none" w:sz="0" w:space="0" w:color="auto"/>
        <w:left w:val="none" w:sz="0" w:space="0" w:color="auto"/>
        <w:bottom w:val="none" w:sz="0" w:space="0" w:color="auto"/>
        <w:right w:val="none" w:sz="0" w:space="0" w:color="auto"/>
      </w:divBdr>
    </w:div>
    <w:div w:id="854459147">
      <w:bodyDiv w:val="1"/>
      <w:marLeft w:val="0"/>
      <w:marRight w:val="0"/>
      <w:marTop w:val="0"/>
      <w:marBottom w:val="0"/>
      <w:divBdr>
        <w:top w:val="none" w:sz="0" w:space="0" w:color="auto"/>
        <w:left w:val="none" w:sz="0" w:space="0" w:color="auto"/>
        <w:bottom w:val="none" w:sz="0" w:space="0" w:color="auto"/>
        <w:right w:val="none" w:sz="0" w:space="0" w:color="auto"/>
      </w:divBdr>
    </w:div>
    <w:div w:id="870414030">
      <w:bodyDiv w:val="1"/>
      <w:marLeft w:val="0"/>
      <w:marRight w:val="0"/>
      <w:marTop w:val="0"/>
      <w:marBottom w:val="0"/>
      <w:divBdr>
        <w:top w:val="none" w:sz="0" w:space="0" w:color="auto"/>
        <w:left w:val="none" w:sz="0" w:space="0" w:color="auto"/>
        <w:bottom w:val="none" w:sz="0" w:space="0" w:color="auto"/>
        <w:right w:val="none" w:sz="0" w:space="0" w:color="auto"/>
      </w:divBdr>
    </w:div>
    <w:div w:id="886649081">
      <w:bodyDiv w:val="1"/>
      <w:marLeft w:val="0"/>
      <w:marRight w:val="0"/>
      <w:marTop w:val="0"/>
      <w:marBottom w:val="0"/>
      <w:divBdr>
        <w:top w:val="none" w:sz="0" w:space="0" w:color="auto"/>
        <w:left w:val="none" w:sz="0" w:space="0" w:color="auto"/>
        <w:bottom w:val="none" w:sz="0" w:space="0" w:color="auto"/>
        <w:right w:val="none" w:sz="0" w:space="0" w:color="auto"/>
      </w:divBdr>
    </w:div>
    <w:div w:id="887491874">
      <w:bodyDiv w:val="1"/>
      <w:marLeft w:val="0"/>
      <w:marRight w:val="0"/>
      <w:marTop w:val="0"/>
      <w:marBottom w:val="0"/>
      <w:divBdr>
        <w:top w:val="none" w:sz="0" w:space="0" w:color="auto"/>
        <w:left w:val="none" w:sz="0" w:space="0" w:color="auto"/>
        <w:bottom w:val="none" w:sz="0" w:space="0" w:color="auto"/>
        <w:right w:val="none" w:sz="0" w:space="0" w:color="auto"/>
      </w:divBdr>
    </w:div>
    <w:div w:id="888028421">
      <w:bodyDiv w:val="1"/>
      <w:marLeft w:val="0"/>
      <w:marRight w:val="0"/>
      <w:marTop w:val="0"/>
      <w:marBottom w:val="0"/>
      <w:divBdr>
        <w:top w:val="none" w:sz="0" w:space="0" w:color="auto"/>
        <w:left w:val="none" w:sz="0" w:space="0" w:color="auto"/>
        <w:bottom w:val="none" w:sz="0" w:space="0" w:color="auto"/>
        <w:right w:val="none" w:sz="0" w:space="0" w:color="auto"/>
      </w:divBdr>
    </w:div>
    <w:div w:id="897663778">
      <w:bodyDiv w:val="1"/>
      <w:marLeft w:val="0"/>
      <w:marRight w:val="0"/>
      <w:marTop w:val="0"/>
      <w:marBottom w:val="0"/>
      <w:divBdr>
        <w:top w:val="none" w:sz="0" w:space="0" w:color="auto"/>
        <w:left w:val="none" w:sz="0" w:space="0" w:color="auto"/>
        <w:bottom w:val="none" w:sz="0" w:space="0" w:color="auto"/>
        <w:right w:val="none" w:sz="0" w:space="0" w:color="auto"/>
      </w:divBdr>
    </w:div>
    <w:div w:id="899251489">
      <w:bodyDiv w:val="1"/>
      <w:marLeft w:val="0"/>
      <w:marRight w:val="0"/>
      <w:marTop w:val="0"/>
      <w:marBottom w:val="0"/>
      <w:divBdr>
        <w:top w:val="none" w:sz="0" w:space="0" w:color="auto"/>
        <w:left w:val="none" w:sz="0" w:space="0" w:color="auto"/>
        <w:bottom w:val="none" w:sz="0" w:space="0" w:color="auto"/>
        <w:right w:val="none" w:sz="0" w:space="0" w:color="auto"/>
      </w:divBdr>
    </w:div>
    <w:div w:id="909851612">
      <w:bodyDiv w:val="1"/>
      <w:marLeft w:val="0"/>
      <w:marRight w:val="0"/>
      <w:marTop w:val="0"/>
      <w:marBottom w:val="0"/>
      <w:divBdr>
        <w:top w:val="none" w:sz="0" w:space="0" w:color="auto"/>
        <w:left w:val="none" w:sz="0" w:space="0" w:color="auto"/>
        <w:bottom w:val="none" w:sz="0" w:space="0" w:color="auto"/>
        <w:right w:val="none" w:sz="0" w:space="0" w:color="auto"/>
      </w:divBdr>
    </w:div>
    <w:div w:id="916745270">
      <w:bodyDiv w:val="1"/>
      <w:marLeft w:val="0"/>
      <w:marRight w:val="0"/>
      <w:marTop w:val="0"/>
      <w:marBottom w:val="0"/>
      <w:divBdr>
        <w:top w:val="none" w:sz="0" w:space="0" w:color="auto"/>
        <w:left w:val="none" w:sz="0" w:space="0" w:color="auto"/>
        <w:bottom w:val="none" w:sz="0" w:space="0" w:color="auto"/>
        <w:right w:val="none" w:sz="0" w:space="0" w:color="auto"/>
      </w:divBdr>
    </w:div>
    <w:div w:id="923682924">
      <w:bodyDiv w:val="1"/>
      <w:marLeft w:val="0"/>
      <w:marRight w:val="0"/>
      <w:marTop w:val="0"/>
      <w:marBottom w:val="0"/>
      <w:divBdr>
        <w:top w:val="none" w:sz="0" w:space="0" w:color="auto"/>
        <w:left w:val="none" w:sz="0" w:space="0" w:color="auto"/>
        <w:bottom w:val="none" w:sz="0" w:space="0" w:color="auto"/>
        <w:right w:val="none" w:sz="0" w:space="0" w:color="auto"/>
      </w:divBdr>
    </w:div>
    <w:div w:id="986741810">
      <w:bodyDiv w:val="1"/>
      <w:marLeft w:val="0"/>
      <w:marRight w:val="0"/>
      <w:marTop w:val="0"/>
      <w:marBottom w:val="0"/>
      <w:divBdr>
        <w:top w:val="none" w:sz="0" w:space="0" w:color="auto"/>
        <w:left w:val="none" w:sz="0" w:space="0" w:color="auto"/>
        <w:bottom w:val="none" w:sz="0" w:space="0" w:color="auto"/>
        <w:right w:val="none" w:sz="0" w:space="0" w:color="auto"/>
      </w:divBdr>
    </w:div>
    <w:div w:id="987436342">
      <w:bodyDiv w:val="1"/>
      <w:marLeft w:val="0"/>
      <w:marRight w:val="0"/>
      <w:marTop w:val="0"/>
      <w:marBottom w:val="0"/>
      <w:divBdr>
        <w:top w:val="none" w:sz="0" w:space="0" w:color="auto"/>
        <w:left w:val="none" w:sz="0" w:space="0" w:color="auto"/>
        <w:bottom w:val="none" w:sz="0" w:space="0" w:color="auto"/>
        <w:right w:val="none" w:sz="0" w:space="0" w:color="auto"/>
      </w:divBdr>
    </w:div>
    <w:div w:id="1018584573">
      <w:bodyDiv w:val="1"/>
      <w:marLeft w:val="0"/>
      <w:marRight w:val="0"/>
      <w:marTop w:val="0"/>
      <w:marBottom w:val="0"/>
      <w:divBdr>
        <w:top w:val="none" w:sz="0" w:space="0" w:color="auto"/>
        <w:left w:val="none" w:sz="0" w:space="0" w:color="auto"/>
        <w:bottom w:val="none" w:sz="0" w:space="0" w:color="auto"/>
        <w:right w:val="none" w:sz="0" w:space="0" w:color="auto"/>
      </w:divBdr>
    </w:div>
    <w:div w:id="1050960204">
      <w:bodyDiv w:val="1"/>
      <w:marLeft w:val="0"/>
      <w:marRight w:val="0"/>
      <w:marTop w:val="0"/>
      <w:marBottom w:val="0"/>
      <w:divBdr>
        <w:top w:val="none" w:sz="0" w:space="0" w:color="auto"/>
        <w:left w:val="none" w:sz="0" w:space="0" w:color="auto"/>
        <w:bottom w:val="none" w:sz="0" w:space="0" w:color="auto"/>
        <w:right w:val="none" w:sz="0" w:space="0" w:color="auto"/>
      </w:divBdr>
    </w:div>
    <w:div w:id="1051148088">
      <w:bodyDiv w:val="1"/>
      <w:marLeft w:val="0"/>
      <w:marRight w:val="0"/>
      <w:marTop w:val="0"/>
      <w:marBottom w:val="0"/>
      <w:divBdr>
        <w:top w:val="none" w:sz="0" w:space="0" w:color="auto"/>
        <w:left w:val="none" w:sz="0" w:space="0" w:color="auto"/>
        <w:bottom w:val="none" w:sz="0" w:space="0" w:color="auto"/>
        <w:right w:val="none" w:sz="0" w:space="0" w:color="auto"/>
      </w:divBdr>
    </w:div>
    <w:div w:id="1054087699">
      <w:bodyDiv w:val="1"/>
      <w:marLeft w:val="0"/>
      <w:marRight w:val="0"/>
      <w:marTop w:val="0"/>
      <w:marBottom w:val="0"/>
      <w:divBdr>
        <w:top w:val="none" w:sz="0" w:space="0" w:color="auto"/>
        <w:left w:val="none" w:sz="0" w:space="0" w:color="auto"/>
        <w:bottom w:val="none" w:sz="0" w:space="0" w:color="auto"/>
        <w:right w:val="none" w:sz="0" w:space="0" w:color="auto"/>
      </w:divBdr>
    </w:div>
    <w:div w:id="1072896172">
      <w:bodyDiv w:val="1"/>
      <w:marLeft w:val="0"/>
      <w:marRight w:val="0"/>
      <w:marTop w:val="0"/>
      <w:marBottom w:val="0"/>
      <w:divBdr>
        <w:top w:val="none" w:sz="0" w:space="0" w:color="auto"/>
        <w:left w:val="none" w:sz="0" w:space="0" w:color="auto"/>
        <w:bottom w:val="none" w:sz="0" w:space="0" w:color="auto"/>
        <w:right w:val="none" w:sz="0" w:space="0" w:color="auto"/>
      </w:divBdr>
    </w:div>
    <w:div w:id="1098407699">
      <w:bodyDiv w:val="1"/>
      <w:marLeft w:val="0"/>
      <w:marRight w:val="0"/>
      <w:marTop w:val="0"/>
      <w:marBottom w:val="0"/>
      <w:divBdr>
        <w:top w:val="none" w:sz="0" w:space="0" w:color="auto"/>
        <w:left w:val="none" w:sz="0" w:space="0" w:color="auto"/>
        <w:bottom w:val="none" w:sz="0" w:space="0" w:color="auto"/>
        <w:right w:val="none" w:sz="0" w:space="0" w:color="auto"/>
      </w:divBdr>
    </w:div>
    <w:div w:id="1116490224">
      <w:bodyDiv w:val="1"/>
      <w:marLeft w:val="0"/>
      <w:marRight w:val="0"/>
      <w:marTop w:val="0"/>
      <w:marBottom w:val="0"/>
      <w:divBdr>
        <w:top w:val="none" w:sz="0" w:space="0" w:color="auto"/>
        <w:left w:val="none" w:sz="0" w:space="0" w:color="auto"/>
        <w:bottom w:val="none" w:sz="0" w:space="0" w:color="auto"/>
        <w:right w:val="none" w:sz="0" w:space="0" w:color="auto"/>
      </w:divBdr>
    </w:div>
    <w:div w:id="1122573340">
      <w:bodyDiv w:val="1"/>
      <w:marLeft w:val="0"/>
      <w:marRight w:val="0"/>
      <w:marTop w:val="0"/>
      <w:marBottom w:val="0"/>
      <w:divBdr>
        <w:top w:val="none" w:sz="0" w:space="0" w:color="auto"/>
        <w:left w:val="none" w:sz="0" w:space="0" w:color="auto"/>
        <w:bottom w:val="none" w:sz="0" w:space="0" w:color="auto"/>
        <w:right w:val="none" w:sz="0" w:space="0" w:color="auto"/>
      </w:divBdr>
    </w:div>
    <w:div w:id="1149058590">
      <w:bodyDiv w:val="1"/>
      <w:marLeft w:val="0"/>
      <w:marRight w:val="0"/>
      <w:marTop w:val="0"/>
      <w:marBottom w:val="0"/>
      <w:divBdr>
        <w:top w:val="none" w:sz="0" w:space="0" w:color="auto"/>
        <w:left w:val="none" w:sz="0" w:space="0" w:color="auto"/>
        <w:bottom w:val="none" w:sz="0" w:space="0" w:color="auto"/>
        <w:right w:val="none" w:sz="0" w:space="0" w:color="auto"/>
      </w:divBdr>
    </w:div>
    <w:div w:id="1153251689">
      <w:bodyDiv w:val="1"/>
      <w:marLeft w:val="0"/>
      <w:marRight w:val="0"/>
      <w:marTop w:val="0"/>
      <w:marBottom w:val="0"/>
      <w:divBdr>
        <w:top w:val="none" w:sz="0" w:space="0" w:color="auto"/>
        <w:left w:val="none" w:sz="0" w:space="0" w:color="auto"/>
        <w:bottom w:val="none" w:sz="0" w:space="0" w:color="auto"/>
        <w:right w:val="none" w:sz="0" w:space="0" w:color="auto"/>
      </w:divBdr>
    </w:div>
    <w:div w:id="1162698017">
      <w:bodyDiv w:val="1"/>
      <w:marLeft w:val="0"/>
      <w:marRight w:val="0"/>
      <w:marTop w:val="0"/>
      <w:marBottom w:val="0"/>
      <w:divBdr>
        <w:top w:val="none" w:sz="0" w:space="0" w:color="auto"/>
        <w:left w:val="none" w:sz="0" w:space="0" w:color="auto"/>
        <w:bottom w:val="none" w:sz="0" w:space="0" w:color="auto"/>
        <w:right w:val="none" w:sz="0" w:space="0" w:color="auto"/>
      </w:divBdr>
    </w:div>
    <w:div w:id="1199124557">
      <w:bodyDiv w:val="1"/>
      <w:marLeft w:val="0"/>
      <w:marRight w:val="0"/>
      <w:marTop w:val="0"/>
      <w:marBottom w:val="0"/>
      <w:divBdr>
        <w:top w:val="none" w:sz="0" w:space="0" w:color="auto"/>
        <w:left w:val="none" w:sz="0" w:space="0" w:color="auto"/>
        <w:bottom w:val="none" w:sz="0" w:space="0" w:color="auto"/>
        <w:right w:val="none" w:sz="0" w:space="0" w:color="auto"/>
      </w:divBdr>
    </w:div>
    <w:div w:id="1209341487">
      <w:bodyDiv w:val="1"/>
      <w:marLeft w:val="0"/>
      <w:marRight w:val="0"/>
      <w:marTop w:val="0"/>
      <w:marBottom w:val="0"/>
      <w:divBdr>
        <w:top w:val="none" w:sz="0" w:space="0" w:color="auto"/>
        <w:left w:val="none" w:sz="0" w:space="0" w:color="auto"/>
        <w:bottom w:val="none" w:sz="0" w:space="0" w:color="auto"/>
        <w:right w:val="none" w:sz="0" w:space="0" w:color="auto"/>
      </w:divBdr>
    </w:div>
    <w:div w:id="1215310569">
      <w:bodyDiv w:val="1"/>
      <w:marLeft w:val="0"/>
      <w:marRight w:val="0"/>
      <w:marTop w:val="0"/>
      <w:marBottom w:val="0"/>
      <w:divBdr>
        <w:top w:val="none" w:sz="0" w:space="0" w:color="auto"/>
        <w:left w:val="none" w:sz="0" w:space="0" w:color="auto"/>
        <w:bottom w:val="none" w:sz="0" w:space="0" w:color="auto"/>
        <w:right w:val="none" w:sz="0" w:space="0" w:color="auto"/>
      </w:divBdr>
    </w:div>
    <w:div w:id="1224945579">
      <w:bodyDiv w:val="1"/>
      <w:marLeft w:val="0"/>
      <w:marRight w:val="0"/>
      <w:marTop w:val="0"/>
      <w:marBottom w:val="0"/>
      <w:divBdr>
        <w:top w:val="none" w:sz="0" w:space="0" w:color="auto"/>
        <w:left w:val="none" w:sz="0" w:space="0" w:color="auto"/>
        <w:bottom w:val="none" w:sz="0" w:space="0" w:color="auto"/>
        <w:right w:val="none" w:sz="0" w:space="0" w:color="auto"/>
      </w:divBdr>
    </w:div>
    <w:div w:id="1250116840">
      <w:bodyDiv w:val="1"/>
      <w:marLeft w:val="0"/>
      <w:marRight w:val="0"/>
      <w:marTop w:val="0"/>
      <w:marBottom w:val="0"/>
      <w:divBdr>
        <w:top w:val="none" w:sz="0" w:space="0" w:color="auto"/>
        <w:left w:val="none" w:sz="0" w:space="0" w:color="auto"/>
        <w:bottom w:val="none" w:sz="0" w:space="0" w:color="auto"/>
        <w:right w:val="none" w:sz="0" w:space="0" w:color="auto"/>
      </w:divBdr>
    </w:div>
    <w:div w:id="1262101040">
      <w:bodyDiv w:val="1"/>
      <w:marLeft w:val="0"/>
      <w:marRight w:val="0"/>
      <w:marTop w:val="0"/>
      <w:marBottom w:val="0"/>
      <w:divBdr>
        <w:top w:val="none" w:sz="0" w:space="0" w:color="auto"/>
        <w:left w:val="none" w:sz="0" w:space="0" w:color="auto"/>
        <w:bottom w:val="none" w:sz="0" w:space="0" w:color="auto"/>
        <w:right w:val="none" w:sz="0" w:space="0" w:color="auto"/>
      </w:divBdr>
    </w:div>
    <w:div w:id="1267301601">
      <w:bodyDiv w:val="1"/>
      <w:marLeft w:val="0"/>
      <w:marRight w:val="0"/>
      <w:marTop w:val="0"/>
      <w:marBottom w:val="0"/>
      <w:divBdr>
        <w:top w:val="none" w:sz="0" w:space="0" w:color="auto"/>
        <w:left w:val="none" w:sz="0" w:space="0" w:color="auto"/>
        <w:bottom w:val="none" w:sz="0" w:space="0" w:color="auto"/>
        <w:right w:val="none" w:sz="0" w:space="0" w:color="auto"/>
      </w:divBdr>
    </w:div>
    <w:div w:id="1325477447">
      <w:bodyDiv w:val="1"/>
      <w:marLeft w:val="0"/>
      <w:marRight w:val="0"/>
      <w:marTop w:val="0"/>
      <w:marBottom w:val="0"/>
      <w:divBdr>
        <w:top w:val="none" w:sz="0" w:space="0" w:color="auto"/>
        <w:left w:val="none" w:sz="0" w:space="0" w:color="auto"/>
        <w:bottom w:val="none" w:sz="0" w:space="0" w:color="auto"/>
        <w:right w:val="none" w:sz="0" w:space="0" w:color="auto"/>
      </w:divBdr>
    </w:div>
    <w:div w:id="1330912341">
      <w:bodyDiv w:val="1"/>
      <w:marLeft w:val="0"/>
      <w:marRight w:val="0"/>
      <w:marTop w:val="0"/>
      <w:marBottom w:val="0"/>
      <w:divBdr>
        <w:top w:val="none" w:sz="0" w:space="0" w:color="auto"/>
        <w:left w:val="none" w:sz="0" w:space="0" w:color="auto"/>
        <w:bottom w:val="none" w:sz="0" w:space="0" w:color="auto"/>
        <w:right w:val="none" w:sz="0" w:space="0" w:color="auto"/>
      </w:divBdr>
    </w:div>
    <w:div w:id="1355615177">
      <w:bodyDiv w:val="1"/>
      <w:marLeft w:val="0"/>
      <w:marRight w:val="0"/>
      <w:marTop w:val="0"/>
      <w:marBottom w:val="0"/>
      <w:divBdr>
        <w:top w:val="none" w:sz="0" w:space="0" w:color="auto"/>
        <w:left w:val="none" w:sz="0" w:space="0" w:color="auto"/>
        <w:bottom w:val="none" w:sz="0" w:space="0" w:color="auto"/>
        <w:right w:val="none" w:sz="0" w:space="0" w:color="auto"/>
      </w:divBdr>
    </w:div>
    <w:div w:id="1361319343">
      <w:bodyDiv w:val="1"/>
      <w:marLeft w:val="0"/>
      <w:marRight w:val="0"/>
      <w:marTop w:val="0"/>
      <w:marBottom w:val="0"/>
      <w:divBdr>
        <w:top w:val="none" w:sz="0" w:space="0" w:color="auto"/>
        <w:left w:val="none" w:sz="0" w:space="0" w:color="auto"/>
        <w:bottom w:val="none" w:sz="0" w:space="0" w:color="auto"/>
        <w:right w:val="none" w:sz="0" w:space="0" w:color="auto"/>
      </w:divBdr>
    </w:div>
    <w:div w:id="1366712316">
      <w:bodyDiv w:val="1"/>
      <w:marLeft w:val="0"/>
      <w:marRight w:val="0"/>
      <w:marTop w:val="0"/>
      <w:marBottom w:val="0"/>
      <w:divBdr>
        <w:top w:val="none" w:sz="0" w:space="0" w:color="auto"/>
        <w:left w:val="none" w:sz="0" w:space="0" w:color="auto"/>
        <w:bottom w:val="none" w:sz="0" w:space="0" w:color="auto"/>
        <w:right w:val="none" w:sz="0" w:space="0" w:color="auto"/>
      </w:divBdr>
    </w:div>
    <w:div w:id="1383672744">
      <w:bodyDiv w:val="1"/>
      <w:marLeft w:val="0"/>
      <w:marRight w:val="0"/>
      <w:marTop w:val="0"/>
      <w:marBottom w:val="0"/>
      <w:divBdr>
        <w:top w:val="none" w:sz="0" w:space="0" w:color="auto"/>
        <w:left w:val="none" w:sz="0" w:space="0" w:color="auto"/>
        <w:bottom w:val="none" w:sz="0" w:space="0" w:color="auto"/>
        <w:right w:val="none" w:sz="0" w:space="0" w:color="auto"/>
      </w:divBdr>
    </w:div>
    <w:div w:id="1403026329">
      <w:bodyDiv w:val="1"/>
      <w:marLeft w:val="0"/>
      <w:marRight w:val="0"/>
      <w:marTop w:val="0"/>
      <w:marBottom w:val="0"/>
      <w:divBdr>
        <w:top w:val="none" w:sz="0" w:space="0" w:color="auto"/>
        <w:left w:val="none" w:sz="0" w:space="0" w:color="auto"/>
        <w:bottom w:val="none" w:sz="0" w:space="0" w:color="auto"/>
        <w:right w:val="none" w:sz="0" w:space="0" w:color="auto"/>
      </w:divBdr>
    </w:div>
    <w:div w:id="1438872608">
      <w:bodyDiv w:val="1"/>
      <w:marLeft w:val="0"/>
      <w:marRight w:val="0"/>
      <w:marTop w:val="0"/>
      <w:marBottom w:val="0"/>
      <w:divBdr>
        <w:top w:val="none" w:sz="0" w:space="0" w:color="auto"/>
        <w:left w:val="none" w:sz="0" w:space="0" w:color="auto"/>
        <w:bottom w:val="none" w:sz="0" w:space="0" w:color="auto"/>
        <w:right w:val="none" w:sz="0" w:space="0" w:color="auto"/>
      </w:divBdr>
    </w:div>
    <w:div w:id="1470250236">
      <w:bodyDiv w:val="1"/>
      <w:marLeft w:val="0"/>
      <w:marRight w:val="0"/>
      <w:marTop w:val="0"/>
      <w:marBottom w:val="0"/>
      <w:divBdr>
        <w:top w:val="none" w:sz="0" w:space="0" w:color="auto"/>
        <w:left w:val="none" w:sz="0" w:space="0" w:color="auto"/>
        <w:bottom w:val="none" w:sz="0" w:space="0" w:color="auto"/>
        <w:right w:val="none" w:sz="0" w:space="0" w:color="auto"/>
      </w:divBdr>
    </w:div>
    <w:div w:id="1538278792">
      <w:bodyDiv w:val="1"/>
      <w:marLeft w:val="0"/>
      <w:marRight w:val="0"/>
      <w:marTop w:val="0"/>
      <w:marBottom w:val="0"/>
      <w:divBdr>
        <w:top w:val="none" w:sz="0" w:space="0" w:color="auto"/>
        <w:left w:val="none" w:sz="0" w:space="0" w:color="auto"/>
        <w:bottom w:val="none" w:sz="0" w:space="0" w:color="auto"/>
        <w:right w:val="none" w:sz="0" w:space="0" w:color="auto"/>
      </w:divBdr>
    </w:div>
    <w:div w:id="1555383527">
      <w:bodyDiv w:val="1"/>
      <w:marLeft w:val="0"/>
      <w:marRight w:val="0"/>
      <w:marTop w:val="0"/>
      <w:marBottom w:val="0"/>
      <w:divBdr>
        <w:top w:val="none" w:sz="0" w:space="0" w:color="auto"/>
        <w:left w:val="none" w:sz="0" w:space="0" w:color="auto"/>
        <w:bottom w:val="none" w:sz="0" w:space="0" w:color="auto"/>
        <w:right w:val="none" w:sz="0" w:space="0" w:color="auto"/>
      </w:divBdr>
    </w:div>
    <w:div w:id="1556355522">
      <w:bodyDiv w:val="1"/>
      <w:marLeft w:val="0"/>
      <w:marRight w:val="0"/>
      <w:marTop w:val="0"/>
      <w:marBottom w:val="0"/>
      <w:divBdr>
        <w:top w:val="none" w:sz="0" w:space="0" w:color="auto"/>
        <w:left w:val="none" w:sz="0" w:space="0" w:color="auto"/>
        <w:bottom w:val="none" w:sz="0" w:space="0" w:color="auto"/>
        <w:right w:val="none" w:sz="0" w:space="0" w:color="auto"/>
      </w:divBdr>
    </w:div>
    <w:div w:id="1575814937">
      <w:bodyDiv w:val="1"/>
      <w:marLeft w:val="0"/>
      <w:marRight w:val="0"/>
      <w:marTop w:val="0"/>
      <w:marBottom w:val="0"/>
      <w:divBdr>
        <w:top w:val="none" w:sz="0" w:space="0" w:color="auto"/>
        <w:left w:val="none" w:sz="0" w:space="0" w:color="auto"/>
        <w:bottom w:val="none" w:sz="0" w:space="0" w:color="auto"/>
        <w:right w:val="none" w:sz="0" w:space="0" w:color="auto"/>
      </w:divBdr>
    </w:div>
    <w:div w:id="1583905543">
      <w:bodyDiv w:val="1"/>
      <w:marLeft w:val="0"/>
      <w:marRight w:val="0"/>
      <w:marTop w:val="0"/>
      <w:marBottom w:val="0"/>
      <w:divBdr>
        <w:top w:val="none" w:sz="0" w:space="0" w:color="auto"/>
        <w:left w:val="none" w:sz="0" w:space="0" w:color="auto"/>
        <w:bottom w:val="none" w:sz="0" w:space="0" w:color="auto"/>
        <w:right w:val="none" w:sz="0" w:space="0" w:color="auto"/>
      </w:divBdr>
    </w:div>
    <w:div w:id="1606231703">
      <w:bodyDiv w:val="1"/>
      <w:marLeft w:val="0"/>
      <w:marRight w:val="0"/>
      <w:marTop w:val="0"/>
      <w:marBottom w:val="0"/>
      <w:divBdr>
        <w:top w:val="none" w:sz="0" w:space="0" w:color="auto"/>
        <w:left w:val="none" w:sz="0" w:space="0" w:color="auto"/>
        <w:bottom w:val="none" w:sz="0" w:space="0" w:color="auto"/>
        <w:right w:val="none" w:sz="0" w:space="0" w:color="auto"/>
      </w:divBdr>
    </w:div>
    <w:div w:id="1628314857">
      <w:bodyDiv w:val="1"/>
      <w:marLeft w:val="0"/>
      <w:marRight w:val="0"/>
      <w:marTop w:val="0"/>
      <w:marBottom w:val="0"/>
      <w:divBdr>
        <w:top w:val="none" w:sz="0" w:space="0" w:color="auto"/>
        <w:left w:val="none" w:sz="0" w:space="0" w:color="auto"/>
        <w:bottom w:val="none" w:sz="0" w:space="0" w:color="auto"/>
        <w:right w:val="none" w:sz="0" w:space="0" w:color="auto"/>
      </w:divBdr>
    </w:div>
    <w:div w:id="1628463175">
      <w:bodyDiv w:val="1"/>
      <w:marLeft w:val="0"/>
      <w:marRight w:val="0"/>
      <w:marTop w:val="0"/>
      <w:marBottom w:val="0"/>
      <w:divBdr>
        <w:top w:val="none" w:sz="0" w:space="0" w:color="auto"/>
        <w:left w:val="none" w:sz="0" w:space="0" w:color="auto"/>
        <w:bottom w:val="none" w:sz="0" w:space="0" w:color="auto"/>
        <w:right w:val="none" w:sz="0" w:space="0" w:color="auto"/>
      </w:divBdr>
    </w:div>
    <w:div w:id="1628466638">
      <w:bodyDiv w:val="1"/>
      <w:marLeft w:val="0"/>
      <w:marRight w:val="0"/>
      <w:marTop w:val="0"/>
      <w:marBottom w:val="0"/>
      <w:divBdr>
        <w:top w:val="none" w:sz="0" w:space="0" w:color="auto"/>
        <w:left w:val="none" w:sz="0" w:space="0" w:color="auto"/>
        <w:bottom w:val="none" w:sz="0" w:space="0" w:color="auto"/>
        <w:right w:val="none" w:sz="0" w:space="0" w:color="auto"/>
      </w:divBdr>
    </w:div>
    <w:div w:id="1630627844">
      <w:bodyDiv w:val="1"/>
      <w:marLeft w:val="0"/>
      <w:marRight w:val="0"/>
      <w:marTop w:val="0"/>
      <w:marBottom w:val="0"/>
      <w:divBdr>
        <w:top w:val="none" w:sz="0" w:space="0" w:color="auto"/>
        <w:left w:val="none" w:sz="0" w:space="0" w:color="auto"/>
        <w:bottom w:val="none" w:sz="0" w:space="0" w:color="auto"/>
        <w:right w:val="none" w:sz="0" w:space="0" w:color="auto"/>
      </w:divBdr>
    </w:div>
    <w:div w:id="1638758745">
      <w:bodyDiv w:val="1"/>
      <w:marLeft w:val="0"/>
      <w:marRight w:val="0"/>
      <w:marTop w:val="0"/>
      <w:marBottom w:val="0"/>
      <w:divBdr>
        <w:top w:val="none" w:sz="0" w:space="0" w:color="auto"/>
        <w:left w:val="none" w:sz="0" w:space="0" w:color="auto"/>
        <w:bottom w:val="none" w:sz="0" w:space="0" w:color="auto"/>
        <w:right w:val="none" w:sz="0" w:space="0" w:color="auto"/>
      </w:divBdr>
    </w:div>
    <w:div w:id="1640455539">
      <w:bodyDiv w:val="1"/>
      <w:marLeft w:val="0"/>
      <w:marRight w:val="0"/>
      <w:marTop w:val="0"/>
      <w:marBottom w:val="0"/>
      <w:divBdr>
        <w:top w:val="none" w:sz="0" w:space="0" w:color="auto"/>
        <w:left w:val="none" w:sz="0" w:space="0" w:color="auto"/>
        <w:bottom w:val="none" w:sz="0" w:space="0" w:color="auto"/>
        <w:right w:val="none" w:sz="0" w:space="0" w:color="auto"/>
      </w:divBdr>
    </w:div>
    <w:div w:id="1642538425">
      <w:bodyDiv w:val="1"/>
      <w:marLeft w:val="0"/>
      <w:marRight w:val="0"/>
      <w:marTop w:val="0"/>
      <w:marBottom w:val="0"/>
      <w:divBdr>
        <w:top w:val="none" w:sz="0" w:space="0" w:color="auto"/>
        <w:left w:val="none" w:sz="0" w:space="0" w:color="auto"/>
        <w:bottom w:val="none" w:sz="0" w:space="0" w:color="auto"/>
        <w:right w:val="none" w:sz="0" w:space="0" w:color="auto"/>
      </w:divBdr>
    </w:div>
    <w:div w:id="1659723605">
      <w:bodyDiv w:val="1"/>
      <w:marLeft w:val="0"/>
      <w:marRight w:val="0"/>
      <w:marTop w:val="0"/>
      <w:marBottom w:val="0"/>
      <w:divBdr>
        <w:top w:val="none" w:sz="0" w:space="0" w:color="auto"/>
        <w:left w:val="none" w:sz="0" w:space="0" w:color="auto"/>
        <w:bottom w:val="none" w:sz="0" w:space="0" w:color="auto"/>
        <w:right w:val="none" w:sz="0" w:space="0" w:color="auto"/>
      </w:divBdr>
    </w:div>
    <w:div w:id="1694114519">
      <w:bodyDiv w:val="1"/>
      <w:marLeft w:val="0"/>
      <w:marRight w:val="0"/>
      <w:marTop w:val="0"/>
      <w:marBottom w:val="0"/>
      <w:divBdr>
        <w:top w:val="none" w:sz="0" w:space="0" w:color="auto"/>
        <w:left w:val="none" w:sz="0" w:space="0" w:color="auto"/>
        <w:bottom w:val="none" w:sz="0" w:space="0" w:color="auto"/>
        <w:right w:val="none" w:sz="0" w:space="0" w:color="auto"/>
      </w:divBdr>
    </w:div>
    <w:div w:id="1696732958">
      <w:bodyDiv w:val="1"/>
      <w:marLeft w:val="0"/>
      <w:marRight w:val="0"/>
      <w:marTop w:val="0"/>
      <w:marBottom w:val="0"/>
      <w:divBdr>
        <w:top w:val="none" w:sz="0" w:space="0" w:color="auto"/>
        <w:left w:val="none" w:sz="0" w:space="0" w:color="auto"/>
        <w:bottom w:val="none" w:sz="0" w:space="0" w:color="auto"/>
        <w:right w:val="none" w:sz="0" w:space="0" w:color="auto"/>
      </w:divBdr>
    </w:div>
    <w:div w:id="1697080199">
      <w:bodyDiv w:val="1"/>
      <w:marLeft w:val="0"/>
      <w:marRight w:val="0"/>
      <w:marTop w:val="0"/>
      <w:marBottom w:val="0"/>
      <w:divBdr>
        <w:top w:val="none" w:sz="0" w:space="0" w:color="auto"/>
        <w:left w:val="none" w:sz="0" w:space="0" w:color="auto"/>
        <w:bottom w:val="none" w:sz="0" w:space="0" w:color="auto"/>
        <w:right w:val="none" w:sz="0" w:space="0" w:color="auto"/>
      </w:divBdr>
    </w:div>
    <w:div w:id="1707098641">
      <w:bodyDiv w:val="1"/>
      <w:marLeft w:val="0"/>
      <w:marRight w:val="0"/>
      <w:marTop w:val="0"/>
      <w:marBottom w:val="0"/>
      <w:divBdr>
        <w:top w:val="none" w:sz="0" w:space="0" w:color="auto"/>
        <w:left w:val="none" w:sz="0" w:space="0" w:color="auto"/>
        <w:bottom w:val="none" w:sz="0" w:space="0" w:color="auto"/>
        <w:right w:val="none" w:sz="0" w:space="0" w:color="auto"/>
      </w:divBdr>
    </w:div>
    <w:div w:id="1718506153">
      <w:bodyDiv w:val="1"/>
      <w:marLeft w:val="0"/>
      <w:marRight w:val="0"/>
      <w:marTop w:val="0"/>
      <w:marBottom w:val="0"/>
      <w:divBdr>
        <w:top w:val="none" w:sz="0" w:space="0" w:color="auto"/>
        <w:left w:val="none" w:sz="0" w:space="0" w:color="auto"/>
        <w:bottom w:val="none" w:sz="0" w:space="0" w:color="auto"/>
        <w:right w:val="none" w:sz="0" w:space="0" w:color="auto"/>
      </w:divBdr>
    </w:div>
    <w:div w:id="1748189927">
      <w:bodyDiv w:val="1"/>
      <w:marLeft w:val="0"/>
      <w:marRight w:val="0"/>
      <w:marTop w:val="0"/>
      <w:marBottom w:val="0"/>
      <w:divBdr>
        <w:top w:val="none" w:sz="0" w:space="0" w:color="auto"/>
        <w:left w:val="none" w:sz="0" w:space="0" w:color="auto"/>
        <w:bottom w:val="none" w:sz="0" w:space="0" w:color="auto"/>
        <w:right w:val="none" w:sz="0" w:space="0" w:color="auto"/>
      </w:divBdr>
    </w:div>
    <w:div w:id="1755741152">
      <w:bodyDiv w:val="1"/>
      <w:marLeft w:val="0"/>
      <w:marRight w:val="0"/>
      <w:marTop w:val="0"/>
      <w:marBottom w:val="0"/>
      <w:divBdr>
        <w:top w:val="none" w:sz="0" w:space="0" w:color="auto"/>
        <w:left w:val="none" w:sz="0" w:space="0" w:color="auto"/>
        <w:bottom w:val="none" w:sz="0" w:space="0" w:color="auto"/>
        <w:right w:val="none" w:sz="0" w:space="0" w:color="auto"/>
      </w:divBdr>
    </w:div>
    <w:div w:id="1756707754">
      <w:bodyDiv w:val="1"/>
      <w:marLeft w:val="0"/>
      <w:marRight w:val="0"/>
      <w:marTop w:val="0"/>
      <w:marBottom w:val="0"/>
      <w:divBdr>
        <w:top w:val="none" w:sz="0" w:space="0" w:color="auto"/>
        <w:left w:val="none" w:sz="0" w:space="0" w:color="auto"/>
        <w:bottom w:val="none" w:sz="0" w:space="0" w:color="auto"/>
        <w:right w:val="none" w:sz="0" w:space="0" w:color="auto"/>
      </w:divBdr>
    </w:div>
    <w:div w:id="1778788791">
      <w:bodyDiv w:val="1"/>
      <w:marLeft w:val="0"/>
      <w:marRight w:val="0"/>
      <w:marTop w:val="0"/>
      <w:marBottom w:val="0"/>
      <w:divBdr>
        <w:top w:val="none" w:sz="0" w:space="0" w:color="auto"/>
        <w:left w:val="none" w:sz="0" w:space="0" w:color="auto"/>
        <w:bottom w:val="none" w:sz="0" w:space="0" w:color="auto"/>
        <w:right w:val="none" w:sz="0" w:space="0" w:color="auto"/>
      </w:divBdr>
    </w:div>
    <w:div w:id="1791971708">
      <w:bodyDiv w:val="1"/>
      <w:marLeft w:val="0"/>
      <w:marRight w:val="0"/>
      <w:marTop w:val="0"/>
      <w:marBottom w:val="0"/>
      <w:divBdr>
        <w:top w:val="none" w:sz="0" w:space="0" w:color="auto"/>
        <w:left w:val="none" w:sz="0" w:space="0" w:color="auto"/>
        <w:bottom w:val="none" w:sz="0" w:space="0" w:color="auto"/>
        <w:right w:val="none" w:sz="0" w:space="0" w:color="auto"/>
      </w:divBdr>
    </w:div>
    <w:div w:id="1803763257">
      <w:bodyDiv w:val="1"/>
      <w:marLeft w:val="0"/>
      <w:marRight w:val="0"/>
      <w:marTop w:val="0"/>
      <w:marBottom w:val="0"/>
      <w:divBdr>
        <w:top w:val="none" w:sz="0" w:space="0" w:color="auto"/>
        <w:left w:val="none" w:sz="0" w:space="0" w:color="auto"/>
        <w:bottom w:val="none" w:sz="0" w:space="0" w:color="auto"/>
        <w:right w:val="none" w:sz="0" w:space="0" w:color="auto"/>
      </w:divBdr>
    </w:div>
    <w:div w:id="1834487310">
      <w:bodyDiv w:val="1"/>
      <w:marLeft w:val="0"/>
      <w:marRight w:val="0"/>
      <w:marTop w:val="0"/>
      <w:marBottom w:val="0"/>
      <w:divBdr>
        <w:top w:val="none" w:sz="0" w:space="0" w:color="auto"/>
        <w:left w:val="none" w:sz="0" w:space="0" w:color="auto"/>
        <w:bottom w:val="none" w:sz="0" w:space="0" w:color="auto"/>
        <w:right w:val="none" w:sz="0" w:space="0" w:color="auto"/>
      </w:divBdr>
    </w:div>
    <w:div w:id="1858616841">
      <w:bodyDiv w:val="1"/>
      <w:marLeft w:val="0"/>
      <w:marRight w:val="0"/>
      <w:marTop w:val="0"/>
      <w:marBottom w:val="0"/>
      <w:divBdr>
        <w:top w:val="none" w:sz="0" w:space="0" w:color="auto"/>
        <w:left w:val="none" w:sz="0" w:space="0" w:color="auto"/>
        <w:bottom w:val="none" w:sz="0" w:space="0" w:color="auto"/>
        <w:right w:val="none" w:sz="0" w:space="0" w:color="auto"/>
      </w:divBdr>
    </w:div>
    <w:div w:id="1873615309">
      <w:bodyDiv w:val="1"/>
      <w:marLeft w:val="0"/>
      <w:marRight w:val="0"/>
      <w:marTop w:val="0"/>
      <w:marBottom w:val="0"/>
      <w:divBdr>
        <w:top w:val="none" w:sz="0" w:space="0" w:color="auto"/>
        <w:left w:val="none" w:sz="0" w:space="0" w:color="auto"/>
        <w:bottom w:val="none" w:sz="0" w:space="0" w:color="auto"/>
        <w:right w:val="none" w:sz="0" w:space="0" w:color="auto"/>
      </w:divBdr>
    </w:div>
    <w:div w:id="1896352920">
      <w:bodyDiv w:val="1"/>
      <w:marLeft w:val="0"/>
      <w:marRight w:val="0"/>
      <w:marTop w:val="0"/>
      <w:marBottom w:val="0"/>
      <w:divBdr>
        <w:top w:val="none" w:sz="0" w:space="0" w:color="auto"/>
        <w:left w:val="none" w:sz="0" w:space="0" w:color="auto"/>
        <w:bottom w:val="none" w:sz="0" w:space="0" w:color="auto"/>
        <w:right w:val="none" w:sz="0" w:space="0" w:color="auto"/>
      </w:divBdr>
    </w:div>
    <w:div w:id="1902210420">
      <w:bodyDiv w:val="1"/>
      <w:marLeft w:val="0"/>
      <w:marRight w:val="0"/>
      <w:marTop w:val="0"/>
      <w:marBottom w:val="0"/>
      <w:divBdr>
        <w:top w:val="none" w:sz="0" w:space="0" w:color="auto"/>
        <w:left w:val="none" w:sz="0" w:space="0" w:color="auto"/>
        <w:bottom w:val="none" w:sz="0" w:space="0" w:color="auto"/>
        <w:right w:val="none" w:sz="0" w:space="0" w:color="auto"/>
      </w:divBdr>
    </w:div>
    <w:div w:id="1979339383">
      <w:bodyDiv w:val="1"/>
      <w:marLeft w:val="0"/>
      <w:marRight w:val="0"/>
      <w:marTop w:val="0"/>
      <w:marBottom w:val="0"/>
      <w:divBdr>
        <w:top w:val="none" w:sz="0" w:space="0" w:color="auto"/>
        <w:left w:val="none" w:sz="0" w:space="0" w:color="auto"/>
        <w:bottom w:val="none" w:sz="0" w:space="0" w:color="auto"/>
        <w:right w:val="none" w:sz="0" w:space="0" w:color="auto"/>
      </w:divBdr>
    </w:div>
    <w:div w:id="1984777052">
      <w:bodyDiv w:val="1"/>
      <w:marLeft w:val="0"/>
      <w:marRight w:val="0"/>
      <w:marTop w:val="0"/>
      <w:marBottom w:val="0"/>
      <w:divBdr>
        <w:top w:val="none" w:sz="0" w:space="0" w:color="auto"/>
        <w:left w:val="none" w:sz="0" w:space="0" w:color="auto"/>
        <w:bottom w:val="none" w:sz="0" w:space="0" w:color="auto"/>
        <w:right w:val="none" w:sz="0" w:space="0" w:color="auto"/>
      </w:divBdr>
    </w:div>
    <w:div w:id="1997223351">
      <w:bodyDiv w:val="1"/>
      <w:marLeft w:val="0"/>
      <w:marRight w:val="0"/>
      <w:marTop w:val="0"/>
      <w:marBottom w:val="0"/>
      <w:divBdr>
        <w:top w:val="none" w:sz="0" w:space="0" w:color="auto"/>
        <w:left w:val="none" w:sz="0" w:space="0" w:color="auto"/>
        <w:bottom w:val="none" w:sz="0" w:space="0" w:color="auto"/>
        <w:right w:val="none" w:sz="0" w:space="0" w:color="auto"/>
      </w:divBdr>
    </w:div>
    <w:div w:id="2011373791">
      <w:bodyDiv w:val="1"/>
      <w:marLeft w:val="0"/>
      <w:marRight w:val="0"/>
      <w:marTop w:val="0"/>
      <w:marBottom w:val="0"/>
      <w:divBdr>
        <w:top w:val="none" w:sz="0" w:space="0" w:color="auto"/>
        <w:left w:val="none" w:sz="0" w:space="0" w:color="auto"/>
        <w:bottom w:val="none" w:sz="0" w:space="0" w:color="auto"/>
        <w:right w:val="none" w:sz="0" w:space="0" w:color="auto"/>
      </w:divBdr>
    </w:div>
    <w:div w:id="2014917351">
      <w:bodyDiv w:val="1"/>
      <w:marLeft w:val="0"/>
      <w:marRight w:val="0"/>
      <w:marTop w:val="0"/>
      <w:marBottom w:val="0"/>
      <w:divBdr>
        <w:top w:val="none" w:sz="0" w:space="0" w:color="auto"/>
        <w:left w:val="none" w:sz="0" w:space="0" w:color="auto"/>
        <w:bottom w:val="none" w:sz="0" w:space="0" w:color="auto"/>
        <w:right w:val="none" w:sz="0" w:space="0" w:color="auto"/>
      </w:divBdr>
    </w:div>
    <w:div w:id="2020156062">
      <w:bodyDiv w:val="1"/>
      <w:marLeft w:val="0"/>
      <w:marRight w:val="0"/>
      <w:marTop w:val="0"/>
      <w:marBottom w:val="0"/>
      <w:divBdr>
        <w:top w:val="none" w:sz="0" w:space="0" w:color="auto"/>
        <w:left w:val="none" w:sz="0" w:space="0" w:color="auto"/>
        <w:bottom w:val="none" w:sz="0" w:space="0" w:color="auto"/>
        <w:right w:val="none" w:sz="0" w:space="0" w:color="auto"/>
      </w:divBdr>
    </w:div>
    <w:div w:id="2037001667">
      <w:bodyDiv w:val="1"/>
      <w:marLeft w:val="0"/>
      <w:marRight w:val="0"/>
      <w:marTop w:val="0"/>
      <w:marBottom w:val="0"/>
      <w:divBdr>
        <w:top w:val="none" w:sz="0" w:space="0" w:color="auto"/>
        <w:left w:val="none" w:sz="0" w:space="0" w:color="auto"/>
        <w:bottom w:val="none" w:sz="0" w:space="0" w:color="auto"/>
        <w:right w:val="none" w:sz="0" w:space="0" w:color="auto"/>
      </w:divBdr>
    </w:div>
    <w:div w:id="2069037784">
      <w:bodyDiv w:val="1"/>
      <w:marLeft w:val="0"/>
      <w:marRight w:val="0"/>
      <w:marTop w:val="0"/>
      <w:marBottom w:val="0"/>
      <w:divBdr>
        <w:top w:val="none" w:sz="0" w:space="0" w:color="auto"/>
        <w:left w:val="none" w:sz="0" w:space="0" w:color="auto"/>
        <w:bottom w:val="none" w:sz="0" w:space="0" w:color="auto"/>
        <w:right w:val="none" w:sz="0" w:space="0" w:color="auto"/>
      </w:divBdr>
    </w:div>
    <w:div w:id="21046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NICE-International/About-NICE-Internat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K\AppData\Local\Temp\Temp1_JADD%20Manuscript.zip\Blind%20for%20Review%20Main%20Doc%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A449-6788-4E1C-8EE8-6F673EDF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Blind for Review Main Doc V2</Template>
  <TotalTime>1</TotalTime>
  <Pages>18</Pages>
  <Words>4046</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University of Edinburgh</Company>
  <LinksUpToDate>false</LinksUpToDate>
  <CharactersWithSpaces>27055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KMcK</dc:creator>
  <cp:lastModifiedBy>Karen McKenzie</cp:lastModifiedBy>
  <cp:revision>3</cp:revision>
  <cp:lastPrinted>2015-02-02T11:41:00Z</cp:lastPrinted>
  <dcterms:created xsi:type="dcterms:W3CDTF">2016-03-12T15:32:00Z</dcterms:created>
  <dcterms:modified xsi:type="dcterms:W3CDTF">2016-03-12T15:32:00Z</dcterms:modified>
</cp:coreProperties>
</file>