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3CB5" w:rsidRPr="0032360C" w:rsidRDefault="00456CEF" w:rsidP="00586CC7">
      <w:pPr>
        <w:rPr>
          <w:rFonts w:ascii="Arial" w:hAnsi="Arial" w:cs="Arial"/>
          <w:sz w:val="24"/>
          <w:szCs w:val="24"/>
        </w:rPr>
      </w:pPr>
      <w:bookmarkStart w:id="0" w:name="_GoBack"/>
      <w:bookmarkEnd w:id="0"/>
      <w:r>
        <w:rPr>
          <w:rFonts w:ascii="Arial" w:hAnsi="Arial" w:cs="Arial"/>
          <w:sz w:val="24"/>
          <w:szCs w:val="24"/>
        </w:rPr>
        <w:t xml:space="preserve">Review of Palaeobotany and Palynology Research </w:t>
      </w:r>
      <w:r w:rsidR="00513CB5" w:rsidRPr="0032360C">
        <w:rPr>
          <w:rFonts w:ascii="Arial" w:hAnsi="Arial" w:cs="Arial"/>
          <w:sz w:val="24"/>
          <w:szCs w:val="24"/>
        </w:rPr>
        <w:t>Article</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 xml:space="preserve">Differentiation of neotropical ecosystems by modern soil phytolith assemblages and its implications for palaeoenvironmental and archaeological reconstructions II: </w:t>
      </w:r>
      <w:r w:rsidR="007A7A90" w:rsidRPr="0032360C">
        <w:rPr>
          <w:rFonts w:ascii="Arial" w:hAnsi="Arial" w:cs="Arial"/>
          <w:b/>
          <w:sz w:val="24"/>
          <w:szCs w:val="24"/>
        </w:rPr>
        <w:t>southwest</w:t>
      </w:r>
      <w:r w:rsidR="00721E77" w:rsidRPr="0032360C">
        <w:rPr>
          <w:rFonts w:ascii="Arial" w:hAnsi="Arial" w:cs="Arial"/>
          <w:b/>
          <w:sz w:val="24"/>
          <w:szCs w:val="24"/>
        </w:rPr>
        <w:t>ern</w:t>
      </w:r>
      <w:r w:rsidR="007A7A90" w:rsidRPr="0032360C">
        <w:rPr>
          <w:rFonts w:ascii="Arial" w:hAnsi="Arial" w:cs="Arial"/>
          <w:b/>
          <w:sz w:val="24"/>
          <w:szCs w:val="24"/>
        </w:rPr>
        <w:t xml:space="preserve"> Amazonian forests</w:t>
      </w:r>
    </w:p>
    <w:p w:rsidR="00513CB5" w:rsidRDefault="00513CB5" w:rsidP="00513CB5">
      <w:pPr>
        <w:spacing w:after="0" w:line="480" w:lineRule="auto"/>
        <w:rPr>
          <w:rFonts w:ascii="Arial" w:hAnsi="Arial" w:cs="Arial"/>
          <w:sz w:val="24"/>
          <w:szCs w:val="24"/>
          <w:vertAlign w:val="superscript"/>
        </w:rPr>
      </w:pPr>
      <w:r w:rsidRPr="0032360C">
        <w:rPr>
          <w:rFonts w:ascii="Arial" w:hAnsi="Arial" w:cs="Arial"/>
          <w:sz w:val="24"/>
          <w:szCs w:val="24"/>
        </w:rPr>
        <w:t>J. Watling</w:t>
      </w:r>
      <w:r w:rsidRPr="0032360C">
        <w:rPr>
          <w:rFonts w:ascii="Arial" w:hAnsi="Arial" w:cs="Arial"/>
          <w:sz w:val="24"/>
          <w:szCs w:val="24"/>
          <w:vertAlign w:val="superscript"/>
        </w:rPr>
        <w:t>1</w:t>
      </w:r>
      <w:r w:rsidR="005E2C16">
        <w:rPr>
          <w:rFonts w:ascii="Arial" w:hAnsi="Arial" w:cs="Arial"/>
          <w:sz w:val="24"/>
          <w:szCs w:val="24"/>
          <w:vertAlign w:val="superscript"/>
        </w:rPr>
        <w:t>,2</w:t>
      </w:r>
      <w:r w:rsidRPr="0032360C">
        <w:rPr>
          <w:rFonts w:ascii="Arial" w:hAnsi="Arial" w:cs="Arial"/>
          <w:sz w:val="24"/>
          <w:szCs w:val="24"/>
        </w:rPr>
        <w:t>, J. Iriarte</w:t>
      </w:r>
      <w:r w:rsidR="005E2C16">
        <w:rPr>
          <w:rFonts w:ascii="Arial" w:hAnsi="Arial" w:cs="Arial"/>
          <w:sz w:val="24"/>
          <w:szCs w:val="24"/>
          <w:vertAlign w:val="superscript"/>
        </w:rPr>
        <w:t>2</w:t>
      </w:r>
      <w:r w:rsidRPr="0032360C">
        <w:rPr>
          <w:rFonts w:ascii="Arial" w:hAnsi="Arial" w:cs="Arial"/>
          <w:sz w:val="24"/>
          <w:szCs w:val="24"/>
        </w:rPr>
        <w:t>, B. S. Whitney</w:t>
      </w:r>
      <w:r w:rsidR="005E2C16">
        <w:rPr>
          <w:rFonts w:ascii="Arial" w:hAnsi="Arial" w:cs="Arial"/>
          <w:sz w:val="24"/>
          <w:szCs w:val="24"/>
          <w:vertAlign w:val="superscript"/>
        </w:rPr>
        <w:t>3</w:t>
      </w:r>
      <w:r w:rsidRPr="0032360C">
        <w:rPr>
          <w:rFonts w:ascii="Arial" w:hAnsi="Arial" w:cs="Arial"/>
          <w:sz w:val="24"/>
          <w:szCs w:val="24"/>
        </w:rPr>
        <w:t>, E. Consuelo, F. Mayle</w:t>
      </w:r>
      <w:r w:rsidR="005E2C16">
        <w:rPr>
          <w:rFonts w:ascii="Arial" w:hAnsi="Arial" w:cs="Arial"/>
          <w:sz w:val="24"/>
          <w:szCs w:val="24"/>
          <w:vertAlign w:val="superscript"/>
        </w:rPr>
        <w:t>4</w:t>
      </w:r>
      <w:r w:rsidRPr="0032360C">
        <w:rPr>
          <w:rFonts w:ascii="Arial" w:hAnsi="Arial" w:cs="Arial"/>
          <w:sz w:val="24"/>
          <w:szCs w:val="24"/>
        </w:rPr>
        <w:t>, W. Castro</w:t>
      </w:r>
      <w:r w:rsidR="005E2C16">
        <w:rPr>
          <w:rFonts w:ascii="Arial" w:hAnsi="Arial" w:cs="Arial"/>
          <w:sz w:val="24"/>
          <w:szCs w:val="24"/>
          <w:vertAlign w:val="superscript"/>
        </w:rPr>
        <w:t>5</w:t>
      </w:r>
      <w:r w:rsidRPr="0032360C">
        <w:rPr>
          <w:rFonts w:ascii="Arial" w:hAnsi="Arial" w:cs="Arial"/>
          <w:sz w:val="24"/>
          <w:szCs w:val="24"/>
        </w:rPr>
        <w:t>, D. Schaan</w:t>
      </w:r>
      <w:r w:rsidR="005E2C16">
        <w:rPr>
          <w:rFonts w:ascii="Arial" w:hAnsi="Arial" w:cs="Arial"/>
          <w:sz w:val="24"/>
          <w:szCs w:val="24"/>
          <w:vertAlign w:val="superscript"/>
        </w:rPr>
        <w:t>6</w:t>
      </w:r>
      <w:r w:rsidR="0032360C">
        <w:rPr>
          <w:rFonts w:ascii="Arial" w:hAnsi="Arial" w:cs="Arial"/>
          <w:sz w:val="24"/>
          <w:szCs w:val="24"/>
          <w:vertAlign w:val="superscript"/>
        </w:rPr>
        <w:t xml:space="preserve">, </w:t>
      </w:r>
      <w:r w:rsidRPr="0032360C">
        <w:rPr>
          <w:rFonts w:ascii="Arial" w:hAnsi="Arial" w:cs="Arial"/>
          <w:sz w:val="24"/>
          <w:szCs w:val="24"/>
        </w:rPr>
        <w:t>Ted R. Feldpausch</w:t>
      </w:r>
      <w:r w:rsidR="005E2C16">
        <w:rPr>
          <w:rFonts w:ascii="Arial" w:hAnsi="Arial" w:cs="Arial"/>
          <w:sz w:val="24"/>
          <w:szCs w:val="24"/>
          <w:vertAlign w:val="superscript"/>
        </w:rPr>
        <w:t>7</w:t>
      </w:r>
    </w:p>
    <w:p w:rsidR="005E2C16" w:rsidRPr="0032360C" w:rsidRDefault="005E2C16" w:rsidP="00513CB5">
      <w:pPr>
        <w:spacing w:after="0" w:line="480" w:lineRule="auto"/>
        <w:rPr>
          <w:rFonts w:ascii="Arial" w:hAnsi="Arial" w:cs="Arial"/>
          <w:sz w:val="24"/>
          <w:szCs w:val="24"/>
          <w:vertAlign w:val="superscript"/>
        </w:rPr>
      </w:pPr>
    </w:p>
    <w:p w:rsidR="00513CB5" w:rsidRPr="005E2C16" w:rsidRDefault="005E2C16" w:rsidP="00513CB5">
      <w:pPr>
        <w:spacing w:after="0" w:line="480" w:lineRule="auto"/>
        <w:rPr>
          <w:rFonts w:ascii="Arial" w:hAnsi="Arial" w:cs="Arial"/>
          <w:sz w:val="24"/>
          <w:szCs w:val="24"/>
          <w:lang w:val="pt-BR"/>
        </w:rPr>
      </w:pPr>
      <w:r w:rsidRPr="005E2C16">
        <w:rPr>
          <w:rFonts w:ascii="Arial" w:hAnsi="Arial" w:cs="Arial"/>
          <w:sz w:val="24"/>
          <w:szCs w:val="24"/>
          <w:vertAlign w:val="superscript"/>
          <w:lang w:val="pt-BR"/>
        </w:rPr>
        <w:t xml:space="preserve">1 </w:t>
      </w:r>
      <w:r w:rsidRPr="005E2C16">
        <w:rPr>
          <w:rFonts w:ascii="Arial" w:hAnsi="Arial" w:cs="Arial"/>
          <w:sz w:val="24"/>
          <w:szCs w:val="24"/>
          <w:lang w:val="pt-BR"/>
        </w:rPr>
        <w:t>Museu de Arqueologia e Etnologia, University of S</w:t>
      </w:r>
      <w:r>
        <w:rPr>
          <w:rFonts w:ascii="Arial" w:hAnsi="Arial" w:cs="Arial"/>
          <w:sz w:val="24"/>
          <w:szCs w:val="24"/>
          <w:lang w:val="pt-BR"/>
        </w:rPr>
        <w:t>ão Paulo, São Paulo, 05508-070, Brazil</w:t>
      </w:r>
    </w:p>
    <w:p w:rsidR="005E2C16" w:rsidRPr="005E2C16" w:rsidRDefault="005E2C16" w:rsidP="00513CB5">
      <w:pPr>
        <w:spacing w:after="0" w:line="480" w:lineRule="auto"/>
        <w:rPr>
          <w:rFonts w:ascii="Arial" w:hAnsi="Arial" w:cs="Arial"/>
          <w:sz w:val="24"/>
          <w:szCs w:val="24"/>
          <w:lang w:val="pt-BR"/>
        </w:rPr>
      </w:pPr>
    </w:p>
    <w:p w:rsidR="00513CB5" w:rsidRPr="0032360C" w:rsidRDefault="005E2C16" w:rsidP="00513CB5">
      <w:pPr>
        <w:spacing w:after="0" w:line="480" w:lineRule="auto"/>
        <w:rPr>
          <w:rFonts w:ascii="Arial" w:hAnsi="Arial" w:cs="Arial"/>
          <w:sz w:val="24"/>
          <w:szCs w:val="24"/>
        </w:rPr>
      </w:pPr>
      <w:r>
        <w:rPr>
          <w:rFonts w:ascii="Arial" w:hAnsi="Arial" w:cs="Arial"/>
          <w:sz w:val="24"/>
          <w:szCs w:val="24"/>
          <w:vertAlign w:val="superscript"/>
        </w:rPr>
        <w:t>2</w:t>
      </w:r>
      <w:r w:rsidR="00513CB5" w:rsidRPr="0032360C">
        <w:rPr>
          <w:rFonts w:ascii="Arial" w:hAnsi="Arial" w:cs="Arial"/>
          <w:sz w:val="24"/>
          <w:szCs w:val="24"/>
        </w:rPr>
        <w:t xml:space="preserve"> Dept. of Archaeology, </w:t>
      </w:r>
      <w:r w:rsidR="00261E32">
        <w:rPr>
          <w:rFonts w:ascii="Arial" w:hAnsi="Arial" w:cs="Arial"/>
          <w:sz w:val="24"/>
          <w:szCs w:val="24"/>
        </w:rPr>
        <w:t xml:space="preserve">College of Humanities, </w:t>
      </w:r>
      <w:r w:rsidR="00513CB5" w:rsidRPr="0032360C">
        <w:rPr>
          <w:rFonts w:ascii="Arial" w:hAnsi="Arial" w:cs="Arial"/>
          <w:sz w:val="24"/>
          <w:szCs w:val="24"/>
        </w:rPr>
        <w:t>University of Exeter, Exeter, Devon, EX4 4QE, UK</w:t>
      </w:r>
    </w:p>
    <w:p w:rsidR="00513CB5" w:rsidRPr="0032360C" w:rsidRDefault="00513CB5" w:rsidP="00513CB5">
      <w:pPr>
        <w:spacing w:after="0" w:line="480" w:lineRule="auto"/>
        <w:rPr>
          <w:rFonts w:ascii="Arial" w:hAnsi="Arial" w:cs="Arial"/>
          <w:sz w:val="24"/>
          <w:szCs w:val="24"/>
        </w:rPr>
      </w:pPr>
    </w:p>
    <w:p w:rsidR="00513CB5" w:rsidRPr="0032360C" w:rsidRDefault="005E2C16" w:rsidP="00513CB5">
      <w:pPr>
        <w:spacing w:after="0" w:line="480" w:lineRule="auto"/>
        <w:rPr>
          <w:rFonts w:ascii="Arial" w:hAnsi="Arial" w:cs="Arial"/>
          <w:sz w:val="24"/>
          <w:szCs w:val="24"/>
        </w:rPr>
      </w:pPr>
      <w:r>
        <w:rPr>
          <w:rFonts w:ascii="Arial" w:hAnsi="Arial" w:cs="Arial"/>
          <w:sz w:val="24"/>
          <w:szCs w:val="24"/>
          <w:vertAlign w:val="superscript"/>
        </w:rPr>
        <w:t>3</w:t>
      </w:r>
      <w:r w:rsidR="00513CB5" w:rsidRPr="0032360C">
        <w:rPr>
          <w:rFonts w:ascii="Arial" w:hAnsi="Arial" w:cs="Arial"/>
          <w:sz w:val="24"/>
          <w:szCs w:val="24"/>
        </w:rPr>
        <w:t xml:space="preserve"> Dept. of Geography, </w:t>
      </w:r>
      <w:r w:rsidR="00861262">
        <w:rPr>
          <w:rFonts w:ascii="Arial" w:hAnsi="Arial" w:cs="Arial"/>
          <w:sz w:val="24"/>
          <w:szCs w:val="24"/>
        </w:rPr>
        <w:t>Northumbria Univer</w:t>
      </w:r>
      <w:r>
        <w:rPr>
          <w:rFonts w:ascii="Arial" w:hAnsi="Arial" w:cs="Arial"/>
          <w:sz w:val="24"/>
          <w:szCs w:val="24"/>
        </w:rPr>
        <w:t>s</w:t>
      </w:r>
      <w:r w:rsidR="00861262">
        <w:rPr>
          <w:rFonts w:ascii="Arial" w:hAnsi="Arial" w:cs="Arial"/>
          <w:sz w:val="24"/>
          <w:szCs w:val="24"/>
        </w:rPr>
        <w:t xml:space="preserve">ity Newcastle, Newcastle-Upon-Tyne, NE1 8ST, </w:t>
      </w:r>
      <w:r w:rsidR="00513CB5" w:rsidRPr="0032360C">
        <w:rPr>
          <w:rFonts w:ascii="Arial" w:hAnsi="Arial" w:cs="Arial"/>
          <w:sz w:val="24"/>
          <w:szCs w:val="24"/>
        </w:rPr>
        <w:t>UK</w:t>
      </w:r>
    </w:p>
    <w:p w:rsidR="00513CB5" w:rsidRPr="0032360C" w:rsidRDefault="00513CB5" w:rsidP="00513CB5">
      <w:pPr>
        <w:spacing w:after="0" w:line="480" w:lineRule="auto"/>
        <w:rPr>
          <w:rFonts w:ascii="Arial" w:hAnsi="Arial" w:cs="Arial"/>
          <w:sz w:val="24"/>
          <w:szCs w:val="24"/>
        </w:rPr>
      </w:pPr>
    </w:p>
    <w:p w:rsidR="00513CB5" w:rsidRPr="0032360C" w:rsidRDefault="005E2C16" w:rsidP="00513CB5">
      <w:pPr>
        <w:spacing w:after="0" w:line="480" w:lineRule="auto"/>
        <w:rPr>
          <w:rFonts w:ascii="Arial" w:hAnsi="Arial" w:cs="Arial"/>
          <w:sz w:val="24"/>
          <w:szCs w:val="24"/>
        </w:rPr>
      </w:pPr>
      <w:r>
        <w:rPr>
          <w:rFonts w:ascii="Arial" w:hAnsi="Arial" w:cs="Arial"/>
          <w:sz w:val="24"/>
          <w:szCs w:val="24"/>
          <w:vertAlign w:val="superscript"/>
        </w:rPr>
        <w:t>4</w:t>
      </w:r>
      <w:r w:rsidR="00513CB5" w:rsidRPr="0032360C">
        <w:rPr>
          <w:rFonts w:ascii="Arial" w:hAnsi="Arial" w:cs="Arial"/>
          <w:sz w:val="24"/>
          <w:szCs w:val="24"/>
        </w:rPr>
        <w:t xml:space="preserve"> Dept. of Geography and Environmental Science, </w:t>
      </w:r>
      <w:r w:rsidR="00261E32">
        <w:rPr>
          <w:rFonts w:ascii="Arial" w:hAnsi="Arial" w:cs="Arial"/>
          <w:sz w:val="24"/>
          <w:szCs w:val="24"/>
        </w:rPr>
        <w:t xml:space="preserve">School of Archaeology, Geography and Environmental Science, </w:t>
      </w:r>
      <w:r w:rsidR="00513CB5" w:rsidRPr="0032360C">
        <w:rPr>
          <w:rFonts w:ascii="Arial" w:hAnsi="Arial" w:cs="Arial"/>
          <w:sz w:val="24"/>
          <w:szCs w:val="24"/>
        </w:rPr>
        <w:t>University of Reading, Reading, RG6 6AB, UK</w:t>
      </w:r>
    </w:p>
    <w:p w:rsidR="00513CB5" w:rsidRPr="0032360C" w:rsidRDefault="00513CB5" w:rsidP="00513CB5">
      <w:pPr>
        <w:spacing w:after="0" w:line="480" w:lineRule="auto"/>
        <w:rPr>
          <w:rFonts w:ascii="Arial" w:hAnsi="Arial" w:cs="Arial"/>
          <w:sz w:val="24"/>
          <w:szCs w:val="24"/>
        </w:rPr>
      </w:pPr>
    </w:p>
    <w:p w:rsidR="00513CB5" w:rsidRPr="00586CC7" w:rsidRDefault="00D81A7B" w:rsidP="00513CB5">
      <w:pPr>
        <w:spacing w:after="0" w:line="480" w:lineRule="auto"/>
        <w:rPr>
          <w:rFonts w:ascii="Arial" w:hAnsi="Arial" w:cs="Arial"/>
          <w:sz w:val="24"/>
          <w:szCs w:val="24"/>
          <w:lang w:val="pt-BR"/>
        </w:rPr>
      </w:pPr>
      <w:r w:rsidRPr="00586CC7">
        <w:rPr>
          <w:rFonts w:ascii="Arial" w:hAnsi="Arial" w:cs="Arial"/>
          <w:sz w:val="24"/>
          <w:szCs w:val="24"/>
          <w:vertAlign w:val="superscript"/>
          <w:lang w:val="pt-BR"/>
        </w:rPr>
        <w:t>4</w:t>
      </w:r>
      <w:r w:rsidR="00513CB5" w:rsidRPr="00586CC7">
        <w:rPr>
          <w:rFonts w:ascii="Arial" w:hAnsi="Arial" w:cs="Arial"/>
          <w:sz w:val="24"/>
          <w:szCs w:val="24"/>
          <w:lang w:val="pt-BR"/>
        </w:rPr>
        <w:t xml:space="preserve"> Dept. of Ecology, Universidade Federal do Acre, </w:t>
      </w:r>
      <w:r w:rsidR="005E2C16">
        <w:rPr>
          <w:rFonts w:ascii="Arial" w:hAnsi="Arial" w:cs="Arial"/>
          <w:sz w:val="24"/>
          <w:szCs w:val="24"/>
          <w:lang w:val="pt-BR"/>
        </w:rPr>
        <w:t xml:space="preserve">Rio Branco, Acre, 69915-900, </w:t>
      </w:r>
      <w:r w:rsidR="00513CB5" w:rsidRPr="00586CC7">
        <w:rPr>
          <w:rFonts w:ascii="Arial" w:hAnsi="Arial" w:cs="Arial"/>
          <w:sz w:val="24"/>
          <w:szCs w:val="24"/>
          <w:lang w:val="pt-BR"/>
        </w:rPr>
        <w:t>Brazil</w:t>
      </w:r>
    </w:p>
    <w:p w:rsidR="00513CB5" w:rsidRPr="00586CC7" w:rsidRDefault="00513CB5" w:rsidP="00513CB5">
      <w:pPr>
        <w:spacing w:after="0" w:line="480" w:lineRule="auto"/>
        <w:rPr>
          <w:rFonts w:ascii="Arial" w:hAnsi="Arial" w:cs="Arial"/>
          <w:sz w:val="24"/>
          <w:szCs w:val="24"/>
          <w:lang w:val="pt-BR"/>
        </w:rPr>
      </w:pPr>
    </w:p>
    <w:p w:rsidR="00513CB5" w:rsidRPr="005E2C16" w:rsidRDefault="00513CB5" w:rsidP="00513CB5">
      <w:pPr>
        <w:spacing w:after="0" w:line="480" w:lineRule="auto"/>
        <w:rPr>
          <w:rFonts w:ascii="Arial" w:hAnsi="Arial" w:cs="Arial"/>
          <w:sz w:val="24"/>
          <w:szCs w:val="24"/>
        </w:rPr>
      </w:pPr>
      <w:r w:rsidRPr="005E2C16">
        <w:rPr>
          <w:rFonts w:ascii="Arial" w:hAnsi="Arial" w:cs="Arial"/>
          <w:sz w:val="24"/>
          <w:szCs w:val="24"/>
          <w:vertAlign w:val="superscript"/>
        </w:rPr>
        <w:t>6</w:t>
      </w:r>
      <w:r w:rsidR="005E2C16" w:rsidRPr="005E2C16">
        <w:rPr>
          <w:rFonts w:ascii="Arial" w:hAnsi="Arial" w:cs="Arial"/>
          <w:sz w:val="24"/>
          <w:szCs w:val="24"/>
        </w:rPr>
        <w:t xml:space="preserve"> </w:t>
      </w:r>
      <w:r w:rsidRPr="005E2C16">
        <w:rPr>
          <w:rFonts w:ascii="Arial" w:hAnsi="Arial" w:cs="Arial"/>
          <w:sz w:val="24"/>
          <w:szCs w:val="24"/>
        </w:rPr>
        <w:t xml:space="preserve">Dept. of Anthropology, Universidaded Federal do Pará, Belém, Pará, </w:t>
      </w:r>
      <w:r w:rsidR="005E2C16" w:rsidRPr="005E2C16">
        <w:rPr>
          <w:rFonts w:ascii="Arial" w:hAnsi="Arial" w:cs="Arial"/>
          <w:sz w:val="24"/>
          <w:szCs w:val="24"/>
        </w:rPr>
        <w:t xml:space="preserve">66075-110, </w:t>
      </w:r>
      <w:r w:rsidRPr="005E2C16">
        <w:rPr>
          <w:rFonts w:ascii="Arial" w:hAnsi="Arial" w:cs="Arial"/>
          <w:sz w:val="24"/>
          <w:szCs w:val="24"/>
        </w:rPr>
        <w:t>Brazil</w:t>
      </w:r>
    </w:p>
    <w:p w:rsidR="00513CB5" w:rsidRPr="005E2C16"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Geography, </w:t>
      </w:r>
      <w:r w:rsidR="00261E32">
        <w:rPr>
          <w:rFonts w:ascii="Arial" w:hAnsi="Arial" w:cs="Arial"/>
          <w:sz w:val="24"/>
          <w:szCs w:val="24"/>
        </w:rPr>
        <w:t xml:space="preserve">College of Life and Environmental Sciences, </w:t>
      </w:r>
      <w:r w:rsidRPr="0032360C">
        <w:rPr>
          <w:rFonts w:ascii="Arial" w:hAnsi="Arial" w:cs="Arial"/>
          <w:sz w:val="24"/>
          <w:szCs w:val="24"/>
        </w:rPr>
        <w:t>University of Exeter, Exeter, Devon, EX4 4RJ, UK</w:t>
      </w:r>
    </w:p>
    <w:p w:rsidR="005E2C16" w:rsidRDefault="005E2C16" w:rsidP="00513CB5">
      <w:pPr>
        <w:spacing w:after="0" w:line="480" w:lineRule="auto"/>
        <w:rPr>
          <w:rFonts w:ascii="Arial" w:hAnsi="Arial" w:cs="Arial"/>
          <w:sz w:val="24"/>
          <w:szCs w:val="24"/>
        </w:rPr>
      </w:pPr>
    </w:p>
    <w:p w:rsidR="00513CB5" w:rsidRPr="005E2C16" w:rsidRDefault="00513CB5" w:rsidP="00513CB5">
      <w:pPr>
        <w:spacing w:after="0" w:line="480" w:lineRule="auto"/>
        <w:rPr>
          <w:rFonts w:ascii="Arial" w:hAnsi="Arial" w:cs="Arial"/>
          <w:b/>
          <w:sz w:val="24"/>
          <w:szCs w:val="24"/>
        </w:rPr>
      </w:pPr>
      <w:r w:rsidRPr="005E2C16">
        <w:rPr>
          <w:rFonts w:ascii="Arial" w:hAnsi="Arial" w:cs="Arial"/>
          <w:b/>
          <w:sz w:val="24"/>
          <w:szCs w:val="24"/>
        </w:rPr>
        <w:t>Abstract: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Accurate archaeological and palaeoenvironmental reconstructions using phytoliths relies on the study of modern reference material. In eastern Acre, Brazil, we examined whether the five most common forest types present today were able to be differentiated by their soil phytolith assemblages, and thus provide analogues with which to compare palaeoecological assemblages from pre-Columbian earthwork sites in the region. Surface soils and vegetation from dense humid evergreen forest, dense humid evergreen forest with high palm abundance, palm forest, bamboo forest and fluvial forest were sampled and their phytoliths analysed. Relative phytolith frequencies were statistically compared using Principal Components Analyses (PCAs). We found the major differences in species composition to be well-represented by the phytolith assemblages as all forest types, apart from the two sub-types of dense humid evergreen forest, could be differentiated. Larger phytoliths from the sand fraction were found to be more ecologically diagnostic than those from the silt fraction. </w:t>
      </w:r>
      <w:r w:rsidR="0032360C">
        <w:rPr>
          <w:rFonts w:ascii="Arial" w:hAnsi="Arial" w:cs="Arial"/>
          <w:sz w:val="24"/>
          <w:szCs w:val="24"/>
        </w:rPr>
        <w:t>The</w:t>
      </w:r>
      <w:r w:rsidRPr="0032360C">
        <w:rPr>
          <w:rFonts w:ascii="Arial" w:hAnsi="Arial" w:cs="Arial"/>
          <w:sz w:val="24"/>
          <w:szCs w:val="24"/>
        </w:rPr>
        <w:t xml:space="preserve"> surface soil phytolith assemblages we analysed </w:t>
      </w:r>
      <w:r w:rsidR="0032360C">
        <w:rPr>
          <w:rFonts w:ascii="Arial" w:hAnsi="Arial" w:cs="Arial"/>
          <w:sz w:val="24"/>
          <w:szCs w:val="24"/>
        </w:rPr>
        <w:t>can</w:t>
      </w:r>
      <w:r w:rsidRPr="0032360C">
        <w:rPr>
          <w:rFonts w:ascii="Arial" w:hAnsi="Arial" w:cs="Arial"/>
          <w:sz w:val="24"/>
          <w:szCs w:val="24"/>
        </w:rPr>
        <w:t xml:space="preserve"> </w:t>
      </w:r>
      <w:r w:rsidR="0032360C">
        <w:rPr>
          <w:rFonts w:ascii="Arial" w:hAnsi="Arial" w:cs="Arial"/>
          <w:sz w:val="24"/>
          <w:szCs w:val="24"/>
        </w:rPr>
        <w:t xml:space="preserve">therefore </w:t>
      </w:r>
      <w:r w:rsidRPr="0032360C">
        <w:rPr>
          <w:rFonts w:ascii="Arial" w:hAnsi="Arial" w:cs="Arial"/>
          <w:sz w:val="24"/>
          <w:szCs w:val="24"/>
        </w:rPr>
        <w:t>be used as analogues to improve the accuracy of archaeological and palaeoecological reconstructions in the region.</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Key words: Phytoliths, palaeoecology, archaeology</w:t>
      </w:r>
      <w:r w:rsidR="00F73355" w:rsidRPr="0032360C">
        <w:rPr>
          <w:rFonts w:ascii="Arial" w:hAnsi="Arial" w:cs="Arial"/>
          <w:sz w:val="24"/>
          <w:szCs w:val="24"/>
        </w:rPr>
        <w:t>, southwest Amazonia</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p>
    <w:p w:rsidR="00513CB5" w:rsidRDefault="00513CB5" w:rsidP="00513CB5">
      <w:pPr>
        <w:spacing w:after="0" w:line="480" w:lineRule="auto"/>
        <w:rPr>
          <w:rFonts w:ascii="Arial" w:hAnsi="Arial" w:cs="Arial"/>
          <w:sz w:val="24"/>
          <w:szCs w:val="24"/>
        </w:rPr>
      </w:pPr>
    </w:p>
    <w:p w:rsidR="0032360C" w:rsidRPr="0032360C" w:rsidRDefault="0032360C"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1. Introduction</w:t>
      </w:r>
    </w:p>
    <w:p w:rsidR="00513CB5" w:rsidRPr="0032360C" w:rsidRDefault="00513CB5" w:rsidP="00513CB5">
      <w:pPr>
        <w:spacing w:after="0" w:line="480" w:lineRule="auto"/>
        <w:rPr>
          <w:rFonts w:ascii="Arial" w:hAnsi="Arial" w:cs="Arial"/>
          <w:sz w:val="24"/>
          <w:szCs w:val="24"/>
        </w:rPr>
      </w:pPr>
    </w:p>
    <w:p w:rsidR="00513CB5" w:rsidRPr="00F91FAF" w:rsidRDefault="00513CB5" w:rsidP="00513CB5">
      <w:pPr>
        <w:spacing w:after="0" w:line="480" w:lineRule="auto"/>
        <w:rPr>
          <w:rFonts w:ascii="Arial" w:hAnsi="Arial" w:cs="Arial"/>
          <w:sz w:val="24"/>
          <w:szCs w:val="24"/>
        </w:rPr>
      </w:pPr>
      <w:r w:rsidRPr="0032360C">
        <w:rPr>
          <w:rFonts w:ascii="Arial" w:hAnsi="Arial" w:cs="Arial"/>
          <w:sz w:val="24"/>
          <w:szCs w:val="24"/>
        </w:rPr>
        <w:t>In the mid-20th century, cultural ecologists proposed that the characteristics of soils, cyclical climatic changes, and the scarcity of protein presented limitations to cultural evolution in the Amazon tropical forest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"Steward", "given" : "J H", "non-dropping-particle" : "", "parse-names" : false, "suffix" : "" } ], "container-title" : "Handbook of South American Indians, Vol. 3", "editor" : [ { "dropping-particle" : "", "family" : "Steward", "given" : "J H", "non-dropping-particle" : "", "parse-names" : false, "suffix" : "" } ], "id" : "ITEM-1", "issued" : { "date-parts" : [ [ "1948" ] ] }, "publisher" : "Smithsonian Institution", "publisher-place" : "Washington DC", "title" : "The tropical forest tribes", "type" : "chapter" }, "uris" : [ "http://www.mendeley.com/documents/?uuid=80326459-730f-4c4c-8e63-e6f4bb1ff3a8" ] } ], "mendeley" : { "formattedCitation" : "(Steward, 1948)", "manualFormatting" : "Steward, 1948", "plainTextFormattedCitation" : "(Steward, 1948)", "previouslyFormattedCitation" : "(Steward, 1948)"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Steward, 1948</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"Meggers", "given" : "Betty J", "non-dropping-particle" : "", "parse-names" : false, "suffix" : "" } ], "container-title" : "American Anthropologist", "id" : "ITEM-1", "issued" : { "date-parts" : [ [ "1954" ] ] }, "page" : "801-824", "title" : "Environmental limitations on the development of culture", "type" : "article-journal", "volume" : "56" }, "uris" : [ "http://www.mendeley.com/documents/?uuid=43015c56-02ea-45b2-8a7a-3d844c9a615f" ] } ], "mendeley" : { "formattedCitation" : "(Meggers, 1954)", "manualFormatting" : "Meggers, 1954", "plainTextFormattedCitation" : "(Meggers, 1954)", "previouslyFormattedCitation" : "(Meggers, 1954)"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Meggers, 1954</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"Gross", "given" : "D R", "non-dropping-particle" : "", "parse-names" : false, "suffix" : "" } ], "container-title" : "American Anthropologist", "id" : "ITEM-1", "issued" : { "date-parts" : [ [ "1975" ] ] }, "page" : "526-549", "title" : "Protein capture and cultural development in the Amazon Basin", "type" : "article-journal", "volume" : "77" }, "uris" : [ "http://www.mendeley.com/documents/?uuid=a27b803e-6140-437d-a8de-4eaa60a6180d" ] } ], "mendeley" : { "formattedCitation" : "(Gross, 1975)", "manualFormatting" : "Gross, 1975", "plainTextFormattedCitation" : "(Gross, 1975)", "previouslyFormattedCitation" : "(Gross, 1975)"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Gross, 1975</w:t>
      </w:r>
      <w:r w:rsidRPr="0032360C">
        <w:rPr>
          <w:rFonts w:ascii="Arial" w:hAnsi="Arial" w:cs="Arial"/>
          <w:sz w:val="24"/>
          <w:szCs w:val="24"/>
        </w:rPr>
        <w:fldChar w:fldCharType="end"/>
      </w:r>
      <w:r w:rsidRPr="0032360C">
        <w:rPr>
          <w:rFonts w:ascii="Arial" w:hAnsi="Arial" w:cs="Arial"/>
          <w:sz w:val="24"/>
          <w:szCs w:val="24"/>
        </w:rPr>
        <w:t>). According to this vision, population density would have remained low, and humans had to adapt to tropical environments without modifying it substantially. In the following decades, the cultural ecology paradigm lost its strength as scholars from different fields pointed to diverse forms of landscape modifications – plant</w:t>
      </w:r>
      <w:r w:rsidR="00BF5999">
        <w:rPr>
          <w:rFonts w:ascii="Arial" w:hAnsi="Arial" w:cs="Arial"/>
          <w:sz w:val="24"/>
          <w:szCs w:val="24"/>
        </w:rPr>
        <w:t xml:space="preserve"> management,  soil mulching</w:t>
      </w:r>
      <w:r w:rsidRPr="0032360C">
        <w:rPr>
          <w:rFonts w:ascii="Arial" w:hAnsi="Arial" w:cs="Arial"/>
          <w:sz w:val="24"/>
          <w:szCs w:val="24"/>
        </w:rPr>
        <w:t xml:space="preserve"> </w:t>
      </w:r>
      <w:r w:rsidR="00BF5999">
        <w:rPr>
          <w:rFonts w:ascii="Arial" w:hAnsi="Arial" w:cs="Arial"/>
          <w:sz w:val="24"/>
          <w:szCs w:val="24"/>
        </w:rPr>
        <w:t xml:space="preserve">and </w:t>
      </w:r>
      <w:r w:rsidRPr="0032360C">
        <w:rPr>
          <w:rFonts w:ascii="Arial" w:hAnsi="Arial" w:cs="Arial"/>
          <w:sz w:val="24"/>
          <w:szCs w:val="24"/>
        </w:rPr>
        <w:t>earth moving for building mounds, r</w:t>
      </w:r>
      <w:r w:rsidR="00BF5999">
        <w:rPr>
          <w:rFonts w:ascii="Arial" w:hAnsi="Arial" w:cs="Arial"/>
          <w:sz w:val="24"/>
          <w:szCs w:val="24"/>
        </w:rPr>
        <w:t>aised fields, fish weirs, roads and</w:t>
      </w:r>
      <w:r w:rsidRPr="0032360C">
        <w:rPr>
          <w:rFonts w:ascii="Arial" w:hAnsi="Arial" w:cs="Arial"/>
          <w:sz w:val="24"/>
          <w:szCs w:val="24"/>
        </w:rPr>
        <w:t xml:space="preserve"> dams – that would have impacted the environment and </w:t>
      </w:r>
      <w:r w:rsidR="00A154CC">
        <w:rPr>
          <w:rFonts w:ascii="Arial" w:hAnsi="Arial" w:cs="Arial"/>
          <w:sz w:val="24"/>
          <w:szCs w:val="24"/>
        </w:rPr>
        <w:t>allowed a substantial</w:t>
      </w:r>
      <w:r w:rsidRPr="0032360C">
        <w:rPr>
          <w:rFonts w:ascii="Arial" w:hAnsi="Arial" w:cs="Arial"/>
          <w:sz w:val="24"/>
          <w:szCs w:val="24"/>
        </w:rPr>
        <w:t xml:space="preserve"> increase in population density starting around 2,000 years ago (</w:t>
      </w:r>
      <w:r w:rsidR="00F91FAF">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"Roosevelt", "given" : "A C", "non-dropping-particle" : "", "parse-names" : false, "suffix" : "" } ], "id" : "ITEM-1", "issued" : { "date-parts" : [ [ "1980" ] ] }, "publisher" : "Academic Press", "publisher-place" : "New York", "title" : "Parmana: Prehistoric Maize and Manioc Subsistence along the Amazon and Orinoco", "type" : "book" }, "uris" : [ "http://www.mendeley.com/documents/?uuid=a284eca3-f27f-483b-a754-8824d5fa8616" ] }, { "id" : "ITEM-2", "itemData" : { "author" : [ { "dropping-particle" : "", "family" : "Smith", "given" : "Nigel J H", "non-dropping-particle" : "", "parse-names" : false, "suffix" : "" } ], "container-title" : "Annals of the Association of American Geographers", "id" : "ITEM-2", "issue" : "4", "issued" : { "date-parts" : [ [ "1980" ] ] }, "page" : "553-566", "title" : "Anthrosols and human carrying capacity in Amazonia", "type" : "article-journal", "volume" : "70" }, "uris" : [ "http://www.mendeley.com/documents/?uuid=99eb7a64-106c-4729-8ebf-71f4ebf3dd99" ] } ], "mendeley" : { "formattedCitation" : "(Roosevelt, 1980; Smith, 1980)", "manualFormatting" : "Roosevelt, 1980; Smith, 1980;", "plainTextFormattedCitation" : "(Roosevelt, 1980; Smith, 1980)", "previouslyFormattedCitation" : "(Roosevelt, 1980; Smith, 1980)" }, "properties" : { "noteIndex" : 0 }, "schema" : "https://github.com/citation-style-language/schema/raw/master/csl-citation.json" }</w:instrText>
      </w:r>
      <w:r w:rsidR="00F91FAF">
        <w:rPr>
          <w:rFonts w:ascii="Arial" w:hAnsi="Arial" w:cs="Arial"/>
          <w:sz w:val="24"/>
          <w:szCs w:val="24"/>
        </w:rPr>
        <w:fldChar w:fldCharType="separate"/>
      </w:r>
      <w:r w:rsidR="00F91FAF" w:rsidRPr="00F91FAF">
        <w:rPr>
          <w:rFonts w:ascii="Arial" w:hAnsi="Arial" w:cs="Arial"/>
          <w:noProof/>
          <w:sz w:val="24"/>
          <w:szCs w:val="24"/>
        </w:rPr>
        <w:t>Roosevelt, 1980; Smith, 1980</w:t>
      </w:r>
      <w:r w:rsidR="00F91FAF">
        <w:rPr>
          <w:rFonts w:ascii="Arial" w:hAnsi="Arial" w:cs="Arial"/>
          <w:noProof/>
          <w:sz w:val="24"/>
          <w:szCs w:val="24"/>
        </w:rPr>
        <w:t>;</w:t>
      </w:r>
      <w:r w:rsidR="00F91FAF">
        <w:rPr>
          <w:rFonts w:ascii="Arial" w:hAnsi="Arial" w:cs="Arial"/>
          <w:sz w:val="24"/>
          <w:szCs w:val="24"/>
        </w:rPr>
        <w:fldChar w:fldCharType="end"/>
      </w:r>
      <w:r w:rsidR="00F91FAF">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"Posey", "given" : "A", "non-dropping-particle" : "", "parse-names" : false, "suffix" : "" }, { "dropping-particle" : "", "family" : "Bal\u00e9e", "given" : "W", "non-dropping-particle" : "", "parse-names" : false, "suffix" : "" } ], "container-title" : "Advances in Economic Botany", "id" : "ITEM-1", "issued" : { "date-parts" : [ [ "1989" ] ] }, "publisher" : "New York Botanical Garden", "publisher-place" : "New York", "title" : "Resource Management in Amazonia: Indigenous folk strategies", "type" : "book", "volume" : "7" }, "uris" : [ "http://www.mendeley.com/documents/?uuid=248aa971-a0dd-4b6c-9cb2-4f6810275b01" ] } ], "mendeley" : { "formattedCitation" : "(Posey and Bal\u00e9e, 1989)", "manualFormatting" : "Posey and Bal\u00e9e, 1989", "plainTextFormattedCitation" : "(Posey and Bal\u00e9e, 1989)", "previouslyFormattedCitation" : "(Posey and Bal\u00e9e, 1989)"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Posey and Balée, 1989</w:t>
      </w:r>
      <w:r w:rsidRPr="0032360C">
        <w:rPr>
          <w:rFonts w:ascii="Arial" w:hAnsi="Arial" w:cs="Arial"/>
          <w:sz w:val="24"/>
          <w:szCs w:val="24"/>
        </w:rPr>
        <w:fldChar w:fldCharType="end"/>
      </w:r>
      <w:r w:rsidR="00F91FAF">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"Denevan", "given" : "William M", "non-dropping-particle" : "", "parse-names" : false, "suffix" : "" } ], "id" : "ITEM-1", "issued" : { "date-parts" : [ [ "2001" ] ] }, "publisher" : "Oxford University Press", "publisher-place" : "Oxford", "title" : "Cultivated Landscapes of Native America and the Andes", "type" : "book" }, "uris" : [ "http://www.mendeley.com/documents/?uuid=16c44aec-0626-4ee4-9493-9268d716b163" ] } ], "mendeley" : { "formattedCitation" : "(Denevan, 2001)", "manualFormatting" : "Denevan, 2001", "plainTextFormattedCitation" : "(Denevan, 2001)", "previouslyFormattedCitation" : "(Denevan, 2001)"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Denevan, 2001</w:t>
      </w:r>
      <w:r w:rsidRPr="0032360C">
        <w:rPr>
          <w:rFonts w:ascii="Arial" w:hAnsi="Arial" w:cs="Arial"/>
          <w:sz w:val="24"/>
          <w:szCs w:val="24"/>
        </w:rPr>
        <w:fldChar w:fldCharType="end"/>
      </w:r>
      <w:r w:rsidR="00F91FAF">
        <w:rPr>
          <w:rFonts w:ascii="Arial" w:hAnsi="Arial" w:cs="Arial"/>
          <w:sz w:val="24"/>
          <w:szCs w:val="24"/>
        </w:rPr>
        <w:t>;</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"Erickson", "given" : "Clark L", "non-dropping-particle" : "", "parse-names" : false, "suffix" : "" }, { "dropping-particle" : "", "family" : "Bal\u00e9e", "given" : "William", "non-dropping-particle" : "", "parse-names" : false, "suffix" : "" } ], "container-title" : "Time and Complexity in Historical Ecology", "editor" : [ { "dropping-particle" : "", "family" : "Erickson", "given" : "Clark L", "non-dropping-particle" : "", "parse-names" : false, "suffix" : "" }, { "dropping-particle" : "", "family" : "Bal\u00e9e", "given" : "William", "non-dropping-particle" : "", "parse-names" : false, "suffix" : "" } ], "id" : "ITEM-1", "issued" : { "date-parts" : [ [ "2006" ] ] }, "page" : "187-233", "publisher" : "Columbia University Press", "publisher-place" : "New York", "title" : "The historical ecology of a complex landscape in Bolivia", "type" : "chapter" }, "uris" : [ "http://www.mendeley.com/documents/?uuid=0ee73519-5db0-417d-99ec-bc79a06f60db" ] } ], "mendeley" : { "formattedCitation" : "(Erickson and Bal\u00e9e, 2006)", "manualFormatting" : " Erickson and Bal\u00e9e, 2006", "plainTextFormattedCitation" : "(Erickson and Bal\u00e9e, 2006)", "previouslyFormattedCitation" : "(Erickson and Bal\u00e9e, 2006)" }, "properties" : { "noteIndex" : 0 }, "schema" : "https://github.com/citation-style-language/schema/raw/master/csl-citation.json" }</w:instrText>
      </w:r>
      <w:r w:rsidRPr="0032360C">
        <w:rPr>
          <w:rFonts w:ascii="Arial" w:hAnsi="Arial" w:cs="Arial"/>
          <w:sz w:val="24"/>
          <w:szCs w:val="24"/>
        </w:rPr>
        <w:fldChar w:fldCharType="separate"/>
      </w:r>
      <w:r w:rsidR="00F91FAF">
        <w:rPr>
          <w:rFonts w:ascii="Arial" w:hAnsi="Arial" w:cs="Arial"/>
          <w:noProof/>
          <w:sz w:val="24"/>
          <w:szCs w:val="24"/>
        </w:rPr>
        <w:t xml:space="preserve"> </w:t>
      </w:r>
      <w:r w:rsidR="00CC5FD9" w:rsidRPr="00CC5FD9">
        <w:rPr>
          <w:rFonts w:ascii="Arial" w:hAnsi="Arial" w:cs="Arial"/>
          <w:noProof/>
          <w:sz w:val="24"/>
          <w:szCs w:val="24"/>
        </w:rPr>
        <w:t>Erickson and Balée, 2006</w:t>
      </w:r>
      <w:r w:rsidRPr="0032360C">
        <w:rPr>
          <w:rFonts w:ascii="Arial" w:hAnsi="Arial" w:cs="Arial"/>
          <w:sz w:val="24"/>
          <w:szCs w:val="24"/>
        </w:rPr>
        <w:fldChar w:fldCharType="end"/>
      </w:r>
      <w:r w:rsidR="00F91FAF">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"Schaan", "given" : "Denise", "non-dropping-particle" : "", "parse-names" : false, "suffix" : "" } ], "container-title" : "Handbook of South American Archaeology", "editor" : [ { "dropping-particle" : "", "family" : "Silverman", "given" : "H", "non-dropping-particle" : "", "parse-names" : false, "suffix" : "" }, { "dropping-particle" : "", "family" : "Isbell", "given" : "W H", "non-dropping-particle" : "", "parse-names" : false, "suffix" : "" } ], "id" : "ITEM-1", "issued" : { "date-parts" : [ [ "2008" ] ] }, "page" : "339-357", "publisher" : "Springer", "title" : "The Non-agricultural Chiefdoms of Maraj\u00f3 Island", "type" : "chapter" }, "uris" : [ "http://www.mendeley.com/documents/?uuid=1e5b2998-02bb-48dd-8153-9372d98128a7" ] } ], "mendeley" : { "formattedCitation" : "(Schaan, 2008)", "manualFormatting" : "Schaan, 2008", "plainTextFormattedCitation" : "(Schaan, 2008)", "previouslyFormattedCitation" : "(Schaan, 2008)"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Schaan, 2008</w:t>
      </w:r>
      <w:r w:rsidRPr="0032360C">
        <w:rPr>
          <w:rFonts w:ascii="Arial" w:hAnsi="Arial" w:cs="Arial"/>
          <w:sz w:val="24"/>
          <w:szCs w:val="24"/>
        </w:rPr>
        <w:fldChar w:fldCharType="end"/>
      </w:r>
      <w:r w:rsidR="00F91FAF">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"10.1016/j.jas.2010.06.016", "ISSN" : "03054403", "author" : [ { "dropping-particle" : "", "family" : "Iriarte", "given" : "Jos\u00e9", "non-dropping-particle" : "", "parse-names" : false, "suffix" : "" }, { "dropping-particle" : "", "family" : "Glaser", "given" : "Bruno", "non-dropping-particle" : "", "parse-names" : false, "suffix" : "" }, { "dropping-particle" : "", "family" : "Watling", "given" : "Jennifer", "non-dropping-particle" : "", "parse-names" : false, "suffix" : "" }, { "dropping-particle" : "", "family" : "Wainwright", "given" : "Adam", "non-dropping-particle" : "", "parse-names" : false, "suffix" : "" }, { "dropping-particle" : "", "family" : "Birk", "given" : "Jago Jonathan", "non-dropping-particle" : "", "parse-names" : false, "suffix" : "" }, { "dropping-particle" : "", "family" : "Renard", "given" : "Delphine", "non-dropping-particle" : "", "parse-names" : false, "suffix" : "" }, { "dropping-particle" : "", "family" : "Rostain", "given" : "St\u00e9phen", "non-dropping-particle" : "", "parse-names" : false, "suffix" : "" }, { "dropping-particle" : "", "family" : "McKey", "given" : "Doyle", "non-dropping-particle" : "", "parse-names" : false, "suffix" : "" } ], "container-title" : "Journal of Archaeological Science", "id" : "ITEM-1", "issue" : "12", "issued" : { "date-parts" : [ [ "2010", "12" ] ] }, "page" : "2984-2994", "publisher" : "Elsevier Ltd", "title" : "Late Holocene Neotropical agricultural landscapes: phytolith and stable carbon isotope analysis of raised fields from French Guianan coastal savannahs", "type" : "article-journal", "volume" : "37" }, "uris" : [ "http://www.mendeley.com/documents/?uuid=eb41d3a5-d197-45c1-8849-320887cfc5d3" ] } ], "mendeley" : { "formattedCitation" : "(Iriarte et al., 2010)", "manualFormatting" : "Iriarte et al., 2010", "plainTextFormattedCitation" : "(Iriarte et al., 2010)", "previouslyFormattedCitation" : "(Iriarte et al., 2010)" }, "properties" : { "noteIndex" : 0 }, "schema" : "https://github.com/citation-style-language/schema/raw/master/csl-citation.json" }</w:instrText>
      </w:r>
      <w:r w:rsidRPr="0032360C">
        <w:rPr>
          <w:rFonts w:ascii="Arial" w:hAnsi="Arial" w:cs="Arial"/>
          <w:sz w:val="24"/>
          <w:szCs w:val="24"/>
        </w:rPr>
        <w:fldChar w:fldCharType="separate"/>
      </w:r>
      <w:r w:rsidR="00F91FAF">
        <w:rPr>
          <w:rFonts w:ascii="Arial" w:hAnsi="Arial" w:cs="Arial"/>
          <w:noProof/>
          <w:sz w:val="24"/>
          <w:szCs w:val="24"/>
        </w:rPr>
        <w:t>I</w:t>
      </w:r>
      <w:r w:rsidR="00CC5FD9" w:rsidRPr="00F91FAF">
        <w:rPr>
          <w:rFonts w:ascii="Arial" w:hAnsi="Arial" w:cs="Arial"/>
          <w:noProof/>
          <w:sz w:val="24"/>
          <w:szCs w:val="24"/>
        </w:rPr>
        <w:t>riarte et al., 2010</w:t>
      </w:r>
      <w:r w:rsidRPr="0032360C">
        <w:rPr>
          <w:rFonts w:ascii="Arial" w:hAnsi="Arial" w:cs="Arial"/>
          <w:sz w:val="24"/>
          <w:szCs w:val="24"/>
        </w:rPr>
        <w:fldChar w:fldCharType="end"/>
      </w:r>
      <w:r w:rsidR="00F91FAF">
        <w:rPr>
          <w:rFonts w:ascii="Arial" w:hAnsi="Arial" w:cs="Arial"/>
          <w:sz w:val="24"/>
          <w:szCs w:val="24"/>
        </w:rPr>
        <w:t xml:space="preserve">; </w:t>
      </w:r>
      <w:r w:rsidRPr="00F91FAF">
        <w:rPr>
          <w:rFonts w:ascii="Arial" w:hAnsi="Arial" w:cs="Arial"/>
          <w:sz w:val="24"/>
          <w:szCs w:val="24"/>
        </w:rPr>
        <w:t>Schaan</w:t>
      </w:r>
      <w:r w:rsidRPr="0032360C">
        <w:rPr>
          <w:rFonts w:ascii="Arial" w:hAnsi="Arial" w:cs="Arial"/>
          <w:sz w:val="24"/>
          <w:szCs w:val="24"/>
        </w:rPr>
        <w:fldChar w:fldCharType="begin" w:fldLock="1"/>
      </w:r>
      <w:r w:rsidR="00CC5FD9" w:rsidRPr="00F91FAF">
        <w:rPr>
          <w:rFonts w:ascii="Arial" w:hAnsi="Arial" w:cs="Arial"/>
          <w:sz w:val="24"/>
          <w:szCs w:val="24"/>
        </w:rPr>
        <w:instrText>ADDIN CSL_CITATION { "citationItems" : [ { "id" : "ITEM-1", "itemData" : { "author" : [ { "dropping-particle" : "", "family" : "Schaan", "given" : "Denise", "non-dropping-particle" : "", "parse-names" : false, "suffix" : "" } ], "id" : "ITEM-1", "issued" : { "date-parts" : [ [ "2012" ] ] }, "publisher" : "Left Coast Press", "publisher-place" : "San Francisco", "title" : "Sacred Geographies of Ancient Amazonia: Historical ecology of social complexity", "type" : "book" }, "uris" : [ "http://www.mendeley.com/documents/?uuid=828b83ce-a1fd-4ff5-b4f5-c81862486b74" ] } ], "mendeley" : { "formattedCitation" : "(Schaan, 2012)", "manualFormatting" : " 2012", "plainTextFormattedCitation" : "(Schaan, 2012)", "previouslyFormattedCitation" : "(Schaan, 2012)" }, "properties" : { "noteIndex" : 0 }, "schema" : "https://github.com/citation-style-language/schema/raw/master/csl-citation.json" }</w:instrText>
      </w:r>
      <w:r w:rsidRPr="0032360C">
        <w:rPr>
          <w:rFonts w:ascii="Arial" w:hAnsi="Arial" w:cs="Arial"/>
          <w:sz w:val="24"/>
          <w:szCs w:val="24"/>
        </w:rPr>
        <w:fldChar w:fldCharType="separate"/>
      </w:r>
      <w:r w:rsidRPr="00F91FAF">
        <w:rPr>
          <w:rFonts w:ascii="Arial" w:hAnsi="Arial" w:cs="Arial"/>
          <w:noProof/>
          <w:sz w:val="24"/>
          <w:szCs w:val="24"/>
        </w:rPr>
        <w:t xml:space="preserve"> 2012</w:t>
      </w:r>
      <w:r w:rsidRPr="0032360C">
        <w:rPr>
          <w:rFonts w:ascii="Arial" w:hAnsi="Arial" w:cs="Arial"/>
          <w:sz w:val="24"/>
          <w:szCs w:val="24"/>
        </w:rPr>
        <w:fldChar w:fldCharType="end"/>
      </w:r>
      <w:r w:rsidR="00F91FAF">
        <w:rPr>
          <w:rFonts w:ascii="Arial" w:hAnsi="Arial" w:cs="Arial"/>
          <w:sz w:val="24"/>
          <w:szCs w:val="24"/>
        </w:rPr>
        <w:t>;</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"Rostain", "given" : "St\u00e9phen", "non-dropping-particle" : "", "parse-names" : false, "suffix" : "" } ], "id" : "ITEM-1", "issued" : { "date-parts" : [ [ "2013" ] ] }, "publisher" : "Left Coast Press", "publisher-place" : "Walnut Creek", "title" : "Islands in the Forest: Landscape management in Pre-Columbian Amazonia.", "type" : "book" }, "uris" : [ "http://www.mendeley.com/documents/?uuid=ccadc8ce-ad31-4d9c-8284-2326e7defec7" ] } ], "mendeley" : { "formattedCitation" : "(Rostain, 2013)", "manualFormatting" : " Rostain, 2013)", "plainTextFormattedCitation" : "(Rostain, 2013)", "previouslyFormattedCitation" : "(Rostain, 2013)" }, "properties" : { "noteIndex" : 0 }, "schema" : "https://github.com/citation-style-language/schema/raw/master/csl-citation.json" }</w:instrText>
      </w:r>
      <w:r w:rsidRPr="0032360C">
        <w:rPr>
          <w:rFonts w:ascii="Arial" w:hAnsi="Arial" w:cs="Arial"/>
          <w:sz w:val="24"/>
          <w:szCs w:val="24"/>
        </w:rPr>
        <w:fldChar w:fldCharType="separate"/>
      </w:r>
      <w:r w:rsidR="00F91FAF">
        <w:rPr>
          <w:rFonts w:ascii="Arial" w:hAnsi="Arial" w:cs="Arial"/>
          <w:noProof/>
          <w:sz w:val="24"/>
          <w:szCs w:val="24"/>
        </w:rPr>
        <w:t xml:space="preserve"> </w:t>
      </w:r>
      <w:r w:rsidR="00CC5FD9" w:rsidRPr="00F91FAF">
        <w:rPr>
          <w:rFonts w:ascii="Arial" w:hAnsi="Arial" w:cs="Arial"/>
          <w:noProof/>
          <w:sz w:val="24"/>
          <w:szCs w:val="24"/>
        </w:rPr>
        <w:t>Rostain, 2013)</w:t>
      </w:r>
      <w:r w:rsidRPr="0032360C">
        <w:rPr>
          <w:rFonts w:ascii="Arial" w:hAnsi="Arial" w:cs="Arial"/>
          <w:sz w:val="24"/>
          <w:szCs w:val="24"/>
        </w:rPr>
        <w:fldChar w:fldCharType="end"/>
      </w:r>
      <w:r w:rsidRPr="00F91FAF">
        <w:rPr>
          <w:rFonts w:ascii="Arial" w:hAnsi="Arial" w:cs="Arial"/>
          <w:sz w:val="24"/>
          <w:szCs w:val="24"/>
        </w:rPr>
        <w:t>.</w:t>
      </w:r>
    </w:p>
    <w:p w:rsidR="00513CB5" w:rsidRPr="00F91FAF"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F91FAF">
        <w:rPr>
          <w:rFonts w:ascii="Arial" w:hAnsi="Arial" w:cs="Arial"/>
          <w:sz w:val="24"/>
          <w:szCs w:val="24"/>
        </w:rPr>
        <w:t xml:space="preserve">However, despite a growing body of literature emphasizing indigenous agency over the landscape, the extent to which human societies modified tropical landscapes is still a matter of debate, since the Amazon basin encompasses different types of environments which were differentially occupied in the past. </w:t>
      </w:r>
      <w:r w:rsidRPr="0032360C">
        <w:rPr>
          <w:rFonts w:ascii="Arial" w:hAnsi="Arial" w:cs="Arial"/>
          <w:sz w:val="24"/>
          <w:szCs w:val="24"/>
        </w:rPr>
        <w:t xml:space="preserve">While some </w:t>
      </w:r>
      <w:r w:rsidR="00BE266F">
        <w:rPr>
          <w:rFonts w:ascii="Arial" w:hAnsi="Arial" w:cs="Arial"/>
          <w:sz w:val="24"/>
          <w:szCs w:val="24"/>
        </w:rPr>
        <w:t>argue</w:t>
      </w:r>
      <w:r w:rsidRPr="0032360C">
        <w:rPr>
          <w:rFonts w:ascii="Arial" w:hAnsi="Arial" w:cs="Arial"/>
          <w:sz w:val="24"/>
          <w:szCs w:val="24"/>
        </w:rPr>
        <w:t xml:space="preserve"> that pre-Columbian landscape transformation was </w:t>
      </w:r>
      <w:r w:rsidR="00BE266F">
        <w:rPr>
          <w:rFonts w:ascii="Arial" w:hAnsi="Arial" w:cs="Arial"/>
          <w:sz w:val="24"/>
          <w:szCs w:val="24"/>
        </w:rPr>
        <w:t xml:space="preserve">far more extensive in </w:t>
      </w:r>
      <w:r w:rsidRPr="0032360C">
        <w:rPr>
          <w:rFonts w:ascii="Arial" w:hAnsi="Arial" w:cs="Arial"/>
          <w:sz w:val="24"/>
          <w:szCs w:val="24"/>
        </w:rPr>
        <w:t xml:space="preserve">floodplains </w:t>
      </w:r>
      <w:r w:rsidR="00BE266F">
        <w:rPr>
          <w:rFonts w:ascii="Arial" w:hAnsi="Arial" w:cs="Arial"/>
          <w:sz w:val="24"/>
          <w:szCs w:val="24"/>
        </w:rPr>
        <w:t>and</w:t>
      </w:r>
      <w:r w:rsidRPr="0032360C">
        <w:rPr>
          <w:rFonts w:ascii="Arial" w:hAnsi="Arial" w:cs="Arial"/>
          <w:sz w:val="24"/>
          <w:szCs w:val="24"/>
        </w:rPr>
        <w:t xml:space="preserve"> highly seasonal regions (e.g.</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"10.1126/science.1219982", "ISSN" : "1095-9203", "PMID" : "22700926", "abstract" : "Locally extensive pre-Columbian human occupation and modification occurred in the forests of the central and eastern Amazon Basin, but whether comparable impacts extend westward and into the vast terra firme (interfluvial) zones, remains unclear. We analyzed soils from 55 sites across central and western Amazonia to assess the history of human occupation. Sparse occurrences of charcoal and the lack of phytoliths from agricultural and disturbance species in the soils during pre-Columbian times indicated that human impacts on interfluvial forests were small, infrequent, and highly localized. No human artifacts or modified soils were found at any site surveyed. Riverine bluff areas also appeared less heavily occupied and disturbed than similar settings elsewhere. Our data indicate that human impacts on Amazonian forests were heterogeneous across this vast landscape.", "author" : [ { "dropping-particle" : "", "family" : "McMichael", "given" : "C H", "non-dropping-particle" : "", "parse-names" : false, "suffix" : "" }, { "dropping-particle" : "", "family" : "Piperno", "given" : "D R", "non-dropping-particle" : "", "parse-names" : false, "suffix" : "" }, { "dropping-particle" : "", "family" : "Bush", "given" : "M B", "non-dropping-particle" : "", "parse-names" : false, "suffix" : "" }, { "dropping-particle" : "", "family" : "Silman", "given" : "M R", "non-dropping-particle" : "", "parse-names" : false, "suffix" : "" }, { "dropping-particle" : "", "family" : "Zimmerman", "given" : "a R", "non-dropping-particle" : "", "parse-names" : false, "suffix" : "" }, { "dropping-particle" : "", "family" : "Raczka", "given" : "M F", "non-dropping-particle" : "", "parse-names" : false, "suffix" : "" }, { "dropping-particle" : "", "family" : "Lobato", "given" : "L C", "non-dropping-particle" : "", "parse-names" : false, "suffix" : "" } ], "container-title" : "Science", "id" : "ITEM-1", "issue" : "6087", "issued" : { "date-parts" : [ [ "2012", "6", "15" ] ] }, "page" : "1429-31", "title" : "Sparse pre-Columbian human habitation in western Amazonia.", "type" : "article-journal", "volume" : "336" }, "uris" : [ "http://www.mendeley.com/documents/?uuid=1447c1b9-3eb2-4ca6-9542-1db6b5ba1259" ] } ], "mendeley" : { "formattedCitation" : "(McMichael et al., 2012)", "manualFormatting" : " McMichael et al., 2012", "plainTextFormattedCitation" : "(McMichael et al., 2012)", "previouslyFormattedCitation" : "(McMichael et al., 2012)"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 xml:space="preserve"> McMichael et al., 2012</w:t>
      </w:r>
      <w:r w:rsidRPr="0032360C">
        <w:rPr>
          <w:rFonts w:ascii="Arial" w:hAnsi="Arial" w:cs="Arial"/>
          <w:sz w:val="24"/>
          <w:szCs w:val="24"/>
        </w:rPr>
        <w:fldChar w:fldCharType="end"/>
      </w:r>
      <w:r w:rsidRPr="0032360C">
        <w:rPr>
          <w:rFonts w:ascii="Arial" w:hAnsi="Arial" w:cs="Arial"/>
          <w:sz w:val="24"/>
          <w:szCs w:val="24"/>
        </w:rPr>
        <w:t>a</w:t>
      </w:r>
      <w:r w:rsidR="00BE266F">
        <w:rPr>
          <w:rFonts w:ascii="Arial" w:hAnsi="Arial" w:cs="Arial"/>
          <w:sz w:val="24"/>
          <w:szCs w:val="24"/>
        </w:rPr>
        <w:t xml:space="preserve">; </w:t>
      </w:r>
      <w:r w:rsidR="00BE266F">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"10.1177/0959683615588374", "ISBN" : "0959683615", "author" : [ { "dropping-particle" : "", "family" : "Piperno", "given" : "Dolores R", "non-dropping-particle" : "", "parse-names" : false, "suffix" : "" }, { "dropping-particle" : "", "family" : "McMichael", "given" : "Crystal", "non-dropping-particle" : "", "parse-names" : false, "suffix" : "" }, { "dropping-particle" : "", "family" : "Bush", "given" : "Mark B", "non-dropping-particle" : "", "parse-names" : false, "suffix" : "" } ], "container-title" : "The Holocene", "id" : "ITEM-1", "issued" : { "date-parts" : [ [ "2015" ] ] }, "title" : "Amazonia and the Anthropocene: what was the spatial extent and intensity of human landscape modification in the Amazon Basin at the end of prehistory?", "type" : "article-journal" }, "uris" : [ "http://www.mendeley.com/documents/?uuid=5c4174db-c0f9-49c4-9b85-f6e3d450df46" ] } ], "mendeley" : { "formattedCitation" : "(Piperno et al., 2015)", "manualFormatting" : "Piperno et al., 2015", "plainTextFormattedCitation" : "(Piperno et al., 2015)", "previouslyFormattedCitation" : "(Piperno et al., 2015)" }, "properties" : { "noteIndex" : 0 }, "schema" : "https://github.com/citation-style-language/schema/raw/master/csl-citation.json" }</w:instrText>
      </w:r>
      <w:r w:rsidR="00BE266F">
        <w:rPr>
          <w:rFonts w:ascii="Arial" w:hAnsi="Arial" w:cs="Arial"/>
          <w:sz w:val="24"/>
          <w:szCs w:val="24"/>
        </w:rPr>
        <w:fldChar w:fldCharType="separate"/>
      </w:r>
      <w:r w:rsidR="00CC5FD9" w:rsidRPr="00CC5FD9">
        <w:rPr>
          <w:rFonts w:ascii="Arial" w:hAnsi="Arial" w:cs="Arial"/>
          <w:noProof/>
          <w:sz w:val="24"/>
          <w:szCs w:val="24"/>
        </w:rPr>
        <w:t>Piperno et al., 2015</w:t>
      </w:r>
      <w:r w:rsidR="00BE266F">
        <w:rPr>
          <w:rFonts w:ascii="Arial" w:hAnsi="Arial" w:cs="Arial"/>
          <w:sz w:val="24"/>
          <w:szCs w:val="24"/>
        </w:rPr>
        <w:fldChar w:fldCharType="end"/>
      </w:r>
      <w:r w:rsidR="00BE266F">
        <w:rPr>
          <w:rFonts w:ascii="Arial" w:hAnsi="Arial" w:cs="Arial"/>
          <w:sz w:val="24"/>
          <w:szCs w:val="24"/>
        </w:rPr>
        <w:t xml:space="preserve">; </w:t>
      </w:r>
      <w:r w:rsidR="00BE266F">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"10.1111/jbi.12638", "ISSN" : "03050270", "author" : [ { "dropping-particle" : "", "family" : "Bush", "given" : "Mark B.", "non-dropping-particle" : "", "parse-names" : false, "suffix" : "" }, { "dropping-particle" : "", "family" : "McMichael", "given" : "Crystal H.", "non-dropping-particle" : "", "parse-names" : false, "suffix" : "" }, { "dropping-particle" : "", "family" : "Piperno", "given" : "Dolores R.", "non-dropping-particle" : "", "parse-names" : false, "suffix" : "" }, { "dropping-particle" : "", "family" : "Silman", "given" : "Miles R.", "non-dropping-particle" : "", "parse-names" : false, "suffix" : "" }, { "dropping-particle" : "", "family" : "Barlow", "given" : "Jos", "non-dropping-particle" : "", "parse-names" : false, "suffix" : "" }, { "dropping-particle" : "", "family" : "Peres", "given" : "Carlos a.", "non-dropping-particle" : "", "parse-names" : false, "suffix" : "" }, { "dropping-particle" : "", "family" : "Power", "given" : "Mitchell", "non-dropping-particle" : "", "parse-names" : false, "suffix" : "" }, { "dropping-particle" : "", "family" : "Palace", "given" : "Michael W.", "non-dropping-particle" : "", "parse-names" : false, "suffix" : "" } ], "container-title" : "Journal of Biogeography", "id" : "ITEM-1", "issued" : { "date-parts" : [ [ "2015", "10", "28" ] ] }, "title" : "Anthropogenic influence on Amazonian forests in pre-history: an ecological perspective", "type" : "article-journal" }, "uris" : [ "http://www.mendeley.com/documents/?uuid=65e25cf8-b6d5-428a-9740-c59073f8e0e6" ] } ], "mendeley" : { "formattedCitation" : "(Bush et al., 2015)", "manualFormatting" : "Bush et al., 2015", "plainTextFormattedCitation" : "(Bush et al., 2015)", "previouslyFormattedCitation" : "(Bush et al., 2015)" }, "properties" : { "noteIndex" : 0 }, "schema" : "https://github.com/citation-style-language/schema/raw/master/csl-citation.json" }</w:instrText>
      </w:r>
      <w:r w:rsidR="00BE266F">
        <w:rPr>
          <w:rFonts w:ascii="Arial" w:hAnsi="Arial" w:cs="Arial"/>
          <w:sz w:val="24"/>
          <w:szCs w:val="24"/>
        </w:rPr>
        <w:fldChar w:fldCharType="separate"/>
      </w:r>
      <w:r w:rsidR="00CC5FD9" w:rsidRPr="00CC5FD9">
        <w:rPr>
          <w:rFonts w:ascii="Arial" w:hAnsi="Arial" w:cs="Arial"/>
          <w:noProof/>
          <w:sz w:val="24"/>
          <w:szCs w:val="24"/>
        </w:rPr>
        <w:t xml:space="preserve">Bush et </w:t>
      </w:r>
      <w:r w:rsidR="00CC5FD9" w:rsidRPr="00CC5FD9">
        <w:rPr>
          <w:rFonts w:ascii="Arial" w:hAnsi="Arial" w:cs="Arial"/>
          <w:noProof/>
          <w:sz w:val="24"/>
          <w:szCs w:val="24"/>
        </w:rPr>
        <w:lastRenderedPageBreak/>
        <w:t>al., 2015</w:t>
      </w:r>
      <w:r w:rsidR="00BE266F">
        <w:rPr>
          <w:rFonts w:ascii="Arial" w:hAnsi="Arial" w:cs="Arial"/>
          <w:sz w:val="24"/>
          <w:szCs w:val="24"/>
        </w:rPr>
        <w:fldChar w:fldCharType="end"/>
      </w:r>
      <w:r w:rsidRPr="0032360C">
        <w:rPr>
          <w:rFonts w:ascii="Arial" w:hAnsi="Arial" w:cs="Arial"/>
          <w:sz w:val="24"/>
          <w:szCs w:val="24"/>
        </w:rPr>
        <w:t xml:space="preserve">), others </w:t>
      </w:r>
      <w:r w:rsidR="00BE266F">
        <w:rPr>
          <w:rFonts w:ascii="Arial" w:hAnsi="Arial" w:cs="Arial"/>
          <w:sz w:val="24"/>
          <w:szCs w:val="24"/>
        </w:rPr>
        <w:t>believe t</w:t>
      </w:r>
      <w:r w:rsidR="00BF5999">
        <w:rPr>
          <w:rFonts w:ascii="Arial" w:hAnsi="Arial" w:cs="Arial"/>
          <w:sz w:val="24"/>
          <w:szCs w:val="24"/>
        </w:rPr>
        <w:t xml:space="preserve">hat the terra firme interfluves, </w:t>
      </w:r>
      <w:r w:rsidR="00BE266F">
        <w:rPr>
          <w:rFonts w:ascii="Arial" w:hAnsi="Arial" w:cs="Arial"/>
          <w:sz w:val="24"/>
          <w:szCs w:val="24"/>
        </w:rPr>
        <w:t>which make up over 90% of Amazonia</w:t>
      </w:r>
      <w:r w:rsidR="00BF5999">
        <w:rPr>
          <w:rFonts w:ascii="Arial" w:hAnsi="Arial" w:cs="Arial"/>
          <w:sz w:val="24"/>
          <w:szCs w:val="24"/>
        </w:rPr>
        <w:t>,</w:t>
      </w:r>
      <w:r w:rsidR="00BE266F">
        <w:rPr>
          <w:rFonts w:ascii="Arial" w:hAnsi="Arial" w:cs="Arial"/>
          <w:sz w:val="24"/>
          <w:szCs w:val="24"/>
        </w:rPr>
        <w:t xml:space="preserve"> were also transformed considerably </w:t>
      </w:r>
      <w:r w:rsidRPr="0032360C">
        <w:rPr>
          <w:rFonts w:ascii="Arial" w:hAnsi="Arial" w:cs="Arial"/>
          <w:sz w:val="24"/>
          <w:szCs w:val="24"/>
        </w:rPr>
        <w:t xml:space="preserve">(e.g.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"10.1126/science.1086112", "ISSN" : "1095-9203", "PMID" : "14500979", "abstract" : "Archaeology and indigenous history of Native Amazonian peoples in the Upper Xingu region of Brazil reveal unexpectedly complex regional settlement patterns and large-scale transformations of local landscapes over the past millennium. Mapping and excavation of archaeological structures document pronounced human-induced alteration of the forest cover, particularly in relation to large, dense late-prehistoric settlements (circa 1200 to 1600 A.D.). The findings contribute to debates on human carrying capacity, population size and settlement patterns, anthropogenic impacts on the environment, and the importance of indigenous knowledge, as well as contributing to the pride of place of the native peoples in this part of the Amazon.", "author" : [ { "dropping-particle" : "", "family" : "Heckenberger", "given" : "Michael J", "non-dropping-particle" : "", "parse-names" : false, "suffix" : "" }, { "dropping-particle" : "", "family" : "Kuikuro", "given" : "Afukaka", "non-dropping-particle" : "", "parse-names" : false, "suffix" : "" }, { "dropping-particle" : "", "family" : "Kuikuro", "given" : "Urissap\u00e1 Tabata", "non-dropping-particle" : "", "parse-names" : false, "suffix" : "" }, { "dropping-particle" : "", "family" : "Russell", "given" : "J Christian", "non-dropping-particle" : "", "parse-names" : false, "suffix" : "" }, { "dropping-particle" : "", "family" : "Schmidt", "given" : "Morgan", "non-dropping-particle" : "", "parse-names" : false, "suffix" : "" }, { "dropping-particle" : "", "family" : "Fausto", "given" : "Carlos", "non-dropping-particle" : "", "parse-names" : false, "suffix" : "" }, { "dropping-particle" : "", "family" : "Franchetto", "given" : "Bruna", "non-dropping-particle" : "", "parse-names" : false, "suffix" : "" } ], "container-title" : "Science", "id" : "ITEM-1", "issue" : "5640", "issued" : { "date-parts" : [ [ "2003", "9", "19" ] ] }, "page" : "1710-4", "title" : "Amazonia 1492: pristine forest or cultural parkland?", "type" : "article-journal", "volume" : "301" }, "uris" : [ "http://www.mendeley.com/documents/?uuid=5f2f0efd-f2b0-442d-a4ce-5aad53fe8d76" ] } ], "mendeley" : { "formattedCitation" : "(Heckenberger et al., 2003)", "manualFormatting" : "Heckenberger et al., 2003", "plainTextFormattedCitation" : "(Heckenberger et al., 2003)", "previouslyFormattedCitation" : "(Heckenberger et al., 2003)"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Heckenberger et al., 2003</w:t>
      </w:r>
      <w:r w:rsidRPr="0032360C">
        <w:rPr>
          <w:rFonts w:ascii="Arial" w:hAnsi="Arial" w:cs="Arial"/>
          <w:sz w:val="24"/>
          <w:szCs w:val="24"/>
        </w:rPr>
        <w:fldChar w:fldCharType="end"/>
      </w:r>
      <w:r w:rsidR="00BE266F">
        <w:rPr>
          <w:rFonts w:ascii="Arial" w:hAnsi="Arial" w:cs="Arial"/>
          <w:sz w:val="24"/>
          <w:szCs w:val="24"/>
        </w:rPr>
        <w:t xml:space="preserve">; </w:t>
      </w:r>
      <w:r w:rsidR="00BE266F">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"20150813", "author" : [ { "dropping-particle" : "", "family" : "Clement", "given" : "Charles R", "non-dropping-particle" : "", "parse-names" : false, "suffix" : "" }, { "dropping-particle" : "", "family" : "Denevan", "given" : "William M", "non-dropping-particle" : "", "parse-names" : false, "suffix" : "" }, { "dropping-particle" : "", "family" : "Heckenberger", "given" : "Michael J", "non-dropping-particle" : "", "parse-names" : false, "suffix" : "" }, { "dropping-particle" : "", "family" : "Junqueira", "given" : "Braga", "non-dropping-particle" : "", "parse-names" : false, "suffix" : "" }, { "dropping-particle" : "", "family" : "Neves", "given" : "Eduardo G", "non-dropping-particle" : "", "parse-names" : false, "suffix" : "" }, { "dropping-particle" : "", "family" : "Teixeira", "given" : "Wenceslau G", "non-dropping-particle" : "", "parse-names" : false, "suffix" : "" }, { "dropping-particle" : "", "family" : "Woods", "given" : "William I", "non-dropping-particle" : "", "parse-names" : false, "suffix" : "" }, { "dropping-particle" : "", "family" : "Andre", "given" : "Avenue", "non-dropping-particle" : "", "parse-names" : false, "suffix" : "" } ], "container-title" : "Proceedings of the Royal Society B", "id" : "ITEM-1", "issued" : { "date-parts" : [ [ "2015" ] ] }, "title" : "The domestication of Amazonia before European conquest", "type" : "article-journal", "volume" : "282" }, "uris" : [ "http://www.mendeley.com/documents/?uuid=86979328-043d-45ea-a587-2ec5af78c07f" ] } ], "mendeley" : { "formattedCitation" : "(Clement et al., 2015)", "manualFormatting" : "Clement et al., 2015", "plainTextFormattedCitation" : "(Clement et al., 2015)", "previouslyFormattedCitation" : "(Clement et al., 2015)" }, "properties" : { "noteIndex" : 0 }, "schema" : "https://github.com/citation-style-language/schema/raw/master/csl-citation.json" }</w:instrText>
      </w:r>
      <w:r w:rsidR="00BE266F">
        <w:rPr>
          <w:rFonts w:ascii="Arial" w:hAnsi="Arial" w:cs="Arial"/>
          <w:sz w:val="24"/>
          <w:szCs w:val="24"/>
        </w:rPr>
        <w:fldChar w:fldCharType="separate"/>
      </w:r>
      <w:r w:rsidR="00CC5FD9" w:rsidRPr="00CC5FD9">
        <w:rPr>
          <w:rFonts w:ascii="Arial" w:hAnsi="Arial" w:cs="Arial"/>
          <w:noProof/>
          <w:sz w:val="24"/>
          <w:szCs w:val="24"/>
        </w:rPr>
        <w:t>Clement et al., 2015</w:t>
      </w:r>
      <w:r w:rsidR="00BE266F">
        <w:rPr>
          <w:rFonts w:ascii="Arial" w:hAnsi="Arial" w:cs="Arial"/>
          <w:sz w:val="24"/>
          <w:szCs w:val="24"/>
        </w:rPr>
        <w:fldChar w:fldCharType="end"/>
      </w:r>
      <w:r w:rsidR="00BE266F">
        <w:rPr>
          <w:rFonts w:ascii="Arial" w:hAnsi="Arial" w:cs="Arial"/>
          <w:sz w:val="24"/>
          <w:szCs w:val="24"/>
        </w:rPr>
        <w:t xml:space="preserve">; </w:t>
      </w:r>
      <w:r w:rsidR="00BE266F">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"10.1177/0959683615588372", "ISBN" : "0959683615", "ISSN" : "0959-6836", "author" : [ { "dropping-particle" : "", "family" : "Stahl", "given" : "P. W.", "non-dropping-particle" : "", "parse-names" : false, "suffix" : "" } ], "container-title" : "The Holocene", "id" : "ITEM-1", "issue" : "10", "issued" : { "date-parts" : [ [ "2015", "5", "29" ] ] }, "page" : "1598-1603", "title" : "Interpreting interfluvial landscape transformations in the pre-Columbian Amazon", "type" : "article-journal", "volume" : "25" }, "uris" : [ "http://www.mendeley.com/documents/?uuid=0b9ce3d3-a4fe-49dc-b854-590a2d2a70a2" ] } ], "mendeley" : { "formattedCitation" : "(Stahl, 2015)", "manualFormatting" : "Stahl, 2015", "plainTextFormattedCitation" : "(Stahl, 2015)", "previouslyFormattedCitation" : "(Stahl, 2015)" }, "properties" : { "noteIndex" : 0 }, "schema" : "https://github.com/citation-style-language/schema/raw/master/csl-citation.json" }</w:instrText>
      </w:r>
      <w:r w:rsidR="00BE266F">
        <w:rPr>
          <w:rFonts w:ascii="Arial" w:hAnsi="Arial" w:cs="Arial"/>
          <w:sz w:val="24"/>
          <w:szCs w:val="24"/>
        </w:rPr>
        <w:fldChar w:fldCharType="separate"/>
      </w:r>
      <w:r w:rsidR="00CC5FD9" w:rsidRPr="00CC5FD9">
        <w:rPr>
          <w:rFonts w:ascii="Arial" w:hAnsi="Arial" w:cs="Arial"/>
          <w:noProof/>
          <w:sz w:val="24"/>
          <w:szCs w:val="24"/>
        </w:rPr>
        <w:t>Stahl, 2015</w:t>
      </w:r>
      <w:r w:rsidR="00BE266F">
        <w:rPr>
          <w:rFonts w:ascii="Arial" w:hAnsi="Arial" w:cs="Arial"/>
          <w:sz w:val="24"/>
          <w:szCs w:val="24"/>
        </w:rPr>
        <w:fldChar w:fldCharType="end"/>
      </w:r>
      <w:r w:rsidR="00BE266F">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In southwestern Amazonia (Acre state, Brazil), the discovery of over 4</w:t>
      </w:r>
      <w:r w:rsidR="00BF5999">
        <w:rPr>
          <w:rFonts w:ascii="Arial" w:hAnsi="Arial" w:cs="Arial"/>
          <w:sz w:val="24"/>
          <w:szCs w:val="24"/>
        </w:rPr>
        <w:t>5</w:t>
      </w:r>
      <w:r w:rsidRPr="0032360C">
        <w:rPr>
          <w:rFonts w:ascii="Arial" w:hAnsi="Arial" w:cs="Arial"/>
          <w:sz w:val="24"/>
          <w:szCs w:val="24"/>
        </w:rPr>
        <w:t xml:space="preserve">0 geometrically-patterned earthworks (“geoglyphs”) situated in recently-deforested interfluvial areas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"P\u00e4rssinen", "given" : "Martti", "non-dropping-particle" : "", "parse-names" : false, "suffix" : "" }, { "dropping-particle" : "", "family" : "Schaan", "given" : "Denise", "non-dropping-particle" : "", "parse-names" : false, "suffix" : "" }, { "dropping-particle" : "", "family" : "Ranzi", "given" : "Alceu", "non-dropping-particle" : "", "parse-names" : false, "suffix" : "" } ], "container-title" : "Antiquity", "id" : "ITEM-1", "issue" : "December 2008", "issued" : { "date-parts" : [ [ "2009" ] ] }, "page" : "1084-1095", "title" : "Pre-Columbian geometric earthworks in the upper Purus: a complex society in western Amazonia", "type" : "article-journal", "volume" : "83" }, "uris" : [ "http://www.mendeley.com/documents/?uuid=edc33b2e-52ce-48c8-b8a3-463ea96cd990" ] } ], "mendeley" : { "formattedCitation" : "(P\u00e4rssinen et al., 2009)", "manualFormatting" : "(P\u00e4rssinen et al., 2009", "plainTextFormattedCitation" : "(P\u00e4rssinen et al., 2009)", "previouslyFormattedCitation" : "(P\u00e4rssinen et al., 2009)"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(Pärssinen et al., 2009</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"Saunaluoma", "given" : "Sanna", "non-dropping-particle" : "", "parse-names" : false, "suffix" : "" }, { "dropping-particle" : "", "family" : "Schaan", "given" : "Denise", "non-dropping-particle" : "", "parse-names" : false, "suffix" : "" } ], "container-title" : "Antiqua", "id" : "ITEM-1", "issued" : { "date-parts" : [ [ "2012" ] ] }, "title" : "Monumentality in western Amazonian formative societies: geometric ditched enclosures in the Brazilian state of Acre", "type" : "article-journal", "volume" : "2" }, "uris" : [ "http://www.mendeley.com/documents/?uuid=fc9c965e-e595-4c32-b53f-b7d49dd3e568" ] } ], "mendeley" : { "formattedCitation" : "(Saunaluoma and Schaan, 2012)", "manualFormatting" : "Saunaluoma &amp; Schaan, 2012; Schaan et al., 2012", "plainTextFormattedCitation" : "(Saunaluoma and Schaan, 2012)", "previouslyFormattedCitation" : "(Saunaluoma and Schaan, 2012)"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Saunaluoma &amp; Schaan, 2012; Schaan et al., 2012</w:t>
      </w:r>
      <w:r w:rsidRPr="0032360C">
        <w:rPr>
          <w:rFonts w:ascii="Arial" w:hAnsi="Arial" w:cs="Arial"/>
          <w:sz w:val="24"/>
          <w:szCs w:val="24"/>
        </w:rPr>
        <w:fldChar w:fldCharType="end"/>
      </w:r>
      <w:r w:rsidRPr="0032360C">
        <w:rPr>
          <w:rFonts w:ascii="Arial" w:hAnsi="Arial" w:cs="Arial"/>
          <w:sz w:val="24"/>
          <w:szCs w:val="24"/>
        </w:rPr>
        <w:t>) has sparked questions over both the nature and size of the population that built them, and the extent to which they transformed the environment for the construction and use of the sites. In a recent paper, McMichael et al.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"10.1111/jbi.12325", "ISSN" : "03050270", "author" : [ { "dropping-particle" : "", "family" : "McMichael", "given" : "Crystal H.", "non-dropping-particle" : "", "parse-names" : false, "suffix" : "" }, { "dropping-particle" : "", "family" : "Palace", "given" : "Michael W.", "non-dropping-particle" : "", "parse-names" : false, "suffix" : "" }, { "dropping-particle" : "", "family" : "Golightly", "given" : "Megan", "non-dropping-particle" : "", "parse-names" : false, "suffix" : "" } ], "container-title" : "Journal of Biogeography", "editor" : [ { "dropping-particle" : "", "family" : "Williams", "given" : "Jack", "non-dropping-particle" : "", "parse-names" : false, "suffix" : "" } ], "id" : "ITEM-1", "issued" : { "date-parts" : [ [ "2014", "4", "17" ] ] }, "title" : "Bamboo-dominated forests and pre-Columbian earthwork formations in south-western Amazonia", "type" : "article-journal" }, "uris" : [ "http://www.mendeley.com/documents/?uuid=35201339-4bd3-4f3d-8159-2de2a235a85e" ] } ], "mendeley" : { "formattedCitation" : "(McMichael et al., 2014)", "manualFormatting" : "2014", "plainTextFormattedCitation" : "(McMichael et al., 2014)", "previouslyFormattedCitation" : "(McMichael et al., 2014)"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2014</w:t>
      </w:r>
      <w:r w:rsidRPr="0032360C">
        <w:rPr>
          <w:rFonts w:ascii="Arial" w:hAnsi="Arial" w:cs="Arial"/>
          <w:sz w:val="24"/>
          <w:szCs w:val="24"/>
        </w:rPr>
        <w:fldChar w:fldCharType="end"/>
      </w:r>
      <w:r w:rsidRPr="0032360C">
        <w:rPr>
          <w:rFonts w:ascii="Arial" w:hAnsi="Arial" w:cs="Arial"/>
          <w:sz w:val="24"/>
          <w:szCs w:val="24"/>
        </w:rPr>
        <w:t>) modelled remote sensing data from the area to predict that the geoglyphs were originally constructed near the edges of bamboo (</w:t>
      </w:r>
      <w:r w:rsidRPr="0032360C">
        <w:rPr>
          <w:rFonts w:ascii="Arial" w:hAnsi="Arial" w:cs="Arial"/>
          <w:i/>
          <w:sz w:val="24"/>
          <w:szCs w:val="24"/>
        </w:rPr>
        <w:t>Guadua</w:t>
      </w:r>
      <w:r w:rsidRPr="0032360C">
        <w:rPr>
          <w:rFonts w:ascii="Arial" w:hAnsi="Arial" w:cs="Arial"/>
          <w:sz w:val="24"/>
          <w:szCs w:val="24"/>
        </w:rPr>
        <w:t>)-dominated forests. Bamboo forests today cover 161,500 km</w:t>
      </w:r>
      <w:r w:rsidRPr="0032360C">
        <w:rPr>
          <w:rFonts w:ascii="Arial" w:hAnsi="Arial" w:cs="Arial"/>
          <w:sz w:val="24"/>
          <w:szCs w:val="24"/>
          <w:vertAlign w:val="superscript"/>
        </w:rPr>
        <w:t>2</w:t>
      </w:r>
      <w:r w:rsidR="00F91FAF">
        <w:rPr>
          <w:rFonts w:ascii="Arial" w:hAnsi="Arial" w:cs="Arial"/>
          <w:sz w:val="24"/>
          <w:szCs w:val="24"/>
        </w:rPr>
        <w:t xml:space="preserve"> of southwestern Amazonia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"10.1371/journal.pone.0054852", "ISSN" : "1932-6203", "PMID" : "23359438", "abstract" : "We map the extent, infer the life-cycle length and describe spatial and temporal patterns of flowering of sarmentose bamboos (Guadua spp) in upland forests of the southwest Amazon. We first examine the spectra and the spectral separation of forests with different bamboo life stages. False-color composites from orbital sensors going back to 1975 are capable of distinguishing life stages. These woody bamboos flower produce massive quantities of seeds and then die. Life stage is synchronized, forming a single cohort within each population. Bamboo dominates at least 161,500 km(2) of forest, coincident with an area of recent or ongoing tectonic uplift, rapid mechanical erosion and poorly drained soils rich in exchangeable cations. Each bamboo population is confined to a single spatially continuous patch or to a core patch with small outliers. Using spatial congruence between pairs of mature-stage maps from different years, we estimate an average life cycle of 27-28 y. It is now possible to predict exactly where and approximately when new bamboo mortality events will occur. We also map 74 bamboo populations that flowered between 2001 and 2008 over the entire domain of bamboo-dominated forest. Population size averaged 330 km(2). Flowering events of these populations are temporally and/or spatially separated, restricting or preventing gene exchange. Nonetheless, adjacent populations flower closer in time than expected by chance, forming flowering waves. This may be a consequence of allochronic divergence from fewer ancestral populations and suggests a long history of widespread bamboo in the southwest Amazon.", "author" : [ { "dropping-particle" : "", "family" : "Carvalho", "given" : "Anelena L", "non-dropping-particle" : "de", "parse-names" : false, "suffix" : "" }, { "dropping-particle" : "", "family" : "Nelson", "given" : "Bruce W", "non-dropping-particle" : "", "parse-names" : false, "suffix" : "" }, { "dropping-particle" : "", "family" : "Bianchini", "given" : "Milton C", "non-dropping-particle" : "", "parse-names" : false, "suffix" : "" }, { "dropping-particle" : "", "family" : "Plagnol", "given" : "Daniela", "non-dropping-particle" : "", "parse-names" : false, "suffix" : "" }, { "dropping-particle" : "", "family" : "Kuplich", "given" : "Tatiana M", "non-dropping-particle" : "", "parse-names" : false, "suffix" : "" }, { "dropping-particle" : "", "family" : "Daly", "given" : "Douglas C", "non-dropping-particle" : "", "parse-names" : false, "suffix" : "" } ], "container-title" : "PloS one", "id" : "ITEM-1", "issue" : "1", "issued" : { "date-parts" : [ [ "2013", "1" ] ] }, "page" : "e54852", "title" : "Bamboo-dominated forests of the southwest Amazon: detection, spatial extent, life cycle length and flowering waves.", "type" : "article-journal", "volume" : "8" }, "uris" : [ "http://www.mendeley.com/documents/?uuid=8a9bc652-d281-40e2-9f48-aa5e3191236d" ] } ], "mendeley" : { "formattedCitation" : "(de Carvalho et al., 2013)", "plainTextFormattedCitation" : "(de Carvalho et al., 2013)", "previouslyFormattedCitation" : "(de Carvalho et al., 2013)"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(de Carvalho et al., 2013)</w:t>
      </w:r>
      <w:r w:rsidRPr="0032360C">
        <w:rPr>
          <w:rFonts w:ascii="Arial" w:hAnsi="Arial" w:cs="Arial"/>
          <w:sz w:val="24"/>
          <w:szCs w:val="24"/>
        </w:rPr>
        <w:fldChar w:fldCharType="end"/>
      </w:r>
      <w:r w:rsidRPr="0032360C">
        <w:rPr>
          <w:rFonts w:ascii="Arial" w:hAnsi="Arial" w:cs="Arial"/>
          <w:sz w:val="24"/>
          <w:szCs w:val="24"/>
        </w:rPr>
        <w:t xml:space="preserve"> and are much more open than other types of forest in the region, owing to the aggressive nature of the bamboos which kill tre</w:t>
      </w:r>
      <w:r w:rsidR="00F91FAF">
        <w:rPr>
          <w:rFonts w:ascii="Arial" w:hAnsi="Arial" w:cs="Arial"/>
          <w:sz w:val="24"/>
          <w:szCs w:val="24"/>
        </w:rPr>
        <w:t xml:space="preserve">es and restrict sapling growth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"10.1017/S0266467406003361", "ISSN" : "0266-4674", "author" : [ { "dropping-particle" : "", "family" : "Griscom", "given" : "Bronson W.", "non-dropping-particle" : "", "parse-names" : false, "suffix" : "" }, { "dropping-particle" : "", "family" : "Ashton", "given" : "P. Mark S.", "non-dropping-particle" : "", "parse-names" : false, "suffix" : "" } ], "container-title" : "Journal of Tropical Ecology", "id" : "ITEM-1", "issue" : "05", "issued" : { "date-parts" : [ [ "2006", "7", "27" ] ] }, "page" : "587", "title" : "A self-perpetuating bamboo disturbance cycle in a neotropical forest", "type" : "article-journal", "volume" : "22" }, "uris" : [ "http://www.mendeley.com/documents/?uuid=c936d0db-1e2b-41d8-819d-8a7a6a2ffd27" ] } ], "mendeley" : { "formattedCitation" : "(Griscom and Ashton, 2006)", "plainTextFormattedCitation" : "(Griscom and Ashton, 2006)", "previouslyFormattedCitation" : "(Griscom and Ashton, 2006)"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(Griscom and Ashton, 2006)</w:t>
      </w:r>
      <w:r w:rsidRPr="0032360C">
        <w:rPr>
          <w:rFonts w:ascii="Arial" w:hAnsi="Arial" w:cs="Arial"/>
          <w:sz w:val="24"/>
          <w:szCs w:val="24"/>
        </w:rPr>
        <w:fldChar w:fldCharType="end"/>
      </w:r>
      <w:r w:rsidRPr="0032360C">
        <w:rPr>
          <w:rFonts w:ascii="Arial" w:hAnsi="Arial" w:cs="Arial"/>
          <w:sz w:val="24"/>
          <w:szCs w:val="24"/>
        </w:rPr>
        <w:t>. Phytoliths from sediment cores in northern Acre close to the border with Amazonas state suggests that these forests have been a</w:t>
      </w:r>
      <w:r w:rsidR="00F91FAF">
        <w:rPr>
          <w:rFonts w:ascii="Arial" w:hAnsi="Arial" w:cs="Arial"/>
          <w:sz w:val="24"/>
          <w:szCs w:val="24"/>
        </w:rPr>
        <w:t xml:space="preserve">round for most of the Holocene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"10.1111/jbi.12002", "ISSN" : "03050270", "author" : [ { "dropping-particle" : "", "family" : "McMichael", "given" : "Crystal H.", "non-dropping-particle" : "", "parse-names" : false, "suffix" : "" }, { "dropping-particle" : "", "family" : "Bush", "given" : "Mark B.", "non-dropping-particle" : "", "parse-names" : false, "suffix" : "" }, { "dropping-particle" : "", "family" : "Silman", "given" : "Miles R.", "non-dropping-particle" : "", "parse-names" : false, "suffix" : "" }, { "dropping-particle" : "", "family" : "Piperno", "given" : "Dolores R.", "non-dropping-particle" : "", "parse-names" : false, "suffix" : "" }, { "dropping-particle" : "", "family" : "Raczka", "given" : "Marco", "non-dropping-particle" : "", "parse-names" : false, "suffix" : "" }, { "dropping-particle" : "", "family" : "Lobato", "given" : "Luiz C.", "non-dropping-particle" : "", "parse-names" : false, "suffix" : "" }, { "dropping-particle" : "", "family" : "Zimmerman", "given" : "Monica", "non-dropping-particle" : "", "parse-names" : false, "suffix" : "" }, { "dropping-particle" : "", "family" : "Hagen", "given" : "Stephen", "non-dropping-particle" : "", "parse-names" : false, "suffix" : "" }, { "dropping-particle" : "", "family" : "Palace", "given" : "Michael", "non-dropping-particle" : "", "parse-names" : false, "suffix" : "" } ], "container-title" : "Journal of Biogeography", "editor" : [ { "dropping-particle" : "", "family" : "Linder", "given" : "Peter", "non-dropping-particle" : "", "parse-names" : false, "suffix" : "" } ], "id" : "ITEM-1", "issue" : "3", "issued" : { "date-parts" : [ [ "2013", "10", "24" ] ] }, "page" : "299-309", "title" : "Historical fire and bamboo dynamics in western Amazonia", "type" : "article-journal", "volume" : "40" }, "uris" : [ "http://www.mendeley.com/documents/?uuid=6916bec7-0b28-4487-9904-77fb5e648b0d" ] } ], "mendeley" : { "formattedCitation" : "(McMichael et al., 2013)", "plainTextFormattedCitation" : "(McMichael et al., 2013)", "previouslyFormattedCitation" : "(McMichael et al., 2013)"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(McMichael et al., 2013)</w:t>
      </w:r>
      <w:r w:rsidRPr="0032360C">
        <w:rPr>
          <w:rFonts w:ascii="Arial" w:hAnsi="Arial" w:cs="Arial"/>
          <w:sz w:val="24"/>
          <w:szCs w:val="24"/>
        </w:rPr>
        <w:fldChar w:fldCharType="end"/>
      </w:r>
      <w:r w:rsidRPr="0032360C">
        <w:rPr>
          <w:rFonts w:ascii="Arial" w:hAnsi="Arial" w:cs="Arial"/>
          <w:sz w:val="24"/>
          <w:szCs w:val="24"/>
        </w:rPr>
        <w:t xml:space="preserve">. However, a recent study (Carson et al., 2014) suggests that in some areas further south, forest expanded after many prehistoric earthworks were built. It is unclear whether current forest distribution and composition mirrors that at the time of the geoglyph builders, however knowing this information is essential for understanding past human impact on the environment. If the geoglyph sites were once under bamboo forest then the task of forest clearance could have been facilitated by exploiting bamboo die-off events and the naturally more open environment afforded by this forest type. On the other hand, dense humid </w:t>
      </w:r>
      <w:r w:rsidRPr="0032360C">
        <w:rPr>
          <w:rFonts w:ascii="Arial" w:hAnsi="Arial" w:cs="Arial"/>
          <w:sz w:val="24"/>
          <w:szCs w:val="24"/>
        </w:rPr>
        <w:lastRenderedPageBreak/>
        <w:t>evergreen forest would have required much more labour to cle</w:t>
      </w:r>
      <w:r w:rsidR="00F91FAF">
        <w:rPr>
          <w:rFonts w:ascii="Arial" w:hAnsi="Arial" w:cs="Arial"/>
          <w:sz w:val="24"/>
          <w:szCs w:val="24"/>
        </w:rPr>
        <w:t xml:space="preserve">ar, especially with stone axes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"Carneiro", "given" : "Robert L", "non-dropping-particle" : "", "parse-names" : false, "suffix" : "" } ], "container-title" : "Antropol\u00f2gica", "id" : "ITEM-1", "issued" : { "date-parts" : [ [ "1979" ] ] }, "page" : "39-76", "title" : "Forest clearance among the Yanomamo: observations and implications", "type" : "article-journal", "volume" : "52" }, "uris" : [ "http://www.mendeley.com/documents/?uuid=06ab4e72-590b-46fc-9b23-d1ad26c41724" ] } ], "mendeley" : { "formattedCitation" : "(Carneiro, 1979)", "manualFormatting" : "(Carneiro, 1979", "plainTextFormattedCitation" : "(Carneiro, 1979)", "previouslyFormattedCitation" : "(Carneiro, 1979)"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(Carneiro, 1979</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"Denevan", "given" : "William M", "non-dropping-particle" : "", "parse-names" : false, "suffix" : "" } ], "container-title" : "Time and Complexity in Historical Ecology", "editor" : [ { "dropping-particle" : "", "family" : "Bal\u00e9e", "given" : "William", "non-dropping-particle" : "", "parse-names" : false, "suffix" : "" }, { "dropping-particle" : "", "family" : "Erickson", "given" : "Clark L", "non-dropping-particle" : "", "parse-names" : false, "suffix" : "" } ], "id" : "ITEM-1", "issued" : { "date-parts" : [ [ "2006" ] ] }, "page" : "153-164", "publisher" : "Columbia University Press", "publisher-place" : "New York", "title" : "Pre-European forest cultivation in Amazonia", "type" : "chapter" }, "uris" : [ "http://www.mendeley.com/documents/?uuid=802cac66-aa13-4aaa-97f0-9ce4b6a260ef" ] } ], "mendeley" : { "formattedCitation" : "(Denevan, 2006)", "manualFormatting" : "Denevan, 2006", "plainTextFormattedCitation" : "(Denevan, 2006)", "previouslyFormattedCitation" : "(Denevan, 2006)"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Denevan, 2006</w:t>
      </w:r>
      <w:r w:rsidRPr="0032360C">
        <w:rPr>
          <w:rFonts w:ascii="Arial" w:hAnsi="Arial" w:cs="Arial"/>
          <w:sz w:val="24"/>
          <w:szCs w:val="24"/>
        </w:rPr>
        <w:fldChar w:fldCharType="end"/>
      </w:r>
      <w:r w:rsidRPr="0032360C">
        <w:rPr>
          <w:rFonts w:ascii="Arial" w:hAnsi="Arial" w:cs="Arial"/>
          <w:sz w:val="24"/>
          <w:szCs w:val="24"/>
        </w:rPr>
        <w:t>). Also important is the question of what environmental legacy, if any, was left by these populations after the region was abandoned around the time of European Contact.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Palaeoecological studies are currently being conducted in Acre are aiming to answer these questions and to shed light on debates about the resilience of Amazonian ecosystems, the importance of an anthropogenic component in their conservation, and how to promote sustainable exploitation of forest resources.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The proxy we are using in these investigation</w:t>
      </w:r>
      <w:r w:rsidR="00BF5999">
        <w:rPr>
          <w:rFonts w:ascii="Arial" w:hAnsi="Arial" w:cs="Arial"/>
          <w:sz w:val="24"/>
          <w:szCs w:val="24"/>
        </w:rPr>
        <w:t>s</w:t>
      </w:r>
      <w:r w:rsidRPr="0032360C">
        <w:rPr>
          <w:rFonts w:ascii="Arial" w:hAnsi="Arial" w:cs="Arial"/>
          <w:sz w:val="24"/>
          <w:szCs w:val="24"/>
        </w:rPr>
        <w:t xml:space="preserve"> is phytolith analysis. Phytoliths are opal silica bodies produced in the leaves, stems and inflorescences of plants (Piperno, 2006) and they have several advantages for investigating human-environment relationships in the study area. Firstly, they are an essential tool for reconstructing vegetation histories in interfluvial regions because, unlike pollen, they survive very well in terrestrial soils, including in the highly oxidised, acidic soils that characterise much of Amazonia and Acre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"10.1006/qres.1996.0020", "ISSN" : "00335894", "author" : [ { "dropping-particle" : "", "family" : "Piperno", "given" : "Dolores R.", "non-dropping-particle" : "", "parse-names" : false, "suffix" : "" }, { "dropping-particle" : "", "family" : "Becker", "given" : "Peter", "non-dropping-particle" : "", "parse-names" : false, "suffix" : "" } ], "container-title" : "Quaternary Research", "id" : "ITEM-1", "issue" : "2", "issued" : { "date-parts" : [ [ "1996", "3" ] ] }, "page" : "202-209", "title" : "Vegetational history of a site in the central Amazon basin derived from phytolith and charcoal records from natural soils", "type" : "article-journal", "volume" : "45" }, "uris" : [ "http://www.mendeley.com/documents/?uuid=0e9445d9-4aa3-4751-a389-3978a7437b82" ] } ], "mendeley" : { "formattedCitation" : "(Piperno and Becker, 1996)", "manualFormatting" : "Piperno and Becker, 1996", "plainTextFormattedCitation" : "(Piperno and Becker, 1996)", "previouslyFormattedCitation" : "(Piperno and Becker, 1996)"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Piperno and Becker, 1996</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"10.5194/bg-8-1415-2011", "ISSN" : "1726-4189", "author" : [ { "dropping-particle" : "", "family" : "Quesada", "given" : "C. A", "non-dropping-particle" : "", "parse-names" : false, "suffix" : "" }, { "dropping-particle" : "", "family" : "Lloyd", "given" : "J.", "non-dropping-particle" : "", "parse-names" : false, "suffix" : "" }, { "dropping-particle" : "", "family" : "Anderson", "given" : "L. O.", "non-dropping-particle" : "", "parse-names" : false, "suffix" : "" }, { "dropping-particle" : "", "family" : "Fyllas", "given" : "N. M.", "non-dropping-particle" : "", "parse-names" : false, "suffix" : "" }, { "dropping-particle" : "", "family" : "Schwarz", "given" : "M.", "non-dropping-particle" : "", "parse-names" : false, "suffix" : "" }, { "dropping-particle" : "", "family" : "Czimczik", "given" : "C. I.", "non-dropping-particle" : "", "parse-names" : false, "suffix" : "" } ], "container-title" : "Biogeosciences", "id" : "ITEM-1", "issue" : "6", "issued" : { "date-parts" : [ [ "2011", "6", "1" ] ] }, "page" : "1415-1440", "title" : "Soils of Amazonia with particular reference to the RAINFOR sites", "type" : "article-journal", "volume" : "8" }, "uris" : [ "http://www.mendeley.com/documents/?uuid=2da8c093-fdd1-4247-910e-6ff8aa69c3f7" ] } ], "mendeley" : { "formattedCitation" : "(Quesada et al., 2011)", "manualFormatting" : "Quesada et al., 2011)", "plainTextFormattedCitation" : "(Quesada et al., 2011)", "previouslyFormattedCitation" : "(Quesada et al., 2011)"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Quesada et al., 2011)</w:t>
      </w:r>
      <w:r w:rsidRPr="0032360C">
        <w:rPr>
          <w:rFonts w:ascii="Arial" w:hAnsi="Arial" w:cs="Arial"/>
          <w:sz w:val="24"/>
          <w:szCs w:val="24"/>
        </w:rPr>
        <w:fldChar w:fldCharType="end"/>
      </w:r>
      <w:r w:rsidRPr="0032360C">
        <w:rPr>
          <w:rFonts w:ascii="Arial" w:hAnsi="Arial" w:cs="Arial"/>
          <w:sz w:val="24"/>
          <w:szCs w:val="24"/>
        </w:rPr>
        <w:t>. Secondly, as phytoliths are released into the soil where the plant dies and decomposes, they provide a highly localised signature of the vegetation in a given place, particularly beneficial for investigating the spatial extent of a vegetation typ</w:t>
      </w:r>
      <w:r w:rsidR="00BF5999">
        <w:rPr>
          <w:rFonts w:ascii="Arial" w:hAnsi="Arial" w:cs="Arial"/>
          <w:sz w:val="24"/>
          <w:szCs w:val="24"/>
        </w:rPr>
        <w:t>e or past anthropogenic impact.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lang w:val="es-ES"/>
        </w:rPr>
      </w:pPr>
      <w:r w:rsidRPr="0032360C">
        <w:rPr>
          <w:rFonts w:ascii="Arial" w:hAnsi="Arial" w:cs="Arial"/>
          <w:sz w:val="24"/>
          <w:szCs w:val="24"/>
        </w:rPr>
        <w:t xml:space="preserve">Our ability to interpret fossil phytolith assemblages, and thereby contribute to archaeological and ecological debates, relies on their comparison with phytolith assemblages present underneath standing modern vegetation. Given the complexity </w:t>
      </w:r>
      <w:r w:rsidRPr="0032360C">
        <w:rPr>
          <w:rFonts w:ascii="Arial" w:hAnsi="Arial" w:cs="Arial"/>
          <w:sz w:val="24"/>
          <w:szCs w:val="24"/>
        </w:rPr>
        <w:lastRenderedPageBreak/>
        <w:t>and heterogeneity of neotropical ecosystems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"Moran", "given" : "E F", "non-dropping-particle" : "", "parse-names" : false, "suffix" : "" } ], "id" : "ITEM-1", "issued" : { "date-parts" : [ [ "1993" ] ] }, "publisher" : "University of Iowa Press", "publisher-place" : "Iowa City", "title" : "Through Amazonian Eyes: The human ecology of Amazonian populations", "type" : "book" }, "uris" : [ "http://www.mendeley.com/documents/?uuid=3e7bef88-6d80-4ed3-9a70-02d2d8b2a850" ] } ], "mendeley" : { "formattedCitation" : "(Moran, 1993)", "manualFormatting" : "Moran, 1993; Piperno and Pearsall, 1998a)", "plainTextFormattedCitation" : "(Moran, 1993)", "previouslyFormattedCitation" : "(Moran, 1993)"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Moran, 1993</w:t>
      </w:r>
      <w:r w:rsidR="00F91FAF">
        <w:rPr>
          <w:rFonts w:ascii="Arial" w:hAnsi="Arial" w:cs="Arial"/>
          <w:noProof/>
          <w:sz w:val="24"/>
          <w:szCs w:val="24"/>
        </w:rPr>
        <w:t xml:space="preserve">; </w:t>
      </w:r>
      <w:r w:rsidR="00F91FAF" w:rsidRPr="0032360C">
        <w:rPr>
          <w:rFonts w:ascii="Arial" w:hAnsi="Arial" w:cs="Arial"/>
          <w:noProof/>
          <w:sz w:val="24"/>
          <w:szCs w:val="24"/>
        </w:rPr>
        <w:fldChar w:fldCharType="begin" w:fldLock="1"/>
      </w:r>
      <w:r w:rsidR="00F91FAF">
        <w:rPr>
          <w:rFonts w:ascii="Arial" w:hAnsi="Arial" w:cs="Arial"/>
          <w:noProof/>
          <w:sz w:val="24"/>
          <w:szCs w:val="24"/>
        </w:rPr>
        <w:instrText>ADDIN CSL_CITATION { "citationItems" : [ { "id" : "ITEM-1", "itemData" : { "author" : [ { "dropping-particle" : "", "family" : "Piperno", "given" : "D R", "non-dropping-particle" : "", "parse-names" : false, "suffix" : "" }, { "dropping-particle" : "", "family" : "Pearsall", "given" : "Deborah M", "non-dropping-particle" : "", "parse-names" : false, "suffix" : "" } ], "id" : "ITEM-1", "issued" : { "date-parts" : [ [ "1998" ] ] }, "publisher" : "Academic Press", "publisher-place" : "New York", "title" : "The Origins of Agriculture in the Lowland Neotropics", "type" : "book" }, "uris" : [ "http://www.mendeley.com/documents/?uuid=f0cacc43-0734-4b3e-899a-4f70fa9caa0e" ] } ], "mendeley" : { "formattedCitation" : "(D R Piperno and Pearsall, 1998)", "manualFormatting" : "Piperno and Pearsall, 1998", "plainTextFormattedCitation" : "(D R Piperno and Pearsall, 1998)", "previouslyFormattedCitation" : "(D R Piperno and Pearsall, 1998)" }, "properties" : { "noteIndex" : 0 }, "schema" : "https://github.com/citation-style-language/schema/raw/master/csl-citation.json" }</w:instrText>
      </w:r>
      <w:r w:rsidR="00F91FAF" w:rsidRPr="0032360C">
        <w:rPr>
          <w:rFonts w:ascii="Arial" w:hAnsi="Arial" w:cs="Arial"/>
          <w:noProof/>
          <w:sz w:val="24"/>
          <w:szCs w:val="24"/>
        </w:rPr>
        <w:fldChar w:fldCharType="separate"/>
      </w:r>
      <w:r w:rsidR="00F91FAF" w:rsidRPr="0032360C">
        <w:rPr>
          <w:rFonts w:ascii="Arial" w:hAnsi="Arial" w:cs="Arial"/>
          <w:noProof/>
          <w:sz w:val="24"/>
          <w:szCs w:val="24"/>
        </w:rPr>
        <w:t>Piperno and Pearsall, 1998</w:t>
      </w:r>
      <w:r w:rsidR="00F91FAF" w:rsidRPr="0032360C">
        <w:rPr>
          <w:rFonts w:ascii="Arial" w:hAnsi="Arial" w:cs="Arial"/>
          <w:noProof/>
          <w:sz w:val="24"/>
          <w:szCs w:val="24"/>
        </w:rPr>
        <w:fldChar w:fldCharType="end"/>
      </w:r>
      <w:r w:rsidR="00F91FAF" w:rsidRPr="0032360C">
        <w:rPr>
          <w:rFonts w:ascii="Arial" w:hAnsi="Arial" w:cs="Arial"/>
          <w:noProof/>
          <w:sz w:val="24"/>
          <w:szCs w:val="24"/>
        </w:rPr>
        <w:t>a</w:t>
      </w:r>
      <w:r w:rsidR="00CC5FD9" w:rsidRPr="00CC5FD9">
        <w:rPr>
          <w:rFonts w:ascii="Arial" w:hAnsi="Arial" w:cs="Arial"/>
          <w:noProof/>
          <w:sz w:val="24"/>
          <w:szCs w:val="24"/>
        </w:rPr>
        <w:t>)</w:t>
      </w:r>
      <w:r w:rsidRPr="0032360C">
        <w:rPr>
          <w:rFonts w:ascii="Arial" w:hAnsi="Arial" w:cs="Arial"/>
          <w:sz w:val="24"/>
          <w:szCs w:val="24"/>
        </w:rPr>
        <w:fldChar w:fldCharType="end"/>
      </w:r>
      <w:r w:rsidRPr="0032360C">
        <w:rPr>
          <w:rFonts w:ascii="Arial" w:hAnsi="Arial" w:cs="Arial"/>
          <w:sz w:val="24"/>
          <w:szCs w:val="24"/>
        </w:rPr>
        <w:t>, area-sensitive appraisals of the types of vegetation present and the ability for these to be distinguished by phytoliths are necessary to allow more accurate and finer-grained interpretations of fossil assemblages. This study is the second of a series of papers aimed at characterising phytolith assemblages from Amazonian vegetation types (Dickau et al., 2013), and is similar to studies that have been conducted in other regions of the neotropics (Piperno, 1988) and tropical Africa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"Alexandre", "given" : "A", "non-dropping-particle" : "", "parse-names" : false, "suffix" : "" }, { "dropping-particle" : "", "family" : "Meunier", "given" : "J", "non-dropping-particle" : "", "parse-names" : false, "suffix" : "" }, { "dropping-particle" : "", "family" : "Lzine", "given" : "A", "non-dropping-particle" : "", "parse-names" : false, "suffix" : "" }, { "dropping-particle" : "", "family" : "Vincens", "given" : "A", "non-dropping-particle" : "", "parse-names" : false, "suffix" : "" }, { "dropping-particle" : "", "family" : "Schwartz", "given" : "D", "non-dropping-particle" : "", "parse-names" : false, "suffix" : "" } ], "container-title" : "Palaeogeography, Palaeoclimatology, Palaeoecology", "id" : "ITEM-1", "issue" : "97", "issued" : { "date-parts" : [ [ "1997" ] ] }, "page" : "213-229", "title" : "Phytoliths: indicators of grassland dynamics during the late Holocene in intertropical Africa", "type" : "article-journal", "volume" : "136" }, "uris" : [ "http://www.mendeley.com/documents/?uuid=9c60f47e-14af-487a-9430-dcc5f858abe1" ] } ], "mendeley" : { "formattedCitation" : "(Alexandre et al., 1997)", "manualFormatting" : "Alexandre et al., 1997", "plainTextFormattedCitation" : "(Alexandre et al., 1997)", "previouslyFormattedCitation" : "(Alexandre et al., 1997)"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Alexandre et al., 1997</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"10.1016/S0034-6667(99)00018-4", "ISSN" : "00346667", "author" : [ { "dropping-particle" : "", "family" : "Runge", "given" : "Freya", "non-dropping-particle" : "", "parse-names" : false, "suffix" : "" } ], "container-title" : "Review of Palaeobotany and Palynology", "id" : "ITEM-1", "issue" : "1-2", "issued" : { "date-parts" : [ [ "1999", "9" ] ] }, "page" : "23-53", "title" : "The opal phytolith inventory of soils in central Africa \u2014quantities, shapes, classification, and spectra", "type" : "article-journal", "volume" : "107" }, "uris" : [ "http://www.mendeley.com/documents/?uuid=2c32aea2-a29e-4b1a-a8f1-5d4be495b29f" ] } ], "mendeley" : { "formattedCitation" : "(Runge, 1999)", "manualFormatting" : "Runge, 1999", "plainTextFormattedCitation" : "(Runge, 1999)", "previouslyFormattedCitation" : "(Runge, 1999)"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Runge, 1999</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"10.1016/j.gloplacha.2004.09.002", "ISSN" : "09218181", "author" : [ { "dropping-particle" : "", "family" : "Bremond", "given" : "L", "non-dropping-particle" : "", "parse-names" : false, "suffix" : "" }, { "dropping-particle" : "", "family" : "Alexandre", "given" : "A", "non-dropping-particle" : "", "parse-names" : false, "suffix" : "" }, { "dropping-particle" : "", "family" : "Hely", "given" : "C", "non-dropping-particle" : "", "parse-names" : false, "suffix" : "" }, { "dropping-particle" : "", "family" : "Guiot", "given" : "J", "non-dropping-particle" : "", "parse-names" : false, "suffix" : "" } ], "container-title" : "Global and Planetary Change", "id" : "ITEM-1", "issue" : "4", "issued" : { "date-parts" : [ [ "2005", "3" ] ] }, "page" : "277-293", "title" : "A phytolith index as a proxy of tree cover density in tropical areas: calibration with Leaf Area Index along a forest-savanna transect in southeastern Cameroon", "type" : "article-journal", "volume" : "45" }, "uris" : [ "http://www.mendeley.com/documents/?uuid=7747e827-f784-4a7f-a0ec-dcc666e7fb48" ] } ], "mendeley" : { "formattedCitation" : "(Bremond et al., 2005)", "manualFormatting" : "Bremond et al., 2005", "plainTextFormattedCitation" : "(Bremond et al., 2005)", "previouslyFormattedCitation" : "(Bremond et al., 2005)"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Bremond et al., 2005</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"10.1016/j.revpalbo.2009.07.002", "ISSN" : "00346667", "author" : [ { "dropping-particle" : "", "family" : "Barboni", "given" : "Doris", "non-dropping-particle" : "", "parse-names" : false, "suffix" : "" }, { "dropping-particle" : "", "family" : "Bremond", "given" : "Laurent", "non-dropping-particle" : "", "parse-names" : false, "suffix" : "" } ], "container-title" : "Review of Palaeobotany and Palynology", "id" : "ITEM-1", "issue" : "1-2", "issued" : { "date-parts" : [ [ "2009", "12" ] ] }, "page" : "29-41", "publisher" : "Elsevier B.V.", "title" : "Phytoliths of East African grasses: An assessment of their environmental and taxonomic significance based on floristic data", "type" : "article-journal", "volume" : "158" }, "uris" : [ "http://www.mendeley.com/documents/?uuid=63523df9-69ff-4743-89c5-2fab0ab33803" ] } ], "mendeley" : { "formattedCitation" : "(Barboni and Bremond, 2009)", "manualFormatting" : "Barboni and Bremond, 2009", "plainTextFormattedCitation" : "(Barboni and Bremond, 2009)", "previouslyFormattedCitation" : "(Barboni and Bremond, 2009)"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Barboni and Bremond, 2009</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"10.1016/j.yqres.2010.09.008", "ISSN" : "00335894", "author" : [ { "dropping-particle" : "", "family" : "Mercader", "given" : "Julio", "non-dropping-particle" : "", "parse-names" : false, "suffix" : "" }, { "dropping-particle" : "", "family" : "Bennett", "given" : "Tim", "non-dropping-particle" : "", "parse-names" : false, "suffix" : "" }, { "dropping-particle" : "", "family" : "Esselmont", "given" : "Chris", "non-dropping-particle" : "", "parse-names" : false, "suffix" : "" }, { "dropping-particle" : "", "family" : "Simpson", "given" : "Steven", "non-dropping-particle" : "", "parse-names" : false, "suffix" : "" }, { "dropping-particle" : "", "family" : "Walde", "given" : "Dale", "non-dropping-particle" : "", "parse-names" : false, "suffix" : "" } ], "container-title" : "Quaternary Research", "id" : "ITEM-1", "issue" : "1", "issued" : { "date-parts" : [ [ "2011", "1" ] ] }, "page" : "138-150", "publisher" : "University of Washington", "title" : "Soil phytoliths from miombo woodlands in Mozambique", "type" : "article-journal", "volume" : "75" }, "uris" : [ "http://www.mendeley.com/documents/?uuid=65736f10-744a-4c77-9b67-1eb6e91e1512" ] } ], "mendeley" : { "formattedCitation" : "(Mercader et al., 2011)", "manualFormatting" : "Mercader et al., 2011", "plainTextFormattedCitation" : "(Mercader et al., 2011)", "previouslyFormattedCitation" : "(Mercader et al., 2011)"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Mercader et al., 2011</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F91FAF">
        <w:rPr>
          <w:rFonts w:ascii="Arial" w:hAnsi="Arial" w:cs="Arial"/>
          <w:sz w:val="24"/>
          <w:szCs w:val="24"/>
        </w:rPr>
        <w:instrText>ADDIN CSL_CITATION { "citationItems" : [ { "id" : "ITEM-1", "itemData" : { "DOI" : "10.1111/j.1654-1103.2011.01335.x", "ISSN" : "11009233", "author" : [ { "dropping-particle" : "", "family" : "Aleman", "given" : "Julie", "non-dropping-particle" : "", "parse-names" : false, "suffix" : "" }, { "dropping-particle" : "", "family" : "Leys", "given" : "B\u00e9rang\u00e8re", "non-dropping-particle" : "", "parse-names" : false, "suffix" : "" }, { "dropping-particle" : "", "family" : "Apema", "given" : "Roger", "non-dropping-particle" : "", "parse-names" : false, "suffix" : "" }, { "dropping-particle" : "", "family" : "Bentaleb", "given" : "Ilham", "non-dropping-particle" : "", "parse-names" : false, "suffix" : "" }, { "dropping-particle" : "", "family" : "Dubois", "given" : "Marc a.", "non-dropping-particle" : "", "parse-names" : false, "suffix" : "" }, { "dropping-particle" : "", "family" : "Lamba", "given" : "Barth\u00e9l\u00e9my", "non-dropping-particle" : "", "parse-names" : false, "suffix" : "" }, { "dropping-particle" : "", "family" : "Lebamba", "given" : "Judica\u00ebl", "non-dropping-particle" : "", "parse-names" : false, "suffix" : "" }, { "dropping-particle" : "", "family" : "Martin", "given" : "C\u00e9line", "non-dropping-particle" : "", "parse-names" : false, "suffix" : "" }, { "dropping-particle" : "", "family" : "Ngomanda", "given" : "Alfred", "non-dropping-particle" : "", "parse-names" : false, "suffix" : "" }, { "dropping-particle" : "", "family" : "Truc", "given" : "Lo\u00efc", "non-dropping-particle" : "", "parse-names" : false, "suffix" : "" }, { "dropping-particle" : "", "family" : "Yangakola", "given" : "Jean-Michel", "non-dropping-particle" : "", "parse-names" : false, "suffix" : "" }, { "dropping-particle" : "", "family" : "Favier", "given" : "Charly", "non-dropping-particle" : "", "parse-names" : false, "suffix" : "" }, { "dropping-particle" : "", "family" : "Bremond", "given" : "Laurent", "non-dropping-particle" : "", "parse-names" : false, "suffix" : "" } ], "container-title" : "Journal of Vegetation Science", "editor" : [ { "dropping-particle" : "", "family" : "Woods", "given" : "Kerry", "non-dropping-particle" : "", "parse-names" : false, "suffix" : "" } ], "id" : "ITEM-1", "issue" : "1", "issued" : { "date-parts" : [ [ "2012", "2", "22" ] ] }, "page" : "187-197", "title" : "Reconstructing savanna tree cover from pollen, phytoliths and stable carbon isotopes", "type" : "article-journal", "volume" : "23" }, "uris" : [ "http://www.mendeley.com/documents/?uuid=1a9e25fb-c2df-4bdc-b225-f67d04f1da59" ] } ], "mendeley" : { "formattedCitation" : "(Aleman et al., 2012)", "manualFormatting" : "Aleman et al., 2012", "plainTextFormattedCitation" : "(Aleman et al., 2012)", "previouslyFormattedCitation" : "(Aleman et al., 2012)"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lang w:val="es-ES"/>
        </w:rPr>
        <w:t>Aleman et al., 2012</w:t>
      </w:r>
      <w:r w:rsidRPr="0032360C">
        <w:rPr>
          <w:rFonts w:ascii="Arial" w:hAnsi="Arial" w:cs="Arial"/>
          <w:sz w:val="24"/>
          <w:szCs w:val="24"/>
        </w:rPr>
        <w:fldChar w:fldCharType="end"/>
      </w:r>
      <w:r w:rsidRPr="0032360C">
        <w:rPr>
          <w:rFonts w:ascii="Arial" w:hAnsi="Arial" w:cs="Arial"/>
          <w:sz w:val="24"/>
          <w:szCs w:val="24"/>
          <w:lang w:val="es-ES"/>
        </w:rPr>
        <w:t xml:space="preserve">; </w:t>
      </w:r>
      <w:r w:rsidRPr="0032360C">
        <w:rPr>
          <w:rFonts w:ascii="Arial" w:hAnsi="Arial" w:cs="Arial"/>
          <w:sz w:val="24"/>
          <w:szCs w:val="24"/>
        </w:rPr>
        <w:fldChar w:fldCharType="begin" w:fldLock="1"/>
      </w:r>
      <w:r w:rsidR="00F91FAF">
        <w:rPr>
          <w:rFonts w:ascii="Arial" w:hAnsi="Arial" w:cs="Arial"/>
          <w:sz w:val="24"/>
          <w:szCs w:val="24"/>
          <w:lang w:val="es-ES"/>
        </w:rPr>
        <w:instrText>ADDIN CSL_CITATION { "citationItems" : [ { "id" : "ITEM-1", "itemData" : { "DOI" : "10.1016/j.revpalbo.2012.03.010", "ISSN" : "00346667", "author" : [ { "dropping-particle" : "", "family" : "Novello", "given" : "Alice", "non-dropping-particle" : "", "parse-names" : false, "suffix" : "" }, { "dropping-particle" : "", "family" : "Barboni", "given" : "Doris", "non-dropping-particle" : "", "parse-names" : false, "suffix" : "" }, { "dropping-particle" : "", "family" : "Berti-Equille", "given" : "Laure", "non-dropping-particle" : "", "parse-names" : false, "suffix" : "" }, { "dropping-particle" : "", "family" : "Mazur", "given" : "Jean-Charles", "non-dropping-particle" : "", "parse-names" : false, "suffix" : "" }, { "dropping-particle" : "", "family" : "Poilecot", "given" : "Pierre", "non-dropping-particle" : "", "parse-names" : false, "suffix" : "" }, { "dropping-particle" : "", "family" : "Vignaud", "given" : "Patrick", "non-dropping-particle" : "", "parse-names" : false, "suffix" : "" } ], "container-title" : "Review of Palaeobotany and Palynology", "id" : "ITEM-1", "issued" : { "date-parts" : [ [ "2012", "6" ] ] }, "page" : "43-58", "publisher" : "Elsevier B.V.", "title" : "Phytolith signal of aquatic plants and soils in Chad, Central Africa", "type" : "article-journal", "volume" : "178" }, "uris" : [ "http://www.mendeley.com/documents/?uuid=ddc04515-fdd5-4b9e-8b9c-0c8b733fffc7" ] } ], "mendeley" : { "formattedCitation" : "(Novello et al., 2012)", "manualFormatting" : "Novello et al., 2012)", "plainTextFormattedCitation" : "(Novello et al., 2012)", "previouslyFormattedCitation" : "(Novello et al., 2012)"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lang w:val="es-ES"/>
        </w:rPr>
        <w:t>Novello et al., 2012)</w:t>
      </w:r>
      <w:r w:rsidRPr="0032360C">
        <w:rPr>
          <w:rFonts w:ascii="Arial" w:hAnsi="Arial" w:cs="Arial"/>
          <w:sz w:val="24"/>
          <w:szCs w:val="24"/>
        </w:rPr>
        <w:fldChar w:fldCharType="end"/>
      </w:r>
      <w:r w:rsidRPr="0032360C">
        <w:rPr>
          <w:rFonts w:ascii="Arial" w:hAnsi="Arial" w:cs="Arial"/>
          <w:sz w:val="24"/>
          <w:szCs w:val="24"/>
          <w:lang w:val="es-ES"/>
        </w:rPr>
        <w:t>.</w:t>
      </w:r>
    </w:p>
    <w:p w:rsidR="00513CB5" w:rsidRPr="0032360C" w:rsidRDefault="00513CB5" w:rsidP="00513CB5">
      <w:pPr>
        <w:autoSpaceDE w:val="0"/>
        <w:autoSpaceDN w:val="0"/>
        <w:adjustRightInd w:val="0"/>
        <w:spacing w:after="0" w:line="480" w:lineRule="auto"/>
        <w:rPr>
          <w:rFonts w:ascii="Arial" w:hAnsi="Arial" w:cs="Arial"/>
          <w:sz w:val="24"/>
          <w:szCs w:val="24"/>
          <w:lang w:val="es-ES"/>
        </w:rPr>
      </w:pPr>
    </w:p>
    <w:p w:rsidR="00513CB5" w:rsidRPr="00053FFD" w:rsidRDefault="00513CB5" w:rsidP="00513CB5">
      <w:pPr>
        <w:autoSpaceDE w:val="0"/>
        <w:autoSpaceDN w:val="0"/>
        <w:adjustRightInd w:val="0"/>
        <w:spacing w:after="0" w:line="480" w:lineRule="auto"/>
        <w:rPr>
          <w:rFonts w:ascii="Arial" w:hAnsi="Arial" w:cs="Arial"/>
          <w:sz w:val="24"/>
          <w:szCs w:val="24"/>
        </w:rPr>
      </w:pPr>
      <w:r w:rsidRPr="00053FFD">
        <w:rPr>
          <w:rFonts w:ascii="Arial" w:hAnsi="Arial" w:cs="Arial"/>
          <w:sz w:val="24"/>
          <w:szCs w:val="24"/>
        </w:rPr>
        <w:t>In this study, we determined whether different modern vegetation formations present today in the geoglyph region can be differentiated by their surface soil phytolith assemblages with the view to using them as analogues to compare with assemblages from archaeological and palaeoecological contexts. The work involved (i) selecting appropriate forest types to study and determining species composition within these forests, (ii) analysing their phytolith composition, and (iii) evaluat</w:t>
      </w:r>
      <w:r w:rsidR="00A154CC" w:rsidRPr="00053FFD">
        <w:rPr>
          <w:rFonts w:ascii="Arial" w:hAnsi="Arial" w:cs="Arial"/>
          <w:sz w:val="24"/>
          <w:szCs w:val="24"/>
        </w:rPr>
        <w:t>ing</w:t>
      </w:r>
      <w:r w:rsidRPr="00053FFD">
        <w:rPr>
          <w:rFonts w:ascii="Arial" w:hAnsi="Arial" w:cs="Arial"/>
          <w:sz w:val="24"/>
          <w:szCs w:val="24"/>
        </w:rPr>
        <w:t xml:space="preserve"> the relationship between surfa</w:t>
      </w:r>
      <w:r w:rsidR="00A154CC" w:rsidRPr="00053FFD">
        <w:rPr>
          <w:rFonts w:ascii="Arial" w:hAnsi="Arial" w:cs="Arial"/>
          <w:sz w:val="24"/>
          <w:szCs w:val="24"/>
        </w:rPr>
        <w:t>ce phytolith composition and forest composition.</w:t>
      </w:r>
      <w:r w:rsidRPr="00053FFD">
        <w:rPr>
          <w:rFonts w:ascii="Arial" w:hAnsi="Arial" w:cs="Arial"/>
          <w:sz w:val="24"/>
          <w:szCs w:val="24"/>
        </w:rPr>
        <w:t xml:space="preserve"> This research provides an improved understanding of the sensitivity of phytoliths to vegetation variability and their usefulness in palaeoecological reconstructions, and offers some insites into phytolith production and deposition mechanisms.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2. Study area</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2.1 Climate and geology</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lastRenderedPageBreak/>
        <w:t>The climate of Acre state is characterised by seasonal precipitation ranging from 1566–242</w:t>
      </w:r>
      <w:r w:rsidR="00F91FAF">
        <w:rPr>
          <w:rFonts w:ascii="Arial" w:hAnsi="Arial" w:cs="Arial"/>
          <w:sz w:val="24"/>
          <w:szCs w:val="24"/>
        </w:rPr>
        <w:t xml:space="preserve">5 mm/year (average 1944 mm/year)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"Duarte", "given" : "A F", "non-dropping-particle" : "", "parse-names" : false, "suffix" : "" } ], "container-title" : "Revista Brasileira de Meteorologia", "id" : "ITEM-1", "issued" : { "date-parts" : [ [ "2005" ] ] }, "page" : "37-42", "title" : "Variabilidade e tend\u00eancia das chuvas em Rio Branco, Acre, Brasil", "type" : "article-journal", "volume" : "20" }, "uris" : [ "http://www.mendeley.com/documents/?uuid=760aa498-72f7-4ab7-9908-1c10e67322c8" ] } ], "mendeley" : { "formattedCitation" : "(Duarte, 2005)", "plainTextFormattedCitation" : "(Duarte, 2005)", "previouslyFormattedCitation" : "(Duarte, 2005)"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(Duarte, 2005)</w:t>
      </w:r>
      <w:r w:rsidRPr="0032360C">
        <w:rPr>
          <w:rFonts w:ascii="Arial" w:hAnsi="Arial" w:cs="Arial"/>
          <w:sz w:val="24"/>
          <w:szCs w:val="24"/>
        </w:rPr>
        <w:fldChar w:fldCharType="end"/>
      </w:r>
      <w:r w:rsidRPr="0032360C">
        <w:rPr>
          <w:rFonts w:ascii="Arial" w:hAnsi="Arial" w:cs="Arial"/>
          <w:sz w:val="24"/>
          <w:szCs w:val="24"/>
        </w:rPr>
        <w:t>, with the east being drier than the west. Most rainfall occurs during the rainy season (October to April), while the dry season (June to Augu</w:t>
      </w:r>
      <w:r w:rsidR="00F91FAF">
        <w:rPr>
          <w:rFonts w:ascii="Arial" w:hAnsi="Arial" w:cs="Arial"/>
          <w:sz w:val="24"/>
          <w:szCs w:val="24"/>
        </w:rPr>
        <w:t xml:space="preserve">st), can bring severe droughts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"10.1029/2006GL028946", "ISSN" : "0094-8276", "author" : [ { "dropping-particle" : "", "family" : "Arag\u00e3o", "given" : "Luiz Eduardo O. C.", "non-dropping-particle" : "", "parse-names" : false, "suffix" : "" }, { "dropping-particle" : "", "family" : "Malhi", "given" : "Yadvinder", "non-dropping-particle" : "", "parse-names" : false, "suffix" : "" }, { "dropping-particle" : "", "family" : "Roman-Cuesta", "given" : "Rosa Maria", "non-dropping-particle" : "", "parse-names" : false, "suffix" : "" }, { "dropping-particle" : "", "family" : "Saatchi", "given" : "Sassan", "non-dropping-particle" : "", "parse-names" : false, "suffix" : "" }, { "dropping-particle" : "", "family" : "Anderson", "given" : "Liana O.", "non-dropping-particle" : "", "parse-names" : false, "suffix" : "" }, { "dropping-particle" : "", "family" : "Shimabukuro", "given" : "Yosio Edemir", "non-dropping-particle" : "", "parse-names" : false, "suffix" : "" } ], "container-title" : "Geophysical Research Letters", "id" : "ITEM-1", "issue" : "7", "issued" : { "date-parts" : [ [ "2007", "4", "3" ] ] }, "page" : "L07701", "title" : "Spatial patterns and fire response of recent Amazonian droughts", "type" : "article-journal", "volume" : "34" }, "uris" : [ "http://www.mendeley.com/documents/?uuid=1ab6090f-0770-4934-a8a5-d2b02e74c9f7" ] } ], "mendeley" : { "formattedCitation" : "(Arag\u00e3o et al., 2007)", "plainTextFormattedCitation" : "(Arag\u00e3o et al., 2007)", "previouslyFormattedCitation" : "(Arag\u00e3o et al., 2007)"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(Aragão et al., 2007)</w:t>
      </w:r>
      <w:r w:rsidRPr="0032360C">
        <w:rPr>
          <w:rFonts w:ascii="Arial" w:hAnsi="Arial" w:cs="Arial"/>
          <w:sz w:val="24"/>
          <w:szCs w:val="24"/>
        </w:rPr>
        <w:fldChar w:fldCharType="end"/>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The state is situated between two geological formations: the Andes to the west and the Brazilian shield to the southeast. The orogeny of the Andes continues to form the relief, soils and hydrological basins through the uplift, deposition and re-working of sediments (Silveira et al., 2008). Acre’s “eroded washboard” relief is gently undulating with closely and regularly spaced hills over the majority of the state, only becoming steeper upstream from the major rivers. The soils are for the most part sandy clay sediments belonging to the Solimões Formation, which were formed by Andean uplift between the end of the Miocene a</w:t>
      </w:r>
      <w:r w:rsidR="00F91FAF">
        <w:rPr>
          <w:rFonts w:ascii="Arial" w:hAnsi="Arial" w:cs="Arial"/>
          <w:sz w:val="24"/>
          <w:szCs w:val="24"/>
        </w:rPr>
        <w:t xml:space="preserve">nd the Pliocene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"Westaway", "given" : "R", "non-dropping-particle" : "", "parse-names" : false, "suffix" : "" } ], "container-title" : "Journal of South American Earth Science", "id" : "ITEM-1", "issued" : { "date-parts" : [ [ "2006" ] ] }, "page" : "120-134", "title" : "Late Cenozoic sedimentary sequences in Acre state, southwestern Amazonia: fluvial or tidal? Deductions from IGCP 449 fieldtrip", "type" : "article-journal", "volume" : "21" }, "uris" : [ "http://www.mendeley.com/documents/?uuid=b9fe9e72-968b-44df-bac3-827a6cdc4fbe" ] } ], "mendeley" : { "formattedCitation" : "(Westaway, 2006)", "plainTextFormattedCitation" : "(Westaway, 2006)", "previouslyFormattedCitation" : "(Westaway, 2006)"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(Westaway, 2006)</w:t>
      </w:r>
      <w:r w:rsidRPr="0032360C">
        <w:rPr>
          <w:rFonts w:ascii="Arial" w:hAnsi="Arial" w:cs="Arial"/>
          <w:sz w:val="24"/>
          <w:szCs w:val="24"/>
        </w:rPr>
        <w:fldChar w:fldCharType="end"/>
      </w:r>
      <w:r w:rsidRPr="0032360C">
        <w:rPr>
          <w:rFonts w:ascii="Arial" w:hAnsi="Arial" w:cs="Arial"/>
          <w:sz w:val="24"/>
          <w:szCs w:val="24"/>
        </w:rPr>
        <w:t>. Like the majority of Amazonian soils, they are highly acidic, shallow and poorly drained, which gives them a low agricultural potential (Silveira et al., 2008). Many rivers drain the state in a north easterly direction, the largest of which are the Juruá and the Purus, which carry heavy sediment loads due to their meandering forms. Floodplains and terraces comprised of more fertile alluvial soils flank the Juruá, Purus, and Acre rivers, but are either absent or very limited along the smaller rivers (</w:t>
      </w:r>
      <w:r w:rsidRPr="0032360C">
        <w:rPr>
          <w:rFonts w:ascii="Arial" w:hAnsi="Arial" w:cs="Arial"/>
          <w:i/>
          <w:sz w:val="24"/>
          <w:szCs w:val="24"/>
        </w:rPr>
        <w:t>ibid.</w:t>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2.2. Archaeological background</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lastRenderedPageBreak/>
        <w:t xml:space="preserve">Despite initial investigations as part of PRONOPABA (Programa Nacional de Pesquisas Arqueológicas na Bacia Amazônica) in the 1970s, the archaeological significance of the geoglyphs remained unrecognised until they were re-discovered by chance during a </w:t>
      </w:r>
      <w:r w:rsidR="00F91FAF">
        <w:rPr>
          <w:rFonts w:ascii="Arial" w:hAnsi="Arial" w:cs="Arial"/>
          <w:sz w:val="24"/>
          <w:szCs w:val="24"/>
        </w:rPr>
        <w:t xml:space="preserve">commercial flight in the 1990s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"Ranzi", "given" : "Alceu", "non-dropping-particle" : "", "parse-names" : false, "suffix" : "" } ], "container-title" : "Western Amazonia - Amazonia Ocidental: Multidisciplinary studies on ancient expansionistic movements, fortifications and sedentary life", "editor" : [ { "dropping-particle" : "", "family" : "P\u00e4rssinen", "given" : "Martti", "non-dropping-particle" : "", "parse-names" : false, "suffix" : "" }, { "dropping-particle" : "", "family" : "Korpisaari", "given" : "A", "non-dropping-particle" : "", "parse-names" : false, "suffix" : "" } ], "id" : "ITEM-1", "issued" : { "date-parts" : [ [ "2003" ] ] }, "page" : "135-172", "publisher" : "Renvall Institute Publications 14", "title" : "Geoglifos: patrim\u00f4nio cultural do Acre", "type" : "chapter" }, "uris" : [ "http://www.mendeley.com/documents/?uuid=784fec49-9b73-423c-be36-0fe61a27befa" ] } ], "mendeley" : { "formattedCitation" : "(Ranzi, 2003)", "plainTextFormattedCitation" : "(Ranzi, 2003)", "previouslyFormattedCitation" : "(Ranzi, 2003)"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(Ranzi, 2003)</w:t>
      </w:r>
      <w:r w:rsidRPr="0032360C">
        <w:rPr>
          <w:rFonts w:ascii="Arial" w:hAnsi="Arial" w:cs="Arial"/>
          <w:sz w:val="24"/>
          <w:szCs w:val="24"/>
        </w:rPr>
        <w:fldChar w:fldCharType="end"/>
      </w:r>
      <w:r w:rsidRPr="0032360C">
        <w:rPr>
          <w:rFonts w:ascii="Arial" w:hAnsi="Arial" w:cs="Arial"/>
          <w:sz w:val="24"/>
          <w:szCs w:val="24"/>
        </w:rPr>
        <w:t>. Since then, increasing deforestation in the region and the use of free satellite imagery provided by Google Earth (Ranzi et al., 2007) has led to the discovery of over 4</w:t>
      </w:r>
      <w:r w:rsidR="00BF5999">
        <w:rPr>
          <w:rFonts w:ascii="Arial" w:hAnsi="Arial" w:cs="Arial"/>
          <w:sz w:val="24"/>
          <w:szCs w:val="24"/>
        </w:rPr>
        <w:t>5</w:t>
      </w:r>
      <w:r w:rsidRPr="0032360C">
        <w:rPr>
          <w:rFonts w:ascii="Arial" w:hAnsi="Arial" w:cs="Arial"/>
          <w:sz w:val="24"/>
          <w:szCs w:val="24"/>
        </w:rPr>
        <w:t>0 geoglyphs – geometric ditched enclosures that vary in size from less than one to 15 hectares. Most sites consist of either a square or a circle, but other shapes and combinations of shapes also exist, such as two adjoining circles or a square inside a circle (Pärssinen et al. 2009). Within their 250 km-wide distribution, circles are more common to the south, and squares to the north, and many also have roads that connect them to each other or to water courses. The sites were built by digging a ditch (on average 11.5 m wide) and setting the dirt on the outside to form a bank. The ditches were 2.5 m deep on average at the time of their construction, but today they appear shallower due to erosion (</w:t>
      </w:r>
      <w:r w:rsidRPr="0032360C">
        <w:rPr>
          <w:rFonts w:ascii="Arial" w:hAnsi="Arial" w:cs="Arial"/>
          <w:i/>
          <w:sz w:val="24"/>
          <w:szCs w:val="24"/>
        </w:rPr>
        <w:t>ibid.</w:t>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Radiocarbon dates place the geoglyph culture(s) in the Formative Period in Amazonia (1000 BC – AD 1491) and demonstrate a proliferation in site building at the turn of the Christian Era. The latest date so far obtained is from Fazenda Colorada, which had continuous human activity between 25–342 cal AD, and an additional later phase dated 1244–1378 cal AD, while dates from other sites indicate several episodes of use</w:t>
      </w:r>
      <w:r w:rsidR="00841967">
        <w:rPr>
          <w:rFonts w:ascii="Arial" w:hAnsi="Arial" w:cs="Arial"/>
          <w:sz w:val="24"/>
          <w:szCs w:val="24"/>
        </w:rPr>
        <w:t xml:space="preserve"> during the first millenium AD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"10.1179/0093469012Z.00000000012", "ISBN" : "0093469012", "ISSN" : "00934690", "author" : [ { "dropping-particle" : "", "family" : "Schaan", "given" : "Denise", "non-dropping-particle" : "", "parse-names" : false, "suffix" : "" }, { "dropping-particle" : "", "family" : "P\u00e4rssinen", "given" : "Martti", "non-dropping-particle" : "", "parse-names" : false, "suffix" : "" }, { "dropping-particle" : "", "family" : "Saunaluoma", "given" : "Sanna", "non-dropping-particle" : "", "parse-names" : false, "suffix" : "" }, { "dropping-particle" : "", "family" : "Ranzi", "given" : "Alceu", "non-dropping-particle" : "", "parse-names" : false, "suffix" : "" }, { "dropping-particle" : "", "family" : "Bueno", "given" : "Miriam", "non-dropping-particle" : "", "parse-names" : false, "suffix" : "" }, { "dropping-particle" : "", "family" : "Barbosa", "given" : "Antonia", "non-dropping-particle" : "", "parse-names" : false, "suffix" : "" } ], "container-title" : "Journal of Field Archaeology", "id" : "ITEM-1", "issue" : "2", "issued" : { "date-parts" : [ [ "2012", "5", "1" ] ] }, "page" : "132-142", "title" : "New radiometric dates for precolumbian (2000-700 B.P.) earthworks in western Amazonia, Brazil", "type" : "article-journal", "volume" : "37" }, "uris" : [ "http://www.mendeley.com/documents/?uuid=18e9ff1f-bdc5-4c6a-90e6-44cd04ff84d9" ] } ], "mendeley" : { "formattedCitation" : "(Schaan et al., 2012)", "plainTextFormattedCitation" : "(Schaan et al., 2012)", "previouslyFormattedCitation" : "(Schaan et al., 2012)"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(Schaan et al., 2012)</w:t>
      </w:r>
      <w:r w:rsidRPr="0032360C">
        <w:rPr>
          <w:rFonts w:ascii="Arial" w:hAnsi="Arial" w:cs="Arial"/>
          <w:sz w:val="24"/>
          <w:szCs w:val="24"/>
        </w:rPr>
        <w:fldChar w:fldCharType="end"/>
      </w:r>
      <w:r w:rsidR="00841967">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Excavations at several geoglyph sites since 2008 have revealed repeated patterns in their archaeological records. Most notable are the absence of artefacts deposited in </w:t>
      </w:r>
      <w:r w:rsidRPr="0032360C">
        <w:rPr>
          <w:rFonts w:ascii="Arial" w:hAnsi="Arial" w:cs="Arial"/>
          <w:sz w:val="24"/>
          <w:szCs w:val="24"/>
        </w:rPr>
        <w:lastRenderedPageBreak/>
        <w:t xml:space="preserve">the spaces enclosed by the banks and ditches, and the paucity of cultural material found at the sites in general. Such observations have led archaeologists to suggest ritual or ceremonial, rather than habitational, functions for the geoglyphs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"Saunaluoma", "given" : "Sanna", "non-dropping-particle" : "", "parse-names" : false, "suffix" : "" }, { "dropping-particle" : "", "family" : "Schaan", "given" : "Denise", "non-dropping-particle" : "", "parse-names" : false, "suffix" : "" } ], "container-title" : "Antiqua", "id" : "ITEM-1", "issued" : { "date-parts" : [ [ "2012" ] ] }, "title" : "Monumentality in western Amazonian formative societies: geometric ditched enclosures in the Brazilian state of Acre", "type" : "article-journal", "volume" : "2" }, "uris" : [ "http://www.mendeley.com/documents/?uuid=fc9c965e-e595-4c32-b53f-b7d49dd3e568" ] } ], "mendeley" : { "formattedCitation" : "(Saunaluoma and Schaan, 2012)", "plainTextFormattedCitation" : "(Saunaluoma and Schaan, 2012)", "previouslyFormattedCitation" : "(Saunaluoma and Schaan, 2012)"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(Saunaluoma and Schaan, 2012)</w:t>
      </w:r>
      <w:r w:rsidRPr="0032360C">
        <w:rPr>
          <w:rFonts w:ascii="Arial" w:hAnsi="Arial" w:cs="Arial"/>
          <w:sz w:val="24"/>
          <w:szCs w:val="24"/>
        </w:rPr>
        <w:fldChar w:fldCharType="end"/>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2.3. Vegetation formations in Acre</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Figure 1 is a map of modern vegetation formations in the study area. Botanical inventories conducted in eastern Acre have shown that its forests have floristic similarities with drier formations of the Central Amazon; and, although less diverse than forests near Manus, their alpha diversity is higher than roughly half of similar i</w:t>
      </w:r>
      <w:r w:rsidR="00841967">
        <w:rPr>
          <w:rFonts w:ascii="Arial" w:hAnsi="Arial" w:cs="Arial"/>
          <w:sz w:val="24"/>
          <w:szCs w:val="24"/>
        </w:rPr>
        <w:t xml:space="preserve">nventories throughout Amazonia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"Silveira", "given" : "Marcos", "non-dropping-particle" : "", "parse-names" : false, "suffix" : "" }, { "dropping-particle" : "", "family" : "Daly", "given" : "Douglas C", "non-dropping-particle" : "", "parse-names" : false, "suffix" : "" }, { "dropping-particle" : "", "family" : "Salimon", "given" : "C I", "non-dropping-particle" : "", "parse-names" : false, "suffix" : "" }, { "dropping-particle" : "", "family" : "Wadt", "given" : "P G S", "non-dropping-particle" : "", "parse-names" : false, "suffix" : "" }, { "dropping-particle" : "", "family" : "Amaral", "given" : "E F", "non-dropping-particle" : "do", "parse-names" : false, "suffix" : "" }, { "dropping-particle" : "", "family" : "Pereira", "given" : "M G", "non-dropping-particle" : "", "parse-names" : false, "suffix" : "" }, { "dropping-particle" : "", "family" : "Passos", "given" : "V", "non-dropping-particle" : "", "parse-names" : false, "suffix" : "" } ], "container-title" : "First Catalogue of the Flora of Acre, Brazil", "editor" : [ { "dropping-particle" : "", "family" : "Daly", "given" : "Douglas C", "non-dropping-particle" : "", "parse-names" : false, "suffix" : "" }, { "dropping-particle" : "", "family" : "Silveira", "given" : "Marcos", "non-dropping-particle" : "", "parse-names" : false, "suffix" : "" } ], "id" : "ITEM-1", "issued" : { "date-parts" : [ [ "2008" ] ] }, "page" : "37-63", "publisher" : "Universidade Federal do Acre", "publisher-place" : "Rio Branco", "title" : "Physical environments and vegetation cover of Acre", "type" : "chapter" }, "uris" : [ "http://www.mendeley.com/documents/?uuid=f736bb0e-e95b-47c4-bafb-9f49edc65ec1" ] } ], "mendeley" : { "formattedCitation" : "(Silveira et al., 2008)", "plainTextFormattedCitation" : "(Silveira et al., 2008)", "previouslyFormattedCitation" : "(Silveira et al., 2008)"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(Silveira et al., 2008)</w:t>
      </w:r>
      <w:r w:rsidRPr="0032360C">
        <w:rPr>
          <w:rFonts w:ascii="Arial" w:hAnsi="Arial" w:cs="Arial"/>
          <w:sz w:val="24"/>
          <w:szCs w:val="24"/>
        </w:rPr>
        <w:fldChar w:fldCharType="end"/>
      </w:r>
      <w:r w:rsidRPr="0032360C">
        <w:rPr>
          <w:rFonts w:ascii="Arial" w:hAnsi="Arial" w:cs="Arial"/>
          <w:sz w:val="24"/>
          <w:szCs w:val="24"/>
        </w:rPr>
        <w:t>. In contrast to the dense forests present in the Central Amazon however, most of Acre is covered by forms of open forest which allow greater light penetration to the understory and the growth of bamboo, palms and other monocots (</w:t>
      </w:r>
      <w:r w:rsidRPr="0032360C">
        <w:rPr>
          <w:rFonts w:ascii="Arial" w:hAnsi="Arial" w:cs="Arial"/>
          <w:i/>
          <w:sz w:val="24"/>
          <w:szCs w:val="24"/>
        </w:rPr>
        <w:t>ibid.</w:t>
      </w:r>
      <w:r w:rsidRPr="0032360C">
        <w:rPr>
          <w:rFonts w:ascii="Arial" w:hAnsi="Arial" w:cs="Arial"/>
          <w:sz w:val="24"/>
          <w:szCs w:val="24"/>
        </w:rPr>
        <w:t xml:space="preserve">). </w:t>
      </w:r>
    </w:p>
    <w:p w:rsidR="00513CB5" w:rsidRPr="0032360C" w:rsidRDefault="00513CB5" w:rsidP="00513CB5">
      <w:pPr>
        <w:spacing w:after="0" w:line="480" w:lineRule="auto"/>
        <w:rPr>
          <w:rFonts w:ascii="Arial" w:hAnsi="Arial" w:cs="Arial"/>
          <w:sz w:val="24"/>
          <w:szCs w:val="24"/>
        </w:rPr>
      </w:pPr>
    </w:p>
    <w:p w:rsidR="00513CB5" w:rsidRDefault="00513CB5" w:rsidP="00513CB5">
      <w:pPr>
        <w:spacing w:after="0" w:line="480" w:lineRule="auto"/>
        <w:rPr>
          <w:rFonts w:ascii="Arial" w:hAnsi="Arial" w:cs="Arial"/>
          <w:sz w:val="24"/>
          <w:szCs w:val="24"/>
        </w:rPr>
      </w:pPr>
      <w:r w:rsidRPr="0032360C">
        <w:rPr>
          <w:rFonts w:ascii="Arial" w:hAnsi="Arial" w:cs="Arial"/>
          <w:sz w:val="24"/>
          <w:szCs w:val="24"/>
        </w:rPr>
        <w:t xml:space="preserve">The First </w:t>
      </w:r>
      <w:r w:rsidR="00841967">
        <w:rPr>
          <w:rFonts w:ascii="Arial" w:hAnsi="Arial" w:cs="Arial"/>
          <w:sz w:val="24"/>
          <w:szCs w:val="24"/>
        </w:rPr>
        <w:t xml:space="preserve">Catalogue of the Flora of Acre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"Daly", "given" : "D C", "non-dropping-particle" : "", "parse-names" : false, "suffix" : "" }, { "dropping-particle" : "", "family" : "Silveira", "given" : "M", "non-dropping-particle" : "", "parse-names" : false, "suffix" : "" } ], "id" : "ITEM-1", "issued" : { "date-parts" : [ [ "2008" ] ] }, "publisher" : "Universidade Federal do Acre", "publisher-place" : "Rio Branco", "title" : "First Catalogue of the Flora of Acre", "type" : "book" }, "uris" : [ "http://www.mendeley.com/documents/?uuid=45ef0976-d4c6-407e-aa78-612d7f47bb75" ] } ], "mendeley" : { "formattedCitation" : "(Daly and Silveira, 2008)", "plainTextFormattedCitation" : "(Daly and Silveira, 2008)", "previouslyFormattedCitation" : "(Daly and Silveira, 2008)"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(Daly and Silveira, 2008)</w:t>
      </w:r>
      <w:r w:rsidRPr="0032360C">
        <w:rPr>
          <w:rFonts w:ascii="Arial" w:hAnsi="Arial" w:cs="Arial"/>
          <w:sz w:val="24"/>
          <w:szCs w:val="24"/>
        </w:rPr>
        <w:fldChar w:fldCharType="end"/>
      </w:r>
      <w:r w:rsidRPr="0032360C">
        <w:rPr>
          <w:rFonts w:ascii="Arial" w:hAnsi="Arial" w:cs="Arial"/>
          <w:sz w:val="24"/>
          <w:szCs w:val="24"/>
        </w:rPr>
        <w:t xml:space="preserve"> distinguishes five broad categories of forest type in the state. The first is open arborescent bamboo (</w:t>
      </w:r>
      <w:r w:rsidRPr="0032360C">
        <w:rPr>
          <w:rFonts w:ascii="Arial" w:hAnsi="Arial" w:cs="Arial"/>
          <w:i/>
          <w:sz w:val="24"/>
          <w:szCs w:val="24"/>
        </w:rPr>
        <w:t>Guadua werberbaueri</w:t>
      </w:r>
      <w:r w:rsidRPr="0032360C">
        <w:rPr>
          <w:rFonts w:ascii="Arial" w:hAnsi="Arial" w:cs="Arial"/>
          <w:sz w:val="24"/>
          <w:szCs w:val="24"/>
        </w:rPr>
        <w:t xml:space="preserve">) forest </w:t>
      </w:r>
      <w:r w:rsidR="00BF5999">
        <w:rPr>
          <w:rFonts w:ascii="Arial" w:hAnsi="Arial" w:cs="Arial"/>
          <w:sz w:val="24"/>
          <w:szCs w:val="24"/>
        </w:rPr>
        <w:t>already mentioned in section 1. In</w:t>
      </w:r>
      <w:r w:rsidRPr="0032360C">
        <w:rPr>
          <w:rFonts w:ascii="Arial" w:hAnsi="Arial" w:cs="Arial"/>
          <w:sz w:val="24"/>
          <w:szCs w:val="24"/>
        </w:rPr>
        <w:t xml:space="preserve"> some regions</w:t>
      </w:r>
      <w:r w:rsidR="00BF5999">
        <w:rPr>
          <w:rFonts w:ascii="Arial" w:hAnsi="Arial" w:cs="Arial"/>
          <w:sz w:val="24"/>
          <w:szCs w:val="24"/>
        </w:rPr>
        <w:t>,</w:t>
      </w:r>
      <w:r w:rsidRPr="0032360C">
        <w:rPr>
          <w:rFonts w:ascii="Arial" w:hAnsi="Arial" w:cs="Arial"/>
          <w:sz w:val="24"/>
          <w:szCs w:val="24"/>
        </w:rPr>
        <w:t xml:space="preserve"> bamboo also occurs alongside dense forest or on alluvial soils, and together these formations with bamboo make up 5</w:t>
      </w:r>
      <w:r w:rsidR="00841967">
        <w:rPr>
          <w:rFonts w:ascii="Arial" w:hAnsi="Arial" w:cs="Arial"/>
          <w:sz w:val="24"/>
          <w:szCs w:val="24"/>
        </w:rPr>
        <w:t xml:space="preserve">9% of the forest cover of Acre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"Acre", "given" : "", "non-dropping-particle" : "", "parse-names" : false, "suffix" : "" } ], "id" : "ITEM-1", "issued" : { "date-parts" : [ [ "2000" ] ] }, "publisher" : "SECTMA", "publisher-place" : "Rio Branco", "title" : "Programa Estadual de Zoneamento Ecol\u00f3gico-Econ\u00f4mico do Estado do Acre. Vol. 1. Zoneamento ecol\u00f3gico-econ\u00f4mico: Recursos naturais e Meio Ambiente - Documento Final", "type" : "book" }, "uris" : [ "http://www.mendeley.com/documents/?uuid=6213c2d6-732b-42d2-9e5d-d5df3d90137f" ] } ], "mendeley" : { "formattedCitation" : "(Acre, 2000)", "plainTextFormattedCitation" : "(Acre, 2000)", "previouslyFormattedCitation" : "(Acre, 2000)"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(Acre, 2000)</w:t>
      </w:r>
      <w:r w:rsidRPr="0032360C">
        <w:rPr>
          <w:rFonts w:ascii="Arial" w:hAnsi="Arial" w:cs="Arial"/>
          <w:sz w:val="24"/>
          <w:szCs w:val="24"/>
        </w:rPr>
        <w:fldChar w:fldCharType="end"/>
      </w:r>
      <w:r w:rsidRPr="0032360C">
        <w:rPr>
          <w:rFonts w:ascii="Arial" w:hAnsi="Arial" w:cs="Arial"/>
          <w:sz w:val="24"/>
          <w:szCs w:val="24"/>
        </w:rPr>
        <w:t xml:space="preserve">. Palm forest is the second dominant type of open forest in Acre and it can also be found intermixed with dense forest. As implied by the name, palms characterise the vegetation, with some genera such as </w:t>
      </w:r>
      <w:r w:rsidRPr="0032360C">
        <w:rPr>
          <w:rFonts w:ascii="Arial" w:hAnsi="Arial" w:cs="Arial"/>
          <w:i/>
          <w:sz w:val="24"/>
          <w:szCs w:val="24"/>
        </w:rPr>
        <w:t>Attalea</w:t>
      </w:r>
      <w:r w:rsidRPr="0032360C">
        <w:rPr>
          <w:rFonts w:ascii="Arial" w:hAnsi="Arial" w:cs="Arial"/>
          <w:sz w:val="24"/>
          <w:szCs w:val="24"/>
        </w:rPr>
        <w:t xml:space="preserve"> and </w:t>
      </w:r>
      <w:r w:rsidRPr="0032360C">
        <w:rPr>
          <w:rFonts w:ascii="Arial" w:hAnsi="Arial" w:cs="Arial"/>
          <w:i/>
          <w:sz w:val="24"/>
          <w:szCs w:val="24"/>
        </w:rPr>
        <w:t xml:space="preserve">Astrocaryum </w:t>
      </w:r>
      <w:r w:rsidRPr="0032360C">
        <w:rPr>
          <w:rFonts w:ascii="Arial" w:hAnsi="Arial" w:cs="Arial"/>
          <w:sz w:val="24"/>
          <w:szCs w:val="24"/>
        </w:rPr>
        <w:t xml:space="preserve">determining the open </w:t>
      </w:r>
      <w:r w:rsidRPr="0032360C">
        <w:rPr>
          <w:rFonts w:ascii="Arial" w:hAnsi="Arial" w:cs="Arial"/>
          <w:sz w:val="24"/>
          <w:szCs w:val="24"/>
        </w:rPr>
        <w:lastRenderedPageBreak/>
        <w:t>character of the forest due to their large leaves which shade the soil and reduce tree sapling growth. Like bamboo forests, palm forests occur on a variety of different soil types, including waterlogged alluvium (Silveira et al., 2008). Patches of dense forest occur in the lowlands of southeast Acre in interfluvial zones, often separated by areas of palm and bamboo forest. The floristic make-up of these dense humid evergreen forests is very different to the dense submontane formations found further west (Acre, 2000). Fluvial forests occur along the floodplains and banks of many of Acre’s rivers, though they do not reach as large proportions as those found in the lower courses of the tributaries of the Amazon river. There are several sub-types of fluvial forest that dominate according to the depth and duration of flooding (annually or supra-annually) and the age of the accumulated sediments (Silveira et al., 2008). Epiphytes are known to be particularly abundant and diverse in fluvial forests (</w:t>
      </w:r>
      <w:r w:rsidRPr="0032360C">
        <w:rPr>
          <w:rFonts w:ascii="Arial" w:hAnsi="Arial" w:cs="Arial"/>
          <w:i/>
          <w:sz w:val="24"/>
          <w:szCs w:val="24"/>
        </w:rPr>
        <w:t>ibid.</w:t>
      </w:r>
      <w:r w:rsidRPr="0032360C">
        <w:rPr>
          <w:rFonts w:ascii="Arial" w:hAnsi="Arial" w:cs="Arial"/>
          <w:sz w:val="24"/>
          <w:szCs w:val="24"/>
        </w:rPr>
        <w:t>).</w:t>
      </w:r>
    </w:p>
    <w:p w:rsidR="006252A4" w:rsidRDefault="006252A4" w:rsidP="00513CB5">
      <w:pPr>
        <w:spacing w:after="0" w:line="480" w:lineRule="auto"/>
        <w:rPr>
          <w:rFonts w:ascii="Arial" w:hAnsi="Arial" w:cs="Arial"/>
          <w:sz w:val="24"/>
          <w:szCs w:val="24"/>
        </w:rPr>
      </w:pPr>
    </w:p>
    <w:p w:rsidR="006252A4" w:rsidRPr="0032360C" w:rsidRDefault="006252A4"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 Methods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3.1. Vegetation and field sampling methods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3.1.1 Site selection</w:t>
      </w:r>
    </w:p>
    <w:p w:rsidR="00513CB5" w:rsidRPr="0032360C" w:rsidRDefault="00513CB5" w:rsidP="00513CB5">
      <w:pPr>
        <w:spacing w:after="0" w:line="480" w:lineRule="auto"/>
        <w:rPr>
          <w:rFonts w:ascii="Arial" w:hAnsi="Arial" w:cs="Arial"/>
          <w:b/>
          <w:sz w:val="24"/>
          <w:szCs w:val="24"/>
        </w:rPr>
      </w:pPr>
    </w:p>
    <w:p w:rsidR="00757246"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All of the formations currently found in the geoglyph region were sampled for their surface soils. These included bamboo forest, palm forest, dense humid evergreen forest, dense humid evergreen forest with high palm abundance and fluvial forest (see Figure 1 for sample locations). The decision to sample fluvial forest was based </w:t>
      </w:r>
      <w:r w:rsidRPr="0032360C">
        <w:rPr>
          <w:rFonts w:ascii="Arial" w:hAnsi="Arial" w:cs="Arial"/>
          <w:sz w:val="24"/>
          <w:szCs w:val="24"/>
        </w:rPr>
        <w:lastRenderedPageBreak/>
        <w:t>less on archaeological questions and more on the fact that phytolith assemblages from these environments in Amazonia have not been previously tested.</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For the bamboo and dense humid evergreen forests, sampling locations were based in plots with pre-existing botanical inventories monitored by the RAINFOR programme, an international collaborative project which has researched ecosystem dynamics across the Amazon since 2000, with the first plots in Acre set up in 1991 (www.rainfor.org). Species data was accessed with permission from www.forestplots.net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"Lopez-Gonzalez, G", "given" : "", "non-dropping-particle" : "", "parse-names" : false, "suffix" : "" }, { "dropping-particle" : "", "family" : "Lewis", "given" : "S L", "non-dropping-particle" : "", "parse-names" : false, "suffix" : "" }, { "dropping-particle" : "", "family" : "Burkitt", "given" : "M", "non-dropping-particle" : "", "parse-names" : false, "suffix" : "" }, { "dropping-particle" : "", "family" : "Phillips", "given" : "Oliver L", "non-dropping-particle" : "", "parse-names" : false, "suffix" : "" }, { "dropping-particle" : "", "family" : "Baker", "given" : "Timothy R", "non-dropping-particle" : "", "parse-names" : false, "suffix" : "" } ], "container-title" : "Journal of Vegetation Science", "id" : "ITEM-1", "issued" : { "date-parts" : [ [ "2011" ] ] }, "page" : "610-613", "title" : "Forestplots.net: a web application and research tool to manage and analyse tropical forest plot data", "type" : "article-journal", "volume" : "22" }, "uris" : [ "http://www.mendeley.com/documents/?uuid=cf6ad256-f82f-4617-b4c4-332958c19702" ] } ], "mendeley" : { "formattedCitation" : "(Lopez-Gonzalez, G et al., 2011)", "manualFormatting" : "Lopez-Gonzalez et al., 2011", "plainTextFormattedCitation" : "(Lopez-Gonzalez, G et al., 2011)", "previouslyFormattedCitation" : "(Lopez-Gonzalez, G et al., 2011)"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Lopez-Gonzalez et al., 2011</w:t>
      </w:r>
      <w:r w:rsidRPr="0032360C">
        <w:rPr>
          <w:rFonts w:ascii="Arial" w:hAnsi="Arial" w:cs="Arial"/>
          <w:sz w:val="24"/>
          <w:szCs w:val="24"/>
        </w:rPr>
        <w:fldChar w:fldCharType="end"/>
      </w:r>
      <w:r w:rsidRPr="0032360C">
        <w:rPr>
          <w:rFonts w:ascii="Arial" w:hAnsi="Arial" w:cs="Arial"/>
          <w:sz w:val="24"/>
          <w:szCs w:val="24"/>
        </w:rPr>
        <w:t>) and soil samples taken along transects within the 1 ha plots. For all RAINFOR plots, trees &gt;= 10 cm diameter at breast height</w:t>
      </w:r>
      <w:r w:rsidR="00A2462A" w:rsidRPr="0032360C">
        <w:rPr>
          <w:rFonts w:ascii="Arial" w:hAnsi="Arial" w:cs="Arial"/>
          <w:sz w:val="24"/>
          <w:szCs w:val="24"/>
        </w:rPr>
        <w:t xml:space="preserve"> (DBH)</w:t>
      </w:r>
      <w:r w:rsidRPr="0032360C">
        <w:rPr>
          <w:rFonts w:ascii="Arial" w:hAnsi="Arial" w:cs="Arial"/>
          <w:sz w:val="24"/>
          <w:szCs w:val="24"/>
        </w:rPr>
        <w:t xml:space="preserve">, or above buttresses and deforities were inventoried and identified to genus or species. </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As there are not currently any monitored plots with detailed inventories situated in Acre’s palm or fluvial forests, sampling locations were chosen and species presence recorded in the field</w:t>
      </w:r>
      <w:r w:rsidR="00A2462A" w:rsidRPr="0032360C">
        <w:rPr>
          <w:rFonts w:ascii="Arial" w:hAnsi="Arial" w:cs="Arial"/>
          <w:sz w:val="24"/>
          <w:szCs w:val="24"/>
        </w:rPr>
        <w:t xml:space="preserve"> for trees &gt;= 10 cm DBH</w:t>
      </w:r>
      <w:r w:rsidRPr="0032360C">
        <w:rPr>
          <w:rFonts w:ascii="Arial" w:hAnsi="Arial" w:cs="Arial"/>
          <w:sz w:val="24"/>
          <w:szCs w:val="24"/>
        </w:rPr>
        <w:t xml:space="preserve">. The palm forest sampled in this analysis is an area for which botanical inventories are currently being created in collaboration with UFAC (Universidade Federal do Acre) and timber extractors working in nearby reserves. A narrow strip of forest located on the floodplains of the Rio Andira was chosen for the fluvial forest samples based on ease of accessibility. This small river </w:t>
      </w:r>
      <w:r w:rsidR="00DB3D69" w:rsidRPr="0032360C">
        <w:rPr>
          <w:rFonts w:ascii="Arial" w:hAnsi="Arial" w:cs="Arial"/>
          <w:sz w:val="24"/>
          <w:szCs w:val="24"/>
        </w:rPr>
        <w:t>(</w:t>
      </w:r>
      <w:r w:rsidR="00DB3D69" w:rsidRPr="0032360C">
        <w:rPr>
          <w:rFonts w:ascii="Arial" w:hAnsi="Arial" w:cs="Arial"/>
          <w:i/>
          <w:sz w:val="24"/>
          <w:szCs w:val="24"/>
        </w:rPr>
        <w:t>riozinho</w:t>
      </w:r>
      <w:r w:rsidR="00DB3D69" w:rsidRPr="0032360C">
        <w:rPr>
          <w:rFonts w:ascii="Arial" w:hAnsi="Arial" w:cs="Arial"/>
          <w:sz w:val="24"/>
          <w:szCs w:val="24"/>
        </w:rPr>
        <w:t xml:space="preserve">) </w:t>
      </w:r>
      <w:r w:rsidRPr="0032360C">
        <w:rPr>
          <w:rFonts w:ascii="Arial" w:hAnsi="Arial" w:cs="Arial"/>
          <w:sz w:val="24"/>
          <w:szCs w:val="24"/>
        </w:rPr>
        <w:t xml:space="preserve">is a tributary of the Purus, which has its origin in the Peruvian sub-Andes and drains the Brazilian states of Acre and Amazonas in a northeasterly direction before eventually joining with the Solimões/Amazon river west of Manaus. Every year between December and April, the waters of the Rio Andira </w:t>
      </w:r>
      <w:r w:rsidRPr="0032360C">
        <w:rPr>
          <w:rFonts w:ascii="Arial" w:hAnsi="Arial" w:cs="Arial"/>
          <w:sz w:val="24"/>
          <w:szCs w:val="24"/>
        </w:rPr>
        <w:lastRenderedPageBreak/>
        <w:t>rise as high as 15 m, completely covering the forest floor and often flooding the adjacent highway.</w:t>
      </w: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Naming, location and species data for all of the forest plots are provided in Table 1.</w:t>
      </w:r>
    </w:p>
    <w:p w:rsidR="00463C14" w:rsidRPr="0032360C" w:rsidRDefault="00463C14" w:rsidP="00463C14">
      <w:pPr>
        <w:spacing w:after="0" w:line="480" w:lineRule="auto"/>
        <w:rPr>
          <w:rFonts w:ascii="Arial" w:hAnsi="Arial" w:cs="Arial"/>
          <w:b/>
          <w:sz w:val="24"/>
          <w:szCs w:val="24"/>
        </w:rPr>
      </w:pPr>
    </w:p>
    <w:p w:rsidR="00463C14" w:rsidRPr="0032360C" w:rsidRDefault="00463C14" w:rsidP="00463C14">
      <w:pPr>
        <w:spacing w:after="0" w:line="480" w:lineRule="auto"/>
        <w:rPr>
          <w:rFonts w:ascii="Arial" w:hAnsi="Arial" w:cs="Arial"/>
          <w:b/>
        </w:rPr>
      </w:pPr>
      <w:r w:rsidRPr="0032360C">
        <w:rPr>
          <w:rFonts w:ascii="Arial" w:hAnsi="Arial" w:cs="Arial"/>
          <w:b/>
          <w:sz w:val="24"/>
          <w:szCs w:val="24"/>
        </w:rPr>
        <w:t xml:space="preserve">Figure 1: </w:t>
      </w:r>
      <w:r w:rsidRPr="0032360C">
        <w:rPr>
          <w:rFonts w:ascii="Arial" w:hAnsi="Arial" w:cs="Arial"/>
          <w:sz w:val="24"/>
          <w:szCs w:val="24"/>
        </w:rPr>
        <w:t>Map of vegetation formations and plot locations</w:t>
      </w:r>
    </w:p>
    <w:p w:rsidR="00463C14" w:rsidRPr="0032360C" w:rsidRDefault="00463C14"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b/>
          <w:sz w:val="24"/>
          <w:szCs w:val="24"/>
        </w:rPr>
        <w:t>Table 1:</w:t>
      </w:r>
      <w:r w:rsidRPr="0032360C">
        <w:rPr>
          <w:rFonts w:ascii="Arial" w:hAnsi="Arial" w:cs="Arial"/>
          <w:sz w:val="24"/>
          <w:szCs w:val="24"/>
        </w:rPr>
        <w:t xml:space="preserve"> Naming, location and species data for all forest</w:t>
      </w:r>
      <w:r w:rsidR="0006529C">
        <w:rPr>
          <w:rFonts w:ascii="Arial" w:hAnsi="Arial" w:cs="Arial"/>
          <w:sz w:val="24"/>
          <w:szCs w:val="24"/>
        </w:rPr>
        <w:t xml:space="preserve"> plots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3.1.2. Surface soil sampling</w:t>
      </w: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Ten samples were collected from each vegetation community listed in Table 1. The RAINFOR plots (POR-01, POR-02 and RFH-1) all measured 1 ha in area, though the area dimensions differed from 25 x 400 m in the bamboo forest to 10 x 1000 m in the dense humid evergreen forests. Samples were therefore taken every 50 m in the bamboo forest and every 100 m in the dense humid evergreen forests to ensure that the entirety of the transects were sampled (See Table 2). In the palm and fluvial forests, samples were taken every 50 m and species presence data recorded along the length and up to roughly 5 m either side of the transect.</w:t>
      </w:r>
      <w:r w:rsidRPr="0032360C" w:rsidDel="00AB02E8">
        <w:rPr>
          <w:rFonts w:ascii="Arial" w:hAnsi="Arial" w:cs="Arial"/>
          <w:sz w:val="24"/>
          <w:szCs w:val="24"/>
        </w:rPr>
        <w:t xml:space="preserve"> </w:t>
      </w:r>
    </w:p>
    <w:p w:rsidR="00E57D24" w:rsidRPr="0032360C" w:rsidRDefault="00E57D24" w:rsidP="00513CB5">
      <w:pPr>
        <w:spacing w:after="0" w:line="480" w:lineRule="auto"/>
        <w:rPr>
          <w:rFonts w:ascii="Arial" w:hAnsi="Arial" w:cs="Arial"/>
          <w:sz w:val="24"/>
          <w:szCs w:val="24"/>
        </w:rPr>
      </w:pPr>
    </w:p>
    <w:p w:rsidR="00E57D24" w:rsidRPr="0032360C" w:rsidRDefault="00E57D24" w:rsidP="00513CB5">
      <w:pPr>
        <w:spacing w:after="0" w:line="480" w:lineRule="auto"/>
        <w:rPr>
          <w:rFonts w:ascii="Arial" w:hAnsi="Arial" w:cs="Arial"/>
          <w:sz w:val="24"/>
          <w:szCs w:val="24"/>
        </w:rPr>
      </w:pPr>
      <w:r w:rsidRPr="0032360C">
        <w:rPr>
          <w:rFonts w:ascii="Arial" w:hAnsi="Arial" w:cs="Arial"/>
          <w:b/>
          <w:sz w:val="24"/>
          <w:szCs w:val="24"/>
        </w:rPr>
        <w:t>Table 2:</w:t>
      </w:r>
      <w:r w:rsidRPr="0032360C">
        <w:rPr>
          <w:rFonts w:ascii="Arial" w:hAnsi="Arial" w:cs="Arial"/>
          <w:sz w:val="24"/>
          <w:szCs w:val="24"/>
        </w:rPr>
        <w:t xml:space="preserve"> Key of sample abbreviations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During sampling, care was taken to remove the leaf litter layer (A</w:t>
      </w:r>
      <w:r w:rsidRPr="0032360C">
        <w:rPr>
          <w:rFonts w:ascii="Arial" w:hAnsi="Arial" w:cs="Arial"/>
          <w:sz w:val="24"/>
          <w:szCs w:val="24"/>
          <w:vertAlign w:val="subscript"/>
        </w:rPr>
        <w:t>0</w:t>
      </w:r>
      <w:r w:rsidRPr="0032360C">
        <w:rPr>
          <w:rFonts w:ascii="Arial" w:hAnsi="Arial" w:cs="Arial"/>
          <w:sz w:val="24"/>
          <w:szCs w:val="24"/>
        </w:rPr>
        <w:t>) so as not to bias the phytolith assemblage with recently-fallen plant material. Around 300</w:t>
      </w:r>
      <w:r w:rsidR="0006529C">
        <w:rPr>
          <w:rFonts w:ascii="Arial" w:hAnsi="Arial" w:cs="Arial"/>
          <w:sz w:val="24"/>
          <w:szCs w:val="24"/>
        </w:rPr>
        <w:t xml:space="preserve"> </w:t>
      </w:r>
      <w:r w:rsidRPr="0032360C">
        <w:rPr>
          <w:rFonts w:ascii="Arial" w:hAnsi="Arial" w:cs="Arial"/>
          <w:sz w:val="24"/>
          <w:szCs w:val="24"/>
        </w:rPr>
        <w:t>ml of the top 2–3</w:t>
      </w:r>
      <w:r w:rsidR="0006529C">
        <w:rPr>
          <w:rFonts w:ascii="Arial" w:hAnsi="Arial" w:cs="Arial"/>
          <w:sz w:val="24"/>
          <w:szCs w:val="24"/>
        </w:rPr>
        <w:t xml:space="preserve"> </w:t>
      </w:r>
      <w:r w:rsidRPr="0032360C">
        <w:rPr>
          <w:rFonts w:ascii="Arial" w:hAnsi="Arial" w:cs="Arial"/>
          <w:sz w:val="24"/>
          <w:szCs w:val="24"/>
        </w:rPr>
        <w:t>cm of the exposed A</w:t>
      </w:r>
      <w:r w:rsidRPr="0032360C">
        <w:rPr>
          <w:rFonts w:ascii="Arial" w:hAnsi="Arial" w:cs="Arial"/>
          <w:sz w:val="24"/>
          <w:szCs w:val="24"/>
          <w:vertAlign w:val="subscript"/>
        </w:rPr>
        <w:t>1</w:t>
      </w:r>
      <w:r w:rsidRPr="0032360C">
        <w:rPr>
          <w:rFonts w:ascii="Arial" w:hAnsi="Arial" w:cs="Arial"/>
          <w:sz w:val="24"/>
          <w:szCs w:val="24"/>
        </w:rPr>
        <w:t xml:space="preserve"> surface was sampled. All ten samples from each vegetation plot were processed and their phytolith assemblages recorded.</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lastRenderedPageBreak/>
        <w:t>3.2. Phytolith methods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3.2.1. Laboratory methods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Phytolith extraction followed the wet oxidation procedures described in Piperno (2006). 100 ml of soil was mixed with hot water and sodium hetamexaphosphate and agitated for 24 hours to deflocculate the soil. Clays were removed by gravity sedimentation and the sample sieved into the silt (“A”, &lt; 53 µm) and sand (“C”, 53–250 µm) fractions before a series of chemical washes. Hydrochloric acid (37%) was used to remove carbonates and Nitric acid (60%), heated to 90°C, to remove organics. Potassium chlorate was added to samples heated in the Nitric acid to aid the reaction. Phytoliths were floated from the sediment using Zinc bromide prepared to a specific gravity of 2.3 g/cm</w:t>
      </w:r>
      <w:r w:rsidRPr="0032360C">
        <w:rPr>
          <w:rFonts w:ascii="Arial" w:hAnsi="Arial" w:cs="Arial"/>
          <w:sz w:val="24"/>
          <w:szCs w:val="24"/>
          <w:vertAlign w:val="superscript"/>
        </w:rPr>
        <w:t>3</w:t>
      </w:r>
      <w:r w:rsidRPr="0032360C">
        <w:rPr>
          <w:rFonts w:ascii="Arial" w:hAnsi="Arial" w:cs="Arial"/>
          <w:sz w:val="24"/>
          <w:szCs w:val="24"/>
        </w:rPr>
        <w:t>, treated with Acetone and left to dry for 24 hours. Entellan mounting medium was used to allow the three-dimensional rotation of phytoliths during analysis.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The A-fraction was analysed under 500x magnification and a minimum of 200 phytoliths counted per sample. In contrast, all of the phytoliths present on the C-fraction slide were counted and scanned under 200x magnification. Only those phytoliths with some taxonomic significance were recorded.</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3.2.2. Phytolith identification</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Phytolith identification was carried out using a range of published atlases from the neotropics, tropica</w:t>
      </w:r>
      <w:r w:rsidR="00841967">
        <w:rPr>
          <w:rFonts w:ascii="Arial" w:hAnsi="Arial" w:cs="Arial"/>
          <w:sz w:val="24"/>
          <w:szCs w:val="24"/>
        </w:rPr>
        <w:t xml:space="preserve">l Africa, Asia and Australasia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"Piperno", "given" : "Dolores R.", "non-dropping-particle" : "", "parse-names" : false, "suffix" : "" } ], "id" : "ITEM-1", "issued" : { "date-parts" : [ [ "1988" ] ] }, "publisher" : "Academic Press", "publisher-place" : "San Diego", "title" : "Phytolith Analysis: An Archaeological and Geological Perspective", "type" : "book" }, "uris" : [ "http://www.mendeley.com/documents/?uuid=3f2843eb-2970-443e-93d1-aa07f15b62a3" ] } ], "mendeley" : { "formattedCitation" : "(Piperno, 1988)", "manualFormatting" : "(Piperno, 1988", "plainTextFormattedCitation" : "(Piperno, 1988)", "previouslyFormattedCitation" : "(Piperno, 1988)"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(Piperno, 1988</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"Kondo", "given" : "R", "non-dropping-particle" : "", "parse-names" : false, "suffix" : "" }, { "dropping-particle" : "", "family" : "Childs", "given" : "C", "non-dropping-particle" : "", "parse-names" : false, "suffix" : "" }, { "dropping-particle" : "", "family" : "Atkinson", "given" : "L", "non-dropping-particle" : "", "parse-names" : false, "suffix" : "" } ], "id" : "ITEM-1", "issued" : { "date-parts" : [ [ "1994" ] ] }, "publisher" : "Manaaki Press", "publisher-place" : "Lincoln, New Zealand", "title" : "Opal Phytoliths of New Zealand", "type" : "book" }, "uris" : [ "http://www.mendeley.com/documents/?uuid=eae3bb84-ca43-4e3b-b431-095bc9a64c33" ] } ], "mendeley" : { "formattedCitation" : "(Kondo et al., 1994)", "manualFormatting" : "Kondo et al., 1994", "plainTextFormattedCitation" : "(Kondo et al., 1994)", "previouslyFormattedCitation" : "(Kondo et al., 1994)"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Kondo et al., 1994</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lastRenderedPageBreak/>
        <w:fldChar w:fldCharType="begin" w:fldLock="1"/>
      </w:r>
      <w:r w:rsidR="00CC5FD9">
        <w:rPr>
          <w:rFonts w:ascii="Arial" w:hAnsi="Arial" w:cs="Arial"/>
          <w:sz w:val="24"/>
          <w:szCs w:val="24"/>
        </w:rPr>
        <w:instrText>ADDIN CSL_CITATION { "citationItems" : [ { "id" : "ITEM-1", "itemData" : { "DOI" : "10.5479/si.0081024X.85", "ISSN" : "0081024X", "author" : [ { "dropping-particle" : "", "family" : "Piperno", "given" : "Dolores R.", "non-dropping-particle" : "", "parse-names" : false, "suffix" : "" }, { "dropping-particle" : "", "family" : "Pearsall", "given" : "Deborah M.", "non-dropping-particle" : "", "parse-names" : false, "suffix" : "" } ], "container-title" : "Smithsonian Contributions to Botany", "id" : "ITEM-1", "issued" : { "date-parts" : [ [ "1998" ] ] }, "page" : "1-40", "title" : "The Silica Bodies of Tropical American Grasses: Morphology, Taxonomy, and Implications for Grass Systematics and Fossil Phytolith Identification", "type" : "article-journal", "volume" : "85" }, "uris" : [ "http://www.mendeley.com/documents/?uuid=7318e482-871d-4738-a144-a4d6ae2a2d39" ] } ], "mendeley" : { "formattedCitation" : "(Dolores R. Piperno and Pearsall, 1998)", "manualFormatting" : "Piperno and Pearsall, 1998", "plainTextFormattedCitation" : "(Dolores R. Piperno and Pearsall, 1998)", "previouslyFormattedCitation" : "(Dolores R. Piperno and Pearsall, 1998)"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Piperno and Pearsall, 1998</w:t>
      </w:r>
      <w:r w:rsidRPr="0032360C">
        <w:rPr>
          <w:rFonts w:ascii="Arial" w:hAnsi="Arial" w:cs="Arial"/>
          <w:sz w:val="24"/>
          <w:szCs w:val="24"/>
        </w:rPr>
        <w:fldChar w:fldCharType="end"/>
      </w:r>
      <w:r w:rsidR="00841967">
        <w:rPr>
          <w:rFonts w:ascii="Arial" w:hAnsi="Arial" w:cs="Arial"/>
          <w:sz w:val="24"/>
          <w:szCs w:val="24"/>
        </w:rPr>
        <w:t>b;</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"Boyd", "given" : "W E", "non-dropping-particle" : "", "parse-names" : false, "suffix" : "" }, { "dropping-particle" : "", "family" : "Lentfer", "given" : "C J", "non-dropping-particle" : "", "parse-names" : false, "suffix" : "" }, { "dropping-particle" : "", "family" : "Torrence", "given" : "R", "non-dropping-particle" : "", "parse-names" : false, "suffix" : "" } ], "container-title" : "Palynology", "id" : "ITEM-1", "issued" : { "date-parts" : [ [ "1998" ] ] }, "page" : "213-228", "title" : "Phytolith analysis for wet tropics environment: methodological issues and implications for the archaeology of Garua Island, West New Britain, Papua New Guinea", "type" : "article-journal", "volume" : "22" }, "uris" : [ "http://www.mendeley.com/documents/?uuid=4b691574-2346-4c05-a892-ec357be37e17" ] } ], "mendeley" : { "formattedCitation" : "(Boyd et al., 1998)", "manualFormatting" : " Boyd et al., 1998", "plainTextFormattedCitation" : "(Boyd et al., 1998)", "previouslyFormattedCitation" : "(Boyd et al., 1998)" }, "properties" : { "noteIndex" : 0 }, "schema" : "https://github.com/citation-style-language/schema/raw/master/csl-citation.json" }</w:instrText>
      </w:r>
      <w:r w:rsidRPr="0032360C">
        <w:rPr>
          <w:rFonts w:ascii="Arial" w:hAnsi="Arial" w:cs="Arial"/>
          <w:sz w:val="24"/>
          <w:szCs w:val="24"/>
        </w:rPr>
        <w:fldChar w:fldCharType="separate"/>
      </w:r>
      <w:r w:rsidR="00F91FAF">
        <w:rPr>
          <w:rFonts w:ascii="Arial" w:hAnsi="Arial" w:cs="Arial"/>
          <w:noProof/>
          <w:sz w:val="24"/>
          <w:szCs w:val="24"/>
        </w:rPr>
        <w:t xml:space="preserve"> </w:t>
      </w:r>
      <w:r w:rsidR="00CC5FD9" w:rsidRPr="00CC5FD9">
        <w:rPr>
          <w:rFonts w:ascii="Arial" w:hAnsi="Arial" w:cs="Arial"/>
          <w:noProof/>
          <w:sz w:val="24"/>
          <w:szCs w:val="24"/>
        </w:rPr>
        <w:t>Boyd et al., 1998</w:t>
      </w:r>
      <w:r w:rsidRPr="0032360C">
        <w:rPr>
          <w:rFonts w:ascii="Arial" w:hAnsi="Arial" w:cs="Arial"/>
          <w:sz w:val="24"/>
          <w:szCs w:val="24"/>
        </w:rPr>
        <w:fldChar w:fldCharType="end"/>
      </w:r>
      <w:r w:rsidRPr="0032360C">
        <w:rPr>
          <w:rFonts w:ascii="Arial" w:hAnsi="Arial" w:cs="Arial"/>
          <w:sz w:val="24"/>
          <w:szCs w:val="24"/>
        </w:rPr>
        <w:t xml:space="preserve">, </w:t>
      </w:r>
      <w:r w:rsidR="00841967" w:rsidRPr="0032360C">
        <w:rPr>
          <w:rFonts w:ascii="Arial" w:hAnsi="Arial" w:cs="Arial"/>
          <w:sz w:val="24"/>
          <w:szCs w:val="24"/>
        </w:rPr>
        <w:t>Runge, 1999</w:t>
      </w:r>
      <w:r w:rsidR="00841967">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"DOI" : "10.1016/S0272-7714(03)00137-9", "ISSN" : "02727714", "author" : [ { "dropping-particle" : "", "family" : "Lu", "given" : "Houyuan", "non-dropping-particle" : "", "parse-names" : false, "suffix" : "" }, { "dropping-particle" : "", "family" : "Liu", "given" : "Kam-biu", "non-dropping-particle" : "", "parse-names" : false, "suffix" : "" } ], "container-title" : "Estuarine, Coastal and Shelf Science", "id" : "ITEM-1", "issue" : "3", "issued" : { "date-parts" : [ [ "2003", "11" ] ] }, "page" : "587-600", "title" : "Phytoliths of common grasses in the coastal environments of southeastern USA", "type" : "article-journal", "volume" : "58" }, "uris" : [ "http://www.mendeley.com/documents/?uuid=0acc3487-10ed-4750-8aca-875fa46b8676" ] } ], "mendeley" : { "formattedCitation" : "(Lu and Liu, 2003)", "manualFormatting" : "Lu and Liu, 2003", "plainTextFormattedCitation" : "(Lu and Liu, 2003)", "previouslyFormattedCitation" : "(Lu and Liu, 2003)"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Lu and Liu, 2003</w:t>
      </w:r>
      <w:r w:rsidRPr="0032360C">
        <w:rPr>
          <w:rFonts w:ascii="Arial" w:hAnsi="Arial" w:cs="Arial"/>
          <w:sz w:val="24"/>
          <w:szCs w:val="24"/>
        </w:rPr>
        <w:fldChar w:fldCharType="end"/>
      </w:r>
      <w:r w:rsidRPr="0032360C">
        <w:rPr>
          <w:rFonts w:ascii="Arial" w:hAnsi="Arial" w:cs="Arial"/>
          <w:sz w:val="24"/>
          <w:szCs w:val="24"/>
        </w:rPr>
        <w:t>;</w:t>
      </w:r>
      <w:r w:rsidR="00841967" w:rsidRPr="00841967">
        <w:rPr>
          <w:rFonts w:ascii="Arial" w:hAnsi="Arial" w:cs="Arial"/>
          <w:noProof/>
          <w:sz w:val="24"/>
          <w:szCs w:val="24"/>
        </w:rPr>
        <w:t xml:space="preserve"> </w:t>
      </w:r>
      <w:r w:rsidR="00841967" w:rsidRPr="00CC5FD9">
        <w:rPr>
          <w:rFonts w:ascii="Arial" w:hAnsi="Arial" w:cs="Arial"/>
          <w:noProof/>
          <w:sz w:val="24"/>
          <w:szCs w:val="24"/>
        </w:rPr>
        <w:t>Wallis, 2003</w:t>
      </w:r>
      <w:r w:rsidR="00841967">
        <w:rPr>
          <w:rFonts w:ascii="Arial" w:hAnsi="Arial" w:cs="Arial"/>
          <w:noProof/>
          <w:sz w:val="24"/>
          <w:szCs w:val="24"/>
        </w:rPr>
        <w:t>;</w:t>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"Chandler-Ezell", "given" : "Karol", "non-dropping-particle" : "", "parse-names" : false, "suffix" : "" }, { "dropping-particle" : "", "family" : "Pearsall", "given" : "Deborah M", "non-dropping-particle" : "", "parse-names" : false, "suffix" : "" }, { "dropping-particle" : "", "family" : "Zeidler", "given" : "James A", "non-dropping-particle" : "", "parse-names" : false, "suffix" : "" } ], "container-title" : "Economic Botany", "id" : "ITEM-1", "issue" : "2", "issued" : { "date-parts" : [ [ "2006" ] ] }, "page" : "103-120", "title" : "Root and tuber phytoliths and starch grains document Manioc (Manihot escuelenta), arrowroot (Maranta aruniacea), and ller\u00e9n (Calathea sp.) at the Real Alto site, Ecuador", "type" : "article-journal", "volume" : "60" }, "uris" : [ "http://www.mendeley.com/documents/?uuid=dd6a2a6e-1550-4e10-a4f2-5d6aa84ec40a" ] } ], "mendeley" : { "formattedCitation" : "(Chandler-Ezell et al., 2006)", "manualFormatting" : "Chandler-Ezell et al., 2006", "plainTextFormattedCitation" : "(Chandler-Ezell et al., 2006)", "previouslyFormattedCitation" : "(Chandler-Ezell et al., 2006)"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Chandler-Ezell et al., 2006</w:t>
      </w:r>
      <w:r w:rsidRPr="0032360C">
        <w:rPr>
          <w:rFonts w:ascii="Arial" w:hAnsi="Arial" w:cs="Arial"/>
          <w:sz w:val="24"/>
          <w:szCs w:val="24"/>
        </w:rPr>
        <w:fldChar w:fldCharType="end"/>
      </w:r>
      <w:r w:rsidRPr="0032360C">
        <w:rPr>
          <w:rFonts w:ascii="Arial" w:hAnsi="Arial" w:cs="Arial"/>
          <w:sz w:val="24"/>
          <w:szCs w:val="24"/>
        </w:rPr>
        <w:t>,</w:t>
      </w:r>
      <w:r w:rsidR="00F91FAF">
        <w:rPr>
          <w:rFonts w:ascii="Arial" w:hAnsi="Arial" w:cs="Arial"/>
          <w:sz w:val="24"/>
          <w:szCs w:val="24"/>
        </w:rPr>
        <w:t xml:space="preserve"> </w:t>
      </w:r>
      <w:r w:rsidR="00F91FAF">
        <w:rPr>
          <w:rFonts w:ascii="Arial" w:hAnsi="Arial" w:cs="Arial"/>
          <w:sz w:val="24"/>
          <w:szCs w:val="24"/>
        </w:rPr>
        <w:fldChar w:fldCharType="begin" w:fldLock="1"/>
      </w:r>
      <w:r w:rsidR="00F91FAF">
        <w:rPr>
          <w:rFonts w:ascii="Arial" w:hAnsi="Arial" w:cs="Arial"/>
          <w:sz w:val="24"/>
          <w:szCs w:val="24"/>
        </w:rPr>
        <w:instrText>ADDIN CSL_CITATION { "citationItems" : [ { "id" : "ITEM-1", "itemData" : { "author" : [ { "dropping-particle" : "", "family" : "Piperno", "given" : "Dolores R.", "non-dropping-particle" : "", "parse-names" : false, "suffix" : "" } ], "id" : "ITEM-1", "issued" : { "date-parts" : [ [ "2006" ] ] }, "publisher" : "Altimira Press", "publisher-place" : "Oxford", "title" : "Phytoliths: A comprehensive guide for archaeologists and paleoecologists", "type" : "book" }, "uris" : [ "http://www.mendeley.com/documents/?uuid=3e175445-0f5c-4262-bc3f-5d4585c59524" ] } ], "mendeley" : { "formattedCitation" : "(Piperno, 2006)", "manualFormatting" : "Piperno, 2006", "plainTextFormattedCitation" : "(Piperno, 2006)", "previouslyFormattedCitation" : "(Piperno, 2006)" }, "properties" : { "noteIndex" : 0 }, "schema" : "https://github.com/citation-style-language/schema/raw/master/csl-citation.json" }</w:instrText>
      </w:r>
      <w:r w:rsidR="00F91FAF">
        <w:rPr>
          <w:rFonts w:ascii="Arial" w:hAnsi="Arial" w:cs="Arial"/>
          <w:sz w:val="24"/>
          <w:szCs w:val="24"/>
        </w:rPr>
        <w:fldChar w:fldCharType="separate"/>
      </w:r>
      <w:r w:rsidR="00F91FAF" w:rsidRPr="00F91FAF">
        <w:rPr>
          <w:rFonts w:ascii="Arial" w:hAnsi="Arial" w:cs="Arial"/>
          <w:noProof/>
          <w:sz w:val="24"/>
          <w:szCs w:val="24"/>
        </w:rPr>
        <w:t>Piperno, 2006</w:t>
      </w:r>
      <w:r w:rsidR="00F91FAF">
        <w:rPr>
          <w:rFonts w:ascii="Arial" w:hAnsi="Arial" w:cs="Arial"/>
          <w:sz w:val="24"/>
          <w:szCs w:val="24"/>
        </w:rPr>
        <w:fldChar w:fldCharType="end"/>
      </w:r>
      <w:r w:rsidRPr="0032360C">
        <w:rPr>
          <w:rFonts w:ascii="Arial" w:hAnsi="Arial" w:cs="Arial"/>
          <w:sz w:val="24"/>
          <w:szCs w:val="24"/>
        </w:rPr>
        <w:t xml:space="preserve">; </w:t>
      </w:r>
      <w:r w:rsidR="00841967" w:rsidRPr="00CC5FD9">
        <w:rPr>
          <w:rFonts w:ascii="Arial" w:hAnsi="Arial" w:cs="Arial"/>
          <w:noProof/>
          <w:sz w:val="24"/>
          <w:szCs w:val="24"/>
        </w:rPr>
        <w:t>Iriarte and Paz, 2009</w:t>
      </w:r>
      <w:r w:rsidR="00841967">
        <w:rPr>
          <w:rFonts w:ascii="Arial" w:hAnsi="Arial" w:cs="Arial"/>
          <w:noProof/>
          <w:sz w:val="24"/>
          <w:szCs w:val="24"/>
        </w:rPr>
        <w:t xml:space="preserve">; </w:t>
      </w:r>
      <w:r w:rsidRPr="0032360C">
        <w:rPr>
          <w:rFonts w:ascii="Arial" w:hAnsi="Arial" w:cs="Arial"/>
          <w:sz w:val="24"/>
          <w:szCs w:val="24"/>
        </w:rPr>
        <w:t>Mercader et al., 2009;</w:t>
      </w:r>
      <w:r w:rsidR="006908A1">
        <w:rPr>
          <w:rFonts w:ascii="Arial" w:hAnsi="Arial" w:cs="Arial"/>
          <w:sz w:val="24"/>
          <w:szCs w:val="24"/>
        </w:rPr>
        <w:t xml:space="preserve"> Watling and Iriarte, 2013</w:t>
      </w:r>
      <w:r w:rsidRPr="0032360C">
        <w:rPr>
          <w:rFonts w:ascii="Arial" w:hAnsi="Arial" w:cs="Arial"/>
          <w:sz w:val="24"/>
          <w:szCs w:val="24"/>
        </w:rPr>
        <w:t>; Dickau et al., 2013). Morphotypes were also checked against the University of Exeter phytolith reference collection, made up of over 500 modern neotropical plant specimens.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Table 3 lists all of the morphotypes found in the vegetation formations, their taxonomic affiliations and abbreviations for the PCA graphs. Figure 2 provides photographs of selected morphotypes under discussion. Many of the phytoliths listed were already described in detail in Dickau et al. (2013), therefore this section will be limited to describing those that were found only in the present study.</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b/>
          <w:sz w:val="24"/>
          <w:szCs w:val="24"/>
        </w:rPr>
        <w:t xml:space="preserve">Table 3: </w:t>
      </w:r>
      <w:r w:rsidRPr="0032360C">
        <w:rPr>
          <w:rFonts w:ascii="Arial" w:hAnsi="Arial" w:cs="Arial"/>
          <w:sz w:val="24"/>
          <w:szCs w:val="24"/>
        </w:rPr>
        <w:t>List of phytoliths encountered, their taxonomic association and PCA codes</w:t>
      </w:r>
    </w:p>
    <w:p w:rsidR="00513CB5" w:rsidRPr="0032360C" w:rsidRDefault="0032360C" w:rsidP="00513CB5">
      <w:pPr>
        <w:spacing w:after="0" w:line="480" w:lineRule="auto"/>
        <w:rPr>
          <w:rFonts w:ascii="Arial" w:hAnsi="Arial" w:cs="Arial"/>
          <w:sz w:val="24"/>
          <w:szCs w:val="24"/>
        </w:rPr>
      </w:pPr>
      <w:r w:rsidRPr="0032360C">
        <w:rPr>
          <w:rFonts w:ascii="Arial" w:hAnsi="Arial" w:cs="Arial"/>
          <w:b/>
          <w:sz w:val="24"/>
          <w:szCs w:val="24"/>
        </w:rPr>
        <w:t>Plate I:</w:t>
      </w:r>
      <w:r w:rsidR="00513CB5" w:rsidRPr="0032360C">
        <w:rPr>
          <w:rFonts w:ascii="Arial" w:hAnsi="Arial" w:cs="Arial"/>
          <w:sz w:val="24"/>
          <w:szCs w:val="24"/>
        </w:rPr>
        <w:t xml:space="preserve"> Plate of selected phytolith morphotypes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Of the bamboo phytoliths encountered here, several were not reported by Dickau et al. from forest formations in Bolivia. Rondeloid/saddeloid phytoliths, as their name suggests, combine aspects of rondel and saddle phytoliths and are diagnostic to bamboos (Piperno and Pearsall 1998b). Another type of bamboo saddle, distinguishable from those produced by the Chloridoideae, was also identified on account of its size and cuboid-like (“blocky”) appearance (</w:t>
      </w:r>
      <w:r w:rsidRPr="0032360C">
        <w:rPr>
          <w:rFonts w:ascii="Arial" w:hAnsi="Arial" w:cs="Arial"/>
          <w:i/>
          <w:sz w:val="24"/>
          <w:szCs w:val="24"/>
        </w:rPr>
        <w:t>ibid.</w:t>
      </w:r>
      <w:r w:rsidRPr="0032360C">
        <w:rPr>
          <w:rFonts w:ascii="Arial" w:hAnsi="Arial" w:cs="Arial"/>
          <w:sz w:val="24"/>
          <w:szCs w:val="24"/>
        </w:rPr>
        <w:t xml:space="preserve">). Tall and collapsed saddles were here grouped into a single category due to the fact that many phytoliths exhibited both characteristics. The morphotype here called “Cross (blocky)” refers to cross shaped phytoliths that belong to variants 3, 8 or 10, and these again are produced by many members in the bamboo subfamily (Iriarte, 2003). Chusquoid </w:t>
      </w:r>
      <w:r w:rsidRPr="0032360C">
        <w:rPr>
          <w:rFonts w:ascii="Arial" w:hAnsi="Arial" w:cs="Arial"/>
          <w:sz w:val="24"/>
          <w:szCs w:val="24"/>
        </w:rPr>
        <w:lastRenderedPageBreak/>
        <w:t>bodies, small phytoliths that appear like collapsed saddles in side view but are very narrow in planar view and rondels with spikes along their top side were also found, again diagnostic to bamboos (Piperno and Pearsall, 1998b).</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The Poaceae in general produce bulliform (fan-shaped) phytoliths that are generally of little taxonomic significance below family level, however the “bulliform(bamb)” is distinguishable by having flared protrusions along the “fan” edge and is </w:t>
      </w:r>
      <w:r w:rsidR="0006529C">
        <w:rPr>
          <w:rFonts w:ascii="Arial" w:hAnsi="Arial" w:cs="Arial"/>
          <w:sz w:val="24"/>
          <w:szCs w:val="24"/>
        </w:rPr>
        <w:t xml:space="preserve">believed to be </w:t>
      </w:r>
      <w:r w:rsidRPr="0032360C">
        <w:rPr>
          <w:rFonts w:ascii="Arial" w:hAnsi="Arial" w:cs="Arial"/>
          <w:sz w:val="24"/>
          <w:szCs w:val="24"/>
        </w:rPr>
        <w:t>diagnostic to bamboo</w:t>
      </w:r>
      <w:r w:rsidR="00841967">
        <w:rPr>
          <w:rFonts w:ascii="Arial" w:hAnsi="Arial" w:cs="Arial"/>
          <w:sz w:val="24"/>
          <w:szCs w:val="24"/>
        </w:rPr>
        <w:t xml:space="preserve"> </w:t>
      </w:r>
      <w:r w:rsidR="00791F00">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"Sase", "given" : "T", "non-dropping-particle" : "", "parse-names" : false, "suffix" : "" }, { "dropping-particle" : "", "family" : "Hosono", "given" : "M", "non-dropping-particle" : "", "parse-names" : false, "suffix" : "" } ], "container-title" : "Phytoliths: Applications in Earth Sciences and Human History", "editor" : [ { "dropping-particle" : "", "family" : "Meunier", "given" : "J", "non-dropping-particle" : "", "parse-names" : false, "suffix" : "" }, { "dropping-particle" : "", "family" : "Colin", "given" : "F", "non-dropping-particle" : "", "parse-names" : false, "suffix" : "" } ], "id" : "ITEM-1", "issued" : { "date-parts" : [ [ "2001" ] ] }, "page" : "57-71", "publisher" : "A A Balkmea Publishers", "publisher-place" : "Lisse, Netherlands", "title" : "Phytolith record in soils interstratified with Late Quaternary tephras overlying the eastern region of Towada volcano, Japan", "type" : "chapter" }, "uris" : [ "http://www.mendeley.com/documents/?uuid=2bffbca6-9c45-4c1a-b3e1-4fde777df57c" ] } ], "mendeley" : { "formattedCitation" : "(Sase and Hosono, 2001)", "plainTextFormattedCitation" : "(Sase and Hosono, 2001)", "previouslyFormattedCitation" : "(Sase and Hosono, 2001)" }, "properties" : { "noteIndex" : 0 }, "schema" : "https://github.com/citation-style-language/schema/raw/master/csl-citation.json" }</w:instrText>
      </w:r>
      <w:r w:rsidR="00791F00">
        <w:rPr>
          <w:rFonts w:ascii="Arial" w:hAnsi="Arial" w:cs="Arial"/>
          <w:sz w:val="24"/>
          <w:szCs w:val="24"/>
        </w:rPr>
        <w:fldChar w:fldCharType="separate"/>
      </w:r>
      <w:r w:rsidR="00CC5FD9" w:rsidRPr="00CC5FD9">
        <w:rPr>
          <w:rFonts w:ascii="Arial" w:hAnsi="Arial" w:cs="Arial"/>
          <w:noProof/>
          <w:sz w:val="24"/>
          <w:szCs w:val="24"/>
        </w:rPr>
        <w:t>(Sase and Hosono, 2001)</w:t>
      </w:r>
      <w:r w:rsidR="00791F00">
        <w:rPr>
          <w:rFonts w:ascii="Arial" w:hAnsi="Arial" w:cs="Arial"/>
          <w:sz w:val="24"/>
          <w:szCs w:val="24"/>
        </w:rPr>
        <w:fldChar w:fldCharType="end"/>
      </w:r>
      <w:r w:rsidRPr="0032360C">
        <w:rPr>
          <w:rFonts w:ascii="Arial" w:hAnsi="Arial" w:cs="Arial"/>
          <w:sz w:val="24"/>
          <w:szCs w:val="24"/>
        </w:rPr>
        <w:t>. The phytoliths here called “UID (poac) 1 and UID (poac) 2” are grass short cells whose taxonomic affiliations are unknown apart from to the family level. UID (poac) 1 is a long, trapezoidal phytolith which has a ridged top and a narrow bottom plane with sinuous edges. UID (poac) 2 has psilate surface decoration and a highly regular, globular morphology. To our knowledge, these morphotypes have not been described previously.</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Many eudicot phytoliths were encountered in the forest soils. Among those not described by Dickau et al. were the stippled bodies produced in the reproductive structures of </w:t>
      </w:r>
      <w:r w:rsidRPr="0032360C">
        <w:rPr>
          <w:rFonts w:ascii="Arial" w:hAnsi="Arial" w:cs="Arial"/>
          <w:i/>
          <w:sz w:val="24"/>
          <w:szCs w:val="24"/>
        </w:rPr>
        <w:t>Tetragastris spp.</w:t>
      </w:r>
      <w:r w:rsidRPr="0032360C">
        <w:rPr>
          <w:rFonts w:ascii="Arial" w:hAnsi="Arial" w:cs="Arial"/>
          <w:sz w:val="24"/>
          <w:szCs w:val="24"/>
        </w:rPr>
        <w:t xml:space="preserve"> (Burseraceae). These phytoliths exhibit sinuous to hexagonal edges, stippled decoration and a central domed protuberance (Piperno, 1989;</w:t>
      </w:r>
      <w:r w:rsidR="006908A1">
        <w:rPr>
          <w:rFonts w:ascii="Arial" w:hAnsi="Arial" w:cs="Arial"/>
          <w:sz w:val="24"/>
          <w:szCs w:val="24"/>
        </w:rPr>
        <w:t xml:space="preserve"> Watling and Iriarte, 2013</w:t>
      </w:r>
      <w:r w:rsidRPr="0032360C">
        <w:rPr>
          <w:rFonts w:ascii="Arial" w:hAnsi="Arial" w:cs="Arial"/>
          <w:sz w:val="24"/>
          <w:szCs w:val="24"/>
        </w:rPr>
        <w:t xml:space="preserve">). </w:t>
      </w:r>
      <w:r w:rsidRPr="0032360C">
        <w:rPr>
          <w:rFonts w:ascii="Arial" w:hAnsi="Arial" w:cs="Arial"/>
          <w:i/>
          <w:sz w:val="24"/>
          <w:szCs w:val="24"/>
        </w:rPr>
        <w:t>Ficus spp.</w:t>
      </w:r>
      <w:r w:rsidRPr="0032360C">
        <w:rPr>
          <w:rFonts w:ascii="Arial" w:hAnsi="Arial" w:cs="Arial"/>
          <w:sz w:val="24"/>
          <w:szCs w:val="24"/>
        </w:rPr>
        <w:t xml:space="preserve"> (Moraceae) produces circular hairbases with distinctive striations that run outwards from the centre of the hairbase to its periphery (Piperno 2006). Diagnostic to woody dicots in general, ISTs (irregular stippled tracheids) are a highly distinctive form of tracheid with irregular stippled surface direction (Runge, 1999; Dickau et al., 2013). Highly regular cylindrical versions of ISTs (named here IST (</w:t>
      </w:r>
      <w:r w:rsidR="0006529C">
        <w:rPr>
          <w:rFonts w:ascii="Arial" w:hAnsi="Arial" w:cs="Arial"/>
          <w:sz w:val="24"/>
          <w:szCs w:val="24"/>
        </w:rPr>
        <w:t>cyl</w:t>
      </w:r>
      <w:r w:rsidRPr="0032360C">
        <w:rPr>
          <w:rFonts w:ascii="Arial" w:hAnsi="Arial" w:cs="Arial"/>
          <w:sz w:val="24"/>
          <w:szCs w:val="24"/>
        </w:rPr>
        <w:t xml:space="preserve">)) with denser stippling were also distinguished in this study, often occurring in the same assemblage as the irregular forms. The </w:t>
      </w:r>
      <w:r w:rsidRPr="0032360C">
        <w:rPr>
          <w:rFonts w:ascii="Arial" w:hAnsi="Arial" w:cs="Arial"/>
          <w:sz w:val="24"/>
          <w:szCs w:val="24"/>
        </w:rPr>
        <w:lastRenderedPageBreak/>
        <w:t>phytoliths called here “UID (arb)” are also tracheid-types and were counted separately, as the diagnostic potential of tracheids seems promising but is still under investigation (Dickau et al., 2013). UID (arb) 1 has irregularly-spaced finger-like protrusions emanating from its surface and is globular to cylindrical in form, while UID (arb) 2 appears as a large plate with angular and nodular protuberances. Vesicular infillings are bodies consisting of co</w:t>
      </w:r>
      <w:r w:rsidR="00841967">
        <w:rPr>
          <w:rFonts w:ascii="Arial" w:hAnsi="Arial" w:cs="Arial"/>
          <w:sz w:val="24"/>
          <w:szCs w:val="24"/>
        </w:rPr>
        <w:t xml:space="preserve">ncentric laminations of silica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"Str\u00f6mberg", "given" : "C E", "non-dropping-particle" : "", "parse-names" : false, "suffix" : "" } ], "id" : "ITEM-1", "issued" : { "date-parts" : [ [ "2003" ] ] }, "publisher" : "University of California, Berkeley", "title" : "The origin and spread of grass-dominated ecosystems in the Late Tertiary of North America", "type" : "thesis" }, "uris" : [ "http://www.mendeley.com/documents/?uuid=713ec262-50ef-42cc-a37b-9fb0d687025a" ] } ], "mendeley" : { "formattedCitation" : "(Str\u00f6mberg, 2003)", "manualFormatting" : "(Str\u00f6mberg, 2003", "plainTextFormattedCitation" : "(Str\u00f6mberg, 2003)", "previouslyFormattedCitation" : "(Str\u00f6mberg, 2003)"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(Strömberg, 2003</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"10.1016/j.palaeo.2003.09.028", "ISSN" : "00310182", "author" : [ { "dropping-particle" : "", "family" : "Str\u00f6mberg", "given" : "C E", "non-dropping-particle" : "", "parse-names" : false, "suffix" : "" } ], "container-title" : "Palaeogeography, Palaeoclimatology, Palaeoecology", "id" : "ITEM-1", "issue" : "3-4", "issued" : { "date-parts" : [ [ "2004", "5" ] ] }, "page" : "239-275", "title" : "Using phytolith assemblages to reconstruct the origin and spread of grass-dominated habitats in the great plains of North America during the late Eocene to early Miocene", "type" : "article-journal", "volume" : "207" }, "uris" : [ "http://www.mendeley.com/documents/?uuid=8bb326dd-400d-48d3-93d1-5b0bf8066f27" ] } ], "mendeley" : { "formattedCitation" : "(Str\u00f6mberg, 2004)", "manualFormatting" : "2004", "plainTextFormattedCitation" : "(Str\u00f6mberg, 2004)", "previouslyFormattedCitation" : "(Str\u00f6mberg, 2004)" }, "properties" : { "noteIndex" : 0 }, "schema" : "https://github.com/citation-style-language/schema/raw/master/csl-citation.json" }</w:instrText>
      </w:r>
      <w:r w:rsidRPr="0032360C">
        <w:rPr>
          <w:rFonts w:ascii="Arial" w:hAnsi="Arial" w:cs="Arial"/>
          <w:sz w:val="24"/>
          <w:szCs w:val="24"/>
        </w:rPr>
        <w:fldChar w:fldCharType="separate"/>
      </w:r>
      <w:r w:rsidRPr="0032360C">
        <w:rPr>
          <w:rFonts w:ascii="Arial" w:hAnsi="Arial" w:cs="Arial"/>
          <w:noProof/>
          <w:sz w:val="24"/>
          <w:szCs w:val="24"/>
        </w:rPr>
        <w:t>2004</w:t>
      </w:r>
      <w:r w:rsidRPr="0032360C">
        <w:rPr>
          <w:rFonts w:ascii="Arial" w:hAnsi="Arial" w:cs="Arial"/>
          <w:sz w:val="24"/>
          <w:szCs w:val="24"/>
        </w:rPr>
        <w:fldChar w:fldCharType="end"/>
      </w:r>
      <w:r w:rsidRPr="0032360C">
        <w:rPr>
          <w:rFonts w:ascii="Arial" w:hAnsi="Arial" w:cs="Arial"/>
          <w:sz w:val="24"/>
          <w:szCs w:val="24"/>
        </w:rPr>
        <w:t>). While their diagnostic significance has not been well-researched, their presence has so far only been recorded in arboreal taxa (Watling and Iriarte, 2013).  Articulated silicified anticlinal epidermal cells (“jigsaw puzzle pieces”) also have their origin in arboreal taxa (Piperno, 2006). Finally, two unknown but highly distinctive hair base types were also recorded. UID hairbase 1 is a heavily silicified infilling of the base of a multi-celled, armed hair similar to those produced by Asteraceae (Piperno, 1988). Occasionally, both the hair and hairbase were found still articulated, but the presence of the hairbase alone was more common. UID hairbase 2 is stellate in shape and has highly folded, angular decoration. The taxonomic origin of this phytolith is unknown but is most likely to be arboreal.</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3.3. Quantitative analyses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A- and C-fractions were treated separately and the relative percentage abundances were calculated relative to the sum in each fraction. A-fractions were counted to a sum of 200, following standard procedure (Pearsall, 2000), whereas the entire C-fraction was analysed for each assemblage and their totals ranged from 8 to 5016.  Dickau et al. (2013) determined that, given the lower diversity of C-fraction assemblages, key compositional differences were demonstrated among samples </w:t>
      </w:r>
      <w:r w:rsidRPr="0032360C">
        <w:rPr>
          <w:rFonts w:ascii="Arial" w:hAnsi="Arial" w:cs="Arial"/>
          <w:sz w:val="24"/>
          <w:szCs w:val="24"/>
        </w:rPr>
        <w:lastRenderedPageBreak/>
        <w:t xml:space="preserve">containing a minimum of 50 phytoliths.  Thus, 50 was chosen as the minimum cut-off value for the calculation of percent abundances, although the presence of individual morphotypes was noted on the frequency diagrams. Likewise, C-fractions samples with &lt; 50 phytoliths were excluded from multivariate analysis. Diagrams showing relative phytolith frequencies </w:t>
      </w:r>
      <w:r w:rsidR="00841967">
        <w:rPr>
          <w:rFonts w:ascii="Arial" w:hAnsi="Arial" w:cs="Arial"/>
          <w:sz w:val="24"/>
          <w:szCs w:val="24"/>
        </w:rPr>
        <w:t xml:space="preserve">were created using C2 software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"Juggins", "given" : "S", "non-dropping-particle" : "", "parse-names" : false, "suffix" : "" } ], "id" : "ITEM-1", "issued" : { "date-parts" : [ [ "2010" ] ] }, "title" : "C2 Software, Version 1.6", "type" : "article" }, "uris" : [ "http://www.mendeley.com/documents/?uuid=af943495-59e1-4468-8b13-1afd032d437c" ] } ], "mendeley" : { "formattedCitation" : "(Juggins, 2010)", "plainTextFormattedCitation" : "(Juggins, 2010)", "previouslyFormattedCitation" : "(Juggins, 2010)"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(Juggins, 2010)</w:t>
      </w:r>
      <w:r w:rsidRPr="0032360C">
        <w:rPr>
          <w:rFonts w:ascii="Arial" w:hAnsi="Arial" w:cs="Arial"/>
          <w:sz w:val="24"/>
          <w:szCs w:val="24"/>
        </w:rPr>
        <w:fldChar w:fldCharType="end"/>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Principal components analysis (PCA) was chosen as the most appropriate unconstrained ordination method for analysing the phytolith data set. Given the analyses of Dickau et al. (2013) whose samples included more diverse vegetation formations than the present study, we assumed similarly short environmental gradients were represented in this study. A- and C-fractions were also treated separately for PCA. Prior to analysis, all relative frequencies were square root transformed as a means of normalising t</w:t>
      </w:r>
      <w:r w:rsidR="00841967">
        <w:rPr>
          <w:rFonts w:ascii="Arial" w:hAnsi="Arial" w:cs="Arial"/>
          <w:sz w:val="24"/>
          <w:szCs w:val="24"/>
        </w:rPr>
        <w:t xml:space="preserve">he data and reducing asymmetry </w:t>
      </w:r>
      <w:r w:rsidR="00841967">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"Legendre", "given" : "P", "non-dropping-particle" : "", "parse-names" : false, "suffix" : "" }, { "dropping-particle" : "", "family" : "Birks", "given" : "H J B", "non-dropping-particle" : "", "parse-names" : false, "suffix" : "" } ], "container-title" : "Tracking Environmental Change Using Lake Sediments, Volume 5: Data handling and numerical techniques", "editor" : [ { "dropping-particle" : "", "family" : "Birks", "given" : "H J B", "non-dropping-particle" : "", "parse-names" : false, "suffix" : "" }, { "dropping-particle" : "", "family" : "Lotter", "given" : "A F", "non-dropping-particle" : "", "parse-names" : false, "suffix" : "" }, { "dropping-particle" : "", "family" : "Juggins", "given" : "S", "non-dropping-particle" : "", "parse-names" : false, "suffix" : "" }, { "dropping-particle" : "", "family" : "Smol", "given" : "J P", "non-dropping-particle" : "", "parse-names" : false, "suffix" : "" } ], "id" : "ITEM-1", "issued" : { "date-parts" : [ [ "2012" ] ] }, "page" : "201-248", "publisher" : "Springer", "title" : "From classical to canonical ordination", "type" : "chapter" }, "uris" : [ "http://www.mendeley.com/documents/?uuid=ea8655a3-782f-4bcc-97bb-4adb135d7eb0" ] } ], "mendeley" : { "formattedCitation" : "(Legendre and Birks, 2012)", "plainTextFormattedCitation" : "(Legendre and Birks, 2012)", "previouslyFormattedCitation" : "(Legendre and Birks, 2012)" }, "properties" : { "noteIndex" : 0 }, "schema" : "https://github.com/citation-style-language/schema/raw/master/csl-citation.json" }</w:instrText>
      </w:r>
      <w:r w:rsidR="00841967">
        <w:rPr>
          <w:rFonts w:ascii="Arial" w:hAnsi="Arial" w:cs="Arial"/>
          <w:sz w:val="24"/>
          <w:szCs w:val="24"/>
        </w:rPr>
        <w:fldChar w:fldCharType="separate"/>
      </w:r>
      <w:r w:rsidR="00841967" w:rsidRPr="00841967">
        <w:rPr>
          <w:rFonts w:ascii="Arial" w:hAnsi="Arial" w:cs="Arial"/>
          <w:noProof/>
          <w:sz w:val="24"/>
          <w:szCs w:val="24"/>
        </w:rPr>
        <w:t>(Legendre and Birks, 2012)</w:t>
      </w:r>
      <w:r w:rsidR="00841967">
        <w:rPr>
          <w:rFonts w:ascii="Arial" w:hAnsi="Arial" w:cs="Arial"/>
          <w:sz w:val="24"/>
          <w:szCs w:val="24"/>
        </w:rPr>
        <w:fldChar w:fldCharType="end"/>
      </w:r>
      <w:r w:rsidRPr="0032360C">
        <w:rPr>
          <w:rFonts w:ascii="Arial" w:hAnsi="Arial" w:cs="Arial"/>
          <w:sz w:val="24"/>
          <w:szCs w:val="24"/>
        </w:rPr>
        <w:t>. The components were extracted using a covariance matrix as opposed to a correlation matrix, as the variables were standardised measurements</w:t>
      </w:r>
      <w:r w:rsidR="00841967">
        <w:rPr>
          <w:rFonts w:ascii="Arial" w:hAnsi="Arial" w:cs="Arial"/>
          <w:sz w:val="24"/>
          <w:szCs w:val="24"/>
        </w:rPr>
        <w:t xml:space="preserve"> </w:t>
      </w:r>
      <w:r w:rsidR="00841967">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"Borcard", "given" : "D", "non-dropping-particle" : "", "parse-names" : false, "suffix" : "" }, { "dropping-particle" : "", "family" : "Gillet", "given" : "F", "non-dropping-particle" : "", "parse-names" : false, "suffix" : "" }, { "dropping-particle" : "", "family" : "Legendre", "given" : "P", "non-dropping-particle" : "", "parse-names" : false, "suffix" : "" } ], "id" : "ITEM-1", "issued" : { "date-parts" : [ [ "2011" ] ] }, "publisher" : "Springer Science + Business Media B. V.", "title" : "Numerical Ecology with R", "type" : "book" }, "uris" : [ "http://www.mendeley.com/documents/?uuid=c950eb9c-f2c1-4c92-aa1e-d1c8f65b8774" ] } ], "mendeley" : { "formattedCitation" : "(Borcard et al., 2011)", "plainTextFormattedCitation" : "(Borcard et al., 2011)", "previouslyFormattedCitation" : "(Borcard et al., 2011)" }, "properties" : { "noteIndex" : 0 }, "schema" : "https://github.com/citation-style-language/schema/raw/master/csl-citation.json" }</w:instrText>
      </w:r>
      <w:r w:rsidR="00841967">
        <w:rPr>
          <w:rFonts w:ascii="Arial" w:hAnsi="Arial" w:cs="Arial"/>
          <w:sz w:val="24"/>
          <w:szCs w:val="24"/>
        </w:rPr>
        <w:fldChar w:fldCharType="separate"/>
      </w:r>
      <w:r w:rsidR="00841967" w:rsidRPr="00841967">
        <w:rPr>
          <w:rFonts w:ascii="Arial" w:hAnsi="Arial" w:cs="Arial"/>
          <w:noProof/>
          <w:sz w:val="24"/>
          <w:szCs w:val="24"/>
        </w:rPr>
        <w:t>(Borcard et al., 2011)</w:t>
      </w:r>
      <w:r w:rsidR="00841967">
        <w:rPr>
          <w:rFonts w:ascii="Arial" w:hAnsi="Arial" w:cs="Arial"/>
          <w:sz w:val="24"/>
          <w:szCs w:val="24"/>
        </w:rPr>
        <w:fldChar w:fldCharType="end"/>
      </w:r>
      <w:r w:rsidRPr="0032360C">
        <w:rPr>
          <w:rFonts w:ascii="Arial" w:hAnsi="Arial" w:cs="Arial"/>
          <w:sz w:val="24"/>
          <w:szCs w:val="24"/>
        </w:rPr>
        <w:t>. The resulting factor scores from the PCA were then plotted graphically for each group of samples from the forest plots. Both the PCAs and the resulting factor score graphs were created using IBM SPSS Statistics 20 software.</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4. Results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b/>
          <w:sz w:val="24"/>
          <w:szCs w:val="24"/>
        </w:rPr>
      </w:pPr>
      <w:r w:rsidRPr="0032360C">
        <w:rPr>
          <w:rFonts w:ascii="Arial" w:hAnsi="Arial" w:cs="Arial"/>
          <w:b/>
          <w:sz w:val="24"/>
          <w:szCs w:val="24"/>
        </w:rPr>
        <w:t>4.1. Relative frequencies</w:t>
      </w:r>
    </w:p>
    <w:p w:rsidR="00513CB5" w:rsidRPr="0032360C" w:rsidRDefault="00513CB5" w:rsidP="00513CB5">
      <w:pPr>
        <w:spacing w:after="0" w:line="480" w:lineRule="auto"/>
        <w:rPr>
          <w:rFonts w:ascii="Arial" w:hAnsi="Arial" w:cs="Arial"/>
          <w:b/>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Figures </w:t>
      </w:r>
      <w:r w:rsidR="0032360C" w:rsidRPr="0032360C">
        <w:rPr>
          <w:rFonts w:ascii="Arial" w:hAnsi="Arial" w:cs="Arial"/>
          <w:sz w:val="24"/>
          <w:szCs w:val="24"/>
        </w:rPr>
        <w:t>2</w:t>
      </w:r>
      <w:r w:rsidRPr="0032360C">
        <w:rPr>
          <w:rFonts w:ascii="Arial" w:hAnsi="Arial" w:cs="Arial"/>
          <w:sz w:val="24"/>
          <w:szCs w:val="24"/>
        </w:rPr>
        <w:t xml:space="preserve"> and </w:t>
      </w:r>
      <w:r w:rsidR="0032360C" w:rsidRPr="0032360C">
        <w:rPr>
          <w:rFonts w:ascii="Arial" w:hAnsi="Arial" w:cs="Arial"/>
          <w:sz w:val="24"/>
          <w:szCs w:val="24"/>
        </w:rPr>
        <w:t>3</w:t>
      </w:r>
      <w:r w:rsidRPr="0032360C">
        <w:rPr>
          <w:rFonts w:ascii="Arial" w:hAnsi="Arial" w:cs="Arial"/>
          <w:sz w:val="24"/>
          <w:szCs w:val="24"/>
        </w:rPr>
        <w:t xml:space="preserve"> are relative frequency diagrams of phytoliths from the A- and C-fractions respectively.</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b/>
          <w:sz w:val="24"/>
          <w:szCs w:val="24"/>
        </w:rPr>
        <w:t>Figure 3:</w:t>
      </w:r>
      <w:r w:rsidRPr="0032360C">
        <w:rPr>
          <w:rFonts w:ascii="Arial" w:hAnsi="Arial" w:cs="Arial"/>
          <w:sz w:val="24"/>
          <w:szCs w:val="24"/>
        </w:rPr>
        <w:t xml:space="preserve">  A-fraction relative frequency diagram</w:t>
      </w:r>
    </w:p>
    <w:p w:rsidR="00513CB5" w:rsidRPr="0032360C" w:rsidRDefault="00513CB5" w:rsidP="00513CB5">
      <w:pPr>
        <w:spacing w:after="0" w:line="480" w:lineRule="auto"/>
        <w:rPr>
          <w:rFonts w:ascii="Arial" w:hAnsi="Arial" w:cs="Arial"/>
          <w:sz w:val="24"/>
          <w:szCs w:val="24"/>
        </w:rPr>
      </w:pPr>
      <w:r w:rsidRPr="0032360C">
        <w:rPr>
          <w:rFonts w:ascii="Arial" w:hAnsi="Arial" w:cs="Arial"/>
          <w:b/>
          <w:sz w:val="24"/>
          <w:szCs w:val="24"/>
        </w:rPr>
        <w:t>Figure 4:</w:t>
      </w:r>
      <w:r w:rsidRPr="0032360C">
        <w:rPr>
          <w:rFonts w:ascii="Arial" w:hAnsi="Arial" w:cs="Arial"/>
          <w:sz w:val="24"/>
          <w:szCs w:val="24"/>
        </w:rPr>
        <w:t xml:space="preserve"> C-fraction relative frequency diagram</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u w:val="single"/>
        </w:rPr>
      </w:pPr>
      <w:r w:rsidRPr="0032360C">
        <w:rPr>
          <w:rFonts w:ascii="Arial" w:hAnsi="Arial" w:cs="Arial"/>
          <w:sz w:val="24"/>
          <w:szCs w:val="24"/>
          <w:u w:val="single"/>
        </w:rPr>
        <w:t>4.1.1. Dense humid evergreen forest (POR-01)</w:t>
      </w:r>
    </w:p>
    <w:p w:rsidR="00513CB5" w:rsidRPr="0032360C" w:rsidRDefault="00513CB5" w:rsidP="00513CB5">
      <w:pPr>
        <w:spacing w:after="0" w:line="480" w:lineRule="auto"/>
        <w:rPr>
          <w:rFonts w:ascii="Arial" w:hAnsi="Arial" w:cs="Arial"/>
          <w:sz w:val="24"/>
          <w:szCs w:val="24"/>
          <w:u w:val="single"/>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As expected, the majority of phytoliths encountered in the dense humid evergreen forest plot were arboreal types. In the A-fraction, globular granulates averaged 57% of total phytoliths present and represented by far the largest input of arboreal phytoliths. Globular psilate phytoliths and vesicular infillings were consistently present in low levels (~2%), while MFBs, tracheids and sclereids also added to the total arboreal sum which averaged 62%. Despite it being the most abundance species in the vegetation plot, only one </w:t>
      </w:r>
      <w:r w:rsidRPr="0032360C">
        <w:rPr>
          <w:rFonts w:ascii="Arial" w:hAnsi="Arial" w:cs="Arial"/>
          <w:i/>
          <w:sz w:val="24"/>
          <w:szCs w:val="24"/>
        </w:rPr>
        <w:t>Tetragastris</w:t>
      </w:r>
      <w:r w:rsidRPr="0032360C">
        <w:rPr>
          <w:rFonts w:ascii="Arial" w:hAnsi="Arial" w:cs="Arial"/>
          <w:sz w:val="24"/>
          <w:szCs w:val="24"/>
        </w:rPr>
        <w:t>-type phytolith was encountered in all of the samples. As these phytoliths are produced only in the seeds of the tree, its under-representation in the phytolith assemblages is not surprising. In contrast, palm presence in the samples is over-represented (average 30%), as palm phytoliths are produced abundantly by all parts of the plant. Palm abundance is negatively correlated with arboreal taxa and the two fluctuate considerably based on the spatial location of the phytolith assemblage, presumably its proximity to a palm tree. In particular, the area covered by sa</w:t>
      </w:r>
      <w:r w:rsidR="0006529C">
        <w:rPr>
          <w:rFonts w:ascii="Arial" w:hAnsi="Arial" w:cs="Arial"/>
          <w:sz w:val="24"/>
          <w:szCs w:val="24"/>
        </w:rPr>
        <w:t>mples POR-01-6 to POR-01-8 (500–</w:t>
      </w:r>
      <w:r w:rsidRPr="0032360C">
        <w:rPr>
          <w:rFonts w:ascii="Arial" w:hAnsi="Arial" w:cs="Arial"/>
          <w:sz w:val="24"/>
          <w:szCs w:val="24"/>
        </w:rPr>
        <w:t>700</w:t>
      </w:r>
      <w:r w:rsidR="0006529C">
        <w:rPr>
          <w:rFonts w:ascii="Arial" w:hAnsi="Arial" w:cs="Arial"/>
          <w:sz w:val="24"/>
          <w:szCs w:val="24"/>
        </w:rPr>
        <w:t xml:space="preserve"> </w:t>
      </w:r>
      <w:r w:rsidRPr="0032360C">
        <w:rPr>
          <w:rFonts w:ascii="Arial" w:hAnsi="Arial" w:cs="Arial"/>
          <w:sz w:val="24"/>
          <w:szCs w:val="24"/>
        </w:rPr>
        <w:t xml:space="preserve">m) had higher amounts of small (A-fraction) and large (C-fraction) globular echinates, undoubtedly reflecting an area more dominant in palm in this part of the vegetation community. </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Understory taxa, for which data was not recorded in the botanical inventories, were represented in low numbers in the A-fraction phytolith assemblages and consist of plants from the Marantaceae (average 3%), Bambusoideae (average 1.5%), and to a lesser extent, Panicoideae (average 0.5%). All three of these groups are also present in the C-fraction but here, interestingly, the bulliforms (split into grass- and bamboo-type) account for around 50% of the total phytoliths in the assemblages. Such disparity in the representation of grasses and bamboos between the A- and C- fractions must be a result of a lower tendency of arboreal taxa to produce large phytoliths, even though a reasonable diversity of the latter are still represented. These include Annonaceae faceted bodies, anticlinal epidermal cells, tracheary elements, MFBs and quantities of UID hairbase 1 that were unrepeated in the other vegetation plots. It is also of interest to note that three of the ten samples yielded &lt;50 C-fraction phytoliths and so had to be excluded from the relative abundance calculations.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u w:val="single"/>
        </w:rPr>
      </w:pPr>
      <w:r w:rsidRPr="0032360C">
        <w:rPr>
          <w:rFonts w:ascii="Arial" w:hAnsi="Arial" w:cs="Arial"/>
          <w:sz w:val="24"/>
          <w:szCs w:val="24"/>
          <w:u w:val="single"/>
        </w:rPr>
        <w:t>4.1.2. Dense humid evergreen forest with palm (POR-02)</w:t>
      </w:r>
    </w:p>
    <w:p w:rsidR="00513CB5" w:rsidRPr="0032360C" w:rsidRDefault="00513CB5" w:rsidP="00513CB5">
      <w:pPr>
        <w:spacing w:after="0" w:line="480" w:lineRule="auto"/>
        <w:rPr>
          <w:rFonts w:ascii="Arial" w:hAnsi="Arial" w:cs="Arial"/>
          <w:sz w:val="24"/>
          <w:szCs w:val="24"/>
          <w:u w:val="single"/>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The relative frequencies of A-fraction phytoliths from the dense humid evergreen forest with palm do not differ substantially from those from the dense humid evergreen forest (POR-01). This may reflect the proximity (2 km) of the two plots and that they share seven of their ten most abundant species (Table 1). Total palm abundance averaged 31%, compared with 30% in POR-01, and arboreal taxa 62%, compared with 63% in POR-01, with the two still showing a strong negative correlation with each other. While these and other very minor differences with POR-01 can be observed in the A-fraction, they are not enough to be significant.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The C-fraction assemblages, like those from POR-01, are largely dominated by grass and bamboo bulliforms showing again the over-representation of the larger phytoliths in these taxa. Large globular echinates are also consistently moderately abundant coinciding with high numbers of </w:t>
      </w:r>
      <w:r w:rsidRPr="0032360C">
        <w:rPr>
          <w:rFonts w:ascii="Arial" w:hAnsi="Arial" w:cs="Arial"/>
          <w:i/>
          <w:sz w:val="24"/>
          <w:szCs w:val="24"/>
        </w:rPr>
        <w:t>Euterpe precatoria</w:t>
      </w:r>
      <w:r w:rsidRPr="0032360C">
        <w:rPr>
          <w:rFonts w:ascii="Arial" w:hAnsi="Arial" w:cs="Arial"/>
          <w:sz w:val="24"/>
          <w:szCs w:val="24"/>
        </w:rPr>
        <w:t xml:space="preserve"> in the plot inventory (see section 5.2). Annonaceae faceted phytoliths are less abundant than in POR-01, reflecting the situation in the species inventory. Similarly, the</w:t>
      </w:r>
      <w:r w:rsidRPr="0032360C">
        <w:rPr>
          <w:rFonts w:ascii="Arial" w:hAnsi="Arial" w:cs="Arial"/>
          <w:i/>
          <w:sz w:val="24"/>
          <w:szCs w:val="24"/>
        </w:rPr>
        <w:t xml:space="preserve"> Ficus</w:t>
      </w:r>
      <w:r w:rsidRPr="0032360C">
        <w:rPr>
          <w:rFonts w:ascii="Arial" w:hAnsi="Arial" w:cs="Arial"/>
          <w:sz w:val="24"/>
          <w:szCs w:val="24"/>
        </w:rPr>
        <w:t xml:space="preserve"> hairbase in POR-02-8 likely reflects the presence of </w:t>
      </w:r>
      <w:r w:rsidRPr="0032360C">
        <w:rPr>
          <w:rFonts w:ascii="Arial" w:hAnsi="Arial" w:cs="Arial"/>
          <w:i/>
          <w:sz w:val="24"/>
          <w:szCs w:val="24"/>
        </w:rPr>
        <w:t>F. trigona</w:t>
      </w:r>
      <w:r w:rsidRPr="0032360C">
        <w:rPr>
          <w:rFonts w:ascii="Arial" w:hAnsi="Arial" w:cs="Arial"/>
          <w:sz w:val="24"/>
          <w:szCs w:val="24"/>
        </w:rPr>
        <w:t xml:space="preserve"> in the plot. Tracheids, sclereids and MFBs are present throughout the samples, as are (rarely) Asteraceae and </w:t>
      </w:r>
      <w:r w:rsidRPr="0032360C">
        <w:rPr>
          <w:rFonts w:ascii="Arial" w:hAnsi="Arial" w:cs="Arial"/>
          <w:i/>
          <w:sz w:val="24"/>
          <w:szCs w:val="24"/>
        </w:rPr>
        <w:t>Mendoncia</w:t>
      </w:r>
      <w:r w:rsidRPr="0032360C">
        <w:rPr>
          <w:rFonts w:ascii="Arial" w:hAnsi="Arial" w:cs="Arial"/>
          <w:sz w:val="24"/>
          <w:szCs w:val="24"/>
        </w:rPr>
        <w:t>. Although not reaching the same frequencies as UID hairbase 1 in POR-01, UID hairbase 2 was similarly found restricted to this vegetation formation. Phytoliths that occurred sporadically in the transect include the IST (cyl) tracheid type and those from the seeds of Marantaceae, again reflecting the highly localised nature of phytolith deposition.</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u w:val="single"/>
        </w:rPr>
      </w:pPr>
      <w:r w:rsidRPr="0032360C">
        <w:rPr>
          <w:rFonts w:ascii="Arial" w:hAnsi="Arial" w:cs="Arial"/>
          <w:sz w:val="24"/>
          <w:szCs w:val="24"/>
          <w:u w:val="single"/>
        </w:rPr>
        <w:t>4.1.3. Bamboo forest (RFH-01)</w:t>
      </w:r>
    </w:p>
    <w:p w:rsidR="00513CB5" w:rsidRPr="0032360C" w:rsidRDefault="00513CB5" w:rsidP="00513CB5">
      <w:pPr>
        <w:spacing w:after="0" w:line="480" w:lineRule="auto"/>
        <w:rPr>
          <w:rFonts w:ascii="Arial" w:hAnsi="Arial" w:cs="Arial"/>
          <w:sz w:val="24"/>
          <w:szCs w:val="24"/>
          <w:u w:val="single"/>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Unsurprisingly, the bamboo forest plot was characterised by high relative frequencies of bamboo phytoliths in the assemblages. Average total bamboo in the A-fraction was 15%, a sum consistent with bamboo forest plots sampled on the Acre/Amazonas border by McMichael et al</w:t>
      </w:r>
      <w:r w:rsidR="0006529C">
        <w:rPr>
          <w:rFonts w:ascii="Arial" w:hAnsi="Arial" w:cs="Arial"/>
          <w:sz w:val="24"/>
          <w:szCs w:val="24"/>
        </w:rPr>
        <w:t>.</w:t>
      </w:r>
      <w:r w:rsidRPr="0032360C">
        <w:rPr>
          <w:rFonts w:ascii="Arial" w:hAnsi="Arial" w:cs="Arial"/>
          <w:sz w:val="24"/>
          <w:szCs w:val="24"/>
        </w:rPr>
        <w:t xml:space="preserve"> (2013). Tall/collapsed saddles were the most abundant bamboo phytolith type, others including blocky saddles and crosses, chusquoid bodies, 2-spiked bodies and bamboo bulliforms present in the A-fraction. Rondel frequencies can be seen to mirror very well other bamboo phytolith frequencies in this plot which suggests that many of them may have originated from bamboo. If this association is correct, bamboo relative frequencies would almost double in most of the samples. Bamboo was even more represented in the C-fraction, where the bulliforms averaged 89% of the total assemblage</w:t>
      </w:r>
      <w:r w:rsidR="00791F00">
        <w:rPr>
          <w:rFonts w:ascii="Arial" w:hAnsi="Arial" w:cs="Arial"/>
          <w:sz w:val="24"/>
          <w:szCs w:val="24"/>
        </w:rPr>
        <w:t xml:space="preserve">, and the counts themselves were </w:t>
      </w:r>
      <w:r w:rsidRPr="0032360C">
        <w:rPr>
          <w:rFonts w:ascii="Arial" w:hAnsi="Arial" w:cs="Arial"/>
          <w:sz w:val="24"/>
          <w:szCs w:val="24"/>
        </w:rPr>
        <w:t>well above those from any of the other plots (averaging 3973 compared to 202 for the fluvial forest which had the second highest C-fraction counts). Such a pattern is arguably a highly diagnostic aspect of bamboo forest phytolith assemblages.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The A-fraction assemblages also had the highest, though still relatively low, frequencies of true (i.e. non-bamboo) grasses of all vegetation plots (average 1.8%). This is most likely due to the openness of the forest formation, in which </w:t>
      </w:r>
      <w:r w:rsidRPr="0032360C">
        <w:rPr>
          <w:rFonts w:ascii="Arial" w:hAnsi="Arial" w:cs="Arial"/>
          <w:i/>
          <w:sz w:val="24"/>
          <w:szCs w:val="24"/>
        </w:rPr>
        <w:t>Guadua</w:t>
      </w:r>
      <w:r w:rsidRPr="0032360C">
        <w:rPr>
          <w:rFonts w:ascii="Arial" w:hAnsi="Arial" w:cs="Arial"/>
          <w:sz w:val="24"/>
          <w:szCs w:val="24"/>
        </w:rPr>
        <w:t xml:space="preserve"> acts aggressively to kill old trees and restrict new tree growth, thus creating large canopy openings (Griscom and Ashton 2006). UID (poac) morphotypes are seen to occur exclusively in this formation, while Marantaceae is almost absent in all samples bar RFH-01-7.</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The remainder of the phytolith assemblages consist of palm and arboreal phytoliths, with palm phytoliths outnumbering the arboreal (average 40% compared to 29%). Again, this could be attributed to more open conditions are often colonised by palms. Although difficult to see in Figure 4 due to the dominance of bamboo bulliforms, large globular echinates were present in most of the C-fraction samples, generally in lower numbers than in the humid evergreen forest samples, but exceptionally high (</w:t>
      </w:r>
      <w:r w:rsidRPr="0032360C">
        <w:rPr>
          <w:rFonts w:ascii="Arial" w:hAnsi="Arial" w:cs="Arial"/>
          <w:i/>
          <w:sz w:val="24"/>
          <w:szCs w:val="24"/>
        </w:rPr>
        <w:t xml:space="preserve">n </w:t>
      </w:r>
      <w:r w:rsidRPr="0032360C">
        <w:rPr>
          <w:rFonts w:ascii="Arial" w:hAnsi="Arial" w:cs="Arial"/>
          <w:sz w:val="24"/>
          <w:szCs w:val="24"/>
        </w:rPr>
        <w:t xml:space="preserve">= 140) in RFH-01-2. </w:t>
      </w:r>
      <w:r w:rsidRPr="0032360C">
        <w:rPr>
          <w:rFonts w:ascii="Arial" w:hAnsi="Arial" w:cs="Arial"/>
          <w:i/>
          <w:sz w:val="24"/>
          <w:szCs w:val="24"/>
        </w:rPr>
        <w:t>E. precatoria</w:t>
      </w:r>
      <w:r w:rsidRPr="0032360C">
        <w:rPr>
          <w:rFonts w:ascii="Arial" w:hAnsi="Arial" w:cs="Arial"/>
          <w:sz w:val="24"/>
          <w:szCs w:val="24"/>
        </w:rPr>
        <w:t xml:space="preserve"> is the third most abundant species in the inventory (Table 1). There were also very high numbers of Asteraceae present in the assemblages which far exceeded counts in samples from other forests. Due to a lack of liana and understory species data recorded for the forest plots, we cannot say from which group of plants (herb or liana) the Asteraceae phytoliths belong. Slightly elevated counts of </w:t>
      </w:r>
      <w:r w:rsidRPr="0032360C">
        <w:rPr>
          <w:rFonts w:ascii="Arial" w:hAnsi="Arial" w:cs="Arial"/>
          <w:i/>
          <w:sz w:val="24"/>
          <w:szCs w:val="24"/>
        </w:rPr>
        <w:t>Mendoncia</w:t>
      </w:r>
      <w:r w:rsidRPr="0032360C">
        <w:rPr>
          <w:rFonts w:ascii="Arial" w:hAnsi="Arial" w:cs="Arial"/>
          <w:sz w:val="24"/>
          <w:szCs w:val="24"/>
        </w:rPr>
        <w:t xml:space="preserve"> show that lianas are more common in this forest and they may be a secondary growth component of this disturbed type of forest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"Bal\u00e9e", "given" : "William", "non-dropping-particle" : "", "parse-names" : false, "suffix" : "" } ], "container-title" : "Biotropica", "id" : "ITEM-1", "issue" : "1", "issued" : { "date-parts" : [ [ "1990" ] ] }, "page" : "36-47", "title" : "Evidence for the successional status of Liana Forest (Xingu River Basin, Amazonian Brazil)", "type" : "article-journal", "volume" : "22" }, "uris" : [ "http://www.mendeley.com/documents/?uuid=2aecda3b-4a4a-4b50-bc04-38ada435ec6b" ] } ], "mendeley" : { "formattedCitation" : "(Bal\u00e9e, 1990)", "plainTextFormattedCitation" : "(Bal\u00e9e, 1990)", "previouslyFormattedCitation" : "(Bal\u00e9e, 1990)"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(Balée, 1990)</w:t>
      </w:r>
      <w:r w:rsidRPr="0032360C">
        <w:rPr>
          <w:rFonts w:ascii="Arial" w:hAnsi="Arial" w:cs="Arial"/>
          <w:sz w:val="24"/>
          <w:szCs w:val="24"/>
        </w:rPr>
        <w:fldChar w:fldCharType="end"/>
      </w:r>
      <w:r w:rsidRPr="0032360C">
        <w:rPr>
          <w:rFonts w:ascii="Arial" w:hAnsi="Arial" w:cs="Arial"/>
          <w:sz w:val="24"/>
          <w:szCs w:val="24"/>
        </w:rPr>
        <w:t>). ISTs were also very abundant in a few of the C-fraction samples. In contrast to the humid evergreen forests, globular psilates and vesicular infillings were rarely present in the A fraction, whereas UID (arb) 1 was present in consistent frequencies and only in this vegetation community, suggesting an origin for the phytolith in a tree species not found as abundantly in the other plots.</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u w:val="single"/>
        </w:rPr>
      </w:pPr>
      <w:r w:rsidRPr="0032360C">
        <w:rPr>
          <w:rFonts w:ascii="Arial" w:hAnsi="Arial" w:cs="Arial"/>
          <w:sz w:val="24"/>
          <w:szCs w:val="24"/>
          <w:u w:val="single"/>
        </w:rPr>
        <w:t>4.1.4. Palm forest (EST)</w:t>
      </w:r>
    </w:p>
    <w:p w:rsidR="00513CB5" w:rsidRPr="0032360C" w:rsidRDefault="00513CB5" w:rsidP="00513CB5">
      <w:pPr>
        <w:spacing w:after="0" w:line="480" w:lineRule="auto"/>
        <w:rPr>
          <w:rFonts w:ascii="Arial" w:hAnsi="Arial" w:cs="Arial"/>
          <w:sz w:val="24"/>
          <w:szCs w:val="24"/>
          <w:u w:val="single"/>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As expected, palm phytoliths made up the majority of the assemblages from the palm forest plot (average 65%), most coming from species producing globular echinate forms. Arboreal phytoliths average 28%, the lowest of all the plots studied here, with non-globular granulates contributing relatively little to the A fraction arboreal count. The true grass input to the phytolith assemblages is similar (average 1.2%) to the bamboo forest, which is expected since palm forests are also a type of open forest. Bamboo frequencies remain low throughout (1.1%) and are comparable with those from the humid evergreen and fluvial forest types. Both true grass and bamboo bulliforms are present in the C fraction, however all of the palm forest C fractions contributed &lt; 50 phytoliths (average: </w:t>
      </w:r>
      <w:r w:rsidRPr="0032360C">
        <w:rPr>
          <w:rFonts w:ascii="Arial" w:hAnsi="Arial" w:cs="Arial"/>
          <w:i/>
          <w:sz w:val="24"/>
          <w:szCs w:val="24"/>
        </w:rPr>
        <w:t>n</w:t>
      </w:r>
      <w:r w:rsidRPr="0032360C">
        <w:rPr>
          <w:rFonts w:ascii="Arial" w:hAnsi="Arial" w:cs="Arial"/>
          <w:sz w:val="24"/>
          <w:szCs w:val="24"/>
        </w:rPr>
        <w:t xml:space="preserve"> = 27), and as such were excluded from both the relative frequency and Principal Components Analyses. Dickau et al (2013) found equally low C fraction counts in Bolivian savanna communities, but this study highlights that a lack of larger phytoliths is also diagnostic to palm forests, and could also be for other as yet un-investigated neotropical forest types. Among the morphotypes that </w:t>
      </w:r>
      <w:r w:rsidRPr="0032360C">
        <w:rPr>
          <w:rFonts w:ascii="Arial" w:hAnsi="Arial" w:cs="Arial"/>
          <w:i/>
          <w:sz w:val="24"/>
          <w:szCs w:val="24"/>
        </w:rPr>
        <w:t>were</w:t>
      </w:r>
      <w:r w:rsidRPr="0032360C">
        <w:rPr>
          <w:rFonts w:ascii="Arial" w:hAnsi="Arial" w:cs="Arial"/>
          <w:sz w:val="24"/>
          <w:szCs w:val="24"/>
        </w:rPr>
        <w:t xml:space="preserve"> present in the C fraction are Asteraceae phytoliths (occurring in all samples), large globular echinates, tracheids, sclereids, ISTs, MFBs and UID hairbase 1, showing that arboreal phytolith diversity probably does exist in the A fraction but is likely swamped by the palm counts (see section 5.1). Similar results were reported from surface soils underlying palm forest formations in Southeastern Uruguay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"10.1016/j.quaint.2007.10.008", "ISSN" : "10406182", "author" : [ { "dropping-particle" : "", "family" : "Iriarte", "given" : "Jos\u00e9", "non-dropping-particle" : "", "parse-names" : false, "suffix" : "" }, { "dropping-particle" : "", "family" : "Paz", "given" : "Eduardo Alonso", "non-dropping-particle" : "", "parse-names" : false, "suffix" : "" } ], "container-title" : "Quaternary International", "id" : "ITEM-1", "issue" : "1-2", "issued" : { "date-parts" : [ [ "2009", "1" ] ] }, "page" : "99-123", "title" : "Phytolith analysis of selected native plants and modern soils from southeastern Uruguay and its implications for paleoenvironmental and archeological reconstruction", "type" : "article-journal", "volume" : "193" }, "uris" : [ "http://www.mendeley.com/documents/?uuid=9d15fa96-5ec6-4576-8d8e-2fbc201b40c9" ] } ], "mendeley" : { "formattedCitation" : "(Iriarte and Paz, 2009)", "plainTextFormattedCitation" : "(Iriarte and Paz, 2009)", "previouslyFormattedCitation" : "(Iriarte and Paz, 2009)"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(Iriarte and Paz, 2009)</w:t>
      </w:r>
      <w:r w:rsidRPr="0032360C">
        <w:rPr>
          <w:rFonts w:ascii="Arial" w:hAnsi="Arial" w:cs="Arial"/>
          <w:sz w:val="24"/>
          <w:szCs w:val="24"/>
        </w:rPr>
        <w:fldChar w:fldCharType="end"/>
      </w:r>
      <w:r w:rsidRPr="0032360C">
        <w:rPr>
          <w:rFonts w:ascii="Arial" w:hAnsi="Arial" w:cs="Arial"/>
          <w:sz w:val="24"/>
          <w:szCs w:val="24"/>
        </w:rPr>
        <w:t>).</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u w:val="single"/>
        </w:rPr>
      </w:pPr>
      <w:r w:rsidRPr="0032360C">
        <w:rPr>
          <w:rFonts w:ascii="Arial" w:hAnsi="Arial" w:cs="Arial"/>
          <w:sz w:val="24"/>
          <w:szCs w:val="24"/>
          <w:u w:val="single"/>
        </w:rPr>
        <w:t>4.1.5. Fluvial forest</w:t>
      </w:r>
      <w:r w:rsidR="00C23BC0">
        <w:rPr>
          <w:rFonts w:ascii="Arial" w:hAnsi="Arial" w:cs="Arial"/>
          <w:sz w:val="24"/>
          <w:szCs w:val="24"/>
          <w:u w:val="single"/>
        </w:rPr>
        <w:t xml:space="preserve"> (RAND)</w:t>
      </w:r>
    </w:p>
    <w:p w:rsidR="00513CB5" w:rsidRPr="0032360C" w:rsidRDefault="00513CB5" w:rsidP="00513CB5">
      <w:pPr>
        <w:spacing w:after="0" w:line="480" w:lineRule="auto"/>
        <w:rPr>
          <w:rFonts w:ascii="Arial" w:hAnsi="Arial" w:cs="Arial"/>
          <w:sz w:val="24"/>
          <w:szCs w:val="24"/>
          <w:u w:val="single"/>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Phytolith assemblages from the fluvial forest plot also show some interesting patterns that are unique to this vegetation community. The arboreal phytolith input (average 68% when outlier RAND-6 is excluded) is the highest of all the vegetation plots, even the humid evergreen forests. While globular granulates again make up the bulk of the arboreal count, high numbers of sclereids were also present in the samples (average 6% compared to &lt; 1% in the other forest plots). Conversely, palms are least abundant in the fluvial forest plot (average 11.3%), with the exception of sample RAND-6 in which globular echinates totalled nearly 100% of the assemblage (count excluded in calculation of average), the most extreme example of localised phytolith deposition in the study.</w:t>
      </w:r>
    </w:p>
    <w:p w:rsidR="00513CB5" w:rsidRPr="0032360C" w:rsidRDefault="00513CB5" w:rsidP="00513CB5">
      <w:pPr>
        <w:spacing w:after="0" w:line="480" w:lineRule="auto"/>
        <w:rPr>
          <w:rFonts w:ascii="Arial" w:hAnsi="Arial" w:cs="Arial"/>
          <w:sz w:val="24"/>
          <w:szCs w:val="24"/>
        </w:rPr>
      </w:pPr>
    </w:p>
    <w:p w:rsidR="00513CB5" w:rsidRPr="0032360C" w:rsidRDefault="00513CB5" w:rsidP="00513CB5">
      <w:pPr>
        <w:spacing w:after="0" w:line="480" w:lineRule="auto"/>
        <w:rPr>
          <w:rFonts w:ascii="Arial" w:hAnsi="Arial" w:cs="Arial"/>
          <w:sz w:val="24"/>
          <w:szCs w:val="24"/>
        </w:rPr>
      </w:pPr>
      <w:r w:rsidRPr="0032360C">
        <w:rPr>
          <w:rFonts w:ascii="Arial" w:hAnsi="Arial" w:cs="Arial"/>
          <w:sz w:val="24"/>
          <w:szCs w:val="24"/>
        </w:rPr>
        <w:t xml:space="preserve">Phytoliths from the forest understory were dominated by Marantaceae globular nodular forms which made up (average) 20% of the total sum, compared to &lt; 3% in the humid evergreen forests and probably represents wet-adapted taxa of the family. Cyperaceae cones and one Oryzeae scooped bilobate were also recorded, reflecting the wet nature of the vegetation community. UID (poac) 2 is most common in the fluvial forest samples, but a lack of understory species data hinders our ability to narrow down the species that produced them. </w:t>
      </w:r>
      <w:r w:rsidRPr="0032360C">
        <w:rPr>
          <w:rFonts w:ascii="Arial" w:hAnsi="Arial" w:cs="Arial"/>
          <w:i/>
          <w:sz w:val="24"/>
          <w:szCs w:val="24"/>
        </w:rPr>
        <w:t>Heliconia</w:t>
      </w:r>
      <w:r w:rsidRPr="0032360C">
        <w:rPr>
          <w:rFonts w:ascii="Arial" w:hAnsi="Arial" w:cs="Arial"/>
          <w:sz w:val="24"/>
          <w:szCs w:val="24"/>
        </w:rPr>
        <w:t xml:space="preserve"> was also found, along with high frequencies of Strelitziaceae phytoliths, the presence of these monocots likely representing the highly disturbed nature of the vegetation community. The grass and bamboo phytolith inputs remain low in the A fraction (average 0.6% and 1.3% respectively), but make up around one third of the C fraction counts (average 30%). Unusually, despite the large numbers of Marantaceae phytoliths in the A fraction, few phytoliths from the family made it to the C fraction. Asteraceae platelets, however, reach the highest relative frequencies here than any of the other vegetation plots. Annonaceae faceted bodies were also present, despite the absence of the family in the species inventory (see section 5.1). Other arboreal phytoliths in the C fraction consist mainly of ISTs, again much higher than relative frequencies in other plots, MFBs, sclereids and other tracheid types.</w:t>
      </w:r>
    </w:p>
    <w:p w:rsidR="00513CB5" w:rsidRPr="0032360C" w:rsidRDefault="00513CB5" w:rsidP="00513CB5">
      <w:pPr>
        <w:rPr>
          <w:rFonts w:ascii="Arial" w:hAnsi="Arial" w:cs="Arial"/>
          <w:sz w:val="24"/>
          <w:szCs w:val="24"/>
        </w:rPr>
      </w:pPr>
    </w:p>
    <w:p w:rsidR="00513CB5" w:rsidRPr="0032360C" w:rsidRDefault="00513CB5" w:rsidP="00513CB5">
      <w:pPr>
        <w:spacing w:line="480" w:lineRule="auto"/>
        <w:rPr>
          <w:rFonts w:ascii="Arial" w:hAnsi="Arial" w:cs="Arial"/>
          <w:b/>
          <w:sz w:val="24"/>
          <w:szCs w:val="24"/>
        </w:rPr>
      </w:pPr>
      <w:r w:rsidRPr="0032360C">
        <w:rPr>
          <w:rFonts w:ascii="Arial" w:hAnsi="Arial" w:cs="Arial"/>
          <w:b/>
          <w:sz w:val="24"/>
          <w:szCs w:val="24"/>
        </w:rPr>
        <w:t>4.2. Principal components analyses</w:t>
      </w: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PCAs that were run both the A- (Figure 5) and C-fraction (Figure 6) assemblages show that their differences can be separated statistically. The only exception is with the dense humid evergreen forest and dense humid evergreen forest with high palm abundance, whose factor scores overlap considerably.</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b/>
          <w:sz w:val="24"/>
          <w:szCs w:val="24"/>
        </w:rPr>
        <w:t xml:space="preserve">Figure </w:t>
      </w:r>
      <w:r w:rsidR="0032360C" w:rsidRPr="0032360C">
        <w:rPr>
          <w:rFonts w:ascii="Arial" w:hAnsi="Arial" w:cs="Arial"/>
          <w:b/>
          <w:sz w:val="24"/>
          <w:szCs w:val="24"/>
        </w:rPr>
        <w:t>4</w:t>
      </w:r>
      <w:r w:rsidRPr="0032360C">
        <w:rPr>
          <w:rFonts w:ascii="Arial" w:hAnsi="Arial" w:cs="Arial"/>
          <w:b/>
          <w:sz w:val="24"/>
          <w:szCs w:val="24"/>
        </w:rPr>
        <w:t>:</w:t>
      </w:r>
      <w:r w:rsidRPr="0032360C">
        <w:rPr>
          <w:rFonts w:ascii="Arial" w:hAnsi="Arial" w:cs="Arial"/>
          <w:sz w:val="24"/>
          <w:szCs w:val="24"/>
        </w:rPr>
        <w:t xml:space="preserve"> A fraction PCA and factor scores</w:t>
      </w:r>
    </w:p>
    <w:p w:rsidR="00513CB5" w:rsidRPr="0032360C" w:rsidRDefault="00513CB5" w:rsidP="00513CB5">
      <w:pPr>
        <w:spacing w:line="480" w:lineRule="auto"/>
        <w:rPr>
          <w:rFonts w:ascii="Arial" w:hAnsi="Arial" w:cs="Arial"/>
          <w:sz w:val="24"/>
          <w:szCs w:val="24"/>
        </w:rPr>
      </w:pPr>
      <w:r w:rsidRPr="0032360C">
        <w:rPr>
          <w:rFonts w:ascii="Arial" w:hAnsi="Arial" w:cs="Arial"/>
          <w:b/>
          <w:sz w:val="24"/>
          <w:szCs w:val="24"/>
        </w:rPr>
        <w:t xml:space="preserve">Figure </w:t>
      </w:r>
      <w:r w:rsidR="0032360C" w:rsidRPr="0032360C">
        <w:rPr>
          <w:rFonts w:ascii="Arial" w:hAnsi="Arial" w:cs="Arial"/>
          <w:b/>
          <w:sz w:val="24"/>
          <w:szCs w:val="24"/>
        </w:rPr>
        <w:t>5</w:t>
      </w:r>
      <w:r w:rsidRPr="0032360C">
        <w:rPr>
          <w:rFonts w:ascii="Arial" w:hAnsi="Arial" w:cs="Arial"/>
          <w:b/>
          <w:sz w:val="24"/>
          <w:szCs w:val="24"/>
        </w:rPr>
        <w:t>:</w:t>
      </w:r>
      <w:r w:rsidRPr="0032360C">
        <w:rPr>
          <w:rFonts w:ascii="Arial" w:hAnsi="Arial" w:cs="Arial"/>
          <w:sz w:val="24"/>
          <w:szCs w:val="24"/>
        </w:rPr>
        <w:t xml:space="preserve"> C fraction PCA and factor scores</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In the A-fraction, axes PCA1 and PCA2 together accounted for 62% of the total variance in the dataset. Bamboo and palm forests plot negatively on PCA1 (46%) and humid evergreen and fluvial forest types plot positively. The axis is strongly correlated (negatively) with phytoliths from Poaceae and (positively) with arboreal forms (globular granulate, globular nodular, sclereids etc), showing that greatest variance in the dataset is explained by the difference between grassy to more forested vegetation communities (open to dense forests). PCA2 (16%) separates bamboo from palm forest phytoliths. Overall, the bamboo, palm and fluvial forests are well separated by the analysis, with the exception of some overlapping samples. Phytolith assemblages from the humid evergreen forest types overlap considerably in the analysis showing that the subtle differences in palm abundance between the two sites were unable to be detected.</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 xml:space="preserve">In analysis of the C-fractions, PCA1 (33%) separates bamboo forest assemblages from all other forest types. This is almost wholly driven by bamboo bulliform phytoliths which consistently dominated the assemblages. PCA2 (29%) separates the bamboo and fluvial forests from the humid evergreen forests, with sub-types of the latter again indistinguishable.  Phytoliths common to fluvial forest assemblages, IST phytoliths, Asteraceae, Annonaceae and Marantaceae nodular bodies, are key components of PCA2. Both the bamboo and fluvial forests are more open than the humid evergreen forests and plot on the negative axis, suggesting that PCA2 represents a gradient of density of vegetation communities. The dense humid evergreen forests are characterised by the presence of a range of different arboreal phytolith types. The palm forest is again noted for its lack of larger phytoliths, and had to be excluded from the PCA. </w:t>
      </w:r>
    </w:p>
    <w:p w:rsidR="00513CB5" w:rsidRPr="0032360C" w:rsidRDefault="00513CB5" w:rsidP="00513CB5">
      <w:pPr>
        <w:spacing w:line="480" w:lineRule="auto"/>
        <w:rPr>
          <w:rFonts w:ascii="Arial" w:hAnsi="Arial" w:cs="Arial"/>
          <w:b/>
          <w:sz w:val="24"/>
          <w:szCs w:val="24"/>
        </w:rPr>
      </w:pPr>
    </w:p>
    <w:p w:rsidR="00513CB5" w:rsidRPr="0032360C" w:rsidRDefault="00513CB5" w:rsidP="00513CB5">
      <w:pPr>
        <w:spacing w:line="480" w:lineRule="auto"/>
        <w:rPr>
          <w:rFonts w:ascii="Arial" w:hAnsi="Arial" w:cs="Arial"/>
          <w:b/>
          <w:sz w:val="24"/>
          <w:szCs w:val="24"/>
        </w:rPr>
      </w:pPr>
      <w:r w:rsidRPr="0032360C">
        <w:rPr>
          <w:rFonts w:ascii="Arial" w:hAnsi="Arial" w:cs="Arial"/>
          <w:b/>
          <w:sz w:val="24"/>
          <w:szCs w:val="24"/>
        </w:rPr>
        <w:t>5. Discussion</w:t>
      </w:r>
    </w:p>
    <w:p w:rsidR="00513CB5" w:rsidRPr="0032360C" w:rsidRDefault="00513CB5" w:rsidP="00513CB5">
      <w:pPr>
        <w:spacing w:line="480" w:lineRule="auto"/>
        <w:rPr>
          <w:rFonts w:ascii="Arial" w:hAnsi="Arial" w:cs="Arial"/>
          <w:b/>
          <w:sz w:val="24"/>
          <w:szCs w:val="24"/>
        </w:rPr>
      </w:pPr>
    </w:p>
    <w:p w:rsidR="00513CB5" w:rsidRPr="0032360C" w:rsidRDefault="00513CB5" w:rsidP="00513CB5">
      <w:pPr>
        <w:spacing w:line="480" w:lineRule="auto"/>
        <w:rPr>
          <w:rFonts w:ascii="Arial" w:hAnsi="Arial" w:cs="Arial"/>
          <w:b/>
          <w:sz w:val="24"/>
          <w:szCs w:val="24"/>
        </w:rPr>
      </w:pPr>
      <w:r w:rsidRPr="0032360C">
        <w:rPr>
          <w:rFonts w:ascii="Arial" w:hAnsi="Arial" w:cs="Arial"/>
          <w:b/>
          <w:sz w:val="24"/>
          <w:szCs w:val="24"/>
        </w:rPr>
        <w:t>5.1. Distinguishing between vegetation formations</w:t>
      </w:r>
    </w:p>
    <w:p w:rsidR="00513CB5" w:rsidRPr="0032360C" w:rsidRDefault="00513CB5" w:rsidP="00513CB5">
      <w:pPr>
        <w:spacing w:line="480" w:lineRule="auto"/>
        <w:rPr>
          <w:rFonts w:ascii="Arial" w:hAnsi="Arial" w:cs="Arial"/>
          <w:b/>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This study set out to test whether modern forest formations in eastern Acre, Brazil, could be distinguished by their phytolith signatures. The results show that significant differences do exist between the phytolith assemblages from humid evergreen, bamboo, palm and fluvial forest that would allow their differentiation in the fossil phytolith record. We also found that phytoliths are unable to pick up subtler differences in species composition, as seen in the statistical overlap of assemblages from dense humid evergreen and dense humid evergreen with high palm forests. Forest types, particularly fluvial forest, were better separated on account of the C-fraction phytoliths, as shown by the tighter clustering of subsamples and less spatial overlap in the PCA. It is possible that this could be due to the exclusion of the palm forest samples from the analysis; however, the lack of larger phytoliths produced by this vegetation community is a diagnostic feature of itself. These findings support those from lowland Bolivia which also showed that vegetation formations were more easily differentiated by the C-fraction phytoliths (Dickau et al., 2013), reinforcing the advantages of analysing the silt-sized and sand-sized phytoliths separately.</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analyses we used also help us to determine which phytoliths might be associated to which vegetation formations. Dense humid evergreen forests are characterised by the presence of globular psilate phytoliths and vesicular infillings in the A-fraction, large globular echinate, hairbase phytoliths and anticlinal epidermal cells in the C-fraction, and tracheary elements in both. Bamboo forests are associated with bamboo short cells and the almost complete dominance of bamboo bulliforms in the C-fraction, while palm forest A-fractions are dominated by globular echinate phytoliths and have true grass percentages comparable to those from bamboo forests. Finally, fluvial forests are characterised by globular granulate, globular nodular and sclereid phytoliths in the A-fraction and Annonaceae, Asteraceae and IST phytoliths in the C-fraction, the latter two morphotypes also having high absolute (though not relative) counts in bamboo forest. The high frequencies of tracheary element phytoliths (particularly scereids, IST/(Cyl)s) in the fluvial forest is noteworthy and leads us to suggest that tree species adapted to fluvial ecosystems may deliberately produce more of these phytoliths as structural support for the xylems which have to deal with a high degree of water stress. Phytolith assemblages high in tracheary elements were similarly found to be produced by marine-ada</w:t>
      </w:r>
      <w:r w:rsidR="00841967">
        <w:rPr>
          <w:rFonts w:ascii="Arial" w:hAnsi="Arial" w:cs="Arial"/>
          <w:sz w:val="24"/>
          <w:szCs w:val="24"/>
        </w:rPr>
        <w:t xml:space="preserve">pted plants in southeast India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"Kumari", "given" : "I S", "non-dropping-particle" : "", "parse-names" : false, "suffix" : "" }, { "dropping-particle" : "", "family" : "Kumarasamy", "given" : "D", "non-dropping-particle" : "", "parse-names" : false, "suffix" : "" } ], "container-title" : "International Journal of Plant, Animal and Environmental Sciences", "id" : "ITEM-1", "issued" : { "date-parts" : [ [ "2014" ] ] }, "page" : "1-5", "title" : "Studies on phytoliths in some marine plants", "type" : "article-journal", "volume" : "4" }, "uris" : [ "http://www.mendeley.com/documents/?uuid=2d19bf5b-abca-4d29-8e00-a594e9f85f44" ] } ], "mendeley" : { "formattedCitation" : "(Kumari and Kumarasamy, 2014)", "plainTextFormattedCitation" : "(Kumari and Kumarasamy, 2014)", "previouslyFormattedCitation" : "(Kumari and Kumarasamy, 2014)"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(Kumari and Kumarasamy, 2014)</w:t>
      </w:r>
      <w:r w:rsidRPr="0032360C">
        <w:rPr>
          <w:rFonts w:ascii="Arial" w:hAnsi="Arial" w:cs="Arial"/>
          <w:sz w:val="24"/>
          <w:szCs w:val="24"/>
        </w:rPr>
        <w:fldChar w:fldCharType="end"/>
      </w:r>
      <w:r w:rsidRPr="0032360C">
        <w:rPr>
          <w:rFonts w:ascii="Arial" w:hAnsi="Arial" w:cs="Arial"/>
          <w:sz w:val="24"/>
          <w:szCs w:val="24"/>
        </w:rPr>
        <w:t xml:space="preserve">. Further studies of surface soils under similar fluvial forests are necessary to corroborate these findings, which could be of use to palaeoecologists tracking the extent of flooded forests in the past </w:t>
      </w:r>
      <w:r w:rsidR="007339EE"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"10.1016/j.palaeo.2011.05.012", "ISSN" : "00310182", "author" : [ { "dropping-particle" : "", "family" : "Whitney", "given" : "Bronwen S.", "non-dropping-particle" : "", "parse-names" : false, "suffix" : "" }, { "dropping-particle" : "", "family" : "Mayle", "given" : "Francis E.", "non-dropping-particle" : "", "parse-names" : false, "suffix" : "" }, { "dropping-particle" : "", "family" : "Punyasena", "given" : "Surangi W.", "non-dropping-particle" : "", "parse-names" : false, "suffix" : "" }, { "dropping-particle" : "", "family" : "Fitzpatrick", "given" : "Katharine A.", "non-dropping-particle" : "", "parse-names" : false, "suffix" : "" }, { "dropping-particle" : "", "family" : "Burn", "given" : "Michael J.", "non-dropping-particle" : "", "parse-names" : false, "suffix" : "" }, { "dropping-particle" : "", "family" : "Guillen", "given" : "Ren\u00e9", "non-dropping-particle" : "", "parse-names" : false, "suffix" : "" }, { "dropping-particle" : "", "family" : "Chavez", "given" : "Ezequiel", "non-dropping-particle" : "", "parse-names" : false, "suffix" : "" }, { "dropping-particle" : "", "family" : "Mann", "given" : "David", "non-dropping-particle" : "", "parse-names" : false, "suffix" : "" }, { "dropping-particle" : "", "family" : "Pennington", "given" : "R. Toby", "non-dropping-particle" : "", "parse-names" : false, "suffix" : "" }, { "dropping-particle" : "", "family" : "Metcalfe", "given" : "Sarah E.", "non-dropping-particle" : "", "parse-names" : false, "suffix" : "" } ], "container-title" : "Palaeogeography, Palaeoclimatology, Palaeoecology", "id" : "ITEM-1", "issue" : "1-4", "issued" : { "date-parts" : [ [ "2011", "7" ] ] }, "page" : "177-192", "publisher" : "Elsevier B.V.", "title" : "A 45kyr palaeoclimate record from the lowland interior of tropical South America", "type" : "article-journal", "volume" : "307" }, "uris" : [ "http://www.mendeley.com/documents/?uuid=91174a22-9f6b-4bcb-a94b-e1779ea4b011" ] } ], "mendeley" : { "formattedCitation" : "(Whitney et al., 2011)", "plainTextFormattedCitation" : "(Whitney et al., 2011)", "previouslyFormattedCitation" : "(Whitney et al., 2011)" }, "properties" : { "noteIndex" : 0 }, "schema" : "https://github.com/citation-style-language/schema/raw/master/csl-citation.json" }</w:instrText>
      </w:r>
      <w:r w:rsidR="007339EE" w:rsidRPr="0032360C">
        <w:rPr>
          <w:rFonts w:ascii="Arial" w:hAnsi="Arial" w:cs="Arial"/>
          <w:sz w:val="24"/>
          <w:szCs w:val="24"/>
        </w:rPr>
        <w:fldChar w:fldCharType="separate"/>
      </w:r>
      <w:r w:rsidR="00CC5FD9" w:rsidRPr="00CC5FD9">
        <w:rPr>
          <w:rFonts w:ascii="Arial" w:hAnsi="Arial" w:cs="Arial"/>
          <w:noProof/>
          <w:sz w:val="24"/>
          <w:szCs w:val="24"/>
        </w:rPr>
        <w:t>(Whitney et al., 2011)</w:t>
      </w:r>
      <w:r w:rsidR="007339EE" w:rsidRPr="0032360C">
        <w:rPr>
          <w:rFonts w:ascii="Arial" w:hAnsi="Arial" w:cs="Arial"/>
          <w:sz w:val="24"/>
          <w:szCs w:val="24"/>
        </w:rPr>
        <w:fldChar w:fldCharType="end"/>
      </w:r>
      <w:r w:rsidRPr="0032360C">
        <w:rPr>
          <w:rFonts w:ascii="Arial" w:hAnsi="Arial" w:cs="Arial"/>
          <w:sz w:val="24"/>
          <w:szCs w:val="24"/>
        </w:rPr>
        <w:t>.</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Style w:val="hascaption"/>
          <w:rFonts w:ascii="Arial" w:hAnsi="Arial" w:cs="Arial"/>
          <w:sz w:val="24"/>
          <w:szCs w:val="24"/>
        </w:rPr>
      </w:pPr>
      <w:r w:rsidRPr="0032360C">
        <w:rPr>
          <w:rFonts w:ascii="Arial" w:hAnsi="Arial" w:cs="Arial"/>
          <w:sz w:val="24"/>
          <w:szCs w:val="24"/>
        </w:rPr>
        <w:t>This study has also shown good correlations between phytolith surface soil assemblages and species inventory data, indicating that they are a result of relatively recent deposition. In the case of the fluvial forest, where we would expect alluvial transport of phytoliths to be a concern, the uniqueness of the phytolith data indicates limited mixing of phytoliths from other forest formations in the drainage basin. It is highly possible, however, that some of the phytoliths originated in other similar flooded forests upstream from the vegetation plot. This could explain the high frequencies of Annonaceae phytoliths despite the absence of the family in the forest plot, as well as the presence of globular echinates which are not produced by the species of palm recorded in the inventory (</w:t>
      </w:r>
      <w:r w:rsidRPr="0032360C">
        <w:rPr>
          <w:rFonts w:ascii="Arial" w:hAnsi="Arial" w:cs="Arial"/>
          <w:i/>
          <w:sz w:val="24"/>
          <w:szCs w:val="24"/>
        </w:rPr>
        <w:t>Bactris maraja</w:t>
      </w:r>
      <w:r w:rsidRPr="0032360C">
        <w:rPr>
          <w:rFonts w:ascii="Arial" w:hAnsi="Arial" w:cs="Arial"/>
          <w:sz w:val="24"/>
          <w:szCs w:val="24"/>
        </w:rPr>
        <w:t>). The Annonaceae family is a common component of fluvial and inundated environments: in a study of fluvial forest species on the floodplains of the River Juru</w:t>
      </w:r>
      <w:r w:rsidRPr="0032360C">
        <w:rPr>
          <w:rStyle w:val="hascaption"/>
          <w:rFonts w:ascii="Arial" w:hAnsi="Arial" w:cs="Arial"/>
          <w:sz w:val="24"/>
          <w:szCs w:val="24"/>
        </w:rPr>
        <w:t xml:space="preserve">á, </w:t>
      </w:r>
      <w:r w:rsidRPr="0032360C">
        <w:rPr>
          <w:rStyle w:val="hascaption"/>
          <w:rFonts w:ascii="Arial" w:hAnsi="Arial" w:cs="Arial"/>
          <w:i/>
          <w:sz w:val="24"/>
          <w:szCs w:val="24"/>
        </w:rPr>
        <w:t>Annona spp.</w:t>
      </w:r>
      <w:r w:rsidRPr="0032360C">
        <w:rPr>
          <w:rStyle w:val="hascaption"/>
          <w:rFonts w:ascii="Arial" w:hAnsi="Arial" w:cs="Arial"/>
          <w:sz w:val="24"/>
          <w:szCs w:val="24"/>
        </w:rPr>
        <w:t xml:space="preserve"> (Annonaceae) was recorded as strongly dominating in the plot with the </w:t>
      </w:r>
      <w:r w:rsidR="00841967">
        <w:rPr>
          <w:rStyle w:val="hascaption"/>
          <w:rFonts w:ascii="Arial" w:hAnsi="Arial" w:cs="Arial"/>
          <w:sz w:val="24"/>
          <w:szCs w:val="24"/>
        </w:rPr>
        <w:t xml:space="preserve">highest mean high water levels </w:t>
      </w:r>
      <w:r w:rsidRPr="0032360C">
        <w:rPr>
          <w:rStyle w:val="hascaption"/>
          <w:rFonts w:ascii="Arial" w:hAnsi="Arial" w:cs="Arial"/>
          <w:sz w:val="24"/>
          <w:szCs w:val="24"/>
        </w:rPr>
        <w:fldChar w:fldCharType="begin" w:fldLock="1"/>
      </w:r>
      <w:r w:rsidR="00CC5FD9">
        <w:rPr>
          <w:rStyle w:val="hascaption"/>
          <w:rFonts w:ascii="Arial" w:hAnsi="Arial" w:cs="Arial"/>
          <w:sz w:val="24"/>
          <w:szCs w:val="24"/>
        </w:rPr>
        <w:instrText>ADDIN CSL_CITATION { "citationItems" : [ { "id" : "ITEM-1", "itemData" : { "author" : [ { "dropping-particle" : "", "family" : "Campbell", "given" : "D G", "non-dropping-particle" : "", "parse-names" : false, "suffix" : "" }, { "dropping-particle" : "", "family" : "Stone", "given" : "J L", "non-dropping-particle" : "", "parse-names" : false, "suffix" : "" }, { "dropping-particle" : "", "family" : "Rosas Jr.", "given" : "A", "non-dropping-particle" : "", "parse-names" : false, "suffix" : "" } ], "container-title" : "Botanical Journal of the Linnean Society", "id" : "ITEM-1", "issued" : { "date-parts" : [ [ "1992" ] ] }, "page" : "213-237", "title" : "A comparison of the phytosociology and dynamics of three floodplain (v\u00e1rzea) forests of known ages, Rio Juru\u00e1, western Brazilian Amazon", "type" : "article-journal", "volume" : "108" }, "uris" : [ "http://www.mendeley.com/documents/?uuid=29b4b362-17b5-42a0-ab98-e376ca83d512" ] } ], "mendeley" : { "formattedCitation" : "(Campbell et al., 1992)", "plainTextFormattedCitation" : "(Campbell et al., 1992)", "previouslyFormattedCitation" : "(Campbell et al., 1992)" }, "properties" : { "noteIndex" : 0 }, "schema" : "https://github.com/citation-style-language/schema/raw/master/csl-citation.json" }</w:instrText>
      </w:r>
      <w:r w:rsidRPr="0032360C">
        <w:rPr>
          <w:rStyle w:val="hascaption"/>
          <w:rFonts w:ascii="Arial" w:hAnsi="Arial" w:cs="Arial"/>
          <w:sz w:val="24"/>
          <w:szCs w:val="24"/>
        </w:rPr>
        <w:fldChar w:fldCharType="separate"/>
      </w:r>
      <w:r w:rsidR="00CC5FD9" w:rsidRPr="00CC5FD9">
        <w:rPr>
          <w:rStyle w:val="hascaption"/>
          <w:rFonts w:ascii="Arial" w:hAnsi="Arial" w:cs="Arial"/>
          <w:noProof/>
          <w:sz w:val="24"/>
          <w:szCs w:val="24"/>
        </w:rPr>
        <w:t>(Campbell et al., 1992)</w:t>
      </w:r>
      <w:r w:rsidRPr="0032360C">
        <w:rPr>
          <w:rStyle w:val="hascaption"/>
          <w:rFonts w:ascii="Arial" w:hAnsi="Arial" w:cs="Arial"/>
          <w:sz w:val="24"/>
          <w:szCs w:val="24"/>
        </w:rPr>
        <w:fldChar w:fldCharType="end"/>
      </w:r>
      <w:r w:rsidRPr="0032360C">
        <w:rPr>
          <w:rStyle w:val="hascaption"/>
          <w:rFonts w:ascii="Arial" w:hAnsi="Arial" w:cs="Arial"/>
          <w:sz w:val="24"/>
          <w:szCs w:val="24"/>
        </w:rPr>
        <w:t>.</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 xml:space="preserve">As predicted, both over- and under-representation of plant taxa was apparent in the phytolith data. One example of under-representation was of </w:t>
      </w:r>
      <w:r w:rsidRPr="0032360C">
        <w:rPr>
          <w:rFonts w:ascii="Arial" w:hAnsi="Arial" w:cs="Arial"/>
          <w:i/>
          <w:sz w:val="24"/>
          <w:szCs w:val="24"/>
        </w:rPr>
        <w:t>Tetragastris altissima</w:t>
      </w:r>
      <w:r w:rsidRPr="0032360C">
        <w:rPr>
          <w:rFonts w:ascii="Arial" w:hAnsi="Arial" w:cs="Arial"/>
          <w:sz w:val="24"/>
          <w:szCs w:val="24"/>
        </w:rPr>
        <w:t xml:space="preserve"> (Burseraceae) in the dense humid evergreen forests. Only one seed phytolith from this species was recovered from both vegetation plots, despite it being the most abundant species in the inventories. Over-representation of globular echinate phytoliths also occurred in the palm forests to the extent that other phytolith types were “swamped” in the A-fraction counts. When over-representation is suspected in phytolith assemblages it is usually common practice to extend the total count to &gt; 200 morphot</w:t>
      </w:r>
      <w:r w:rsidR="00841967">
        <w:rPr>
          <w:rFonts w:ascii="Arial" w:hAnsi="Arial" w:cs="Arial"/>
          <w:sz w:val="24"/>
          <w:szCs w:val="24"/>
        </w:rPr>
        <w:t xml:space="preserve">ypes to counteract this effect </w:t>
      </w:r>
      <w:r w:rsidRPr="0032360C">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"Pearsall", "given" : "Deborah M.", "non-dropping-particle" : "", "parse-names" : false, "suffix" : "" } ], "edition" : "2nd", "id" : "ITEM-1", "issued" : { "date-parts" : [ [ "2000" ] ] }, "publisher" : "Academic Press", "publisher-place" : "New York", "title" : "Paleoethnobotany: A handbook of procedures", "type" : "book" }, "uris" : [ "http://www.mendeley.com/documents/?uuid=85daa275-9a3d-4c73-9670-7a625eabfa50" ] } ], "mendeley" : { "formattedCitation" : "(Pearsall, 2000)", "plainTextFormattedCitation" : "(Pearsall, 2000)", "previouslyFormattedCitation" : "(Pearsall, 2000)"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(Pearsall, 2000)</w:t>
      </w:r>
      <w:r w:rsidRPr="0032360C">
        <w:rPr>
          <w:rFonts w:ascii="Arial" w:hAnsi="Arial" w:cs="Arial"/>
          <w:sz w:val="24"/>
          <w:szCs w:val="24"/>
        </w:rPr>
        <w:fldChar w:fldCharType="end"/>
      </w:r>
      <w:r w:rsidRPr="0032360C">
        <w:rPr>
          <w:rFonts w:ascii="Arial" w:hAnsi="Arial" w:cs="Arial"/>
          <w:sz w:val="24"/>
          <w:szCs w:val="24"/>
        </w:rPr>
        <w:t xml:space="preserve">. However, as the aim of this study was to calculate relative phytolith frequencies from the plots and directly compare these both graphically and statistically, a closed sum of 200 was maintained. </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b/>
          <w:sz w:val="24"/>
          <w:szCs w:val="24"/>
        </w:rPr>
      </w:pPr>
      <w:r w:rsidRPr="0032360C">
        <w:rPr>
          <w:rFonts w:ascii="Arial" w:hAnsi="Arial" w:cs="Arial"/>
          <w:b/>
          <w:sz w:val="24"/>
          <w:szCs w:val="24"/>
        </w:rPr>
        <w:t>5.2. Implications for archaeology and palaeoecology</w:t>
      </w:r>
    </w:p>
    <w:p w:rsidR="00513CB5" w:rsidRPr="0032360C" w:rsidRDefault="00513CB5" w:rsidP="00513CB5">
      <w:pPr>
        <w:spacing w:line="480" w:lineRule="auto"/>
        <w:rPr>
          <w:rFonts w:ascii="Arial" w:hAnsi="Arial" w:cs="Arial"/>
          <w:b/>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ultimate goal of our study was to see whether surface soil phytolith assemblages could help provide accurate analogues for phytolith assemblages from archaeological and palaeoecological contexts in the region. We have shown that the differences between the phytolith datasets are sufficient for this purpose and that surface soil studies can also reveal interesting insights regarding phytolith deposition mechanisms and phytolith/ecosystem relationships. Due to problems with taxonomic resolution and visibility of eudicot phytoliths, our data do not reflect the floristic diversity of the forests that were sampled – something that pollen analysis does much better (Pearsall, 2000). However, we have shown that comparing the percentage inputs of even a relatively small sample of phytolith morphotypes in different forest formations produces significant and useful results. In addition, our research has identified four phytolith morphotypes that have not previously been described (UID (poac) 1 and 2, and UID hairbase 2). We have also been able to suggest taxonomic affiliations for large globular echinate phytoliths.</w:t>
      </w:r>
      <w:r w:rsidRPr="0032360C">
        <w:rPr>
          <w:rFonts w:ascii="Arial" w:hAnsi="Arial" w:cs="Arial"/>
          <w:i/>
          <w:sz w:val="24"/>
          <w:szCs w:val="24"/>
        </w:rPr>
        <w:t xml:space="preserve"> Euterpe oleracea</w:t>
      </w:r>
      <w:r w:rsidRPr="0032360C">
        <w:rPr>
          <w:rFonts w:ascii="Arial" w:hAnsi="Arial" w:cs="Arial"/>
          <w:sz w:val="24"/>
          <w:szCs w:val="24"/>
        </w:rPr>
        <w:t xml:space="preserve"> Mart. was previously seen by Watling and Iriarte (201</w:t>
      </w:r>
      <w:r w:rsidR="006908A1">
        <w:rPr>
          <w:rFonts w:ascii="Arial" w:hAnsi="Arial" w:cs="Arial"/>
          <w:sz w:val="24"/>
          <w:szCs w:val="24"/>
        </w:rPr>
        <w:t>3</w:t>
      </w:r>
      <w:r w:rsidRPr="0032360C">
        <w:rPr>
          <w:rFonts w:ascii="Arial" w:hAnsi="Arial" w:cs="Arial"/>
          <w:sz w:val="24"/>
          <w:szCs w:val="24"/>
        </w:rPr>
        <w:t>) to produce unusually large globular echinate phytoliths similar to those encountered here (</w:t>
      </w:r>
      <w:r w:rsidRPr="0032360C">
        <w:rPr>
          <w:rFonts w:ascii="Arial" w:hAnsi="Arial" w:cs="Arial"/>
          <w:i/>
          <w:sz w:val="24"/>
          <w:szCs w:val="24"/>
        </w:rPr>
        <w:t>d</w:t>
      </w:r>
      <w:r w:rsidRPr="0032360C">
        <w:rPr>
          <w:rFonts w:ascii="Arial" w:hAnsi="Arial" w:cs="Arial"/>
          <w:sz w:val="24"/>
          <w:szCs w:val="24"/>
        </w:rPr>
        <w:t xml:space="preserve"> &gt; 50µm), and given the abundance these morphotypes in the dense humid evergreen forest plots where </w:t>
      </w:r>
      <w:r w:rsidRPr="0032360C">
        <w:rPr>
          <w:rFonts w:ascii="Arial" w:hAnsi="Arial" w:cs="Arial"/>
          <w:i/>
          <w:sz w:val="24"/>
          <w:szCs w:val="24"/>
        </w:rPr>
        <w:t>E. precatoria</w:t>
      </w:r>
      <w:r w:rsidRPr="0032360C">
        <w:rPr>
          <w:rFonts w:ascii="Arial" w:hAnsi="Arial" w:cs="Arial"/>
          <w:sz w:val="24"/>
          <w:szCs w:val="24"/>
        </w:rPr>
        <w:t xml:space="preserve"> is the second most dominant species, it raises the possibility that these phytoliths could be diagnostic to genus level. Detailed studies comparing all </w:t>
      </w:r>
      <w:r w:rsidRPr="0032360C">
        <w:rPr>
          <w:rFonts w:ascii="Arial" w:hAnsi="Arial" w:cs="Arial"/>
          <w:i/>
          <w:sz w:val="24"/>
          <w:szCs w:val="24"/>
        </w:rPr>
        <w:t>Euterpe</w:t>
      </w:r>
      <w:r w:rsidRPr="0032360C">
        <w:rPr>
          <w:rFonts w:ascii="Arial" w:hAnsi="Arial" w:cs="Arial"/>
          <w:sz w:val="24"/>
          <w:szCs w:val="24"/>
        </w:rPr>
        <w:t xml:space="preserve"> spp. and other palms in the region are necessary test this hypothesis. Studies into phytoliths from modern plant material are also required to help increase taxonomic resolution of phytolith data among arboreal species in general.</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extent to which different phytolith types preserve over time is an important issue to consider when comparing assemblages from deep soil horizons with those from modern surface soils. While Piperno (1988) showed that the presence of free iron and aluminium oxides in highly weathered tropical soils, like those of Acre, may enhance phytolith durability by becoming absorbed into the phytoliths and thus hindering their dissolution, we would still expect a degree of differential preservation among the current phytolith suite. It has been noted previously that those phytoliths which are formed as casts of cells and cell wall incrustations, such as epidermal sheets, are much less durable than those which represent solid infillings of cells (Pipern</w:t>
      </w:r>
      <w:r w:rsidR="008B4776">
        <w:rPr>
          <w:rFonts w:ascii="Arial" w:hAnsi="Arial" w:cs="Arial"/>
          <w:sz w:val="24"/>
          <w:szCs w:val="24"/>
        </w:rPr>
        <w:t>o, 1988; Alexandre et al., 1997)</w:t>
      </w:r>
      <w:r w:rsidRPr="0032360C">
        <w:rPr>
          <w:rFonts w:ascii="Arial" w:hAnsi="Arial" w:cs="Arial"/>
          <w:sz w:val="24"/>
          <w:szCs w:val="24"/>
        </w:rPr>
        <w:t xml:space="preserve">. Phytoliths found in the surface soils of this study that fit this description are anticlinal epidermal cells, the hair component of UID hairbase 1 and the striated hairbases diagnostic to </w:t>
      </w:r>
      <w:r w:rsidRPr="0032360C">
        <w:rPr>
          <w:rFonts w:ascii="Arial" w:hAnsi="Arial" w:cs="Arial"/>
          <w:i/>
          <w:sz w:val="24"/>
          <w:szCs w:val="24"/>
        </w:rPr>
        <w:t xml:space="preserve">Ficus spp. </w:t>
      </w:r>
      <w:r w:rsidRPr="0032360C">
        <w:rPr>
          <w:rFonts w:ascii="Arial" w:hAnsi="Arial" w:cs="Arial"/>
          <w:sz w:val="24"/>
          <w:szCs w:val="24"/>
        </w:rPr>
        <w:t>and we would therefore expect their presence to be limited in soil depth profiles of the region. The majority of other phytolith types seen here are either cell infillings (e.g. grass short cells, globular forms), or solid “plugs” of silica formed in inter-cellular spaces (e.g. non-grass monocot phytoliths, tracheary elements) which have been shown to remain very stable in their depositional environment (Piperno, 2006).</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distinction of four important forest types in the region by their phytoliths is a considerable step forward for archaeologists and palaeoecologists interested in landscape histories over time and space. Phytoliths will play a crucial role in testing the hypothesis of McMichael et al. (2014), as bamboos do not produce diagnostic pollen grains and we have shown in this study that phytoliths assemblages from bamboo forests are easily recognisable. The importance of palms and the role of humans in driving their past and present distributions has also been wide</w:t>
      </w:r>
      <w:r w:rsidR="00841967">
        <w:rPr>
          <w:rFonts w:ascii="Arial" w:hAnsi="Arial" w:cs="Arial"/>
          <w:sz w:val="24"/>
          <w:szCs w:val="24"/>
        </w:rPr>
        <w:t xml:space="preserve">ly discussed in the literature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"Kahn", "given" : "F", "non-dropping-particle" : "", "parse-names" : false, "suffix" : "" } ], "container-title" : "Advances in Economic Botany", "id" : "ITEM-1", "issued" : { "date-parts" : [ [ "1988" ] ] }, "page" : "42-49", "title" : "Ecology of Economically Important Palms in Amazonia", "type" : "article-journal", "volume" : "6" }, "uris" : [ "http://www.mendeley.com/documents/?uuid=7af5aea3-9726-4122-bfe1-5cdfbfc0ea35" ] } ], "mendeley" : { "formattedCitation" : "(Kahn, 1988)", "manualFormatting" : "(Kahn, 1988", "plainTextFormattedCitation" : "(Kahn, 1988)", "previouslyFormattedCitation" : "(Kahn, 1988)"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(Kahn, 1988</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"Clement", "given" : "Charles R", "non-dropping-particle" : "", "parse-names" : false, "suffix" : "" } ], "container-title" : "Economic Botany", "id" : "ITEM-1", "issue" : "2", "issued" : { "date-parts" : [ [ "1999" ] ] }, "page" : "188-202", "title" : "1492 and the loss of Amazonian crop genetic resources I: The relation between domestication and human population decline", "type" : "article-journal", "volume" : "53" }, "uris" : [ "http://www.mendeley.com/documents/?uuid=d73a0680-646d-45bd-afdb-4980bc1df5d8" ] } ], "mendeley" : { "formattedCitation" : "(Clement, 1999)", "manualFormatting" : "Clement, 1999", "plainTextFormattedCitation" : "(Clement, 1999)", "previouslyFormattedCitation" : "(Clement, 1999)"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Clement, 1999</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"Morcote-R\u00edos", "given" : "G", "non-dropping-particle" : "", "parse-names" : false, "suffix" : "" }, { "dropping-particle" : "", "family" : "Bernal", "given" : "R", "non-dropping-particle" : "", "parse-names" : false, "suffix" : "" } ], "container-title" : "Botanical Review", "id" : "ITEM-1", "issue" : "3", "issued" : { "date-parts" : [ [ "2001" ] ] }, "page" : "309-350", "title" : "Remains of palms (Palmae) at archaeological sites in the New World: a review", "type" : "article-journal", "volume" : "67" }, "uris" : [ "http://www.mendeley.com/documents/?uuid=a601bc0a-b2f6-47cc-ae76-e2cd4bea0e0f" ] } ], "mendeley" : { "formattedCitation" : "(Morcote-R\u00edos and Bernal, 2001)", "manualFormatting" : "Morcote-R\u00edos and Bernal, 2001", "plainTextFormattedCitation" : "(Morcote-R\u00edos and Bernal, 2001)", "previouslyFormattedCitation" : "(Morcote-R\u00edos and Bernal, 2001)"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Morcote-Ríos and Bernal, 2001</w:t>
      </w:r>
      <w:r w:rsidRPr="0032360C">
        <w:rPr>
          <w:rFonts w:ascii="Arial" w:hAnsi="Arial" w:cs="Arial"/>
          <w:sz w:val="24"/>
          <w:szCs w:val="24"/>
        </w:rPr>
        <w:fldChar w:fldCharType="end"/>
      </w:r>
      <w:r w:rsidRPr="0032360C">
        <w:rPr>
          <w:rFonts w:ascii="Arial" w:hAnsi="Arial" w:cs="Arial"/>
          <w:sz w:val="24"/>
          <w:szCs w:val="24"/>
        </w:rPr>
        <w:t xml:space="preserve">). While it is unknown to what extent Acre’s palm forests are relics of old secondary forests after human manipulation, knowing the phytoliths that they produce is important to compare with assemblages from archaeological contexts that may be similar. In addition, the promising data we retrieved from the fluvial forest could also be useful to archaeologists looking to trace human impact in these environments. The floodplains of the Amazon basin have long been recognised as highly sought-after locations for planting crops due to the annual replenishment of soil fertility caused by annual flooding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"Lathrap", "given" : "Donald W", "non-dropping-particle" : "", "parse-names" : false, "suffix" : "" } ], "id" : "ITEM-1", "issued" : { "date-parts" : [ [ "1970" ] ] }, "publisher" : "Thames and Hudson", "publisher-place" : "London", "title" : "The Upper Amazon", "type" : "book" }, "uris" : [ "http://www.mendeley.com/documents/?uuid=a7f750d6-8f14-4c39-b46c-0639b293de9c" ] } ], "mendeley" : { "formattedCitation" : "(Lathrap, 1970)", "manualFormatting" : "(Lathrap, 1970", "plainTextFormattedCitation" : "(Lathrap, 1970)", "previouslyFormattedCitation" : "(Lathrap, 1970)"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(Lathrap, 1970</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"Roosevelt", "given" : "A C", "non-dropping-particle" : "", "parse-names" : false, "suffix" : "" } ], "id" : "ITEM-1", "issued" : { "date-parts" : [ [ "1980" ] ] }, "publisher" : "Academic Press", "publisher-place" : "New York", "title" : "Parmana: Prehistoric Maize and Manioc Subsistence along the Amazon and Orinoco", "type" : "book" }, "uris" : [ "http://www.mendeley.com/documents/?uuid=a284eca3-f27f-483b-a754-8824d5fa8616" ] } ], "mendeley" : { "formattedCitation" : "(Roosevelt, 1980)", "manualFormatting" : "Roosevelt, 1980", "plainTextFormattedCitation" : "(Roosevelt, 1980)", "previouslyFormattedCitation" : "(Roosevelt, 1980)"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Roosevelt, 1980</w:t>
      </w:r>
      <w:r w:rsidRPr="0032360C">
        <w:rPr>
          <w:rFonts w:ascii="Arial" w:hAnsi="Arial" w:cs="Arial"/>
          <w:sz w:val="24"/>
          <w:szCs w:val="24"/>
        </w:rPr>
        <w:fldChar w:fldCharType="end"/>
      </w:r>
      <w:r w:rsidRPr="0032360C">
        <w:rPr>
          <w:rFonts w:ascii="Arial" w:hAnsi="Arial" w:cs="Arial"/>
          <w:sz w:val="24"/>
          <w:szCs w:val="24"/>
        </w:rPr>
        <w:t xml:space="preserve">; </w:t>
      </w:r>
      <w:r w:rsidRPr="0032360C">
        <w:rPr>
          <w:rFonts w:ascii="Arial" w:hAnsi="Arial" w:cs="Arial"/>
          <w:sz w:val="24"/>
          <w:szCs w:val="24"/>
        </w:rPr>
        <w:fldChar w:fldCharType="begin" w:fldLock="1"/>
      </w:r>
      <w:r w:rsidR="00841967">
        <w:rPr>
          <w:rFonts w:ascii="Arial" w:hAnsi="Arial" w:cs="Arial"/>
          <w:sz w:val="24"/>
          <w:szCs w:val="24"/>
        </w:rPr>
        <w:instrText>ADDIN CSL_CITATION { "citationItems" : [ { "id" : "ITEM-1", "itemData" : { "author" : [ { "dropping-particle" : "", "family" : "Denevan", "given" : "William M", "non-dropping-particle" : "", "parse-names" : false, "suffix" : "" } ], "id" : "ITEM-1", "issued" : { "date-parts" : [ [ "2001" ] ] }, "publisher" : "Oxford University Press", "publisher-place" : "Oxford", "title" : "Cultivated Landscapes of Native America and the Andes", "type" : "book" }, "uris" : [ "http://www.mendeley.com/documents/?uuid=16c44aec-0626-4ee4-9493-9268d716b163" ] } ], "mendeley" : { "formattedCitation" : "(Denevan, 2001)", "manualFormatting" : "Denevan, 2001", "plainTextFormattedCitation" : "(Denevan, 2001)", "previouslyFormattedCitation" : "(Denevan, 2001)" }, "properties" : { "noteIndex" : 0 }, "schema" : "https://github.com/citation-style-language/schema/raw/master/csl-citation.json" }</w:instrText>
      </w:r>
      <w:r w:rsidRPr="0032360C">
        <w:rPr>
          <w:rFonts w:ascii="Arial" w:hAnsi="Arial" w:cs="Arial"/>
          <w:sz w:val="24"/>
          <w:szCs w:val="24"/>
        </w:rPr>
        <w:fldChar w:fldCharType="separate"/>
      </w:r>
      <w:r w:rsidR="00CC5FD9" w:rsidRPr="00CC5FD9">
        <w:rPr>
          <w:rFonts w:ascii="Arial" w:hAnsi="Arial" w:cs="Arial"/>
          <w:noProof/>
          <w:sz w:val="24"/>
          <w:szCs w:val="24"/>
        </w:rPr>
        <w:t>Denevan, 2001</w:t>
      </w:r>
      <w:r w:rsidRPr="0032360C">
        <w:rPr>
          <w:rFonts w:ascii="Arial" w:hAnsi="Arial" w:cs="Arial"/>
          <w:sz w:val="24"/>
          <w:szCs w:val="24"/>
        </w:rPr>
        <w:fldChar w:fldCharType="end"/>
      </w:r>
      <w:r w:rsidRPr="0032360C">
        <w:rPr>
          <w:rFonts w:ascii="Arial" w:hAnsi="Arial" w:cs="Arial"/>
          <w:sz w:val="24"/>
          <w:szCs w:val="24"/>
        </w:rPr>
        <w:t>). With more studies of phytolith assemblages from floodplain environments, it may be possible to detect some of these pre-Columbian land-use strategies.</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Our data also have relevance for ecologists seeking to test the resilience of southwestern Amazonian ecosystems to both climate and human impact. Phytolith studies can now be conducted within the forest plots themselves in order to trace their development and longevity in their current locations and see to what extent humans have either interfered with, or helped to form, their character. Phytolith depth profiles may provide information on long-term changes in forest composition due to climate in areas where pollen analysis from lake coring is not possible.</w:t>
      </w:r>
    </w:p>
    <w:p w:rsidR="00513CB5" w:rsidRPr="0032360C" w:rsidRDefault="00513CB5" w:rsidP="00513CB5">
      <w:pPr>
        <w:spacing w:line="480" w:lineRule="auto"/>
        <w:rPr>
          <w:rFonts w:ascii="Arial" w:hAnsi="Arial" w:cs="Arial"/>
          <w:sz w:val="24"/>
          <w:szCs w:val="24"/>
        </w:rPr>
      </w:pP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The data from modern vegetation formations sampled in this study provide a baseline from which archaeological and palaeoecological phytolith assemblages from eastern Acre can now be compared. Work conducted since 2011 in the geoglyph region has included the stratigraphic sampling of soil profiles both within and outside of the sites to track the types of vegetation present before, during and after their use, and the degree of human impact on the landscape (Watling et al. unpublished data). Statistical comparisons of these data with those from these modern analogues will be crucial in characterising vegetation change within these landscapes and ultimately contribute to our understanding of the nature and scale of pre-Columbian impact by the geoglyph builders.</w:t>
      </w:r>
    </w:p>
    <w:p w:rsidR="00513CB5" w:rsidRPr="0032360C" w:rsidRDefault="00513CB5" w:rsidP="00513CB5">
      <w:pPr>
        <w:spacing w:line="480" w:lineRule="auto"/>
        <w:rPr>
          <w:rFonts w:ascii="Arial" w:hAnsi="Arial" w:cs="Arial"/>
          <w:b/>
          <w:sz w:val="24"/>
          <w:szCs w:val="24"/>
        </w:rPr>
      </w:pPr>
    </w:p>
    <w:p w:rsidR="00513CB5" w:rsidRPr="0032360C" w:rsidRDefault="00513CB5" w:rsidP="00513CB5">
      <w:pPr>
        <w:spacing w:line="480" w:lineRule="auto"/>
        <w:rPr>
          <w:rFonts w:ascii="Arial" w:hAnsi="Arial" w:cs="Arial"/>
          <w:b/>
          <w:sz w:val="24"/>
          <w:szCs w:val="24"/>
        </w:rPr>
      </w:pPr>
      <w:r w:rsidRPr="0032360C">
        <w:rPr>
          <w:rFonts w:ascii="Arial" w:hAnsi="Arial" w:cs="Arial"/>
          <w:b/>
          <w:sz w:val="24"/>
          <w:szCs w:val="24"/>
        </w:rPr>
        <w:t>Aknowledgements:</w:t>
      </w:r>
    </w:p>
    <w:p w:rsidR="00513CB5" w:rsidRPr="0032360C" w:rsidRDefault="00513CB5" w:rsidP="00513CB5">
      <w:pPr>
        <w:spacing w:line="480" w:lineRule="auto"/>
        <w:rPr>
          <w:rFonts w:ascii="Arial" w:hAnsi="Arial" w:cs="Arial"/>
          <w:sz w:val="24"/>
          <w:szCs w:val="24"/>
        </w:rPr>
      </w:pPr>
      <w:r w:rsidRPr="0032360C">
        <w:rPr>
          <w:rFonts w:ascii="Arial" w:hAnsi="Arial" w:cs="Arial"/>
          <w:sz w:val="24"/>
          <w:szCs w:val="24"/>
        </w:rPr>
        <w:t>Funding for JW’s PhD studentship was provided by the Arts and Humanities Research Council (Climate Change, Environment and Sustainability Award). Funding for fieldwork and phytolith analysis was provided by the Leverhulme Trust [grant number F/100 158/CH], the National Geographic Society [grant number GEFNE14-11] and the Department of Archaeology, University of Exeter. Forest plot sampling for the RAINFOR network was supported by the Gordon and Betty Moore Foundation and a UK Natural Environment Research Council Urgency Grant (NE/I02982X/1). Thanks to Adriano da Silva for assistance with on-site species identifications and Oliver Phillips and Marcos Silveira for allowing use of the ForestPlot data. Thanks also to Jonas Gregorio de Souza and Sean Goddard for help making some of the figures.</w:t>
      </w:r>
    </w:p>
    <w:p w:rsidR="00513CB5" w:rsidRPr="0032360C" w:rsidRDefault="00513CB5" w:rsidP="00513CB5">
      <w:pPr>
        <w:spacing w:line="480" w:lineRule="auto"/>
        <w:rPr>
          <w:rFonts w:ascii="Arial" w:hAnsi="Arial" w:cs="Arial"/>
          <w:sz w:val="24"/>
          <w:szCs w:val="24"/>
        </w:rPr>
      </w:pPr>
    </w:p>
    <w:p w:rsidR="00513CB5" w:rsidRPr="00586CC7" w:rsidRDefault="00545E10" w:rsidP="00513CB5">
      <w:pPr>
        <w:spacing w:line="480" w:lineRule="auto"/>
        <w:rPr>
          <w:rFonts w:ascii="Arial" w:hAnsi="Arial" w:cs="Arial"/>
          <w:b/>
          <w:sz w:val="24"/>
          <w:szCs w:val="24"/>
          <w:lang w:val="pt-BR"/>
        </w:rPr>
      </w:pPr>
      <w:r>
        <w:rPr>
          <w:rFonts w:ascii="Arial" w:hAnsi="Arial" w:cs="Arial"/>
          <w:b/>
          <w:sz w:val="24"/>
          <w:szCs w:val="24"/>
          <w:lang w:val="pt-BR"/>
        </w:rPr>
        <w:t>References</w:t>
      </w:r>
      <w:r w:rsidR="00513CB5" w:rsidRPr="00586CC7">
        <w:rPr>
          <w:rFonts w:ascii="Arial" w:hAnsi="Arial" w:cs="Arial"/>
          <w:b/>
          <w:sz w:val="24"/>
          <w:szCs w:val="24"/>
          <w:lang w:val="pt-BR"/>
        </w:rPr>
        <w:t>:</w:t>
      </w:r>
    </w:p>
    <w:p w:rsidR="00CC2516" w:rsidRPr="00261E32" w:rsidRDefault="00513CB5">
      <w:pPr>
        <w:widowControl w:val="0"/>
        <w:autoSpaceDE w:val="0"/>
        <w:autoSpaceDN w:val="0"/>
        <w:adjustRightInd w:val="0"/>
        <w:spacing w:after="140" w:line="288" w:lineRule="auto"/>
        <w:ind w:left="480" w:hanging="480"/>
        <w:rPr>
          <w:rFonts w:ascii="Arial" w:hAnsi="Arial" w:cs="Arial"/>
          <w:noProof/>
          <w:sz w:val="24"/>
          <w:szCs w:val="24"/>
          <w:lang w:val="pt-BR"/>
        </w:rPr>
      </w:pPr>
      <w:r w:rsidRPr="0032360C">
        <w:rPr>
          <w:rFonts w:ascii="Arial" w:hAnsi="Arial" w:cs="Arial"/>
        </w:rPr>
        <w:fldChar w:fldCharType="begin" w:fldLock="1"/>
      </w:r>
      <w:r w:rsidRPr="00586CC7">
        <w:rPr>
          <w:rFonts w:ascii="Arial" w:hAnsi="Arial" w:cs="Arial"/>
          <w:lang w:val="pt-BR"/>
        </w:rPr>
        <w:instrText xml:space="preserve">ADDIN Mendeley Bibliography CSL_BIBLIOGRAPHY </w:instrText>
      </w:r>
      <w:r w:rsidRPr="0032360C">
        <w:rPr>
          <w:rFonts w:ascii="Arial" w:hAnsi="Arial" w:cs="Arial"/>
        </w:rPr>
        <w:fldChar w:fldCharType="separate"/>
      </w:r>
      <w:r w:rsidR="00CC2516" w:rsidRPr="00261E32">
        <w:rPr>
          <w:rFonts w:ascii="Arial" w:hAnsi="Arial" w:cs="Arial"/>
          <w:noProof/>
          <w:sz w:val="24"/>
          <w:szCs w:val="24"/>
          <w:lang w:val="pt-BR"/>
        </w:rPr>
        <w:t>Acre, 2000. Programa Estadual de Zoneamento Ecológico-Econômico do Estado do Acre. Vol. 1. Zoneamento ecológico-econômico: Recursos naturais e Meio Ambiente - Documento Final. SECTMA, Rio Branco.</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261E32">
        <w:rPr>
          <w:rFonts w:ascii="Arial" w:hAnsi="Arial" w:cs="Arial"/>
          <w:noProof/>
          <w:sz w:val="24"/>
          <w:szCs w:val="24"/>
          <w:lang w:val="pt-BR"/>
        </w:rPr>
        <w:t xml:space="preserve">Aleman, J., Leys, B., Apema, R., Bentaleb, I., Dubois, M. a., Lamba, B., Lebamba, J., Martin, C., Ngomanda, A., Truc, L., Yangakola, J.-M., Favier, C., Bremond, L., 2012. </w:t>
      </w:r>
      <w:r w:rsidRPr="00CC2516">
        <w:rPr>
          <w:rFonts w:ascii="Arial" w:hAnsi="Arial" w:cs="Arial"/>
          <w:noProof/>
          <w:sz w:val="24"/>
          <w:szCs w:val="24"/>
        </w:rPr>
        <w:t>Reconstructing savanna tree cover from pollen, phytoliths and stable carbon isotopes. Journal of Vegetation Science 23, 187–197. doi:10.1111/j.1654-1103.2011.01335.x</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Alexandre, A., Meunier, J., Lzine, A., Vincens, A., Schwartz, D., 1997. Phytoliths: indicators of grassland dynamics during the late Holocene in intertropical Africa. Palaeogeography, Palaeoclimatology, Palaeoecology 136, 213–229.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Amos, G.L., 1952. Silica in Timbers. Bulletin No. 267. Commonwealth Scientific and Industrial Research Organization, Melbourne.</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Aragão, L.E.O.C., Malhi, Y., Roman-Cuesta, R.M., Saatchi, S., Anderson, L.O., Shimabukuro, Y.E., 2007. Spatial patterns and fire response of recent Amazonian droughts. Geophysical Research Letters 34, L07701. doi:10.1029/2006GL028946</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Balée, W., 1990. Evidence for the successional status of Liana Forest (Xingu River Basin, Amazonian Brazil). Biotropica 22, 36–47.</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Barboni, D., Bremond, L., 2009. Phytoliths of East African grasses: An assessment of their environmental and taxonomic significance based on floristic data. Review of Palaeobotany and Palynology 158, 29–41. doi:10.1016/j.revpalbo.2009.07.002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Borcard, D., Gillet, F., Legendre, P., 2011. Numerical Ecology with R. Springer Science + Business Media B. V.</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Boyd, W.E., Lentfer, C.J., Torrence, R., 1998. Phytolith analysis for wet tropics environment: methodological issues and implications for the archaeology of Garua Island, West New Britain, Papua New Guinea. Palynology 22, 213–228.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Bozarth, S.R., 1992. Classification of opal phytoliths formed in selected dicotyledons native to the Great Plains, in: Mulholland, S.C., Rapp Jr., G. (Eds.), Phytolith Systematics: Emerging Issues. Plenum Press, New York, pp. 193–214.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Bozarth, S.R., Price, K., Woods, W.I., Neves, E.G., Rebellato, R., 2009. Phytoliths and Terra Preta: the Hatahara site example, in: Woods, W.I., Teixers, W.G., Lehmann, J., Steiner, C., WinklerPrins, A.M.G.A., Rebellato, L. (Eds.), Amazonian Dark Earths: Will Sombroek’s Vision. Springer, New York, pp. 85–98.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Bremond, L., Alexandre, A., Hely, C., Guiot, J., 2005. A phytolith index as a proxy of tree cover density in tropical areas: calibration with Leaf Area Index along a forest-savanna transect in southeastern Cameroon. Global and Planetary Change 45, 277–293. doi:10.1016/j.gloplacha.2004.09.002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Brown, D.A., 1984. Prospects and limits of a phytolith key for grasses in the Central United States. Journal of Archaeological Science 11, 345–368.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Bush, M.B., McMichael, C.H., Piperno, D.R., Silman, M.R., Barlow, J., Peres, C. a., Power, M., Palace, M.W., 2015. Anthropogenic influence on Amazonian forests in pre-history: an ecological perspective. Journal of Biogeography. doi:10.1111/jbi.12638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Campbell, D.G., Stone, J.L., Rosas Jr., A., 1992. A comparison of the phytosociology and dynamics of three floodplain (várzea) forests of known ages, Rio Juruá, western Brazilian Amazon. Botanical Journal of the Linnean Society 108, 213–237.</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Carneiro, R.L., 1979. Forest clearance among the Yanomamo: observations and implications. Antropològica 52, 39–76.</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Chaffey, N., 1983. Epidermal structure in the ligule of rice (Oryza sativa L.). Annals of Botany 52, 13–21.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Chandler-Ezell, K., Pearsall, D.M., Zeidler, J.A., 2006. Root and tuber phytoliths and starch grains document Manioc (Manihot escuelenta), arrowroot (Maranta aruniacea), and llerén (Calathea sp.) at the Real Alto site, Ecuador. Economic Botany 60, 103–120.</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Clement, C.R., 1999. 1492 and the loss of Amazonian crop genetic resources I: The relation between domestication and human population decline. Economic Botany 53, 188–202.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Clement, C.R., Denevan, W.M., Heckenberger, M.J., Junqueira, B., Neves, E.G., Teixeira, W.G., Woods, W.I., Andre, A., 2015. The domestication of Amazonia before European conquest. Proceedings of the Royal Society B 282. doi:20150813</w:t>
      </w:r>
    </w:p>
    <w:p w:rsidR="00CC2516" w:rsidRPr="00261E32" w:rsidRDefault="00CC2516">
      <w:pPr>
        <w:widowControl w:val="0"/>
        <w:autoSpaceDE w:val="0"/>
        <w:autoSpaceDN w:val="0"/>
        <w:adjustRightInd w:val="0"/>
        <w:spacing w:after="140" w:line="288" w:lineRule="auto"/>
        <w:ind w:left="480" w:hanging="480"/>
        <w:rPr>
          <w:rFonts w:ascii="Arial" w:hAnsi="Arial" w:cs="Arial"/>
          <w:noProof/>
          <w:sz w:val="24"/>
          <w:szCs w:val="24"/>
          <w:lang w:val="pt-BR"/>
        </w:rPr>
      </w:pPr>
      <w:r w:rsidRPr="00261E32">
        <w:rPr>
          <w:rFonts w:ascii="Arial" w:hAnsi="Arial" w:cs="Arial"/>
          <w:noProof/>
          <w:sz w:val="24"/>
          <w:szCs w:val="24"/>
          <w:lang w:val="pt-BR"/>
        </w:rPr>
        <w:t xml:space="preserve">Daly, D.C., Silveira, M., 2008. </w:t>
      </w:r>
      <w:r w:rsidRPr="00CC2516">
        <w:rPr>
          <w:rFonts w:ascii="Arial" w:hAnsi="Arial" w:cs="Arial"/>
          <w:noProof/>
          <w:sz w:val="24"/>
          <w:szCs w:val="24"/>
        </w:rPr>
        <w:t xml:space="preserve">First Catalogue of the Flora of Acre. </w:t>
      </w:r>
      <w:r w:rsidRPr="00261E32">
        <w:rPr>
          <w:rFonts w:ascii="Arial" w:hAnsi="Arial" w:cs="Arial"/>
          <w:noProof/>
          <w:sz w:val="24"/>
          <w:szCs w:val="24"/>
          <w:lang w:val="pt-BR"/>
        </w:rPr>
        <w:t>Universidade Federal do Acre, Rio Branco.</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261E32">
        <w:rPr>
          <w:rFonts w:ascii="Arial" w:hAnsi="Arial" w:cs="Arial"/>
          <w:noProof/>
          <w:sz w:val="24"/>
          <w:szCs w:val="24"/>
          <w:lang w:val="pt-BR"/>
        </w:rPr>
        <w:t xml:space="preserve">de Carvalho, A.L., Nelson, B.W., Bianchini, M.C., Plagnol, D., Kuplich, T.M., Daly, D.C., 2013. </w:t>
      </w:r>
      <w:r w:rsidRPr="00CC2516">
        <w:rPr>
          <w:rFonts w:ascii="Arial" w:hAnsi="Arial" w:cs="Arial"/>
          <w:noProof/>
          <w:sz w:val="24"/>
          <w:szCs w:val="24"/>
        </w:rPr>
        <w:t>Bamboo-dominated forests of the southwest Amazon: detection, spatial extent, life cycle length and flowering waves. PloS one 8, e54852. doi:10.1371/journal.pone.0054852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Denevan, W.M., 2006. Pre-European forest cultivation in Amazonia, in: Balée, W., Erickson, C.L. (Eds.), Time and Complexity in Historical Ecology. Columbia University Press, New York, pp. 153–164.</w:t>
      </w:r>
    </w:p>
    <w:p w:rsidR="00CC2516" w:rsidRPr="00261E32" w:rsidRDefault="00CC2516">
      <w:pPr>
        <w:widowControl w:val="0"/>
        <w:autoSpaceDE w:val="0"/>
        <w:autoSpaceDN w:val="0"/>
        <w:adjustRightInd w:val="0"/>
        <w:spacing w:after="140" w:line="288" w:lineRule="auto"/>
        <w:ind w:left="480" w:hanging="480"/>
        <w:rPr>
          <w:rFonts w:ascii="Arial" w:hAnsi="Arial" w:cs="Arial"/>
          <w:noProof/>
          <w:sz w:val="24"/>
          <w:szCs w:val="24"/>
          <w:lang w:val="pt-BR"/>
        </w:rPr>
      </w:pPr>
      <w:r w:rsidRPr="00CC2516">
        <w:rPr>
          <w:rFonts w:ascii="Arial" w:hAnsi="Arial" w:cs="Arial"/>
          <w:noProof/>
          <w:sz w:val="24"/>
          <w:szCs w:val="24"/>
        </w:rPr>
        <w:t xml:space="preserve">Denevan, W.M., 2001. Cultivated Landscapes of Native America and the Andes. </w:t>
      </w:r>
      <w:r w:rsidRPr="00261E32">
        <w:rPr>
          <w:rFonts w:ascii="Arial" w:hAnsi="Arial" w:cs="Arial"/>
          <w:noProof/>
          <w:sz w:val="24"/>
          <w:szCs w:val="24"/>
          <w:lang w:val="pt-BR"/>
        </w:rPr>
        <w:t>Oxford University Press, Oxford.</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261E32">
        <w:rPr>
          <w:rFonts w:ascii="Arial" w:hAnsi="Arial" w:cs="Arial"/>
          <w:noProof/>
          <w:sz w:val="24"/>
          <w:szCs w:val="24"/>
          <w:lang w:val="pt-BR"/>
        </w:rPr>
        <w:t xml:space="preserve">Duarte, A.F., 2005. Variabilidade e tendência das chuvas em Rio Branco, Acre, Brasil. </w:t>
      </w:r>
      <w:r w:rsidRPr="00CC2516">
        <w:rPr>
          <w:rFonts w:ascii="Arial" w:hAnsi="Arial" w:cs="Arial"/>
          <w:noProof/>
          <w:sz w:val="24"/>
          <w:szCs w:val="24"/>
        </w:rPr>
        <w:t>Revista Brasileira de Meteorologia 20, 37–42.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Erickson, C.L., Balée, W., 2006. The historical ecology of a complex landscape in Bolivia, in: Erickson, C.L., Balée, W. (Eds.), Time and Complexity in Historical Ecology. Columbia University Press, New York, pp. 187–233.</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Fredlund, G.G., Tieszen, L.T., 1994. Modern Phytolith Assemblages from the North American Great Plains. Journal of Biogeography 21, 321–335.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Griscom, B.W., Ashton, P.M.S., 2006. A self-perpetuating bamboo disturbance cycle in a neotropical forest. Journal of Tropical Ecology 22, 587. doi:10.1017/S0266467406003361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Gross, D.R., 1975. Protein capture and cultural development in the Amazon Basin. American Anthropologist 77, 526–549.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Heckenberger, M.J., Kuikuro, A., Kuikuro, U.T., Russell, J.C., Schmidt, M., Fausto, C., Franchetto, B., 2003. Amazonia 1492: pristine forest or cultural parkland? Science 301, 1710–4. doi:10.1126/science.1086112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Honaine, M.F., Zucol, A.F., Osterrieth, M.L., 2009. Phytolith analysis of Cyperaceae from the Pampean region, Argentina. Australian Journal of Botany 57, 512–523.</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Iriarte, J., 2003. Assessing the feasibility of identifying maize through the analysis of cross-shaped size and three-dimensional morphology of phytoliths in the grasslands of southeastern South America. Journal of Archaeological Science 9, 1085–1094.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Iriarte, J., Glaser, B., Watling, J., Wainwright, A., Birk, J.J., Renard, D., Rostain, S., McKey, D., 2010. Late Holocene Neotropical agricultural landscapes: phytolith and stable carbon isotope analysis of raised fields from French Guianan coastal savannahs. Journal of Archaeological Science 37, 2984–2994. doi:10.1016/j.jas.2010.06.016</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Iriarte, J., Paz, E.A., 2009. Phytolith analysis of selected native plants and modern soils from southeastern Uruguay and its implications for paleoenvironmental and archeological reconstruction. Quaternary International 193, 99–123. doi:10.1016/j.quaint.2007.10.008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Juggins, S., 2010. C2 Software, Version 1.6.</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Kahn, F., 1988. Ecology of Economically Important Palms in Amazonia. Advances in Economic Botany 6, 42–49.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Kondo, R., Childs, C., Atkinson, L., 1994. Opal Phytoliths of New Zealand. Manaaki Press, Lincoln, New Zealand.</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Kumari, I.S., Kumarasamy, D., 2014. Studies on phytoliths in some marine plants. International Journal of Plant, Animal and Environmental Sciences 4, 1–5.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Lathrap, D.W., 1970. The Upper Amazon. Thames and Hudson, London.</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Legendre, P., Birks, H.J.B., 2012. From classical to canonical ordination, in: Birks, H.J.B., Lotter, A.F., Juggins, S., Smol, J.P. (Eds.), Tracking Environmental Change Using Lake Sediments, Volume 5: Data Handling and Numerical Techniques. Springer, pp. 201–248.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Lopez-Gonzalez, G, Lewis, S.L., Burkitt, M., Phillips, O.L., Baker, T.R., 2011. Forestplots.net: a web application and research tool to manage and analyse tropical forest plot data. Journal of Vegetation Science 22, 610–613.</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Lu, H., Liu, K., 2003. Phytoliths of common grasses in the coastal environments of southeastern USA. Estuarine, Coastal and Shelf Science 58, 587–600. doi:10.1016/S0272-7714(03)00137-9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Lu, H., Wu, N., Yang, X.D., Jiang, H., Liu, K., Liu, T.S., 2006. Phytoliths as quantitative indicators for the reconstruction of past environmental conditions in China I: phytolith-based transfer functions. Quaternary Science Reviews 25, 945–959.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Lu, Houyuan, Wu, N., Nie, G., 1995. Discovery of bamboo phytoliths in the loess-paleosol sequences of Guanzhong Basin, Shaanxi Province. Chinese Science Bulletin 40, 405–409.</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McMichael, C.H., Bush, M.B., Silman, M.R., Piperno, D.R., Raczka, M., Lobato, L.C., Zimmerman, M., Hagen, S., Palace, M., 2013. Historical fire and bamboo dynamics in western Amazonia. Journal of Biogeography 40, 299–309. doi:10.1111/jbi.12002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McMichael, C.H., Palace, M.W., Golightly, M., 2014. Bamboo-dominated forests and pre-Columbian earthwork formations in south-western Amazonia. Journal of Biogeography. doi:10.1111/jbi.12325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McMichael, C.H., Piperno, D.R., Bush, M.B., Silman, M.R., Zimmerman,  a R., Raczka, M.F., Lobato, L.C., 2012. Sparse pre-Columbian human habitation in western Amazonia. Science 336, 1429–31. doi:10.1126/science.1219982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Meggers, B.J., 1954. Environmental limitations on the development of culture. American Anthropologist 56, 801–824.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Mercader, J., Bennett, T., Esselmont, C., Simpson, S., Walde, D., 2011. Soil phytoliths from miombo woodlands in Mozambique. Quaternary Research 75, 138–150. doi:10.1016/j.yqres.2010.09.008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Metcalfe, C.R., 1971. Anatomy of the Monocotyledons V: Cyperaceae. Clarendon Press, Oxford.</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Metcalfe, C.R., 1960. Anatomy of the Monocotledons I: Gramineae. Clarendon Press, Oxford.</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Moran, E.F., 1993. Through Amazonian Eyes: The human ecology of Amazonian populations. University of Iowa Press, Iowa City.</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Morcote-Ríos, G., Bernal, R., 2001. Remains of palms (Palmae) at archaeological sites in the New World: a review. Botanical Review 67, 309–350.</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Novello, A., Barboni, D., Berti-Equille, L., Mazur, J.-C., Poilecot, P., Vignaud, P., 2012. Phytolith signal of aquatic plants and soils in Chad, Central Africa. Review of Palaeobotany and Palynology 178, 43–58. doi:10.1016/j.revpalbo.2012.03.010</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Ollendorf, A.L., 1992. Toward a classification cheme of sedge (Cyperaeae) phytoliths, in: Phytolith Systematics: Emerging Issues. Plenum Press, New York, pp. 91–111.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Pärssinen, M., Schaan, D., Ranzi, A., 2009. Pre-Columbian geometric earthworks in the upper Purus: a complex society in western Amazonia. Antiquity 83, 1084–1095.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Pearsall, D.M., 2000. Paleoethnobotany: A handbook of procedures, 2nd ed. Academic Press, New York.</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Pearsall, D.M., 1982. Phytolith analysis: applications of a new palaeoethnobotanical technique in archaeology. American Anthropologist 84, 862–871.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Pearsall, D.M., 1978. Phytolith analysis of archaeological soils: evidence for maize cultivation in Formative Ecuador. Science 199, 177–178.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Pearsall, D.M., Piperno, D.R., 1990. Antiquity of maize cultivation in Ecuador: summary and reevaluation of the evidence. American Antiquity 55, 324–337.</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2006. Phytoliths: A comprehensive guide for archaeologists and paleoecologists. Altimira Press, Oxford.</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1989. The occurrence of phytoliths in the reproductive structures of selected tropical angiosperms and their significance in tropical paleoecology, paleoethnobotany and systematics. Review of Palaeobotany and Palynology 61, 147–173. doi:10.1016/0034-6667(89)90067-5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1988. Phytolith Analysis: An Archaeological and Geological Perspective. Academic Press, San Diego.</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1984. Comparison and differentiation of phytoliths from maize and wild grasses: use of morphological criteria. American Antiquity 49, 361–383.</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Becker, P., 1996. Vegetational history of a site in the central Amazon basin derived from phytolith and charcoal records from natural soils. Quaternary Research 45, 202–209. doi:10.1006/qres.1996.0020</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McMichael, C., Bush, M.B., 2015. Amazonia and the Anthropocene: what was the spatial extent and intensity of human landscape modification in the Amazon Basin at the end of prehistory? The Holocene. doi:10.1177/0959683615588374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Pearsall, D.M., 1998. The Origins of Agriculture in the Lowland Neotropics. Academic Press, New York.</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Piperno, D.R., Pearsall, D.M., 1998. The Silica Bodies of Tropical American Grasses: Morphology, Taxonomy, and Implications for Grass Systematics and Fossil Phytolith Identification. Smithsonian Contributions to Botany 85, 1–40. doi:10.5479/si.0081024X.85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Posey, A., Balée, W., 1989. Resource Management in Amazonia: Indigenous folk strategies, Advances in Economic Botany. New York Botanical Garden, New York.</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Prychid, C.J., Rudall, P.J., Gregory, M., 2003. Systematics and biology of silica bodies in monocotyledons. Botanical Review 69, 377–440.</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Quesada, C.A., Lloyd, J., Anderson, L.O., Fyllas, N.M., Schwarz, M., Czimczik, C.I., 2011. Soils of Amazonia with particular reference to the RAINFOR sites. Biogeosciences 8, 1415–1440. doi:10.5194/bg-8-1415-2011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Ranzi, A., 2003. Geoglifos: patrimônio cultural do Acre, in: Pärssinen, M., Korpisaari, A. (Eds.), Western Amazonia - Amazonia Ocidental: Multidisciplinary Studies on Ancient Expansionistic Movements, Fortifications and Sedentary Life. Renvall Institute Publications 14, pp. 135–172.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Roosevelt, A.C., 1980. Parmana: Prehistoric Maize and Manioc Subsistence along the Amazon and Orinoco. Academic Press, New York.</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Rostain, S., 2013. Islands in the Forest: Landscape management in Pre-Columbian Amazonia. Left Coast Press, Walnut Creek.</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Runge, F., 1999. The opal phytolith inventory of soils in central Africa —quantities, shapes, classification, and spectra. Review of Palaeobotany and Palynology 107, 23–53. doi:10.1016/S0034-6667(99)00018-4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Sase, T., Hosono, M., 2001. Phytolith record in soils interstratified with Late Quaternary tephras overlying the eastern region of Towada volcano, Japan, in: Meunier, J., Colin, F. (Eds.), Phytoliths: Applications in Earth Sciences and Human History. A A Balkmea Publishers, Lisse, Netherlands, pp. 57–71.</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Saunaluoma, S., Schaan, D., 2012. Monumentality in western Amazonian formative societies: geometric ditched enclosures in the Brazilian state of Acre. Antiqua 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Schaan, D., 2012. Sacred Geographies of Ancient Amazonia: Historical ecology of social complexity. Left Coast Press, San Francisco.</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Schaan, D., 2008. The Non-agricultural Chiefdoms of Marajó Island, in: Silverman, H., Isbell, W.H. (Eds.), Handbook of South American Archaeology. Springer, pp. 339–357.</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Schaan, D., Pärssinen, M., Saunaluoma, S., Ranzi, A., Bueno, M., Barbosa, A., 2012. New radiometric dates for precolumbian (2000-700 B.P.) earthworks in western Amazonia, Brazil. Journal of Field Archaeology 37, 132–142. doi:10.1179/0093469012Z.00000000012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Scurfield, G., Anderson, C.A., Segnit, E.R., 1974. Silica in woody stems. Journal of Botany 22, 211–229.</w:t>
      </w:r>
    </w:p>
    <w:p w:rsidR="00CC2516" w:rsidRPr="00261E32" w:rsidRDefault="00CC2516">
      <w:pPr>
        <w:widowControl w:val="0"/>
        <w:autoSpaceDE w:val="0"/>
        <w:autoSpaceDN w:val="0"/>
        <w:adjustRightInd w:val="0"/>
        <w:spacing w:after="140" w:line="288" w:lineRule="auto"/>
        <w:ind w:left="480" w:hanging="480"/>
        <w:rPr>
          <w:rFonts w:ascii="Arial" w:hAnsi="Arial" w:cs="Arial"/>
          <w:noProof/>
          <w:sz w:val="24"/>
          <w:szCs w:val="24"/>
          <w:lang w:val="pt-BR"/>
        </w:rPr>
      </w:pPr>
      <w:r w:rsidRPr="00261E32">
        <w:rPr>
          <w:rFonts w:ascii="Arial" w:hAnsi="Arial" w:cs="Arial"/>
          <w:noProof/>
          <w:sz w:val="24"/>
          <w:szCs w:val="24"/>
          <w:lang w:val="pt-BR"/>
        </w:rPr>
        <w:t xml:space="preserve">Silveira, M., Daly, D.C., Salimon, C.I., Wadt, P.G.S., do Amaral, E.F., Pereira, M.G., Passos, V., 2008. </w:t>
      </w:r>
      <w:r w:rsidRPr="00CC2516">
        <w:rPr>
          <w:rFonts w:ascii="Arial" w:hAnsi="Arial" w:cs="Arial"/>
          <w:noProof/>
          <w:sz w:val="24"/>
          <w:szCs w:val="24"/>
        </w:rPr>
        <w:t xml:space="preserve">Physical environments and vegetation cover of Acre, in: Daly, D.C., Silveira, M. (Eds.), First Catalogue of the Flora of Acre, Brazil. </w:t>
      </w:r>
      <w:r w:rsidRPr="00261E32">
        <w:rPr>
          <w:rFonts w:ascii="Arial" w:hAnsi="Arial" w:cs="Arial"/>
          <w:noProof/>
          <w:sz w:val="24"/>
          <w:szCs w:val="24"/>
          <w:lang w:val="pt-BR"/>
        </w:rPr>
        <w:t>Universidade Federal do Acre, Rio Branco, pp. 37–63.</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261E32">
        <w:rPr>
          <w:rFonts w:ascii="Arial" w:hAnsi="Arial" w:cs="Arial"/>
          <w:noProof/>
          <w:sz w:val="24"/>
          <w:szCs w:val="24"/>
          <w:lang w:val="pt-BR"/>
        </w:rPr>
        <w:t xml:space="preserve">Smith, N.J.H., 1980. </w:t>
      </w:r>
      <w:r w:rsidRPr="00CC2516">
        <w:rPr>
          <w:rFonts w:ascii="Arial" w:hAnsi="Arial" w:cs="Arial"/>
          <w:noProof/>
          <w:sz w:val="24"/>
          <w:szCs w:val="24"/>
        </w:rPr>
        <w:t>Anthrosols and human carrying capacity in Amazonia. Annals of the Association of American Geographers 70, 553–566.</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Stahl, P.W., 2015. Interpreting interfluvial landscape transformations in the pre-Columbian Amazon. The Holocene 25, 1598–1603. doi:10.1177/0959683615588372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Steward, J.H., 1948. The tropical forest tribes, in: Steward, J.H. (Ed.), Handbook of South American Indians, Vol. 3. Smithsonian Institution, Washington DC.</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Strömberg, C.E., 2004. Using phytolith assemblages to reconstruct the origin and spread of grass-dominated habitats in the great plains of North America during the late Eocene to early Miocene. Palaeogeography, Palaeoclimatology, Palaeoecology 207, 239–275. doi:10.1016/j.palaeo.2003.09.028</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Strömberg, C.E., 2003. The origin and spread of grass-dominated ecosystems in the Late Tertiary of North America. University of California, Berkeley.</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Tomlinson, P.B., 1961. Anatomy of the Monocotyledons II: Palmae. Oxford University Press, London.</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Twiss, P.C., Suess, E., Smith, R.M., 1969. Morphological classifications of grass phytoliths. Soil Science Society of America 33, 109–115.</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Wallis, L., 2003. An overview of leaf phytolith production patterns in selected northwest Australian flora. Review of Palaeobotany and Palynology 125, 201–248. doi:10.1016/S0034-6667(03)00003-4</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szCs w:val="24"/>
        </w:rPr>
      </w:pPr>
      <w:r w:rsidRPr="00CC2516">
        <w:rPr>
          <w:rFonts w:ascii="Arial" w:hAnsi="Arial" w:cs="Arial"/>
          <w:noProof/>
          <w:sz w:val="24"/>
          <w:szCs w:val="24"/>
        </w:rPr>
        <w:t>Westaway, R., 2006. Late Cenozoic sedimentary sequences in Acre state, southwestern Amazonia: fluvial or tidal? Deductions from IGCP 449 fieldtrip. Journal of South American Earth Science 21, 120–134.</w:t>
      </w:r>
    </w:p>
    <w:p w:rsidR="00CC2516" w:rsidRPr="00261E32" w:rsidRDefault="00CC2516">
      <w:pPr>
        <w:widowControl w:val="0"/>
        <w:autoSpaceDE w:val="0"/>
        <w:autoSpaceDN w:val="0"/>
        <w:adjustRightInd w:val="0"/>
        <w:spacing w:after="140" w:line="288" w:lineRule="auto"/>
        <w:ind w:left="480" w:hanging="480"/>
        <w:rPr>
          <w:rFonts w:ascii="Arial" w:hAnsi="Arial" w:cs="Arial"/>
          <w:noProof/>
          <w:sz w:val="24"/>
          <w:szCs w:val="24"/>
          <w:lang w:val="pt-BR"/>
        </w:rPr>
      </w:pPr>
      <w:r w:rsidRPr="00CC2516">
        <w:rPr>
          <w:rFonts w:ascii="Arial" w:hAnsi="Arial" w:cs="Arial"/>
          <w:noProof/>
          <w:sz w:val="24"/>
          <w:szCs w:val="24"/>
        </w:rPr>
        <w:t xml:space="preserve">Whitney, B.S., Mayle, F.E., Punyasena, S.W., Fitzpatrick, K.A., Burn, M.J., Guillen, R., Chavez, E., Mann, D., Pennington, R.T., Metcalfe, S.E., 2011. A 45kyr palaeoclimate record from the lowland interior of tropical South America. </w:t>
      </w:r>
      <w:r w:rsidRPr="00261E32">
        <w:rPr>
          <w:rFonts w:ascii="Arial" w:hAnsi="Arial" w:cs="Arial"/>
          <w:noProof/>
          <w:sz w:val="24"/>
          <w:szCs w:val="24"/>
          <w:lang w:val="pt-BR"/>
        </w:rPr>
        <w:t>Palaeogeography, Palaeoclimatology, Palaeoecology 307, 177–192. doi:10.1016/j.palaeo.2011.05.012</w:t>
      </w:r>
    </w:p>
    <w:p w:rsidR="00CC2516" w:rsidRPr="00CC2516" w:rsidRDefault="00CC2516">
      <w:pPr>
        <w:widowControl w:val="0"/>
        <w:autoSpaceDE w:val="0"/>
        <w:autoSpaceDN w:val="0"/>
        <w:adjustRightInd w:val="0"/>
        <w:spacing w:after="140" w:line="288" w:lineRule="auto"/>
        <w:ind w:left="480" w:hanging="480"/>
        <w:rPr>
          <w:rFonts w:ascii="Arial" w:hAnsi="Arial" w:cs="Arial"/>
          <w:noProof/>
          <w:sz w:val="24"/>
        </w:rPr>
      </w:pPr>
      <w:r w:rsidRPr="00261E32">
        <w:rPr>
          <w:rFonts w:ascii="Arial" w:hAnsi="Arial" w:cs="Arial"/>
          <w:noProof/>
          <w:sz w:val="24"/>
          <w:szCs w:val="24"/>
          <w:lang w:val="pt-BR"/>
        </w:rPr>
        <w:t xml:space="preserve">Zucol, A.F., 1999. Fitolitos de las Poaceae Argentinas: IV. Asociación fitolitica de Cortadeira selloana (Danthonieae: Poaceae), de la Provincia de Entre Ríos (Argentina). </w:t>
      </w:r>
      <w:r w:rsidRPr="00CC2516">
        <w:rPr>
          <w:rFonts w:ascii="Arial" w:hAnsi="Arial" w:cs="Arial"/>
          <w:noProof/>
          <w:sz w:val="24"/>
          <w:szCs w:val="24"/>
        </w:rPr>
        <w:t>Natura Neotropicales 30, 25–33.</w:t>
      </w:r>
    </w:p>
    <w:p w:rsidR="00513CB5" w:rsidRPr="0032360C" w:rsidRDefault="00513CB5" w:rsidP="00513CB5">
      <w:pPr>
        <w:rPr>
          <w:rFonts w:ascii="Arial" w:hAnsi="Arial" w:cs="Arial"/>
          <w:sz w:val="24"/>
          <w:szCs w:val="24"/>
        </w:rPr>
      </w:pPr>
      <w:r w:rsidRPr="0032360C">
        <w:rPr>
          <w:rFonts w:ascii="Arial" w:hAnsi="Arial" w:cs="Arial"/>
          <w:sz w:val="24"/>
          <w:szCs w:val="24"/>
        </w:rPr>
        <w:fldChar w:fldCharType="end"/>
      </w:r>
    </w:p>
    <w:p w:rsidR="00513CB5" w:rsidRPr="0032360C" w:rsidRDefault="00513CB5" w:rsidP="00513CB5">
      <w:pPr>
        <w:rPr>
          <w:rFonts w:ascii="Arial" w:hAnsi="Arial" w:cs="Arial"/>
          <w:sz w:val="24"/>
          <w:szCs w:val="24"/>
        </w:rPr>
      </w:pPr>
    </w:p>
    <w:p w:rsidR="00513CB5" w:rsidRPr="0032360C" w:rsidRDefault="00513CB5" w:rsidP="00513CB5">
      <w:pPr>
        <w:rPr>
          <w:rFonts w:ascii="Arial" w:hAnsi="Arial" w:cs="Arial"/>
          <w:b/>
          <w:sz w:val="24"/>
          <w:szCs w:val="24"/>
        </w:rPr>
      </w:pPr>
      <w:r w:rsidRPr="0032360C">
        <w:rPr>
          <w:rFonts w:ascii="Arial" w:hAnsi="Arial" w:cs="Arial"/>
          <w:b/>
          <w:sz w:val="24"/>
          <w:szCs w:val="24"/>
        </w:rPr>
        <w:t>List of figures</w:t>
      </w:r>
      <w:r w:rsidR="00485B26">
        <w:rPr>
          <w:rFonts w:ascii="Arial" w:hAnsi="Arial" w:cs="Arial"/>
          <w:b/>
          <w:sz w:val="24"/>
          <w:szCs w:val="24"/>
        </w:rPr>
        <w:t xml:space="preserve"> and tables</w:t>
      </w:r>
    </w:p>
    <w:p w:rsidR="00513CB5" w:rsidRPr="0032360C" w:rsidRDefault="00513CB5" w:rsidP="00513CB5">
      <w:pPr>
        <w:rPr>
          <w:rFonts w:ascii="Arial" w:hAnsi="Arial" w:cs="Arial"/>
          <w:sz w:val="24"/>
          <w:szCs w:val="24"/>
        </w:rPr>
      </w:pPr>
    </w:p>
    <w:p w:rsidR="00513CB5" w:rsidRDefault="00513CB5" w:rsidP="00513CB5">
      <w:pPr>
        <w:rPr>
          <w:rFonts w:ascii="Arial" w:hAnsi="Arial" w:cs="Arial"/>
          <w:sz w:val="24"/>
          <w:szCs w:val="24"/>
        </w:rPr>
      </w:pPr>
      <w:r w:rsidRPr="0032360C">
        <w:rPr>
          <w:rFonts w:ascii="Arial" w:hAnsi="Arial" w:cs="Arial"/>
          <w:b/>
          <w:sz w:val="24"/>
          <w:szCs w:val="24"/>
        </w:rPr>
        <w:t>Figure 1:</w:t>
      </w:r>
      <w:r w:rsidRPr="0032360C">
        <w:rPr>
          <w:rFonts w:ascii="Arial" w:hAnsi="Arial" w:cs="Arial"/>
          <w:sz w:val="24"/>
          <w:szCs w:val="24"/>
        </w:rPr>
        <w:t xml:space="preserve"> Map of vegetation formations and plot locations</w:t>
      </w:r>
    </w:p>
    <w:p w:rsidR="004D0373" w:rsidRDefault="004D0373" w:rsidP="00513CB5">
      <w:pPr>
        <w:rPr>
          <w:rFonts w:ascii="Arial" w:hAnsi="Arial" w:cs="Arial"/>
          <w:sz w:val="24"/>
          <w:szCs w:val="24"/>
        </w:rPr>
      </w:pPr>
    </w:p>
    <w:p w:rsid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14:anchorId="76A0EA9F" wp14:editId="1655C230">
            <wp:extent cx="5759450" cy="51923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 Veg plots map.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9450" cy="5192395"/>
                    </a:xfrm>
                    <a:prstGeom prst="rect">
                      <a:avLst/>
                    </a:prstGeom>
                  </pic:spPr>
                </pic:pic>
              </a:graphicData>
            </a:graphic>
          </wp:inline>
        </w:drawing>
      </w:r>
    </w:p>
    <w:p w:rsidR="00513CB5" w:rsidRPr="0032360C" w:rsidRDefault="00513CB5" w:rsidP="00513CB5">
      <w:pPr>
        <w:rPr>
          <w:rFonts w:ascii="Arial" w:hAnsi="Arial" w:cs="Arial"/>
          <w:b/>
          <w:sz w:val="24"/>
          <w:szCs w:val="24"/>
        </w:rPr>
      </w:pPr>
    </w:p>
    <w:p w:rsidR="00AE57B5" w:rsidRDefault="00AE57B5" w:rsidP="00513CB5">
      <w:pPr>
        <w:rPr>
          <w:rFonts w:ascii="Arial" w:hAnsi="Arial" w:cs="Arial"/>
          <w:b/>
          <w:sz w:val="24"/>
          <w:szCs w:val="24"/>
        </w:rPr>
      </w:pPr>
    </w:p>
    <w:p w:rsidR="00513CB5" w:rsidRPr="0032360C" w:rsidRDefault="00513CB5" w:rsidP="00513CB5">
      <w:pPr>
        <w:rPr>
          <w:rFonts w:ascii="Arial" w:hAnsi="Arial" w:cs="Arial"/>
          <w:sz w:val="24"/>
          <w:szCs w:val="24"/>
        </w:rPr>
      </w:pPr>
      <w:r w:rsidRPr="0032360C">
        <w:rPr>
          <w:rFonts w:ascii="Arial" w:hAnsi="Arial" w:cs="Arial"/>
          <w:b/>
          <w:sz w:val="24"/>
          <w:szCs w:val="24"/>
        </w:rPr>
        <w:t>Table 1:</w:t>
      </w:r>
      <w:r w:rsidRPr="0032360C">
        <w:rPr>
          <w:rFonts w:ascii="Arial" w:hAnsi="Arial" w:cs="Arial"/>
          <w:sz w:val="24"/>
          <w:szCs w:val="24"/>
        </w:rPr>
        <w:t xml:space="preserve"> Plot and species data for sampled vegetation formations</w:t>
      </w:r>
    </w:p>
    <w:tbl>
      <w:tblPr>
        <w:tblW w:w="10065" w:type="dxa"/>
        <w:tblInd w:w="108" w:type="dxa"/>
        <w:tblLayout w:type="fixed"/>
        <w:tblLook w:val="04A0" w:firstRow="1" w:lastRow="0" w:firstColumn="1" w:lastColumn="0" w:noHBand="0" w:noVBand="1"/>
      </w:tblPr>
      <w:tblGrid>
        <w:gridCol w:w="1985"/>
        <w:gridCol w:w="875"/>
        <w:gridCol w:w="1690"/>
        <w:gridCol w:w="822"/>
        <w:gridCol w:w="865"/>
        <w:gridCol w:w="2456"/>
        <w:gridCol w:w="1372"/>
      </w:tblGrid>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Plot name</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Code</w:t>
            </w: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Forest type</w:t>
            </w: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Alt (masl)</w:t>
            </w: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Slope</w:t>
            </w:r>
          </w:p>
        </w:tc>
        <w:tc>
          <w:tcPr>
            <w:tcW w:w="3828" w:type="dxa"/>
            <w:gridSpan w:val="2"/>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center"/>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Most common tree species</w:t>
            </w:r>
          </w:p>
        </w:tc>
      </w:tr>
      <w:tr w:rsidR="00513CB5" w:rsidRPr="00EC1042" w:rsidTr="00DB3D69">
        <w:trPr>
          <w:trHeight w:val="255"/>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center"/>
              <w:rPr>
                <w:rFonts w:ascii="Calibri" w:eastAsia="Times New Roman" w:hAnsi="Calibri" w:cs="Times New Roman"/>
                <w:b/>
                <w:bCs/>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Seringal Porongaba 1</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POR-01</w:t>
            </w: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Dense humid evergreen</w:t>
            </w: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176</w:t>
            </w: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&lt; 5°</w:t>
            </w: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Tetragastris altissima</w:t>
            </w:r>
            <w:r w:rsidRPr="00EC1042">
              <w:rPr>
                <w:rFonts w:ascii="Calibri" w:eastAsia="Times New Roman" w:hAnsi="Calibri" w:cs="Times New Roman"/>
                <w:color w:val="000000"/>
                <w:lang w:eastAsia="en-GB"/>
              </w:rPr>
              <w:t xml:space="preserve"> (Burseraceae)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7.3</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(10°49'19.01"S, 68°46'15.75"W)</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forest</w:t>
            </w: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Euterpe precatoria</w:t>
            </w:r>
            <w:r w:rsidRPr="00EC1042">
              <w:rPr>
                <w:rFonts w:ascii="Calibri" w:eastAsia="Times New Roman" w:hAnsi="Calibri" w:cs="Times New Roman"/>
                <w:color w:val="000000"/>
                <w:lang w:eastAsia="en-GB"/>
              </w:rPr>
              <w:t xml:space="preserve"> (Arecaceae)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5.7</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Pausandra trianae</w:t>
            </w:r>
            <w:r w:rsidRPr="00EC1042">
              <w:rPr>
                <w:rFonts w:ascii="Calibri" w:eastAsia="Times New Roman" w:hAnsi="Calibri" w:cs="Times New Roman"/>
                <w:color w:val="000000"/>
                <w:lang w:eastAsia="en-GB"/>
              </w:rPr>
              <w:t xml:space="preserve"> (Euphorbiaceae)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5.5</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Pseudolmedia murure</w:t>
            </w:r>
            <w:r w:rsidRPr="00EC1042">
              <w:rPr>
                <w:rFonts w:ascii="Calibri" w:eastAsia="Times New Roman" w:hAnsi="Calibri" w:cs="Times New Roman"/>
                <w:color w:val="000000"/>
                <w:lang w:eastAsia="en-GB"/>
              </w:rPr>
              <w:t xml:space="preserve"> (Moraceae)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3.6</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Siparuna decipiens</w:t>
            </w:r>
            <w:r w:rsidRPr="00EC1042">
              <w:rPr>
                <w:rFonts w:ascii="Calibri" w:eastAsia="Times New Roman" w:hAnsi="Calibri" w:cs="Times New Roman"/>
                <w:color w:val="000000"/>
                <w:lang w:eastAsia="en-GB"/>
              </w:rPr>
              <w:t xml:space="preserve"> (Siparunaceae)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3.5</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Bracteanthus glycycarpus</w:t>
            </w:r>
            <w:r w:rsidRPr="00EC1042">
              <w:rPr>
                <w:rFonts w:ascii="Calibri" w:eastAsia="Times New Roman" w:hAnsi="Calibri" w:cs="Times New Roman"/>
                <w:color w:val="000000"/>
                <w:lang w:eastAsia="en-GB"/>
              </w:rPr>
              <w:t xml:space="preserve"> (Monimiaceae)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2.8</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Eschweilera coriacea</w:t>
            </w:r>
            <w:r w:rsidRPr="00EC1042">
              <w:rPr>
                <w:rFonts w:ascii="Calibri" w:eastAsia="Times New Roman" w:hAnsi="Calibri" w:cs="Times New Roman"/>
                <w:color w:val="000000"/>
                <w:lang w:eastAsia="en-GB"/>
              </w:rPr>
              <w:t xml:space="preserve"> (Lecythidaceae)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2.6</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 xml:space="preserve">Inga sp. </w:t>
            </w:r>
            <w:r w:rsidRPr="00EC1042">
              <w:rPr>
                <w:rFonts w:ascii="Calibri" w:eastAsia="Times New Roman" w:hAnsi="Calibri" w:cs="Times New Roman"/>
                <w:color w:val="000000"/>
                <w:lang w:eastAsia="en-GB"/>
              </w:rPr>
              <w:t>(Fabaceae)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2.1</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 xml:space="preserve">Psychotria sp. </w:t>
            </w:r>
            <w:r w:rsidRPr="00EC1042">
              <w:rPr>
                <w:rFonts w:ascii="Calibri" w:eastAsia="Times New Roman" w:hAnsi="Calibri" w:cs="Times New Roman"/>
                <w:color w:val="000000"/>
                <w:lang w:eastAsia="en-GB"/>
              </w:rPr>
              <w:t>(Rubiaceae)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2.1</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Guarea kunthiana</w:t>
            </w:r>
            <w:r w:rsidRPr="00EC1042">
              <w:rPr>
                <w:rFonts w:ascii="Calibri" w:eastAsia="Times New Roman" w:hAnsi="Calibri" w:cs="Times New Roman"/>
                <w:color w:val="000000"/>
                <w:lang w:eastAsia="en-GB"/>
              </w:rPr>
              <w:t xml:space="preserve"> (Meliaceae)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1.9</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right"/>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Total:</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37.1</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Seringal Porongaba 2</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POR-02</w:t>
            </w:r>
          </w:p>
        </w:tc>
        <w:tc>
          <w:tcPr>
            <w:tcW w:w="1690" w:type="dxa"/>
            <w:vMerge w:val="restart"/>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Dense humid evergreen forest with palm</w:t>
            </w: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268</w:t>
            </w: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&lt; 5°</w:t>
            </w: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Tetragastris altissima</w:t>
            </w:r>
            <w:r w:rsidRPr="00EC1042">
              <w:rPr>
                <w:rFonts w:ascii="Calibri" w:eastAsia="Times New Roman" w:hAnsi="Calibri" w:cs="Times New Roman"/>
                <w:color w:val="000000"/>
                <w:lang w:eastAsia="en-GB"/>
              </w:rPr>
              <w:t xml:space="preserve"> (Burseraceae)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9.5</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(10°47'51.97"S, 68°46'23.67"W)</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1690" w:type="dxa"/>
            <w:vMerge/>
            <w:tcBorders>
              <w:top w:val="nil"/>
              <w:left w:val="nil"/>
              <w:bottom w:val="nil"/>
              <w:right w:val="nil"/>
            </w:tcBorders>
            <w:vAlign w:val="center"/>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Euterpe precatoria</w:t>
            </w:r>
            <w:r w:rsidRPr="00EC1042">
              <w:rPr>
                <w:rFonts w:ascii="Calibri" w:eastAsia="Times New Roman" w:hAnsi="Calibri" w:cs="Times New Roman"/>
                <w:color w:val="000000"/>
                <w:lang w:eastAsia="en-GB"/>
              </w:rPr>
              <w:t xml:space="preserve"> (Arecaceae)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8.3</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Pseudolmedia laevis</w:t>
            </w:r>
            <w:r w:rsidRPr="00EC1042">
              <w:rPr>
                <w:rFonts w:ascii="Calibri" w:eastAsia="Times New Roman" w:hAnsi="Calibri" w:cs="Times New Roman"/>
                <w:color w:val="000000"/>
                <w:lang w:eastAsia="en-GB"/>
              </w:rPr>
              <w:t xml:space="preserve"> (Moraceae)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3.6</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Pausandra trianae</w:t>
            </w:r>
            <w:r w:rsidRPr="00EC1042">
              <w:rPr>
                <w:rFonts w:ascii="Calibri" w:eastAsia="Times New Roman" w:hAnsi="Calibri" w:cs="Times New Roman"/>
                <w:color w:val="000000"/>
                <w:lang w:eastAsia="en-GB"/>
              </w:rPr>
              <w:t xml:space="preserve"> (Euphorbiaceae)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2.9</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Inga sp</w:t>
            </w:r>
            <w:r w:rsidRPr="00EC1042">
              <w:rPr>
                <w:rFonts w:ascii="Calibri" w:eastAsia="Times New Roman" w:hAnsi="Calibri" w:cs="Times New Roman"/>
                <w:color w:val="000000"/>
                <w:lang w:eastAsia="en-GB"/>
              </w:rPr>
              <w:t>. (Fabaceae)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2.9</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Eschweilera sp.</w:t>
            </w:r>
            <w:r w:rsidRPr="00EC1042">
              <w:rPr>
                <w:rFonts w:ascii="Calibri" w:eastAsia="Times New Roman" w:hAnsi="Calibri" w:cs="Times New Roman"/>
                <w:color w:val="000000"/>
                <w:lang w:eastAsia="en-GB"/>
              </w:rPr>
              <w:t xml:space="preserve"> (Lecythidaceae)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2.4</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Micropholis sp.</w:t>
            </w:r>
            <w:r w:rsidRPr="00EC1042">
              <w:rPr>
                <w:rFonts w:ascii="Calibri" w:eastAsia="Times New Roman" w:hAnsi="Calibri" w:cs="Times New Roman"/>
                <w:color w:val="000000"/>
                <w:lang w:eastAsia="en-GB"/>
              </w:rPr>
              <w:t xml:space="preserve"> (Sapotaceae)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2.4</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Iriartea deltoidea</w:t>
            </w:r>
            <w:r w:rsidRPr="00EC1042">
              <w:rPr>
                <w:rFonts w:ascii="Calibri" w:eastAsia="Times New Roman" w:hAnsi="Calibri" w:cs="Times New Roman"/>
                <w:color w:val="000000"/>
                <w:lang w:eastAsia="en-GB"/>
              </w:rPr>
              <w:t xml:space="preserve"> (Arecaceae)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Brosimum sp.</w:t>
            </w:r>
            <w:r w:rsidRPr="00EC1042">
              <w:rPr>
                <w:rFonts w:ascii="Calibri" w:eastAsia="Times New Roman" w:hAnsi="Calibri" w:cs="Times New Roman"/>
                <w:color w:val="000000"/>
                <w:lang w:eastAsia="en-GB"/>
              </w:rPr>
              <w:t xml:space="preserve"> (Moraceae)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Siparuna decipiens</w:t>
            </w:r>
            <w:r w:rsidRPr="00EC1042">
              <w:rPr>
                <w:rFonts w:ascii="Calibri" w:eastAsia="Times New Roman" w:hAnsi="Calibri" w:cs="Times New Roman"/>
                <w:color w:val="000000"/>
                <w:lang w:eastAsia="en-GB"/>
              </w:rPr>
              <w:t xml:space="preserve"> (Siparunaceae)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right"/>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Total:</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38.5</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Reserva Florestal Humaita</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RFH</w:t>
            </w: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Bamboo forest</w:t>
            </w: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268</w:t>
            </w: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&lt; 5°</w:t>
            </w: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Trichilia sp.</w:t>
            </w:r>
            <w:r w:rsidRPr="00EC1042">
              <w:rPr>
                <w:rFonts w:ascii="Calibri" w:eastAsia="Times New Roman" w:hAnsi="Calibri" w:cs="Times New Roman"/>
                <w:color w:val="000000"/>
                <w:lang w:eastAsia="en-GB"/>
              </w:rPr>
              <w:t xml:space="preserve"> (Meliaceae)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10.3</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(9°45'1.90"S, 67°40'18.80"W)</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Quararibea guianensis</w:t>
            </w:r>
            <w:r w:rsidRPr="00EC1042">
              <w:rPr>
                <w:rFonts w:ascii="Calibri" w:eastAsia="Times New Roman" w:hAnsi="Calibri" w:cs="Times New Roman"/>
                <w:color w:val="000000"/>
                <w:lang w:eastAsia="en-GB"/>
              </w:rPr>
              <w:t xml:space="preserve"> (Malvaceae)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6.3</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Euterpe precatori</w:t>
            </w:r>
            <w:r w:rsidRPr="00EC1042">
              <w:rPr>
                <w:rFonts w:ascii="Calibri" w:eastAsia="Times New Roman" w:hAnsi="Calibri" w:cs="Times New Roman"/>
                <w:color w:val="000000"/>
                <w:lang w:eastAsia="en-GB"/>
              </w:rPr>
              <w:t>a (Arecaceae)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5.7</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Sorocea briquetii</w:t>
            </w:r>
            <w:r w:rsidRPr="00EC1042">
              <w:rPr>
                <w:rFonts w:ascii="Calibri" w:eastAsia="Times New Roman" w:hAnsi="Calibri" w:cs="Times New Roman"/>
                <w:color w:val="000000"/>
                <w:lang w:eastAsia="en-GB"/>
              </w:rPr>
              <w:t xml:space="preserve"> (Moraceae)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3.8</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Pseudolmedia laevi</w:t>
            </w:r>
            <w:r w:rsidRPr="00EC1042">
              <w:rPr>
                <w:rFonts w:ascii="Calibri" w:eastAsia="Times New Roman" w:hAnsi="Calibri" w:cs="Times New Roman"/>
                <w:color w:val="000000"/>
                <w:lang w:eastAsia="en-GB"/>
              </w:rPr>
              <w:t>s (Moraceae)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3.5</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 xml:space="preserve">Aptandra sp. </w:t>
            </w:r>
            <w:r w:rsidRPr="00EC1042">
              <w:rPr>
                <w:rFonts w:ascii="Calibri" w:eastAsia="Times New Roman" w:hAnsi="Calibri" w:cs="Times New Roman"/>
                <w:color w:val="000000"/>
                <w:lang w:eastAsia="en-GB"/>
              </w:rPr>
              <w:t>(Olacaceae)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2.7</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Aspidosperma vargasii</w:t>
            </w:r>
            <w:r w:rsidRPr="00EC1042">
              <w:rPr>
                <w:rFonts w:ascii="Calibri" w:eastAsia="Times New Roman" w:hAnsi="Calibri" w:cs="Times New Roman"/>
                <w:color w:val="000000"/>
                <w:lang w:eastAsia="en-GB"/>
              </w:rPr>
              <w:t xml:space="preserve"> (Apocynaceae)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2.4</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 xml:space="preserve">Celtis schippii </w:t>
            </w:r>
            <w:r w:rsidRPr="00EC1042">
              <w:rPr>
                <w:rFonts w:ascii="Calibri" w:eastAsia="Times New Roman" w:hAnsi="Calibri" w:cs="Times New Roman"/>
                <w:color w:val="000000"/>
                <w:lang w:eastAsia="en-GB"/>
              </w:rPr>
              <w:t>(Cannabaceae)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 xml:space="preserve">Licania sp. </w:t>
            </w:r>
            <w:r w:rsidRPr="00EC1042">
              <w:rPr>
                <w:rFonts w:ascii="Calibri" w:eastAsia="Times New Roman" w:hAnsi="Calibri" w:cs="Times New Roman"/>
                <w:color w:val="000000"/>
                <w:lang w:eastAsia="en-GB"/>
              </w:rPr>
              <w:t>(Chrysobalanaceae)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i/>
                <w:iCs/>
                <w:color w:val="000000"/>
                <w:lang w:eastAsia="en-GB"/>
              </w:rPr>
              <w:t>Heisteria nitida</w:t>
            </w:r>
            <w:r w:rsidRPr="00EC1042">
              <w:rPr>
                <w:rFonts w:ascii="Calibri" w:eastAsia="Times New Roman" w:hAnsi="Calibri" w:cs="Times New Roman"/>
                <w:color w:val="000000"/>
                <w:lang w:eastAsia="en-GB"/>
              </w:rPr>
              <w:t xml:space="preserve"> (Olacaceae)</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1.9</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right"/>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Total:</w:t>
            </w: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41.0</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37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jc w:val="right"/>
              <w:rPr>
                <w:rFonts w:ascii="Times New Roman" w:eastAsia="Times New Roman" w:hAnsi="Times New Roman" w:cs="Times New Roman"/>
                <w:sz w:val="20"/>
                <w:szCs w:val="2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3828" w:type="dxa"/>
            <w:gridSpan w:val="2"/>
            <w:vMerge w:val="restart"/>
            <w:tcBorders>
              <w:top w:val="nil"/>
              <w:left w:val="nil"/>
              <w:bottom w:val="nil"/>
              <w:right w:val="nil"/>
            </w:tcBorders>
            <w:shd w:val="clear" w:color="auto" w:fill="auto"/>
            <w:noWrap/>
            <w:vAlign w:val="center"/>
            <w:hideMark/>
          </w:tcPr>
          <w:p w:rsidR="00513CB5" w:rsidRPr="00EC1042" w:rsidRDefault="00513CB5" w:rsidP="00DB3D69">
            <w:pPr>
              <w:spacing w:after="0" w:line="240" w:lineRule="auto"/>
              <w:jc w:val="center"/>
              <w:rPr>
                <w:rFonts w:ascii="Calibri" w:eastAsia="Times New Roman" w:hAnsi="Calibri" w:cs="Times New Roman"/>
                <w:b/>
                <w:bCs/>
                <w:color w:val="000000"/>
                <w:lang w:eastAsia="en-GB"/>
              </w:rPr>
            </w:pPr>
            <w:r w:rsidRPr="00EC1042">
              <w:rPr>
                <w:rFonts w:ascii="Calibri" w:eastAsia="Times New Roman" w:hAnsi="Calibri" w:cs="Times New Roman"/>
                <w:b/>
                <w:bCs/>
                <w:color w:val="000000"/>
                <w:lang w:eastAsia="en-GB"/>
              </w:rPr>
              <w:t>Species present</w:t>
            </w:r>
          </w:p>
        </w:tc>
      </w:tr>
      <w:tr w:rsidR="00513CB5" w:rsidRPr="00EC1042" w:rsidTr="00DB3D69">
        <w:trPr>
          <w:trHeight w:val="255"/>
        </w:trPr>
        <w:tc>
          <w:tcPr>
            <w:tcW w:w="1985" w:type="dxa"/>
            <w:tcBorders>
              <w:top w:val="nil"/>
              <w:left w:val="nil"/>
              <w:bottom w:val="single" w:sz="4" w:space="0" w:color="auto"/>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w:t>
            </w:r>
          </w:p>
        </w:tc>
        <w:tc>
          <w:tcPr>
            <w:tcW w:w="875" w:type="dxa"/>
            <w:tcBorders>
              <w:top w:val="nil"/>
              <w:left w:val="nil"/>
              <w:bottom w:val="single" w:sz="4" w:space="0" w:color="auto"/>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w:t>
            </w:r>
          </w:p>
        </w:tc>
        <w:tc>
          <w:tcPr>
            <w:tcW w:w="1690" w:type="dxa"/>
            <w:tcBorders>
              <w:top w:val="nil"/>
              <w:left w:val="nil"/>
              <w:bottom w:val="single" w:sz="4" w:space="0" w:color="auto"/>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w:t>
            </w:r>
          </w:p>
        </w:tc>
        <w:tc>
          <w:tcPr>
            <w:tcW w:w="822" w:type="dxa"/>
            <w:tcBorders>
              <w:top w:val="nil"/>
              <w:left w:val="nil"/>
              <w:bottom w:val="single" w:sz="4" w:space="0" w:color="auto"/>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w:t>
            </w:r>
          </w:p>
        </w:tc>
        <w:tc>
          <w:tcPr>
            <w:tcW w:w="865" w:type="dxa"/>
            <w:tcBorders>
              <w:top w:val="nil"/>
              <w:left w:val="nil"/>
              <w:bottom w:val="single" w:sz="4" w:space="0" w:color="auto"/>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w:t>
            </w:r>
          </w:p>
        </w:tc>
        <w:tc>
          <w:tcPr>
            <w:tcW w:w="3828" w:type="dxa"/>
            <w:gridSpan w:val="2"/>
            <w:vMerge/>
            <w:tcBorders>
              <w:top w:val="nil"/>
              <w:left w:val="nil"/>
              <w:bottom w:val="single" w:sz="4" w:space="0" w:color="auto"/>
              <w:right w:val="nil"/>
            </w:tcBorders>
            <w:vAlign w:val="center"/>
            <w:hideMark/>
          </w:tcPr>
          <w:p w:rsidR="00513CB5" w:rsidRPr="00EC1042" w:rsidRDefault="00513CB5" w:rsidP="00DB3D69">
            <w:pPr>
              <w:spacing w:after="0" w:line="240" w:lineRule="auto"/>
              <w:rPr>
                <w:rFonts w:ascii="Calibri" w:eastAsia="Times New Roman" w:hAnsi="Calibri" w:cs="Times New Roman"/>
                <w:b/>
                <w:bCs/>
                <w:color w:val="000000"/>
                <w:lang w:eastAsia="en-GB"/>
              </w:rPr>
            </w:pPr>
          </w:p>
        </w:tc>
      </w:tr>
      <w:tr w:rsidR="00513CB5" w:rsidRPr="006252A4" w:rsidTr="00DB3D69">
        <w:trPr>
          <w:trHeight w:val="600"/>
        </w:trPr>
        <w:tc>
          <w:tcPr>
            <w:tcW w:w="1985" w:type="dxa"/>
            <w:tcBorders>
              <w:top w:val="nil"/>
              <w:left w:val="nil"/>
              <w:bottom w:val="nil"/>
              <w:right w:val="nil"/>
            </w:tcBorders>
            <w:shd w:val="clear" w:color="auto" w:fill="auto"/>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Estranjero 4                (10°29'3.72''S, 67°55'43.54W)</w:t>
            </w:r>
          </w:p>
        </w:tc>
        <w:tc>
          <w:tcPr>
            <w:tcW w:w="875"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EST</w:t>
            </w:r>
          </w:p>
        </w:tc>
        <w:tc>
          <w:tcPr>
            <w:tcW w:w="1690"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Palm forest</w:t>
            </w:r>
          </w:p>
        </w:tc>
        <w:tc>
          <w:tcPr>
            <w:tcW w:w="822"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222</w:t>
            </w:r>
          </w:p>
        </w:tc>
        <w:tc>
          <w:tcPr>
            <w:tcW w:w="865"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&lt; 5°</w:t>
            </w:r>
          </w:p>
        </w:tc>
        <w:tc>
          <w:tcPr>
            <w:tcW w:w="3828" w:type="dxa"/>
            <w:gridSpan w:val="2"/>
            <w:tcBorders>
              <w:top w:val="nil"/>
              <w:left w:val="nil"/>
              <w:bottom w:val="nil"/>
              <w:right w:val="nil"/>
            </w:tcBorders>
            <w:shd w:val="clear" w:color="auto" w:fill="auto"/>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 xml:space="preserve">Arecaceae: </w:t>
            </w:r>
            <w:r w:rsidRPr="00C23BC0">
              <w:rPr>
                <w:rFonts w:ascii="Calibri" w:eastAsia="Times New Roman" w:hAnsi="Calibri" w:cs="Times New Roman"/>
                <w:i/>
                <w:iCs/>
                <w:color w:val="000000"/>
                <w:lang w:val="pt-BR" w:eastAsia="en-GB"/>
              </w:rPr>
              <w:t>Astrocaryum sp.</w:t>
            </w:r>
            <w:r w:rsidRPr="00C23BC0">
              <w:rPr>
                <w:rFonts w:ascii="Calibri" w:eastAsia="Times New Roman" w:hAnsi="Calibri" w:cs="Times New Roman"/>
                <w:color w:val="000000"/>
                <w:lang w:val="pt-BR" w:eastAsia="en-GB"/>
              </w:rPr>
              <w:t xml:space="preserve">, </w:t>
            </w:r>
            <w:r w:rsidRPr="00C23BC0">
              <w:rPr>
                <w:rFonts w:ascii="Calibri" w:eastAsia="Times New Roman" w:hAnsi="Calibri" w:cs="Times New Roman"/>
                <w:i/>
                <w:iCs/>
                <w:color w:val="000000"/>
                <w:lang w:val="pt-BR" w:eastAsia="en-GB"/>
              </w:rPr>
              <w:t>Attalea phalerata, Bactris maraja,  Euterpe precatoria, Oenocarpus bacaba, Phytolephas macrocarpa* , Socratea sp.</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p>
        </w:tc>
        <w:tc>
          <w:tcPr>
            <w:tcW w:w="87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1690"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22"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6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Bignoniaceae:</w:t>
            </w:r>
            <w:r w:rsidRPr="00EC1042">
              <w:rPr>
                <w:rFonts w:ascii="Calibri" w:eastAsia="Times New Roman" w:hAnsi="Calibri" w:cs="Times New Roman"/>
                <w:i/>
                <w:iCs/>
                <w:color w:val="000000"/>
                <w:lang w:eastAsia="en-GB"/>
              </w:rPr>
              <w:t xml:space="preserve"> Jacaranda copaia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Cecropiaceae: </w:t>
            </w:r>
            <w:r w:rsidRPr="00EC1042">
              <w:rPr>
                <w:rFonts w:ascii="Calibri" w:eastAsia="Times New Roman" w:hAnsi="Calibri" w:cs="Times New Roman"/>
                <w:i/>
                <w:iCs/>
                <w:color w:val="000000"/>
                <w:lang w:eastAsia="en-GB"/>
              </w:rPr>
              <w:t>Cecropia sciadophylla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6252A4"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3828" w:type="dxa"/>
            <w:gridSpan w:val="2"/>
            <w:tcBorders>
              <w:top w:val="nil"/>
              <w:left w:val="nil"/>
              <w:bottom w:val="nil"/>
              <w:right w:val="nil"/>
            </w:tcBorders>
            <w:shd w:val="clear" w:color="auto" w:fill="auto"/>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 xml:space="preserve">Fabaceae: </w:t>
            </w:r>
            <w:r w:rsidRPr="00C23BC0">
              <w:rPr>
                <w:rFonts w:ascii="Calibri" w:eastAsia="Times New Roman" w:hAnsi="Calibri" w:cs="Times New Roman"/>
                <w:i/>
                <w:iCs/>
                <w:color w:val="000000"/>
                <w:lang w:val="pt-BR" w:eastAsia="en-GB"/>
              </w:rPr>
              <w:t>Amburanca cearensis, Apuleia leiocarpa, Tachigali sp., Dialium guianense</w:t>
            </w:r>
          </w:p>
        </w:tc>
      </w:tr>
      <w:tr w:rsidR="00513CB5" w:rsidRPr="006252A4" w:rsidTr="00DB3D69">
        <w:trPr>
          <w:trHeight w:val="300"/>
        </w:trPr>
        <w:tc>
          <w:tcPr>
            <w:tcW w:w="198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p>
        </w:tc>
        <w:tc>
          <w:tcPr>
            <w:tcW w:w="87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1690"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22"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6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3828" w:type="dxa"/>
            <w:gridSpan w:val="2"/>
            <w:tcBorders>
              <w:top w:val="nil"/>
              <w:left w:val="nil"/>
              <w:bottom w:val="nil"/>
              <w:right w:val="nil"/>
            </w:tcBorders>
            <w:shd w:val="clear" w:color="auto" w:fill="auto"/>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 xml:space="preserve">Malvaceae: </w:t>
            </w:r>
            <w:r w:rsidRPr="00C23BC0">
              <w:rPr>
                <w:rFonts w:ascii="Calibri" w:eastAsia="Times New Roman" w:hAnsi="Calibri" w:cs="Times New Roman"/>
                <w:i/>
                <w:iCs/>
                <w:color w:val="000000"/>
                <w:lang w:val="pt-BR" w:eastAsia="en-GB"/>
              </w:rPr>
              <w:t>Ceiba pentandra, Theobronia icaco</w:t>
            </w:r>
          </w:p>
        </w:tc>
      </w:tr>
      <w:tr w:rsidR="00513CB5" w:rsidRPr="006252A4" w:rsidTr="00DB3D69">
        <w:trPr>
          <w:trHeight w:val="300"/>
        </w:trPr>
        <w:tc>
          <w:tcPr>
            <w:tcW w:w="198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p>
        </w:tc>
        <w:tc>
          <w:tcPr>
            <w:tcW w:w="87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1690"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22"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6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3828" w:type="dxa"/>
            <w:gridSpan w:val="2"/>
            <w:tcBorders>
              <w:top w:val="nil"/>
              <w:left w:val="nil"/>
              <w:bottom w:val="nil"/>
              <w:right w:val="nil"/>
            </w:tcBorders>
            <w:shd w:val="clear" w:color="auto" w:fill="auto"/>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 xml:space="preserve">Moraceae: </w:t>
            </w:r>
            <w:r w:rsidRPr="00C23BC0">
              <w:rPr>
                <w:rFonts w:ascii="Calibri" w:eastAsia="Times New Roman" w:hAnsi="Calibri" w:cs="Times New Roman"/>
                <w:i/>
                <w:iCs/>
                <w:color w:val="000000"/>
                <w:lang w:val="pt-BR" w:eastAsia="en-GB"/>
              </w:rPr>
              <w:t>Brosimum guianensis, Clarisa biflora</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p>
        </w:tc>
        <w:tc>
          <w:tcPr>
            <w:tcW w:w="87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1690"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22"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6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Meliaceae: </w:t>
            </w:r>
            <w:r w:rsidRPr="00EC1042">
              <w:rPr>
                <w:rFonts w:ascii="Calibri" w:eastAsia="Times New Roman" w:hAnsi="Calibri" w:cs="Times New Roman"/>
                <w:i/>
                <w:iCs/>
                <w:color w:val="000000"/>
                <w:lang w:eastAsia="en-GB"/>
              </w:rPr>
              <w:t>Cedrela odorata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Lauraceae: </w:t>
            </w:r>
            <w:r w:rsidRPr="00EC1042">
              <w:rPr>
                <w:rFonts w:ascii="Calibri" w:eastAsia="Times New Roman" w:hAnsi="Calibri" w:cs="Times New Roman"/>
                <w:i/>
                <w:iCs/>
                <w:color w:val="000000"/>
                <w:lang w:eastAsia="en-GB"/>
              </w:rPr>
              <w:t>Ocotea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Lecythidaceae: </w:t>
            </w:r>
            <w:r w:rsidRPr="00EC1042">
              <w:rPr>
                <w:rFonts w:ascii="Calibri" w:eastAsia="Times New Roman" w:hAnsi="Calibri" w:cs="Times New Roman"/>
                <w:i/>
                <w:iCs/>
                <w:color w:val="000000"/>
                <w:lang w:eastAsia="en-GB"/>
              </w:rPr>
              <w:t>Bertholetti excelsa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Rio Andira</w:t>
            </w:r>
          </w:p>
        </w:tc>
        <w:tc>
          <w:tcPr>
            <w:tcW w:w="875"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RAND</w:t>
            </w:r>
          </w:p>
        </w:tc>
        <w:tc>
          <w:tcPr>
            <w:tcW w:w="1690"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Fluvial forest</w:t>
            </w:r>
          </w:p>
        </w:tc>
        <w:tc>
          <w:tcPr>
            <w:tcW w:w="822"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157</w:t>
            </w:r>
          </w:p>
        </w:tc>
        <w:tc>
          <w:tcPr>
            <w:tcW w:w="865" w:type="dxa"/>
            <w:tcBorders>
              <w:top w:val="nil"/>
              <w:left w:val="nil"/>
              <w:bottom w:val="nil"/>
              <w:right w:val="nil"/>
            </w:tcBorders>
            <w:shd w:val="clear" w:color="auto" w:fill="auto"/>
            <w:noWrap/>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&lt; 5°</w:t>
            </w: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Arecaceae: </w:t>
            </w:r>
            <w:r w:rsidRPr="00EC1042">
              <w:rPr>
                <w:rFonts w:ascii="Calibri" w:eastAsia="Times New Roman" w:hAnsi="Calibri" w:cs="Times New Roman"/>
                <w:i/>
                <w:iCs/>
                <w:color w:val="000000"/>
                <w:lang w:eastAsia="en-GB"/>
              </w:rPr>
              <w:t>Bactris maraja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(9°43'29.80''S, 68°7'28,39''W)</w:t>
            </w: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Clusiaceae: </w:t>
            </w:r>
            <w:r w:rsidRPr="00EC1042">
              <w:rPr>
                <w:rFonts w:ascii="Calibri" w:eastAsia="Times New Roman" w:hAnsi="Calibri" w:cs="Times New Roman"/>
                <w:i/>
                <w:iCs/>
                <w:color w:val="000000"/>
                <w:lang w:eastAsia="en-GB"/>
              </w:rPr>
              <w:t>Garcinia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Combretaceae: </w:t>
            </w:r>
            <w:r w:rsidRPr="00EC1042">
              <w:rPr>
                <w:rFonts w:ascii="Calibri" w:eastAsia="Times New Roman" w:hAnsi="Calibri" w:cs="Times New Roman"/>
                <w:i/>
                <w:iCs/>
                <w:color w:val="000000"/>
                <w:lang w:eastAsia="en-GB"/>
              </w:rPr>
              <w:t>Terminalia amazonica</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Dichapetalaceae: </w:t>
            </w:r>
            <w:r w:rsidRPr="00EC1042">
              <w:rPr>
                <w:rFonts w:ascii="Calibri" w:eastAsia="Times New Roman" w:hAnsi="Calibri" w:cs="Times New Roman"/>
                <w:i/>
                <w:iCs/>
                <w:color w:val="000000"/>
                <w:lang w:eastAsia="en-GB"/>
              </w:rPr>
              <w:t>Tapura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3828" w:type="dxa"/>
            <w:gridSpan w:val="2"/>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Euphorbiaceae: </w:t>
            </w:r>
            <w:r w:rsidRPr="00EC1042">
              <w:rPr>
                <w:rFonts w:ascii="Calibri" w:eastAsia="Times New Roman" w:hAnsi="Calibri" w:cs="Times New Roman"/>
                <w:i/>
                <w:iCs/>
                <w:color w:val="000000"/>
                <w:lang w:eastAsia="en-GB"/>
              </w:rPr>
              <w:t>Hevea brasiliensis, Mabea sp.</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3828" w:type="dxa"/>
            <w:gridSpan w:val="2"/>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Fabaceae: </w:t>
            </w:r>
            <w:r w:rsidRPr="00EC1042">
              <w:rPr>
                <w:rFonts w:ascii="Calibri" w:eastAsia="Times New Roman" w:hAnsi="Calibri" w:cs="Times New Roman"/>
                <w:i/>
                <w:iCs/>
                <w:color w:val="000000"/>
                <w:lang w:eastAsia="en-GB"/>
              </w:rPr>
              <w:t>Andira sp., Copaifera sp., Inga sp., Macrolobium sp.</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Lecythidaceae: </w:t>
            </w:r>
            <w:r w:rsidRPr="00EC1042">
              <w:rPr>
                <w:rFonts w:ascii="Calibri" w:eastAsia="Times New Roman" w:hAnsi="Calibri" w:cs="Times New Roman"/>
                <w:i/>
                <w:iCs/>
                <w:color w:val="000000"/>
                <w:lang w:eastAsia="en-GB"/>
              </w:rPr>
              <w:t>Gustava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6252A4"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3828" w:type="dxa"/>
            <w:gridSpan w:val="2"/>
            <w:tcBorders>
              <w:top w:val="nil"/>
              <w:left w:val="nil"/>
              <w:bottom w:val="nil"/>
              <w:right w:val="nil"/>
            </w:tcBorders>
            <w:shd w:val="clear" w:color="auto" w:fill="auto"/>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r w:rsidRPr="00C23BC0">
              <w:rPr>
                <w:rFonts w:ascii="Calibri" w:eastAsia="Times New Roman" w:hAnsi="Calibri" w:cs="Times New Roman"/>
                <w:color w:val="000000"/>
                <w:lang w:val="pt-BR" w:eastAsia="en-GB"/>
              </w:rPr>
              <w:t xml:space="preserve">Moraceae: </w:t>
            </w:r>
            <w:r w:rsidRPr="00C23BC0">
              <w:rPr>
                <w:rFonts w:ascii="Calibri" w:eastAsia="Times New Roman" w:hAnsi="Calibri" w:cs="Times New Roman"/>
                <w:i/>
                <w:iCs/>
                <w:color w:val="000000"/>
                <w:lang w:val="pt-BR" w:eastAsia="en-GB"/>
              </w:rPr>
              <w:t>Brosimum guianense, Ficus trigona</w:t>
            </w: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Calibri" w:eastAsia="Times New Roman" w:hAnsi="Calibri" w:cs="Times New Roman"/>
                <w:color w:val="000000"/>
                <w:lang w:val="pt-BR" w:eastAsia="en-GB"/>
              </w:rPr>
            </w:pPr>
          </w:p>
        </w:tc>
        <w:tc>
          <w:tcPr>
            <w:tcW w:w="87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1690"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22"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865" w:type="dxa"/>
            <w:tcBorders>
              <w:top w:val="nil"/>
              <w:left w:val="nil"/>
              <w:bottom w:val="nil"/>
              <w:right w:val="nil"/>
            </w:tcBorders>
            <w:shd w:val="clear" w:color="auto" w:fill="auto"/>
            <w:noWrap/>
            <w:vAlign w:val="bottom"/>
            <w:hideMark/>
          </w:tcPr>
          <w:p w:rsidR="00513CB5" w:rsidRPr="00C23BC0" w:rsidRDefault="00513CB5" w:rsidP="00DB3D69">
            <w:pPr>
              <w:spacing w:after="0" w:line="240" w:lineRule="auto"/>
              <w:rPr>
                <w:rFonts w:ascii="Times New Roman" w:eastAsia="Times New Roman" w:hAnsi="Times New Roman" w:cs="Times New Roman"/>
                <w:sz w:val="20"/>
                <w:szCs w:val="20"/>
                <w:lang w:val="pt-BR"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Meliaceae: </w:t>
            </w:r>
            <w:r w:rsidRPr="00EC1042">
              <w:rPr>
                <w:rFonts w:ascii="Calibri" w:eastAsia="Times New Roman" w:hAnsi="Calibri" w:cs="Times New Roman"/>
                <w:i/>
                <w:iCs/>
                <w:color w:val="000000"/>
                <w:lang w:eastAsia="en-GB"/>
              </w:rPr>
              <w:t>Melia sp., Trichilia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Myristicaceae: </w:t>
            </w:r>
            <w:r w:rsidRPr="00EC1042">
              <w:rPr>
                <w:rFonts w:ascii="Calibri" w:eastAsia="Times New Roman" w:hAnsi="Calibri" w:cs="Times New Roman"/>
                <w:i/>
                <w:iCs/>
                <w:color w:val="000000"/>
                <w:lang w:eastAsia="en-GB"/>
              </w:rPr>
              <w:t>Virola surinamensis</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Myrtaceae: </w:t>
            </w:r>
            <w:r w:rsidRPr="00EC1042">
              <w:rPr>
                <w:rFonts w:ascii="Calibri" w:eastAsia="Times New Roman" w:hAnsi="Calibri" w:cs="Times New Roman"/>
                <w:i/>
                <w:iCs/>
                <w:color w:val="000000"/>
                <w:lang w:eastAsia="en-GB"/>
              </w:rPr>
              <w:t>Eugenia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Polygonaceae: </w:t>
            </w:r>
            <w:r w:rsidRPr="00EC1042">
              <w:rPr>
                <w:rFonts w:ascii="Calibri" w:eastAsia="Times New Roman" w:hAnsi="Calibri" w:cs="Times New Roman"/>
                <w:i/>
                <w:iCs/>
                <w:color w:val="000000"/>
                <w:lang w:eastAsia="en-GB"/>
              </w:rPr>
              <w:t>Coccoloba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Rubiaceae: </w:t>
            </w:r>
            <w:r w:rsidRPr="00EC1042">
              <w:rPr>
                <w:rFonts w:ascii="Calibri" w:eastAsia="Times New Roman" w:hAnsi="Calibri" w:cs="Times New Roman"/>
                <w:i/>
                <w:iCs/>
                <w:color w:val="000000"/>
                <w:lang w:eastAsia="en-GB"/>
              </w:rPr>
              <w:t>Calycophyllum sp., Simira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r w:rsidR="00513CB5" w:rsidRPr="00EC1042" w:rsidTr="00DB3D69">
        <w:trPr>
          <w:trHeight w:val="300"/>
        </w:trPr>
        <w:tc>
          <w:tcPr>
            <w:tcW w:w="198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7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1690"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22"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865" w:type="dxa"/>
            <w:tcBorders>
              <w:top w:val="nil"/>
              <w:left w:val="nil"/>
              <w:bottom w:val="nil"/>
              <w:right w:val="nil"/>
            </w:tcBorders>
            <w:shd w:val="clear" w:color="auto" w:fill="auto"/>
            <w:noWrap/>
            <w:vAlign w:val="bottom"/>
            <w:hideMark/>
          </w:tcPr>
          <w:p w:rsidR="00513CB5" w:rsidRPr="00EC1042" w:rsidRDefault="00513CB5" w:rsidP="00DB3D69">
            <w:pPr>
              <w:spacing w:after="0" w:line="240" w:lineRule="auto"/>
              <w:rPr>
                <w:rFonts w:ascii="Times New Roman" w:eastAsia="Times New Roman" w:hAnsi="Times New Roman" w:cs="Times New Roman"/>
                <w:sz w:val="20"/>
                <w:szCs w:val="20"/>
                <w:lang w:eastAsia="en-GB"/>
              </w:rPr>
            </w:pPr>
          </w:p>
        </w:tc>
        <w:tc>
          <w:tcPr>
            <w:tcW w:w="2456"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r w:rsidRPr="00EC1042">
              <w:rPr>
                <w:rFonts w:ascii="Calibri" w:eastAsia="Times New Roman" w:hAnsi="Calibri" w:cs="Times New Roman"/>
                <w:color w:val="000000"/>
                <w:lang w:eastAsia="en-GB"/>
              </w:rPr>
              <w:t xml:space="preserve">Sapotaceae: </w:t>
            </w:r>
            <w:r w:rsidRPr="00EC1042">
              <w:rPr>
                <w:rFonts w:ascii="Calibri" w:eastAsia="Times New Roman" w:hAnsi="Calibri" w:cs="Times New Roman"/>
                <w:i/>
                <w:iCs/>
                <w:color w:val="000000"/>
                <w:lang w:eastAsia="en-GB"/>
              </w:rPr>
              <w:t>Pouteria sp.</w:t>
            </w:r>
          </w:p>
        </w:tc>
        <w:tc>
          <w:tcPr>
            <w:tcW w:w="1372" w:type="dxa"/>
            <w:tcBorders>
              <w:top w:val="nil"/>
              <w:left w:val="nil"/>
              <w:bottom w:val="nil"/>
              <w:right w:val="nil"/>
            </w:tcBorders>
            <w:shd w:val="clear" w:color="auto" w:fill="auto"/>
            <w:vAlign w:val="bottom"/>
            <w:hideMark/>
          </w:tcPr>
          <w:p w:rsidR="00513CB5" w:rsidRPr="00EC1042" w:rsidRDefault="00513CB5" w:rsidP="00DB3D69">
            <w:pPr>
              <w:spacing w:after="0" w:line="240" w:lineRule="auto"/>
              <w:rPr>
                <w:rFonts w:ascii="Calibri" w:eastAsia="Times New Roman" w:hAnsi="Calibri" w:cs="Times New Roman"/>
                <w:color w:val="000000"/>
                <w:lang w:eastAsia="en-GB"/>
              </w:rPr>
            </w:pPr>
          </w:p>
        </w:tc>
      </w:tr>
    </w:tbl>
    <w:p w:rsidR="00513CB5" w:rsidRDefault="00513CB5" w:rsidP="00513CB5">
      <w:pPr>
        <w:rPr>
          <w:rFonts w:ascii="Times New Roman" w:hAnsi="Times New Roman" w:cs="Times New Roman"/>
          <w:sz w:val="24"/>
          <w:szCs w:val="24"/>
        </w:rPr>
      </w:pPr>
    </w:p>
    <w:p w:rsidR="00513CB5" w:rsidRDefault="00513CB5" w:rsidP="00513CB5">
      <w:pPr>
        <w:rPr>
          <w:rFonts w:ascii="Times New Roman" w:hAnsi="Times New Roman" w:cs="Times New Roman"/>
          <w:sz w:val="24"/>
          <w:szCs w:val="24"/>
        </w:rPr>
      </w:pPr>
    </w:p>
    <w:p w:rsidR="004D0373" w:rsidRPr="004D0373" w:rsidRDefault="004D0373" w:rsidP="004D0373">
      <w:pPr>
        <w:rPr>
          <w:rFonts w:ascii="Arial" w:hAnsi="Arial" w:cs="Arial"/>
          <w:sz w:val="24"/>
          <w:szCs w:val="24"/>
        </w:rPr>
      </w:pPr>
      <w:r w:rsidRPr="004D0373">
        <w:rPr>
          <w:rFonts w:ascii="Arial" w:hAnsi="Arial" w:cs="Arial"/>
          <w:sz w:val="24"/>
          <w:szCs w:val="24"/>
        </w:rPr>
        <w:t xml:space="preserve">Caption for </w:t>
      </w:r>
      <w:r>
        <w:rPr>
          <w:rFonts w:ascii="Arial" w:hAnsi="Arial" w:cs="Arial"/>
          <w:sz w:val="24"/>
          <w:szCs w:val="24"/>
        </w:rPr>
        <w:t>Table</w:t>
      </w:r>
      <w:r w:rsidRPr="004D0373">
        <w:rPr>
          <w:rFonts w:ascii="Arial" w:hAnsi="Arial" w:cs="Arial"/>
          <w:sz w:val="24"/>
          <w:szCs w:val="24"/>
        </w:rPr>
        <w:t xml:space="preserve"> 1:</w:t>
      </w:r>
    </w:p>
    <w:p w:rsidR="004D0373" w:rsidRPr="004D0373" w:rsidRDefault="004D0373" w:rsidP="004D0373">
      <w:pPr>
        <w:rPr>
          <w:rFonts w:ascii="Arial" w:hAnsi="Arial" w:cs="Arial"/>
          <w:sz w:val="24"/>
          <w:szCs w:val="24"/>
        </w:rPr>
      </w:pPr>
      <w:r w:rsidRPr="004D0373">
        <w:rPr>
          <w:rFonts w:ascii="Arial" w:hAnsi="Arial" w:cs="Arial"/>
          <w:sz w:val="24"/>
          <w:szCs w:val="24"/>
        </w:rPr>
        <w:t>* Denotes most dominant species in the EST and RAND plots</w:t>
      </w:r>
    </w:p>
    <w:p w:rsidR="00513CB5" w:rsidRDefault="00513CB5" w:rsidP="00513CB5">
      <w:pPr>
        <w:rPr>
          <w:rFonts w:ascii="Times New Roman" w:hAnsi="Times New Roman" w:cs="Times New Roman"/>
          <w:sz w:val="24"/>
          <w:szCs w:val="24"/>
        </w:rPr>
      </w:pPr>
    </w:p>
    <w:p w:rsidR="00513CB5" w:rsidRDefault="00513CB5" w:rsidP="00513CB5">
      <w:pPr>
        <w:rPr>
          <w:rFonts w:ascii="Times New Roman" w:hAnsi="Times New Roman" w:cs="Times New Roman"/>
          <w:sz w:val="24"/>
          <w:szCs w:val="24"/>
        </w:rPr>
      </w:pPr>
    </w:p>
    <w:p w:rsidR="00513CB5" w:rsidRPr="004D0373" w:rsidRDefault="00513CB5" w:rsidP="00513CB5">
      <w:pPr>
        <w:rPr>
          <w:rFonts w:ascii="Arial" w:hAnsi="Arial" w:cs="Arial"/>
          <w:sz w:val="24"/>
          <w:szCs w:val="24"/>
        </w:rPr>
      </w:pPr>
      <w:r w:rsidRPr="004D0373">
        <w:rPr>
          <w:rFonts w:ascii="Arial" w:hAnsi="Arial" w:cs="Arial"/>
          <w:b/>
          <w:sz w:val="24"/>
          <w:szCs w:val="24"/>
        </w:rPr>
        <w:t>Table 2:</w:t>
      </w:r>
      <w:r w:rsidRPr="004D0373">
        <w:rPr>
          <w:rFonts w:ascii="Arial" w:hAnsi="Arial" w:cs="Arial"/>
          <w:sz w:val="24"/>
          <w:szCs w:val="24"/>
        </w:rPr>
        <w:t xml:space="preserve"> Key of sample abbreviations</w:t>
      </w:r>
    </w:p>
    <w:tbl>
      <w:tblPr>
        <w:tblW w:w="10343" w:type="dxa"/>
        <w:tblLook w:val="04A0" w:firstRow="1" w:lastRow="0" w:firstColumn="1" w:lastColumn="0" w:noHBand="0" w:noVBand="1"/>
      </w:tblPr>
      <w:tblGrid>
        <w:gridCol w:w="562"/>
        <w:gridCol w:w="727"/>
        <w:gridCol w:w="776"/>
        <w:gridCol w:w="563"/>
        <w:gridCol w:w="727"/>
        <w:gridCol w:w="776"/>
        <w:gridCol w:w="576"/>
        <w:gridCol w:w="727"/>
        <w:gridCol w:w="790"/>
        <w:gridCol w:w="504"/>
        <w:gridCol w:w="727"/>
        <w:gridCol w:w="789"/>
        <w:gridCol w:w="618"/>
        <w:gridCol w:w="743"/>
        <w:gridCol w:w="738"/>
      </w:tblGrid>
      <w:tr w:rsidR="00513CB5" w:rsidRPr="00447DB6" w:rsidTr="00DB3D69">
        <w:trPr>
          <w:trHeight w:val="341"/>
        </w:trPr>
        <w:tc>
          <w:tcPr>
            <w:tcW w:w="562" w:type="dxa"/>
            <w:tcBorders>
              <w:top w:val="single" w:sz="4" w:space="0" w:color="auto"/>
              <w:left w:val="single" w:sz="4" w:space="0" w:color="auto"/>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Plot</w:t>
            </w:r>
          </w:p>
        </w:tc>
        <w:tc>
          <w:tcPr>
            <w:tcW w:w="727"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Sample</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Position</w:t>
            </w:r>
          </w:p>
        </w:tc>
        <w:tc>
          <w:tcPr>
            <w:tcW w:w="563"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Plot</w:t>
            </w:r>
          </w:p>
        </w:tc>
        <w:tc>
          <w:tcPr>
            <w:tcW w:w="727"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Sample</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Position</w:t>
            </w:r>
          </w:p>
        </w:tc>
        <w:tc>
          <w:tcPr>
            <w:tcW w:w="576" w:type="dxa"/>
            <w:tcBorders>
              <w:top w:val="single" w:sz="4" w:space="0" w:color="auto"/>
              <w:left w:val="single" w:sz="4" w:space="0" w:color="auto"/>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Plot</w:t>
            </w:r>
          </w:p>
        </w:tc>
        <w:tc>
          <w:tcPr>
            <w:tcW w:w="727"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Sample</w:t>
            </w:r>
          </w:p>
        </w:tc>
        <w:tc>
          <w:tcPr>
            <w:tcW w:w="790"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Position</w:t>
            </w:r>
          </w:p>
        </w:tc>
        <w:tc>
          <w:tcPr>
            <w:tcW w:w="504" w:type="dxa"/>
            <w:tcBorders>
              <w:top w:val="single" w:sz="4" w:space="0" w:color="auto"/>
              <w:left w:val="single" w:sz="4" w:space="0" w:color="auto"/>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Plot</w:t>
            </w:r>
          </w:p>
        </w:tc>
        <w:tc>
          <w:tcPr>
            <w:tcW w:w="727"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Sample</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Position</w:t>
            </w:r>
          </w:p>
        </w:tc>
        <w:tc>
          <w:tcPr>
            <w:tcW w:w="618" w:type="dxa"/>
            <w:tcBorders>
              <w:top w:val="single" w:sz="4" w:space="0" w:color="auto"/>
              <w:left w:val="single" w:sz="4" w:space="0" w:color="auto"/>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Plot</w:t>
            </w:r>
          </w:p>
        </w:tc>
        <w:tc>
          <w:tcPr>
            <w:tcW w:w="743" w:type="dxa"/>
            <w:tcBorders>
              <w:top w:val="single" w:sz="4" w:space="0" w:color="auto"/>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Sample</w:t>
            </w:r>
          </w:p>
        </w:tc>
        <w:tc>
          <w:tcPr>
            <w:tcW w:w="738"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b/>
                <w:bCs/>
                <w:color w:val="000000"/>
                <w:sz w:val="14"/>
                <w:szCs w:val="14"/>
                <w:lang w:eastAsia="en-GB"/>
              </w:rPr>
            </w:pPr>
            <w:r w:rsidRPr="00373006">
              <w:rPr>
                <w:rFonts w:ascii="Calibri" w:eastAsia="Times New Roman" w:hAnsi="Calibri" w:cs="Times New Roman"/>
                <w:b/>
                <w:bCs/>
                <w:color w:val="000000"/>
                <w:sz w:val="14"/>
                <w:szCs w:val="14"/>
                <w:lang w:eastAsia="en-GB"/>
              </w:rPr>
              <w:t>Position</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POR-01</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POR-02</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Pr>
                <w:rFonts w:ascii="Calibri" w:eastAsia="Times New Roman" w:hAnsi="Calibri" w:cs="Times New Roman"/>
                <w:color w:val="000000"/>
                <w:sz w:val="14"/>
                <w:szCs w:val="14"/>
                <w:lang w:eastAsia="en-GB"/>
              </w:rPr>
              <w:t>RFH-01</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EST</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RAND</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150m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150m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150m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200m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200m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200m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500m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250m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250m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250m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600m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300m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300m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300m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700m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350m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350m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350m</w:t>
            </w:r>
          </w:p>
        </w:tc>
      </w:tr>
      <w:tr w:rsidR="00513CB5" w:rsidRPr="00447DB6" w:rsidTr="00DB3D69">
        <w:trPr>
          <w:trHeight w:val="341"/>
        </w:trPr>
        <w:tc>
          <w:tcPr>
            <w:tcW w:w="562" w:type="dxa"/>
            <w:tcBorders>
              <w:top w:val="nil"/>
              <w:left w:val="single" w:sz="4" w:space="0" w:color="auto"/>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800m</w:t>
            </w:r>
          </w:p>
        </w:tc>
        <w:tc>
          <w:tcPr>
            <w:tcW w:w="56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w:t>
            </w:r>
          </w:p>
        </w:tc>
        <w:tc>
          <w:tcPr>
            <w:tcW w:w="7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800m</w:t>
            </w:r>
          </w:p>
        </w:tc>
        <w:tc>
          <w:tcPr>
            <w:tcW w:w="576"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w:t>
            </w:r>
          </w:p>
        </w:tc>
        <w:tc>
          <w:tcPr>
            <w:tcW w:w="79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400m</w:t>
            </w:r>
          </w:p>
        </w:tc>
        <w:tc>
          <w:tcPr>
            <w:tcW w:w="504"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w:t>
            </w:r>
          </w:p>
        </w:tc>
        <w:tc>
          <w:tcPr>
            <w:tcW w:w="789"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400m</w:t>
            </w:r>
          </w:p>
        </w:tc>
        <w:tc>
          <w:tcPr>
            <w:tcW w:w="618"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nil"/>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w:t>
            </w:r>
          </w:p>
        </w:tc>
        <w:tc>
          <w:tcPr>
            <w:tcW w:w="73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400m</w:t>
            </w:r>
          </w:p>
        </w:tc>
      </w:tr>
      <w:tr w:rsidR="00513CB5" w:rsidRPr="00447DB6" w:rsidTr="00DB3D69">
        <w:trPr>
          <w:trHeight w:val="341"/>
        </w:trPr>
        <w:tc>
          <w:tcPr>
            <w:tcW w:w="562" w:type="dxa"/>
            <w:tcBorders>
              <w:top w:val="nil"/>
              <w:left w:val="single" w:sz="4" w:space="0" w:color="auto"/>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w:t>
            </w:r>
          </w:p>
        </w:tc>
        <w:tc>
          <w:tcPr>
            <w:tcW w:w="776"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900m</w:t>
            </w:r>
          </w:p>
        </w:tc>
        <w:tc>
          <w:tcPr>
            <w:tcW w:w="563"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jc w:val="right"/>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w:t>
            </w:r>
          </w:p>
        </w:tc>
        <w:tc>
          <w:tcPr>
            <w:tcW w:w="776"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900m</w:t>
            </w:r>
          </w:p>
        </w:tc>
        <w:tc>
          <w:tcPr>
            <w:tcW w:w="576"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w:t>
            </w:r>
          </w:p>
        </w:tc>
        <w:tc>
          <w:tcPr>
            <w:tcW w:w="790"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450m</w:t>
            </w:r>
          </w:p>
        </w:tc>
        <w:tc>
          <w:tcPr>
            <w:tcW w:w="504"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27"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w:t>
            </w:r>
          </w:p>
        </w:tc>
        <w:tc>
          <w:tcPr>
            <w:tcW w:w="789"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450m</w:t>
            </w:r>
          </w:p>
        </w:tc>
        <w:tc>
          <w:tcPr>
            <w:tcW w:w="618"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 </w:t>
            </w:r>
          </w:p>
        </w:tc>
        <w:tc>
          <w:tcPr>
            <w:tcW w:w="743" w:type="dxa"/>
            <w:tcBorders>
              <w:top w:val="nil"/>
              <w:left w:val="nil"/>
              <w:bottom w:val="single" w:sz="4" w:space="0" w:color="auto"/>
              <w:right w:val="nil"/>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10</w:t>
            </w:r>
          </w:p>
        </w:tc>
        <w:tc>
          <w:tcPr>
            <w:tcW w:w="738"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14"/>
                <w:szCs w:val="14"/>
                <w:lang w:eastAsia="en-GB"/>
              </w:rPr>
            </w:pPr>
            <w:r w:rsidRPr="00373006">
              <w:rPr>
                <w:rFonts w:ascii="Calibri" w:eastAsia="Times New Roman" w:hAnsi="Calibri" w:cs="Times New Roman"/>
                <w:color w:val="000000"/>
                <w:sz w:val="14"/>
                <w:szCs w:val="14"/>
                <w:lang w:eastAsia="en-GB"/>
              </w:rPr>
              <w:t>450m</w:t>
            </w:r>
          </w:p>
        </w:tc>
      </w:tr>
    </w:tbl>
    <w:p w:rsidR="00513CB5" w:rsidRDefault="00513CB5" w:rsidP="00513CB5">
      <w:pPr>
        <w:rPr>
          <w:rFonts w:ascii="Times New Roman" w:hAnsi="Times New Roman" w:cs="Times New Roman"/>
          <w:sz w:val="24"/>
          <w:szCs w:val="24"/>
        </w:rPr>
      </w:pPr>
    </w:p>
    <w:p w:rsidR="00513CB5" w:rsidRDefault="00513CB5" w:rsidP="00513CB5">
      <w:pPr>
        <w:rPr>
          <w:rFonts w:ascii="Times New Roman" w:hAnsi="Times New Roman" w:cs="Times New Roman"/>
          <w:sz w:val="24"/>
          <w:szCs w:val="24"/>
        </w:rPr>
      </w:pPr>
    </w:p>
    <w:p w:rsidR="00513CB5" w:rsidRDefault="00513CB5" w:rsidP="00513CB5">
      <w:pPr>
        <w:rPr>
          <w:rFonts w:ascii="Times New Roman" w:hAnsi="Times New Roman" w:cs="Times New Roman"/>
          <w:b/>
          <w:sz w:val="24"/>
          <w:szCs w:val="24"/>
        </w:rPr>
      </w:pPr>
    </w:p>
    <w:p w:rsidR="004D0373" w:rsidRDefault="004D0373" w:rsidP="00513CB5">
      <w:pPr>
        <w:rPr>
          <w:rFonts w:ascii="Times New Roman" w:hAnsi="Times New Roman" w:cs="Times New Roman"/>
          <w:b/>
          <w:sz w:val="24"/>
          <w:szCs w:val="24"/>
        </w:rPr>
      </w:pPr>
    </w:p>
    <w:p w:rsidR="00455A2A" w:rsidRDefault="00455A2A" w:rsidP="00513CB5">
      <w:pPr>
        <w:rPr>
          <w:rFonts w:ascii="Arial" w:hAnsi="Arial" w:cs="Arial"/>
          <w:b/>
          <w:sz w:val="24"/>
          <w:szCs w:val="24"/>
        </w:rPr>
      </w:pPr>
    </w:p>
    <w:p w:rsidR="00513CB5" w:rsidRPr="004D0373" w:rsidRDefault="00513CB5" w:rsidP="00513CB5">
      <w:pPr>
        <w:rPr>
          <w:rFonts w:ascii="Arial" w:hAnsi="Arial" w:cs="Arial"/>
          <w:sz w:val="24"/>
          <w:szCs w:val="24"/>
        </w:rPr>
      </w:pPr>
      <w:r w:rsidRPr="004D0373">
        <w:rPr>
          <w:rFonts w:ascii="Arial" w:hAnsi="Arial" w:cs="Arial"/>
          <w:b/>
          <w:sz w:val="24"/>
          <w:szCs w:val="24"/>
        </w:rPr>
        <w:t>Table 3:</w:t>
      </w:r>
      <w:r w:rsidRPr="004D0373">
        <w:rPr>
          <w:rFonts w:ascii="Arial" w:hAnsi="Arial" w:cs="Arial"/>
          <w:sz w:val="24"/>
          <w:szCs w:val="24"/>
        </w:rPr>
        <w:t xml:space="preserve"> List of phytoliths encountered, their taxonomic association and PCA codes</w:t>
      </w:r>
    </w:p>
    <w:p w:rsidR="00513CB5" w:rsidRDefault="00513CB5" w:rsidP="00513CB5">
      <w:pPr>
        <w:rPr>
          <w:rFonts w:ascii="Times New Roman" w:hAnsi="Times New Roman" w:cs="Times New Roman"/>
          <w:sz w:val="24"/>
          <w:szCs w:val="24"/>
        </w:rPr>
      </w:pPr>
    </w:p>
    <w:tbl>
      <w:tblPr>
        <w:tblW w:w="10343" w:type="dxa"/>
        <w:tblLook w:val="04A0" w:firstRow="1" w:lastRow="0" w:firstColumn="1" w:lastColumn="0" w:noHBand="0" w:noVBand="1"/>
      </w:tblPr>
      <w:tblGrid>
        <w:gridCol w:w="4106"/>
        <w:gridCol w:w="992"/>
        <w:gridCol w:w="1701"/>
        <w:gridCol w:w="1276"/>
        <w:gridCol w:w="1418"/>
        <w:gridCol w:w="850"/>
      </w:tblGrid>
      <w:tr w:rsidR="00513CB5" w:rsidRPr="00447DB6" w:rsidTr="00DB3D69">
        <w:trPr>
          <w:trHeight w:val="300"/>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Phytolith type</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Fraction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Association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References</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PCA code</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513CB5" w:rsidRPr="00373006" w:rsidRDefault="00544198"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Plate</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Bilobates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Panicoideae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1-6</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Bilob</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Polylobates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Panicoideae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1-6</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Plob</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Crosses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Panicoideae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5-12</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Cross</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Saddles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Chloridoideae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2, 3, 5, 6, 13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Sad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Rondels/trapezoids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2, 3, 5, 6</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Rond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Tall rondels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5, 6, 13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Trond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Rondeloid/saddeloid</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RondSad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Tall/collapsed saddles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5-7, 15, 16</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TCSad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Saddles (blocky)</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SadBlck</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Crosses (blocky)</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5-12</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Chusq</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Chusquoid bodies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5, 6</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TwoSRond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214601"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Two</w:t>
            </w:r>
            <w:r w:rsidR="00513CB5" w:rsidRPr="00373006">
              <w:rPr>
                <w:rFonts w:ascii="Calibri" w:eastAsia="Times New Roman" w:hAnsi="Calibri" w:cs="Times New Roman"/>
                <w:color w:val="000000"/>
                <w:sz w:val="20"/>
                <w:szCs w:val="20"/>
                <w:lang w:eastAsia="en-GB"/>
              </w:rPr>
              <w:t>-spiked bodies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BambBull</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Oryzeae scooped bilobates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Oryzeae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1, 17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Oryz</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214601">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 xml:space="preserve">Olyreae irreg/complex </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Olyreae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5, 18</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Olyr</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2</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Bulliforms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Bull</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Bulliforms (bamb)</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 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Bambusoideae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CC2516" w:rsidP="00CC2516">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35</w:t>
            </w:r>
            <w:r w:rsidR="00513CB5"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BambBull</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3</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UID (poac) 1</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UIDPoac1</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4</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UID (poac) 2</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Poaceae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UIDPoac2</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5</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i/>
                <w:iCs/>
                <w:sz w:val="20"/>
                <w:szCs w:val="20"/>
                <w:lang w:eastAsia="en-GB"/>
              </w:rPr>
              <w:t>Heliconia</w:t>
            </w:r>
            <w:r w:rsidRPr="00373006">
              <w:rPr>
                <w:rFonts w:ascii="Calibri" w:eastAsia="Times New Roman" w:hAnsi="Calibri" w:cs="Times New Roman"/>
                <w:sz w:val="20"/>
                <w:szCs w:val="20"/>
                <w:lang w:eastAsia="en-GB"/>
              </w:rPr>
              <w:t xml:space="preserve"> troughed body</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i/>
                <w:iCs/>
                <w:color w:val="000000"/>
                <w:sz w:val="20"/>
                <w:szCs w:val="20"/>
                <w:lang w:eastAsia="en-GB"/>
              </w:rPr>
            </w:pPr>
            <w:r w:rsidRPr="00373006">
              <w:rPr>
                <w:rFonts w:ascii="Calibri" w:eastAsia="Times New Roman" w:hAnsi="Calibri" w:cs="Times New Roman"/>
                <w:i/>
                <w:iCs/>
                <w:color w:val="000000"/>
                <w:sz w:val="20"/>
                <w:szCs w:val="20"/>
                <w:lang w:eastAsia="en-GB"/>
              </w:rPr>
              <w:t>Heliconia</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6, 19, 20</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Helic</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Cyperaceae cones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Cyperaceae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13, 21-24</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CypCon</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Marantaceae globular nodular</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Marantaceae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GlobNod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Marantaceae seed</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Marantaceae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MarSeed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6</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Marantaceae nodular</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Marantaceae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MarNod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7</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Strelitziaceae druse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Strelitziaceae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18</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Streliz</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8</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Globular echinate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Arecaceae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13, 18, 26-27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GlobEch</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Large globular echinate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Arecaceae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29</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LGlobEch</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9</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214601">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Palm hats</w:t>
            </w:r>
            <w:r w:rsidRPr="00373006">
              <w:rPr>
                <w:rFonts w:ascii="Calibri" w:eastAsia="Times New Roman" w:hAnsi="Calibri" w:cs="Times New Roman"/>
                <w:i/>
                <w:iCs/>
                <w:color w:val="000000"/>
                <w:sz w:val="20"/>
                <w:szCs w:val="20"/>
                <w:lang w:eastAsia="en-GB"/>
              </w:rPr>
              <w:t xml:space="preserve"> </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Arecaceae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13, 18, 26-28</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Hat</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Globular granulate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6, 30, 31</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GlobGran</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Globular psilate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13</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GlobPsi</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214601">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MFBs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 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MFB</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i/>
                <w:iCs/>
                <w:color w:val="000000"/>
                <w:sz w:val="20"/>
                <w:szCs w:val="20"/>
                <w:lang w:eastAsia="en-GB"/>
              </w:rPr>
              <w:t>Tetragastris</w:t>
            </w:r>
            <w:r w:rsidRPr="00373006">
              <w:rPr>
                <w:rFonts w:ascii="Calibri" w:eastAsia="Times New Roman" w:hAnsi="Calibri" w:cs="Times New Roman"/>
                <w:color w:val="000000"/>
                <w:sz w:val="20"/>
                <w:szCs w:val="20"/>
                <w:lang w:eastAsia="en-GB"/>
              </w:rPr>
              <w:t xml:space="preserve"> stippled</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i/>
                <w:iCs/>
                <w:color w:val="000000"/>
                <w:sz w:val="20"/>
                <w:szCs w:val="20"/>
                <w:lang w:eastAsia="en-GB"/>
              </w:rPr>
            </w:pPr>
            <w:r w:rsidRPr="00373006">
              <w:rPr>
                <w:rFonts w:ascii="Calibri" w:eastAsia="Times New Roman" w:hAnsi="Calibri" w:cs="Times New Roman"/>
                <w:i/>
                <w:iCs/>
                <w:color w:val="000000"/>
                <w:sz w:val="20"/>
                <w:szCs w:val="20"/>
                <w:lang w:eastAsia="en-GB"/>
              </w:rPr>
              <w:t>Tetragastris</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25</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Tetra</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10</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Annonaceae faceted</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Annonaceae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Ann</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i/>
                <w:iCs/>
                <w:color w:val="000000"/>
                <w:sz w:val="20"/>
                <w:szCs w:val="20"/>
                <w:lang w:eastAsia="en-GB"/>
              </w:rPr>
              <w:t>Ficus</w:t>
            </w:r>
            <w:r w:rsidRPr="00373006">
              <w:rPr>
                <w:rFonts w:ascii="Calibri" w:eastAsia="Times New Roman" w:hAnsi="Calibri" w:cs="Times New Roman"/>
                <w:color w:val="000000"/>
                <w:sz w:val="20"/>
                <w:szCs w:val="20"/>
                <w:lang w:eastAsia="en-GB"/>
              </w:rPr>
              <w:t xml:space="preserve"> hairbase</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i/>
                <w:iCs/>
                <w:color w:val="000000"/>
                <w:sz w:val="20"/>
                <w:szCs w:val="20"/>
                <w:lang w:eastAsia="en-GB"/>
              </w:rPr>
            </w:pPr>
            <w:r w:rsidRPr="00373006">
              <w:rPr>
                <w:rFonts w:ascii="Calibri" w:eastAsia="Times New Roman" w:hAnsi="Calibri" w:cs="Times New Roman"/>
                <w:i/>
                <w:iCs/>
                <w:color w:val="000000"/>
                <w:sz w:val="20"/>
                <w:szCs w:val="20"/>
                <w:lang w:eastAsia="en-GB"/>
              </w:rPr>
              <w:t>Ficus</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FicHB</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11</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i/>
                <w:iCs/>
                <w:color w:val="000000"/>
                <w:sz w:val="20"/>
                <w:szCs w:val="20"/>
                <w:lang w:eastAsia="en-GB"/>
              </w:rPr>
            </w:pPr>
            <w:r w:rsidRPr="00373006">
              <w:rPr>
                <w:rFonts w:ascii="Calibri" w:eastAsia="Times New Roman" w:hAnsi="Calibri" w:cs="Times New Roman"/>
                <w:i/>
                <w:iCs/>
                <w:color w:val="000000"/>
                <w:sz w:val="20"/>
                <w:szCs w:val="20"/>
                <w:lang w:eastAsia="en-GB"/>
              </w:rPr>
              <w:t>Mendoncia</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i/>
                <w:iCs/>
                <w:color w:val="000000"/>
                <w:sz w:val="20"/>
                <w:szCs w:val="20"/>
                <w:lang w:eastAsia="en-GB"/>
              </w:rPr>
            </w:pPr>
            <w:r w:rsidRPr="00373006">
              <w:rPr>
                <w:rFonts w:ascii="Calibri" w:eastAsia="Times New Roman" w:hAnsi="Calibri" w:cs="Times New Roman"/>
                <w:i/>
                <w:iCs/>
                <w:color w:val="000000"/>
                <w:sz w:val="20"/>
                <w:szCs w:val="20"/>
                <w:lang w:eastAsia="en-GB"/>
              </w:rPr>
              <w:t>Mendoncia</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Mend</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12</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Asteraceae platelets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Asteraceae</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6, 7, 32</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Ast</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Tracheids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 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Trach</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Sclereids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 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6, 31</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Scler</w:t>
            </w:r>
          </w:p>
        </w:tc>
        <w:tc>
          <w:tcPr>
            <w:tcW w:w="850"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IST</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6, 13, 26, 31</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IST</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13</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IST (cyl)</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ISTCyl</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14</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 (arb) 1</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UIDArb1</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15</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UID (arb) 2</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UIDArb2</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16</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Vesicular infillings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33, 34</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Vesic</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17</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Anticlinal epidermis</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7</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AntEp</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18</w:t>
            </w:r>
          </w:p>
        </w:tc>
      </w:tr>
      <w:tr w:rsidR="00513CB5" w:rsidRPr="00447DB6" w:rsidTr="00DB3D69">
        <w:trPr>
          <w:trHeight w:val="300"/>
        </w:trPr>
        <w:tc>
          <w:tcPr>
            <w:tcW w:w="4106" w:type="dxa"/>
            <w:tcBorders>
              <w:top w:val="nil"/>
              <w:left w:val="single" w:sz="4" w:space="0" w:color="auto"/>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UID hairbase 1</w:t>
            </w:r>
          </w:p>
        </w:tc>
        <w:tc>
          <w:tcPr>
            <w:tcW w:w="992"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nil"/>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UIDHB1</w:t>
            </w:r>
          </w:p>
        </w:tc>
        <w:tc>
          <w:tcPr>
            <w:tcW w:w="850" w:type="dxa"/>
            <w:tcBorders>
              <w:top w:val="nil"/>
              <w:left w:val="nil"/>
              <w:bottom w:val="nil"/>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19</w:t>
            </w:r>
          </w:p>
        </w:tc>
      </w:tr>
      <w:tr w:rsidR="00513CB5" w:rsidRPr="00447DB6" w:rsidTr="00DB3D69">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sz w:val="20"/>
                <w:szCs w:val="20"/>
                <w:lang w:eastAsia="en-GB"/>
              </w:rPr>
            </w:pPr>
            <w:r w:rsidRPr="00373006">
              <w:rPr>
                <w:rFonts w:ascii="Calibri" w:eastAsia="Times New Roman" w:hAnsi="Calibri" w:cs="Times New Roman"/>
                <w:sz w:val="20"/>
                <w:szCs w:val="20"/>
                <w:lang w:eastAsia="en-GB"/>
              </w:rPr>
              <w:t>UID hairbase 2</w:t>
            </w:r>
          </w:p>
        </w:tc>
        <w:tc>
          <w:tcPr>
            <w:tcW w:w="992"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C</w:t>
            </w:r>
          </w:p>
        </w:tc>
        <w:tc>
          <w:tcPr>
            <w:tcW w:w="1701"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Woody eudicot</w:t>
            </w:r>
          </w:p>
        </w:tc>
        <w:tc>
          <w:tcPr>
            <w:tcW w:w="1276"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 </w:t>
            </w:r>
          </w:p>
        </w:tc>
        <w:tc>
          <w:tcPr>
            <w:tcW w:w="1418" w:type="dxa"/>
            <w:tcBorders>
              <w:top w:val="nil"/>
              <w:left w:val="nil"/>
              <w:bottom w:val="single" w:sz="4" w:space="0" w:color="auto"/>
              <w:right w:val="single" w:sz="4" w:space="0" w:color="auto"/>
            </w:tcBorders>
            <w:shd w:val="clear" w:color="auto" w:fill="auto"/>
            <w:noWrap/>
            <w:vAlign w:val="bottom"/>
            <w:hideMark/>
          </w:tcPr>
          <w:p w:rsidR="00513CB5" w:rsidRPr="00373006" w:rsidRDefault="00513CB5" w:rsidP="00DB3D69">
            <w:pPr>
              <w:spacing w:after="0" w:line="240" w:lineRule="auto"/>
              <w:rPr>
                <w:rFonts w:ascii="Calibri" w:eastAsia="Times New Roman" w:hAnsi="Calibri" w:cs="Times New Roman"/>
                <w:color w:val="000000"/>
                <w:sz w:val="20"/>
                <w:szCs w:val="20"/>
                <w:lang w:eastAsia="en-GB"/>
              </w:rPr>
            </w:pPr>
            <w:r w:rsidRPr="00373006">
              <w:rPr>
                <w:rFonts w:ascii="Calibri" w:eastAsia="Times New Roman" w:hAnsi="Calibri" w:cs="Times New Roman"/>
                <w:color w:val="000000"/>
                <w:sz w:val="20"/>
                <w:szCs w:val="20"/>
                <w:lang w:eastAsia="en-GB"/>
              </w:rPr>
              <w:t>UIDHB2</w:t>
            </w:r>
          </w:p>
        </w:tc>
        <w:tc>
          <w:tcPr>
            <w:tcW w:w="850" w:type="dxa"/>
            <w:tcBorders>
              <w:top w:val="nil"/>
              <w:left w:val="nil"/>
              <w:bottom w:val="single" w:sz="4" w:space="0" w:color="auto"/>
              <w:right w:val="single" w:sz="4" w:space="0" w:color="auto"/>
            </w:tcBorders>
            <w:shd w:val="clear" w:color="auto" w:fill="auto"/>
            <w:noWrap/>
            <w:vAlign w:val="bottom"/>
            <w:hideMark/>
          </w:tcPr>
          <w:p w:rsidR="00513CB5" w:rsidRPr="00373006" w:rsidRDefault="00455A2A" w:rsidP="00DB3D69">
            <w:pPr>
              <w:spacing w:after="0" w:line="240" w:lineRule="auto"/>
              <w:rPr>
                <w:rFonts w:ascii="Calibri" w:eastAsia="Times New Roman" w:hAnsi="Calibri" w:cs="Times New Roman"/>
                <w:color w:val="000000"/>
                <w:sz w:val="20"/>
                <w:szCs w:val="20"/>
                <w:lang w:eastAsia="en-GB"/>
              </w:rPr>
            </w:pPr>
            <w:r>
              <w:rPr>
                <w:rFonts w:ascii="Calibri" w:eastAsia="Times New Roman" w:hAnsi="Calibri" w:cs="Times New Roman"/>
                <w:color w:val="000000"/>
                <w:sz w:val="20"/>
                <w:szCs w:val="20"/>
                <w:lang w:eastAsia="en-GB"/>
              </w:rPr>
              <w:t>20</w:t>
            </w:r>
          </w:p>
        </w:tc>
      </w:tr>
    </w:tbl>
    <w:p w:rsidR="00513CB5" w:rsidRDefault="00513CB5" w:rsidP="00513CB5">
      <w:pPr>
        <w:rPr>
          <w:rFonts w:ascii="Times New Roman" w:hAnsi="Times New Roman" w:cs="Times New Roman"/>
          <w:sz w:val="24"/>
          <w:szCs w:val="24"/>
        </w:rPr>
      </w:pPr>
      <w:r w:rsidRPr="00447DB6">
        <w:t xml:space="preserve"> </w:t>
      </w:r>
    </w:p>
    <w:p w:rsidR="00513CB5" w:rsidRPr="004D0373" w:rsidRDefault="00513CB5" w:rsidP="00513CB5">
      <w:pPr>
        <w:rPr>
          <w:rFonts w:ascii="Arial" w:hAnsi="Arial" w:cs="Arial"/>
          <w:sz w:val="24"/>
          <w:szCs w:val="24"/>
        </w:rPr>
      </w:pPr>
      <w:r w:rsidRPr="004D0373">
        <w:rPr>
          <w:rFonts w:ascii="Arial" w:hAnsi="Arial" w:cs="Arial"/>
          <w:sz w:val="24"/>
          <w:szCs w:val="24"/>
        </w:rPr>
        <w:t>Caption for table 3:</w:t>
      </w:r>
    </w:p>
    <w:p w:rsidR="00513CB5" w:rsidRPr="004D0373" w:rsidRDefault="00513CB5" w:rsidP="00513CB5">
      <w:pPr>
        <w:rPr>
          <w:rFonts w:ascii="Arial" w:hAnsi="Arial" w:cs="Arial"/>
          <w:sz w:val="24"/>
          <w:szCs w:val="24"/>
        </w:rPr>
      </w:pPr>
      <w:r w:rsidRPr="004D0373">
        <w:rPr>
          <w:rFonts w:ascii="Arial" w:hAnsi="Arial" w:cs="Arial"/>
          <w:sz w:val="24"/>
          <w:szCs w:val="24"/>
        </w:rPr>
        <w:t xml:space="preserve">References: 1.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"Metcalfe", "given" : "C R", "non-dropping-particle" : "", "parse-names" : false, "suffix" : "" } ], "id" : "ITEM-1", "issued" : { "date-parts" : [ [ "1960" ] ] }, "publisher" : "Clarendon Press", "publisher-place" : "Oxford", "title" : "Anatomy of the Monocotledons I: Gramineae", "type" : "book" }, "uris" : [ "http://www.mendeley.com/documents/?uuid=32e4768a-d476-41f7-a12f-9030c5f3e360" ] } ], "mendeley" : { "formattedCitation" : "(Metcalfe, 1960)", "manualFormatting" : "Metcalfe, 1960", "plainTextFormattedCitation" : "(Metcalfe, 1960)", "previouslyFormattedCitation" : "(Metcalfe, 1960)"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Metcalfe, 1960</w:t>
      </w:r>
      <w:r w:rsidRPr="004D0373">
        <w:rPr>
          <w:rFonts w:ascii="Arial" w:hAnsi="Arial" w:cs="Arial"/>
          <w:sz w:val="24"/>
          <w:szCs w:val="24"/>
        </w:rPr>
        <w:fldChar w:fldCharType="end"/>
      </w:r>
      <w:r w:rsidRPr="004D0373">
        <w:rPr>
          <w:rFonts w:ascii="Arial" w:hAnsi="Arial" w:cs="Arial"/>
          <w:sz w:val="24"/>
          <w:szCs w:val="24"/>
        </w:rPr>
        <w:t xml:space="preserve">; 2.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"Twiss", "given" : "P C", "non-dropping-particle" : "", "parse-names" : false, "suffix" : "" }, { "dropping-particle" : "", "family" : "Suess", "given" : "E", "non-dropping-particle" : "", "parse-names" : false, "suffix" : "" }, { "dropping-particle" : "", "family" : "Smith", "given" : "R M", "non-dropping-particle" : "", "parse-names" : false, "suffix" : "" } ], "container-title" : "Soil Science Society of America", "id" : "ITEM-1", "issue" : "1", "issued" : { "date-parts" : [ [ "1969" ] ] }, "page" : "109-115", "title" : "Morphological classifications of grass phytoliths", "type" : "article-journal", "volume" : "33" }, "uris" : [ "http://www.mendeley.com/documents/?uuid=969dcd57-97f9-46d8-b96a-7eae975b02d6" ] } ], "mendeley" : { "formattedCitation" : "(Twiss et al., 1969)", "manualFormatting" : "Twiss et al., 1969", "plainTextFormattedCitation" : "(Twiss et al., 1969)", "previouslyFormattedCitation" : "(Twiss et al., 1969)"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Twiss et al., 1969</w:t>
      </w:r>
      <w:r w:rsidRPr="004D0373">
        <w:rPr>
          <w:rFonts w:ascii="Arial" w:hAnsi="Arial" w:cs="Arial"/>
          <w:sz w:val="24"/>
          <w:szCs w:val="24"/>
        </w:rPr>
        <w:fldChar w:fldCharType="end"/>
      </w:r>
      <w:r w:rsidRPr="004D0373">
        <w:rPr>
          <w:rFonts w:ascii="Arial" w:hAnsi="Arial" w:cs="Arial"/>
          <w:sz w:val="24"/>
          <w:szCs w:val="24"/>
        </w:rPr>
        <w:t xml:space="preserve">; 3.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"Brown", "given" : "Dwight A", "non-dropping-particle" : "", "parse-names" : false, "suffix" : "" } ], "container-title" : "Journal of Archaeological Science", "id" : "ITEM-1", "issued" : { "date-parts" : [ [ "1984" ] ] }, "page" : "345-368", "title" : "Prospects and limits of a phytolith key for grasses in the Central United States", "type" : "article-journal", "volume" : "11" }, "uris" : [ "http://www.mendeley.com/documents/?uuid=52a5f66d-f3a8-4a57-add7-605224bc61c5" ] } ], "mendeley" : { "formattedCitation" : "(Brown, 1984)", "manualFormatting" : "Brown, 1984", "plainTextFormattedCitation" : "(Brown, 1984)", "previouslyFormattedCitation" : "(Brown, 1984)"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Brown, 1984</w:t>
      </w:r>
      <w:r w:rsidRPr="004D0373">
        <w:rPr>
          <w:rFonts w:ascii="Arial" w:hAnsi="Arial" w:cs="Arial"/>
          <w:sz w:val="24"/>
          <w:szCs w:val="24"/>
        </w:rPr>
        <w:fldChar w:fldCharType="end"/>
      </w:r>
      <w:r w:rsidRPr="004D0373">
        <w:rPr>
          <w:rFonts w:ascii="Arial" w:hAnsi="Arial" w:cs="Arial"/>
          <w:sz w:val="24"/>
          <w:szCs w:val="24"/>
        </w:rPr>
        <w:t xml:space="preserve">; 4.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"Fredlund", "given" : "Glen G", "non-dropping-particle" : "", "parse-names" : false, "suffix" : "" }, { "dropping-particle" : "", "family" : "Tieszen", "given" : "Larry T", "non-dropping-particle" : "", "parse-names" : false, "suffix" : "" } ], "container-title" : "Journal of Biogeography", "id" : "ITEM-1", "issue" : "3", "issued" : { "date-parts" : [ [ "1994" ] ] }, "page" : "321-335", "title" : "Modern Phytolith Assemblages from the North American Great Plains", "type" : "article-journal", "volume" : "21" }, "uris" : [ "http://www.mendeley.com/documents/?uuid=b2f32485-1819-4bed-82a2-e9079ab2fb1f" ] } ], "mendeley" : { "formattedCitation" : "(Fredlund and Tieszen, 1994)", "manualFormatting" : "Fredlund and Tieszen, 1994", "plainTextFormattedCitation" : "(Fredlund and Tieszen, 1994)", "previouslyFormattedCitation" : "(Fredlund and Tieszen, 1994)"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Fredlund and Tieszen, 1994</w:t>
      </w:r>
      <w:r w:rsidRPr="004D0373">
        <w:rPr>
          <w:rFonts w:ascii="Arial" w:hAnsi="Arial" w:cs="Arial"/>
          <w:sz w:val="24"/>
          <w:szCs w:val="24"/>
        </w:rPr>
        <w:fldChar w:fldCharType="end"/>
      </w:r>
      <w:r w:rsidRPr="004D0373">
        <w:rPr>
          <w:rFonts w:ascii="Arial" w:hAnsi="Arial" w:cs="Arial"/>
          <w:sz w:val="24"/>
          <w:szCs w:val="24"/>
        </w:rPr>
        <w:t xml:space="preserve">; 5. </w:t>
      </w:r>
      <w:r w:rsidRPr="004D0373">
        <w:rPr>
          <w:rFonts w:ascii="Arial" w:hAnsi="Arial" w:cs="Arial"/>
          <w:sz w:val="24"/>
          <w:szCs w:val="24"/>
        </w:rPr>
        <w:fldChar w:fldCharType="begin" w:fldLock="1"/>
      </w:r>
      <w:r w:rsidR="00CC5FD9">
        <w:rPr>
          <w:rFonts w:ascii="Arial" w:hAnsi="Arial" w:cs="Arial"/>
          <w:sz w:val="24"/>
          <w:szCs w:val="24"/>
        </w:rPr>
        <w:instrText>ADDIN CSL_CITATION { "citationItems" : [ { "id" : "ITEM-1", "itemData" : { "DOI" : "10.5479/si.0081024X.85", "ISSN" : "0081024X", "author" : [ { "dropping-particle" : "", "family" : "Piperno", "given" : "Dolores R.", "non-dropping-particle" : "", "parse-names" : false, "suffix" : "" }, { "dropping-particle" : "", "family" : "Pearsall", "given" : "Deborah M.", "non-dropping-particle" : "", "parse-names" : false, "suffix" : "" } ], "container-title" : "Smithsonian Contributions to Botany", "id" : "ITEM-1", "issued" : { "date-parts" : [ [ "1998" ] ] }, "page" : "1-40", "title" : "The Silica Bodies of Tropical American Grasses: Morphology, Taxonomy, and Implications for Grass Systematics and Fossil Phytolith Identification", "type" : "article-journal", "volume" : "85" }, "uris" : [ "http://www.mendeley.com/documents/?uuid=7318e482-871d-4738-a144-a4d6ae2a2d39" ] } ], "mendeley" : { "formattedCitation" : "(Dolores R. Piperno and Pearsall, 1998)", "manualFormatting" : "Piperno and Pearsall, 1998", "plainTextFormattedCitation" : "(Dolores R. Piperno and Pearsall, 1998)", "previouslyFormattedCitation" : "(Dolores R. Piperno and Pearsall, 1998)" }, "properties" : { "noteIndex" : 0 }, "schema" : "https://github.com/citation-style-language/schema/raw/master/csl-citation.json" }</w:instrText>
      </w:r>
      <w:r w:rsidRPr="004D0373">
        <w:rPr>
          <w:rFonts w:ascii="Arial" w:hAnsi="Arial" w:cs="Arial"/>
          <w:sz w:val="24"/>
          <w:szCs w:val="24"/>
        </w:rPr>
        <w:fldChar w:fldCharType="separate"/>
      </w:r>
      <w:r w:rsidRPr="004D0373">
        <w:rPr>
          <w:rFonts w:ascii="Arial" w:hAnsi="Arial" w:cs="Arial"/>
          <w:noProof/>
          <w:sz w:val="24"/>
          <w:szCs w:val="24"/>
        </w:rPr>
        <w:t>Piperno and Pearsall, 1998</w:t>
      </w:r>
      <w:r w:rsidRPr="004D0373">
        <w:rPr>
          <w:rFonts w:ascii="Arial" w:hAnsi="Arial" w:cs="Arial"/>
          <w:sz w:val="24"/>
          <w:szCs w:val="24"/>
        </w:rPr>
        <w:fldChar w:fldCharType="end"/>
      </w:r>
      <w:r w:rsidRPr="004D0373">
        <w:rPr>
          <w:rFonts w:ascii="Arial" w:hAnsi="Arial" w:cs="Arial"/>
          <w:sz w:val="24"/>
          <w:szCs w:val="24"/>
        </w:rPr>
        <w:t xml:space="preserve">b; 6. </w:t>
      </w:r>
      <w:r w:rsidRPr="00CC2516">
        <w:rPr>
          <w:rFonts w:ascii="Arial" w:hAnsi="Arial" w:cs="Arial"/>
          <w:sz w:val="24"/>
          <w:szCs w:val="24"/>
        </w:rPr>
        <w:t xml:space="preserve">Piperno, 2006; 7.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"Piperno", "given" : "Dolores R.", "non-dropping-particle" : "", "parse-names" : false, "suffix" : "" } ], "id" : "ITEM-1", "issued" : { "date-parts" : [ [ "1988" ] ] }, "publisher" : "Academic Press", "publisher-place" : "San Diego", "title" : "Phytolith Analysis: An Archaeological and Geological Perspective", "type" : "book" }, "uris" : [ "http://www.mendeley.com/documents/?uuid=3f2843eb-2970-443e-93d1-aa07f15b62a3" ] } ], "mendeley" : { "formattedCitation" : "(Piperno, 1988)", "manualFormatting" : "Piperno, 1988", "plainTextFormattedCitation" : "(Piperno, 1988)", "previouslyFormattedCitation" : "(Piperno, 1988)"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Piperno, 1988</w:t>
      </w:r>
      <w:r w:rsidRPr="004D0373">
        <w:rPr>
          <w:rFonts w:ascii="Arial" w:hAnsi="Arial" w:cs="Arial"/>
          <w:sz w:val="24"/>
          <w:szCs w:val="24"/>
        </w:rPr>
        <w:fldChar w:fldCharType="end"/>
      </w:r>
      <w:r w:rsidRPr="00CC2516">
        <w:rPr>
          <w:rFonts w:ascii="Arial" w:hAnsi="Arial" w:cs="Arial"/>
          <w:sz w:val="24"/>
          <w:szCs w:val="24"/>
        </w:rPr>
        <w:t xml:space="preserve">; 8.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"Piperno", "given" : "Dolores R.", "non-dropping-particle" : "", "parse-names" : false, "suffix" : "" } ], "container-title" : "American Antiquity", "id" : "ITEM-1", "issued" : { "date-parts" : [ [ "1984" ] ] }, "page" : "361-383", "title" : "Comparison and differentiation of phytoliths from maize and wild grasses: use of morphological criteria", "type" : "article-journal", "volume" : "49" }, "uris" : [ "http://www.mendeley.com/documents/?uuid=ce41ee78-39be-43f2-a56d-0e9474739a7d" ] } ], "mendeley" : { "formattedCitation" : "(Piperno, 1984)", "manualFormatting" : "Piperno, 1984", "plainTextFormattedCitation" : "(Piperno, 1984)", "previouslyFormattedCitation" : "(Piperno, 1984)"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Piperno, 1984</w:t>
      </w:r>
      <w:r w:rsidRPr="004D0373">
        <w:rPr>
          <w:rFonts w:ascii="Arial" w:hAnsi="Arial" w:cs="Arial"/>
          <w:sz w:val="24"/>
          <w:szCs w:val="24"/>
        </w:rPr>
        <w:fldChar w:fldCharType="end"/>
      </w:r>
      <w:r w:rsidRPr="00CC2516">
        <w:rPr>
          <w:rFonts w:ascii="Arial" w:hAnsi="Arial" w:cs="Arial"/>
          <w:sz w:val="24"/>
          <w:szCs w:val="24"/>
        </w:rPr>
        <w:t xml:space="preserve">; 9.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"Pearsall", "given" : "Deborah M.", "non-dropping-particle" : "", "parse-names" : false, "suffix" : "" } ], "container-title" : "Science", "id" : "ITEM-1", "issued" : { "date-parts" : [ [ "1978" ] ] }, "page" : "177-178", "title" : "Phytolith analysis of archaeological soils: evidence for maize cultivation in Formative Ecuador", "type" : "article-journal", "volume" : "199" }, "uris" : [ "http://www.mendeley.com/documents/?uuid=b68d8b6f-b773-4eb8-b9f8-4aea8353f142" ] } ], "mendeley" : { "formattedCitation" : "(Pearsall, 1978)", "manualFormatting" : "Pearsall, 1978", "plainTextFormattedCitation" : "(Pearsall, 1978)", "previouslyFormattedCitation" : "(Pearsall, 1978)"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Pearsall, 1978</w:t>
      </w:r>
      <w:r w:rsidRPr="004D0373">
        <w:rPr>
          <w:rFonts w:ascii="Arial" w:hAnsi="Arial" w:cs="Arial"/>
          <w:sz w:val="24"/>
          <w:szCs w:val="24"/>
        </w:rPr>
        <w:fldChar w:fldCharType="end"/>
      </w:r>
      <w:r w:rsidRPr="00CC2516">
        <w:rPr>
          <w:rFonts w:ascii="Arial" w:hAnsi="Arial" w:cs="Arial"/>
          <w:sz w:val="24"/>
          <w:szCs w:val="24"/>
        </w:rPr>
        <w:t xml:space="preserve">; 10.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"Pearsall", "given" : "Deborah M.", "non-dropping-particle" : "", "parse-names" : false, "suffix" : "" } ], "container-title" : "American Anthropologist", "id" : "ITEM-1", "issued" : { "date-parts" : [ [ "1982" ] ] }, "page" : "862-871", "title" : "Phytolith analysis: applications of a new palaeoethnobotanical technique in archaeology", "type" : "article-journal", "volume" : "84" }, "uris" : [ "http://www.mendeley.com/documents/?uuid=5147b466-ae80-4733-af01-c95e7fb9b84b" ] } ], "mendeley" : { "formattedCitation" : "(Pearsall, 1982)", "manualFormatting" : "Pearsall, 1982", "plainTextFormattedCitation" : "(Pearsall, 1982)", "previouslyFormattedCitation" : "(Pearsall, 1982)"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Pearsall, 1982</w:t>
      </w:r>
      <w:r w:rsidRPr="004D0373">
        <w:rPr>
          <w:rFonts w:ascii="Arial" w:hAnsi="Arial" w:cs="Arial"/>
          <w:sz w:val="24"/>
          <w:szCs w:val="24"/>
        </w:rPr>
        <w:fldChar w:fldCharType="end"/>
      </w:r>
      <w:r w:rsidRPr="00CC2516">
        <w:rPr>
          <w:rFonts w:ascii="Arial" w:hAnsi="Arial" w:cs="Arial"/>
          <w:sz w:val="24"/>
          <w:szCs w:val="24"/>
        </w:rPr>
        <w:t xml:space="preserve">; 11.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"Pearsall", "given" : "Deborah M.", "non-dropping-particle" : "", "parse-names" : false, "suffix" : "" }, { "dropping-particle" : "", "family" : "Piperno", "given" : "Dolores R.", "non-dropping-particle" : "", "parse-names" : false, "suffix" : "" } ], "container-title" : "American Antiquity", "id" : "ITEM-1", "issued" : { "date-parts" : [ [ "1990" ] ] }, "page" : "324-337", "title" : "Antiquity of maize cultivation in Ecuador: summary and reevaluation of the evidence", "type" : "article-journal", "volume" : "55" }, "uris" : [ "http://www.mendeley.com/documents/?uuid=b64b26a2-af6b-4a99-8db8-b89ebc674227" ] } ], "mendeley" : { "formattedCitation" : "(Pearsall and Piperno, 1990)", "manualFormatting" : "Pearsall and Piperno, 1990", "plainTextFormattedCitation" : "(Pearsall and Piperno, 1990)", "previouslyFormattedCitation" : "(Pearsall and Piperno, 1990)"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Pearsall and Piperno, 1990</w:t>
      </w:r>
      <w:r w:rsidRPr="004D0373">
        <w:rPr>
          <w:rFonts w:ascii="Arial" w:hAnsi="Arial" w:cs="Arial"/>
          <w:sz w:val="24"/>
          <w:szCs w:val="24"/>
        </w:rPr>
        <w:fldChar w:fldCharType="end"/>
      </w:r>
      <w:r w:rsidRPr="00CC2516">
        <w:rPr>
          <w:rFonts w:ascii="Arial" w:hAnsi="Arial" w:cs="Arial"/>
          <w:sz w:val="24"/>
          <w:szCs w:val="24"/>
        </w:rPr>
        <w:t xml:space="preserve">; 12.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"Iriarte", "given" : "Jos\u00e9", "non-dropping-particle" : "", "parse-names" : false, "suffix" : "" } ], "container-title" : "Journal of Archaeological Science", "id" : "ITEM-1", "issued" : { "date-parts" : [ [ "2003" ] ] }, "page" : "1085-1094", "title" : "Assessing the feasibility of identifying maize through the analysis of cross-shaped size and three-dimensional morphology of phytoliths in the grasslands of southeastern South America", "type" : "article-journal", "volume" : "9" }, "uris" : [ "http://www.mendeley.com/documents/?uuid=34bb8647-6de0-4e86-beef-0b09ee81e789" ] } ], "mendeley" : { "formattedCitation" : "(Iriarte, 2003)", "manualFormatting" : "Iriarte, 2003", "plainTextFormattedCitation" : "(Iriarte, 2003)", "previouslyFormattedCitation" : "(Iriarte, 2003)"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Iriarte, 2003</w:t>
      </w:r>
      <w:r w:rsidRPr="004D0373">
        <w:rPr>
          <w:rFonts w:ascii="Arial" w:hAnsi="Arial" w:cs="Arial"/>
          <w:sz w:val="24"/>
          <w:szCs w:val="24"/>
        </w:rPr>
        <w:fldChar w:fldCharType="end"/>
      </w:r>
      <w:r w:rsidRPr="00CC2516">
        <w:rPr>
          <w:rFonts w:ascii="Arial" w:hAnsi="Arial" w:cs="Arial"/>
          <w:sz w:val="24"/>
          <w:szCs w:val="24"/>
        </w:rPr>
        <w:t xml:space="preserve">; 13.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"Kondo", "given" : "R", "non-dropping-particle" : "", "parse-names" : false, "suffix" : "" }, { "dropping-particle" : "", "family" : "Childs", "given" : "C", "non-dropping-particle" : "", "parse-names" : false, "suffix" : "" }, { "dropping-particle" : "", "family" : "Atkinson", "given" : "L", "non-dropping-particle" : "", "parse-names" : false, "suffix" : "" } ], "id" : "ITEM-1", "issued" : { "date-parts" : [ [ "1994" ] ] }, "publisher" : "Manaaki Press", "publisher-place" : "Lincoln, New Zealand", "title" : "Opal Phytoliths of New Zealand", "type" : "book" }, "uris" : [ "http://www.mendeley.com/documents/?uuid=eae3bb84-ca43-4e3b-b431-095bc9a64c33" ] } ], "mendeley" : { "formattedCitation" : "(Kondo et al., 1994)", "manualFormatting" : "Kondo et al., 1994", "plainTextFormattedCitation" : "(Kondo et al., 1994)", "previouslyFormattedCitation" : "(Kondo et al., 1994)" }, "properties" : { "noteIndex" : 0 }, "schema" : "https://github.com/citation-style-language/schema/raw/master/csl-citation.json" }</w:instrText>
      </w:r>
      <w:r w:rsidRPr="004D0373">
        <w:rPr>
          <w:rFonts w:ascii="Arial" w:hAnsi="Arial" w:cs="Arial"/>
          <w:sz w:val="24"/>
          <w:szCs w:val="24"/>
        </w:rPr>
        <w:fldChar w:fldCharType="separate"/>
      </w:r>
      <w:r w:rsidR="00CC5FD9" w:rsidRPr="00CC2516">
        <w:rPr>
          <w:rFonts w:ascii="Arial" w:hAnsi="Arial" w:cs="Arial"/>
          <w:noProof/>
          <w:sz w:val="24"/>
          <w:szCs w:val="24"/>
        </w:rPr>
        <w:t>Kondo et al., 1994</w:t>
      </w:r>
      <w:r w:rsidRPr="004D0373">
        <w:rPr>
          <w:rFonts w:ascii="Arial" w:hAnsi="Arial" w:cs="Arial"/>
          <w:sz w:val="24"/>
          <w:szCs w:val="24"/>
        </w:rPr>
        <w:fldChar w:fldCharType="end"/>
      </w:r>
      <w:r w:rsidRPr="00CC2516">
        <w:rPr>
          <w:rFonts w:ascii="Arial" w:hAnsi="Arial" w:cs="Arial"/>
          <w:sz w:val="24"/>
          <w:szCs w:val="24"/>
        </w:rPr>
        <w:t xml:space="preserve">; 14.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"Zucol", "given" : "Alejandro Fabi\u00e1n", "non-dropping-particle" : "", "parse-names" : false, "suffix" : "" } ], "container-title" : "Natura Neotropicales", "id" : "ITEM-1", "issued" : { "date-parts" : [ [ "1999" ] ] }, "page" : "25-33", "title" : "Fitolitos de las Poaceae Argentinas: IV. Asociaci\u00f3n fitolitica de Cortadeira selloana (Danthonieae: Poaceae), de la Provincia de Entre R\u00edos (Argentina)", "type" : "article-journal", "volume" : "30" }, "uris" : [ "http://www.mendeley.com/documents/?uuid=1ddc0c91-0162-4c13-8b5d-3fe6dd12a83f" ] } ], "mendeley" : { "formattedCitation" : "(Zucol, 1999)", "manualFormatting" : "Zucol, 1999", "plainTextFormattedCitation" : "(Zucol, 1999)", "previouslyFormattedCitation" : "(Zucol, 1999)"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Zucol, 1999</w:t>
      </w:r>
      <w:r w:rsidRPr="004D0373">
        <w:rPr>
          <w:rFonts w:ascii="Arial" w:hAnsi="Arial" w:cs="Arial"/>
          <w:sz w:val="24"/>
          <w:szCs w:val="24"/>
        </w:rPr>
        <w:fldChar w:fldCharType="end"/>
      </w:r>
      <w:r w:rsidRPr="004D0373">
        <w:rPr>
          <w:rFonts w:ascii="Arial" w:hAnsi="Arial" w:cs="Arial"/>
          <w:sz w:val="24"/>
          <w:szCs w:val="24"/>
        </w:rPr>
        <w:t xml:space="preserve">; 15. </w:t>
      </w:r>
      <w:r w:rsidRPr="004D0373">
        <w:rPr>
          <w:rFonts w:ascii="Arial" w:hAnsi="Arial" w:cs="Arial"/>
          <w:sz w:val="24"/>
          <w:szCs w:val="24"/>
        </w:rPr>
        <w:fldChar w:fldCharType="begin" w:fldLock="1"/>
      </w:r>
      <w:r w:rsidR="00CC5FD9">
        <w:rPr>
          <w:rFonts w:ascii="Arial" w:hAnsi="Arial" w:cs="Arial"/>
          <w:sz w:val="24"/>
          <w:szCs w:val="24"/>
        </w:rPr>
        <w:instrText>ADDIN CSL_CITATION { "citationItems" : [ { "id" : "ITEM-1", "itemData" : { "author" : [ { "dropping-particle" : "", "family" : "Lu, Houyuan", "given" : "", "non-dropping-particle" : "", "parse-names" : false, "suffix" : "" }, { "dropping-particle" : "", "family" : "Wu", "given" : "N", "non-dropping-particle" : "", "parse-names" : false, "suffix" : "" }, { "dropping-particle" : "", "family" : "Nie", "given" : "G", "non-dropping-particle" : "", "parse-names" : false, "suffix" : "" } ], "container-title" : "Chinese Science Bulletin", "id" : "ITEM-1", "issued" : { "date-parts" : [ [ "1995" ] ] }, "page" : "405-409", "title" : "Discovery of bamboo phytoliths in the loess-paleosol sequences of Guanzhong Basin, Shaanxi Province", "type" : "article-journal", "volume" : "40" }, "uris" : [ "http://www.mendeley.com/documents/?uuid=e76305b7-e392-4380-83ad-7424d463d7a0" ] } ], "mendeley" : { "formattedCitation" : "(Lu, Houyuan et al., 1995)", "manualFormatting" : "Lu, et al., 1995", "plainTextFormattedCitation" : "(Lu, Houyuan et al., 1995)", "previouslyFormattedCitation" : "(Lu, Houyuan et al., 1995)" }, "properties" : { "noteIndex" : 0 }, "schema" : "https://github.com/citation-style-language/schema/raw/master/csl-citation.json" }</w:instrText>
      </w:r>
      <w:r w:rsidRPr="004D0373">
        <w:rPr>
          <w:rFonts w:ascii="Arial" w:hAnsi="Arial" w:cs="Arial"/>
          <w:sz w:val="24"/>
          <w:szCs w:val="24"/>
        </w:rPr>
        <w:fldChar w:fldCharType="separate"/>
      </w:r>
      <w:r w:rsidRPr="004D0373">
        <w:rPr>
          <w:rFonts w:ascii="Arial" w:hAnsi="Arial" w:cs="Arial"/>
          <w:noProof/>
          <w:sz w:val="24"/>
          <w:szCs w:val="24"/>
        </w:rPr>
        <w:t>Lu, et al., 1995</w:t>
      </w:r>
      <w:r w:rsidRPr="004D0373">
        <w:rPr>
          <w:rFonts w:ascii="Arial" w:hAnsi="Arial" w:cs="Arial"/>
          <w:sz w:val="24"/>
          <w:szCs w:val="24"/>
        </w:rPr>
        <w:fldChar w:fldCharType="end"/>
      </w:r>
      <w:r w:rsidRPr="004D0373">
        <w:rPr>
          <w:rFonts w:ascii="Arial" w:hAnsi="Arial" w:cs="Arial"/>
          <w:sz w:val="24"/>
          <w:szCs w:val="24"/>
        </w:rPr>
        <w:t xml:space="preserve">; 16.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"Lu", "given" : "Houyuan", "non-dropping-particle" : "", "parse-names" : false, "suffix" : "" }, { "dropping-particle" : "", "family" : "Wu", "given" : "N", "non-dropping-particle" : "", "parse-names" : false, "suffix" : "" }, { "dropping-particle" : "", "family" : "Yang", "given" : "X D", "non-dropping-particle" : "", "parse-names" : false, "suffix" : "" }, { "dropping-particle" : "", "family" : "Jiang", "given" : "H", "non-dropping-particle" : "", "parse-names" : false, "suffix" : "" }, { "dropping-particle" : "", "family" : "Liu", "given" : "K", "non-dropping-particle" : "", "parse-names" : false, "suffix" : "" }, { "dropping-particle" : "", "family" : "Liu", "given" : "T S", "non-dropping-particle" : "", "parse-names" : false, "suffix" : "" } ], "container-title" : "Quaternary Science Reviews", "id" : "ITEM-1", "issued" : { "date-parts" : [ [ "2006" ] ] }, "page" : "945-959", "title" : "Phytoliths as quantitative indicators for the reconstruction of past environmental conditions in China I: phytolith-based transfer functions", "type" : "article-journal", "volume" : "25" }, "uris" : [ "http://www.mendeley.com/documents/?uuid=00ede464-352d-4c02-a4f3-207ceffddc14" ] } ], "mendeley" : { "formattedCitation" : "(Lu et al., 2006)", "manualFormatting" : "Lu et al., 2006", "plainTextFormattedCitation" : "(Lu et al., 2006)", "previouslyFormattedCitation" : "(Lu et al., 2006)"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Lu et al., 2006</w:t>
      </w:r>
      <w:r w:rsidRPr="004D0373">
        <w:rPr>
          <w:rFonts w:ascii="Arial" w:hAnsi="Arial" w:cs="Arial"/>
          <w:sz w:val="24"/>
          <w:szCs w:val="24"/>
        </w:rPr>
        <w:fldChar w:fldCharType="end"/>
      </w:r>
      <w:r w:rsidRPr="004D0373">
        <w:rPr>
          <w:rFonts w:ascii="Arial" w:hAnsi="Arial" w:cs="Arial"/>
          <w:sz w:val="24"/>
          <w:szCs w:val="24"/>
        </w:rPr>
        <w:t xml:space="preserve">; 17.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"Chaffey", "given" : "N", "non-dropping-particle" : "", "parse-names" : false, "suffix" : "" } ], "container-title" : "Annals of Botany", "id" : "ITEM-1", "issued" : { "date-parts" : [ [ "1983" ] ] }, "page" : "13-21", "title" : "Epidermal structure in the ligule of rice (Oryza sativa L.)", "type" : "article-journal", "volume" : "52" }, "uris" : [ "http://www.mendeley.com/documents/?uuid=c36fffc8-9365-456d-bc3d-f16ffe9ca149" ] } ], "mendeley" : { "formattedCitation" : "(Chaffey, 1983)", "manualFormatting" : "Chaffey, 1983", "plainTextFormattedCitation" : "(Chaffey, 1983)", "previouslyFormattedCitation" : "(Chaffey, 1983)"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Chaffey, 1983</w:t>
      </w:r>
      <w:r w:rsidRPr="004D0373">
        <w:rPr>
          <w:rFonts w:ascii="Arial" w:hAnsi="Arial" w:cs="Arial"/>
          <w:sz w:val="24"/>
          <w:szCs w:val="24"/>
        </w:rPr>
        <w:fldChar w:fldCharType="end"/>
      </w:r>
      <w:r w:rsidRPr="004D0373">
        <w:rPr>
          <w:rFonts w:ascii="Arial" w:hAnsi="Arial" w:cs="Arial"/>
          <w:sz w:val="24"/>
          <w:szCs w:val="24"/>
        </w:rPr>
        <w:t>; 18.</w:t>
      </w:r>
      <w:r w:rsidR="006908A1">
        <w:rPr>
          <w:rFonts w:ascii="Arial" w:hAnsi="Arial" w:cs="Arial"/>
          <w:sz w:val="24"/>
          <w:szCs w:val="24"/>
        </w:rPr>
        <w:t xml:space="preserve"> Watling and Iriarte, 2013</w:t>
      </w:r>
      <w:r w:rsidRPr="004D0373">
        <w:rPr>
          <w:rFonts w:ascii="Arial" w:hAnsi="Arial" w:cs="Arial"/>
          <w:sz w:val="24"/>
          <w:szCs w:val="24"/>
        </w:rPr>
        <w:t xml:space="preserve">; 19.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"Tomlinson", "given" : "P B", "non-dropping-particle" : "", "parse-names" : false, "suffix" : "" } ], "id" : "ITEM-1", "issued" : { "date-parts" : [ [ "1961" ] ] }, "publisher" : "Oxford University Press", "publisher-place" : "London", "title" : "Anatomy of the Monocotyledons II: Palmae", "type" : "book" }, "uris" : [ "http://www.mendeley.com/documents/?uuid=0dacf73f-0617-4a84-a268-6e1d0ba5cd33" ] } ], "mendeley" : { "formattedCitation" : "(Tomlinson, 1961)", "manualFormatting" : "Tomlinson, 1961", "plainTextFormattedCitation" : "(Tomlinson, 1961)", "previouslyFormattedCitation" : "(Tomlinson, 1961)"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Tomlinson, 1961</w:t>
      </w:r>
      <w:r w:rsidRPr="004D0373">
        <w:rPr>
          <w:rFonts w:ascii="Arial" w:hAnsi="Arial" w:cs="Arial"/>
          <w:sz w:val="24"/>
          <w:szCs w:val="24"/>
        </w:rPr>
        <w:fldChar w:fldCharType="end"/>
      </w:r>
      <w:r w:rsidRPr="004D0373">
        <w:rPr>
          <w:rFonts w:ascii="Arial" w:hAnsi="Arial" w:cs="Arial"/>
          <w:sz w:val="24"/>
          <w:szCs w:val="24"/>
        </w:rPr>
        <w:t xml:space="preserve">; 20.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"Prychid", "given" : "Christina J", "non-dropping-particle" : "", "parse-names" : false, "suffix" : "" }, { "dropping-particle" : "", "family" : "Rudall", "given" : "Paula J", "non-dropping-particle" : "", "parse-names" : false, "suffix" : "" }, { "dropping-particle" : "", "family" : "Gregory", "given" : "Mary", "non-dropping-particle" : "", "parse-names" : false, "suffix" : "" } ], "container-title" : "Botanical Review", "id" : "ITEM-1", "issue" : "4", "issued" : { "date-parts" : [ [ "2003" ] ] }, "page" : "377-440", "title" : "Systematics and biology of silica bodies in monocotyledons", "type" : "article-journal", "volume" : "69" }, "uris" : [ "http://www.mendeley.com/documents/?uuid=f7722207-50c5-44e4-a86d-8733c692f673" ] } ], "mendeley" : { "formattedCitation" : "(Prychid et al., 2003)", "manualFormatting" : "Prychid et al., 2003", "plainTextFormattedCitation" : "(Prychid et al., 2003)", "previouslyFormattedCitation" : "(Prychid et al., 2003)"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Prychid et al., 2003</w:t>
      </w:r>
      <w:r w:rsidRPr="004D0373">
        <w:rPr>
          <w:rFonts w:ascii="Arial" w:hAnsi="Arial" w:cs="Arial"/>
          <w:sz w:val="24"/>
          <w:szCs w:val="24"/>
        </w:rPr>
        <w:fldChar w:fldCharType="end"/>
      </w:r>
      <w:r w:rsidRPr="004D0373">
        <w:rPr>
          <w:rFonts w:ascii="Arial" w:hAnsi="Arial" w:cs="Arial"/>
          <w:sz w:val="24"/>
          <w:szCs w:val="24"/>
        </w:rPr>
        <w:t xml:space="preserve">; 21.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"Ollendorf", "given" : "A L", "non-dropping-particle" : "", "parse-names" : false, "suffix" : "" } ], "container-title" : "Phytolith Systematics: Emerging Issues", "id" : "ITEM-1", "issued" : { "date-parts" : [ [ "1992" ] ] }, "page" : "91-111", "publisher" : "Plenum Press", "publisher-place" : "New York", "title" : "Toward a classification cheme of sedge (Cyperaeae) phytoliths", "type" : "chapter" }, "uris" : [ "http://www.mendeley.com/documents/?uuid=d2a20690-f1df-4c2d-97b1-7874e7f3d6c6" ] } ], "mendeley" : { "formattedCitation" : "(Ollendorf, 1992)", "manualFormatting" : "Ollendorf, 1992", "plainTextFormattedCitation" : "(Ollendorf, 1992)", "previouslyFormattedCitation" : "(Ollendorf, 1992)"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Ollendorf, 1992</w:t>
      </w:r>
      <w:r w:rsidRPr="004D0373">
        <w:rPr>
          <w:rFonts w:ascii="Arial" w:hAnsi="Arial" w:cs="Arial"/>
          <w:sz w:val="24"/>
          <w:szCs w:val="24"/>
        </w:rPr>
        <w:fldChar w:fldCharType="end"/>
      </w:r>
      <w:r w:rsidRPr="004D0373">
        <w:rPr>
          <w:rFonts w:ascii="Arial" w:hAnsi="Arial" w:cs="Arial"/>
          <w:sz w:val="24"/>
          <w:szCs w:val="24"/>
        </w:rPr>
        <w:t xml:space="preserve">; 22.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"Honaine", "given" : "Mariana Fern\u00e1ndez", "non-dropping-particle" : "", "parse-names" : false, "suffix" : "" }, { "dropping-particle" : "", "family" : "Zucol", "given" : "Alejandro Fabi\u00e1n", "non-dropping-particle" : "", "parse-names" : false, "suffix" : "" }, { "dropping-particle" : "", "family" : "Osterrieth", "given" : "Margarita L", "non-dropping-particle" : "", "parse-names" : false, "suffix" : "" } ], "container-title" : "Australian Journal of Botany", "id" : "ITEM-1", "issued" : { "date-parts" : [ [ "2009" ] ] }, "page" : "512-523", "title" : "Phytolith analysis of Cyperaceae from the Pampean region, Argentina", "type" : "article-journal", "volume" : "57" }, "uris" : [ "http://www.mendeley.com/documents/?uuid=1973ece1-6f51-40f0-9a34-4e37b5871c78" ] } ], "mendeley" : { "formattedCitation" : "(Honaine et al., 2009)", "manualFormatting" : "Honaine et al., 2009", "plainTextFormattedCitation" : "(Honaine et al., 2009)", "previouslyFormattedCitation" : "(Honaine et al., 2009)"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Honaine et al., 2009</w:t>
      </w:r>
      <w:r w:rsidRPr="004D0373">
        <w:rPr>
          <w:rFonts w:ascii="Arial" w:hAnsi="Arial" w:cs="Arial"/>
          <w:sz w:val="24"/>
          <w:szCs w:val="24"/>
        </w:rPr>
        <w:fldChar w:fldCharType="end"/>
      </w:r>
      <w:r w:rsidRPr="004D0373">
        <w:rPr>
          <w:rFonts w:ascii="Arial" w:hAnsi="Arial" w:cs="Arial"/>
          <w:sz w:val="24"/>
          <w:szCs w:val="24"/>
        </w:rPr>
        <w:t xml:space="preserve">; 23.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"Metcalfe", "given" : "C R", "non-dropping-particle" : "", "parse-names" : false, "suffix" : "" } ], "id" : "ITEM-1", "issued" : { "date-parts" : [ [ "1971" ] ] }, "publisher" : "Clarendon Press", "publisher-place" : "Oxford", "title" : "Anatomy of the Monocotyledons V: Cyperaceae", "type" : "book" }, "uris" : [ "http://www.mendeley.com/documents/?uuid=dab3bc32-8577-4078-ba52-13dcbf29e397" ] } ], "mendeley" : { "formattedCitation" : "(Metcalfe, 1971)", "manualFormatting" : "Metcalfe, 1971", "plainTextFormattedCitation" : "(Metcalfe, 1971)", "previouslyFormattedCitation" : "(Metcalfe, 1971)"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Metcalfe, 1971</w:t>
      </w:r>
      <w:r w:rsidRPr="004D0373">
        <w:rPr>
          <w:rFonts w:ascii="Arial" w:hAnsi="Arial" w:cs="Arial"/>
          <w:sz w:val="24"/>
          <w:szCs w:val="24"/>
        </w:rPr>
        <w:fldChar w:fldCharType="end"/>
      </w:r>
      <w:r w:rsidRPr="004D0373">
        <w:rPr>
          <w:rFonts w:ascii="Arial" w:hAnsi="Arial" w:cs="Arial"/>
          <w:sz w:val="24"/>
          <w:szCs w:val="24"/>
        </w:rPr>
        <w:t xml:space="preserve">; 24.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"DOI" : "10.1016/S0034-6667(03)00003-4", "ISSN" : "00346667", "author" : [ { "dropping-particle" : "", "family" : "Wallis", "given" : "Lynley", "non-dropping-particle" : "", "parse-names" : false, "suffix" : "" } ], "container-title" : "Review of Palaeobotany and Palynology", "id" : "ITEM-1", "issue" : "3-4", "issued" : { "date-parts" : [ [ "2003", "7" ] ] }, "page" : "201-248", "title" : "An overview of leaf phytolith production patterns in selected northwest Australian flora", "type" : "article-journal", "volume" : "125" }, "uris" : [ "http://www.mendeley.com/documents/?uuid=29648eb9-6aa8-4017-9732-4ab2c50752f5" ] } ], "mendeley" : { "formattedCitation" : "(Wallis, 2003)", "manualFormatting" : "Wallis, 2003", "plainTextFormattedCitation" : "(Wallis, 2003)", "previouslyFormattedCitation" : "(Wallis, 2003)"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Wallis, 2003</w:t>
      </w:r>
      <w:r w:rsidRPr="004D0373">
        <w:rPr>
          <w:rFonts w:ascii="Arial" w:hAnsi="Arial" w:cs="Arial"/>
          <w:sz w:val="24"/>
          <w:szCs w:val="24"/>
        </w:rPr>
        <w:fldChar w:fldCharType="end"/>
      </w:r>
      <w:r w:rsidRPr="004D0373">
        <w:rPr>
          <w:rFonts w:ascii="Arial" w:hAnsi="Arial" w:cs="Arial"/>
          <w:sz w:val="24"/>
          <w:szCs w:val="24"/>
        </w:rPr>
        <w:t xml:space="preserve">; 25.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"DOI" : "10.1016/0034-6667(89)90067-5", "ISSN" : "00346667", "author" : [ { "dropping-particle" : "", "family" : "Piperno", "given" : "Dolores R.", "non-dropping-particle" : "", "parse-names" : false, "suffix" : "" } ], "container-title" : "Review of Palaeobotany and Palynology", "id" : "ITEM-1", "issue" : "1-2", "issued" : { "date-parts" : [ [ "1989", "10" ] ] }, "page" : "147-173", "title" : "The occurrence of phytoliths in the reproductive structures of selected tropical angiosperms and their significance in tropical paleoecology, paleoethnobotany and systematics", "type" : "article-journal", "volume" : "61" }, "uris" : [ "http://www.mendeley.com/documents/?uuid=68bfa989-f3c1-458c-bb65-12c5ea94091f" ] } ], "mendeley" : { "formattedCitation" : "(Piperno, 1989)", "manualFormatting" : "Piperno, 1989", "plainTextFormattedCitation" : "(Piperno, 1989)", "previouslyFormattedCitation" : "(Piperno, 1989)"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Piperno, 1989</w:t>
      </w:r>
      <w:r w:rsidRPr="004D0373">
        <w:rPr>
          <w:rFonts w:ascii="Arial" w:hAnsi="Arial" w:cs="Arial"/>
          <w:sz w:val="24"/>
          <w:szCs w:val="24"/>
        </w:rPr>
        <w:fldChar w:fldCharType="end"/>
      </w:r>
      <w:r w:rsidRPr="004D0373">
        <w:rPr>
          <w:rFonts w:ascii="Arial" w:hAnsi="Arial" w:cs="Arial"/>
          <w:sz w:val="24"/>
          <w:szCs w:val="24"/>
        </w:rPr>
        <w:t xml:space="preserve">; 26.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"DOI" : "10.1016/S0034-6667(99)00018-4", "ISSN" : "00346667", "author" : [ { "dropping-particle" : "", "family" : "Runge", "given" : "Freya", "non-dropping-particle" : "", "parse-names" : false, "suffix" : "" } ], "container-title" : "Review of Palaeobotany and Palynology", "id" : "ITEM-1", "issue" : "1-2", "issued" : { "date-parts" : [ [ "1999", "9" ] ] }, "page" : "23-53", "title" : "The opal phytolith inventory of soils in central Africa \u2014quantities, shapes, classification, and spectra", "type" : "article-journal", "volume" : "107" }, "uris" : [ "http://www.mendeley.com/documents/?uuid=2c32aea2-a29e-4b1a-a8f1-5d4be495b29f" ] } ], "mendeley" : { "formattedCitation" : "(Runge, 1999)", "manualFormatting" : "Runge, 1999", "plainTextFormattedCitation" : "(Runge, 1999)", "previouslyFormattedCitation" : "(Runge, 1999)"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Runge, 1999</w:t>
      </w:r>
      <w:r w:rsidRPr="004D0373">
        <w:rPr>
          <w:rFonts w:ascii="Arial" w:hAnsi="Arial" w:cs="Arial"/>
          <w:sz w:val="24"/>
          <w:szCs w:val="24"/>
        </w:rPr>
        <w:fldChar w:fldCharType="end"/>
      </w:r>
      <w:r w:rsidRPr="004D0373">
        <w:rPr>
          <w:rFonts w:ascii="Arial" w:hAnsi="Arial" w:cs="Arial"/>
          <w:sz w:val="24"/>
          <w:szCs w:val="24"/>
        </w:rPr>
        <w:t xml:space="preserve">; 27.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"Tomlinson", "given" : "P B", "non-dropping-particle" : "", "parse-names" : false, "suffix" : "" } ], "id" : "ITEM-1", "issued" : { "date-parts" : [ [ "1961" ] ] }, "publisher" : "Oxford University Press", "publisher-place" : "London", "title" : "Anatomy of the Monocotyledons II: Palmae", "type" : "book" }, "uris" : [ "http://www.mendeley.com/documents/?uuid=0dacf73f-0617-4a84-a268-6e1d0ba5cd33" ] } ], "mendeley" : { "formattedCitation" : "(Tomlinson, 1961)", "manualFormatting" : "Tomlinson, 1961", "plainTextFormattedCitation" : "(Tomlinson, 1961)", "previouslyFormattedCitation" : "(Tomlinson, 1961)"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Tomlinson, 1961</w:t>
      </w:r>
      <w:r w:rsidRPr="004D0373">
        <w:rPr>
          <w:rFonts w:ascii="Arial" w:hAnsi="Arial" w:cs="Arial"/>
          <w:sz w:val="24"/>
          <w:szCs w:val="24"/>
        </w:rPr>
        <w:fldChar w:fldCharType="end"/>
      </w:r>
      <w:r w:rsidRPr="004D0373">
        <w:rPr>
          <w:rFonts w:ascii="Arial" w:hAnsi="Arial" w:cs="Arial"/>
          <w:sz w:val="24"/>
          <w:szCs w:val="24"/>
        </w:rPr>
        <w:t xml:space="preserve">; 28.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"Bozarth", "given" : "S R", "non-dropping-particle" : "", "parse-names" : false, "suffix" : "" }, { "dropping-particle" : "", "family" : "Price", "given" : "K", "non-dropping-particle" : "", "parse-names" : false, "suffix" : "" }, { "dropping-particle" : "", "family" : "Woods", "given" : "W I", "non-dropping-particle" : "", "parse-names" : false, "suffix" : "" }, { "dropping-particle" : "", "family" : "Neves", "given" : "E G", "non-dropping-particle" : "", "parse-names" : false, "suffix" : "" }, { "dropping-particle" : "", "family" : "Rebellato", "given" : "R", "non-dropping-particle" : "", "parse-names" : false, "suffix" : "" } ], "container-title" : "Amazonian Dark Earths: Will Sombroek's Vision", "editor" : [ { "dropping-particle" : "", "family" : "Woods", "given" : "W I", "non-dropping-particle" : "", "parse-names" : false, "suffix" : "" }, { "dropping-particle" : "", "family" : "Teixers", "given" : "W G", "non-dropping-particle" : "", "parse-names" : false, "suffix" : "" }, { "dropping-particle" : "", "family" : "Lehmann", "given" : "J", "non-dropping-particle" : "", "parse-names" : false, "suffix" : "" }, { "dropping-particle" : "", "family" : "Steiner", "given" : "C", "non-dropping-particle" : "", "parse-names" : false, "suffix" : "" }, { "dropping-particle" : "", "family" : "WinklerPrins", "given" : "A M G A", "non-dropping-particle" : "", "parse-names" : false, "suffix" : "" }, { "dropping-particle" : "", "family" : "Rebellato", "given" : "L", "non-dropping-particle" : "", "parse-names" : false, "suffix" : "" } ], "id" : "ITEM-1", "issued" : { "date-parts" : [ [ "2009" ] ] }, "page" : "85-98", "publisher" : "Springer", "publisher-place" : "New York", "title" : "Phytoliths and Terra Preta: the Hatahara site example", "type" : "chapter" }, "uris" : [ "http://www.mendeley.com/documents/?uuid=3fd045a0-32e1-4ee8-a06b-3803421f5a6c" ] } ], "mendeley" : { "formattedCitation" : "(Bozarth et al., 2009)", "manualFormatting" : "Bozarth et al., 2009", "plainTextFormattedCitation" : "(Bozarth et al., 2009)", "previouslyFormattedCitation" : "(Bozarth et al., 2009)"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Bozarth et al., 2009</w:t>
      </w:r>
      <w:r w:rsidRPr="004D0373">
        <w:rPr>
          <w:rFonts w:ascii="Arial" w:hAnsi="Arial" w:cs="Arial"/>
          <w:sz w:val="24"/>
          <w:szCs w:val="24"/>
        </w:rPr>
        <w:fldChar w:fldCharType="end"/>
      </w:r>
      <w:r w:rsidRPr="004D0373">
        <w:rPr>
          <w:rFonts w:ascii="Arial" w:hAnsi="Arial" w:cs="Arial"/>
          <w:sz w:val="24"/>
          <w:szCs w:val="24"/>
        </w:rPr>
        <w:t xml:space="preserve">; 29. Dickau et al., 2013; 30.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"Amos", "given" : "G L", "non-dropping-particle" : "", "parse-names" : false, "suffix" : "" } ], "container-title" : "Bulletin No. 267. Commonwealth Scientific and Industrial Research Organization, Melbourne", "id" : "ITEM-1", "issued" : { "date-parts" : [ [ "1952" ] ] }, "title" : "Silica in Timbers", "type" : "article-journal" }, "uris" : [ "http://www.mendeley.com/documents/?uuid=de5eb22b-ec0b-4631-9be7-30b4041517be" ] } ], "mendeley" : { "formattedCitation" : "(Amos, 1952)", "manualFormatting" : "Amos, 1952", "plainTextFormattedCitation" : "(Amos, 1952)", "previouslyFormattedCitation" : "(Amos, 1952)"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Amos, 1952</w:t>
      </w:r>
      <w:r w:rsidRPr="004D0373">
        <w:rPr>
          <w:rFonts w:ascii="Arial" w:hAnsi="Arial" w:cs="Arial"/>
          <w:sz w:val="24"/>
          <w:szCs w:val="24"/>
        </w:rPr>
        <w:fldChar w:fldCharType="end"/>
      </w:r>
      <w:r w:rsidRPr="004D0373">
        <w:rPr>
          <w:rFonts w:ascii="Arial" w:hAnsi="Arial" w:cs="Arial"/>
          <w:sz w:val="24"/>
          <w:szCs w:val="24"/>
        </w:rPr>
        <w:t xml:space="preserve">; 31.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"Scurfield", "given" : "G", "non-dropping-particle" : "", "parse-names" : false, "suffix" : "" }, { "dropping-particle" : "", "family" : "Anderson", "given" : "C A", "non-dropping-particle" : "", "parse-names" : false, "suffix" : "" }, { "dropping-particle" : "", "family" : "Segnit", "given" : "E R", "non-dropping-particle" : "", "parse-names" : false, "suffix" : "" } ], "container-title" : "Journal of Botany", "id" : "ITEM-1", "issued" : { "date-parts" : [ [ "1974" ] ] }, "page" : "211-229", "title" : "Silica in woody stems", "type" : "article-journal", "volume" : "22" }, "uris" : [ "http://www.mendeley.com/documents/?uuid=f4d4a43f-e5f4-4021-8b2c-5ea949a741e3" ] } ], "mendeley" : { "formattedCitation" : "(Scurfield et al., 1974)", "manualFormatting" : "Scurfield et al., 1974", "plainTextFormattedCitation" : "(Scurfield et al., 1974)", "previouslyFormattedCitation" : "(Scurfield et al., 1974)"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Scurfield et al., 1974</w:t>
      </w:r>
      <w:r w:rsidRPr="004D0373">
        <w:rPr>
          <w:rFonts w:ascii="Arial" w:hAnsi="Arial" w:cs="Arial"/>
          <w:sz w:val="24"/>
          <w:szCs w:val="24"/>
        </w:rPr>
        <w:fldChar w:fldCharType="end"/>
      </w:r>
      <w:r w:rsidRPr="004D0373">
        <w:rPr>
          <w:rFonts w:ascii="Arial" w:hAnsi="Arial" w:cs="Arial"/>
          <w:sz w:val="24"/>
          <w:szCs w:val="24"/>
        </w:rPr>
        <w:t xml:space="preserve">; 32.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"author" : [ { "dropping-particle" : "", "family" : "Bozarth", "given" : "Steven R", "non-dropping-particle" : "", "parse-names" : false, "suffix" : "" } ], "container-title" : "Phytolith Systematics: Emerging Issues", "editor" : [ { "dropping-particle" : "", "family" : "Mulholland", "given" : "S C", "non-dropping-particle" : "", "parse-names" : false, "suffix" : "" }, { "dropping-particle" : "", "family" : "Rapp Jr.", "given" : "G", "non-dropping-particle" : "", "parse-names" : false, "suffix" : "" } ], "id" : "ITEM-1", "issued" : { "date-parts" : [ [ "1992" ] ] }, "page" : "193-214", "publisher" : "Plenum Press", "publisher-place" : "New York", "title" : "Classification of opal phytoliths formed in selected dicotyledons native to the Great Plains", "type" : "chapter" }, "uris" : [ "http://www.mendeley.com/documents/?uuid=13a1202b-e3af-4152-a611-22866488a2e8" ] } ], "mendeley" : { "formattedCitation" : "(Bozarth, 1992)", "manualFormatting" : "Bozarth, 1992", "plainTextFormattedCitation" : "(Bozarth, 1992)", "previouslyFormattedCitation" : "(Bozarth, 1992)"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Bozarth, 1992</w:t>
      </w:r>
      <w:r w:rsidRPr="004D0373">
        <w:rPr>
          <w:rFonts w:ascii="Arial" w:hAnsi="Arial" w:cs="Arial"/>
          <w:sz w:val="24"/>
          <w:szCs w:val="24"/>
        </w:rPr>
        <w:fldChar w:fldCharType="end"/>
      </w:r>
      <w:r w:rsidRPr="004D0373">
        <w:rPr>
          <w:rFonts w:ascii="Arial" w:hAnsi="Arial" w:cs="Arial"/>
          <w:sz w:val="24"/>
          <w:szCs w:val="24"/>
        </w:rPr>
        <w:t xml:space="preserve">; 33. </w:t>
      </w:r>
      <w:r w:rsidR="00CC2516" w:rsidRPr="00CC5FD9">
        <w:rPr>
          <w:rFonts w:ascii="Arial" w:hAnsi="Arial" w:cs="Arial"/>
          <w:noProof/>
          <w:sz w:val="24"/>
          <w:szCs w:val="24"/>
        </w:rPr>
        <w:t>Strömberg</w:t>
      </w:r>
      <w:r w:rsidR="00CC2516">
        <w:rPr>
          <w:rFonts w:ascii="Arial" w:hAnsi="Arial" w:cs="Arial"/>
          <w:noProof/>
          <w:sz w:val="24"/>
          <w:szCs w:val="24"/>
        </w:rPr>
        <w:t>, 2003; 34.</w:t>
      </w:r>
      <w:r w:rsidRPr="004D0373">
        <w:rPr>
          <w:rFonts w:ascii="Arial" w:hAnsi="Arial" w:cs="Arial"/>
          <w:sz w:val="24"/>
          <w:szCs w:val="24"/>
        </w:rPr>
        <w:t xml:space="preserve"> </w:t>
      </w:r>
      <w:r w:rsidRPr="004D0373">
        <w:rPr>
          <w:rFonts w:ascii="Arial" w:hAnsi="Arial" w:cs="Arial"/>
          <w:sz w:val="24"/>
          <w:szCs w:val="24"/>
        </w:rPr>
        <w:fldChar w:fldCharType="begin" w:fldLock="1"/>
      </w:r>
      <w:r w:rsidR="00CC2516">
        <w:rPr>
          <w:rFonts w:ascii="Arial" w:hAnsi="Arial" w:cs="Arial"/>
          <w:sz w:val="24"/>
          <w:szCs w:val="24"/>
        </w:rPr>
        <w:instrText>ADDIN CSL_CITATION { "citationItems" : [ { "id" : "ITEM-1", "itemData" : { "DOI" : "10.1016/j.palaeo.2003.09.028", "ISSN" : "00310182", "author" : [ { "dropping-particle" : "", "family" : "Str\u00f6mberg", "given" : "C E", "non-dropping-particle" : "", "parse-names" : false, "suffix" : "" } ], "container-title" : "Palaeogeography, Palaeoclimatology, Palaeoecology", "id" : "ITEM-1", "issue" : "3-4", "issued" : { "date-parts" : [ [ "2004", "5" ] ] }, "page" : "239-275", "title" : "Using phytolith assemblages to reconstruct the origin and spread of grass-dominated habitats in the great plains of North America during the late Eocene to early Miocene", "type" : "article-journal", "volume" : "207" }, "uris" : [ "http://www.mendeley.com/documents/?uuid=8bb326dd-400d-48d3-93d1-5b0bf8066f27" ] } ], "mendeley" : { "formattedCitation" : "(Str\u00f6mberg, 2004)", "manualFormatting" : "Str\u00f6mberg, 2004", "plainTextFormattedCitation" : "(Str\u00f6mberg, 2004)", "previouslyFormattedCitation" : "(Str\u00f6mberg, 2004)" }, "properties" : { "noteIndex" : 0 }, "schema" : "https://github.com/citation-style-language/schema/raw/master/csl-citation.json" }</w:instrText>
      </w:r>
      <w:r w:rsidRPr="004D0373">
        <w:rPr>
          <w:rFonts w:ascii="Arial" w:hAnsi="Arial" w:cs="Arial"/>
          <w:sz w:val="24"/>
          <w:szCs w:val="24"/>
        </w:rPr>
        <w:fldChar w:fldCharType="separate"/>
      </w:r>
      <w:r w:rsidR="00CC5FD9" w:rsidRPr="00CC5FD9">
        <w:rPr>
          <w:rFonts w:ascii="Arial" w:hAnsi="Arial" w:cs="Arial"/>
          <w:noProof/>
          <w:sz w:val="24"/>
          <w:szCs w:val="24"/>
        </w:rPr>
        <w:t>Strömberg, 2004</w:t>
      </w:r>
      <w:r w:rsidRPr="004D0373">
        <w:rPr>
          <w:rFonts w:ascii="Arial" w:hAnsi="Arial" w:cs="Arial"/>
          <w:sz w:val="24"/>
          <w:szCs w:val="24"/>
        </w:rPr>
        <w:fldChar w:fldCharType="end"/>
      </w:r>
      <w:r w:rsidR="00CC2516">
        <w:rPr>
          <w:rFonts w:ascii="Arial" w:hAnsi="Arial" w:cs="Arial"/>
          <w:sz w:val="24"/>
          <w:szCs w:val="24"/>
        </w:rPr>
        <w:t>; 35. Sase and Hosono, 2001</w:t>
      </w:r>
    </w:p>
    <w:p w:rsidR="00513CB5" w:rsidRPr="004D0373" w:rsidRDefault="00513CB5" w:rsidP="00513CB5">
      <w:pPr>
        <w:rPr>
          <w:rFonts w:ascii="Arial" w:hAnsi="Arial" w:cs="Arial"/>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4D0373" w:rsidRDefault="004D0373" w:rsidP="00513CB5">
      <w:pPr>
        <w:rPr>
          <w:rFonts w:ascii="Arial" w:hAnsi="Arial" w:cs="Arial"/>
          <w:b/>
          <w:sz w:val="24"/>
          <w:szCs w:val="24"/>
        </w:rPr>
      </w:pPr>
    </w:p>
    <w:p w:rsidR="006252A4" w:rsidRDefault="006252A4" w:rsidP="00513CB5">
      <w:pPr>
        <w:rPr>
          <w:rFonts w:ascii="Arial" w:hAnsi="Arial" w:cs="Arial"/>
          <w:b/>
          <w:sz w:val="24"/>
          <w:szCs w:val="24"/>
        </w:rPr>
      </w:pPr>
    </w:p>
    <w:p w:rsidR="00513CB5" w:rsidRDefault="0032360C" w:rsidP="00513CB5">
      <w:pPr>
        <w:rPr>
          <w:rFonts w:ascii="Arial" w:hAnsi="Arial" w:cs="Arial"/>
          <w:sz w:val="24"/>
          <w:szCs w:val="24"/>
        </w:rPr>
      </w:pPr>
      <w:r w:rsidRPr="004D0373">
        <w:rPr>
          <w:rFonts w:ascii="Arial" w:hAnsi="Arial" w:cs="Arial"/>
          <w:b/>
          <w:sz w:val="24"/>
          <w:szCs w:val="24"/>
        </w:rPr>
        <w:t>Plate I</w:t>
      </w:r>
      <w:r w:rsidR="00513CB5" w:rsidRPr="004D0373">
        <w:rPr>
          <w:rFonts w:ascii="Arial" w:hAnsi="Arial" w:cs="Arial"/>
          <w:b/>
          <w:sz w:val="24"/>
          <w:szCs w:val="24"/>
        </w:rPr>
        <w:t>:</w:t>
      </w:r>
      <w:r w:rsidR="00513CB5" w:rsidRPr="004D0373">
        <w:rPr>
          <w:rFonts w:ascii="Arial" w:hAnsi="Arial" w:cs="Arial"/>
          <w:sz w:val="24"/>
          <w:szCs w:val="24"/>
        </w:rPr>
        <w:t xml:space="preserve"> </w:t>
      </w:r>
      <w:r w:rsidRPr="004D0373">
        <w:rPr>
          <w:rFonts w:ascii="Arial" w:hAnsi="Arial" w:cs="Arial"/>
          <w:sz w:val="24"/>
          <w:szCs w:val="24"/>
        </w:rPr>
        <w:t>Plate of selected phytolith morphotypes encountered in the study</w:t>
      </w:r>
      <w:r w:rsidR="00513CB5" w:rsidRPr="004D0373">
        <w:rPr>
          <w:rFonts w:ascii="Arial" w:hAnsi="Arial" w:cs="Arial"/>
          <w:sz w:val="24"/>
          <w:szCs w:val="24"/>
        </w:rPr>
        <w:t xml:space="preserve"> </w:t>
      </w:r>
    </w:p>
    <w:p w:rsidR="006252A4" w:rsidRDefault="006252A4" w:rsidP="00513CB5">
      <w:pPr>
        <w:rPr>
          <w:rFonts w:ascii="Arial" w:hAnsi="Arial" w:cs="Arial"/>
          <w:sz w:val="24"/>
          <w:szCs w:val="24"/>
        </w:rPr>
      </w:pPr>
    </w:p>
    <w:p w:rsidR="006252A4" w:rsidRP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extent cx="5759450" cy="72250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te I. Phytolith plate.ep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9450" cy="7225030"/>
                    </a:xfrm>
                    <a:prstGeom prst="rect">
                      <a:avLst/>
                    </a:prstGeom>
                  </pic:spPr>
                </pic:pic>
              </a:graphicData>
            </a:graphic>
          </wp:inline>
        </w:drawing>
      </w:r>
    </w:p>
    <w:p w:rsidR="006252A4" w:rsidRDefault="006252A4" w:rsidP="00513CB5">
      <w:pPr>
        <w:rPr>
          <w:rFonts w:ascii="Arial" w:hAnsi="Arial" w:cs="Arial"/>
          <w:sz w:val="24"/>
          <w:szCs w:val="24"/>
        </w:rPr>
      </w:pPr>
    </w:p>
    <w:p w:rsidR="00513CB5" w:rsidRPr="004D0373" w:rsidRDefault="00513CB5" w:rsidP="00513CB5">
      <w:pPr>
        <w:rPr>
          <w:rFonts w:ascii="Arial" w:hAnsi="Arial" w:cs="Arial"/>
          <w:sz w:val="24"/>
          <w:szCs w:val="24"/>
        </w:rPr>
      </w:pPr>
      <w:r w:rsidRPr="004D0373">
        <w:rPr>
          <w:rFonts w:ascii="Arial" w:hAnsi="Arial" w:cs="Arial"/>
          <w:sz w:val="24"/>
          <w:szCs w:val="24"/>
        </w:rPr>
        <w:t xml:space="preserve">Caption for </w:t>
      </w:r>
      <w:r w:rsidR="004D0373">
        <w:rPr>
          <w:rFonts w:ascii="Arial" w:hAnsi="Arial" w:cs="Arial"/>
          <w:sz w:val="24"/>
          <w:szCs w:val="24"/>
        </w:rPr>
        <w:t>Plate I</w:t>
      </w:r>
      <w:r w:rsidRPr="004D0373">
        <w:rPr>
          <w:rFonts w:ascii="Arial" w:hAnsi="Arial" w:cs="Arial"/>
          <w:sz w:val="24"/>
          <w:szCs w:val="24"/>
        </w:rPr>
        <w:t>:</w:t>
      </w:r>
    </w:p>
    <w:p w:rsidR="00513CB5" w:rsidRPr="004D0373" w:rsidRDefault="00A154CC" w:rsidP="00513CB5">
      <w:pPr>
        <w:rPr>
          <w:rFonts w:ascii="Arial" w:hAnsi="Arial" w:cs="Arial"/>
          <w:i/>
          <w:sz w:val="24"/>
          <w:szCs w:val="24"/>
        </w:rPr>
      </w:pPr>
      <w:r>
        <w:rPr>
          <w:rFonts w:ascii="Arial" w:hAnsi="Arial" w:cs="Arial"/>
          <w:sz w:val="24"/>
          <w:szCs w:val="24"/>
        </w:rPr>
        <w:t>1</w:t>
      </w:r>
      <w:r w:rsidR="00513CB5" w:rsidRPr="004D0373">
        <w:rPr>
          <w:rFonts w:ascii="Arial" w:hAnsi="Arial" w:cs="Arial"/>
          <w:sz w:val="24"/>
          <w:szCs w:val="24"/>
        </w:rPr>
        <w:t xml:space="preserve">. Tall/collapsed saddle; </w:t>
      </w:r>
      <w:r>
        <w:rPr>
          <w:rFonts w:ascii="Arial" w:hAnsi="Arial" w:cs="Arial"/>
          <w:sz w:val="24"/>
          <w:szCs w:val="24"/>
        </w:rPr>
        <w:t>2</w:t>
      </w:r>
      <w:r w:rsidR="00513CB5" w:rsidRPr="004D0373">
        <w:rPr>
          <w:rFonts w:ascii="Arial" w:hAnsi="Arial" w:cs="Arial"/>
          <w:sz w:val="24"/>
          <w:szCs w:val="24"/>
        </w:rPr>
        <w:t>. Olyrea</w:t>
      </w:r>
      <w:r>
        <w:rPr>
          <w:rFonts w:ascii="Arial" w:hAnsi="Arial" w:cs="Arial"/>
          <w:sz w:val="24"/>
          <w:szCs w:val="24"/>
        </w:rPr>
        <w:t>e</w:t>
      </w:r>
      <w:r w:rsidR="00513CB5" w:rsidRPr="004D0373">
        <w:rPr>
          <w:rFonts w:ascii="Arial" w:hAnsi="Arial" w:cs="Arial"/>
          <w:sz w:val="24"/>
          <w:szCs w:val="24"/>
        </w:rPr>
        <w:t xml:space="preserve"> irregular/complex body; </w:t>
      </w:r>
      <w:r>
        <w:rPr>
          <w:rFonts w:ascii="Arial" w:hAnsi="Arial" w:cs="Arial"/>
          <w:sz w:val="24"/>
          <w:szCs w:val="24"/>
        </w:rPr>
        <w:t>3</w:t>
      </w:r>
      <w:r w:rsidR="00513CB5" w:rsidRPr="004D0373">
        <w:rPr>
          <w:rFonts w:ascii="Arial" w:hAnsi="Arial" w:cs="Arial"/>
          <w:sz w:val="24"/>
          <w:szCs w:val="24"/>
        </w:rPr>
        <w:t xml:space="preserve">. Bamboo bulliform; </w:t>
      </w:r>
      <w:r>
        <w:rPr>
          <w:rFonts w:ascii="Arial" w:hAnsi="Arial" w:cs="Arial"/>
          <w:sz w:val="24"/>
          <w:szCs w:val="24"/>
        </w:rPr>
        <w:t>4</w:t>
      </w:r>
      <w:r w:rsidR="00513CB5" w:rsidRPr="004D0373">
        <w:rPr>
          <w:rFonts w:ascii="Arial" w:hAnsi="Arial" w:cs="Arial"/>
          <w:sz w:val="24"/>
          <w:szCs w:val="24"/>
        </w:rPr>
        <w:t xml:space="preserve">. UID (poac) </w:t>
      </w:r>
      <w:r>
        <w:rPr>
          <w:rFonts w:ascii="Arial" w:hAnsi="Arial" w:cs="Arial"/>
          <w:sz w:val="24"/>
          <w:szCs w:val="24"/>
        </w:rPr>
        <w:t>1; 5</w:t>
      </w:r>
      <w:r w:rsidR="00513CB5" w:rsidRPr="004D0373">
        <w:rPr>
          <w:rFonts w:ascii="Arial" w:hAnsi="Arial" w:cs="Arial"/>
          <w:sz w:val="24"/>
          <w:szCs w:val="24"/>
        </w:rPr>
        <w:t xml:space="preserve">. UID (poac) 2; </w:t>
      </w:r>
      <w:r>
        <w:rPr>
          <w:rFonts w:ascii="Arial" w:hAnsi="Arial" w:cs="Arial"/>
          <w:sz w:val="24"/>
          <w:szCs w:val="24"/>
        </w:rPr>
        <w:t>6</w:t>
      </w:r>
      <w:r w:rsidR="00513CB5" w:rsidRPr="004D0373">
        <w:rPr>
          <w:rFonts w:ascii="Arial" w:hAnsi="Arial" w:cs="Arial"/>
          <w:sz w:val="24"/>
          <w:szCs w:val="24"/>
        </w:rPr>
        <w:t xml:space="preserve">. Marantaceae seed phytolith; </w:t>
      </w:r>
      <w:r>
        <w:rPr>
          <w:rFonts w:ascii="Arial" w:hAnsi="Arial" w:cs="Arial"/>
          <w:sz w:val="24"/>
          <w:szCs w:val="24"/>
        </w:rPr>
        <w:t>7</w:t>
      </w:r>
      <w:r w:rsidR="00513CB5" w:rsidRPr="004D0373">
        <w:rPr>
          <w:rFonts w:ascii="Arial" w:hAnsi="Arial" w:cs="Arial"/>
          <w:sz w:val="24"/>
          <w:szCs w:val="24"/>
        </w:rPr>
        <w:t xml:space="preserve">. Marantaceae nodular body; </w:t>
      </w:r>
      <w:r>
        <w:rPr>
          <w:rFonts w:ascii="Arial" w:hAnsi="Arial" w:cs="Arial"/>
          <w:sz w:val="24"/>
          <w:szCs w:val="24"/>
        </w:rPr>
        <w:t>8</w:t>
      </w:r>
      <w:r w:rsidR="00513CB5" w:rsidRPr="004D0373">
        <w:rPr>
          <w:rFonts w:ascii="Arial" w:hAnsi="Arial" w:cs="Arial"/>
          <w:sz w:val="24"/>
          <w:szCs w:val="24"/>
        </w:rPr>
        <w:t xml:space="preserve">. Strelitziaceae druse; </w:t>
      </w:r>
      <w:r>
        <w:rPr>
          <w:rFonts w:ascii="Arial" w:hAnsi="Arial" w:cs="Arial"/>
          <w:sz w:val="24"/>
          <w:szCs w:val="24"/>
        </w:rPr>
        <w:t>9</w:t>
      </w:r>
      <w:r w:rsidR="00513CB5" w:rsidRPr="004D0373">
        <w:rPr>
          <w:rFonts w:ascii="Arial" w:hAnsi="Arial" w:cs="Arial"/>
          <w:sz w:val="24"/>
          <w:szCs w:val="24"/>
        </w:rPr>
        <w:t xml:space="preserve">. Large globular echinate; </w:t>
      </w:r>
      <w:r>
        <w:rPr>
          <w:rFonts w:ascii="Arial" w:hAnsi="Arial" w:cs="Arial"/>
          <w:sz w:val="24"/>
          <w:szCs w:val="24"/>
        </w:rPr>
        <w:t>10</w:t>
      </w:r>
      <w:r w:rsidR="00513CB5" w:rsidRPr="004D0373">
        <w:rPr>
          <w:rFonts w:ascii="Arial" w:hAnsi="Arial" w:cs="Arial"/>
          <w:sz w:val="24"/>
          <w:szCs w:val="24"/>
        </w:rPr>
        <w:t xml:space="preserve">. </w:t>
      </w:r>
      <w:r w:rsidR="00513CB5" w:rsidRPr="004D0373">
        <w:rPr>
          <w:rFonts w:ascii="Arial" w:hAnsi="Arial" w:cs="Arial"/>
          <w:i/>
          <w:sz w:val="24"/>
          <w:szCs w:val="24"/>
        </w:rPr>
        <w:t xml:space="preserve">Tetragastris </w:t>
      </w:r>
      <w:r w:rsidR="00513CB5" w:rsidRPr="004D0373">
        <w:rPr>
          <w:rFonts w:ascii="Arial" w:hAnsi="Arial" w:cs="Arial"/>
          <w:sz w:val="24"/>
          <w:szCs w:val="24"/>
        </w:rPr>
        <w:t xml:space="preserve">body; </w:t>
      </w:r>
      <w:r>
        <w:rPr>
          <w:rFonts w:ascii="Arial" w:hAnsi="Arial" w:cs="Arial"/>
          <w:sz w:val="24"/>
          <w:szCs w:val="24"/>
        </w:rPr>
        <w:t>11</w:t>
      </w:r>
      <w:r w:rsidR="00513CB5" w:rsidRPr="004D0373">
        <w:rPr>
          <w:rFonts w:ascii="Arial" w:hAnsi="Arial" w:cs="Arial"/>
          <w:sz w:val="24"/>
          <w:szCs w:val="24"/>
        </w:rPr>
        <w:t xml:space="preserve">. Ficus hairbase; </w:t>
      </w:r>
      <w:r>
        <w:rPr>
          <w:rFonts w:ascii="Arial" w:hAnsi="Arial" w:cs="Arial"/>
          <w:sz w:val="24"/>
          <w:szCs w:val="24"/>
        </w:rPr>
        <w:t>12</w:t>
      </w:r>
      <w:r w:rsidR="00513CB5" w:rsidRPr="004D0373">
        <w:rPr>
          <w:rFonts w:ascii="Arial" w:hAnsi="Arial" w:cs="Arial"/>
          <w:sz w:val="24"/>
          <w:szCs w:val="24"/>
        </w:rPr>
        <w:t xml:space="preserve">. Mendonica; </w:t>
      </w:r>
      <w:r>
        <w:rPr>
          <w:rFonts w:ascii="Arial" w:hAnsi="Arial" w:cs="Arial"/>
          <w:sz w:val="24"/>
          <w:szCs w:val="24"/>
        </w:rPr>
        <w:t>13</w:t>
      </w:r>
      <w:r w:rsidR="00513CB5" w:rsidRPr="004D0373">
        <w:rPr>
          <w:rFonts w:ascii="Arial" w:hAnsi="Arial" w:cs="Arial"/>
          <w:sz w:val="24"/>
          <w:szCs w:val="24"/>
        </w:rPr>
        <w:t xml:space="preserve">. Irregular stipulate tracheid (IST); </w:t>
      </w:r>
      <w:r>
        <w:rPr>
          <w:rFonts w:ascii="Arial" w:hAnsi="Arial" w:cs="Arial"/>
          <w:sz w:val="24"/>
          <w:szCs w:val="24"/>
        </w:rPr>
        <w:t>14. IST(cylindrical); 15</w:t>
      </w:r>
      <w:r w:rsidR="00513CB5" w:rsidRPr="004D0373">
        <w:rPr>
          <w:rFonts w:ascii="Arial" w:hAnsi="Arial" w:cs="Arial"/>
          <w:sz w:val="24"/>
          <w:szCs w:val="24"/>
        </w:rPr>
        <w:t>. UID (arb)</w:t>
      </w:r>
      <w:r>
        <w:rPr>
          <w:rFonts w:ascii="Arial" w:hAnsi="Arial" w:cs="Arial"/>
          <w:sz w:val="24"/>
          <w:szCs w:val="24"/>
        </w:rPr>
        <w:t xml:space="preserve"> 1;</w:t>
      </w:r>
      <w:r w:rsidR="00513CB5" w:rsidRPr="004D0373">
        <w:rPr>
          <w:rFonts w:ascii="Arial" w:hAnsi="Arial" w:cs="Arial"/>
          <w:sz w:val="24"/>
          <w:szCs w:val="24"/>
        </w:rPr>
        <w:t xml:space="preserve"> </w:t>
      </w:r>
      <w:r>
        <w:rPr>
          <w:rFonts w:ascii="Arial" w:hAnsi="Arial" w:cs="Arial"/>
          <w:sz w:val="24"/>
          <w:szCs w:val="24"/>
        </w:rPr>
        <w:t>16</w:t>
      </w:r>
      <w:r w:rsidR="00513CB5" w:rsidRPr="004D0373">
        <w:rPr>
          <w:rFonts w:ascii="Arial" w:hAnsi="Arial" w:cs="Arial"/>
          <w:sz w:val="24"/>
          <w:szCs w:val="24"/>
        </w:rPr>
        <w:t xml:space="preserve">. UID (arb) 2; </w:t>
      </w:r>
      <w:r>
        <w:rPr>
          <w:rFonts w:ascii="Arial" w:hAnsi="Arial" w:cs="Arial"/>
          <w:sz w:val="24"/>
          <w:szCs w:val="24"/>
        </w:rPr>
        <w:t>17. Vesicular infilling; 18</w:t>
      </w:r>
      <w:r w:rsidR="00513CB5" w:rsidRPr="004D0373">
        <w:rPr>
          <w:rFonts w:ascii="Arial" w:hAnsi="Arial" w:cs="Arial"/>
          <w:sz w:val="24"/>
          <w:szCs w:val="24"/>
        </w:rPr>
        <w:t xml:space="preserve">. Anticlinal epidermis; </w:t>
      </w:r>
      <w:r>
        <w:rPr>
          <w:rFonts w:ascii="Arial" w:hAnsi="Arial" w:cs="Arial"/>
          <w:sz w:val="24"/>
          <w:szCs w:val="24"/>
        </w:rPr>
        <w:t>19</w:t>
      </w:r>
      <w:r w:rsidR="00513CB5" w:rsidRPr="004D0373">
        <w:rPr>
          <w:rFonts w:ascii="Arial" w:hAnsi="Arial" w:cs="Arial"/>
          <w:sz w:val="24"/>
          <w:szCs w:val="24"/>
        </w:rPr>
        <w:t>. UID (hairbase) 1</w:t>
      </w:r>
      <w:r>
        <w:rPr>
          <w:rFonts w:ascii="Arial" w:hAnsi="Arial" w:cs="Arial"/>
          <w:sz w:val="24"/>
          <w:szCs w:val="24"/>
        </w:rPr>
        <w:t>; 20</w:t>
      </w:r>
      <w:r w:rsidR="00513CB5" w:rsidRPr="004D0373">
        <w:rPr>
          <w:rFonts w:ascii="Arial" w:hAnsi="Arial" w:cs="Arial"/>
          <w:sz w:val="24"/>
          <w:szCs w:val="24"/>
        </w:rPr>
        <w:t>. UID (hairbase) 2.</w:t>
      </w:r>
    </w:p>
    <w:p w:rsidR="00513CB5" w:rsidRDefault="00513CB5" w:rsidP="00513CB5">
      <w:pPr>
        <w:rPr>
          <w:rFonts w:ascii="Times New Roman" w:hAnsi="Times New Roman" w:cs="Times New Roman"/>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6252A4" w:rsidRDefault="006252A4" w:rsidP="00513CB5">
      <w:pPr>
        <w:rPr>
          <w:rFonts w:ascii="Arial" w:hAnsi="Arial" w:cs="Arial"/>
          <w:b/>
          <w:sz w:val="24"/>
          <w:szCs w:val="24"/>
        </w:rPr>
      </w:pPr>
    </w:p>
    <w:p w:rsidR="00513CB5" w:rsidRDefault="00513CB5" w:rsidP="00513CB5">
      <w:pPr>
        <w:rPr>
          <w:rFonts w:ascii="Arial" w:hAnsi="Arial" w:cs="Arial"/>
          <w:sz w:val="24"/>
          <w:szCs w:val="24"/>
        </w:rPr>
      </w:pPr>
      <w:r w:rsidRPr="004D0373">
        <w:rPr>
          <w:rFonts w:ascii="Arial" w:hAnsi="Arial" w:cs="Arial"/>
          <w:b/>
          <w:sz w:val="24"/>
          <w:szCs w:val="24"/>
        </w:rPr>
        <w:t xml:space="preserve">Figure </w:t>
      </w:r>
      <w:r w:rsidR="0032360C" w:rsidRPr="004D0373">
        <w:rPr>
          <w:rFonts w:ascii="Arial" w:hAnsi="Arial" w:cs="Arial"/>
          <w:b/>
          <w:sz w:val="24"/>
          <w:szCs w:val="24"/>
        </w:rPr>
        <w:t>2</w:t>
      </w:r>
      <w:r w:rsidRPr="004D0373">
        <w:rPr>
          <w:rFonts w:ascii="Arial" w:hAnsi="Arial" w:cs="Arial"/>
          <w:b/>
          <w:sz w:val="24"/>
          <w:szCs w:val="24"/>
        </w:rPr>
        <w:t>:</w:t>
      </w:r>
      <w:r w:rsidRPr="004D0373">
        <w:rPr>
          <w:rFonts w:ascii="Arial" w:hAnsi="Arial" w:cs="Arial"/>
          <w:sz w:val="24"/>
          <w:szCs w:val="24"/>
        </w:rPr>
        <w:t xml:space="preserve"> Relative frequency diagram of A fraction </w:t>
      </w:r>
    </w:p>
    <w:p w:rsidR="006252A4" w:rsidRDefault="006252A4" w:rsidP="00513CB5">
      <w:pPr>
        <w:rPr>
          <w:rFonts w:ascii="Arial" w:hAnsi="Arial" w:cs="Arial"/>
          <w:sz w:val="24"/>
          <w:szCs w:val="24"/>
        </w:rPr>
      </w:pPr>
    </w:p>
    <w:p w:rsidR="006252A4" w:rsidRP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extent cx="7975090" cy="5438360"/>
            <wp:effectExtent l="0" t="7937"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2 A fraction graph figure.eps"/>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7982137" cy="5443165"/>
                    </a:xfrm>
                    <a:prstGeom prst="rect">
                      <a:avLst/>
                    </a:prstGeom>
                  </pic:spPr>
                </pic:pic>
              </a:graphicData>
            </a:graphic>
          </wp:inline>
        </w:drawing>
      </w:r>
    </w:p>
    <w:p w:rsidR="00513CB5" w:rsidRPr="004D0373" w:rsidRDefault="00513CB5" w:rsidP="00513CB5">
      <w:pPr>
        <w:rPr>
          <w:rFonts w:ascii="Arial" w:hAnsi="Arial" w:cs="Arial"/>
          <w:sz w:val="24"/>
          <w:szCs w:val="24"/>
        </w:rPr>
      </w:pPr>
      <w:r w:rsidRPr="004D0373">
        <w:rPr>
          <w:rFonts w:ascii="Arial" w:hAnsi="Arial" w:cs="Arial"/>
          <w:sz w:val="24"/>
          <w:szCs w:val="24"/>
        </w:rPr>
        <w:t xml:space="preserve">Caption for figure </w:t>
      </w:r>
      <w:r w:rsidR="006252A4">
        <w:rPr>
          <w:rFonts w:ascii="Arial" w:hAnsi="Arial" w:cs="Arial"/>
          <w:sz w:val="24"/>
          <w:szCs w:val="24"/>
        </w:rPr>
        <w:t>2</w:t>
      </w:r>
      <w:r w:rsidRPr="004D0373">
        <w:rPr>
          <w:rFonts w:ascii="Arial" w:hAnsi="Arial" w:cs="Arial"/>
          <w:sz w:val="24"/>
          <w:szCs w:val="24"/>
        </w:rPr>
        <w:t>:</w:t>
      </w:r>
      <w:r w:rsidR="006252A4">
        <w:rPr>
          <w:rFonts w:ascii="Arial" w:hAnsi="Arial" w:cs="Arial"/>
          <w:sz w:val="24"/>
          <w:szCs w:val="24"/>
        </w:rPr>
        <w:t xml:space="preserve"> </w:t>
      </w:r>
      <w:r w:rsidRPr="004D0373">
        <w:rPr>
          <w:rFonts w:ascii="Arial" w:hAnsi="Arial" w:cs="Arial"/>
          <w:sz w:val="24"/>
          <w:szCs w:val="24"/>
        </w:rPr>
        <w:t>+ = Frequency = &lt; 2%</w:t>
      </w:r>
    </w:p>
    <w:p w:rsidR="00513CB5" w:rsidRDefault="00513CB5" w:rsidP="00513CB5">
      <w:pPr>
        <w:rPr>
          <w:rFonts w:ascii="Arial" w:hAnsi="Arial" w:cs="Arial"/>
          <w:sz w:val="24"/>
          <w:szCs w:val="24"/>
        </w:rPr>
      </w:pPr>
      <w:r w:rsidRPr="004D0373">
        <w:rPr>
          <w:rFonts w:ascii="Arial" w:hAnsi="Arial" w:cs="Arial"/>
          <w:b/>
          <w:sz w:val="24"/>
          <w:szCs w:val="24"/>
        </w:rPr>
        <w:t xml:space="preserve">Figure </w:t>
      </w:r>
      <w:r w:rsidR="0032360C" w:rsidRPr="004D0373">
        <w:rPr>
          <w:rFonts w:ascii="Arial" w:hAnsi="Arial" w:cs="Arial"/>
          <w:b/>
          <w:sz w:val="24"/>
          <w:szCs w:val="24"/>
        </w:rPr>
        <w:t>3</w:t>
      </w:r>
      <w:r w:rsidRPr="004D0373">
        <w:rPr>
          <w:rFonts w:ascii="Arial" w:hAnsi="Arial" w:cs="Arial"/>
          <w:b/>
          <w:sz w:val="24"/>
          <w:szCs w:val="24"/>
        </w:rPr>
        <w:t>:</w:t>
      </w:r>
      <w:r w:rsidRPr="004D0373">
        <w:rPr>
          <w:rFonts w:ascii="Arial" w:hAnsi="Arial" w:cs="Arial"/>
          <w:sz w:val="24"/>
          <w:szCs w:val="24"/>
        </w:rPr>
        <w:t xml:space="preserve"> Relative frequency diagram of C Fraction</w:t>
      </w:r>
    </w:p>
    <w:p w:rsidR="006252A4" w:rsidRDefault="006252A4" w:rsidP="00513CB5">
      <w:pPr>
        <w:rPr>
          <w:rFonts w:ascii="Arial" w:hAnsi="Arial" w:cs="Arial"/>
          <w:sz w:val="24"/>
          <w:szCs w:val="24"/>
        </w:rPr>
      </w:pPr>
    </w:p>
    <w:p w:rsidR="006252A4" w:rsidRP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extent cx="6904990" cy="5559012"/>
            <wp:effectExtent l="63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3 C fraction graph figure.eps"/>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6909987" cy="5563035"/>
                    </a:xfrm>
                    <a:prstGeom prst="rect">
                      <a:avLst/>
                    </a:prstGeom>
                  </pic:spPr>
                </pic:pic>
              </a:graphicData>
            </a:graphic>
          </wp:inline>
        </w:drawing>
      </w:r>
    </w:p>
    <w:p w:rsidR="006252A4" w:rsidRDefault="006252A4" w:rsidP="00513CB5">
      <w:pPr>
        <w:rPr>
          <w:rFonts w:ascii="Arial" w:hAnsi="Arial" w:cs="Arial"/>
          <w:sz w:val="24"/>
          <w:szCs w:val="24"/>
        </w:rPr>
      </w:pPr>
    </w:p>
    <w:p w:rsidR="00513CB5" w:rsidRPr="004D0373" w:rsidRDefault="00513CB5" w:rsidP="00513CB5">
      <w:pPr>
        <w:rPr>
          <w:rFonts w:ascii="Arial" w:hAnsi="Arial" w:cs="Arial"/>
          <w:sz w:val="24"/>
          <w:szCs w:val="24"/>
        </w:rPr>
      </w:pPr>
      <w:r w:rsidRPr="004D0373">
        <w:rPr>
          <w:rFonts w:ascii="Arial" w:hAnsi="Arial" w:cs="Arial"/>
          <w:sz w:val="24"/>
          <w:szCs w:val="24"/>
        </w:rPr>
        <w:t xml:space="preserve">Caption for figure </w:t>
      </w:r>
      <w:r w:rsidR="006252A4">
        <w:rPr>
          <w:rFonts w:ascii="Arial" w:hAnsi="Arial" w:cs="Arial"/>
          <w:sz w:val="24"/>
          <w:szCs w:val="24"/>
        </w:rPr>
        <w:t>3</w:t>
      </w:r>
      <w:r w:rsidRPr="004D0373">
        <w:rPr>
          <w:rFonts w:ascii="Arial" w:hAnsi="Arial" w:cs="Arial"/>
          <w:sz w:val="24"/>
          <w:szCs w:val="24"/>
        </w:rPr>
        <w:t>:</w:t>
      </w:r>
    </w:p>
    <w:p w:rsidR="00513CB5" w:rsidRPr="004D0373" w:rsidRDefault="00513CB5" w:rsidP="00513CB5">
      <w:pPr>
        <w:rPr>
          <w:rFonts w:ascii="Arial" w:hAnsi="Arial" w:cs="Arial"/>
          <w:sz w:val="24"/>
          <w:szCs w:val="24"/>
        </w:rPr>
      </w:pPr>
      <w:r w:rsidRPr="004D0373">
        <w:rPr>
          <w:rFonts w:ascii="Arial" w:hAnsi="Arial" w:cs="Arial"/>
          <w:sz w:val="24"/>
          <w:szCs w:val="24"/>
        </w:rPr>
        <w:t>+ = Frequency = &lt; 2%</w:t>
      </w:r>
    </w:p>
    <w:p w:rsidR="00513CB5" w:rsidRPr="004D0373" w:rsidRDefault="00513CB5" w:rsidP="00513CB5">
      <w:pPr>
        <w:rPr>
          <w:rFonts w:ascii="Arial" w:hAnsi="Arial" w:cs="Arial"/>
          <w:sz w:val="24"/>
          <w:szCs w:val="24"/>
        </w:rPr>
      </w:pPr>
      <w:r w:rsidRPr="004D0373">
        <w:rPr>
          <w:rFonts w:ascii="Arial" w:hAnsi="Arial" w:cs="Arial"/>
          <w:sz w:val="24"/>
          <w:szCs w:val="24"/>
        </w:rPr>
        <w:t xml:space="preserve">X = Presence of phytoliths in a sample where </w:t>
      </w:r>
      <w:r w:rsidRPr="004D0373">
        <w:rPr>
          <w:rFonts w:ascii="Arial" w:hAnsi="Arial" w:cs="Arial"/>
          <w:i/>
          <w:iCs/>
          <w:sz w:val="24"/>
          <w:szCs w:val="24"/>
        </w:rPr>
        <w:t>n</w:t>
      </w:r>
      <w:r w:rsidRPr="004D0373">
        <w:rPr>
          <w:rFonts w:ascii="Arial" w:hAnsi="Arial" w:cs="Arial"/>
          <w:sz w:val="24"/>
          <w:szCs w:val="24"/>
        </w:rPr>
        <w:t xml:space="preserve"> &lt; 50</w:t>
      </w:r>
    </w:p>
    <w:p w:rsidR="00513CB5" w:rsidRDefault="00513CB5" w:rsidP="00513CB5">
      <w:pPr>
        <w:rPr>
          <w:rFonts w:ascii="Arial" w:hAnsi="Arial" w:cs="Arial"/>
          <w:sz w:val="24"/>
          <w:szCs w:val="24"/>
        </w:rPr>
      </w:pPr>
      <w:r w:rsidRPr="004D0373">
        <w:rPr>
          <w:rFonts w:ascii="Arial" w:hAnsi="Arial" w:cs="Arial"/>
          <w:b/>
          <w:sz w:val="24"/>
          <w:szCs w:val="24"/>
        </w:rPr>
        <w:t xml:space="preserve">Figure </w:t>
      </w:r>
      <w:r w:rsidR="0032360C" w:rsidRPr="004D0373">
        <w:rPr>
          <w:rFonts w:ascii="Arial" w:hAnsi="Arial" w:cs="Arial"/>
          <w:b/>
          <w:sz w:val="24"/>
          <w:szCs w:val="24"/>
        </w:rPr>
        <w:t>4</w:t>
      </w:r>
      <w:r w:rsidRPr="004D0373">
        <w:rPr>
          <w:rFonts w:ascii="Arial" w:hAnsi="Arial" w:cs="Arial"/>
          <w:b/>
          <w:sz w:val="24"/>
          <w:szCs w:val="24"/>
        </w:rPr>
        <w:t>:</w:t>
      </w:r>
      <w:r w:rsidRPr="004D0373">
        <w:rPr>
          <w:rFonts w:ascii="Arial" w:hAnsi="Arial" w:cs="Arial"/>
          <w:sz w:val="24"/>
          <w:szCs w:val="24"/>
        </w:rPr>
        <w:t xml:space="preserve"> A fraction PCAs and loading plots</w:t>
      </w:r>
    </w:p>
    <w:p w:rsidR="006252A4" w:rsidRP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extent cx="7962737" cy="3270253"/>
            <wp:effectExtent l="2858" t="0" r="3492" b="349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4 A fraction PCA.eps"/>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7966555" cy="3271821"/>
                    </a:xfrm>
                    <a:prstGeom prst="rect">
                      <a:avLst/>
                    </a:prstGeom>
                  </pic:spPr>
                </pic:pic>
              </a:graphicData>
            </a:graphic>
          </wp:inline>
        </w:drawing>
      </w:r>
    </w:p>
    <w:p w:rsidR="006252A4" w:rsidRDefault="006252A4" w:rsidP="00513CB5">
      <w:pPr>
        <w:rPr>
          <w:rFonts w:ascii="Arial" w:hAnsi="Arial" w:cs="Arial"/>
          <w:b/>
          <w:sz w:val="24"/>
          <w:szCs w:val="24"/>
        </w:rPr>
      </w:pPr>
    </w:p>
    <w:p w:rsidR="004C6911" w:rsidRDefault="004C6911" w:rsidP="00513CB5">
      <w:pPr>
        <w:rPr>
          <w:rFonts w:ascii="Arial" w:hAnsi="Arial" w:cs="Arial"/>
          <w:b/>
          <w:sz w:val="24"/>
          <w:szCs w:val="24"/>
        </w:rPr>
      </w:pPr>
    </w:p>
    <w:p w:rsidR="00513CB5" w:rsidRDefault="00513CB5" w:rsidP="00513CB5">
      <w:pPr>
        <w:rPr>
          <w:rFonts w:ascii="Arial" w:hAnsi="Arial" w:cs="Arial"/>
          <w:sz w:val="24"/>
          <w:szCs w:val="24"/>
        </w:rPr>
      </w:pPr>
      <w:r w:rsidRPr="004D0373">
        <w:rPr>
          <w:rFonts w:ascii="Arial" w:hAnsi="Arial" w:cs="Arial"/>
          <w:b/>
          <w:sz w:val="24"/>
          <w:szCs w:val="24"/>
        </w:rPr>
        <w:t xml:space="preserve">Figure </w:t>
      </w:r>
      <w:r w:rsidR="0032360C" w:rsidRPr="004D0373">
        <w:rPr>
          <w:rFonts w:ascii="Arial" w:hAnsi="Arial" w:cs="Arial"/>
          <w:b/>
          <w:sz w:val="24"/>
          <w:szCs w:val="24"/>
        </w:rPr>
        <w:t>5</w:t>
      </w:r>
      <w:r w:rsidRPr="004D0373">
        <w:rPr>
          <w:rFonts w:ascii="Arial" w:hAnsi="Arial" w:cs="Arial"/>
          <w:b/>
          <w:sz w:val="24"/>
          <w:szCs w:val="24"/>
        </w:rPr>
        <w:t>:</w:t>
      </w:r>
      <w:r w:rsidRPr="004D0373">
        <w:rPr>
          <w:rFonts w:ascii="Arial" w:hAnsi="Arial" w:cs="Arial"/>
          <w:sz w:val="24"/>
          <w:szCs w:val="24"/>
        </w:rPr>
        <w:t xml:space="preserve"> C fraction PCAs and loading plots</w:t>
      </w:r>
    </w:p>
    <w:p w:rsidR="006252A4" w:rsidRDefault="006252A4" w:rsidP="00513CB5">
      <w:pPr>
        <w:rPr>
          <w:rFonts w:ascii="Arial" w:hAnsi="Arial" w:cs="Arial"/>
          <w:sz w:val="24"/>
          <w:szCs w:val="24"/>
        </w:rPr>
      </w:pPr>
    </w:p>
    <w:p w:rsidR="006252A4" w:rsidRPr="004D0373" w:rsidRDefault="006252A4" w:rsidP="00513CB5">
      <w:pPr>
        <w:rPr>
          <w:rFonts w:ascii="Arial" w:hAnsi="Arial" w:cs="Arial"/>
          <w:sz w:val="24"/>
          <w:szCs w:val="24"/>
        </w:rPr>
      </w:pPr>
      <w:r>
        <w:rPr>
          <w:rFonts w:ascii="Arial" w:hAnsi="Arial" w:cs="Arial"/>
          <w:noProof/>
          <w:sz w:val="24"/>
          <w:szCs w:val="24"/>
          <w:lang w:eastAsia="zh-CN"/>
        </w:rPr>
        <w:drawing>
          <wp:inline distT="0" distB="0" distL="0" distR="0">
            <wp:extent cx="7675518" cy="3249613"/>
            <wp:effectExtent l="3175"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5 C fraction PCA.eps"/>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7683661" cy="3253060"/>
                    </a:xfrm>
                    <a:prstGeom prst="rect">
                      <a:avLst/>
                    </a:prstGeom>
                  </pic:spPr>
                </pic:pic>
              </a:graphicData>
            </a:graphic>
          </wp:inline>
        </w:drawing>
      </w:r>
    </w:p>
    <w:p w:rsidR="00513CB5" w:rsidRDefault="00513CB5" w:rsidP="00513CB5">
      <w:pPr>
        <w:rPr>
          <w:noProof/>
          <w:lang w:eastAsia="en-GB"/>
        </w:rPr>
      </w:pPr>
      <w:r w:rsidRPr="00280D67">
        <w:rPr>
          <w:noProof/>
          <w:lang w:eastAsia="en-GB"/>
        </w:rPr>
        <w:t xml:space="preserve"> </w:t>
      </w:r>
    </w:p>
    <w:p w:rsidR="00513CB5" w:rsidRDefault="00513CB5" w:rsidP="00513CB5"/>
    <w:p w:rsidR="00513CB5" w:rsidRDefault="00513CB5" w:rsidP="00513CB5"/>
    <w:p w:rsidR="0050708F" w:rsidRDefault="0050708F"/>
    <w:sectPr w:rsidR="0050708F" w:rsidSect="004C6911">
      <w:footerReference w:type="default" r:id="rId1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72DF" w:rsidRDefault="004C72DF">
      <w:pPr>
        <w:spacing w:after="0" w:line="240" w:lineRule="auto"/>
      </w:pPr>
      <w:r>
        <w:separator/>
      </w:r>
    </w:p>
  </w:endnote>
  <w:endnote w:type="continuationSeparator" w:id="0">
    <w:p w:rsidR="004C72DF" w:rsidRDefault="004C72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1799255"/>
      <w:docPartObj>
        <w:docPartGallery w:val="Page Numbers (Bottom of Page)"/>
        <w:docPartUnique/>
      </w:docPartObj>
    </w:sdtPr>
    <w:sdtEndPr>
      <w:rPr>
        <w:noProof/>
      </w:rPr>
    </w:sdtEndPr>
    <w:sdtContent>
      <w:p w:rsidR="006252A4" w:rsidRDefault="006252A4">
        <w:pPr>
          <w:pStyle w:val="Footer"/>
          <w:jc w:val="right"/>
        </w:pPr>
        <w:r>
          <w:fldChar w:fldCharType="begin"/>
        </w:r>
        <w:r>
          <w:instrText xml:space="preserve"> PAGE   \* MERGEFORMAT </w:instrText>
        </w:r>
        <w:r>
          <w:fldChar w:fldCharType="separate"/>
        </w:r>
        <w:r w:rsidR="00053FFD">
          <w:rPr>
            <w:noProof/>
          </w:rPr>
          <w:t>1</w:t>
        </w:r>
        <w:r>
          <w:rPr>
            <w:noProof/>
          </w:rPr>
          <w:fldChar w:fldCharType="end"/>
        </w:r>
      </w:p>
    </w:sdtContent>
  </w:sdt>
  <w:p w:rsidR="006252A4" w:rsidRDefault="006252A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72DF" w:rsidRDefault="004C72DF">
      <w:pPr>
        <w:spacing w:after="0" w:line="240" w:lineRule="auto"/>
      </w:pPr>
      <w:r>
        <w:separator/>
      </w:r>
    </w:p>
  </w:footnote>
  <w:footnote w:type="continuationSeparator" w:id="0">
    <w:p w:rsidR="004C72DF" w:rsidRDefault="004C72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93529E"/>
    <w:multiLevelType w:val="hybridMultilevel"/>
    <w:tmpl w:val="4330FD74"/>
    <w:lvl w:ilvl="0" w:tplc="D50E149E">
      <w:start w:val="1"/>
      <w:numFmt w:val="bullet"/>
      <w:lvlText w:val=""/>
      <w:lvlJc w:val="left"/>
      <w:pPr>
        <w:ind w:left="720" w:hanging="360"/>
      </w:pPr>
      <w:rPr>
        <w:rFonts w:ascii="Symbol" w:eastAsiaTheme="minorHAns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3CB5"/>
    <w:rsid w:val="00053FFD"/>
    <w:rsid w:val="000610C3"/>
    <w:rsid w:val="0006529C"/>
    <w:rsid w:val="00124460"/>
    <w:rsid w:val="001562AA"/>
    <w:rsid w:val="00173FB0"/>
    <w:rsid w:val="001F0F51"/>
    <w:rsid w:val="001F3303"/>
    <w:rsid w:val="00214601"/>
    <w:rsid w:val="00261E32"/>
    <w:rsid w:val="00292C2C"/>
    <w:rsid w:val="00315A09"/>
    <w:rsid w:val="0032360C"/>
    <w:rsid w:val="003976B3"/>
    <w:rsid w:val="0043317B"/>
    <w:rsid w:val="00455A2A"/>
    <w:rsid w:val="00456CEF"/>
    <w:rsid w:val="00463C14"/>
    <w:rsid w:val="00484359"/>
    <w:rsid w:val="00485B26"/>
    <w:rsid w:val="004C6911"/>
    <w:rsid w:val="004C72DF"/>
    <w:rsid w:val="004D0373"/>
    <w:rsid w:val="0050708F"/>
    <w:rsid w:val="00513CB5"/>
    <w:rsid w:val="00544198"/>
    <w:rsid w:val="00545E10"/>
    <w:rsid w:val="00586CC7"/>
    <w:rsid w:val="005D0885"/>
    <w:rsid w:val="005E2C16"/>
    <w:rsid w:val="006252A4"/>
    <w:rsid w:val="00653B19"/>
    <w:rsid w:val="006908A1"/>
    <w:rsid w:val="006A03BA"/>
    <w:rsid w:val="00721E77"/>
    <w:rsid w:val="007339EE"/>
    <w:rsid w:val="00757246"/>
    <w:rsid w:val="00791F00"/>
    <w:rsid w:val="007A0881"/>
    <w:rsid w:val="007A7A90"/>
    <w:rsid w:val="007D4D07"/>
    <w:rsid w:val="00841967"/>
    <w:rsid w:val="00861262"/>
    <w:rsid w:val="00865893"/>
    <w:rsid w:val="008B4776"/>
    <w:rsid w:val="00A154CC"/>
    <w:rsid w:val="00A2462A"/>
    <w:rsid w:val="00AE57B5"/>
    <w:rsid w:val="00B310E4"/>
    <w:rsid w:val="00BE266F"/>
    <w:rsid w:val="00BF5999"/>
    <w:rsid w:val="00C23BC0"/>
    <w:rsid w:val="00C96D20"/>
    <w:rsid w:val="00CC2516"/>
    <w:rsid w:val="00CC5FD9"/>
    <w:rsid w:val="00D81A7B"/>
    <w:rsid w:val="00DB230B"/>
    <w:rsid w:val="00DB3D69"/>
    <w:rsid w:val="00E43BAE"/>
    <w:rsid w:val="00E45377"/>
    <w:rsid w:val="00E57D24"/>
    <w:rsid w:val="00F04E21"/>
    <w:rsid w:val="00F052D0"/>
    <w:rsid w:val="00F4596C"/>
    <w:rsid w:val="00F73355"/>
    <w:rsid w:val="00F91FAF"/>
    <w:rsid w:val="00FE667F"/>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3C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3CB5"/>
    <w:rPr>
      <w:color w:val="0563C1" w:themeColor="hyperlink"/>
      <w:u w:val="single"/>
    </w:rPr>
  </w:style>
  <w:style w:type="paragraph" w:styleId="NormalWeb">
    <w:name w:val="Normal (Web)"/>
    <w:basedOn w:val="Normal"/>
    <w:uiPriority w:val="99"/>
    <w:unhideWhenUsed/>
    <w:rsid w:val="00513CB5"/>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513CB5"/>
    <w:rPr>
      <w:sz w:val="16"/>
      <w:szCs w:val="16"/>
    </w:rPr>
  </w:style>
  <w:style w:type="paragraph" w:styleId="CommentText">
    <w:name w:val="annotation text"/>
    <w:basedOn w:val="Normal"/>
    <w:link w:val="CommentTextChar"/>
    <w:uiPriority w:val="99"/>
    <w:semiHidden/>
    <w:unhideWhenUsed/>
    <w:rsid w:val="00513CB5"/>
    <w:pPr>
      <w:spacing w:line="240" w:lineRule="auto"/>
    </w:pPr>
    <w:rPr>
      <w:sz w:val="20"/>
      <w:szCs w:val="20"/>
    </w:rPr>
  </w:style>
  <w:style w:type="character" w:customStyle="1" w:styleId="CommentTextChar">
    <w:name w:val="Comment Text Char"/>
    <w:basedOn w:val="DefaultParagraphFont"/>
    <w:link w:val="CommentText"/>
    <w:uiPriority w:val="99"/>
    <w:semiHidden/>
    <w:rsid w:val="00513CB5"/>
    <w:rPr>
      <w:sz w:val="20"/>
      <w:szCs w:val="20"/>
    </w:rPr>
  </w:style>
  <w:style w:type="paragraph" w:styleId="CommentSubject">
    <w:name w:val="annotation subject"/>
    <w:basedOn w:val="CommentText"/>
    <w:next w:val="CommentText"/>
    <w:link w:val="CommentSubjectChar"/>
    <w:uiPriority w:val="99"/>
    <w:semiHidden/>
    <w:unhideWhenUsed/>
    <w:rsid w:val="00513CB5"/>
    <w:rPr>
      <w:b/>
      <w:bCs/>
    </w:rPr>
  </w:style>
  <w:style w:type="character" w:customStyle="1" w:styleId="CommentSubjectChar">
    <w:name w:val="Comment Subject Char"/>
    <w:basedOn w:val="CommentTextChar"/>
    <w:link w:val="CommentSubject"/>
    <w:uiPriority w:val="99"/>
    <w:semiHidden/>
    <w:rsid w:val="00513CB5"/>
    <w:rPr>
      <w:b/>
      <w:bCs/>
      <w:sz w:val="20"/>
      <w:szCs w:val="20"/>
    </w:rPr>
  </w:style>
  <w:style w:type="paragraph" w:styleId="BalloonText">
    <w:name w:val="Balloon Text"/>
    <w:basedOn w:val="Normal"/>
    <w:link w:val="BalloonTextChar"/>
    <w:uiPriority w:val="99"/>
    <w:semiHidden/>
    <w:unhideWhenUsed/>
    <w:rsid w:val="00513C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3CB5"/>
    <w:rPr>
      <w:rFonts w:ascii="Segoe UI" w:hAnsi="Segoe UI" w:cs="Segoe UI"/>
      <w:sz w:val="18"/>
      <w:szCs w:val="18"/>
    </w:rPr>
  </w:style>
  <w:style w:type="character" w:customStyle="1" w:styleId="hascaption">
    <w:name w:val="hascaption"/>
    <w:basedOn w:val="DefaultParagraphFont"/>
    <w:rsid w:val="00513CB5"/>
  </w:style>
  <w:style w:type="paragraph" w:styleId="ListParagraph">
    <w:name w:val="List Paragraph"/>
    <w:basedOn w:val="Normal"/>
    <w:uiPriority w:val="34"/>
    <w:qFormat/>
    <w:rsid w:val="00513CB5"/>
    <w:pPr>
      <w:ind w:left="720"/>
      <w:contextualSpacing/>
    </w:pPr>
  </w:style>
  <w:style w:type="paragraph" w:styleId="Revision">
    <w:name w:val="Revision"/>
    <w:hidden/>
    <w:uiPriority w:val="99"/>
    <w:semiHidden/>
    <w:rsid w:val="00513CB5"/>
    <w:pPr>
      <w:spacing w:after="0" w:line="240" w:lineRule="auto"/>
    </w:pPr>
  </w:style>
  <w:style w:type="character" w:styleId="LineNumber">
    <w:name w:val="line number"/>
    <w:basedOn w:val="DefaultParagraphFont"/>
    <w:uiPriority w:val="99"/>
    <w:semiHidden/>
    <w:unhideWhenUsed/>
    <w:rsid w:val="00513CB5"/>
  </w:style>
  <w:style w:type="paragraph" w:styleId="Header">
    <w:name w:val="header"/>
    <w:basedOn w:val="Normal"/>
    <w:link w:val="HeaderChar"/>
    <w:uiPriority w:val="99"/>
    <w:unhideWhenUsed/>
    <w:rsid w:val="00513C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CB5"/>
  </w:style>
  <w:style w:type="paragraph" w:styleId="Footer">
    <w:name w:val="footer"/>
    <w:basedOn w:val="Normal"/>
    <w:link w:val="FooterChar"/>
    <w:uiPriority w:val="99"/>
    <w:unhideWhenUsed/>
    <w:rsid w:val="00513C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C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3C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13CB5"/>
    <w:rPr>
      <w:color w:val="0563C1" w:themeColor="hyperlink"/>
      <w:u w:val="single"/>
    </w:rPr>
  </w:style>
  <w:style w:type="paragraph" w:styleId="NormalWeb">
    <w:name w:val="Normal (Web)"/>
    <w:basedOn w:val="Normal"/>
    <w:uiPriority w:val="99"/>
    <w:unhideWhenUsed/>
    <w:rsid w:val="00513CB5"/>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513CB5"/>
    <w:rPr>
      <w:sz w:val="16"/>
      <w:szCs w:val="16"/>
    </w:rPr>
  </w:style>
  <w:style w:type="paragraph" w:styleId="CommentText">
    <w:name w:val="annotation text"/>
    <w:basedOn w:val="Normal"/>
    <w:link w:val="CommentTextChar"/>
    <w:uiPriority w:val="99"/>
    <w:semiHidden/>
    <w:unhideWhenUsed/>
    <w:rsid w:val="00513CB5"/>
    <w:pPr>
      <w:spacing w:line="240" w:lineRule="auto"/>
    </w:pPr>
    <w:rPr>
      <w:sz w:val="20"/>
      <w:szCs w:val="20"/>
    </w:rPr>
  </w:style>
  <w:style w:type="character" w:customStyle="1" w:styleId="CommentTextChar">
    <w:name w:val="Comment Text Char"/>
    <w:basedOn w:val="DefaultParagraphFont"/>
    <w:link w:val="CommentText"/>
    <w:uiPriority w:val="99"/>
    <w:semiHidden/>
    <w:rsid w:val="00513CB5"/>
    <w:rPr>
      <w:sz w:val="20"/>
      <w:szCs w:val="20"/>
    </w:rPr>
  </w:style>
  <w:style w:type="paragraph" w:styleId="CommentSubject">
    <w:name w:val="annotation subject"/>
    <w:basedOn w:val="CommentText"/>
    <w:next w:val="CommentText"/>
    <w:link w:val="CommentSubjectChar"/>
    <w:uiPriority w:val="99"/>
    <w:semiHidden/>
    <w:unhideWhenUsed/>
    <w:rsid w:val="00513CB5"/>
    <w:rPr>
      <w:b/>
      <w:bCs/>
    </w:rPr>
  </w:style>
  <w:style w:type="character" w:customStyle="1" w:styleId="CommentSubjectChar">
    <w:name w:val="Comment Subject Char"/>
    <w:basedOn w:val="CommentTextChar"/>
    <w:link w:val="CommentSubject"/>
    <w:uiPriority w:val="99"/>
    <w:semiHidden/>
    <w:rsid w:val="00513CB5"/>
    <w:rPr>
      <w:b/>
      <w:bCs/>
      <w:sz w:val="20"/>
      <w:szCs w:val="20"/>
    </w:rPr>
  </w:style>
  <w:style w:type="paragraph" w:styleId="BalloonText">
    <w:name w:val="Balloon Text"/>
    <w:basedOn w:val="Normal"/>
    <w:link w:val="BalloonTextChar"/>
    <w:uiPriority w:val="99"/>
    <w:semiHidden/>
    <w:unhideWhenUsed/>
    <w:rsid w:val="00513C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3CB5"/>
    <w:rPr>
      <w:rFonts w:ascii="Segoe UI" w:hAnsi="Segoe UI" w:cs="Segoe UI"/>
      <w:sz w:val="18"/>
      <w:szCs w:val="18"/>
    </w:rPr>
  </w:style>
  <w:style w:type="character" w:customStyle="1" w:styleId="hascaption">
    <w:name w:val="hascaption"/>
    <w:basedOn w:val="DefaultParagraphFont"/>
    <w:rsid w:val="00513CB5"/>
  </w:style>
  <w:style w:type="paragraph" w:styleId="ListParagraph">
    <w:name w:val="List Paragraph"/>
    <w:basedOn w:val="Normal"/>
    <w:uiPriority w:val="34"/>
    <w:qFormat/>
    <w:rsid w:val="00513CB5"/>
    <w:pPr>
      <w:ind w:left="720"/>
      <w:contextualSpacing/>
    </w:pPr>
  </w:style>
  <w:style w:type="paragraph" w:styleId="Revision">
    <w:name w:val="Revision"/>
    <w:hidden/>
    <w:uiPriority w:val="99"/>
    <w:semiHidden/>
    <w:rsid w:val="00513CB5"/>
    <w:pPr>
      <w:spacing w:after="0" w:line="240" w:lineRule="auto"/>
    </w:pPr>
  </w:style>
  <w:style w:type="character" w:styleId="LineNumber">
    <w:name w:val="line number"/>
    <w:basedOn w:val="DefaultParagraphFont"/>
    <w:uiPriority w:val="99"/>
    <w:semiHidden/>
    <w:unhideWhenUsed/>
    <w:rsid w:val="00513CB5"/>
  </w:style>
  <w:style w:type="paragraph" w:styleId="Header">
    <w:name w:val="header"/>
    <w:basedOn w:val="Normal"/>
    <w:link w:val="HeaderChar"/>
    <w:uiPriority w:val="99"/>
    <w:unhideWhenUsed/>
    <w:rsid w:val="00513C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CB5"/>
  </w:style>
  <w:style w:type="paragraph" w:styleId="Footer">
    <w:name w:val="footer"/>
    <w:basedOn w:val="Normal"/>
    <w:link w:val="FooterChar"/>
    <w:uiPriority w:val="99"/>
    <w:unhideWhenUsed/>
    <w:rsid w:val="00513C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C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3967698">
      <w:bodyDiv w:val="1"/>
      <w:marLeft w:val="0"/>
      <w:marRight w:val="0"/>
      <w:marTop w:val="0"/>
      <w:marBottom w:val="0"/>
      <w:divBdr>
        <w:top w:val="none" w:sz="0" w:space="0" w:color="auto"/>
        <w:left w:val="none" w:sz="0" w:space="0" w:color="auto"/>
        <w:bottom w:val="none" w:sz="0" w:space="0" w:color="auto"/>
        <w:right w:val="none" w:sz="0" w:space="0" w:color="auto"/>
      </w:divBdr>
      <w:divsChild>
        <w:div w:id="1932080004">
          <w:marLeft w:val="0"/>
          <w:marRight w:val="0"/>
          <w:marTop w:val="0"/>
          <w:marBottom w:val="0"/>
          <w:divBdr>
            <w:top w:val="none" w:sz="0" w:space="0" w:color="auto"/>
            <w:left w:val="none" w:sz="0" w:space="0" w:color="auto"/>
            <w:bottom w:val="none" w:sz="0" w:space="0" w:color="auto"/>
            <w:right w:val="none" w:sz="0" w:space="0" w:color="auto"/>
          </w:divBdr>
          <w:divsChild>
            <w:div w:id="1371028725">
              <w:marLeft w:val="0"/>
              <w:marRight w:val="0"/>
              <w:marTop w:val="0"/>
              <w:marBottom w:val="0"/>
              <w:divBdr>
                <w:top w:val="none" w:sz="0" w:space="0" w:color="auto"/>
                <w:left w:val="none" w:sz="0" w:space="0" w:color="auto"/>
                <w:bottom w:val="none" w:sz="0" w:space="0" w:color="auto"/>
                <w:right w:val="none" w:sz="0" w:space="0" w:color="auto"/>
              </w:divBdr>
              <w:divsChild>
                <w:div w:id="667560846">
                  <w:marLeft w:val="0"/>
                  <w:marRight w:val="0"/>
                  <w:marTop w:val="0"/>
                  <w:marBottom w:val="0"/>
                  <w:divBdr>
                    <w:top w:val="none" w:sz="0" w:space="0" w:color="auto"/>
                    <w:left w:val="none" w:sz="0" w:space="0" w:color="auto"/>
                    <w:bottom w:val="none" w:sz="0" w:space="0" w:color="auto"/>
                    <w:right w:val="none" w:sz="0" w:space="0" w:color="auto"/>
                  </w:divBdr>
                  <w:divsChild>
                    <w:div w:id="1448306945">
                      <w:marLeft w:val="0"/>
                      <w:marRight w:val="0"/>
                      <w:marTop w:val="0"/>
                      <w:marBottom w:val="0"/>
                      <w:divBdr>
                        <w:top w:val="none" w:sz="0" w:space="0" w:color="auto"/>
                        <w:left w:val="none" w:sz="0" w:space="0" w:color="auto"/>
                        <w:bottom w:val="none" w:sz="0" w:space="0" w:color="auto"/>
                        <w:right w:val="none" w:sz="0" w:space="0" w:color="auto"/>
                      </w:divBdr>
                    </w:div>
                    <w:div w:id="49815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w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wmf"/><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E5B56-0BE9-4AED-85F3-A1D1979B3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30799</Words>
  <Characters>175555</Characters>
  <Application>Microsoft Office Word</Application>
  <DocSecurity>0</DocSecurity>
  <Lines>1462</Lines>
  <Paragraphs>411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Northumbria University</Company>
  <LinksUpToDate>false</LinksUpToDate>
  <CharactersWithSpaces>205943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 Watling</dc:creator>
  <cp:lastModifiedBy>Bronwen Whitney</cp:lastModifiedBy>
  <cp:revision>2</cp:revision>
  <dcterms:created xsi:type="dcterms:W3CDTF">2016-03-30T10:04:00Z</dcterms:created>
  <dcterms:modified xsi:type="dcterms:W3CDTF">2016-03-30T10:04:00Z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jgw203@ex.ac.uk@www.mendeley.com</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http://www.zotero.org/styles/annals-of-botany</vt:lpwstr>
  </property>
  <property fmtid="{D5CDD505-2E9C-101B-9397-08002B2CF9AE}" pid="11" name="Mendeley Recent Style Name 3_1">
    <vt:lpwstr>Annals of Botany</vt:lpwstr>
  </property>
  <property fmtid="{D5CDD505-2E9C-101B-9397-08002B2CF9AE}" pid="12" name="Mendeley Recent Style Id 4_1">
    <vt:lpwstr>http://csl.mendeley.com/styles/21036221/annals-of-botany</vt:lpwstr>
  </property>
  <property fmtid="{D5CDD505-2E9C-101B-9397-08002B2CF9AE}" pid="13" name="Mendeley Recent Style Name 4_1">
    <vt:lpwstr>Annals of Botany - Jenny Watling</vt:lpwstr>
  </property>
  <property fmtid="{D5CDD505-2E9C-101B-9397-08002B2CF9AE}" pid="14" name="Mendeley Recent Style Id 5_1">
    <vt:lpwstr>http://csl.mendeley.com/styles/21036221/elsevier-harvard</vt:lpwstr>
  </property>
  <property fmtid="{D5CDD505-2E9C-101B-9397-08002B2CF9AE}" pid="15" name="Mendeley Recent Style Name 5_1">
    <vt:lpwstr>Elsevier Harvard (with titles) - Jenny Watling</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(author-date)</vt:lpwstr>
  </property>
  <property fmtid="{D5CDD505-2E9C-101B-9397-08002B2CF9AE}" pid="18" name="Mendeley Recent Style Id 7_1">
    <vt:lpwstr>http://csl.mendeley.com/styles/21036221/harvard1</vt:lpwstr>
  </property>
  <property fmtid="{D5CDD505-2E9C-101B-9397-08002B2CF9AE}" pid="19" name="Mendeley Recent Style Name 7_1">
    <vt:lpwstr>Harvard Reference format 1 (author-date) - Jenny Watling</vt:lpwstr>
  </property>
  <property fmtid="{D5CDD505-2E9C-101B-9397-08002B2CF9AE}" pid="20" name="Mendeley Recent Style Id 8_1">
    <vt:lpwstr>http://www.zotero.org/styles/ieee</vt:lpwstr>
  </property>
  <property fmtid="{D5CDD505-2E9C-101B-9397-08002B2CF9AE}" pid="21" name="Mendeley Recent Style Name 8_1">
    <vt:lpwstr>IEEE</vt:lpwstr>
  </property>
  <property fmtid="{D5CDD505-2E9C-101B-9397-08002B2CF9AE}" pid="22" name="Mendeley Recent Style Id 9_1">
    <vt:lpwstr>http://www.zotero.org/styles/review-of-palaeobotany-and-palynology</vt:lpwstr>
  </property>
  <property fmtid="{D5CDD505-2E9C-101B-9397-08002B2CF9AE}" pid="23" name="Mendeley Recent Style Name 9_1">
    <vt:lpwstr>Review of Palaeobotany and Palynology</vt:lpwstr>
  </property>
  <property fmtid="{D5CDD505-2E9C-101B-9397-08002B2CF9AE}" pid="24" name="Mendeley Citation Style_1">
    <vt:lpwstr>http://www.zotero.org/styles/review-of-palaeobotany-and-palynology</vt:lpwstr>
  </property>
</Properties>
</file>