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87" w:rsidRPr="00AA1E67" w:rsidRDefault="00257AD9" w:rsidP="00AA1E67">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r w:rsidR="00637765">
        <w:rPr>
          <w:rFonts w:ascii="Times New Roman" w:hAnsi="Times New Roman" w:cs="Times New Roman"/>
          <w:b/>
          <w:sz w:val="28"/>
          <w:szCs w:val="28"/>
        </w:rPr>
        <w:t xml:space="preserve">Admissibility of evidence of co-defendant’s bad character under s.101(1)(e) Criminal Justice Act 2003: irrelevance of common law authorities </w:t>
      </w:r>
    </w:p>
    <w:p w:rsidR="003B1087" w:rsidRDefault="00AA1E67" w:rsidP="00AA1E67">
      <w:pPr>
        <w:jc w:val="center"/>
        <w:rPr>
          <w:rFonts w:ascii="Times New Roman" w:hAnsi="Times New Roman" w:cs="Times New Roman"/>
          <w:sz w:val="24"/>
          <w:szCs w:val="24"/>
        </w:rPr>
      </w:pPr>
      <w:r>
        <w:rPr>
          <w:rFonts w:ascii="Times New Roman" w:hAnsi="Times New Roman" w:cs="Times New Roman"/>
          <w:sz w:val="24"/>
          <w:szCs w:val="24"/>
        </w:rPr>
        <w:t>R v P</w:t>
      </w:r>
      <w:r w:rsidR="00E43BFE">
        <w:rPr>
          <w:rFonts w:ascii="Times New Roman" w:hAnsi="Times New Roman" w:cs="Times New Roman"/>
          <w:sz w:val="24"/>
          <w:szCs w:val="24"/>
        </w:rPr>
        <w:t>latt</w:t>
      </w:r>
      <w:r>
        <w:rPr>
          <w:rFonts w:ascii="Times New Roman" w:hAnsi="Times New Roman" w:cs="Times New Roman"/>
          <w:sz w:val="24"/>
          <w:szCs w:val="24"/>
        </w:rPr>
        <w:t xml:space="preserve"> [201</w:t>
      </w:r>
      <w:r w:rsidR="00E43BFE">
        <w:rPr>
          <w:rFonts w:ascii="Times New Roman" w:hAnsi="Times New Roman" w:cs="Times New Roman"/>
          <w:sz w:val="24"/>
          <w:szCs w:val="24"/>
        </w:rPr>
        <w:t>6</w:t>
      </w:r>
      <w:r>
        <w:rPr>
          <w:rFonts w:ascii="Times New Roman" w:hAnsi="Times New Roman" w:cs="Times New Roman"/>
          <w:sz w:val="24"/>
          <w:szCs w:val="24"/>
        </w:rPr>
        <w:t xml:space="preserve">] EWCA Crim </w:t>
      </w:r>
      <w:r w:rsidR="00E43BFE">
        <w:rPr>
          <w:rFonts w:ascii="Times New Roman" w:hAnsi="Times New Roman" w:cs="Times New Roman"/>
          <w:sz w:val="24"/>
          <w:szCs w:val="24"/>
        </w:rPr>
        <w:t>4</w:t>
      </w:r>
    </w:p>
    <w:p w:rsidR="00AA1E67" w:rsidRPr="00DA2E7D" w:rsidRDefault="00AA1E67" w:rsidP="00AA1E67">
      <w:pPr>
        <w:rPr>
          <w:rFonts w:ascii="Times New Roman" w:hAnsi="Times New Roman" w:cs="Times New Roman"/>
          <w:i/>
          <w:sz w:val="24"/>
          <w:szCs w:val="24"/>
        </w:rPr>
      </w:pPr>
      <w:r w:rsidRPr="00AA1E67">
        <w:rPr>
          <w:rFonts w:ascii="Times New Roman" w:hAnsi="Times New Roman" w:cs="Times New Roman"/>
          <w:i/>
          <w:sz w:val="24"/>
          <w:szCs w:val="24"/>
        </w:rPr>
        <w:t xml:space="preserve">Keywords    </w:t>
      </w:r>
      <w:r w:rsidR="00DA2E7D">
        <w:rPr>
          <w:rFonts w:ascii="Times New Roman" w:hAnsi="Times New Roman" w:cs="Times New Roman"/>
          <w:i/>
          <w:sz w:val="24"/>
          <w:szCs w:val="24"/>
        </w:rPr>
        <w:t>criminal evidence; admissibility; s.</w:t>
      </w:r>
      <w:r w:rsidR="00E43BFE">
        <w:rPr>
          <w:rFonts w:ascii="Times New Roman" w:hAnsi="Times New Roman" w:cs="Times New Roman"/>
          <w:i/>
          <w:sz w:val="24"/>
          <w:szCs w:val="24"/>
        </w:rPr>
        <w:t>101(1)(e)Criminal Justice Act 2003</w:t>
      </w:r>
      <w:r w:rsidR="00DA2E7D">
        <w:rPr>
          <w:rFonts w:ascii="Times New Roman" w:hAnsi="Times New Roman" w:cs="Times New Roman"/>
          <w:i/>
          <w:sz w:val="24"/>
          <w:szCs w:val="24"/>
        </w:rPr>
        <w:t>;</w:t>
      </w:r>
      <w:r w:rsidR="00E43BFE">
        <w:rPr>
          <w:rFonts w:ascii="Times New Roman" w:hAnsi="Times New Roman" w:cs="Times New Roman"/>
          <w:i/>
          <w:sz w:val="24"/>
          <w:szCs w:val="24"/>
        </w:rPr>
        <w:t>bad character;co-defendants</w:t>
      </w:r>
    </w:p>
    <w:p w:rsidR="001766F1" w:rsidRDefault="00A824CB">
      <w:pPr>
        <w:rPr>
          <w:rFonts w:ascii="Times New Roman" w:hAnsi="Times New Roman" w:cs="Times New Roman"/>
          <w:sz w:val="24"/>
          <w:szCs w:val="24"/>
        </w:rPr>
      </w:pPr>
      <w:r>
        <w:rPr>
          <w:rFonts w:ascii="Times New Roman" w:hAnsi="Times New Roman" w:cs="Times New Roman"/>
          <w:sz w:val="24"/>
          <w:szCs w:val="24"/>
        </w:rPr>
        <w:t xml:space="preserve">P, the appellant, appealed against his conviction for murder on two grounds. The first ground </w:t>
      </w:r>
      <w:r w:rsidR="00772074">
        <w:rPr>
          <w:rFonts w:ascii="Times New Roman" w:hAnsi="Times New Roman" w:cs="Times New Roman"/>
          <w:sz w:val="24"/>
          <w:szCs w:val="24"/>
        </w:rPr>
        <w:t xml:space="preserve">of appeal </w:t>
      </w:r>
      <w:r w:rsidR="005D51FC">
        <w:rPr>
          <w:rFonts w:ascii="Times New Roman" w:hAnsi="Times New Roman" w:cs="Times New Roman"/>
          <w:sz w:val="24"/>
          <w:szCs w:val="24"/>
        </w:rPr>
        <w:t xml:space="preserve">(to which this case note relates) </w:t>
      </w:r>
      <w:r>
        <w:rPr>
          <w:rFonts w:ascii="Times New Roman" w:hAnsi="Times New Roman" w:cs="Times New Roman"/>
          <w:sz w:val="24"/>
          <w:szCs w:val="24"/>
        </w:rPr>
        <w:t xml:space="preserve">was that evidence of P’s bad character had been wrongly admitted for P’s co-defendant, M. The second ground </w:t>
      </w:r>
      <w:r w:rsidR="00772074">
        <w:rPr>
          <w:rFonts w:ascii="Times New Roman" w:hAnsi="Times New Roman" w:cs="Times New Roman"/>
          <w:sz w:val="24"/>
          <w:szCs w:val="24"/>
        </w:rPr>
        <w:t xml:space="preserve">of appeal </w:t>
      </w:r>
      <w:r>
        <w:rPr>
          <w:rFonts w:ascii="Times New Roman" w:hAnsi="Times New Roman" w:cs="Times New Roman"/>
          <w:sz w:val="24"/>
          <w:szCs w:val="24"/>
        </w:rPr>
        <w:t xml:space="preserve">(which is not further considered in this case note) concerned the admission of psychiatric evidence relating to M’s mental state. </w:t>
      </w:r>
    </w:p>
    <w:p w:rsidR="00B60374" w:rsidRDefault="00917749">
      <w:pPr>
        <w:rPr>
          <w:rFonts w:ascii="Times New Roman" w:hAnsi="Times New Roman" w:cs="Times New Roman"/>
          <w:sz w:val="24"/>
          <w:szCs w:val="24"/>
        </w:rPr>
      </w:pPr>
      <w:r>
        <w:rPr>
          <w:rFonts w:ascii="Times New Roman" w:hAnsi="Times New Roman" w:cs="Times New Roman"/>
          <w:sz w:val="24"/>
          <w:szCs w:val="24"/>
        </w:rPr>
        <w:t xml:space="preserve">The allegations against P and M related to the murder of V, the victim. All three lived in a guest house in which </w:t>
      </w:r>
      <w:r w:rsidR="00492EFA">
        <w:rPr>
          <w:rFonts w:ascii="Times New Roman" w:hAnsi="Times New Roman" w:cs="Times New Roman"/>
          <w:sz w:val="24"/>
          <w:szCs w:val="24"/>
        </w:rPr>
        <w:t>ex-offenders</w:t>
      </w:r>
      <w:r>
        <w:rPr>
          <w:rFonts w:ascii="Times New Roman" w:hAnsi="Times New Roman" w:cs="Times New Roman"/>
          <w:sz w:val="24"/>
          <w:szCs w:val="24"/>
        </w:rPr>
        <w:t xml:space="preserve"> were housed. When fire officers attended a fire at the guest house they found V’s dead body which was still alight. </w:t>
      </w:r>
      <w:r w:rsidR="000C64FB">
        <w:rPr>
          <w:rFonts w:ascii="Times New Roman" w:hAnsi="Times New Roman" w:cs="Times New Roman"/>
          <w:sz w:val="24"/>
          <w:szCs w:val="24"/>
        </w:rPr>
        <w:t>V</w:t>
      </w:r>
      <w:r>
        <w:rPr>
          <w:rFonts w:ascii="Times New Roman" w:hAnsi="Times New Roman" w:cs="Times New Roman"/>
          <w:sz w:val="24"/>
          <w:szCs w:val="24"/>
        </w:rPr>
        <w:t xml:space="preserve"> had received multiple injuries to his face and there was a ligature around his neck but his death had been caused by carbon monoxide poisoning.  </w:t>
      </w:r>
      <w:r w:rsidR="000C64FB">
        <w:rPr>
          <w:rFonts w:ascii="Times New Roman" w:hAnsi="Times New Roman" w:cs="Times New Roman"/>
          <w:sz w:val="24"/>
          <w:szCs w:val="24"/>
        </w:rPr>
        <w:t xml:space="preserve">The prosecution </w:t>
      </w:r>
      <w:r w:rsidR="00AC0F48">
        <w:rPr>
          <w:rFonts w:ascii="Times New Roman" w:hAnsi="Times New Roman" w:cs="Times New Roman"/>
          <w:sz w:val="24"/>
          <w:szCs w:val="24"/>
        </w:rPr>
        <w:t xml:space="preserve">case against P </w:t>
      </w:r>
      <w:r w:rsidR="000C64FB">
        <w:rPr>
          <w:rFonts w:ascii="Times New Roman" w:hAnsi="Times New Roman" w:cs="Times New Roman"/>
          <w:sz w:val="24"/>
          <w:szCs w:val="24"/>
        </w:rPr>
        <w:t xml:space="preserve">alleged that P had attacked V, inflicted serious injuries </w:t>
      </w:r>
      <w:r w:rsidR="00AC0F48">
        <w:rPr>
          <w:rFonts w:ascii="Times New Roman" w:hAnsi="Times New Roman" w:cs="Times New Roman"/>
          <w:sz w:val="24"/>
          <w:szCs w:val="24"/>
        </w:rPr>
        <w:t xml:space="preserve">on V </w:t>
      </w:r>
      <w:r w:rsidR="000C64FB">
        <w:rPr>
          <w:rFonts w:ascii="Times New Roman" w:hAnsi="Times New Roman" w:cs="Times New Roman"/>
          <w:sz w:val="24"/>
          <w:szCs w:val="24"/>
        </w:rPr>
        <w:t xml:space="preserve">and then set </w:t>
      </w:r>
      <w:r w:rsidR="00AC0F48">
        <w:rPr>
          <w:rFonts w:ascii="Times New Roman" w:hAnsi="Times New Roman" w:cs="Times New Roman"/>
          <w:sz w:val="24"/>
          <w:szCs w:val="24"/>
        </w:rPr>
        <w:t>V</w:t>
      </w:r>
      <w:r w:rsidR="00043175">
        <w:rPr>
          <w:rFonts w:ascii="Times New Roman" w:hAnsi="Times New Roman" w:cs="Times New Roman"/>
          <w:sz w:val="24"/>
          <w:szCs w:val="24"/>
        </w:rPr>
        <w:t xml:space="preserve"> </w:t>
      </w:r>
      <w:r w:rsidR="000C64FB">
        <w:rPr>
          <w:rFonts w:ascii="Times New Roman" w:hAnsi="Times New Roman" w:cs="Times New Roman"/>
          <w:sz w:val="24"/>
          <w:szCs w:val="24"/>
        </w:rPr>
        <w:t xml:space="preserve">on fire because V had refused to give P his post office card and PIN. </w:t>
      </w:r>
      <w:r w:rsidR="00AC0F48">
        <w:rPr>
          <w:rFonts w:ascii="Times New Roman" w:hAnsi="Times New Roman" w:cs="Times New Roman"/>
          <w:sz w:val="24"/>
          <w:szCs w:val="24"/>
        </w:rPr>
        <w:t xml:space="preserve">The prosecution case against M (alleging a joint attack by P and M) depended upon establishing its case against P. M asserted that he had not been involved in V’s murder and ran a cut throat defence </w:t>
      </w:r>
      <w:r w:rsidR="008F40DE">
        <w:rPr>
          <w:rFonts w:ascii="Times New Roman" w:hAnsi="Times New Roman" w:cs="Times New Roman"/>
          <w:sz w:val="24"/>
          <w:szCs w:val="24"/>
        </w:rPr>
        <w:t>against P</w:t>
      </w:r>
      <w:r w:rsidR="00043175">
        <w:rPr>
          <w:rFonts w:ascii="Times New Roman" w:hAnsi="Times New Roman" w:cs="Times New Roman"/>
          <w:sz w:val="24"/>
          <w:szCs w:val="24"/>
        </w:rPr>
        <w:t xml:space="preserve">. P </w:t>
      </w:r>
      <w:r w:rsidR="00C82745">
        <w:rPr>
          <w:rFonts w:ascii="Times New Roman" w:hAnsi="Times New Roman" w:cs="Times New Roman"/>
          <w:sz w:val="24"/>
          <w:szCs w:val="24"/>
        </w:rPr>
        <w:t xml:space="preserve">did not positively assert that </w:t>
      </w:r>
      <w:r w:rsidR="00043175">
        <w:rPr>
          <w:rFonts w:ascii="Times New Roman" w:hAnsi="Times New Roman" w:cs="Times New Roman"/>
          <w:sz w:val="24"/>
          <w:szCs w:val="24"/>
        </w:rPr>
        <w:t>M</w:t>
      </w:r>
      <w:r w:rsidR="00C82745">
        <w:rPr>
          <w:rFonts w:ascii="Times New Roman" w:hAnsi="Times New Roman" w:cs="Times New Roman"/>
          <w:sz w:val="24"/>
          <w:szCs w:val="24"/>
        </w:rPr>
        <w:t xml:space="preserve"> had murdered </w:t>
      </w:r>
      <w:r w:rsidR="00043175">
        <w:rPr>
          <w:rFonts w:ascii="Times New Roman" w:hAnsi="Times New Roman" w:cs="Times New Roman"/>
          <w:sz w:val="24"/>
          <w:szCs w:val="24"/>
        </w:rPr>
        <w:t>V</w:t>
      </w:r>
      <w:r w:rsidR="00C82745">
        <w:rPr>
          <w:rFonts w:ascii="Times New Roman" w:hAnsi="Times New Roman" w:cs="Times New Roman"/>
          <w:sz w:val="24"/>
          <w:szCs w:val="24"/>
        </w:rPr>
        <w:t xml:space="preserve"> </w:t>
      </w:r>
      <w:r w:rsidR="00043175">
        <w:rPr>
          <w:rFonts w:ascii="Times New Roman" w:hAnsi="Times New Roman" w:cs="Times New Roman"/>
          <w:sz w:val="24"/>
          <w:szCs w:val="24"/>
        </w:rPr>
        <w:t xml:space="preserve">but </w:t>
      </w:r>
      <w:r w:rsidR="000A6A3D">
        <w:rPr>
          <w:rFonts w:ascii="Times New Roman" w:hAnsi="Times New Roman" w:cs="Times New Roman"/>
          <w:sz w:val="24"/>
          <w:szCs w:val="24"/>
        </w:rPr>
        <w:t>placed P in</w:t>
      </w:r>
      <w:r w:rsidR="00C82745">
        <w:rPr>
          <w:rFonts w:ascii="Times New Roman" w:hAnsi="Times New Roman" w:cs="Times New Roman"/>
          <w:sz w:val="24"/>
          <w:szCs w:val="24"/>
        </w:rPr>
        <w:t xml:space="preserve"> a group of three residents who might have done so. </w:t>
      </w:r>
    </w:p>
    <w:p w:rsidR="00DE19EF" w:rsidRDefault="006929D3" w:rsidP="004B6E38">
      <w:pPr>
        <w:rPr>
          <w:rFonts w:ascii="Times New Roman" w:hAnsi="Times New Roman" w:cs="Times New Roman"/>
          <w:sz w:val="24"/>
          <w:szCs w:val="24"/>
        </w:rPr>
      </w:pPr>
      <w:r>
        <w:rPr>
          <w:rFonts w:ascii="Times New Roman" w:hAnsi="Times New Roman" w:cs="Times New Roman"/>
          <w:sz w:val="24"/>
          <w:szCs w:val="24"/>
        </w:rPr>
        <w:t xml:space="preserve">P had numerous previous convictions including convictions for dishonesty offences and  </w:t>
      </w:r>
      <w:r w:rsidR="00492EFA">
        <w:rPr>
          <w:rFonts w:ascii="Times New Roman" w:hAnsi="Times New Roman" w:cs="Times New Roman"/>
          <w:sz w:val="24"/>
          <w:szCs w:val="24"/>
        </w:rPr>
        <w:t xml:space="preserve">for </w:t>
      </w:r>
      <w:r>
        <w:rPr>
          <w:rFonts w:ascii="Times New Roman" w:hAnsi="Times New Roman" w:cs="Times New Roman"/>
          <w:sz w:val="24"/>
          <w:szCs w:val="24"/>
        </w:rPr>
        <w:t xml:space="preserve">possessing offensive weapons. In particular, twenty three years earlier, when P was 15 years old, he had been convicted of arson and </w:t>
      </w:r>
      <w:r w:rsidR="00492EFA">
        <w:rPr>
          <w:rFonts w:ascii="Times New Roman" w:hAnsi="Times New Roman" w:cs="Times New Roman"/>
          <w:sz w:val="24"/>
          <w:szCs w:val="24"/>
        </w:rPr>
        <w:t>P</w:t>
      </w:r>
      <w:r>
        <w:rPr>
          <w:rFonts w:ascii="Times New Roman" w:hAnsi="Times New Roman" w:cs="Times New Roman"/>
          <w:sz w:val="24"/>
          <w:szCs w:val="24"/>
        </w:rPr>
        <w:t xml:space="preserve"> also had two convictions for causing grievous bodily harm (from 1995 and 2003). </w:t>
      </w:r>
      <w:r w:rsidR="00C82745">
        <w:rPr>
          <w:rFonts w:ascii="Times New Roman" w:hAnsi="Times New Roman" w:cs="Times New Roman"/>
          <w:sz w:val="24"/>
          <w:szCs w:val="24"/>
        </w:rPr>
        <w:t>The prosecution</w:t>
      </w:r>
      <w:r w:rsidR="00C975BA">
        <w:rPr>
          <w:rFonts w:ascii="Times New Roman" w:hAnsi="Times New Roman" w:cs="Times New Roman"/>
          <w:sz w:val="24"/>
          <w:szCs w:val="24"/>
        </w:rPr>
        <w:t xml:space="preserve"> did not apply to adduce evidence of P’s previous convictions but M applied to adduce evidence of </w:t>
      </w:r>
      <w:r w:rsidR="00492EFA">
        <w:rPr>
          <w:rFonts w:ascii="Times New Roman" w:hAnsi="Times New Roman" w:cs="Times New Roman"/>
          <w:sz w:val="24"/>
          <w:szCs w:val="24"/>
        </w:rPr>
        <w:t>them</w:t>
      </w:r>
      <w:r w:rsidR="00C975BA">
        <w:rPr>
          <w:rFonts w:ascii="Times New Roman" w:hAnsi="Times New Roman" w:cs="Times New Roman"/>
          <w:sz w:val="24"/>
          <w:szCs w:val="24"/>
        </w:rPr>
        <w:t xml:space="preserve"> under s.101(1)(e) of the Criminal Justice Act 2003. </w:t>
      </w:r>
      <w:r w:rsidR="003E4980">
        <w:rPr>
          <w:rFonts w:ascii="Times New Roman" w:hAnsi="Times New Roman" w:cs="Times New Roman"/>
          <w:sz w:val="24"/>
          <w:szCs w:val="24"/>
        </w:rPr>
        <w:t xml:space="preserve">The judge admitted evidence of </w:t>
      </w:r>
      <w:r w:rsidR="00426673">
        <w:rPr>
          <w:rFonts w:ascii="Times New Roman" w:hAnsi="Times New Roman" w:cs="Times New Roman"/>
          <w:sz w:val="24"/>
          <w:szCs w:val="24"/>
        </w:rPr>
        <w:t xml:space="preserve">the latter three convictions under s.101(1)(e) as evidence of P’s propensity to be untruthful because P had </w:t>
      </w:r>
      <w:r w:rsidR="000A6A3D">
        <w:rPr>
          <w:rFonts w:ascii="Times New Roman" w:hAnsi="Times New Roman" w:cs="Times New Roman"/>
          <w:sz w:val="24"/>
          <w:szCs w:val="24"/>
        </w:rPr>
        <w:t xml:space="preserve">implicitly put M’s credibility in issue and had put M in a group of three residents who might have murdered V. She held that the matters in issue between P and M were factual disputes concerning their respective locations in the guest house at the material time </w:t>
      </w:r>
      <w:r w:rsidR="00DB17F1">
        <w:rPr>
          <w:rFonts w:ascii="Times New Roman" w:hAnsi="Times New Roman" w:cs="Times New Roman"/>
          <w:sz w:val="24"/>
          <w:szCs w:val="24"/>
        </w:rPr>
        <w:t>and the credibility of P and M</w:t>
      </w:r>
      <w:r w:rsidR="00445777">
        <w:rPr>
          <w:rFonts w:ascii="Times New Roman" w:hAnsi="Times New Roman" w:cs="Times New Roman"/>
          <w:sz w:val="24"/>
          <w:szCs w:val="24"/>
        </w:rPr>
        <w:t xml:space="preserve"> and that the three </w:t>
      </w:r>
      <w:r w:rsidR="00DB17F1">
        <w:rPr>
          <w:rFonts w:ascii="Times New Roman" w:hAnsi="Times New Roman" w:cs="Times New Roman"/>
          <w:sz w:val="24"/>
          <w:szCs w:val="24"/>
        </w:rPr>
        <w:t xml:space="preserve">convictions had substantial probative value. In reaching her decision the judge relied upon </w:t>
      </w:r>
      <w:r w:rsidR="00DE19EF">
        <w:rPr>
          <w:rFonts w:ascii="Times New Roman" w:hAnsi="Times New Roman" w:cs="Times New Roman"/>
          <w:sz w:val="24"/>
          <w:szCs w:val="24"/>
        </w:rPr>
        <w:t xml:space="preserve">the decision </w:t>
      </w:r>
      <w:r w:rsidR="00492EFA">
        <w:rPr>
          <w:rFonts w:ascii="Times New Roman" w:hAnsi="Times New Roman" w:cs="Times New Roman"/>
          <w:sz w:val="24"/>
          <w:szCs w:val="24"/>
        </w:rPr>
        <w:t xml:space="preserve">at common law </w:t>
      </w:r>
      <w:r w:rsidR="00DE19EF">
        <w:rPr>
          <w:rFonts w:ascii="Times New Roman" w:hAnsi="Times New Roman" w:cs="Times New Roman"/>
          <w:sz w:val="24"/>
          <w:szCs w:val="24"/>
        </w:rPr>
        <w:t xml:space="preserve">of the House of Lords in </w:t>
      </w:r>
      <w:r w:rsidR="00DE19EF" w:rsidRPr="00DE19EF">
        <w:rPr>
          <w:rFonts w:ascii="Times New Roman" w:hAnsi="Times New Roman" w:cs="Times New Roman"/>
          <w:i/>
          <w:sz w:val="24"/>
          <w:szCs w:val="24"/>
        </w:rPr>
        <w:t>Randall</w:t>
      </w:r>
      <w:r w:rsidR="00DE19EF">
        <w:rPr>
          <w:rFonts w:ascii="Times New Roman" w:hAnsi="Times New Roman" w:cs="Times New Roman"/>
          <w:sz w:val="24"/>
          <w:szCs w:val="24"/>
        </w:rPr>
        <w:t xml:space="preserve"> </w:t>
      </w:r>
      <w:r w:rsidR="00DE19EF" w:rsidRPr="00445777">
        <w:rPr>
          <w:rFonts w:ascii="Times New Roman" w:hAnsi="Times New Roman" w:cs="Times New Roman"/>
          <w:sz w:val="24"/>
          <w:szCs w:val="24"/>
        </w:rPr>
        <w:t>[2004] 1 WLR 1413</w:t>
      </w:r>
      <w:r w:rsidR="00445777" w:rsidRPr="00445777">
        <w:rPr>
          <w:rFonts w:ascii="Times New Roman" w:hAnsi="Times New Roman" w:cs="Times New Roman"/>
          <w:sz w:val="24"/>
          <w:szCs w:val="24"/>
        </w:rPr>
        <w:t>.</w:t>
      </w:r>
      <w:r w:rsidR="00445777">
        <w:rPr>
          <w:rFonts w:ascii="Times New Roman" w:hAnsi="Times New Roman" w:cs="Times New Roman"/>
          <w:sz w:val="24"/>
          <w:szCs w:val="24"/>
        </w:rPr>
        <w:t xml:space="preserve"> </w:t>
      </w:r>
      <w:r w:rsidR="00EC7B90">
        <w:rPr>
          <w:rFonts w:ascii="Times New Roman" w:hAnsi="Times New Roman" w:cs="Times New Roman"/>
          <w:sz w:val="24"/>
          <w:szCs w:val="24"/>
        </w:rPr>
        <w:t xml:space="preserve">Following the judge’s decision to admit evidence of </w:t>
      </w:r>
      <w:r w:rsidR="00445777" w:rsidRPr="00EC7B90">
        <w:rPr>
          <w:rFonts w:ascii="Times New Roman" w:hAnsi="Times New Roman" w:cs="Times New Roman"/>
          <w:sz w:val="24"/>
          <w:szCs w:val="24"/>
        </w:rPr>
        <w:t xml:space="preserve">P’s three convictions, P then applied for </w:t>
      </w:r>
      <w:r w:rsidR="00EC7B90">
        <w:rPr>
          <w:rFonts w:ascii="Times New Roman" w:hAnsi="Times New Roman" w:cs="Times New Roman"/>
          <w:sz w:val="24"/>
          <w:szCs w:val="24"/>
        </w:rPr>
        <w:t xml:space="preserve">and was granted </w:t>
      </w:r>
      <w:r w:rsidR="00445777" w:rsidRPr="00EC7B90">
        <w:rPr>
          <w:rFonts w:ascii="Times New Roman" w:hAnsi="Times New Roman" w:cs="Times New Roman"/>
          <w:sz w:val="24"/>
          <w:szCs w:val="24"/>
        </w:rPr>
        <w:t>permission to adduce evidence of M’s convictions and those of the two other resi</w:t>
      </w:r>
      <w:r w:rsidR="00EC7B90">
        <w:rPr>
          <w:rFonts w:ascii="Times New Roman" w:hAnsi="Times New Roman" w:cs="Times New Roman"/>
          <w:sz w:val="24"/>
          <w:szCs w:val="24"/>
        </w:rPr>
        <w:t xml:space="preserve">dents referred to above, which resulted in the judge then admitting </w:t>
      </w:r>
      <w:r w:rsidR="00445777" w:rsidRPr="00EC7B90">
        <w:rPr>
          <w:rFonts w:ascii="Times New Roman" w:hAnsi="Times New Roman" w:cs="Times New Roman"/>
          <w:sz w:val="24"/>
          <w:szCs w:val="24"/>
        </w:rPr>
        <w:t>evidence of P’s dishonesty convictions.</w:t>
      </w:r>
      <w:r w:rsidR="00445777">
        <w:rPr>
          <w:rFonts w:ascii="Times New Roman" w:hAnsi="Times New Roman" w:cs="Times New Roman"/>
          <w:sz w:val="24"/>
          <w:szCs w:val="24"/>
        </w:rPr>
        <w:t xml:space="preserve"> </w:t>
      </w:r>
    </w:p>
    <w:p w:rsidR="00EC7B90" w:rsidRDefault="00EC7B90" w:rsidP="004B6E38">
      <w:pPr>
        <w:rPr>
          <w:rFonts w:ascii="Times New Roman" w:hAnsi="Times New Roman" w:cs="Times New Roman"/>
          <w:sz w:val="24"/>
          <w:szCs w:val="24"/>
        </w:rPr>
      </w:pPr>
      <w:r>
        <w:rPr>
          <w:rFonts w:ascii="Times New Roman" w:hAnsi="Times New Roman" w:cs="Times New Roman"/>
          <w:sz w:val="24"/>
          <w:szCs w:val="24"/>
        </w:rPr>
        <w:t>On appeal, P</w:t>
      </w:r>
      <w:r w:rsidR="001D5048">
        <w:rPr>
          <w:rFonts w:ascii="Times New Roman" w:hAnsi="Times New Roman" w:cs="Times New Roman"/>
          <w:sz w:val="24"/>
          <w:szCs w:val="24"/>
        </w:rPr>
        <w:t>,</w:t>
      </w:r>
      <w:r>
        <w:rPr>
          <w:rFonts w:ascii="Times New Roman" w:hAnsi="Times New Roman" w:cs="Times New Roman"/>
          <w:sz w:val="24"/>
          <w:szCs w:val="24"/>
        </w:rPr>
        <w:t xml:space="preserve"> submitt</w:t>
      </w:r>
      <w:r w:rsidR="00492EFA">
        <w:rPr>
          <w:rFonts w:ascii="Times New Roman" w:hAnsi="Times New Roman" w:cs="Times New Roman"/>
          <w:sz w:val="24"/>
          <w:szCs w:val="24"/>
        </w:rPr>
        <w:t>ed</w:t>
      </w:r>
      <w:r>
        <w:rPr>
          <w:rFonts w:ascii="Times New Roman" w:hAnsi="Times New Roman" w:cs="Times New Roman"/>
          <w:sz w:val="24"/>
          <w:szCs w:val="24"/>
        </w:rPr>
        <w:t xml:space="preserve"> that the arson conviction could only </w:t>
      </w:r>
      <w:r w:rsidR="001D5048">
        <w:rPr>
          <w:rFonts w:ascii="Times New Roman" w:hAnsi="Times New Roman" w:cs="Times New Roman"/>
          <w:sz w:val="24"/>
          <w:szCs w:val="24"/>
        </w:rPr>
        <w:t xml:space="preserve">be admissible if it had </w:t>
      </w:r>
      <w:r>
        <w:rPr>
          <w:rFonts w:ascii="Times New Roman" w:hAnsi="Times New Roman" w:cs="Times New Roman"/>
          <w:sz w:val="24"/>
          <w:szCs w:val="24"/>
        </w:rPr>
        <w:t xml:space="preserve">substantial probative value in relation to propensity to arson and that the two convictions for causing grievous bodily harm could only </w:t>
      </w:r>
      <w:r w:rsidR="001D5048">
        <w:rPr>
          <w:rFonts w:ascii="Times New Roman" w:hAnsi="Times New Roman" w:cs="Times New Roman"/>
          <w:sz w:val="24"/>
          <w:szCs w:val="24"/>
        </w:rPr>
        <w:t>be admissible if they had</w:t>
      </w:r>
      <w:r>
        <w:rPr>
          <w:rFonts w:ascii="Times New Roman" w:hAnsi="Times New Roman" w:cs="Times New Roman"/>
          <w:sz w:val="24"/>
          <w:szCs w:val="24"/>
        </w:rPr>
        <w:t xml:space="preserve"> substantial probative value </w:t>
      </w:r>
      <w:r>
        <w:rPr>
          <w:rFonts w:ascii="Times New Roman" w:hAnsi="Times New Roman" w:cs="Times New Roman"/>
          <w:sz w:val="24"/>
          <w:szCs w:val="24"/>
        </w:rPr>
        <w:lastRenderedPageBreak/>
        <w:t>in relation to propensity to violence</w:t>
      </w:r>
      <w:r w:rsidR="00492EFA">
        <w:rPr>
          <w:rFonts w:ascii="Times New Roman" w:hAnsi="Times New Roman" w:cs="Times New Roman"/>
          <w:sz w:val="24"/>
          <w:szCs w:val="24"/>
        </w:rPr>
        <w:t xml:space="preserve">. P, however, </w:t>
      </w:r>
      <w:r w:rsidR="001D5048">
        <w:rPr>
          <w:rFonts w:ascii="Times New Roman" w:hAnsi="Times New Roman" w:cs="Times New Roman"/>
          <w:sz w:val="24"/>
          <w:szCs w:val="24"/>
        </w:rPr>
        <w:t xml:space="preserve">highlighted the time intervals between the convictions and the murder, </w:t>
      </w:r>
      <w:r>
        <w:rPr>
          <w:rFonts w:ascii="Times New Roman" w:hAnsi="Times New Roman" w:cs="Times New Roman"/>
          <w:sz w:val="24"/>
          <w:szCs w:val="24"/>
        </w:rPr>
        <w:t xml:space="preserve"> the fact that the circumstances of the arson were very different to those of the murder and the fact that the nature of the two convictions for causing grievous bodily harm was different to th</w:t>
      </w:r>
      <w:r w:rsidR="001D5048">
        <w:rPr>
          <w:rFonts w:ascii="Times New Roman" w:hAnsi="Times New Roman" w:cs="Times New Roman"/>
          <w:sz w:val="24"/>
          <w:szCs w:val="24"/>
        </w:rPr>
        <w:t xml:space="preserve">at of the murder. P asserted that the convictions could not be relevant to credibility; the very ground upon which the judge had admitted them. P also asserted that the judge </w:t>
      </w:r>
      <w:r w:rsidR="00492EFA">
        <w:rPr>
          <w:rFonts w:ascii="Times New Roman" w:hAnsi="Times New Roman" w:cs="Times New Roman"/>
          <w:sz w:val="24"/>
          <w:szCs w:val="24"/>
        </w:rPr>
        <w:t xml:space="preserve">had </w:t>
      </w:r>
      <w:r w:rsidR="001D5048">
        <w:rPr>
          <w:rFonts w:ascii="Times New Roman" w:hAnsi="Times New Roman" w:cs="Times New Roman"/>
          <w:sz w:val="24"/>
          <w:szCs w:val="24"/>
        </w:rPr>
        <w:t>relied on a common law decision (</w:t>
      </w:r>
      <w:r w:rsidR="001D5048" w:rsidRPr="001D5048">
        <w:rPr>
          <w:rFonts w:ascii="Times New Roman" w:hAnsi="Times New Roman" w:cs="Times New Roman"/>
          <w:i/>
          <w:sz w:val="24"/>
          <w:szCs w:val="24"/>
        </w:rPr>
        <w:t>Randall</w:t>
      </w:r>
      <w:r w:rsidR="001D5048">
        <w:rPr>
          <w:rFonts w:ascii="Times New Roman" w:hAnsi="Times New Roman" w:cs="Times New Roman"/>
          <w:sz w:val="24"/>
          <w:szCs w:val="24"/>
        </w:rPr>
        <w:t xml:space="preserve">) but that s.99 of the 2003 Act had abolished the relevant common law principles. </w:t>
      </w:r>
    </w:p>
    <w:p w:rsidR="001D5048" w:rsidRPr="001D5048" w:rsidRDefault="00680767">
      <w:pPr>
        <w:rPr>
          <w:rFonts w:ascii="Times New Roman" w:hAnsi="Times New Roman" w:cs="Times New Roman"/>
          <w:sz w:val="24"/>
          <w:szCs w:val="24"/>
        </w:rPr>
      </w:pPr>
      <w:r w:rsidRPr="001D5048">
        <w:rPr>
          <w:rFonts w:ascii="Times New Roman" w:hAnsi="Times New Roman" w:cs="Times New Roman"/>
          <w:b/>
          <w:sz w:val="24"/>
          <w:szCs w:val="24"/>
        </w:rPr>
        <w:t>H</w:t>
      </w:r>
      <w:r w:rsidR="004D3A7E" w:rsidRPr="001D5048">
        <w:rPr>
          <w:rFonts w:ascii="Times New Roman" w:hAnsi="Times New Roman" w:cs="Times New Roman"/>
          <w:b/>
          <w:sz w:val="24"/>
          <w:szCs w:val="24"/>
        </w:rPr>
        <w:t xml:space="preserve">eld, </w:t>
      </w:r>
      <w:r w:rsidR="00E50783" w:rsidRPr="001D5048">
        <w:rPr>
          <w:rFonts w:ascii="Times New Roman" w:hAnsi="Times New Roman" w:cs="Times New Roman"/>
          <w:b/>
          <w:sz w:val="24"/>
          <w:szCs w:val="24"/>
        </w:rPr>
        <w:t xml:space="preserve">in </w:t>
      </w:r>
      <w:r w:rsidR="004D3A7E" w:rsidRPr="001D5048">
        <w:rPr>
          <w:rFonts w:ascii="Times New Roman" w:hAnsi="Times New Roman" w:cs="Times New Roman"/>
          <w:b/>
          <w:sz w:val="24"/>
          <w:szCs w:val="24"/>
        </w:rPr>
        <w:t>dismissing the appeal</w:t>
      </w:r>
      <w:r w:rsidR="004D3A7E" w:rsidRPr="001D5048">
        <w:rPr>
          <w:rFonts w:ascii="Times New Roman" w:hAnsi="Times New Roman" w:cs="Times New Roman"/>
          <w:sz w:val="24"/>
          <w:szCs w:val="24"/>
        </w:rPr>
        <w:t xml:space="preserve">, </w:t>
      </w:r>
    </w:p>
    <w:p w:rsidR="001D5048" w:rsidRDefault="001D5048" w:rsidP="001D5048">
      <w:pPr>
        <w:rPr>
          <w:rFonts w:ascii="Times New Roman" w:hAnsi="Times New Roman" w:cs="Times New Roman"/>
          <w:sz w:val="24"/>
          <w:szCs w:val="24"/>
        </w:rPr>
      </w:pPr>
      <w:r>
        <w:rPr>
          <w:rFonts w:ascii="Times New Roman" w:hAnsi="Times New Roman" w:cs="Times New Roman"/>
          <w:sz w:val="24"/>
          <w:szCs w:val="24"/>
        </w:rPr>
        <w:t xml:space="preserve">The judge had been bound to determine the admissibility of P’s convictions under </w:t>
      </w:r>
      <w:r w:rsidR="00BB2B9C">
        <w:rPr>
          <w:rFonts w:ascii="Times New Roman" w:hAnsi="Times New Roman" w:cs="Times New Roman"/>
          <w:sz w:val="24"/>
          <w:szCs w:val="24"/>
        </w:rPr>
        <w:t xml:space="preserve">s.101(1)(e) of </w:t>
      </w:r>
      <w:r>
        <w:rPr>
          <w:rFonts w:ascii="Times New Roman" w:hAnsi="Times New Roman" w:cs="Times New Roman"/>
          <w:sz w:val="24"/>
          <w:szCs w:val="24"/>
        </w:rPr>
        <w:t>the 2003 Act</w:t>
      </w:r>
      <w:r w:rsidR="00492EFA">
        <w:rPr>
          <w:rFonts w:ascii="Times New Roman" w:hAnsi="Times New Roman" w:cs="Times New Roman"/>
          <w:sz w:val="24"/>
          <w:szCs w:val="24"/>
        </w:rPr>
        <w:t>,</w:t>
      </w:r>
      <w:r>
        <w:rPr>
          <w:rFonts w:ascii="Times New Roman" w:hAnsi="Times New Roman" w:cs="Times New Roman"/>
          <w:sz w:val="24"/>
          <w:szCs w:val="24"/>
        </w:rPr>
        <w:t xml:space="preserve"> which had abolished the common law principles in </w:t>
      </w:r>
      <w:r w:rsidRPr="001D5048">
        <w:rPr>
          <w:rFonts w:ascii="Times New Roman" w:hAnsi="Times New Roman" w:cs="Times New Roman"/>
          <w:i/>
          <w:sz w:val="24"/>
          <w:szCs w:val="24"/>
        </w:rPr>
        <w:t>Randall</w:t>
      </w:r>
      <w:r>
        <w:rPr>
          <w:rFonts w:ascii="Times New Roman" w:hAnsi="Times New Roman" w:cs="Times New Roman"/>
          <w:sz w:val="24"/>
          <w:szCs w:val="24"/>
        </w:rPr>
        <w:t xml:space="preserve">. </w:t>
      </w:r>
      <w:r w:rsidR="00492EFA">
        <w:rPr>
          <w:rFonts w:ascii="Times New Roman" w:hAnsi="Times New Roman" w:cs="Times New Roman"/>
          <w:sz w:val="24"/>
          <w:szCs w:val="24"/>
        </w:rPr>
        <w:t xml:space="preserve"> Whilst t</w:t>
      </w:r>
      <w:r>
        <w:rPr>
          <w:rFonts w:ascii="Times New Roman" w:hAnsi="Times New Roman" w:cs="Times New Roman"/>
          <w:sz w:val="24"/>
          <w:szCs w:val="24"/>
        </w:rPr>
        <w:t xml:space="preserve">he common law principles were set out in </w:t>
      </w:r>
      <w:r w:rsidRPr="001D5048">
        <w:rPr>
          <w:rFonts w:ascii="Times New Roman" w:hAnsi="Times New Roman" w:cs="Times New Roman"/>
          <w:i/>
          <w:sz w:val="24"/>
          <w:szCs w:val="24"/>
        </w:rPr>
        <w:t>Archbold</w:t>
      </w:r>
      <w:r w:rsidR="00492EFA">
        <w:rPr>
          <w:rFonts w:ascii="Times New Roman" w:hAnsi="Times New Roman" w:cs="Times New Roman"/>
          <w:i/>
          <w:sz w:val="24"/>
          <w:szCs w:val="24"/>
        </w:rPr>
        <w:t xml:space="preserve">, </w:t>
      </w:r>
      <w:r w:rsidR="00492EFA" w:rsidRPr="00492EFA">
        <w:rPr>
          <w:rFonts w:ascii="Times New Roman" w:hAnsi="Times New Roman" w:cs="Times New Roman"/>
          <w:sz w:val="24"/>
          <w:szCs w:val="24"/>
        </w:rPr>
        <w:t>they</w:t>
      </w:r>
      <w:r w:rsidRPr="00492EFA">
        <w:rPr>
          <w:rFonts w:ascii="Times New Roman" w:hAnsi="Times New Roman" w:cs="Times New Roman"/>
          <w:sz w:val="24"/>
          <w:szCs w:val="24"/>
        </w:rPr>
        <w:t xml:space="preserve"> </w:t>
      </w:r>
      <w:r w:rsidRPr="001D5048">
        <w:rPr>
          <w:rFonts w:ascii="Times New Roman" w:hAnsi="Times New Roman" w:cs="Times New Roman"/>
          <w:sz w:val="24"/>
          <w:szCs w:val="24"/>
        </w:rPr>
        <w:t xml:space="preserve">were </w:t>
      </w:r>
      <w:r>
        <w:rPr>
          <w:rFonts w:ascii="Times New Roman" w:hAnsi="Times New Roman" w:cs="Times New Roman"/>
          <w:sz w:val="24"/>
          <w:szCs w:val="24"/>
        </w:rPr>
        <w:t xml:space="preserve">not relevant to admissibility under the 2003 Act. The sole test applied should be that in </w:t>
      </w:r>
      <w:r w:rsidR="00BB2B9C">
        <w:rPr>
          <w:rFonts w:ascii="Times New Roman" w:hAnsi="Times New Roman" w:cs="Times New Roman"/>
          <w:sz w:val="24"/>
          <w:szCs w:val="24"/>
        </w:rPr>
        <w:t xml:space="preserve">s.101(1)(e) and this was especially important because </w:t>
      </w:r>
      <w:r w:rsidR="00492EFA">
        <w:rPr>
          <w:rFonts w:ascii="Times New Roman" w:hAnsi="Times New Roman" w:cs="Times New Roman"/>
          <w:sz w:val="24"/>
          <w:szCs w:val="24"/>
        </w:rPr>
        <w:t>(</w:t>
      </w:r>
      <w:r w:rsidR="00BB2B9C">
        <w:rPr>
          <w:rFonts w:ascii="Times New Roman" w:hAnsi="Times New Roman" w:cs="Times New Roman"/>
          <w:sz w:val="24"/>
          <w:szCs w:val="24"/>
        </w:rPr>
        <w:t>unlike the position where evidence of bad character is tendered by the prosecution</w:t>
      </w:r>
      <w:r w:rsidR="002B59F1">
        <w:rPr>
          <w:rFonts w:ascii="Times New Roman" w:hAnsi="Times New Roman" w:cs="Times New Roman"/>
          <w:sz w:val="24"/>
          <w:szCs w:val="24"/>
        </w:rPr>
        <w:t xml:space="preserve"> under s.101(1)(d)</w:t>
      </w:r>
      <w:r w:rsidR="00492EFA">
        <w:rPr>
          <w:rFonts w:ascii="Times New Roman" w:hAnsi="Times New Roman" w:cs="Times New Roman"/>
          <w:sz w:val="24"/>
          <w:szCs w:val="24"/>
        </w:rPr>
        <w:t>)</w:t>
      </w:r>
      <w:r w:rsidR="00BB2B9C">
        <w:rPr>
          <w:rFonts w:ascii="Times New Roman" w:hAnsi="Times New Roman" w:cs="Times New Roman"/>
          <w:sz w:val="24"/>
          <w:szCs w:val="24"/>
        </w:rPr>
        <w:t xml:space="preserve">, where evidence </w:t>
      </w:r>
      <w:r w:rsidR="00492EFA">
        <w:rPr>
          <w:rFonts w:ascii="Times New Roman" w:hAnsi="Times New Roman" w:cs="Times New Roman"/>
          <w:sz w:val="24"/>
          <w:szCs w:val="24"/>
        </w:rPr>
        <w:t xml:space="preserve">of bad character </w:t>
      </w:r>
      <w:r w:rsidR="00BB2B9C">
        <w:rPr>
          <w:rFonts w:ascii="Times New Roman" w:hAnsi="Times New Roman" w:cs="Times New Roman"/>
          <w:sz w:val="24"/>
          <w:szCs w:val="24"/>
        </w:rPr>
        <w:t>is admissible under s.101(1)(e) the court does not possess discretion to exclude it. The substantial probative value test in s.101(1)(e) is a higher test than the test of relevance in s</w:t>
      </w:r>
      <w:r w:rsidR="00492EFA">
        <w:rPr>
          <w:rFonts w:ascii="Times New Roman" w:hAnsi="Times New Roman" w:cs="Times New Roman"/>
          <w:sz w:val="24"/>
          <w:szCs w:val="24"/>
        </w:rPr>
        <w:t>.</w:t>
      </w:r>
      <w:r w:rsidR="00BB2B9C">
        <w:rPr>
          <w:rFonts w:ascii="Times New Roman" w:hAnsi="Times New Roman" w:cs="Times New Roman"/>
          <w:sz w:val="24"/>
          <w:szCs w:val="24"/>
        </w:rPr>
        <w:t xml:space="preserve">101(1)(d). Section 104(1) (which relates to propensity to untruthfulness or credibility under s.101(1)(e)) had not been </w:t>
      </w:r>
      <w:r w:rsidR="002B59F1">
        <w:rPr>
          <w:rFonts w:ascii="Times New Roman" w:hAnsi="Times New Roman" w:cs="Times New Roman"/>
          <w:sz w:val="24"/>
          <w:szCs w:val="24"/>
        </w:rPr>
        <w:t xml:space="preserve">applicable </w:t>
      </w:r>
      <w:r w:rsidR="00BB2B9C">
        <w:rPr>
          <w:rFonts w:ascii="Times New Roman" w:hAnsi="Times New Roman" w:cs="Times New Roman"/>
          <w:sz w:val="24"/>
          <w:szCs w:val="24"/>
        </w:rPr>
        <w:t>because the admissibility of P’s three convictions could not have been based on substantial probative value in relation to credibili</w:t>
      </w:r>
      <w:r w:rsidR="00B51113">
        <w:rPr>
          <w:rFonts w:ascii="Times New Roman" w:hAnsi="Times New Roman" w:cs="Times New Roman"/>
          <w:sz w:val="24"/>
          <w:szCs w:val="24"/>
        </w:rPr>
        <w:t xml:space="preserve">ty. Consequently, the two questions for the court were whether the evidence had substantial probative value and whether the matter in relation to which it had substantial probative value was of substantial importance in the context of the case as a whole. The word substantial was an ordinary word which required no gloss but should be given its ordinary meaning. It was neither necessary nor desirable to refer to the common law concerning the admissibility of evidence of bad character that the 2003 Act had abolished and the time might well have come to remove references to it from textbooks. If the judge had solely concentrated on the two questions referred to above she would have concluded that they were not of substantial probative value in relation to propensity. </w:t>
      </w:r>
      <w:r w:rsidR="00492EFA">
        <w:rPr>
          <w:rFonts w:ascii="Times New Roman" w:hAnsi="Times New Roman" w:cs="Times New Roman"/>
          <w:sz w:val="24"/>
          <w:szCs w:val="24"/>
        </w:rPr>
        <w:t xml:space="preserve">The </w:t>
      </w:r>
      <w:r w:rsidR="002B59F1">
        <w:rPr>
          <w:rFonts w:ascii="Times New Roman" w:hAnsi="Times New Roman" w:cs="Times New Roman"/>
          <w:sz w:val="24"/>
          <w:szCs w:val="24"/>
        </w:rPr>
        <w:t>judge’s</w:t>
      </w:r>
      <w:r w:rsidR="00492EFA">
        <w:rPr>
          <w:rFonts w:ascii="Times New Roman" w:hAnsi="Times New Roman" w:cs="Times New Roman"/>
          <w:sz w:val="24"/>
          <w:szCs w:val="24"/>
        </w:rPr>
        <w:t xml:space="preserve"> directions to the jury had, however, emphasised the limited value of the evidence to propensity, the age of the convictions, the very different circumstances and the limited assistance that the jury would be given by the dishonesty convictions.  Thus, the jury would have attached little or no weight to the convictions and there was very strong evidence against P. Consequently, P’s conviction was not unsafe.</w:t>
      </w:r>
    </w:p>
    <w:p w:rsidR="00B83F48" w:rsidRPr="002B59F1" w:rsidRDefault="00B83F48" w:rsidP="00B83F48">
      <w:pPr>
        <w:rPr>
          <w:rFonts w:ascii="Times New Roman" w:hAnsi="Times New Roman" w:cs="Times New Roman"/>
          <w:sz w:val="24"/>
          <w:szCs w:val="24"/>
        </w:rPr>
      </w:pPr>
      <w:r w:rsidRPr="002B59F1">
        <w:rPr>
          <w:rFonts w:ascii="Times New Roman" w:hAnsi="Times New Roman" w:cs="Times New Roman"/>
          <w:sz w:val="24"/>
          <w:szCs w:val="24"/>
        </w:rPr>
        <w:t>COMMENTARY</w:t>
      </w:r>
    </w:p>
    <w:p w:rsidR="00F107E9" w:rsidRDefault="00F107E9" w:rsidP="00B83F48">
      <w:pPr>
        <w:rPr>
          <w:rFonts w:ascii="Times New Roman" w:hAnsi="Times New Roman" w:cs="Times New Roman"/>
          <w:sz w:val="24"/>
          <w:szCs w:val="24"/>
        </w:rPr>
      </w:pPr>
      <w:r>
        <w:rPr>
          <w:rFonts w:ascii="Times New Roman" w:hAnsi="Times New Roman" w:cs="Times New Roman"/>
          <w:sz w:val="24"/>
          <w:szCs w:val="24"/>
        </w:rPr>
        <w:t xml:space="preserve">The admissibility of evidence of the bad character both of the accused and of persons other than the accused is governed by provisions of the Criminal Justice Act 2003. Section 99 of the 2003 Act abolished the common law rules which had formerly applied in this area </w:t>
      </w:r>
      <w:r w:rsidR="000F2397">
        <w:rPr>
          <w:rFonts w:ascii="Times New Roman" w:hAnsi="Times New Roman" w:cs="Times New Roman"/>
          <w:sz w:val="24"/>
          <w:szCs w:val="24"/>
        </w:rPr>
        <w:t>(</w:t>
      </w:r>
      <w:r>
        <w:rPr>
          <w:rFonts w:ascii="Times New Roman" w:hAnsi="Times New Roman" w:cs="Times New Roman"/>
          <w:sz w:val="24"/>
          <w:szCs w:val="24"/>
        </w:rPr>
        <w:t xml:space="preserve">apart from </w:t>
      </w:r>
      <w:r w:rsidR="000F2397">
        <w:rPr>
          <w:rFonts w:ascii="Times New Roman" w:hAnsi="Times New Roman" w:cs="Times New Roman"/>
          <w:sz w:val="24"/>
          <w:szCs w:val="24"/>
        </w:rPr>
        <w:t xml:space="preserve">a </w:t>
      </w:r>
      <w:r>
        <w:rPr>
          <w:rFonts w:ascii="Times New Roman" w:hAnsi="Times New Roman" w:cs="Times New Roman"/>
          <w:sz w:val="24"/>
          <w:szCs w:val="24"/>
        </w:rPr>
        <w:t>common law rule</w:t>
      </w:r>
      <w:r w:rsidR="000F2397">
        <w:rPr>
          <w:rFonts w:ascii="Times New Roman" w:hAnsi="Times New Roman" w:cs="Times New Roman"/>
          <w:sz w:val="24"/>
          <w:szCs w:val="24"/>
        </w:rPr>
        <w:t xml:space="preserve">, </w:t>
      </w:r>
      <w:r>
        <w:rPr>
          <w:rFonts w:ascii="Times New Roman" w:hAnsi="Times New Roman" w:cs="Times New Roman"/>
          <w:sz w:val="24"/>
          <w:szCs w:val="24"/>
        </w:rPr>
        <w:t>preserved by s.118(1)</w:t>
      </w:r>
      <w:r w:rsidR="000F2397">
        <w:rPr>
          <w:rFonts w:ascii="Times New Roman" w:hAnsi="Times New Roman" w:cs="Times New Roman"/>
          <w:sz w:val="24"/>
          <w:szCs w:val="24"/>
        </w:rPr>
        <w:t xml:space="preserve">, </w:t>
      </w:r>
      <w:r>
        <w:rPr>
          <w:rFonts w:ascii="Times New Roman" w:hAnsi="Times New Roman" w:cs="Times New Roman"/>
          <w:sz w:val="24"/>
          <w:szCs w:val="24"/>
        </w:rPr>
        <w:t>which allows evidence of reputation to be admitted to prove bad character</w:t>
      </w:r>
      <w:r w:rsidR="000F2397">
        <w:rPr>
          <w:rFonts w:ascii="Times New Roman" w:hAnsi="Times New Roman" w:cs="Times New Roman"/>
          <w:sz w:val="24"/>
          <w:szCs w:val="24"/>
        </w:rPr>
        <w:t>)</w:t>
      </w:r>
      <w:r>
        <w:rPr>
          <w:rFonts w:ascii="Times New Roman" w:hAnsi="Times New Roman" w:cs="Times New Roman"/>
          <w:sz w:val="24"/>
          <w:szCs w:val="24"/>
        </w:rPr>
        <w:t>.</w:t>
      </w:r>
      <w:r w:rsidR="000F2397">
        <w:rPr>
          <w:rFonts w:ascii="Times New Roman" w:hAnsi="Times New Roman" w:cs="Times New Roman"/>
          <w:sz w:val="24"/>
          <w:szCs w:val="24"/>
        </w:rPr>
        <w:t xml:space="preserve"> T</w:t>
      </w:r>
      <w:r>
        <w:rPr>
          <w:rFonts w:ascii="Times New Roman" w:hAnsi="Times New Roman" w:cs="Times New Roman"/>
          <w:sz w:val="24"/>
          <w:szCs w:val="24"/>
        </w:rPr>
        <w:t xml:space="preserve">he decision of the House of Lords in </w:t>
      </w:r>
      <w:r w:rsidRPr="00F107E9">
        <w:rPr>
          <w:rFonts w:ascii="Times New Roman" w:hAnsi="Times New Roman" w:cs="Times New Roman"/>
          <w:i/>
          <w:sz w:val="24"/>
          <w:szCs w:val="24"/>
        </w:rPr>
        <w:t>Randall</w:t>
      </w:r>
      <w:r>
        <w:rPr>
          <w:rFonts w:ascii="Times New Roman" w:hAnsi="Times New Roman" w:cs="Times New Roman"/>
          <w:sz w:val="24"/>
          <w:szCs w:val="24"/>
        </w:rPr>
        <w:t xml:space="preserve"> </w:t>
      </w:r>
      <w:r w:rsidR="000F2397">
        <w:rPr>
          <w:rFonts w:ascii="Times New Roman" w:hAnsi="Times New Roman" w:cs="Times New Roman"/>
          <w:sz w:val="24"/>
          <w:szCs w:val="24"/>
        </w:rPr>
        <w:t xml:space="preserve">was a leading case in relation to the admissibility of evidence of the accused’s bad character </w:t>
      </w:r>
      <w:r w:rsidR="00396595">
        <w:rPr>
          <w:rFonts w:ascii="Times New Roman" w:hAnsi="Times New Roman" w:cs="Times New Roman"/>
          <w:sz w:val="24"/>
          <w:szCs w:val="24"/>
        </w:rPr>
        <w:t xml:space="preserve">for a co-defendant </w:t>
      </w:r>
      <w:r w:rsidR="000F2397">
        <w:rPr>
          <w:rFonts w:ascii="Times New Roman" w:hAnsi="Times New Roman" w:cs="Times New Roman"/>
          <w:sz w:val="24"/>
          <w:szCs w:val="24"/>
        </w:rPr>
        <w:t xml:space="preserve">at common law but as the Court of Appeal indicated in </w:t>
      </w:r>
      <w:r w:rsidR="000F2397" w:rsidRPr="000F2397">
        <w:rPr>
          <w:rFonts w:ascii="Times New Roman" w:hAnsi="Times New Roman" w:cs="Times New Roman"/>
          <w:i/>
          <w:sz w:val="24"/>
          <w:szCs w:val="24"/>
        </w:rPr>
        <w:t>Platt</w:t>
      </w:r>
      <w:r w:rsidR="000F2397">
        <w:rPr>
          <w:rFonts w:ascii="Times New Roman" w:hAnsi="Times New Roman" w:cs="Times New Roman"/>
          <w:sz w:val="24"/>
          <w:szCs w:val="24"/>
        </w:rPr>
        <w:t xml:space="preserve"> the relevant common law principles were abolished by s.99 of the 2003 Act. Thus, in accordance with the </w:t>
      </w:r>
      <w:r w:rsidR="000F2397">
        <w:rPr>
          <w:rFonts w:ascii="Times New Roman" w:hAnsi="Times New Roman" w:cs="Times New Roman"/>
          <w:sz w:val="24"/>
          <w:szCs w:val="24"/>
        </w:rPr>
        <w:lastRenderedPageBreak/>
        <w:t xml:space="preserve">decision in </w:t>
      </w:r>
      <w:r w:rsidR="000F2397" w:rsidRPr="000F2397">
        <w:rPr>
          <w:rFonts w:ascii="Times New Roman" w:hAnsi="Times New Roman" w:cs="Times New Roman"/>
          <w:i/>
          <w:sz w:val="24"/>
          <w:szCs w:val="24"/>
        </w:rPr>
        <w:t>Platt</w:t>
      </w:r>
      <w:r w:rsidR="000F2397">
        <w:rPr>
          <w:rFonts w:ascii="Times New Roman" w:hAnsi="Times New Roman" w:cs="Times New Roman"/>
          <w:sz w:val="24"/>
          <w:szCs w:val="24"/>
        </w:rPr>
        <w:t>, it is both unnecessary and probably undesirable to re-examine those common law principles further here. Rather, the key is to focus on the principles of the 2003 Act which now govern the admissibility of evidence of bad character in criminal proceedings.</w:t>
      </w:r>
    </w:p>
    <w:p w:rsidR="00396595" w:rsidRDefault="000F2397" w:rsidP="0035101A">
      <w:pPr>
        <w:rPr>
          <w:rFonts w:ascii="Times New Roman" w:hAnsi="Times New Roman" w:cs="Times New Roman"/>
          <w:sz w:val="24"/>
          <w:szCs w:val="24"/>
        </w:rPr>
      </w:pPr>
      <w:r>
        <w:rPr>
          <w:rFonts w:ascii="Times New Roman" w:hAnsi="Times New Roman" w:cs="Times New Roman"/>
          <w:sz w:val="24"/>
          <w:szCs w:val="24"/>
        </w:rPr>
        <w:t xml:space="preserve">Where a co-defendant wishes to adduce evidence of a defendant’s bad character, the 2003 Act creates three potential gateways. The first is s.101(1)(a), under which evidence of a defendant’s bad character is admissible if the parties all agree. The second is s.101(1)(c), a gateway available both to the prosecution and to the defence, under which evidence of a defendant’s bad character may be admissible as “important explanatory evidence”. The third, which was the relevant gateway in </w:t>
      </w:r>
      <w:r w:rsidRPr="000F2397">
        <w:rPr>
          <w:rFonts w:ascii="Times New Roman" w:hAnsi="Times New Roman" w:cs="Times New Roman"/>
          <w:i/>
          <w:sz w:val="24"/>
          <w:szCs w:val="24"/>
        </w:rPr>
        <w:t>Platt</w:t>
      </w:r>
      <w:r>
        <w:rPr>
          <w:rFonts w:ascii="Times New Roman" w:hAnsi="Times New Roman" w:cs="Times New Roman"/>
          <w:sz w:val="24"/>
          <w:szCs w:val="24"/>
        </w:rPr>
        <w:t>, is s.101(1)(e), under which evidence of a defendant</w:t>
      </w:r>
      <w:r w:rsidR="00F27AD6">
        <w:rPr>
          <w:rFonts w:ascii="Times New Roman" w:hAnsi="Times New Roman" w:cs="Times New Roman"/>
          <w:sz w:val="24"/>
          <w:szCs w:val="24"/>
        </w:rPr>
        <w:t>’</w:t>
      </w:r>
      <w:r>
        <w:rPr>
          <w:rFonts w:ascii="Times New Roman" w:hAnsi="Times New Roman" w:cs="Times New Roman"/>
          <w:sz w:val="24"/>
          <w:szCs w:val="24"/>
        </w:rPr>
        <w:t xml:space="preserve">s bad character may be admissible for a co-defendant if </w:t>
      </w:r>
      <w:r w:rsidR="00E21C4A">
        <w:rPr>
          <w:rFonts w:ascii="Times New Roman" w:hAnsi="Times New Roman" w:cs="Times New Roman"/>
          <w:sz w:val="24"/>
          <w:szCs w:val="24"/>
        </w:rPr>
        <w:t xml:space="preserve">the evidence has substantial probative value in relation to an important matter in issue between the defendant and the co-defendant. Section 101(1)(e) is supplemented by </w:t>
      </w:r>
      <w:r w:rsidR="00AC257F">
        <w:rPr>
          <w:rFonts w:ascii="Times New Roman" w:hAnsi="Times New Roman" w:cs="Times New Roman"/>
          <w:sz w:val="24"/>
          <w:szCs w:val="24"/>
        </w:rPr>
        <w:t>s.104</w:t>
      </w:r>
      <w:r w:rsidR="00882077">
        <w:rPr>
          <w:rFonts w:ascii="Times New Roman" w:hAnsi="Times New Roman" w:cs="Times New Roman"/>
          <w:sz w:val="24"/>
          <w:szCs w:val="24"/>
        </w:rPr>
        <w:t xml:space="preserve">. Section 104(1) provides </w:t>
      </w:r>
      <w:r w:rsidR="00BA3788">
        <w:rPr>
          <w:rFonts w:ascii="Times New Roman" w:hAnsi="Times New Roman" w:cs="Times New Roman"/>
          <w:sz w:val="24"/>
          <w:szCs w:val="24"/>
        </w:rPr>
        <w:t xml:space="preserve">that </w:t>
      </w:r>
      <w:r w:rsidR="00882077">
        <w:rPr>
          <w:rFonts w:ascii="Times New Roman" w:hAnsi="Times New Roman" w:cs="Times New Roman"/>
          <w:sz w:val="24"/>
          <w:szCs w:val="24"/>
        </w:rPr>
        <w:t xml:space="preserve">evidence of bad character is relevant is only admissible under s.101(1)(e) as evidence of a defendant’s propensity to be untruthful if the nature or conduct of the defendant’s defence undermines that of the </w:t>
      </w:r>
      <w:r w:rsidR="00BA3788">
        <w:rPr>
          <w:rFonts w:ascii="Times New Roman" w:hAnsi="Times New Roman" w:cs="Times New Roman"/>
          <w:sz w:val="24"/>
          <w:szCs w:val="24"/>
        </w:rPr>
        <w:t xml:space="preserve">co-defendant who seeks to adduce the bad character evidence. </w:t>
      </w:r>
      <w:r w:rsidR="00396595">
        <w:rPr>
          <w:rFonts w:ascii="Times New Roman" w:hAnsi="Times New Roman" w:cs="Times New Roman"/>
          <w:sz w:val="24"/>
          <w:szCs w:val="24"/>
        </w:rPr>
        <w:t>Where evidence of a defendant’s bad character is tendered under s.101(1)(e) solely as evidence of the defendant’s propensity to commit offences of the kind charged, s.104(1) does not come into play (see</w:t>
      </w:r>
      <w:r w:rsidR="0035101A">
        <w:rPr>
          <w:rFonts w:ascii="Times New Roman" w:hAnsi="Times New Roman" w:cs="Times New Roman"/>
          <w:sz w:val="24"/>
          <w:szCs w:val="24"/>
        </w:rPr>
        <w:t xml:space="preserve"> </w:t>
      </w:r>
      <w:r w:rsidR="00396595" w:rsidRPr="00E82A3E">
        <w:rPr>
          <w:rFonts w:ascii="Times New Roman" w:hAnsi="Times New Roman" w:cs="Times New Roman"/>
          <w:i/>
          <w:sz w:val="24"/>
          <w:szCs w:val="24"/>
        </w:rPr>
        <w:t xml:space="preserve">McLean </w:t>
      </w:r>
      <w:r w:rsidR="00FF1790" w:rsidRPr="00FF1790">
        <w:rPr>
          <w:rFonts w:ascii="Times New Roman" w:hAnsi="Times New Roman" w:cs="Times New Roman"/>
          <w:sz w:val="24"/>
          <w:szCs w:val="24"/>
        </w:rPr>
        <w:t>[2006] 2 Cr App</w:t>
      </w:r>
      <w:r w:rsidR="00FF1790">
        <w:rPr>
          <w:rFonts w:ascii="Times New Roman" w:hAnsi="Times New Roman" w:cs="Times New Roman"/>
          <w:sz w:val="24"/>
          <w:szCs w:val="24"/>
        </w:rPr>
        <w:t xml:space="preserve"> R </w:t>
      </w:r>
      <w:r w:rsidR="00FF1790" w:rsidRPr="00FF1790">
        <w:rPr>
          <w:rFonts w:ascii="Times New Roman" w:hAnsi="Times New Roman" w:cs="Times New Roman"/>
          <w:sz w:val="24"/>
          <w:szCs w:val="24"/>
        </w:rPr>
        <w:t>4</w:t>
      </w:r>
      <w:r w:rsidR="0035101A">
        <w:rPr>
          <w:rFonts w:ascii="Times New Roman" w:hAnsi="Times New Roman" w:cs="Times New Roman"/>
          <w:sz w:val="24"/>
          <w:szCs w:val="24"/>
        </w:rPr>
        <w:t xml:space="preserve"> at [53]). </w:t>
      </w:r>
      <w:r w:rsidR="00396595">
        <w:rPr>
          <w:rFonts w:ascii="Times New Roman" w:hAnsi="Times New Roman" w:cs="Times New Roman"/>
          <w:sz w:val="24"/>
          <w:szCs w:val="24"/>
        </w:rPr>
        <w:t xml:space="preserve">Section 104(2) makes clear that evidence of a defendant’s bad character is only admissible under s.101(1)(e)  if adduced by a co-defendant or elicited in cross-examination by a co-defendant. Thus, the gateway created by s.101(1)(e) is not available to the prosecution. </w:t>
      </w:r>
    </w:p>
    <w:p w:rsidR="00F27AD6" w:rsidRDefault="00BA3788" w:rsidP="00B83F48">
      <w:pPr>
        <w:rPr>
          <w:rFonts w:ascii="Times New Roman" w:hAnsi="Times New Roman" w:cs="Times New Roman"/>
          <w:sz w:val="24"/>
          <w:szCs w:val="24"/>
        </w:rPr>
      </w:pPr>
      <w:r>
        <w:rPr>
          <w:rFonts w:ascii="Times New Roman" w:hAnsi="Times New Roman" w:cs="Times New Roman"/>
          <w:sz w:val="24"/>
          <w:szCs w:val="24"/>
        </w:rPr>
        <w:t xml:space="preserve">As the Court of Appeal in </w:t>
      </w:r>
      <w:r w:rsidRPr="00BA3788">
        <w:rPr>
          <w:rFonts w:ascii="Times New Roman" w:hAnsi="Times New Roman" w:cs="Times New Roman"/>
          <w:i/>
          <w:sz w:val="24"/>
          <w:szCs w:val="24"/>
        </w:rPr>
        <w:t>Platt</w:t>
      </w:r>
      <w:r>
        <w:rPr>
          <w:rFonts w:ascii="Times New Roman" w:hAnsi="Times New Roman" w:cs="Times New Roman"/>
          <w:sz w:val="24"/>
          <w:szCs w:val="24"/>
        </w:rPr>
        <w:t xml:space="preserve"> recognised, the key issues that the court must consider when determining the admissibility of evidence of bad character under s.101(1)(e)  </w:t>
      </w:r>
      <w:r w:rsidR="009066D5">
        <w:rPr>
          <w:rFonts w:ascii="Times New Roman" w:hAnsi="Times New Roman" w:cs="Times New Roman"/>
          <w:sz w:val="24"/>
          <w:szCs w:val="24"/>
        </w:rPr>
        <w:t xml:space="preserve">were elucidated </w:t>
      </w:r>
      <w:r w:rsidR="009066D5" w:rsidRPr="0064583C">
        <w:rPr>
          <w:rFonts w:ascii="Times New Roman" w:hAnsi="Times New Roman" w:cs="Times New Roman"/>
          <w:sz w:val="24"/>
          <w:szCs w:val="24"/>
        </w:rPr>
        <w:t xml:space="preserve">by the Court of Appeal in </w:t>
      </w:r>
      <w:r w:rsidR="0064583C" w:rsidRPr="00396595">
        <w:rPr>
          <w:rFonts w:ascii="Times New Roman" w:hAnsi="Times New Roman" w:cs="Times New Roman"/>
          <w:i/>
          <w:sz w:val="24"/>
          <w:szCs w:val="24"/>
        </w:rPr>
        <w:t>Phillips</w:t>
      </w:r>
      <w:r w:rsidR="0064583C" w:rsidRPr="0064583C">
        <w:rPr>
          <w:rFonts w:ascii="Times New Roman" w:hAnsi="Times New Roman" w:cs="Times New Roman"/>
          <w:sz w:val="24"/>
          <w:szCs w:val="24"/>
        </w:rPr>
        <w:t xml:space="preserve"> [2012] 1 Cr App R 25</w:t>
      </w:r>
      <w:r w:rsidR="0064583C">
        <w:rPr>
          <w:rFonts w:ascii="Times New Roman" w:hAnsi="Times New Roman" w:cs="Times New Roman"/>
          <w:sz w:val="24"/>
          <w:szCs w:val="24"/>
        </w:rPr>
        <w:t xml:space="preserve">, namely, whether it has substantial probative value and whether the matter in relation to which it has substantial probative value is one of substantial importance in the context of the case as a whole. </w:t>
      </w:r>
      <w:r w:rsidR="00F27AD6">
        <w:rPr>
          <w:rFonts w:ascii="Times New Roman" w:hAnsi="Times New Roman" w:cs="Times New Roman"/>
          <w:sz w:val="24"/>
          <w:szCs w:val="24"/>
        </w:rPr>
        <w:t xml:space="preserve">An important point that the Court of Appeal emphasised in </w:t>
      </w:r>
      <w:r w:rsidR="00F27AD6" w:rsidRPr="00F27AD6">
        <w:rPr>
          <w:rFonts w:ascii="Times New Roman" w:hAnsi="Times New Roman" w:cs="Times New Roman"/>
          <w:i/>
          <w:sz w:val="24"/>
          <w:szCs w:val="24"/>
        </w:rPr>
        <w:t>Platt</w:t>
      </w:r>
      <w:r w:rsidR="00F27AD6">
        <w:rPr>
          <w:rFonts w:ascii="Times New Roman" w:hAnsi="Times New Roman" w:cs="Times New Roman"/>
          <w:sz w:val="24"/>
          <w:szCs w:val="24"/>
        </w:rPr>
        <w:t xml:space="preserve"> is that unlike the situation in which evidence of a defendant’s bad character is tendered by the prosecution, once the judge decides that evidence of a defendant’s bad character is admissible for a co-defendant under s.101(1)(e) the judge does not possess discretion to exclude it. Thus, </w:t>
      </w:r>
      <w:r w:rsidR="000F2547">
        <w:rPr>
          <w:rFonts w:ascii="Times New Roman" w:hAnsi="Times New Roman" w:cs="Times New Roman"/>
          <w:sz w:val="24"/>
          <w:szCs w:val="24"/>
        </w:rPr>
        <w:t xml:space="preserve">as the Court of Appeal in </w:t>
      </w:r>
      <w:r w:rsidR="000F2547" w:rsidRPr="000F2547">
        <w:rPr>
          <w:rFonts w:ascii="Times New Roman" w:hAnsi="Times New Roman" w:cs="Times New Roman"/>
          <w:i/>
          <w:sz w:val="24"/>
          <w:szCs w:val="24"/>
        </w:rPr>
        <w:t>Platt</w:t>
      </w:r>
      <w:r w:rsidR="000F2547">
        <w:rPr>
          <w:rFonts w:ascii="Times New Roman" w:hAnsi="Times New Roman" w:cs="Times New Roman"/>
          <w:sz w:val="24"/>
          <w:szCs w:val="24"/>
        </w:rPr>
        <w:t xml:space="preserve"> emphasised, </w:t>
      </w:r>
      <w:r w:rsidR="00F27AD6">
        <w:rPr>
          <w:rFonts w:ascii="Times New Roman" w:hAnsi="Times New Roman" w:cs="Times New Roman"/>
          <w:sz w:val="24"/>
          <w:szCs w:val="24"/>
        </w:rPr>
        <w:t>it is important to remember that the admissibility of bad character evidence for a co-defendant under s.101(1)(e) is governed by a test which require</w:t>
      </w:r>
      <w:r w:rsidR="000F2547">
        <w:rPr>
          <w:rFonts w:ascii="Times New Roman" w:hAnsi="Times New Roman" w:cs="Times New Roman"/>
          <w:sz w:val="24"/>
          <w:szCs w:val="24"/>
        </w:rPr>
        <w:t>s</w:t>
      </w:r>
      <w:r w:rsidR="00F27AD6">
        <w:rPr>
          <w:rFonts w:ascii="Times New Roman" w:hAnsi="Times New Roman" w:cs="Times New Roman"/>
          <w:sz w:val="24"/>
          <w:szCs w:val="24"/>
        </w:rPr>
        <w:t xml:space="preserve"> “substantial probative value”</w:t>
      </w:r>
      <w:r w:rsidR="000F2547">
        <w:rPr>
          <w:rFonts w:ascii="Times New Roman" w:hAnsi="Times New Roman" w:cs="Times New Roman"/>
          <w:sz w:val="24"/>
          <w:szCs w:val="24"/>
        </w:rPr>
        <w:t xml:space="preserve">. Conversely, whilst the admissibility of evidence of the accused’s bad character for the prosecution </w:t>
      </w:r>
      <w:r w:rsidR="00F27AD6">
        <w:rPr>
          <w:rFonts w:ascii="Times New Roman" w:hAnsi="Times New Roman" w:cs="Times New Roman"/>
          <w:sz w:val="24"/>
          <w:szCs w:val="24"/>
        </w:rPr>
        <w:t xml:space="preserve">under s.101(1)(d) </w:t>
      </w:r>
      <w:r w:rsidR="000F2547">
        <w:rPr>
          <w:rFonts w:ascii="Times New Roman" w:hAnsi="Times New Roman" w:cs="Times New Roman"/>
          <w:sz w:val="24"/>
          <w:szCs w:val="24"/>
        </w:rPr>
        <w:t xml:space="preserve">is governed by a simple test of relevance, this is subject to the possibility of exclusion in </w:t>
      </w:r>
      <w:r w:rsidR="00F27AD6">
        <w:rPr>
          <w:rFonts w:ascii="Times New Roman" w:hAnsi="Times New Roman" w:cs="Times New Roman"/>
          <w:sz w:val="24"/>
          <w:szCs w:val="24"/>
        </w:rPr>
        <w:t xml:space="preserve">the exercise of </w:t>
      </w:r>
      <w:r w:rsidR="000F2547">
        <w:rPr>
          <w:rFonts w:ascii="Times New Roman" w:hAnsi="Times New Roman" w:cs="Times New Roman"/>
          <w:sz w:val="24"/>
          <w:szCs w:val="24"/>
        </w:rPr>
        <w:t xml:space="preserve">the court’s </w:t>
      </w:r>
      <w:r w:rsidR="00F27AD6">
        <w:rPr>
          <w:rFonts w:ascii="Times New Roman" w:hAnsi="Times New Roman" w:cs="Times New Roman"/>
          <w:sz w:val="24"/>
          <w:szCs w:val="24"/>
        </w:rPr>
        <w:t>exclusionary discretion</w:t>
      </w:r>
      <w:r w:rsidR="00396595">
        <w:rPr>
          <w:rFonts w:ascii="Times New Roman" w:hAnsi="Times New Roman" w:cs="Times New Roman"/>
          <w:sz w:val="24"/>
          <w:szCs w:val="24"/>
        </w:rPr>
        <w:t xml:space="preserve"> under s.101(3)</w:t>
      </w:r>
      <w:r w:rsidR="00F27AD6">
        <w:rPr>
          <w:rFonts w:ascii="Times New Roman" w:hAnsi="Times New Roman" w:cs="Times New Roman"/>
          <w:sz w:val="24"/>
          <w:szCs w:val="24"/>
        </w:rPr>
        <w:t xml:space="preserve">. </w:t>
      </w:r>
      <w:r w:rsidR="00396595">
        <w:rPr>
          <w:rFonts w:ascii="Times New Roman" w:hAnsi="Times New Roman" w:cs="Times New Roman"/>
          <w:sz w:val="24"/>
          <w:szCs w:val="24"/>
        </w:rPr>
        <w:t>The one situation in which the court may be entitled to exclude evidence which would otherwise be admissible under s</w:t>
      </w:r>
      <w:r w:rsidR="00497E0C">
        <w:rPr>
          <w:rFonts w:ascii="Times New Roman" w:hAnsi="Times New Roman" w:cs="Times New Roman"/>
          <w:sz w:val="24"/>
          <w:szCs w:val="24"/>
        </w:rPr>
        <w:t>.1</w:t>
      </w:r>
      <w:r w:rsidR="00396595">
        <w:rPr>
          <w:rFonts w:ascii="Times New Roman" w:hAnsi="Times New Roman" w:cs="Times New Roman"/>
          <w:sz w:val="24"/>
          <w:szCs w:val="24"/>
        </w:rPr>
        <w:t xml:space="preserve">01(1)(e) is that in which the co-defendant who wishes to adduce the evidence has failed to comply with the notice requirements laid down by CrimPR Part 21 </w:t>
      </w:r>
      <w:r w:rsidR="00396595" w:rsidRPr="00396595">
        <w:rPr>
          <w:rFonts w:ascii="Times New Roman" w:hAnsi="Times New Roman" w:cs="Times New Roman"/>
          <w:sz w:val="24"/>
          <w:szCs w:val="24"/>
        </w:rPr>
        <w:t>(</w:t>
      </w:r>
      <w:r w:rsidR="00623EDC">
        <w:rPr>
          <w:rFonts w:ascii="Times New Roman" w:hAnsi="Times New Roman" w:cs="Times New Roman"/>
          <w:sz w:val="24"/>
          <w:szCs w:val="24"/>
        </w:rPr>
        <w:t xml:space="preserve">see </w:t>
      </w:r>
      <w:r w:rsidR="00396595" w:rsidRPr="00396595">
        <w:rPr>
          <w:rFonts w:ascii="Times New Roman" w:hAnsi="Times New Roman" w:cs="Times New Roman"/>
          <w:i/>
          <w:sz w:val="24"/>
          <w:szCs w:val="24"/>
        </w:rPr>
        <w:t>Musone</w:t>
      </w:r>
      <w:r w:rsidR="0035101A">
        <w:rPr>
          <w:rFonts w:ascii="Times New Roman" w:hAnsi="Times New Roman" w:cs="Times New Roman"/>
          <w:i/>
          <w:sz w:val="24"/>
          <w:szCs w:val="24"/>
        </w:rPr>
        <w:t xml:space="preserve"> </w:t>
      </w:r>
      <w:r w:rsidR="0035101A" w:rsidRPr="0035101A">
        <w:rPr>
          <w:rFonts w:ascii="Times New Roman" w:hAnsi="Times New Roman" w:cs="Times New Roman"/>
          <w:sz w:val="24"/>
          <w:szCs w:val="24"/>
        </w:rPr>
        <w:t>[2007] 2 Cr App R 29</w:t>
      </w:r>
      <w:r w:rsidR="00245FB7">
        <w:rPr>
          <w:rFonts w:ascii="Times New Roman" w:hAnsi="Times New Roman" w:cs="Times New Roman"/>
          <w:sz w:val="24"/>
          <w:szCs w:val="24"/>
        </w:rPr>
        <w:t xml:space="preserve"> at [56]</w:t>
      </w:r>
      <w:r w:rsidR="00396595" w:rsidRPr="00396595">
        <w:rPr>
          <w:rFonts w:ascii="Times New Roman" w:hAnsi="Times New Roman" w:cs="Times New Roman"/>
          <w:sz w:val="24"/>
          <w:szCs w:val="24"/>
        </w:rPr>
        <w:t xml:space="preserve">). </w:t>
      </w:r>
    </w:p>
    <w:p w:rsidR="0052663C" w:rsidRDefault="00B71020">
      <w:pPr>
        <w:rPr>
          <w:rFonts w:ascii="Times New Roman" w:hAnsi="Times New Roman" w:cs="Times New Roman"/>
          <w:sz w:val="24"/>
          <w:szCs w:val="24"/>
        </w:rPr>
      </w:pPr>
      <w:r w:rsidRPr="00CB0E63">
        <w:rPr>
          <w:rFonts w:ascii="Times New Roman" w:hAnsi="Times New Roman" w:cs="Times New Roman"/>
          <w:i/>
          <w:sz w:val="24"/>
          <w:szCs w:val="24"/>
        </w:rPr>
        <w:t>Michael Stockdale</w:t>
      </w:r>
      <w:r w:rsidR="00E77452">
        <w:rPr>
          <w:rFonts w:ascii="Times New Roman" w:hAnsi="Times New Roman" w:cs="Times New Roman"/>
          <w:i/>
          <w:sz w:val="24"/>
          <w:szCs w:val="24"/>
        </w:rPr>
        <w:t xml:space="preserve"> and Andrea O’Cain</w:t>
      </w:r>
    </w:p>
    <w:sectPr w:rsidR="0052663C" w:rsidSect="00FC66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1A1" w:rsidRDefault="007451A1" w:rsidP="00F953E8">
      <w:pPr>
        <w:spacing w:after="0" w:line="240" w:lineRule="auto"/>
      </w:pPr>
      <w:r>
        <w:separator/>
      </w:r>
    </w:p>
  </w:endnote>
  <w:endnote w:type="continuationSeparator" w:id="0">
    <w:p w:rsidR="007451A1" w:rsidRDefault="007451A1" w:rsidP="00F9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1A1" w:rsidRDefault="007451A1" w:rsidP="00F953E8">
      <w:pPr>
        <w:spacing w:after="0" w:line="240" w:lineRule="auto"/>
      </w:pPr>
      <w:r>
        <w:separator/>
      </w:r>
    </w:p>
  </w:footnote>
  <w:footnote w:type="continuationSeparator" w:id="0">
    <w:p w:rsidR="007451A1" w:rsidRDefault="007451A1" w:rsidP="00F95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87EE7"/>
    <w:multiLevelType w:val="hybridMultilevel"/>
    <w:tmpl w:val="C5B2D41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34A"/>
    <w:rsid w:val="00037C0B"/>
    <w:rsid w:val="00043175"/>
    <w:rsid w:val="00063167"/>
    <w:rsid w:val="000A6A3D"/>
    <w:rsid w:val="000C64FB"/>
    <w:rsid w:val="000D2D0D"/>
    <w:rsid w:val="000F2397"/>
    <w:rsid w:val="000F2547"/>
    <w:rsid w:val="000F3C79"/>
    <w:rsid w:val="0013663F"/>
    <w:rsid w:val="001766F1"/>
    <w:rsid w:val="00191BE7"/>
    <w:rsid w:val="001A131E"/>
    <w:rsid w:val="001C6F00"/>
    <w:rsid w:val="001D02EB"/>
    <w:rsid w:val="001D5048"/>
    <w:rsid w:val="00200EFF"/>
    <w:rsid w:val="002054CA"/>
    <w:rsid w:val="0021795F"/>
    <w:rsid w:val="00245FB7"/>
    <w:rsid w:val="00251461"/>
    <w:rsid w:val="00257AD9"/>
    <w:rsid w:val="002A53EE"/>
    <w:rsid w:val="002B59F1"/>
    <w:rsid w:val="002C4448"/>
    <w:rsid w:val="002D069C"/>
    <w:rsid w:val="002E7241"/>
    <w:rsid w:val="002F48EA"/>
    <w:rsid w:val="003202A8"/>
    <w:rsid w:val="00327C7C"/>
    <w:rsid w:val="00343132"/>
    <w:rsid w:val="0035101A"/>
    <w:rsid w:val="003655BB"/>
    <w:rsid w:val="003759C4"/>
    <w:rsid w:val="00396595"/>
    <w:rsid w:val="003B1087"/>
    <w:rsid w:val="003B57DD"/>
    <w:rsid w:val="003E1633"/>
    <w:rsid w:val="003E4980"/>
    <w:rsid w:val="00425959"/>
    <w:rsid w:val="00426673"/>
    <w:rsid w:val="00432A3A"/>
    <w:rsid w:val="00441F92"/>
    <w:rsid w:val="00445777"/>
    <w:rsid w:val="00462543"/>
    <w:rsid w:val="00492EFA"/>
    <w:rsid w:val="00497E0C"/>
    <w:rsid w:val="004B3C2A"/>
    <w:rsid w:val="004B6E38"/>
    <w:rsid w:val="004C4EE3"/>
    <w:rsid w:val="004D3A7E"/>
    <w:rsid w:val="004F061E"/>
    <w:rsid w:val="0052663C"/>
    <w:rsid w:val="00541E80"/>
    <w:rsid w:val="00560E94"/>
    <w:rsid w:val="005621DA"/>
    <w:rsid w:val="00570E28"/>
    <w:rsid w:val="005862D3"/>
    <w:rsid w:val="005B0344"/>
    <w:rsid w:val="005C61D1"/>
    <w:rsid w:val="005D51FC"/>
    <w:rsid w:val="005D634A"/>
    <w:rsid w:val="00601330"/>
    <w:rsid w:val="00603989"/>
    <w:rsid w:val="00623EDC"/>
    <w:rsid w:val="00637765"/>
    <w:rsid w:val="0064583C"/>
    <w:rsid w:val="00655E04"/>
    <w:rsid w:val="00680380"/>
    <w:rsid w:val="00680767"/>
    <w:rsid w:val="006929D3"/>
    <w:rsid w:val="006D7B50"/>
    <w:rsid w:val="006F1A7B"/>
    <w:rsid w:val="007256DA"/>
    <w:rsid w:val="007451A1"/>
    <w:rsid w:val="007456A7"/>
    <w:rsid w:val="00772074"/>
    <w:rsid w:val="00794053"/>
    <w:rsid w:val="007B14D6"/>
    <w:rsid w:val="007B2314"/>
    <w:rsid w:val="00840189"/>
    <w:rsid w:val="00842FB1"/>
    <w:rsid w:val="008777D4"/>
    <w:rsid w:val="00877F57"/>
    <w:rsid w:val="00881D46"/>
    <w:rsid w:val="00882077"/>
    <w:rsid w:val="008957A8"/>
    <w:rsid w:val="008F40DE"/>
    <w:rsid w:val="009066D5"/>
    <w:rsid w:val="00906D0F"/>
    <w:rsid w:val="00917749"/>
    <w:rsid w:val="00930B04"/>
    <w:rsid w:val="009364EE"/>
    <w:rsid w:val="00941838"/>
    <w:rsid w:val="0098366A"/>
    <w:rsid w:val="00993470"/>
    <w:rsid w:val="009957E3"/>
    <w:rsid w:val="009B1FC9"/>
    <w:rsid w:val="009B3194"/>
    <w:rsid w:val="00A1714B"/>
    <w:rsid w:val="00A413CE"/>
    <w:rsid w:val="00A52495"/>
    <w:rsid w:val="00A824CB"/>
    <w:rsid w:val="00AA1E67"/>
    <w:rsid w:val="00AC0F48"/>
    <w:rsid w:val="00AC18F6"/>
    <w:rsid w:val="00AC257F"/>
    <w:rsid w:val="00AD0D75"/>
    <w:rsid w:val="00B51113"/>
    <w:rsid w:val="00B60374"/>
    <w:rsid w:val="00B71020"/>
    <w:rsid w:val="00B82935"/>
    <w:rsid w:val="00B83F48"/>
    <w:rsid w:val="00B950F3"/>
    <w:rsid w:val="00BA3788"/>
    <w:rsid w:val="00BB2B9C"/>
    <w:rsid w:val="00BB7832"/>
    <w:rsid w:val="00BD6C6D"/>
    <w:rsid w:val="00C22E17"/>
    <w:rsid w:val="00C47352"/>
    <w:rsid w:val="00C82745"/>
    <w:rsid w:val="00C84140"/>
    <w:rsid w:val="00C975BA"/>
    <w:rsid w:val="00CB0E63"/>
    <w:rsid w:val="00D1745B"/>
    <w:rsid w:val="00D31391"/>
    <w:rsid w:val="00D34FB8"/>
    <w:rsid w:val="00D636FB"/>
    <w:rsid w:val="00D76090"/>
    <w:rsid w:val="00D824D6"/>
    <w:rsid w:val="00DA2E7D"/>
    <w:rsid w:val="00DA588C"/>
    <w:rsid w:val="00DA7051"/>
    <w:rsid w:val="00DB17F1"/>
    <w:rsid w:val="00DD44ED"/>
    <w:rsid w:val="00DE19EF"/>
    <w:rsid w:val="00E074E3"/>
    <w:rsid w:val="00E202F5"/>
    <w:rsid w:val="00E21C4A"/>
    <w:rsid w:val="00E43BFE"/>
    <w:rsid w:val="00E45B8C"/>
    <w:rsid w:val="00E50783"/>
    <w:rsid w:val="00E77452"/>
    <w:rsid w:val="00E82A3E"/>
    <w:rsid w:val="00EA1F90"/>
    <w:rsid w:val="00EC245E"/>
    <w:rsid w:val="00EC7B90"/>
    <w:rsid w:val="00EF58BC"/>
    <w:rsid w:val="00F107E9"/>
    <w:rsid w:val="00F27AD6"/>
    <w:rsid w:val="00F3381D"/>
    <w:rsid w:val="00F35AA9"/>
    <w:rsid w:val="00F37819"/>
    <w:rsid w:val="00F953E8"/>
    <w:rsid w:val="00FA7ACA"/>
    <w:rsid w:val="00FC668A"/>
    <w:rsid w:val="00FF17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02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3F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E202F5"/>
    <w:rPr>
      <w:rFonts w:ascii="Times New Roman" w:eastAsia="Times New Roman" w:hAnsi="Times New Roman" w:cs="Times New Roman"/>
      <w:b/>
      <w:bCs/>
      <w:sz w:val="36"/>
      <w:szCs w:val="36"/>
    </w:rPr>
  </w:style>
  <w:style w:type="paragraph" w:customStyle="1" w:styleId="legclearfix">
    <w:name w:val="legclearfix"/>
    <w:basedOn w:val="Normal"/>
    <w:rsid w:val="00F107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ds">
    <w:name w:val="legds"/>
    <w:basedOn w:val="DefaultParagraphFont"/>
    <w:rsid w:val="00F107E9"/>
  </w:style>
  <w:style w:type="paragraph" w:customStyle="1" w:styleId="legrhs">
    <w:name w:val="legrhs"/>
    <w:basedOn w:val="Normal"/>
    <w:rsid w:val="00AC257F"/>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rsid w:val="00F953E8"/>
    <w:rPr>
      <w:vertAlign w:val="superscript"/>
    </w:rPr>
  </w:style>
  <w:style w:type="paragraph" w:styleId="BodyTextIndent2">
    <w:name w:val="Body Text Indent 2"/>
    <w:basedOn w:val="Normal"/>
    <w:link w:val="BodyTextIndent2Char"/>
    <w:semiHidden/>
    <w:rsid w:val="00F953E8"/>
    <w:pPr>
      <w:widowControl w:val="0"/>
      <w:autoSpaceDE w:val="0"/>
      <w:autoSpaceDN w:val="0"/>
      <w:spacing w:after="0" w:line="240" w:lineRule="auto"/>
      <w:ind w:firstLine="284"/>
      <w:jc w:val="both"/>
    </w:pPr>
    <w:rPr>
      <w:rFonts w:ascii="Times New Roman" w:eastAsia="Times New Roman" w:hAnsi="Times New Roman" w:cs="Times New Roman"/>
      <w:lang w:eastAsia="en-US"/>
    </w:rPr>
  </w:style>
  <w:style w:type="character" w:customStyle="1" w:styleId="BodyTextIndent2Char">
    <w:name w:val="Body Text Indent 2 Char"/>
    <w:basedOn w:val="DefaultParagraphFont"/>
    <w:link w:val="BodyTextIndent2"/>
    <w:semiHidden/>
    <w:rsid w:val="00F953E8"/>
    <w:rPr>
      <w:rFonts w:ascii="Times New Roman" w:eastAsia="Times New Roman" w:hAnsi="Times New Roman" w:cs="Times New Roman"/>
      <w:lang w:eastAsia="en-US"/>
    </w:rPr>
  </w:style>
  <w:style w:type="paragraph" w:styleId="FootnoteText">
    <w:name w:val="footnote text"/>
    <w:basedOn w:val="Normal"/>
    <w:link w:val="FootnoteTextChar"/>
    <w:uiPriority w:val="99"/>
    <w:rsid w:val="00F953E8"/>
    <w:pPr>
      <w:widowControl w:val="0"/>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F953E8"/>
    <w:rPr>
      <w:rFonts w:ascii="Times New Roman" w:eastAsia="Times New Roman" w:hAnsi="Times New Roman" w:cs="Times New Roman"/>
      <w:sz w:val="20"/>
      <w:szCs w:val="20"/>
      <w:lang w:val="en-US" w:eastAsia="en-US"/>
    </w:rPr>
  </w:style>
  <w:style w:type="character" w:customStyle="1" w:styleId="apple-converted-space">
    <w:name w:val="apple-converted-space"/>
    <w:basedOn w:val="DefaultParagraphFont"/>
    <w:rsid w:val="0064583C"/>
  </w:style>
  <w:style w:type="character" w:styleId="Hyperlink">
    <w:name w:val="Hyperlink"/>
    <w:basedOn w:val="DefaultParagraphFont"/>
    <w:uiPriority w:val="99"/>
    <w:semiHidden/>
    <w:unhideWhenUsed/>
    <w:rsid w:val="003510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02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3F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E202F5"/>
    <w:rPr>
      <w:rFonts w:ascii="Times New Roman" w:eastAsia="Times New Roman" w:hAnsi="Times New Roman" w:cs="Times New Roman"/>
      <w:b/>
      <w:bCs/>
      <w:sz w:val="36"/>
      <w:szCs w:val="36"/>
    </w:rPr>
  </w:style>
  <w:style w:type="paragraph" w:customStyle="1" w:styleId="legclearfix">
    <w:name w:val="legclearfix"/>
    <w:basedOn w:val="Normal"/>
    <w:rsid w:val="00F107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ds">
    <w:name w:val="legds"/>
    <w:basedOn w:val="DefaultParagraphFont"/>
    <w:rsid w:val="00F107E9"/>
  </w:style>
  <w:style w:type="paragraph" w:customStyle="1" w:styleId="legrhs">
    <w:name w:val="legrhs"/>
    <w:basedOn w:val="Normal"/>
    <w:rsid w:val="00AC257F"/>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rsid w:val="00F953E8"/>
    <w:rPr>
      <w:vertAlign w:val="superscript"/>
    </w:rPr>
  </w:style>
  <w:style w:type="paragraph" w:styleId="BodyTextIndent2">
    <w:name w:val="Body Text Indent 2"/>
    <w:basedOn w:val="Normal"/>
    <w:link w:val="BodyTextIndent2Char"/>
    <w:semiHidden/>
    <w:rsid w:val="00F953E8"/>
    <w:pPr>
      <w:widowControl w:val="0"/>
      <w:autoSpaceDE w:val="0"/>
      <w:autoSpaceDN w:val="0"/>
      <w:spacing w:after="0" w:line="240" w:lineRule="auto"/>
      <w:ind w:firstLine="284"/>
      <w:jc w:val="both"/>
    </w:pPr>
    <w:rPr>
      <w:rFonts w:ascii="Times New Roman" w:eastAsia="Times New Roman" w:hAnsi="Times New Roman" w:cs="Times New Roman"/>
      <w:lang w:eastAsia="en-US"/>
    </w:rPr>
  </w:style>
  <w:style w:type="character" w:customStyle="1" w:styleId="BodyTextIndent2Char">
    <w:name w:val="Body Text Indent 2 Char"/>
    <w:basedOn w:val="DefaultParagraphFont"/>
    <w:link w:val="BodyTextIndent2"/>
    <w:semiHidden/>
    <w:rsid w:val="00F953E8"/>
    <w:rPr>
      <w:rFonts w:ascii="Times New Roman" w:eastAsia="Times New Roman" w:hAnsi="Times New Roman" w:cs="Times New Roman"/>
      <w:lang w:eastAsia="en-US"/>
    </w:rPr>
  </w:style>
  <w:style w:type="paragraph" w:styleId="FootnoteText">
    <w:name w:val="footnote text"/>
    <w:basedOn w:val="Normal"/>
    <w:link w:val="FootnoteTextChar"/>
    <w:uiPriority w:val="99"/>
    <w:rsid w:val="00F953E8"/>
    <w:pPr>
      <w:widowControl w:val="0"/>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F953E8"/>
    <w:rPr>
      <w:rFonts w:ascii="Times New Roman" w:eastAsia="Times New Roman" w:hAnsi="Times New Roman" w:cs="Times New Roman"/>
      <w:sz w:val="20"/>
      <w:szCs w:val="20"/>
      <w:lang w:val="en-US" w:eastAsia="en-US"/>
    </w:rPr>
  </w:style>
  <w:style w:type="character" w:customStyle="1" w:styleId="apple-converted-space">
    <w:name w:val="apple-converted-space"/>
    <w:basedOn w:val="DefaultParagraphFont"/>
    <w:rsid w:val="0064583C"/>
  </w:style>
  <w:style w:type="character" w:styleId="Hyperlink">
    <w:name w:val="Hyperlink"/>
    <w:basedOn w:val="DefaultParagraphFont"/>
    <w:uiPriority w:val="99"/>
    <w:semiHidden/>
    <w:unhideWhenUsed/>
    <w:rsid w:val="00351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7376">
      <w:bodyDiv w:val="1"/>
      <w:marLeft w:val="0"/>
      <w:marRight w:val="0"/>
      <w:marTop w:val="0"/>
      <w:marBottom w:val="0"/>
      <w:divBdr>
        <w:top w:val="none" w:sz="0" w:space="0" w:color="auto"/>
        <w:left w:val="none" w:sz="0" w:space="0" w:color="auto"/>
        <w:bottom w:val="none" w:sz="0" w:space="0" w:color="auto"/>
        <w:right w:val="none" w:sz="0" w:space="0" w:color="auto"/>
      </w:divBdr>
    </w:div>
    <w:div w:id="883249203">
      <w:bodyDiv w:val="1"/>
      <w:marLeft w:val="0"/>
      <w:marRight w:val="0"/>
      <w:marTop w:val="0"/>
      <w:marBottom w:val="0"/>
      <w:divBdr>
        <w:top w:val="none" w:sz="0" w:space="0" w:color="auto"/>
        <w:left w:val="none" w:sz="0" w:space="0" w:color="auto"/>
        <w:bottom w:val="none" w:sz="0" w:space="0" w:color="auto"/>
        <w:right w:val="none" w:sz="0" w:space="0" w:color="auto"/>
      </w:divBdr>
    </w:div>
    <w:div w:id="1180655651">
      <w:bodyDiv w:val="1"/>
      <w:marLeft w:val="0"/>
      <w:marRight w:val="0"/>
      <w:marTop w:val="0"/>
      <w:marBottom w:val="0"/>
      <w:divBdr>
        <w:top w:val="none" w:sz="0" w:space="0" w:color="auto"/>
        <w:left w:val="none" w:sz="0" w:space="0" w:color="auto"/>
        <w:bottom w:val="none" w:sz="0" w:space="0" w:color="auto"/>
        <w:right w:val="none" w:sz="0" w:space="0" w:color="auto"/>
      </w:divBdr>
    </w:div>
    <w:div w:id="1236629448">
      <w:bodyDiv w:val="1"/>
      <w:marLeft w:val="0"/>
      <w:marRight w:val="0"/>
      <w:marTop w:val="0"/>
      <w:marBottom w:val="0"/>
      <w:divBdr>
        <w:top w:val="none" w:sz="0" w:space="0" w:color="auto"/>
        <w:left w:val="none" w:sz="0" w:space="0" w:color="auto"/>
        <w:bottom w:val="none" w:sz="0" w:space="0" w:color="auto"/>
        <w:right w:val="none" w:sz="0" w:space="0" w:color="auto"/>
      </w:divBdr>
    </w:div>
    <w:div w:id="1326786601">
      <w:bodyDiv w:val="1"/>
      <w:marLeft w:val="0"/>
      <w:marRight w:val="0"/>
      <w:marTop w:val="0"/>
      <w:marBottom w:val="0"/>
      <w:divBdr>
        <w:top w:val="none" w:sz="0" w:space="0" w:color="auto"/>
        <w:left w:val="none" w:sz="0" w:space="0" w:color="auto"/>
        <w:bottom w:val="none" w:sz="0" w:space="0" w:color="auto"/>
        <w:right w:val="none" w:sz="0" w:space="0" w:color="auto"/>
      </w:divBdr>
    </w:div>
    <w:div w:id="183841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27D62-CC7F-405B-8771-32F3D4D6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Ay Okpokam</cp:lastModifiedBy>
  <cp:revision>2</cp:revision>
  <dcterms:created xsi:type="dcterms:W3CDTF">2016-05-09T10:25:00Z</dcterms:created>
  <dcterms:modified xsi:type="dcterms:W3CDTF">2016-05-09T10:25:00Z</dcterms:modified>
</cp:coreProperties>
</file>